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26A93A" w14:textId="0C879F76" w:rsidR="004D78C2" w:rsidRPr="00082D8B" w:rsidRDefault="00006A84" w:rsidP="004D78C2">
      <w:pPr>
        <w:rPr>
          <w:lang w:val="en-US"/>
        </w:rPr>
      </w:pPr>
      <w:r>
        <w:rPr>
          <w:noProof/>
          <w:lang w:val="en-AU" w:eastAsia="en-AU"/>
        </w:rPr>
        <mc:AlternateContent>
          <mc:Choice Requires="wpg">
            <w:drawing>
              <wp:anchor distT="0" distB="0" distL="114300" distR="114300" simplePos="0" relativeHeight="251648000" behindDoc="0" locked="0" layoutInCell="1" allowOverlap="1" wp14:anchorId="6826ADBC" wp14:editId="30EE2CA1">
                <wp:simplePos x="0" y="0"/>
                <wp:positionH relativeFrom="column">
                  <wp:posOffset>-937895</wp:posOffset>
                </wp:positionH>
                <wp:positionV relativeFrom="paragraph">
                  <wp:posOffset>-1084580</wp:posOffset>
                </wp:positionV>
                <wp:extent cx="7339330" cy="2719070"/>
                <wp:effectExtent l="0" t="0" r="0" b="5080"/>
                <wp:wrapNone/>
                <wp:docPr id="3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39330" cy="2719070"/>
                          <a:chOff x="0" y="0"/>
                          <a:chExt cx="7696835" cy="2854215"/>
                        </a:xfrm>
                      </wpg:grpSpPr>
                      <wps:wsp>
                        <wps:cNvPr id="34" name="Freeform 5"/>
                        <wps:cNvSpPr>
                          <a:spLocks/>
                        </wps:cNvSpPr>
                        <wps:spPr bwMode="auto">
                          <a:xfrm>
                            <a:off x="0" y="119270"/>
                            <a:ext cx="7696835" cy="2734945"/>
                          </a:xfrm>
                          <a:custGeom>
                            <a:avLst/>
                            <a:gdLst>
                              <a:gd name="T0" fmla="*/ 0 w 2243"/>
                              <a:gd name="T1" fmla="*/ 0 h 663"/>
                              <a:gd name="T2" fmla="*/ 0 w 2243"/>
                              <a:gd name="T3" fmla="*/ 663 h 663"/>
                              <a:gd name="T4" fmla="*/ 2243 w 2243"/>
                              <a:gd name="T5" fmla="*/ 324 h 663"/>
                              <a:gd name="T6" fmla="*/ 2152 w 2243"/>
                              <a:gd name="T7" fmla="*/ 0 h 663"/>
                              <a:gd name="T8" fmla="*/ 0 w 2243"/>
                              <a:gd name="T9" fmla="*/ 0 h 663"/>
                            </a:gdLst>
                            <a:ahLst/>
                            <a:cxnLst>
                              <a:cxn ang="0">
                                <a:pos x="T0" y="T1"/>
                              </a:cxn>
                              <a:cxn ang="0">
                                <a:pos x="T2" y="T3"/>
                              </a:cxn>
                              <a:cxn ang="0">
                                <a:pos x="T4" y="T5"/>
                              </a:cxn>
                              <a:cxn ang="0">
                                <a:pos x="T6" y="T7"/>
                              </a:cxn>
                              <a:cxn ang="0">
                                <a:pos x="T8" y="T9"/>
                              </a:cxn>
                            </a:cxnLst>
                            <a:rect l="0" t="0" r="r" b="b"/>
                            <a:pathLst>
                              <a:path w="2243" h="663">
                                <a:moveTo>
                                  <a:pt x="0" y="0"/>
                                </a:moveTo>
                                <a:cubicBezTo>
                                  <a:pt x="0" y="663"/>
                                  <a:pt x="0" y="663"/>
                                  <a:pt x="0" y="663"/>
                                </a:cubicBezTo>
                                <a:cubicBezTo>
                                  <a:pt x="848" y="379"/>
                                  <a:pt x="1662" y="329"/>
                                  <a:pt x="2243" y="324"/>
                                </a:cubicBezTo>
                                <a:cubicBezTo>
                                  <a:pt x="2152" y="0"/>
                                  <a:pt x="2152" y="0"/>
                                  <a:pt x="2152" y="0"/>
                                </a:cubicBezTo>
                                <a:lnTo>
                                  <a:pt x="0" y="0"/>
                                </a:lnTo>
                                <a:close/>
                              </a:path>
                            </a:pathLst>
                          </a:custGeom>
                          <a:solidFill>
                            <a:srgbClr val="EF3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
                        <wps:cNvSpPr>
                          <a:spLocks/>
                        </wps:cNvSpPr>
                        <wps:spPr bwMode="auto">
                          <a:xfrm>
                            <a:off x="0" y="0"/>
                            <a:ext cx="7696835" cy="2775585"/>
                          </a:xfrm>
                          <a:custGeom>
                            <a:avLst/>
                            <a:gdLst>
                              <a:gd name="T0" fmla="*/ 0 w 2243"/>
                              <a:gd name="T1" fmla="*/ 0 h 673"/>
                              <a:gd name="T2" fmla="*/ 0 w 2243"/>
                              <a:gd name="T3" fmla="*/ 673 h 673"/>
                              <a:gd name="T4" fmla="*/ 2243 w 2243"/>
                              <a:gd name="T5" fmla="*/ 260 h 673"/>
                              <a:gd name="T6" fmla="*/ 2166 w 2243"/>
                              <a:gd name="T7" fmla="*/ 0 h 673"/>
                              <a:gd name="T8" fmla="*/ 0 w 2243"/>
                              <a:gd name="T9" fmla="*/ 0 h 673"/>
                            </a:gdLst>
                            <a:ahLst/>
                            <a:cxnLst>
                              <a:cxn ang="0">
                                <a:pos x="T0" y="T1"/>
                              </a:cxn>
                              <a:cxn ang="0">
                                <a:pos x="T2" y="T3"/>
                              </a:cxn>
                              <a:cxn ang="0">
                                <a:pos x="T4" y="T5"/>
                              </a:cxn>
                              <a:cxn ang="0">
                                <a:pos x="T6" y="T7"/>
                              </a:cxn>
                              <a:cxn ang="0">
                                <a:pos x="T8" y="T9"/>
                              </a:cxn>
                            </a:cxnLst>
                            <a:rect l="0" t="0" r="r" b="b"/>
                            <a:pathLst>
                              <a:path w="2243" h="673">
                                <a:moveTo>
                                  <a:pt x="0" y="0"/>
                                </a:moveTo>
                                <a:cubicBezTo>
                                  <a:pt x="0" y="673"/>
                                  <a:pt x="0" y="673"/>
                                  <a:pt x="0" y="673"/>
                                </a:cubicBezTo>
                                <a:cubicBezTo>
                                  <a:pt x="485" y="466"/>
                                  <a:pt x="1191" y="278"/>
                                  <a:pt x="2243" y="260"/>
                                </a:cubicBezTo>
                                <a:cubicBezTo>
                                  <a:pt x="2166" y="0"/>
                                  <a:pt x="2166" y="0"/>
                                  <a:pt x="2166" y="0"/>
                                </a:cubicBezTo>
                                <a:lnTo>
                                  <a:pt x="0" y="0"/>
                                </a:lnTo>
                                <a:close/>
                              </a:path>
                            </a:pathLst>
                          </a:custGeom>
                          <a:solidFill>
                            <a:srgbClr val="144B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33"/>
                        <wpg:cNvGrpSpPr/>
                        <wpg:grpSpPr>
                          <a:xfrm>
                            <a:off x="214686" y="396718"/>
                            <a:ext cx="4534491" cy="696587"/>
                            <a:chOff x="0" y="-56507"/>
                            <a:chExt cx="4534491" cy="696587"/>
                          </a:xfrm>
                        </wpg:grpSpPr>
                        <wpg:grpSp>
                          <wpg:cNvPr id="38" name="Group 34"/>
                          <wpg:cNvGrpSpPr/>
                          <wpg:grpSpPr>
                            <a:xfrm>
                              <a:off x="0" y="40944"/>
                              <a:ext cx="1317009" cy="566383"/>
                              <a:chOff x="0" y="0"/>
                              <a:chExt cx="1354428" cy="603266"/>
                            </a:xfrm>
                          </wpg:grpSpPr>
                          <wps:wsp>
                            <wps:cNvPr id="42" name="Freeform 11"/>
                            <wps:cNvSpPr>
                              <a:spLocks/>
                            </wps:cNvSpPr>
                            <wps:spPr bwMode="auto">
                              <a:xfrm>
                                <a:off x="504701" y="243444"/>
                                <a:ext cx="626480" cy="359822"/>
                              </a:xfrm>
                              <a:custGeom>
                                <a:avLst/>
                                <a:gdLst>
                                  <a:gd name="T0" fmla="*/ 1626 w 2639"/>
                                  <a:gd name="T1" fmla="*/ 60 h 1517"/>
                                  <a:gd name="T2" fmla="*/ 1903 w 2639"/>
                                  <a:gd name="T3" fmla="*/ 247 h 1517"/>
                                  <a:gd name="T4" fmla="*/ 2122 w 2639"/>
                                  <a:gd name="T5" fmla="*/ 378 h 1517"/>
                                  <a:gd name="T6" fmla="*/ 2236 w 2639"/>
                                  <a:gd name="T7" fmla="*/ 352 h 1517"/>
                                  <a:gd name="T8" fmla="*/ 2263 w 2639"/>
                                  <a:gd name="T9" fmla="*/ 303 h 1517"/>
                                  <a:gd name="T10" fmla="*/ 2246 w 2639"/>
                                  <a:gd name="T11" fmla="*/ 268 h 1517"/>
                                  <a:gd name="T12" fmla="*/ 2236 w 2639"/>
                                  <a:gd name="T13" fmla="*/ 175 h 1517"/>
                                  <a:gd name="T14" fmla="*/ 2275 w 2639"/>
                                  <a:gd name="T15" fmla="*/ 127 h 1517"/>
                                  <a:gd name="T16" fmla="*/ 2294 w 2639"/>
                                  <a:gd name="T17" fmla="*/ 156 h 1517"/>
                                  <a:gd name="T18" fmla="*/ 2313 w 2639"/>
                                  <a:gd name="T19" fmla="*/ 273 h 1517"/>
                                  <a:gd name="T20" fmla="*/ 2427 w 2639"/>
                                  <a:gd name="T21" fmla="*/ 289 h 1517"/>
                                  <a:gd name="T22" fmla="*/ 2517 w 2639"/>
                                  <a:gd name="T23" fmla="*/ 344 h 1517"/>
                                  <a:gd name="T24" fmla="*/ 2630 w 2639"/>
                                  <a:gd name="T25" fmla="*/ 445 h 1517"/>
                                  <a:gd name="T26" fmla="*/ 2608 w 2639"/>
                                  <a:gd name="T27" fmla="*/ 516 h 1517"/>
                                  <a:gd name="T28" fmla="*/ 2508 w 2639"/>
                                  <a:gd name="T29" fmla="*/ 511 h 1517"/>
                                  <a:gd name="T30" fmla="*/ 2367 w 2639"/>
                                  <a:gd name="T31" fmla="*/ 502 h 1517"/>
                                  <a:gd name="T32" fmla="*/ 2256 w 2639"/>
                                  <a:gd name="T33" fmla="*/ 588 h 1517"/>
                                  <a:gd name="T34" fmla="*/ 2069 w 2639"/>
                                  <a:gd name="T35" fmla="*/ 686 h 1517"/>
                                  <a:gd name="T36" fmla="*/ 1988 w 2639"/>
                                  <a:gd name="T37" fmla="*/ 712 h 1517"/>
                                  <a:gd name="T38" fmla="*/ 1946 w 2639"/>
                                  <a:gd name="T39" fmla="*/ 798 h 1517"/>
                                  <a:gd name="T40" fmla="*/ 1877 w 2639"/>
                                  <a:gd name="T41" fmla="*/ 939 h 1517"/>
                                  <a:gd name="T42" fmla="*/ 1778 w 2639"/>
                                  <a:gd name="T43" fmla="*/ 968 h 1517"/>
                                  <a:gd name="T44" fmla="*/ 1760 w 2639"/>
                                  <a:gd name="T45" fmla="*/ 934 h 1517"/>
                                  <a:gd name="T46" fmla="*/ 1814 w 2639"/>
                                  <a:gd name="T47" fmla="*/ 903 h 1517"/>
                                  <a:gd name="T48" fmla="*/ 1853 w 2639"/>
                                  <a:gd name="T49" fmla="*/ 853 h 1517"/>
                                  <a:gd name="T50" fmla="*/ 1864 w 2639"/>
                                  <a:gd name="T51" fmla="*/ 707 h 1517"/>
                                  <a:gd name="T52" fmla="*/ 1788 w 2639"/>
                                  <a:gd name="T53" fmla="*/ 676 h 1517"/>
                                  <a:gd name="T54" fmla="*/ 1681 w 2639"/>
                                  <a:gd name="T55" fmla="*/ 719 h 1517"/>
                                  <a:gd name="T56" fmla="*/ 1586 w 2639"/>
                                  <a:gd name="T57" fmla="*/ 910 h 1517"/>
                                  <a:gd name="T58" fmla="*/ 1547 w 2639"/>
                                  <a:gd name="T59" fmla="*/ 1039 h 1517"/>
                                  <a:gd name="T60" fmla="*/ 1554 w 2639"/>
                                  <a:gd name="T61" fmla="*/ 1171 h 1517"/>
                                  <a:gd name="T62" fmla="*/ 1621 w 2639"/>
                                  <a:gd name="T63" fmla="*/ 1240 h 1517"/>
                                  <a:gd name="T64" fmla="*/ 1798 w 2639"/>
                                  <a:gd name="T65" fmla="*/ 1304 h 1517"/>
                                  <a:gd name="T66" fmla="*/ 2113 w 2639"/>
                                  <a:gd name="T67" fmla="*/ 1419 h 1517"/>
                                  <a:gd name="T68" fmla="*/ 2198 w 2639"/>
                                  <a:gd name="T69" fmla="*/ 1498 h 1517"/>
                                  <a:gd name="T70" fmla="*/ 2191 w 2639"/>
                                  <a:gd name="T71" fmla="*/ 1517 h 1517"/>
                                  <a:gd name="T72" fmla="*/ 2088 w 2639"/>
                                  <a:gd name="T73" fmla="*/ 1486 h 1517"/>
                                  <a:gd name="T74" fmla="*/ 1819 w 2639"/>
                                  <a:gd name="T75" fmla="*/ 1393 h 1517"/>
                                  <a:gd name="T76" fmla="*/ 1497 w 2639"/>
                                  <a:gd name="T77" fmla="*/ 1305 h 1517"/>
                                  <a:gd name="T78" fmla="*/ 1459 w 2639"/>
                                  <a:gd name="T79" fmla="*/ 1240 h 1517"/>
                                  <a:gd name="T80" fmla="*/ 1404 w 2639"/>
                                  <a:gd name="T81" fmla="*/ 972 h 1517"/>
                                  <a:gd name="T82" fmla="*/ 1340 w 2639"/>
                                  <a:gd name="T83" fmla="*/ 774 h 1517"/>
                                  <a:gd name="T84" fmla="*/ 1178 w 2639"/>
                                  <a:gd name="T85" fmla="*/ 698 h 1517"/>
                                  <a:gd name="T86" fmla="*/ 1044 w 2639"/>
                                  <a:gd name="T87" fmla="*/ 598 h 1517"/>
                                  <a:gd name="T88" fmla="*/ 982 w 2639"/>
                                  <a:gd name="T89" fmla="*/ 554 h 1517"/>
                                  <a:gd name="T90" fmla="*/ 832 w 2639"/>
                                  <a:gd name="T91" fmla="*/ 647 h 1517"/>
                                  <a:gd name="T92" fmla="*/ 597 w 2639"/>
                                  <a:gd name="T93" fmla="*/ 741 h 1517"/>
                                  <a:gd name="T94" fmla="*/ 308 w 2639"/>
                                  <a:gd name="T95" fmla="*/ 736 h 1517"/>
                                  <a:gd name="T96" fmla="*/ 98 w 2639"/>
                                  <a:gd name="T97" fmla="*/ 588 h 1517"/>
                                  <a:gd name="T98" fmla="*/ 0 w 2639"/>
                                  <a:gd name="T99" fmla="*/ 435 h 1517"/>
                                  <a:gd name="T100" fmla="*/ 46 w 2639"/>
                                  <a:gd name="T101" fmla="*/ 447 h 1517"/>
                                  <a:gd name="T102" fmla="*/ 174 w 2639"/>
                                  <a:gd name="T103" fmla="*/ 561 h 1517"/>
                                  <a:gd name="T104" fmla="*/ 355 w 2639"/>
                                  <a:gd name="T105" fmla="*/ 621 h 1517"/>
                                  <a:gd name="T106" fmla="*/ 625 w 2639"/>
                                  <a:gd name="T107" fmla="*/ 535 h 1517"/>
                                  <a:gd name="T108" fmla="*/ 811 w 2639"/>
                                  <a:gd name="T109" fmla="*/ 368 h 1517"/>
                                  <a:gd name="T110" fmla="*/ 1069 w 2639"/>
                                  <a:gd name="T111" fmla="*/ 118 h 1517"/>
                                  <a:gd name="T112" fmla="*/ 1376 w 2639"/>
                                  <a:gd name="T113" fmla="*/ 0 h 1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639" h="1517">
                                    <a:moveTo>
                                      <a:pt x="1376" y="0"/>
                                    </a:moveTo>
                                    <a:lnTo>
                                      <a:pt x="1442" y="3"/>
                                    </a:lnTo>
                                    <a:lnTo>
                                      <a:pt x="1505" y="15"/>
                                    </a:lnTo>
                                    <a:lnTo>
                                      <a:pt x="1567" y="34"/>
                                    </a:lnTo>
                                    <a:lnTo>
                                      <a:pt x="1626" y="60"/>
                                    </a:lnTo>
                                    <a:lnTo>
                                      <a:pt x="1683" y="91"/>
                                    </a:lnTo>
                                    <a:lnTo>
                                      <a:pt x="1738" y="125"/>
                                    </a:lnTo>
                                    <a:lnTo>
                                      <a:pt x="1793" y="165"/>
                                    </a:lnTo>
                                    <a:lnTo>
                                      <a:pt x="1848" y="204"/>
                                    </a:lnTo>
                                    <a:lnTo>
                                      <a:pt x="1903" y="247"/>
                                    </a:lnTo>
                                    <a:lnTo>
                                      <a:pt x="1955" y="287"/>
                                    </a:lnTo>
                                    <a:lnTo>
                                      <a:pt x="2003" y="320"/>
                                    </a:lnTo>
                                    <a:lnTo>
                                      <a:pt x="2048" y="346"/>
                                    </a:lnTo>
                                    <a:lnTo>
                                      <a:pt x="2088" y="366"/>
                                    </a:lnTo>
                                    <a:lnTo>
                                      <a:pt x="2122" y="378"/>
                                    </a:lnTo>
                                    <a:lnTo>
                                      <a:pt x="2151" y="383"/>
                                    </a:lnTo>
                                    <a:lnTo>
                                      <a:pt x="2179" y="382"/>
                                    </a:lnTo>
                                    <a:lnTo>
                                      <a:pt x="2203" y="375"/>
                                    </a:lnTo>
                                    <a:lnTo>
                                      <a:pt x="2222" y="364"/>
                                    </a:lnTo>
                                    <a:lnTo>
                                      <a:pt x="2236" y="352"/>
                                    </a:lnTo>
                                    <a:lnTo>
                                      <a:pt x="2248" y="337"/>
                                    </a:lnTo>
                                    <a:lnTo>
                                      <a:pt x="2255" y="325"/>
                                    </a:lnTo>
                                    <a:lnTo>
                                      <a:pt x="2260" y="313"/>
                                    </a:lnTo>
                                    <a:lnTo>
                                      <a:pt x="2263" y="306"/>
                                    </a:lnTo>
                                    <a:lnTo>
                                      <a:pt x="2263" y="303"/>
                                    </a:lnTo>
                                    <a:lnTo>
                                      <a:pt x="2256" y="285"/>
                                    </a:lnTo>
                                    <a:lnTo>
                                      <a:pt x="2253" y="280"/>
                                    </a:lnTo>
                                    <a:lnTo>
                                      <a:pt x="2250" y="275"/>
                                    </a:lnTo>
                                    <a:lnTo>
                                      <a:pt x="2246" y="268"/>
                                    </a:lnTo>
                                    <a:lnTo>
                                      <a:pt x="2246" y="268"/>
                                    </a:lnTo>
                                    <a:lnTo>
                                      <a:pt x="2238" y="251"/>
                                    </a:lnTo>
                                    <a:lnTo>
                                      <a:pt x="2231" y="235"/>
                                    </a:lnTo>
                                    <a:lnTo>
                                      <a:pt x="2227" y="222"/>
                                    </a:lnTo>
                                    <a:lnTo>
                                      <a:pt x="2229" y="198"/>
                                    </a:lnTo>
                                    <a:lnTo>
                                      <a:pt x="2236" y="175"/>
                                    </a:lnTo>
                                    <a:lnTo>
                                      <a:pt x="2248" y="155"/>
                                    </a:lnTo>
                                    <a:lnTo>
                                      <a:pt x="2260" y="139"/>
                                    </a:lnTo>
                                    <a:lnTo>
                                      <a:pt x="2267" y="134"/>
                                    </a:lnTo>
                                    <a:lnTo>
                                      <a:pt x="2272" y="129"/>
                                    </a:lnTo>
                                    <a:lnTo>
                                      <a:pt x="2275" y="127"/>
                                    </a:lnTo>
                                    <a:lnTo>
                                      <a:pt x="2281" y="125"/>
                                    </a:lnTo>
                                    <a:lnTo>
                                      <a:pt x="2281" y="125"/>
                                    </a:lnTo>
                                    <a:lnTo>
                                      <a:pt x="2286" y="129"/>
                                    </a:lnTo>
                                    <a:lnTo>
                                      <a:pt x="2291" y="139"/>
                                    </a:lnTo>
                                    <a:lnTo>
                                      <a:pt x="2294" y="156"/>
                                    </a:lnTo>
                                    <a:lnTo>
                                      <a:pt x="2298" y="186"/>
                                    </a:lnTo>
                                    <a:lnTo>
                                      <a:pt x="2300" y="208"/>
                                    </a:lnTo>
                                    <a:lnTo>
                                      <a:pt x="2303" y="232"/>
                                    </a:lnTo>
                                    <a:lnTo>
                                      <a:pt x="2306" y="251"/>
                                    </a:lnTo>
                                    <a:lnTo>
                                      <a:pt x="2313" y="273"/>
                                    </a:lnTo>
                                    <a:lnTo>
                                      <a:pt x="2336" y="277"/>
                                    </a:lnTo>
                                    <a:lnTo>
                                      <a:pt x="2353" y="278"/>
                                    </a:lnTo>
                                    <a:lnTo>
                                      <a:pt x="2374" y="282"/>
                                    </a:lnTo>
                                    <a:lnTo>
                                      <a:pt x="2405" y="285"/>
                                    </a:lnTo>
                                    <a:lnTo>
                                      <a:pt x="2427" y="289"/>
                                    </a:lnTo>
                                    <a:lnTo>
                                      <a:pt x="2443" y="292"/>
                                    </a:lnTo>
                                    <a:lnTo>
                                      <a:pt x="2455" y="299"/>
                                    </a:lnTo>
                                    <a:lnTo>
                                      <a:pt x="2472" y="309"/>
                                    </a:lnTo>
                                    <a:lnTo>
                                      <a:pt x="2492" y="325"/>
                                    </a:lnTo>
                                    <a:lnTo>
                                      <a:pt x="2517" y="344"/>
                                    </a:lnTo>
                                    <a:lnTo>
                                      <a:pt x="2542" y="364"/>
                                    </a:lnTo>
                                    <a:lnTo>
                                      <a:pt x="2568" y="385"/>
                                    </a:lnTo>
                                    <a:lnTo>
                                      <a:pt x="2591" y="406"/>
                                    </a:lnTo>
                                    <a:lnTo>
                                      <a:pt x="2613" y="426"/>
                                    </a:lnTo>
                                    <a:lnTo>
                                      <a:pt x="2630" y="445"/>
                                    </a:lnTo>
                                    <a:lnTo>
                                      <a:pt x="2637" y="457"/>
                                    </a:lnTo>
                                    <a:lnTo>
                                      <a:pt x="2639" y="471"/>
                                    </a:lnTo>
                                    <a:lnTo>
                                      <a:pt x="2634" y="487"/>
                                    </a:lnTo>
                                    <a:lnTo>
                                      <a:pt x="2623" y="504"/>
                                    </a:lnTo>
                                    <a:lnTo>
                                      <a:pt x="2608" y="516"/>
                                    </a:lnTo>
                                    <a:lnTo>
                                      <a:pt x="2589" y="524"/>
                                    </a:lnTo>
                                    <a:lnTo>
                                      <a:pt x="2570" y="524"/>
                                    </a:lnTo>
                                    <a:lnTo>
                                      <a:pt x="2539" y="518"/>
                                    </a:lnTo>
                                    <a:lnTo>
                                      <a:pt x="2510" y="511"/>
                                    </a:lnTo>
                                    <a:lnTo>
                                      <a:pt x="2508" y="511"/>
                                    </a:lnTo>
                                    <a:lnTo>
                                      <a:pt x="2474" y="502"/>
                                    </a:lnTo>
                                    <a:lnTo>
                                      <a:pt x="2443" y="495"/>
                                    </a:lnTo>
                                    <a:lnTo>
                                      <a:pt x="2413" y="493"/>
                                    </a:lnTo>
                                    <a:lnTo>
                                      <a:pt x="2389" y="495"/>
                                    </a:lnTo>
                                    <a:lnTo>
                                      <a:pt x="2367" y="502"/>
                                    </a:lnTo>
                                    <a:lnTo>
                                      <a:pt x="2344" y="512"/>
                                    </a:lnTo>
                                    <a:lnTo>
                                      <a:pt x="2329" y="524"/>
                                    </a:lnTo>
                                    <a:lnTo>
                                      <a:pt x="2310" y="540"/>
                                    </a:lnTo>
                                    <a:lnTo>
                                      <a:pt x="2289" y="557"/>
                                    </a:lnTo>
                                    <a:lnTo>
                                      <a:pt x="2256" y="588"/>
                                    </a:lnTo>
                                    <a:lnTo>
                                      <a:pt x="2219" y="617"/>
                                    </a:lnTo>
                                    <a:lnTo>
                                      <a:pt x="2175" y="647"/>
                                    </a:lnTo>
                                    <a:lnTo>
                                      <a:pt x="2138" y="664"/>
                                    </a:lnTo>
                                    <a:lnTo>
                                      <a:pt x="2101" y="678"/>
                                    </a:lnTo>
                                    <a:lnTo>
                                      <a:pt x="2069" y="686"/>
                                    </a:lnTo>
                                    <a:lnTo>
                                      <a:pt x="2039" y="690"/>
                                    </a:lnTo>
                                    <a:lnTo>
                                      <a:pt x="2017" y="693"/>
                                    </a:lnTo>
                                    <a:lnTo>
                                      <a:pt x="2003" y="693"/>
                                    </a:lnTo>
                                    <a:lnTo>
                                      <a:pt x="1998" y="693"/>
                                    </a:lnTo>
                                    <a:lnTo>
                                      <a:pt x="1988" y="712"/>
                                    </a:lnTo>
                                    <a:lnTo>
                                      <a:pt x="1979" y="726"/>
                                    </a:lnTo>
                                    <a:lnTo>
                                      <a:pt x="1972" y="739"/>
                                    </a:lnTo>
                                    <a:lnTo>
                                      <a:pt x="1965" y="753"/>
                                    </a:lnTo>
                                    <a:lnTo>
                                      <a:pt x="1957" y="772"/>
                                    </a:lnTo>
                                    <a:lnTo>
                                      <a:pt x="1946" y="798"/>
                                    </a:lnTo>
                                    <a:lnTo>
                                      <a:pt x="1933" y="834"/>
                                    </a:lnTo>
                                    <a:lnTo>
                                      <a:pt x="1919" y="867"/>
                                    </a:lnTo>
                                    <a:lnTo>
                                      <a:pt x="1907" y="896"/>
                                    </a:lnTo>
                                    <a:lnTo>
                                      <a:pt x="1895" y="917"/>
                                    </a:lnTo>
                                    <a:lnTo>
                                      <a:pt x="1877" y="939"/>
                                    </a:lnTo>
                                    <a:lnTo>
                                      <a:pt x="1855" y="954"/>
                                    </a:lnTo>
                                    <a:lnTo>
                                      <a:pt x="1833" y="963"/>
                                    </a:lnTo>
                                    <a:lnTo>
                                      <a:pt x="1812" y="968"/>
                                    </a:lnTo>
                                    <a:lnTo>
                                      <a:pt x="1793" y="970"/>
                                    </a:lnTo>
                                    <a:lnTo>
                                      <a:pt x="1778" y="968"/>
                                    </a:lnTo>
                                    <a:lnTo>
                                      <a:pt x="1767" y="965"/>
                                    </a:lnTo>
                                    <a:lnTo>
                                      <a:pt x="1760" y="958"/>
                                    </a:lnTo>
                                    <a:lnTo>
                                      <a:pt x="1759" y="951"/>
                                    </a:lnTo>
                                    <a:lnTo>
                                      <a:pt x="1759" y="942"/>
                                    </a:lnTo>
                                    <a:lnTo>
                                      <a:pt x="1760" y="934"/>
                                    </a:lnTo>
                                    <a:lnTo>
                                      <a:pt x="1769" y="925"/>
                                    </a:lnTo>
                                    <a:lnTo>
                                      <a:pt x="1783" y="917"/>
                                    </a:lnTo>
                                    <a:lnTo>
                                      <a:pt x="1805" y="906"/>
                                    </a:lnTo>
                                    <a:lnTo>
                                      <a:pt x="1810" y="905"/>
                                    </a:lnTo>
                                    <a:lnTo>
                                      <a:pt x="1814" y="903"/>
                                    </a:lnTo>
                                    <a:lnTo>
                                      <a:pt x="1817" y="903"/>
                                    </a:lnTo>
                                    <a:lnTo>
                                      <a:pt x="1824" y="899"/>
                                    </a:lnTo>
                                    <a:lnTo>
                                      <a:pt x="1829" y="894"/>
                                    </a:lnTo>
                                    <a:lnTo>
                                      <a:pt x="1843" y="877"/>
                                    </a:lnTo>
                                    <a:lnTo>
                                      <a:pt x="1853" y="853"/>
                                    </a:lnTo>
                                    <a:lnTo>
                                      <a:pt x="1860" y="825"/>
                                    </a:lnTo>
                                    <a:lnTo>
                                      <a:pt x="1865" y="794"/>
                                    </a:lnTo>
                                    <a:lnTo>
                                      <a:pt x="1867" y="764"/>
                                    </a:lnTo>
                                    <a:lnTo>
                                      <a:pt x="1867" y="734"/>
                                    </a:lnTo>
                                    <a:lnTo>
                                      <a:pt x="1864" y="707"/>
                                    </a:lnTo>
                                    <a:lnTo>
                                      <a:pt x="1857" y="686"/>
                                    </a:lnTo>
                                    <a:lnTo>
                                      <a:pt x="1852" y="686"/>
                                    </a:lnTo>
                                    <a:lnTo>
                                      <a:pt x="1838" y="684"/>
                                    </a:lnTo>
                                    <a:lnTo>
                                      <a:pt x="1815" y="681"/>
                                    </a:lnTo>
                                    <a:lnTo>
                                      <a:pt x="1788" y="676"/>
                                    </a:lnTo>
                                    <a:lnTo>
                                      <a:pt x="1757" y="671"/>
                                    </a:lnTo>
                                    <a:lnTo>
                                      <a:pt x="1722" y="662"/>
                                    </a:lnTo>
                                    <a:lnTo>
                                      <a:pt x="1688" y="652"/>
                                    </a:lnTo>
                                    <a:lnTo>
                                      <a:pt x="1688" y="684"/>
                                    </a:lnTo>
                                    <a:lnTo>
                                      <a:pt x="1681" y="719"/>
                                    </a:lnTo>
                                    <a:lnTo>
                                      <a:pt x="1669" y="757"/>
                                    </a:lnTo>
                                    <a:lnTo>
                                      <a:pt x="1652" y="796"/>
                                    </a:lnTo>
                                    <a:lnTo>
                                      <a:pt x="1628" y="838"/>
                                    </a:lnTo>
                                    <a:lnTo>
                                      <a:pt x="1605" y="877"/>
                                    </a:lnTo>
                                    <a:lnTo>
                                      <a:pt x="1586" y="910"/>
                                    </a:lnTo>
                                    <a:lnTo>
                                      <a:pt x="1573" y="941"/>
                                    </a:lnTo>
                                    <a:lnTo>
                                      <a:pt x="1562" y="968"/>
                                    </a:lnTo>
                                    <a:lnTo>
                                      <a:pt x="1555" y="992"/>
                                    </a:lnTo>
                                    <a:lnTo>
                                      <a:pt x="1550" y="1016"/>
                                    </a:lnTo>
                                    <a:lnTo>
                                      <a:pt x="1547" y="1039"/>
                                    </a:lnTo>
                                    <a:lnTo>
                                      <a:pt x="1543" y="1061"/>
                                    </a:lnTo>
                                    <a:lnTo>
                                      <a:pt x="1542" y="1096"/>
                                    </a:lnTo>
                                    <a:lnTo>
                                      <a:pt x="1543" y="1127"/>
                                    </a:lnTo>
                                    <a:lnTo>
                                      <a:pt x="1547" y="1151"/>
                                    </a:lnTo>
                                    <a:lnTo>
                                      <a:pt x="1554" y="1171"/>
                                    </a:lnTo>
                                    <a:lnTo>
                                      <a:pt x="1562" y="1188"/>
                                    </a:lnTo>
                                    <a:lnTo>
                                      <a:pt x="1571" y="1202"/>
                                    </a:lnTo>
                                    <a:lnTo>
                                      <a:pt x="1579" y="1214"/>
                                    </a:lnTo>
                                    <a:lnTo>
                                      <a:pt x="1595" y="1226"/>
                                    </a:lnTo>
                                    <a:lnTo>
                                      <a:pt x="1621" y="1240"/>
                                    </a:lnTo>
                                    <a:lnTo>
                                      <a:pt x="1652" y="1254"/>
                                    </a:lnTo>
                                    <a:lnTo>
                                      <a:pt x="1688" y="1268"/>
                                    </a:lnTo>
                                    <a:lnTo>
                                      <a:pt x="1726" y="1281"/>
                                    </a:lnTo>
                                    <a:lnTo>
                                      <a:pt x="1764" y="1293"/>
                                    </a:lnTo>
                                    <a:lnTo>
                                      <a:pt x="1798" y="1304"/>
                                    </a:lnTo>
                                    <a:lnTo>
                                      <a:pt x="1869" y="1326"/>
                                    </a:lnTo>
                                    <a:lnTo>
                                      <a:pt x="1943" y="1350"/>
                                    </a:lnTo>
                                    <a:lnTo>
                                      <a:pt x="2020" y="1378"/>
                                    </a:lnTo>
                                    <a:lnTo>
                                      <a:pt x="2096" y="1409"/>
                                    </a:lnTo>
                                    <a:lnTo>
                                      <a:pt x="2113" y="1419"/>
                                    </a:lnTo>
                                    <a:lnTo>
                                      <a:pt x="2132" y="1431"/>
                                    </a:lnTo>
                                    <a:lnTo>
                                      <a:pt x="2155" y="1448"/>
                                    </a:lnTo>
                                    <a:lnTo>
                                      <a:pt x="2174" y="1465"/>
                                    </a:lnTo>
                                    <a:lnTo>
                                      <a:pt x="2189" y="1483"/>
                                    </a:lnTo>
                                    <a:lnTo>
                                      <a:pt x="2198" y="1498"/>
                                    </a:lnTo>
                                    <a:lnTo>
                                      <a:pt x="2198" y="1502"/>
                                    </a:lnTo>
                                    <a:lnTo>
                                      <a:pt x="2200" y="1507"/>
                                    </a:lnTo>
                                    <a:lnTo>
                                      <a:pt x="2198" y="1512"/>
                                    </a:lnTo>
                                    <a:lnTo>
                                      <a:pt x="2194" y="1515"/>
                                    </a:lnTo>
                                    <a:lnTo>
                                      <a:pt x="2191" y="1517"/>
                                    </a:lnTo>
                                    <a:lnTo>
                                      <a:pt x="2186" y="1517"/>
                                    </a:lnTo>
                                    <a:lnTo>
                                      <a:pt x="2170" y="1514"/>
                                    </a:lnTo>
                                    <a:lnTo>
                                      <a:pt x="2150" y="1508"/>
                                    </a:lnTo>
                                    <a:lnTo>
                                      <a:pt x="2120" y="1498"/>
                                    </a:lnTo>
                                    <a:lnTo>
                                      <a:pt x="2088" y="1486"/>
                                    </a:lnTo>
                                    <a:lnTo>
                                      <a:pt x="2048" y="1472"/>
                                    </a:lnTo>
                                    <a:lnTo>
                                      <a:pt x="2000" y="1455"/>
                                    </a:lnTo>
                                    <a:lnTo>
                                      <a:pt x="1945" y="1436"/>
                                    </a:lnTo>
                                    <a:lnTo>
                                      <a:pt x="1884" y="1414"/>
                                    </a:lnTo>
                                    <a:lnTo>
                                      <a:pt x="1819" y="1393"/>
                                    </a:lnTo>
                                    <a:lnTo>
                                      <a:pt x="1753" y="1371"/>
                                    </a:lnTo>
                                    <a:lnTo>
                                      <a:pt x="1685" y="1350"/>
                                    </a:lnTo>
                                    <a:lnTo>
                                      <a:pt x="1619" y="1331"/>
                                    </a:lnTo>
                                    <a:lnTo>
                                      <a:pt x="1555" y="1316"/>
                                    </a:lnTo>
                                    <a:lnTo>
                                      <a:pt x="1497" y="1305"/>
                                    </a:lnTo>
                                    <a:lnTo>
                                      <a:pt x="1492" y="1302"/>
                                    </a:lnTo>
                                    <a:lnTo>
                                      <a:pt x="1485" y="1295"/>
                                    </a:lnTo>
                                    <a:lnTo>
                                      <a:pt x="1478" y="1283"/>
                                    </a:lnTo>
                                    <a:lnTo>
                                      <a:pt x="1469" y="1266"/>
                                    </a:lnTo>
                                    <a:lnTo>
                                      <a:pt x="1459" y="1240"/>
                                    </a:lnTo>
                                    <a:lnTo>
                                      <a:pt x="1442" y="1194"/>
                                    </a:lnTo>
                                    <a:lnTo>
                                      <a:pt x="1426" y="1140"/>
                                    </a:lnTo>
                                    <a:lnTo>
                                      <a:pt x="1416" y="1085"/>
                                    </a:lnTo>
                                    <a:lnTo>
                                      <a:pt x="1409" y="1025"/>
                                    </a:lnTo>
                                    <a:lnTo>
                                      <a:pt x="1404" y="972"/>
                                    </a:lnTo>
                                    <a:lnTo>
                                      <a:pt x="1397" y="924"/>
                                    </a:lnTo>
                                    <a:lnTo>
                                      <a:pt x="1388" y="877"/>
                                    </a:lnTo>
                                    <a:lnTo>
                                      <a:pt x="1374" y="834"/>
                                    </a:lnTo>
                                    <a:lnTo>
                                      <a:pt x="1355" y="791"/>
                                    </a:lnTo>
                                    <a:lnTo>
                                      <a:pt x="1340" y="774"/>
                                    </a:lnTo>
                                    <a:lnTo>
                                      <a:pt x="1318" y="758"/>
                                    </a:lnTo>
                                    <a:lnTo>
                                      <a:pt x="1287" y="743"/>
                                    </a:lnTo>
                                    <a:lnTo>
                                      <a:pt x="1252" y="727"/>
                                    </a:lnTo>
                                    <a:lnTo>
                                      <a:pt x="1216" y="712"/>
                                    </a:lnTo>
                                    <a:lnTo>
                                      <a:pt x="1178" y="698"/>
                                    </a:lnTo>
                                    <a:lnTo>
                                      <a:pt x="1145" y="683"/>
                                    </a:lnTo>
                                    <a:lnTo>
                                      <a:pt x="1118" y="669"/>
                                    </a:lnTo>
                                    <a:lnTo>
                                      <a:pt x="1095" y="657"/>
                                    </a:lnTo>
                                    <a:lnTo>
                                      <a:pt x="1066" y="628"/>
                                    </a:lnTo>
                                    <a:lnTo>
                                      <a:pt x="1044" y="598"/>
                                    </a:lnTo>
                                    <a:lnTo>
                                      <a:pt x="1028" y="567"/>
                                    </a:lnTo>
                                    <a:lnTo>
                                      <a:pt x="1013" y="538"/>
                                    </a:lnTo>
                                    <a:lnTo>
                                      <a:pt x="1007" y="538"/>
                                    </a:lnTo>
                                    <a:lnTo>
                                      <a:pt x="997" y="543"/>
                                    </a:lnTo>
                                    <a:lnTo>
                                      <a:pt x="982" y="554"/>
                                    </a:lnTo>
                                    <a:lnTo>
                                      <a:pt x="961" y="567"/>
                                    </a:lnTo>
                                    <a:lnTo>
                                      <a:pt x="935" y="585"/>
                                    </a:lnTo>
                                    <a:lnTo>
                                      <a:pt x="904" y="604"/>
                                    </a:lnTo>
                                    <a:lnTo>
                                      <a:pt x="870" y="624"/>
                                    </a:lnTo>
                                    <a:lnTo>
                                      <a:pt x="832" y="647"/>
                                    </a:lnTo>
                                    <a:lnTo>
                                      <a:pt x="790" y="669"/>
                                    </a:lnTo>
                                    <a:lnTo>
                                      <a:pt x="746" y="690"/>
                                    </a:lnTo>
                                    <a:lnTo>
                                      <a:pt x="699" y="710"/>
                                    </a:lnTo>
                                    <a:lnTo>
                                      <a:pt x="649" y="727"/>
                                    </a:lnTo>
                                    <a:lnTo>
                                      <a:pt x="597" y="741"/>
                                    </a:lnTo>
                                    <a:lnTo>
                                      <a:pt x="542" y="753"/>
                                    </a:lnTo>
                                    <a:lnTo>
                                      <a:pt x="489" y="758"/>
                                    </a:lnTo>
                                    <a:lnTo>
                                      <a:pt x="432" y="760"/>
                                    </a:lnTo>
                                    <a:lnTo>
                                      <a:pt x="368" y="753"/>
                                    </a:lnTo>
                                    <a:lnTo>
                                      <a:pt x="308" y="736"/>
                                    </a:lnTo>
                                    <a:lnTo>
                                      <a:pt x="251" y="714"/>
                                    </a:lnTo>
                                    <a:lnTo>
                                      <a:pt x="200" y="683"/>
                                    </a:lnTo>
                                    <a:lnTo>
                                      <a:pt x="155" y="650"/>
                                    </a:lnTo>
                                    <a:lnTo>
                                      <a:pt x="119" y="614"/>
                                    </a:lnTo>
                                    <a:lnTo>
                                      <a:pt x="98" y="588"/>
                                    </a:lnTo>
                                    <a:lnTo>
                                      <a:pt x="74" y="555"/>
                                    </a:lnTo>
                                    <a:lnTo>
                                      <a:pt x="48" y="519"/>
                                    </a:lnTo>
                                    <a:lnTo>
                                      <a:pt x="24" y="481"/>
                                    </a:lnTo>
                                    <a:lnTo>
                                      <a:pt x="3" y="445"/>
                                    </a:lnTo>
                                    <a:lnTo>
                                      <a:pt x="0" y="435"/>
                                    </a:lnTo>
                                    <a:lnTo>
                                      <a:pt x="1" y="430"/>
                                    </a:lnTo>
                                    <a:lnTo>
                                      <a:pt x="8" y="428"/>
                                    </a:lnTo>
                                    <a:lnTo>
                                      <a:pt x="19" y="430"/>
                                    </a:lnTo>
                                    <a:lnTo>
                                      <a:pt x="32" y="437"/>
                                    </a:lnTo>
                                    <a:lnTo>
                                      <a:pt x="46" y="447"/>
                                    </a:lnTo>
                                    <a:lnTo>
                                      <a:pt x="74" y="469"/>
                                    </a:lnTo>
                                    <a:lnTo>
                                      <a:pt x="98" y="493"/>
                                    </a:lnTo>
                                    <a:lnTo>
                                      <a:pt x="122" y="516"/>
                                    </a:lnTo>
                                    <a:lnTo>
                                      <a:pt x="148" y="538"/>
                                    </a:lnTo>
                                    <a:lnTo>
                                      <a:pt x="174" y="561"/>
                                    </a:lnTo>
                                    <a:lnTo>
                                      <a:pt x="203" y="579"/>
                                    </a:lnTo>
                                    <a:lnTo>
                                      <a:pt x="234" y="595"/>
                                    </a:lnTo>
                                    <a:lnTo>
                                      <a:pt x="270" y="609"/>
                                    </a:lnTo>
                                    <a:lnTo>
                                      <a:pt x="310" y="617"/>
                                    </a:lnTo>
                                    <a:lnTo>
                                      <a:pt x="355" y="621"/>
                                    </a:lnTo>
                                    <a:lnTo>
                                      <a:pt x="406" y="619"/>
                                    </a:lnTo>
                                    <a:lnTo>
                                      <a:pt x="465" y="609"/>
                                    </a:lnTo>
                                    <a:lnTo>
                                      <a:pt x="522" y="590"/>
                                    </a:lnTo>
                                    <a:lnTo>
                                      <a:pt x="575" y="566"/>
                                    </a:lnTo>
                                    <a:lnTo>
                                      <a:pt x="625" y="535"/>
                                    </a:lnTo>
                                    <a:lnTo>
                                      <a:pt x="670" y="502"/>
                                    </a:lnTo>
                                    <a:lnTo>
                                      <a:pt x="713" y="466"/>
                                    </a:lnTo>
                                    <a:lnTo>
                                      <a:pt x="751" y="432"/>
                                    </a:lnTo>
                                    <a:lnTo>
                                      <a:pt x="784" y="397"/>
                                    </a:lnTo>
                                    <a:lnTo>
                                      <a:pt x="811" y="368"/>
                                    </a:lnTo>
                                    <a:lnTo>
                                      <a:pt x="833" y="342"/>
                                    </a:lnTo>
                                    <a:lnTo>
                                      <a:pt x="892" y="278"/>
                                    </a:lnTo>
                                    <a:lnTo>
                                      <a:pt x="951" y="220"/>
                                    </a:lnTo>
                                    <a:lnTo>
                                      <a:pt x="1011" y="167"/>
                                    </a:lnTo>
                                    <a:lnTo>
                                      <a:pt x="1069" y="118"/>
                                    </a:lnTo>
                                    <a:lnTo>
                                      <a:pt x="1130" y="79"/>
                                    </a:lnTo>
                                    <a:lnTo>
                                      <a:pt x="1190" y="44"/>
                                    </a:lnTo>
                                    <a:lnTo>
                                      <a:pt x="1250" y="20"/>
                                    </a:lnTo>
                                    <a:lnTo>
                                      <a:pt x="1312" y="5"/>
                                    </a:lnTo>
                                    <a:lnTo>
                                      <a:pt x="1376" y="0"/>
                                    </a:lnTo>
                                    <a:close/>
                                  </a:path>
                                </a:pathLst>
                              </a:custGeom>
                              <a:solidFill>
                                <a:srgbClr val="FF0031"/>
                              </a:solidFill>
                              <a:ln w="0">
                                <a:solidFill>
                                  <a:srgbClr val="FF0031"/>
                                </a:solidFill>
                                <a:prstDash val="solid"/>
                                <a:round/>
                                <a:headEnd/>
                                <a:tailEnd/>
                              </a:ln>
                            </wps:spPr>
                            <wps:bodyPr rot="0" vert="horz" wrap="square" lIns="91440" tIns="45720" rIns="91440" bIns="45720" anchor="t" anchorCtr="0" upright="1">
                              <a:noAutofit/>
                            </wps:bodyPr>
                          </wps:wsp>
                          <wps:wsp>
                            <wps:cNvPr id="43" name="Freeform 12"/>
                            <wps:cNvSpPr>
                              <a:spLocks noEditPoints="1"/>
                            </wps:cNvSpPr>
                            <wps:spPr bwMode="auto">
                              <a:xfrm>
                                <a:off x="0" y="0"/>
                                <a:ext cx="203208" cy="196633"/>
                              </a:xfrm>
                              <a:custGeom>
                                <a:avLst/>
                                <a:gdLst>
                                  <a:gd name="T0" fmla="*/ 429 w 856"/>
                                  <a:gd name="T1" fmla="*/ 279 h 829"/>
                                  <a:gd name="T2" fmla="*/ 350 w 856"/>
                                  <a:gd name="T3" fmla="*/ 533 h 829"/>
                                  <a:gd name="T4" fmla="*/ 506 w 856"/>
                                  <a:gd name="T5" fmla="*/ 533 h 829"/>
                                  <a:gd name="T6" fmla="*/ 432 w 856"/>
                                  <a:gd name="T7" fmla="*/ 279 h 829"/>
                                  <a:gd name="T8" fmla="*/ 429 w 856"/>
                                  <a:gd name="T9" fmla="*/ 279 h 829"/>
                                  <a:gd name="T10" fmla="*/ 305 w 856"/>
                                  <a:gd name="T11" fmla="*/ 0 h 829"/>
                                  <a:gd name="T12" fmla="*/ 555 w 856"/>
                                  <a:gd name="T13" fmla="*/ 0 h 829"/>
                                  <a:gd name="T14" fmla="*/ 856 w 856"/>
                                  <a:gd name="T15" fmla="*/ 829 h 829"/>
                                  <a:gd name="T16" fmla="*/ 593 w 856"/>
                                  <a:gd name="T17" fmla="*/ 829 h 829"/>
                                  <a:gd name="T18" fmla="*/ 556 w 856"/>
                                  <a:gd name="T19" fmla="*/ 710 h 829"/>
                                  <a:gd name="T20" fmla="*/ 293 w 856"/>
                                  <a:gd name="T21" fmla="*/ 710 h 829"/>
                                  <a:gd name="T22" fmla="*/ 257 w 856"/>
                                  <a:gd name="T23" fmla="*/ 829 h 829"/>
                                  <a:gd name="T24" fmla="*/ 0 w 856"/>
                                  <a:gd name="T25" fmla="*/ 829 h 829"/>
                                  <a:gd name="T26" fmla="*/ 305 w 856"/>
                                  <a:gd name="T27" fmla="*/ 0 h 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6" h="829">
                                    <a:moveTo>
                                      <a:pt x="429" y="279"/>
                                    </a:moveTo>
                                    <a:lnTo>
                                      <a:pt x="350" y="533"/>
                                    </a:lnTo>
                                    <a:lnTo>
                                      <a:pt x="506" y="533"/>
                                    </a:lnTo>
                                    <a:lnTo>
                                      <a:pt x="432" y="279"/>
                                    </a:lnTo>
                                    <a:lnTo>
                                      <a:pt x="429" y="279"/>
                                    </a:lnTo>
                                    <a:close/>
                                    <a:moveTo>
                                      <a:pt x="305" y="0"/>
                                    </a:moveTo>
                                    <a:lnTo>
                                      <a:pt x="555" y="0"/>
                                    </a:lnTo>
                                    <a:lnTo>
                                      <a:pt x="856" y="829"/>
                                    </a:lnTo>
                                    <a:lnTo>
                                      <a:pt x="593" y="829"/>
                                    </a:lnTo>
                                    <a:lnTo>
                                      <a:pt x="556" y="710"/>
                                    </a:lnTo>
                                    <a:lnTo>
                                      <a:pt x="293" y="710"/>
                                    </a:lnTo>
                                    <a:lnTo>
                                      <a:pt x="257" y="829"/>
                                    </a:lnTo>
                                    <a:lnTo>
                                      <a:pt x="0" y="829"/>
                                    </a:lnTo>
                                    <a:lnTo>
                                      <a:pt x="305"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s:wsp>
                            <wps:cNvPr id="44" name="Freeform 13"/>
                            <wps:cNvSpPr>
                              <a:spLocks/>
                            </wps:cNvSpPr>
                            <wps:spPr bwMode="auto">
                              <a:xfrm>
                                <a:off x="207818" y="53439"/>
                                <a:ext cx="148845" cy="146111"/>
                              </a:xfrm>
                              <a:custGeom>
                                <a:avLst/>
                                <a:gdLst>
                                  <a:gd name="T0" fmla="*/ 0 w 627"/>
                                  <a:gd name="T1" fmla="*/ 0 h 616"/>
                                  <a:gd name="T2" fmla="*/ 229 w 627"/>
                                  <a:gd name="T3" fmla="*/ 0 h 616"/>
                                  <a:gd name="T4" fmla="*/ 229 w 627"/>
                                  <a:gd name="T5" fmla="*/ 315 h 616"/>
                                  <a:gd name="T6" fmla="*/ 230 w 627"/>
                                  <a:gd name="T7" fmla="*/ 344 h 616"/>
                                  <a:gd name="T8" fmla="*/ 232 w 627"/>
                                  <a:gd name="T9" fmla="*/ 368 h 616"/>
                                  <a:gd name="T10" fmla="*/ 237 w 627"/>
                                  <a:gd name="T11" fmla="*/ 390 h 616"/>
                                  <a:gd name="T12" fmla="*/ 246 w 627"/>
                                  <a:gd name="T13" fmla="*/ 409 h 616"/>
                                  <a:gd name="T14" fmla="*/ 260 w 627"/>
                                  <a:gd name="T15" fmla="*/ 421 h 616"/>
                                  <a:gd name="T16" fmla="*/ 279 w 627"/>
                                  <a:gd name="T17" fmla="*/ 430 h 616"/>
                                  <a:gd name="T18" fmla="*/ 305 w 627"/>
                                  <a:gd name="T19" fmla="*/ 433 h 616"/>
                                  <a:gd name="T20" fmla="*/ 320 w 627"/>
                                  <a:gd name="T21" fmla="*/ 432 h 616"/>
                                  <a:gd name="T22" fmla="*/ 336 w 627"/>
                                  <a:gd name="T23" fmla="*/ 428 h 616"/>
                                  <a:gd name="T24" fmla="*/ 351 w 627"/>
                                  <a:gd name="T25" fmla="*/ 421 h 616"/>
                                  <a:gd name="T26" fmla="*/ 365 w 627"/>
                                  <a:gd name="T27" fmla="*/ 411 h 616"/>
                                  <a:gd name="T28" fmla="*/ 377 w 627"/>
                                  <a:gd name="T29" fmla="*/ 396 h 616"/>
                                  <a:gd name="T30" fmla="*/ 387 w 627"/>
                                  <a:gd name="T31" fmla="*/ 377 h 616"/>
                                  <a:gd name="T32" fmla="*/ 394 w 627"/>
                                  <a:gd name="T33" fmla="*/ 349 h 616"/>
                                  <a:gd name="T34" fmla="*/ 396 w 627"/>
                                  <a:gd name="T35" fmla="*/ 318 h 616"/>
                                  <a:gd name="T36" fmla="*/ 396 w 627"/>
                                  <a:gd name="T37" fmla="*/ 0 h 616"/>
                                  <a:gd name="T38" fmla="*/ 627 w 627"/>
                                  <a:gd name="T39" fmla="*/ 0 h 616"/>
                                  <a:gd name="T40" fmla="*/ 627 w 627"/>
                                  <a:gd name="T41" fmla="*/ 602 h 616"/>
                                  <a:gd name="T42" fmla="*/ 404 w 627"/>
                                  <a:gd name="T43" fmla="*/ 602 h 616"/>
                                  <a:gd name="T44" fmla="*/ 404 w 627"/>
                                  <a:gd name="T45" fmla="*/ 525 h 616"/>
                                  <a:gd name="T46" fmla="*/ 403 w 627"/>
                                  <a:gd name="T47" fmla="*/ 525 h 616"/>
                                  <a:gd name="T48" fmla="*/ 379 w 627"/>
                                  <a:gd name="T49" fmla="*/ 552 h 616"/>
                                  <a:gd name="T50" fmla="*/ 353 w 627"/>
                                  <a:gd name="T51" fmla="*/ 576 h 616"/>
                                  <a:gd name="T52" fmla="*/ 322 w 627"/>
                                  <a:gd name="T53" fmla="*/ 593 h 616"/>
                                  <a:gd name="T54" fmla="*/ 287 w 627"/>
                                  <a:gd name="T55" fmla="*/ 605 h 616"/>
                                  <a:gd name="T56" fmla="*/ 249 w 627"/>
                                  <a:gd name="T57" fmla="*/ 614 h 616"/>
                                  <a:gd name="T58" fmla="*/ 206 w 627"/>
                                  <a:gd name="T59" fmla="*/ 616 h 616"/>
                                  <a:gd name="T60" fmla="*/ 170 w 627"/>
                                  <a:gd name="T61" fmla="*/ 614 h 616"/>
                                  <a:gd name="T62" fmla="*/ 136 w 627"/>
                                  <a:gd name="T63" fmla="*/ 607 h 616"/>
                                  <a:gd name="T64" fmla="*/ 105 w 627"/>
                                  <a:gd name="T65" fmla="*/ 593 h 616"/>
                                  <a:gd name="T66" fmla="*/ 75 w 627"/>
                                  <a:gd name="T67" fmla="*/ 576 h 616"/>
                                  <a:gd name="T68" fmla="*/ 50 w 627"/>
                                  <a:gd name="T69" fmla="*/ 554 h 616"/>
                                  <a:gd name="T70" fmla="*/ 29 w 627"/>
                                  <a:gd name="T71" fmla="*/ 526 h 616"/>
                                  <a:gd name="T72" fmla="*/ 13 w 627"/>
                                  <a:gd name="T73" fmla="*/ 494 h 616"/>
                                  <a:gd name="T74" fmla="*/ 3 w 627"/>
                                  <a:gd name="T75" fmla="*/ 456 h 616"/>
                                  <a:gd name="T76" fmla="*/ 0 w 627"/>
                                  <a:gd name="T77" fmla="*/ 413 h 616"/>
                                  <a:gd name="T78" fmla="*/ 0 w 627"/>
                                  <a:gd name="T79" fmla="*/ 0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27" h="616">
                                    <a:moveTo>
                                      <a:pt x="0" y="0"/>
                                    </a:moveTo>
                                    <a:lnTo>
                                      <a:pt x="229" y="0"/>
                                    </a:lnTo>
                                    <a:lnTo>
                                      <a:pt x="229" y="315"/>
                                    </a:lnTo>
                                    <a:lnTo>
                                      <a:pt x="230" y="344"/>
                                    </a:lnTo>
                                    <a:lnTo>
                                      <a:pt x="232" y="368"/>
                                    </a:lnTo>
                                    <a:lnTo>
                                      <a:pt x="237" y="390"/>
                                    </a:lnTo>
                                    <a:lnTo>
                                      <a:pt x="246" y="409"/>
                                    </a:lnTo>
                                    <a:lnTo>
                                      <a:pt x="260" y="421"/>
                                    </a:lnTo>
                                    <a:lnTo>
                                      <a:pt x="279" y="430"/>
                                    </a:lnTo>
                                    <a:lnTo>
                                      <a:pt x="305" y="433"/>
                                    </a:lnTo>
                                    <a:lnTo>
                                      <a:pt x="320" y="432"/>
                                    </a:lnTo>
                                    <a:lnTo>
                                      <a:pt x="336" y="428"/>
                                    </a:lnTo>
                                    <a:lnTo>
                                      <a:pt x="351" y="421"/>
                                    </a:lnTo>
                                    <a:lnTo>
                                      <a:pt x="365" y="411"/>
                                    </a:lnTo>
                                    <a:lnTo>
                                      <a:pt x="377" y="396"/>
                                    </a:lnTo>
                                    <a:lnTo>
                                      <a:pt x="387" y="377"/>
                                    </a:lnTo>
                                    <a:lnTo>
                                      <a:pt x="394" y="349"/>
                                    </a:lnTo>
                                    <a:lnTo>
                                      <a:pt x="396" y="318"/>
                                    </a:lnTo>
                                    <a:lnTo>
                                      <a:pt x="396" y="0"/>
                                    </a:lnTo>
                                    <a:lnTo>
                                      <a:pt x="627" y="0"/>
                                    </a:lnTo>
                                    <a:lnTo>
                                      <a:pt x="627" y="602"/>
                                    </a:lnTo>
                                    <a:lnTo>
                                      <a:pt x="404" y="602"/>
                                    </a:lnTo>
                                    <a:lnTo>
                                      <a:pt x="404" y="525"/>
                                    </a:lnTo>
                                    <a:lnTo>
                                      <a:pt x="403" y="525"/>
                                    </a:lnTo>
                                    <a:lnTo>
                                      <a:pt x="379" y="552"/>
                                    </a:lnTo>
                                    <a:lnTo>
                                      <a:pt x="353" y="576"/>
                                    </a:lnTo>
                                    <a:lnTo>
                                      <a:pt x="322" y="593"/>
                                    </a:lnTo>
                                    <a:lnTo>
                                      <a:pt x="287" y="605"/>
                                    </a:lnTo>
                                    <a:lnTo>
                                      <a:pt x="249" y="614"/>
                                    </a:lnTo>
                                    <a:lnTo>
                                      <a:pt x="206" y="616"/>
                                    </a:lnTo>
                                    <a:lnTo>
                                      <a:pt x="170" y="614"/>
                                    </a:lnTo>
                                    <a:lnTo>
                                      <a:pt x="136" y="607"/>
                                    </a:lnTo>
                                    <a:lnTo>
                                      <a:pt x="105" y="593"/>
                                    </a:lnTo>
                                    <a:lnTo>
                                      <a:pt x="75" y="576"/>
                                    </a:lnTo>
                                    <a:lnTo>
                                      <a:pt x="50" y="554"/>
                                    </a:lnTo>
                                    <a:lnTo>
                                      <a:pt x="29" y="526"/>
                                    </a:lnTo>
                                    <a:lnTo>
                                      <a:pt x="13" y="494"/>
                                    </a:lnTo>
                                    <a:lnTo>
                                      <a:pt x="3" y="456"/>
                                    </a:lnTo>
                                    <a:lnTo>
                                      <a:pt x="0" y="413"/>
                                    </a:lnTo>
                                    <a:lnTo>
                                      <a:pt x="0"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s:wsp>
                            <wps:cNvPr id="45" name="Freeform 14"/>
                            <wps:cNvSpPr>
                              <a:spLocks/>
                            </wps:cNvSpPr>
                            <wps:spPr bwMode="auto">
                              <a:xfrm>
                                <a:off x="362197" y="53439"/>
                                <a:ext cx="144335" cy="149906"/>
                              </a:xfrm>
                              <a:custGeom>
                                <a:avLst/>
                                <a:gdLst>
                                  <a:gd name="T0" fmla="*/ 335 w 608"/>
                                  <a:gd name="T1" fmla="*/ 2 h 632"/>
                                  <a:gd name="T2" fmla="*/ 409 w 608"/>
                                  <a:gd name="T3" fmla="*/ 11 h 632"/>
                                  <a:gd name="T4" fmla="*/ 476 w 608"/>
                                  <a:gd name="T5" fmla="*/ 31 h 632"/>
                                  <a:gd name="T6" fmla="*/ 534 w 608"/>
                                  <a:gd name="T7" fmla="*/ 66 h 632"/>
                                  <a:gd name="T8" fmla="*/ 574 w 608"/>
                                  <a:gd name="T9" fmla="*/ 117 h 632"/>
                                  <a:gd name="T10" fmla="*/ 591 w 608"/>
                                  <a:gd name="T11" fmla="*/ 191 h 632"/>
                                  <a:gd name="T12" fmla="*/ 379 w 608"/>
                                  <a:gd name="T13" fmla="*/ 172 h 632"/>
                                  <a:gd name="T14" fmla="*/ 355 w 608"/>
                                  <a:gd name="T15" fmla="*/ 145 h 632"/>
                                  <a:gd name="T16" fmla="*/ 322 w 608"/>
                                  <a:gd name="T17" fmla="*/ 129 h 632"/>
                                  <a:gd name="T18" fmla="*/ 288 w 608"/>
                                  <a:gd name="T19" fmla="*/ 129 h 632"/>
                                  <a:gd name="T20" fmla="*/ 257 w 608"/>
                                  <a:gd name="T21" fmla="*/ 136 h 632"/>
                                  <a:gd name="T22" fmla="*/ 238 w 608"/>
                                  <a:gd name="T23" fmla="*/ 157 h 632"/>
                                  <a:gd name="T24" fmla="*/ 238 w 608"/>
                                  <a:gd name="T25" fmla="*/ 186 h 632"/>
                                  <a:gd name="T26" fmla="*/ 252 w 608"/>
                                  <a:gd name="T27" fmla="*/ 202 h 632"/>
                                  <a:gd name="T28" fmla="*/ 285 w 608"/>
                                  <a:gd name="T29" fmla="*/ 214 h 632"/>
                                  <a:gd name="T30" fmla="*/ 348 w 608"/>
                                  <a:gd name="T31" fmla="*/ 226 h 632"/>
                                  <a:gd name="T32" fmla="*/ 426 w 608"/>
                                  <a:gd name="T33" fmla="*/ 241 h 632"/>
                                  <a:gd name="T34" fmla="*/ 491 w 608"/>
                                  <a:gd name="T35" fmla="*/ 262 h 632"/>
                                  <a:gd name="T36" fmla="*/ 543 w 608"/>
                                  <a:gd name="T37" fmla="*/ 289 h 632"/>
                                  <a:gd name="T38" fmla="*/ 583 w 608"/>
                                  <a:gd name="T39" fmla="*/ 331 h 632"/>
                                  <a:gd name="T40" fmla="*/ 605 w 608"/>
                                  <a:gd name="T41" fmla="*/ 386 h 632"/>
                                  <a:gd name="T42" fmla="*/ 605 w 608"/>
                                  <a:gd name="T43" fmla="*/ 460 h 632"/>
                                  <a:gd name="T44" fmla="*/ 581 w 608"/>
                                  <a:gd name="T45" fmla="*/ 523 h 632"/>
                                  <a:gd name="T46" fmla="*/ 538 w 608"/>
                                  <a:gd name="T47" fmla="*/ 572 h 632"/>
                                  <a:gd name="T48" fmla="*/ 479 w 608"/>
                                  <a:gd name="T49" fmla="*/ 603 h 632"/>
                                  <a:gd name="T50" fmla="*/ 410 w 608"/>
                                  <a:gd name="T51" fmla="*/ 623 h 632"/>
                                  <a:gd name="T52" fmla="*/ 338 w 608"/>
                                  <a:gd name="T53" fmla="*/ 632 h 632"/>
                                  <a:gd name="T54" fmla="*/ 262 w 608"/>
                                  <a:gd name="T55" fmla="*/ 632 h 632"/>
                                  <a:gd name="T56" fmla="*/ 186 w 608"/>
                                  <a:gd name="T57" fmla="*/ 620 h 632"/>
                                  <a:gd name="T58" fmla="*/ 116 w 608"/>
                                  <a:gd name="T59" fmla="*/ 594 h 632"/>
                                  <a:gd name="T60" fmla="*/ 57 w 608"/>
                                  <a:gd name="T61" fmla="*/ 553 h 632"/>
                                  <a:gd name="T62" fmla="*/ 16 w 608"/>
                                  <a:gd name="T63" fmla="*/ 496 h 632"/>
                                  <a:gd name="T64" fmla="*/ 0 w 608"/>
                                  <a:gd name="T65" fmla="*/ 420 h 632"/>
                                  <a:gd name="T66" fmla="*/ 224 w 608"/>
                                  <a:gd name="T67" fmla="*/ 441 h 632"/>
                                  <a:gd name="T68" fmla="*/ 248 w 608"/>
                                  <a:gd name="T69" fmla="*/ 474 h 632"/>
                                  <a:gd name="T70" fmla="*/ 285 w 608"/>
                                  <a:gd name="T71" fmla="*/ 489 h 632"/>
                                  <a:gd name="T72" fmla="*/ 326 w 608"/>
                                  <a:gd name="T73" fmla="*/ 491 h 632"/>
                                  <a:gd name="T74" fmla="*/ 360 w 608"/>
                                  <a:gd name="T75" fmla="*/ 480 h 632"/>
                                  <a:gd name="T76" fmla="*/ 385 w 608"/>
                                  <a:gd name="T77" fmla="*/ 460 h 632"/>
                                  <a:gd name="T78" fmla="*/ 386 w 608"/>
                                  <a:gd name="T79" fmla="*/ 431 h 632"/>
                                  <a:gd name="T80" fmla="*/ 371 w 608"/>
                                  <a:gd name="T81" fmla="*/ 412 h 632"/>
                                  <a:gd name="T82" fmla="*/ 333 w 608"/>
                                  <a:gd name="T83" fmla="*/ 396 h 632"/>
                                  <a:gd name="T84" fmla="*/ 260 w 608"/>
                                  <a:gd name="T85" fmla="*/ 381 h 632"/>
                                  <a:gd name="T86" fmla="*/ 148 w 608"/>
                                  <a:gd name="T87" fmla="*/ 353 h 632"/>
                                  <a:gd name="T88" fmla="*/ 73 w 608"/>
                                  <a:gd name="T89" fmla="*/ 314 h 632"/>
                                  <a:gd name="T90" fmla="*/ 28 w 608"/>
                                  <a:gd name="T91" fmla="*/ 260 h 632"/>
                                  <a:gd name="T92" fmla="*/ 14 w 608"/>
                                  <a:gd name="T93" fmla="*/ 191 h 632"/>
                                  <a:gd name="T94" fmla="*/ 30 w 608"/>
                                  <a:gd name="T95" fmla="*/ 119 h 632"/>
                                  <a:gd name="T96" fmla="*/ 69 w 608"/>
                                  <a:gd name="T97" fmla="*/ 68 h 632"/>
                                  <a:gd name="T98" fmla="*/ 128 w 608"/>
                                  <a:gd name="T99" fmla="*/ 31 h 632"/>
                                  <a:gd name="T100" fmla="*/ 195 w 608"/>
                                  <a:gd name="T101" fmla="*/ 11 h 632"/>
                                  <a:gd name="T102" fmla="*/ 266 w 608"/>
                                  <a:gd name="T103" fmla="*/ 2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08" h="632">
                                    <a:moveTo>
                                      <a:pt x="298" y="0"/>
                                    </a:moveTo>
                                    <a:lnTo>
                                      <a:pt x="335" y="2"/>
                                    </a:lnTo>
                                    <a:lnTo>
                                      <a:pt x="372" y="4"/>
                                    </a:lnTo>
                                    <a:lnTo>
                                      <a:pt x="409" y="11"/>
                                    </a:lnTo>
                                    <a:lnTo>
                                      <a:pt x="443" y="19"/>
                                    </a:lnTo>
                                    <a:lnTo>
                                      <a:pt x="476" y="31"/>
                                    </a:lnTo>
                                    <a:lnTo>
                                      <a:pt x="507" y="47"/>
                                    </a:lnTo>
                                    <a:lnTo>
                                      <a:pt x="534" y="66"/>
                                    </a:lnTo>
                                    <a:lnTo>
                                      <a:pt x="557" y="90"/>
                                    </a:lnTo>
                                    <a:lnTo>
                                      <a:pt x="574" y="117"/>
                                    </a:lnTo>
                                    <a:lnTo>
                                      <a:pt x="586" y="152"/>
                                    </a:lnTo>
                                    <a:lnTo>
                                      <a:pt x="591" y="191"/>
                                    </a:lnTo>
                                    <a:lnTo>
                                      <a:pt x="383" y="191"/>
                                    </a:lnTo>
                                    <a:lnTo>
                                      <a:pt x="379" y="172"/>
                                    </a:lnTo>
                                    <a:lnTo>
                                      <a:pt x="369" y="157"/>
                                    </a:lnTo>
                                    <a:lnTo>
                                      <a:pt x="355" y="145"/>
                                    </a:lnTo>
                                    <a:lnTo>
                                      <a:pt x="341" y="136"/>
                                    </a:lnTo>
                                    <a:lnTo>
                                      <a:pt x="322" y="129"/>
                                    </a:lnTo>
                                    <a:lnTo>
                                      <a:pt x="305" y="128"/>
                                    </a:lnTo>
                                    <a:lnTo>
                                      <a:pt x="288" y="129"/>
                                    </a:lnTo>
                                    <a:lnTo>
                                      <a:pt x="273" y="131"/>
                                    </a:lnTo>
                                    <a:lnTo>
                                      <a:pt x="257" y="136"/>
                                    </a:lnTo>
                                    <a:lnTo>
                                      <a:pt x="247" y="145"/>
                                    </a:lnTo>
                                    <a:lnTo>
                                      <a:pt x="238" y="157"/>
                                    </a:lnTo>
                                    <a:lnTo>
                                      <a:pt x="235" y="174"/>
                                    </a:lnTo>
                                    <a:lnTo>
                                      <a:pt x="238" y="186"/>
                                    </a:lnTo>
                                    <a:lnTo>
                                      <a:pt x="243" y="195"/>
                                    </a:lnTo>
                                    <a:lnTo>
                                      <a:pt x="252" y="202"/>
                                    </a:lnTo>
                                    <a:lnTo>
                                      <a:pt x="262" y="205"/>
                                    </a:lnTo>
                                    <a:lnTo>
                                      <a:pt x="285" y="214"/>
                                    </a:lnTo>
                                    <a:lnTo>
                                      <a:pt x="314" y="219"/>
                                    </a:lnTo>
                                    <a:lnTo>
                                      <a:pt x="348" y="226"/>
                                    </a:lnTo>
                                    <a:lnTo>
                                      <a:pt x="386" y="233"/>
                                    </a:lnTo>
                                    <a:lnTo>
                                      <a:pt x="426" y="241"/>
                                    </a:lnTo>
                                    <a:lnTo>
                                      <a:pt x="464" y="252"/>
                                    </a:lnTo>
                                    <a:lnTo>
                                      <a:pt x="491" y="262"/>
                                    </a:lnTo>
                                    <a:lnTo>
                                      <a:pt x="519" y="276"/>
                                    </a:lnTo>
                                    <a:lnTo>
                                      <a:pt x="543" y="289"/>
                                    </a:lnTo>
                                    <a:lnTo>
                                      <a:pt x="565" y="308"/>
                                    </a:lnTo>
                                    <a:lnTo>
                                      <a:pt x="583" y="331"/>
                                    </a:lnTo>
                                    <a:lnTo>
                                      <a:pt x="596" y="357"/>
                                    </a:lnTo>
                                    <a:lnTo>
                                      <a:pt x="605" y="386"/>
                                    </a:lnTo>
                                    <a:lnTo>
                                      <a:pt x="608" y="420"/>
                                    </a:lnTo>
                                    <a:lnTo>
                                      <a:pt x="605" y="460"/>
                                    </a:lnTo>
                                    <a:lnTo>
                                      <a:pt x="595" y="494"/>
                                    </a:lnTo>
                                    <a:lnTo>
                                      <a:pt x="581" y="523"/>
                                    </a:lnTo>
                                    <a:lnTo>
                                      <a:pt x="560" y="549"/>
                                    </a:lnTo>
                                    <a:lnTo>
                                      <a:pt x="538" y="572"/>
                                    </a:lnTo>
                                    <a:lnTo>
                                      <a:pt x="510" y="589"/>
                                    </a:lnTo>
                                    <a:lnTo>
                                      <a:pt x="479" y="603"/>
                                    </a:lnTo>
                                    <a:lnTo>
                                      <a:pt x="447" y="615"/>
                                    </a:lnTo>
                                    <a:lnTo>
                                      <a:pt x="410" y="623"/>
                                    </a:lnTo>
                                    <a:lnTo>
                                      <a:pt x="374" y="628"/>
                                    </a:lnTo>
                                    <a:lnTo>
                                      <a:pt x="338" y="632"/>
                                    </a:lnTo>
                                    <a:lnTo>
                                      <a:pt x="302" y="632"/>
                                    </a:lnTo>
                                    <a:lnTo>
                                      <a:pt x="262" y="632"/>
                                    </a:lnTo>
                                    <a:lnTo>
                                      <a:pt x="224" y="627"/>
                                    </a:lnTo>
                                    <a:lnTo>
                                      <a:pt x="186" y="620"/>
                                    </a:lnTo>
                                    <a:lnTo>
                                      <a:pt x="148" y="608"/>
                                    </a:lnTo>
                                    <a:lnTo>
                                      <a:pt x="116" y="594"/>
                                    </a:lnTo>
                                    <a:lnTo>
                                      <a:pt x="85" y="575"/>
                                    </a:lnTo>
                                    <a:lnTo>
                                      <a:pt x="57" y="553"/>
                                    </a:lnTo>
                                    <a:lnTo>
                                      <a:pt x="35" y="527"/>
                                    </a:lnTo>
                                    <a:lnTo>
                                      <a:pt x="16" y="496"/>
                                    </a:lnTo>
                                    <a:lnTo>
                                      <a:pt x="6" y="460"/>
                                    </a:lnTo>
                                    <a:lnTo>
                                      <a:pt x="0" y="420"/>
                                    </a:lnTo>
                                    <a:lnTo>
                                      <a:pt x="221" y="420"/>
                                    </a:lnTo>
                                    <a:lnTo>
                                      <a:pt x="224" y="441"/>
                                    </a:lnTo>
                                    <a:lnTo>
                                      <a:pt x="233" y="458"/>
                                    </a:lnTo>
                                    <a:lnTo>
                                      <a:pt x="248" y="474"/>
                                    </a:lnTo>
                                    <a:lnTo>
                                      <a:pt x="262" y="482"/>
                                    </a:lnTo>
                                    <a:lnTo>
                                      <a:pt x="285" y="489"/>
                                    </a:lnTo>
                                    <a:lnTo>
                                      <a:pt x="309" y="491"/>
                                    </a:lnTo>
                                    <a:lnTo>
                                      <a:pt x="326" y="491"/>
                                    </a:lnTo>
                                    <a:lnTo>
                                      <a:pt x="343" y="487"/>
                                    </a:lnTo>
                                    <a:lnTo>
                                      <a:pt x="360" y="480"/>
                                    </a:lnTo>
                                    <a:lnTo>
                                      <a:pt x="374" y="472"/>
                                    </a:lnTo>
                                    <a:lnTo>
                                      <a:pt x="385" y="460"/>
                                    </a:lnTo>
                                    <a:lnTo>
                                      <a:pt x="388" y="444"/>
                                    </a:lnTo>
                                    <a:lnTo>
                                      <a:pt x="386" y="431"/>
                                    </a:lnTo>
                                    <a:lnTo>
                                      <a:pt x="381" y="420"/>
                                    </a:lnTo>
                                    <a:lnTo>
                                      <a:pt x="371" y="412"/>
                                    </a:lnTo>
                                    <a:lnTo>
                                      <a:pt x="355" y="403"/>
                                    </a:lnTo>
                                    <a:lnTo>
                                      <a:pt x="333" y="396"/>
                                    </a:lnTo>
                                    <a:lnTo>
                                      <a:pt x="302" y="389"/>
                                    </a:lnTo>
                                    <a:lnTo>
                                      <a:pt x="260" y="381"/>
                                    </a:lnTo>
                                    <a:lnTo>
                                      <a:pt x="200" y="369"/>
                                    </a:lnTo>
                                    <a:lnTo>
                                      <a:pt x="148" y="353"/>
                                    </a:lnTo>
                                    <a:lnTo>
                                      <a:pt x="105" y="336"/>
                                    </a:lnTo>
                                    <a:lnTo>
                                      <a:pt x="73" y="314"/>
                                    </a:lnTo>
                                    <a:lnTo>
                                      <a:pt x="47" y="289"/>
                                    </a:lnTo>
                                    <a:lnTo>
                                      <a:pt x="28" y="260"/>
                                    </a:lnTo>
                                    <a:lnTo>
                                      <a:pt x="18" y="229"/>
                                    </a:lnTo>
                                    <a:lnTo>
                                      <a:pt x="14" y="191"/>
                                    </a:lnTo>
                                    <a:lnTo>
                                      <a:pt x="19" y="154"/>
                                    </a:lnTo>
                                    <a:lnTo>
                                      <a:pt x="30" y="119"/>
                                    </a:lnTo>
                                    <a:lnTo>
                                      <a:pt x="47" y="92"/>
                                    </a:lnTo>
                                    <a:lnTo>
                                      <a:pt x="69" y="68"/>
                                    </a:lnTo>
                                    <a:lnTo>
                                      <a:pt x="97" y="47"/>
                                    </a:lnTo>
                                    <a:lnTo>
                                      <a:pt x="128" y="31"/>
                                    </a:lnTo>
                                    <a:lnTo>
                                      <a:pt x="161" y="19"/>
                                    </a:lnTo>
                                    <a:lnTo>
                                      <a:pt x="195" y="11"/>
                                    </a:lnTo>
                                    <a:lnTo>
                                      <a:pt x="229" y="6"/>
                                    </a:lnTo>
                                    <a:lnTo>
                                      <a:pt x="266" y="2"/>
                                    </a:lnTo>
                                    <a:lnTo>
                                      <a:pt x="298"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s:wsp>
                            <wps:cNvPr id="46" name="Freeform 15"/>
                            <wps:cNvSpPr>
                              <a:spLocks/>
                            </wps:cNvSpPr>
                            <wps:spPr bwMode="auto">
                              <a:xfrm>
                                <a:off x="510639" y="11876"/>
                                <a:ext cx="108014" cy="188094"/>
                              </a:xfrm>
                              <a:custGeom>
                                <a:avLst/>
                                <a:gdLst>
                                  <a:gd name="T0" fmla="*/ 102 w 455"/>
                                  <a:gd name="T1" fmla="*/ 0 h 793"/>
                                  <a:gd name="T2" fmla="*/ 333 w 455"/>
                                  <a:gd name="T3" fmla="*/ 0 h 793"/>
                                  <a:gd name="T4" fmla="*/ 333 w 455"/>
                                  <a:gd name="T5" fmla="*/ 184 h 793"/>
                                  <a:gd name="T6" fmla="*/ 455 w 455"/>
                                  <a:gd name="T7" fmla="*/ 184 h 793"/>
                                  <a:gd name="T8" fmla="*/ 455 w 455"/>
                                  <a:gd name="T9" fmla="*/ 325 h 793"/>
                                  <a:gd name="T10" fmla="*/ 333 w 455"/>
                                  <a:gd name="T11" fmla="*/ 325 h 793"/>
                                  <a:gd name="T12" fmla="*/ 333 w 455"/>
                                  <a:gd name="T13" fmla="*/ 535 h 793"/>
                                  <a:gd name="T14" fmla="*/ 333 w 455"/>
                                  <a:gd name="T15" fmla="*/ 561 h 793"/>
                                  <a:gd name="T16" fmla="*/ 338 w 455"/>
                                  <a:gd name="T17" fmla="*/ 581 h 793"/>
                                  <a:gd name="T18" fmla="*/ 346 w 455"/>
                                  <a:gd name="T19" fmla="*/ 595 h 793"/>
                                  <a:gd name="T20" fmla="*/ 359 w 455"/>
                                  <a:gd name="T21" fmla="*/ 607 h 793"/>
                                  <a:gd name="T22" fmla="*/ 377 w 455"/>
                                  <a:gd name="T23" fmla="*/ 612 h 793"/>
                                  <a:gd name="T24" fmla="*/ 403 w 455"/>
                                  <a:gd name="T25" fmla="*/ 616 h 793"/>
                                  <a:gd name="T26" fmla="*/ 455 w 455"/>
                                  <a:gd name="T27" fmla="*/ 612 h 793"/>
                                  <a:gd name="T28" fmla="*/ 455 w 455"/>
                                  <a:gd name="T29" fmla="*/ 786 h 793"/>
                                  <a:gd name="T30" fmla="*/ 407 w 455"/>
                                  <a:gd name="T31" fmla="*/ 788 h 793"/>
                                  <a:gd name="T32" fmla="*/ 357 w 455"/>
                                  <a:gd name="T33" fmla="*/ 791 h 793"/>
                                  <a:gd name="T34" fmla="*/ 309 w 455"/>
                                  <a:gd name="T35" fmla="*/ 793 h 793"/>
                                  <a:gd name="T36" fmla="*/ 281 w 455"/>
                                  <a:gd name="T37" fmla="*/ 791 h 793"/>
                                  <a:gd name="T38" fmla="*/ 255 w 455"/>
                                  <a:gd name="T39" fmla="*/ 789 h 793"/>
                                  <a:gd name="T40" fmla="*/ 228 w 455"/>
                                  <a:gd name="T41" fmla="*/ 786 h 793"/>
                                  <a:gd name="T42" fmla="*/ 203 w 455"/>
                                  <a:gd name="T43" fmla="*/ 779 h 793"/>
                                  <a:gd name="T44" fmla="*/ 179 w 455"/>
                                  <a:gd name="T45" fmla="*/ 771 h 793"/>
                                  <a:gd name="T46" fmla="*/ 159 w 455"/>
                                  <a:gd name="T47" fmla="*/ 757 h 793"/>
                                  <a:gd name="T48" fmla="*/ 140 w 455"/>
                                  <a:gd name="T49" fmla="*/ 740 h 793"/>
                                  <a:gd name="T50" fmla="*/ 124 w 455"/>
                                  <a:gd name="T51" fmla="*/ 717 h 793"/>
                                  <a:gd name="T52" fmla="*/ 112 w 455"/>
                                  <a:gd name="T53" fmla="*/ 688 h 793"/>
                                  <a:gd name="T54" fmla="*/ 105 w 455"/>
                                  <a:gd name="T55" fmla="*/ 654 h 793"/>
                                  <a:gd name="T56" fmla="*/ 102 w 455"/>
                                  <a:gd name="T57" fmla="*/ 612 h 793"/>
                                  <a:gd name="T58" fmla="*/ 102 w 455"/>
                                  <a:gd name="T59" fmla="*/ 325 h 793"/>
                                  <a:gd name="T60" fmla="*/ 0 w 455"/>
                                  <a:gd name="T61" fmla="*/ 325 h 793"/>
                                  <a:gd name="T62" fmla="*/ 0 w 455"/>
                                  <a:gd name="T63" fmla="*/ 184 h 793"/>
                                  <a:gd name="T64" fmla="*/ 102 w 455"/>
                                  <a:gd name="T65" fmla="*/ 184 h 793"/>
                                  <a:gd name="T66" fmla="*/ 102 w 455"/>
                                  <a:gd name="T67" fmla="*/ 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55" h="793">
                                    <a:moveTo>
                                      <a:pt x="102" y="0"/>
                                    </a:moveTo>
                                    <a:lnTo>
                                      <a:pt x="333" y="0"/>
                                    </a:lnTo>
                                    <a:lnTo>
                                      <a:pt x="333" y="184"/>
                                    </a:lnTo>
                                    <a:lnTo>
                                      <a:pt x="455" y="184"/>
                                    </a:lnTo>
                                    <a:lnTo>
                                      <a:pt x="455" y="325"/>
                                    </a:lnTo>
                                    <a:lnTo>
                                      <a:pt x="333" y="325"/>
                                    </a:lnTo>
                                    <a:lnTo>
                                      <a:pt x="333" y="535"/>
                                    </a:lnTo>
                                    <a:lnTo>
                                      <a:pt x="333" y="561"/>
                                    </a:lnTo>
                                    <a:lnTo>
                                      <a:pt x="338" y="581"/>
                                    </a:lnTo>
                                    <a:lnTo>
                                      <a:pt x="346" y="595"/>
                                    </a:lnTo>
                                    <a:lnTo>
                                      <a:pt x="359" y="607"/>
                                    </a:lnTo>
                                    <a:lnTo>
                                      <a:pt x="377" y="612"/>
                                    </a:lnTo>
                                    <a:lnTo>
                                      <a:pt x="403" y="616"/>
                                    </a:lnTo>
                                    <a:lnTo>
                                      <a:pt x="455" y="612"/>
                                    </a:lnTo>
                                    <a:lnTo>
                                      <a:pt x="455" y="786"/>
                                    </a:lnTo>
                                    <a:lnTo>
                                      <a:pt x="407" y="788"/>
                                    </a:lnTo>
                                    <a:lnTo>
                                      <a:pt x="357" y="791"/>
                                    </a:lnTo>
                                    <a:lnTo>
                                      <a:pt x="309" y="793"/>
                                    </a:lnTo>
                                    <a:lnTo>
                                      <a:pt x="281" y="791"/>
                                    </a:lnTo>
                                    <a:lnTo>
                                      <a:pt x="255" y="789"/>
                                    </a:lnTo>
                                    <a:lnTo>
                                      <a:pt x="228" y="786"/>
                                    </a:lnTo>
                                    <a:lnTo>
                                      <a:pt x="203" y="779"/>
                                    </a:lnTo>
                                    <a:lnTo>
                                      <a:pt x="179" y="771"/>
                                    </a:lnTo>
                                    <a:lnTo>
                                      <a:pt x="159" y="757"/>
                                    </a:lnTo>
                                    <a:lnTo>
                                      <a:pt x="140" y="740"/>
                                    </a:lnTo>
                                    <a:lnTo>
                                      <a:pt x="124" y="717"/>
                                    </a:lnTo>
                                    <a:lnTo>
                                      <a:pt x="112" y="688"/>
                                    </a:lnTo>
                                    <a:lnTo>
                                      <a:pt x="105" y="654"/>
                                    </a:lnTo>
                                    <a:lnTo>
                                      <a:pt x="102" y="612"/>
                                    </a:lnTo>
                                    <a:lnTo>
                                      <a:pt x="102" y="325"/>
                                    </a:lnTo>
                                    <a:lnTo>
                                      <a:pt x="0" y="325"/>
                                    </a:lnTo>
                                    <a:lnTo>
                                      <a:pt x="0" y="184"/>
                                    </a:lnTo>
                                    <a:lnTo>
                                      <a:pt x="102" y="184"/>
                                    </a:lnTo>
                                    <a:lnTo>
                                      <a:pt x="102"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s:wsp>
                            <wps:cNvPr id="47" name="Freeform 16"/>
                            <wps:cNvSpPr>
                              <a:spLocks/>
                            </wps:cNvSpPr>
                            <wps:spPr bwMode="auto">
                              <a:xfrm>
                                <a:off x="629392" y="53439"/>
                                <a:ext cx="109201" cy="146585"/>
                              </a:xfrm>
                              <a:custGeom>
                                <a:avLst/>
                                <a:gdLst>
                                  <a:gd name="T0" fmla="*/ 393 w 460"/>
                                  <a:gd name="T1" fmla="*/ 0 h 618"/>
                                  <a:gd name="T2" fmla="*/ 425 w 460"/>
                                  <a:gd name="T3" fmla="*/ 4 h 618"/>
                                  <a:gd name="T4" fmla="*/ 460 w 460"/>
                                  <a:gd name="T5" fmla="*/ 9 h 618"/>
                                  <a:gd name="T6" fmla="*/ 460 w 460"/>
                                  <a:gd name="T7" fmla="*/ 212 h 618"/>
                                  <a:gd name="T8" fmla="*/ 443 w 460"/>
                                  <a:gd name="T9" fmla="*/ 207 h 618"/>
                                  <a:gd name="T10" fmla="*/ 422 w 460"/>
                                  <a:gd name="T11" fmla="*/ 202 h 618"/>
                                  <a:gd name="T12" fmla="*/ 399 w 460"/>
                                  <a:gd name="T13" fmla="*/ 198 h 618"/>
                                  <a:gd name="T14" fmla="*/ 368 w 460"/>
                                  <a:gd name="T15" fmla="*/ 198 h 618"/>
                                  <a:gd name="T16" fmla="*/ 337 w 460"/>
                                  <a:gd name="T17" fmla="*/ 200 h 618"/>
                                  <a:gd name="T18" fmla="*/ 308 w 460"/>
                                  <a:gd name="T19" fmla="*/ 209 h 618"/>
                                  <a:gd name="T20" fmla="*/ 284 w 460"/>
                                  <a:gd name="T21" fmla="*/ 221 h 618"/>
                                  <a:gd name="T22" fmla="*/ 265 w 460"/>
                                  <a:gd name="T23" fmla="*/ 241 h 618"/>
                                  <a:gd name="T24" fmla="*/ 250 w 460"/>
                                  <a:gd name="T25" fmla="*/ 265 h 618"/>
                                  <a:gd name="T26" fmla="*/ 239 w 460"/>
                                  <a:gd name="T27" fmla="*/ 296 h 618"/>
                                  <a:gd name="T28" fmla="*/ 232 w 460"/>
                                  <a:gd name="T29" fmla="*/ 334 h 618"/>
                                  <a:gd name="T30" fmla="*/ 229 w 460"/>
                                  <a:gd name="T31" fmla="*/ 379 h 618"/>
                                  <a:gd name="T32" fmla="*/ 229 w 460"/>
                                  <a:gd name="T33" fmla="*/ 618 h 618"/>
                                  <a:gd name="T34" fmla="*/ 0 w 460"/>
                                  <a:gd name="T35" fmla="*/ 618 h 618"/>
                                  <a:gd name="T36" fmla="*/ 0 w 460"/>
                                  <a:gd name="T37" fmla="*/ 16 h 618"/>
                                  <a:gd name="T38" fmla="*/ 220 w 460"/>
                                  <a:gd name="T39" fmla="*/ 16 h 618"/>
                                  <a:gd name="T40" fmla="*/ 220 w 460"/>
                                  <a:gd name="T41" fmla="*/ 112 h 618"/>
                                  <a:gd name="T42" fmla="*/ 222 w 460"/>
                                  <a:gd name="T43" fmla="*/ 112 h 618"/>
                                  <a:gd name="T44" fmla="*/ 243 w 460"/>
                                  <a:gd name="T45" fmla="*/ 80 h 618"/>
                                  <a:gd name="T46" fmla="*/ 265 w 460"/>
                                  <a:gd name="T47" fmla="*/ 50 h 618"/>
                                  <a:gd name="T48" fmla="*/ 289 w 460"/>
                                  <a:gd name="T49" fmla="*/ 30 h 618"/>
                                  <a:gd name="T50" fmla="*/ 318 w 460"/>
                                  <a:gd name="T51" fmla="*/ 14 h 618"/>
                                  <a:gd name="T52" fmla="*/ 353 w 460"/>
                                  <a:gd name="T53" fmla="*/ 4 h 618"/>
                                  <a:gd name="T54" fmla="*/ 393 w 460"/>
                                  <a:gd name="T55" fmla="*/ 0 h 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60" h="618">
                                    <a:moveTo>
                                      <a:pt x="393" y="0"/>
                                    </a:moveTo>
                                    <a:lnTo>
                                      <a:pt x="425" y="4"/>
                                    </a:lnTo>
                                    <a:lnTo>
                                      <a:pt x="460" y="9"/>
                                    </a:lnTo>
                                    <a:lnTo>
                                      <a:pt x="460" y="212"/>
                                    </a:lnTo>
                                    <a:lnTo>
                                      <a:pt x="443" y="207"/>
                                    </a:lnTo>
                                    <a:lnTo>
                                      <a:pt x="422" y="202"/>
                                    </a:lnTo>
                                    <a:lnTo>
                                      <a:pt x="399" y="198"/>
                                    </a:lnTo>
                                    <a:lnTo>
                                      <a:pt x="368" y="198"/>
                                    </a:lnTo>
                                    <a:lnTo>
                                      <a:pt x="337" y="200"/>
                                    </a:lnTo>
                                    <a:lnTo>
                                      <a:pt x="308" y="209"/>
                                    </a:lnTo>
                                    <a:lnTo>
                                      <a:pt x="284" y="221"/>
                                    </a:lnTo>
                                    <a:lnTo>
                                      <a:pt x="265" y="241"/>
                                    </a:lnTo>
                                    <a:lnTo>
                                      <a:pt x="250" y="265"/>
                                    </a:lnTo>
                                    <a:lnTo>
                                      <a:pt x="239" y="296"/>
                                    </a:lnTo>
                                    <a:lnTo>
                                      <a:pt x="232" y="334"/>
                                    </a:lnTo>
                                    <a:lnTo>
                                      <a:pt x="229" y="379"/>
                                    </a:lnTo>
                                    <a:lnTo>
                                      <a:pt x="229" y="618"/>
                                    </a:lnTo>
                                    <a:lnTo>
                                      <a:pt x="0" y="618"/>
                                    </a:lnTo>
                                    <a:lnTo>
                                      <a:pt x="0" y="16"/>
                                    </a:lnTo>
                                    <a:lnTo>
                                      <a:pt x="220" y="16"/>
                                    </a:lnTo>
                                    <a:lnTo>
                                      <a:pt x="220" y="112"/>
                                    </a:lnTo>
                                    <a:lnTo>
                                      <a:pt x="222" y="112"/>
                                    </a:lnTo>
                                    <a:lnTo>
                                      <a:pt x="243" y="80"/>
                                    </a:lnTo>
                                    <a:lnTo>
                                      <a:pt x="265" y="50"/>
                                    </a:lnTo>
                                    <a:lnTo>
                                      <a:pt x="289" y="30"/>
                                    </a:lnTo>
                                    <a:lnTo>
                                      <a:pt x="318" y="14"/>
                                    </a:lnTo>
                                    <a:lnTo>
                                      <a:pt x="353" y="4"/>
                                    </a:lnTo>
                                    <a:lnTo>
                                      <a:pt x="393"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s:wsp>
                            <wps:cNvPr id="48" name="Freeform 17"/>
                            <wps:cNvSpPr>
                              <a:spLocks noEditPoints="1"/>
                            </wps:cNvSpPr>
                            <wps:spPr bwMode="auto">
                              <a:xfrm>
                                <a:off x="736270" y="53439"/>
                                <a:ext cx="154780" cy="149906"/>
                              </a:xfrm>
                              <a:custGeom>
                                <a:avLst/>
                                <a:gdLst>
                                  <a:gd name="T0" fmla="*/ 374 w 652"/>
                                  <a:gd name="T1" fmla="*/ 360 h 632"/>
                                  <a:gd name="T2" fmla="*/ 312 w 652"/>
                                  <a:gd name="T3" fmla="*/ 375 h 632"/>
                                  <a:gd name="T4" fmla="*/ 264 w 652"/>
                                  <a:gd name="T5" fmla="*/ 393 h 632"/>
                                  <a:gd name="T6" fmla="*/ 238 w 652"/>
                                  <a:gd name="T7" fmla="*/ 420 h 632"/>
                                  <a:gd name="T8" fmla="*/ 238 w 652"/>
                                  <a:gd name="T9" fmla="*/ 458 h 632"/>
                                  <a:gd name="T10" fmla="*/ 264 w 652"/>
                                  <a:gd name="T11" fmla="*/ 486 h 632"/>
                                  <a:gd name="T12" fmla="*/ 307 w 652"/>
                                  <a:gd name="T13" fmla="*/ 498 h 632"/>
                                  <a:gd name="T14" fmla="*/ 354 w 652"/>
                                  <a:gd name="T15" fmla="*/ 486 h 632"/>
                                  <a:gd name="T16" fmla="*/ 388 w 652"/>
                                  <a:gd name="T17" fmla="*/ 455 h 632"/>
                                  <a:gd name="T18" fmla="*/ 404 w 652"/>
                                  <a:gd name="T19" fmla="*/ 403 h 632"/>
                                  <a:gd name="T20" fmla="*/ 338 w 652"/>
                                  <a:gd name="T21" fmla="*/ 0 h 632"/>
                                  <a:gd name="T22" fmla="*/ 445 w 652"/>
                                  <a:gd name="T23" fmla="*/ 7 h 632"/>
                                  <a:gd name="T24" fmla="*/ 521 w 652"/>
                                  <a:gd name="T25" fmla="*/ 26 h 632"/>
                                  <a:gd name="T26" fmla="*/ 572 w 652"/>
                                  <a:gd name="T27" fmla="*/ 57 h 632"/>
                                  <a:gd name="T28" fmla="*/ 602 w 652"/>
                                  <a:gd name="T29" fmla="*/ 95 h 632"/>
                                  <a:gd name="T30" fmla="*/ 617 w 652"/>
                                  <a:gd name="T31" fmla="*/ 138 h 632"/>
                                  <a:gd name="T32" fmla="*/ 624 w 652"/>
                                  <a:gd name="T33" fmla="*/ 186 h 632"/>
                                  <a:gd name="T34" fmla="*/ 624 w 652"/>
                                  <a:gd name="T35" fmla="*/ 236 h 632"/>
                                  <a:gd name="T36" fmla="*/ 624 w 652"/>
                                  <a:gd name="T37" fmla="*/ 518 h 632"/>
                                  <a:gd name="T38" fmla="*/ 636 w 652"/>
                                  <a:gd name="T39" fmla="*/ 587 h 632"/>
                                  <a:gd name="T40" fmla="*/ 417 w 652"/>
                                  <a:gd name="T41" fmla="*/ 618 h 632"/>
                                  <a:gd name="T42" fmla="*/ 409 w 652"/>
                                  <a:gd name="T43" fmla="*/ 578 h 632"/>
                                  <a:gd name="T44" fmla="*/ 407 w 652"/>
                                  <a:gd name="T45" fmla="*/ 561 h 632"/>
                                  <a:gd name="T46" fmla="*/ 352 w 652"/>
                                  <a:gd name="T47" fmla="*/ 604 h 632"/>
                                  <a:gd name="T48" fmla="*/ 285 w 652"/>
                                  <a:gd name="T49" fmla="*/ 627 h 632"/>
                                  <a:gd name="T50" fmla="*/ 212 w 652"/>
                                  <a:gd name="T51" fmla="*/ 632 h 632"/>
                                  <a:gd name="T52" fmla="*/ 140 w 652"/>
                                  <a:gd name="T53" fmla="*/ 625 h 632"/>
                                  <a:gd name="T54" fmla="*/ 76 w 652"/>
                                  <a:gd name="T55" fmla="*/ 597 h 632"/>
                                  <a:gd name="T56" fmla="*/ 30 w 652"/>
                                  <a:gd name="T57" fmla="*/ 554 h 632"/>
                                  <a:gd name="T58" fmla="*/ 4 w 652"/>
                                  <a:gd name="T59" fmla="*/ 491 h 632"/>
                                  <a:gd name="T60" fmla="*/ 4 w 652"/>
                                  <a:gd name="T61" fmla="*/ 413 h 632"/>
                                  <a:gd name="T62" fmla="*/ 28 w 652"/>
                                  <a:gd name="T63" fmla="*/ 353 h 632"/>
                                  <a:gd name="T64" fmla="*/ 71 w 652"/>
                                  <a:gd name="T65" fmla="*/ 312 h 632"/>
                                  <a:gd name="T66" fmla="*/ 126 w 652"/>
                                  <a:gd name="T67" fmla="*/ 284 h 632"/>
                                  <a:gd name="T68" fmla="*/ 190 w 652"/>
                                  <a:gd name="T69" fmla="*/ 269 h 632"/>
                                  <a:gd name="T70" fmla="*/ 254 w 652"/>
                                  <a:gd name="T71" fmla="*/ 259 h 632"/>
                                  <a:gd name="T72" fmla="*/ 314 w 652"/>
                                  <a:gd name="T73" fmla="*/ 250 h 632"/>
                                  <a:gd name="T74" fmla="*/ 357 w 652"/>
                                  <a:gd name="T75" fmla="*/ 241 h 632"/>
                                  <a:gd name="T76" fmla="*/ 385 w 652"/>
                                  <a:gd name="T77" fmla="*/ 231 h 632"/>
                                  <a:gd name="T78" fmla="*/ 400 w 652"/>
                                  <a:gd name="T79" fmla="*/ 209 h 632"/>
                                  <a:gd name="T80" fmla="*/ 400 w 652"/>
                                  <a:gd name="T81" fmla="*/ 174 h 632"/>
                                  <a:gd name="T82" fmla="*/ 379 w 652"/>
                                  <a:gd name="T83" fmla="*/ 148 h 632"/>
                                  <a:gd name="T84" fmla="*/ 347 w 652"/>
                                  <a:gd name="T85" fmla="*/ 138 h 632"/>
                                  <a:gd name="T86" fmla="*/ 300 w 652"/>
                                  <a:gd name="T87" fmla="*/ 138 h 632"/>
                                  <a:gd name="T88" fmla="*/ 264 w 652"/>
                                  <a:gd name="T89" fmla="*/ 152 h 632"/>
                                  <a:gd name="T90" fmla="*/ 247 w 652"/>
                                  <a:gd name="T91" fmla="*/ 174 h 632"/>
                                  <a:gd name="T92" fmla="*/ 242 w 652"/>
                                  <a:gd name="T93" fmla="*/ 198 h 632"/>
                                  <a:gd name="T94" fmla="*/ 33 w 652"/>
                                  <a:gd name="T95" fmla="*/ 159 h 632"/>
                                  <a:gd name="T96" fmla="*/ 59 w 652"/>
                                  <a:gd name="T97" fmla="*/ 95 h 632"/>
                                  <a:gd name="T98" fmla="*/ 106 w 652"/>
                                  <a:gd name="T99" fmla="*/ 52 h 632"/>
                                  <a:gd name="T100" fmla="*/ 169 w 652"/>
                                  <a:gd name="T101" fmla="*/ 21 h 632"/>
                                  <a:gd name="T102" fmla="*/ 252 w 652"/>
                                  <a:gd name="T103" fmla="*/ 6 h 632"/>
                                  <a:gd name="T104" fmla="*/ 338 w 652"/>
                                  <a:gd name="T105" fmla="*/ 0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52" h="632">
                                    <a:moveTo>
                                      <a:pt x="404" y="348"/>
                                    </a:moveTo>
                                    <a:lnTo>
                                      <a:pt x="374" y="360"/>
                                    </a:lnTo>
                                    <a:lnTo>
                                      <a:pt x="343" y="369"/>
                                    </a:lnTo>
                                    <a:lnTo>
                                      <a:pt x="312" y="375"/>
                                    </a:lnTo>
                                    <a:lnTo>
                                      <a:pt x="285" y="384"/>
                                    </a:lnTo>
                                    <a:lnTo>
                                      <a:pt x="264" y="393"/>
                                    </a:lnTo>
                                    <a:lnTo>
                                      <a:pt x="249" y="405"/>
                                    </a:lnTo>
                                    <a:lnTo>
                                      <a:pt x="238" y="420"/>
                                    </a:lnTo>
                                    <a:lnTo>
                                      <a:pt x="235" y="441"/>
                                    </a:lnTo>
                                    <a:lnTo>
                                      <a:pt x="238" y="458"/>
                                    </a:lnTo>
                                    <a:lnTo>
                                      <a:pt x="249" y="474"/>
                                    </a:lnTo>
                                    <a:lnTo>
                                      <a:pt x="264" y="486"/>
                                    </a:lnTo>
                                    <a:lnTo>
                                      <a:pt x="283" y="494"/>
                                    </a:lnTo>
                                    <a:lnTo>
                                      <a:pt x="307" y="498"/>
                                    </a:lnTo>
                                    <a:lnTo>
                                      <a:pt x="333" y="494"/>
                                    </a:lnTo>
                                    <a:lnTo>
                                      <a:pt x="354" y="486"/>
                                    </a:lnTo>
                                    <a:lnTo>
                                      <a:pt x="374" y="474"/>
                                    </a:lnTo>
                                    <a:lnTo>
                                      <a:pt x="388" y="455"/>
                                    </a:lnTo>
                                    <a:lnTo>
                                      <a:pt x="398" y="432"/>
                                    </a:lnTo>
                                    <a:lnTo>
                                      <a:pt x="404" y="403"/>
                                    </a:lnTo>
                                    <a:lnTo>
                                      <a:pt x="404" y="348"/>
                                    </a:lnTo>
                                    <a:close/>
                                    <a:moveTo>
                                      <a:pt x="338" y="0"/>
                                    </a:moveTo>
                                    <a:lnTo>
                                      <a:pt x="395" y="2"/>
                                    </a:lnTo>
                                    <a:lnTo>
                                      <a:pt x="445" y="7"/>
                                    </a:lnTo>
                                    <a:lnTo>
                                      <a:pt x="486" y="16"/>
                                    </a:lnTo>
                                    <a:lnTo>
                                      <a:pt x="521" y="26"/>
                                    </a:lnTo>
                                    <a:lnTo>
                                      <a:pt x="550" y="40"/>
                                    </a:lnTo>
                                    <a:lnTo>
                                      <a:pt x="572" y="57"/>
                                    </a:lnTo>
                                    <a:lnTo>
                                      <a:pt x="590" y="74"/>
                                    </a:lnTo>
                                    <a:lnTo>
                                      <a:pt x="602" y="95"/>
                                    </a:lnTo>
                                    <a:lnTo>
                                      <a:pt x="612" y="116"/>
                                    </a:lnTo>
                                    <a:lnTo>
                                      <a:pt x="617" y="138"/>
                                    </a:lnTo>
                                    <a:lnTo>
                                      <a:pt x="621" y="162"/>
                                    </a:lnTo>
                                    <a:lnTo>
                                      <a:pt x="624" y="186"/>
                                    </a:lnTo>
                                    <a:lnTo>
                                      <a:pt x="624" y="210"/>
                                    </a:lnTo>
                                    <a:lnTo>
                                      <a:pt x="624" y="236"/>
                                    </a:lnTo>
                                    <a:lnTo>
                                      <a:pt x="624" y="482"/>
                                    </a:lnTo>
                                    <a:lnTo>
                                      <a:pt x="624" y="518"/>
                                    </a:lnTo>
                                    <a:lnTo>
                                      <a:pt x="628" y="553"/>
                                    </a:lnTo>
                                    <a:lnTo>
                                      <a:pt x="636" y="587"/>
                                    </a:lnTo>
                                    <a:lnTo>
                                      <a:pt x="652" y="618"/>
                                    </a:lnTo>
                                    <a:lnTo>
                                      <a:pt x="417" y="618"/>
                                    </a:lnTo>
                                    <a:lnTo>
                                      <a:pt x="412" y="599"/>
                                    </a:lnTo>
                                    <a:lnTo>
                                      <a:pt x="409" y="578"/>
                                    </a:lnTo>
                                    <a:lnTo>
                                      <a:pt x="409" y="561"/>
                                    </a:lnTo>
                                    <a:lnTo>
                                      <a:pt x="407" y="561"/>
                                    </a:lnTo>
                                    <a:lnTo>
                                      <a:pt x="381" y="585"/>
                                    </a:lnTo>
                                    <a:lnTo>
                                      <a:pt x="352" y="604"/>
                                    </a:lnTo>
                                    <a:lnTo>
                                      <a:pt x="319" y="618"/>
                                    </a:lnTo>
                                    <a:lnTo>
                                      <a:pt x="285" y="627"/>
                                    </a:lnTo>
                                    <a:lnTo>
                                      <a:pt x="250" y="632"/>
                                    </a:lnTo>
                                    <a:lnTo>
                                      <a:pt x="212" y="632"/>
                                    </a:lnTo>
                                    <a:lnTo>
                                      <a:pt x="174" y="630"/>
                                    </a:lnTo>
                                    <a:lnTo>
                                      <a:pt x="140" y="625"/>
                                    </a:lnTo>
                                    <a:lnTo>
                                      <a:pt x="106" y="613"/>
                                    </a:lnTo>
                                    <a:lnTo>
                                      <a:pt x="76" y="597"/>
                                    </a:lnTo>
                                    <a:lnTo>
                                      <a:pt x="50" y="578"/>
                                    </a:lnTo>
                                    <a:lnTo>
                                      <a:pt x="30" y="554"/>
                                    </a:lnTo>
                                    <a:lnTo>
                                      <a:pt x="14" y="525"/>
                                    </a:lnTo>
                                    <a:lnTo>
                                      <a:pt x="4" y="491"/>
                                    </a:lnTo>
                                    <a:lnTo>
                                      <a:pt x="0" y="451"/>
                                    </a:lnTo>
                                    <a:lnTo>
                                      <a:pt x="4" y="413"/>
                                    </a:lnTo>
                                    <a:lnTo>
                                      <a:pt x="13" y="381"/>
                                    </a:lnTo>
                                    <a:lnTo>
                                      <a:pt x="28" y="353"/>
                                    </a:lnTo>
                                    <a:lnTo>
                                      <a:pt x="47" y="331"/>
                                    </a:lnTo>
                                    <a:lnTo>
                                      <a:pt x="71" y="312"/>
                                    </a:lnTo>
                                    <a:lnTo>
                                      <a:pt x="97" y="296"/>
                                    </a:lnTo>
                                    <a:lnTo>
                                      <a:pt x="126" y="284"/>
                                    </a:lnTo>
                                    <a:lnTo>
                                      <a:pt x="157" y="276"/>
                                    </a:lnTo>
                                    <a:lnTo>
                                      <a:pt x="190" y="269"/>
                                    </a:lnTo>
                                    <a:lnTo>
                                      <a:pt x="223" y="262"/>
                                    </a:lnTo>
                                    <a:lnTo>
                                      <a:pt x="254" y="259"/>
                                    </a:lnTo>
                                    <a:lnTo>
                                      <a:pt x="285" y="253"/>
                                    </a:lnTo>
                                    <a:lnTo>
                                      <a:pt x="314" y="250"/>
                                    </a:lnTo>
                                    <a:lnTo>
                                      <a:pt x="342" y="245"/>
                                    </a:lnTo>
                                    <a:lnTo>
                                      <a:pt x="357" y="241"/>
                                    </a:lnTo>
                                    <a:lnTo>
                                      <a:pt x="371" y="238"/>
                                    </a:lnTo>
                                    <a:lnTo>
                                      <a:pt x="385" y="231"/>
                                    </a:lnTo>
                                    <a:lnTo>
                                      <a:pt x="395" y="221"/>
                                    </a:lnTo>
                                    <a:lnTo>
                                      <a:pt x="400" y="209"/>
                                    </a:lnTo>
                                    <a:lnTo>
                                      <a:pt x="404" y="191"/>
                                    </a:lnTo>
                                    <a:lnTo>
                                      <a:pt x="400" y="174"/>
                                    </a:lnTo>
                                    <a:lnTo>
                                      <a:pt x="392" y="159"/>
                                    </a:lnTo>
                                    <a:lnTo>
                                      <a:pt x="379" y="148"/>
                                    </a:lnTo>
                                    <a:lnTo>
                                      <a:pt x="364" y="142"/>
                                    </a:lnTo>
                                    <a:lnTo>
                                      <a:pt x="347" y="138"/>
                                    </a:lnTo>
                                    <a:lnTo>
                                      <a:pt x="328" y="136"/>
                                    </a:lnTo>
                                    <a:lnTo>
                                      <a:pt x="300" y="138"/>
                                    </a:lnTo>
                                    <a:lnTo>
                                      <a:pt x="280" y="143"/>
                                    </a:lnTo>
                                    <a:lnTo>
                                      <a:pt x="264" y="152"/>
                                    </a:lnTo>
                                    <a:lnTo>
                                      <a:pt x="254" y="162"/>
                                    </a:lnTo>
                                    <a:lnTo>
                                      <a:pt x="247" y="174"/>
                                    </a:lnTo>
                                    <a:lnTo>
                                      <a:pt x="243" y="186"/>
                                    </a:lnTo>
                                    <a:lnTo>
                                      <a:pt x="242" y="198"/>
                                    </a:lnTo>
                                    <a:lnTo>
                                      <a:pt x="28" y="198"/>
                                    </a:lnTo>
                                    <a:lnTo>
                                      <a:pt x="33" y="159"/>
                                    </a:lnTo>
                                    <a:lnTo>
                                      <a:pt x="44" y="124"/>
                                    </a:lnTo>
                                    <a:lnTo>
                                      <a:pt x="59" y="95"/>
                                    </a:lnTo>
                                    <a:lnTo>
                                      <a:pt x="80" y="71"/>
                                    </a:lnTo>
                                    <a:lnTo>
                                      <a:pt x="106" y="52"/>
                                    </a:lnTo>
                                    <a:lnTo>
                                      <a:pt x="133" y="35"/>
                                    </a:lnTo>
                                    <a:lnTo>
                                      <a:pt x="169" y="21"/>
                                    </a:lnTo>
                                    <a:lnTo>
                                      <a:pt x="211" y="11"/>
                                    </a:lnTo>
                                    <a:lnTo>
                                      <a:pt x="252" y="6"/>
                                    </a:lnTo>
                                    <a:lnTo>
                                      <a:pt x="295" y="2"/>
                                    </a:lnTo>
                                    <a:lnTo>
                                      <a:pt x="338"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s:wsp>
                            <wps:cNvPr id="49" name="Rectangle 18"/>
                            <wps:cNvSpPr>
                              <a:spLocks noChangeArrowheads="1"/>
                            </wps:cNvSpPr>
                            <wps:spPr bwMode="auto">
                              <a:xfrm>
                                <a:off x="902524" y="0"/>
                                <a:ext cx="54363" cy="196633"/>
                              </a:xfrm>
                              <a:prstGeom prst="rect">
                                <a:avLst/>
                              </a:prstGeom>
                              <a:solidFill>
                                <a:sysClr val="window" lastClr="FFFFFF"/>
                              </a:solidFill>
                              <a:ln w="0">
                                <a:noFill/>
                                <a:prstDash val="solid"/>
                                <a:miter lim="800000"/>
                                <a:headEnd/>
                                <a:tailEnd/>
                              </a:ln>
                            </wps:spPr>
                            <wps:bodyPr rot="0" vert="horz" wrap="square" lIns="91440" tIns="45720" rIns="91440" bIns="45720" anchor="t" anchorCtr="0" upright="1">
                              <a:noAutofit/>
                            </wps:bodyPr>
                          </wps:wsp>
                          <wps:wsp>
                            <wps:cNvPr id="50" name="Freeform 19"/>
                            <wps:cNvSpPr>
                              <a:spLocks noEditPoints="1"/>
                            </wps:cNvSpPr>
                            <wps:spPr bwMode="auto">
                              <a:xfrm>
                                <a:off x="973776" y="0"/>
                                <a:ext cx="54600" cy="196633"/>
                              </a:xfrm>
                              <a:custGeom>
                                <a:avLst/>
                                <a:gdLst>
                                  <a:gd name="T0" fmla="*/ 0 w 230"/>
                                  <a:gd name="T1" fmla="*/ 227 h 829"/>
                                  <a:gd name="T2" fmla="*/ 230 w 230"/>
                                  <a:gd name="T3" fmla="*/ 227 h 829"/>
                                  <a:gd name="T4" fmla="*/ 230 w 230"/>
                                  <a:gd name="T5" fmla="*/ 829 h 829"/>
                                  <a:gd name="T6" fmla="*/ 0 w 230"/>
                                  <a:gd name="T7" fmla="*/ 829 h 829"/>
                                  <a:gd name="T8" fmla="*/ 0 w 230"/>
                                  <a:gd name="T9" fmla="*/ 227 h 829"/>
                                  <a:gd name="T10" fmla="*/ 0 w 230"/>
                                  <a:gd name="T11" fmla="*/ 0 h 829"/>
                                  <a:gd name="T12" fmla="*/ 230 w 230"/>
                                  <a:gd name="T13" fmla="*/ 0 h 829"/>
                                  <a:gd name="T14" fmla="*/ 230 w 230"/>
                                  <a:gd name="T15" fmla="*/ 162 h 829"/>
                                  <a:gd name="T16" fmla="*/ 0 w 230"/>
                                  <a:gd name="T17" fmla="*/ 162 h 829"/>
                                  <a:gd name="T18" fmla="*/ 0 w 230"/>
                                  <a:gd name="T19" fmla="*/ 0 h 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0" h="829">
                                    <a:moveTo>
                                      <a:pt x="0" y="227"/>
                                    </a:moveTo>
                                    <a:lnTo>
                                      <a:pt x="230" y="227"/>
                                    </a:lnTo>
                                    <a:lnTo>
                                      <a:pt x="230" y="829"/>
                                    </a:lnTo>
                                    <a:lnTo>
                                      <a:pt x="0" y="829"/>
                                    </a:lnTo>
                                    <a:lnTo>
                                      <a:pt x="0" y="227"/>
                                    </a:lnTo>
                                    <a:close/>
                                    <a:moveTo>
                                      <a:pt x="0" y="0"/>
                                    </a:moveTo>
                                    <a:lnTo>
                                      <a:pt x="230" y="0"/>
                                    </a:lnTo>
                                    <a:lnTo>
                                      <a:pt x="230" y="162"/>
                                    </a:lnTo>
                                    <a:lnTo>
                                      <a:pt x="0" y="162"/>
                                    </a:lnTo>
                                    <a:lnTo>
                                      <a:pt x="0"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s:wsp>
                            <wps:cNvPr id="51" name="Freeform 20"/>
                            <wps:cNvSpPr>
                              <a:spLocks noEditPoints="1"/>
                            </wps:cNvSpPr>
                            <wps:spPr bwMode="auto">
                              <a:xfrm>
                                <a:off x="1039091" y="53439"/>
                                <a:ext cx="154543" cy="149906"/>
                              </a:xfrm>
                              <a:custGeom>
                                <a:avLst/>
                                <a:gdLst>
                                  <a:gd name="T0" fmla="*/ 373 w 651"/>
                                  <a:gd name="T1" fmla="*/ 360 h 632"/>
                                  <a:gd name="T2" fmla="*/ 311 w 651"/>
                                  <a:gd name="T3" fmla="*/ 375 h 632"/>
                                  <a:gd name="T4" fmla="*/ 263 w 651"/>
                                  <a:gd name="T5" fmla="*/ 393 h 632"/>
                                  <a:gd name="T6" fmla="*/ 237 w 651"/>
                                  <a:gd name="T7" fmla="*/ 420 h 632"/>
                                  <a:gd name="T8" fmla="*/ 237 w 651"/>
                                  <a:gd name="T9" fmla="*/ 458 h 632"/>
                                  <a:gd name="T10" fmla="*/ 263 w 651"/>
                                  <a:gd name="T11" fmla="*/ 486 h 632"/>
                                  <a:gd name="T12" fmla="*/ 306 w 651"/>
                                  <a:gd name="T13" fmla="*/ 498 h 632"/>
                                  <a:gd name="T14" fmla="*/ 353 w 651"/>
                                  <a:gd name="T15" fmla="*/ 486 h 632"/>
                                  <a:gd name="T16" fmla="*/ 387 w 651"/>
                                  <a:gd name="T17" fmla="*/ 455 h 632"/>
                                  <a:gd name="T18" fmla="*/ 403 w 651"/>
                                  <a:gd name="T19" fmla="*/ 403 h 632"/>
                                  <a:gd name="T20" fmla="*/ 337 w 651"/>
                                  <a:gd name="T21" fmla="*/ 0 h 632"/>
                                  <a:gd name="T22" fmla="*/ 444 w 651"/>
                                  <a:gd name="T23" fmla="*/ 7 h 632"/>
                                  <a:gd name="T24" fmla="*/ 520 w 651"/>
                                  <a:gd name="T25" fmla="*/ 26 h 632"/>
                                  <a:gd name="T26" fmla="*/ 570 w 651"/>
                                  <a:gd name="T27" fmla="*/ 57 h 632"/>
                                  <a:gd name="T28" fmla="*/ 601 w 651"/>
                                  <a:gd name="T29" fmla="*/ 95 h 632"/>
                                  <a:gd name="T30" fmla="*/ 616 w 651"/>
                                  <a:gd name="T31" fmla="*/ 138 h 632"/>
                                  <a:gd name="T32" fmla="*/ 621 w 651"/>
                                  <a:gd name="T33" fmla="*/ 186 h 632"/>
                                  <a:gd name="T34" fmla="*/ 623 w 651"/>
                                  <a:gd name="T35" fmla="*/ 236 h 632"/>
                                  <a:gd name="T36" fmla="*/ 623 w 651"/>
                                  <a:gd name="T37" fmla="*/ 518 h 632"/>
                                  <a:gd name="T38" fmla="*/ 635 w 651"/>
                                  <a:gd name="T39" fmla="*/ 587 h 632"/>
                                  <a:gd name="T40" fmla="*/ 416 w 651"/>
                                  <a:gd name="T41" fmla="*/ 618 h 632"/>
                                  <a:gd name="T42" fmla="*/ 408 w 651"/>
                                  <a:gd name="T43" fmla="*/ 578 h 632"/>
                                  <a:gd name="T44" fmla="*/ 406 w 651"/>
                                  <a:gd name="T45" fmla="*/ 561 h 632"/>
                                  <a:gd name="T46" fmla="*/ 351 w 651"/>
                                  <a:gd name="T47" fmla="*/ 604 h 632"/>
                                  <a:gd name="T48" fmla="*/ 284 w 651"/>
                                  <a:gd name="T49" fmla="*/ 627 h 632"/>
                                  <a:gd name="T50" fmla="*/ 211 w 651"/>
                                  <a:gd name="T51" fmla="*/ 632 h 632"/>
                                  <a:gd name="T52" fmla="*/ 139 w 651"/>
                                  <a:gd name="T53" fmla="*/ 625 h 632"/>
                                  <a:gd name="T54" fmla="*/ 75 w 651"/>
                                  <a:gd name="T55" fmla="*/ 597 h 632"/>
                                  <a:gd name="T56" fmla="*/ 29 w 651"/>
                                  <a:gd name="T57" fmla="*/ 554 h 632"/>
                                  <a:gd name="T58" fmla="*/ 3 w 651"/>
                                  <a:gd name="T59" fmla="*/ 491 h 632"/>
                                  <a:gd name="T60" fmla="*/ 3 w 651"/>
                                  <a:gd name="T61" fmla="*/ 413 h 632"/>
                                  <a:gd name="T62" fmla="*/ 27 w 651"/>
                                  <a:gd name="T63" fmla="*/ 353 h 632"/>
                                  <a:gd name="T64" fmla="*/ 70 w 651"/>
                                  <a:gd name="T65" fmla="*/ 312 h 632"/>
                                  <a:gd name="T66" fmla="*/ 125 w 651"/>
                                  <a:gd name="T67" fmla="*/ 284 h 632"/>
                                  <a:gd name="T68" fmla="*/ 189 w 651"/>
                                  <a:gd name="T69" fmla="*/ 269 h 632"/>
                                  <a:gd name="T70" fmla="*/ 253 w 651"/>
                                  <a:gd name="T71" fmla="*/ 259 h 632"/>
                                  <a:gd name="T72" fmla="*/ 313 w 651"/>
                                  <a:gd name="T73" fmla="*/ 250 h 632"/>
                                  <a:gd name="T74" fmla="*/ 354 w 651"/>
                                  <a:gd name="T75" fmla="*/ 241 h 632"/>
                                  <a:gd name="T76" fmla="*/ 382 w 651"/>
                                  <a:gd name="T77" fmla="*/ 231 h 632"/>
                                  <a:gd name="T78" fmla="*/ 399 w 651"/>
                                  <a:gd name="T79" fmla="*/ 209 h 632"/>
                                  <a:gd name="T80" fmla="*/ 399 w 651"/>
                                  <a:gd name="T81" fmla="*/ 174 h 632"/>
                                  <a:gd name="T82" fmla="*/ 379 w 651"/>
                                  <a:gd name="T83" fmla="*/ 148 h 632"/>
                                  <a:gd name="T84" fmla="*/ 346 w 651"/>
                                  <a:gd name="T85" fmla="*/ 138 h 632"/>
                                  <a:gd name="T86" fmla="*/ 299 w 651"/>
                                  <a:gd name="T87" fmla="*/ 138 h 632"/>
                                  <a:gd name="T88" fmla="*/ 263 w 651"/>
                                  <a:gd name="T89" fmla="*/ 152 h 632"/>
                                  <a:gd name="T90" fmla="*/ 246 w 651"/>
                                  <a:gd name="T91" fmla="*/ 174 h 632"/>
                                  <a:gd name="T92" fmla="*/ 241 w 651"/>
                                  <a:gd name="T93" fmla="*/ 198 h 632"/>
                                  <a:gd name="T94" fmla="*/ 32 w 651"/>
                                  <a:gd name="T95" fmla="*/ 159 h 632"/>
                                  <a:gd name="T96" fmla="*/ 58 w 651"/>
                                  <a:gd name="T97" fmla="*/ 95 h 632"/>
                                  <a:gd name="T98" fmla="*/ 103 w 651"/>
                                  <a:gd name="T99" fmla="*/ 52 h 632"/>
                                  <a:gd name="T100" fmla="*/ 168 w 651"/>
                                  <a:gd name="T101" fmla="*/ 21 h 632"/>
                                  <a:gd name="T102" fmla="*/ 251 w 651"/>
                                  <a:gd name="T103" fmla="*/ 6 h 632"/>
                                  <a:gd name="T104" fmla="*/ 337 w 651"/>
                                  <a:gd name="T105" fmla="*/ 0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51" h="632">
                                    <a:moveTo>
                                      <a:pt x="403" y="348"/>
                                    </a:moveTo>
                                    <a:lnTo>
                                      <a:pt x="373" y="360"/>
                                    </a:lnTo>
                                    <a:lnTo>
                                      <a:pt x="342" y="369"/>
                                    </a:lnTo>
                                    <a:lnTo>
                                      <a:pt x="311" y="375"/>
                                    </a:lnTo>
                                    <a:lnTo>
                                      <a:pt x="284" y="384"/>
                                    </a:lnTo>
                                    <a:lnTo>
                                      <a:pt x="263" y="393"/>
                                    </a:lnTo>
                                    <a:lnTo>
                                      <a:pt x="246" y="405"/>
                                    </a:lnTo>
                                    <a:lnTo>
                                      <a:pt x="237" y="420"/>
                                    </a:lnTo>
                                    <a:lnTo>
                                      <a:pt x="234" y="441"/>
                                    </a:lnTo>
                                    <a:lnTo>
                                      <a:pt x="237" y="458"/>
                                    </a:lnTo>
                                    <a:lnTo>
                                      <a:pt x="248" y="474"/>
                                    </a:lnTo>
                                    <a:lnTo>
                                      <a:pt x="263" y="486"/>
                                    </a:lnTo>
                                    <a:lnTo>
                                      <a:pt x="282" y="494"/>
                                    </a:lnTo>
                                    <a:lnTo>
                                      <a:pt x="306" y="498"/>
                                    </a:lnTo>
                                    <a:lnTo>
                                      <a:pt x="330" y="494"/>
                                    </a:lnTo>
                                    <a:lnTo>
                                      <a:pt x="353" y="486"/>
                                    </a:lnTo>
                                    <a:lnTo>
                                      <a:pt x="372" y="474"/>
                                    </a:lnTo>
                                    <a:lnTo>
                                      <a:pt x="387" y="455"/>
                                    </a:lnTo>
                                    <a:lnTo>
                                      <a:pt x="397" y="432"/>
                                    </a:lnTo>
                                    <a:lnTo>
                                      <a:pt x="403" y="403"/>
                                    </a:lnTo>
                                    <a:lnTo>
                                      <a:pt x="403" y="348"/>
                                    </a:lnTo>
                                    <a:close/>
                                    <a:moveTo>
                                      <a:pt x="337" y="0"/>
                                    </a:moveTo>
                                    <a:lnTo>
                                      <a:pt x="394" y="2"/>
                                    </a:lnTo>
                                    <a:lnTo>
                                      <a:pt x="444" y="7"/>
                                    </a:lnTo>
                                    <a:lnTo>
                                      <a:pt x="485" y="16"/>
                                    </a:lnTo>
                                    <a:lnTo>
                                      <a:pt x="520" y="26"/>
                                    </a:lnTo>
                                    <a:lnTo>
                                      <a:pt x="547" y="40"/>
                                    </a:lnTo>
                                    <a:lnTo>
                                      <a:pt x="570" y="57"/>
                                    </a:lnTo>
                                    <a:lnTo>
                                      <a:pt x="589" y="74"/>
                                    </a:lnTo>
                                    <a:lnTo>
                                      <a:pt x="601" y="95"/>
                                    </a:lnTo>
                                    <a:lnTo>
                                      <a:pt x="611" y="116"/>
                                    </a:lnTo>
                                    <a:lnTo>
                                      <a:pt x="616" y="138"/>
                                    </a:lnTo>
                                    <a:lnTo>
                                      <a:pt x="620" y="162"/>
                                    </a:lnTo>
                                    <a:lnTo>
                                      <a:pt x="621" y="186"/>
                                    </a:lnTo>
                                    <a:lnTo>
                                      <a:pt x="623" y="210"/>
                                    </a:lnTo>
                                    <a:lnTo>
                                      <a:pt x="623" y="236"/>
                                    </a:lnTo>
                                    <a:lnTo>
                                      <a:pt x="623" y="482"/>
                                    </a:lnTo>
                                    <a:lnTo>
                                      <a:pt x="623" y="518"/>
                                    </a:lnTo>
                                    <a:lnTo>
                                      <a:pt x="627" y="553"/>
                                    </a:lnTo>
                                    <a:lnTo>
                                      <a:pt x="635" y="587"/>
                                    </a:lnTo>
                                    <a:lnTo>
                                      <a:pt x="651" y="618"/>
                                    </a:lnTo>
                                    <a:lnTo>
                                      <a:pt x="416" y="618"/>
                                    </a:lnTo>
                                    <a:lnTo>
                                      <a:pt x="411" y="599"/>
                                    </a:lnTo>
                                    <a:lnTo>
                                      <a:pt x="408" y="578"/>
                                    </a:lnTo>
                                    <a:lnTo>
                                      <a:pt x="408" y="561"/>
                                    </a:lnTo>
                                    <a:lnTo>
                                      <a:pt x="406" y="561"/>
                                    </a:lnTo>
                                    <a:lnTo>
                                      <a:pt x="380" y="585"/>
                                    </a:lnTo>
                                    <a:lnTo>
                                      <a:pt x="351" y="604"/>
                                    </a:lnTo>
                                    <a:lnTo>
                                      <a:pt x="318" y="618"/>
                                    </a:lnTo>
                                    <a:lnTo>
                                      <a:pt x="284" y="627"/>
                                    </a:lnTo>
                                    <a:lnTo>
                                      <a:pt x="249" y="632"/>
                                    </a:lnTo>
                                    <a:lnTo>
                                      <a:pt x="211" y="632"/>
                                    </a:lnTo>
                                    <a:lnTo>
                                      <a:pt x="173" y="630"/>
                                    </a:lnTo>
                                    <a:lnTo>
                                      <a:pt x="139" y="625"/>
                                    </a:lnTo>
                                    <a:lnTo>
                                      <a:pt x="105" y="613"/>
                                    </a:lnTo>
                                    <a:lnTo>
                                      <a:pt x="75" y="597"/>
                                    </a:lnTo>
                                    <a:lnTo>
                                      <a:pt x="49" y="578"/>
                                    </a:lnTo>
                                    <a:lnTo>
                                      <a:pt x="29" y="554"/>
                                    </a:lnTo>
                                    <a:lnTo>
                                      <a:pt x="13" y="525"/>
                                    </a:lnTo>
                                    <a:lnTo>
                                      <a:pt x="3" y="491"/>
                                    </a:lnTo>
                                    <a:lnTo>
                                      <a:pt x="0" y="451"/>
                                    </a:lnTo>
                                    <a:lnTo>
                                      <a:pt x="3" y="413"/>
                                    </a:lnTo>
                                    <a:lnTo>
                                      <a:pt x="12" y="381"/>
                                    </a:lnTo>
                                    <a:lnTo>
                                      <a:pt x="27" y="353"/>
                                    </a:lnTo>
                                    <a:lnTo>
                                      <a:pt x="46" y="331"/>
                                    </a:lnTo>
                                    <a:lnTo>
                                      <a:pt x="70" y="312"/>
                                    </a:lnTo>
                                    <a:lnTo>
                                      <a:pt x="96" y="296"/>
                                    </a:lnTo>
                                    <a:lnTo>
                                      <a:pt x="125" y="284"/>
                                    </a:lnTo>
                                    <a:lnTo>
                                      <a:pt x="156" y="276"/>
                                    </a:lnTo>
                                    <a:lnTo>
                                      <a:pt x="189" y="269"/>
                                    </a:lnTo>
                                    <a:lnTo>
                                      <a:pt x="220" y="262"/>
                                    </a:lnTo>
                                    <a:lnTo>
                                      <a:pt x="253" y="259"/>
                                    </a:lnTo>
                                    <a:lnTo>
                                      <a:pt x="284" y="253"/>
                                    </a:lnTo>
                                    <a:lnTo>
                                      <a:pt x="313" y="250"/>
                                    </a:lnTo>
                                    <a:lnTo>
                                      <a:pt x="339" y="245"/>
                                    </a:lnTo>
                                    <a:lnTo>
                                      <a:pt x="354" y="241"/>
                                    </a:lnTo>
                                    <a:lnTo>
                                      <a:pt x="370" y="238"/>
                                    </a:lnTo>
                                    <a:lnTo>
                                      <a:pt x="382" y="231"/>
                                    </a:lnTo>
                                    <a:lnTo>
                                      <a:pt x="392" y="221"/>
                                    </a:lnTo>
                                    <a:lnTo>
                                      <a:pt x="399" y="209"/>
                                    </a:lnTo>
                                    <a:lnTo>
                                      <a:pt x="403" y="191"/>
                                    </a:lnTo>
                                    <a:lnTo>
                                      <a:pt x="399" y="174"/>
                                    </a:lnTo>
                                    <a:lnTo>
                                      <a:pt x="391" y="159"/>
                                    </a:lnTo>
                                    <a:lnTo>
                                      <a:pt x="379" y="148"/>
                                    </a:lnTo>
                                    <a:lnTo>
                                      <a:pt x="363" y="142"/>
                                    </a:lnTo>
                                    <a:lnTo>
                                      <a:pt x="346" y="138"/>
                                    </a:lnTo>
                                    <a:lnTo>
                                      <a:pt x="327" y="136"/>
                                    </a:lnTo>
                                    <a:lnTo>
                                      <a:pt x="299" y="138"/>
                                    </a:lnTo>
                                    <a:lnTo>
                                      <a:pt x="279" y="143"/>
                                    </a:lnTo>
                                    <a:lnTo>
                                      <a:pt x="263" y="152"/>
                                    </a:lnTo>
                                    <a:lnTo>
                                      <a:pt x="253" y="162"/>
                                    </a:lnTo>
                                    <a:lnTo>
                                      <a:pt x="246" y="174"/>
                                    </a:lnTo>
                                    <a:lnTo>
                                      <a:pt x="242" y="186"/>
                                    </a:lnTo>
                                    <a:lnTo>
                                      <a:pt x="241" y="198"/>
                                    </a:lnTo>
                                    <a:lnTo>
                                      <a:pt x="27" y="198"/>
                                    </a:lnTo>
                                    <a:lnTo>
                                      <a:pt x="32" y="159"/>
                                    </a:lnTo>
                                    <a:lnTo>
                                      <a:pt x="43" y="124"/>
                                    </a:lnTo>
                                    <a:lnTo>
                                      <a:pt x="58" y="95"/>
                                    </a:lnTo>
                                    <a:lnTo>
                                      <a:pt x="79" y="71"/>
                                    </a:lnTo>
                                    <a:lnTo>
                                      <a:pt x="103" y="52"/>
                                    </a:lnTo>
                                    <a:lnTo>
                                      <a:pt x="132" y="35"/>
                                    </a:lnTo>
                                    <a:lnTo>
                                      <a:pt x="168" y="21"/>
                                    </a:lnTo>
                                    <a:lnTo>
                                      <a:pt x="208" y="11"/>
                                    </a:lnTo>
                                    <a:lnTo>
                                      <a:pt x="251" y="6"/>
                                    </a:lnTo>
                                    <a:lnTo>
                                      <a:pt x="294" y="2"/>
                                    </a:lnTo>
                                    <a:lnTo>
                                      <a:pt x="337"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s:wsp>
                            <wps:cNvPr id="52" name="Freeform 21"/>
                            <wps:cNvSpPr>
                              <a:spLocks/>
                            </wps:cNvSpPr>
                            <wps:spPr bwMode="auto">
                              <a:xfrm>
                                <a:off x="1205345" y="53439"/>
                                <a:ext cx="149083" cy="146585"/>
                              </a:xfrm>
                              <a:custGeom>
                                <a:avLst/>
                                <a:gdLst>
                                  <a:gd name="T0" fmla="*/ 421 w 628"/>
                                  <a:gd name="T1" fmla="*/ 0 h 618"/>
                                  <a:gd name="T2" fmla="*/ 457 w 628"/>
                                  <a:gd name="T3" fmla="*/ 4 h 618"/>
                                  <a:gd name="T4" fmla="*/ 491 w 628"/>
                                  <a:gd name="T5" fmla="*/ 11 h 618"/>
                                  <a:gd name="T6" fmla="*/ 522 w 628"/>
                                  <a:gd name="T7" fmla="*/ 23 h 618"/>
                                  <a:gd name="T8" fmla="*/ 552 w 628"/>
                                  <a:gd name="T9" fmla="*/ 40 h 618"/>
                                  <a:gd name="T10" fmla="*/ 578 w 628"/>
                                  <a:gd name="T11" fmla="*/ 62 h 618"/>
                                  <a:gd name="T12" fmla="*/ 598 w 628"/>
                                  <a:gd name="T13" fmla="*/ 90 h 618"/>
                                  <a:gd name="T14" fmla="*/ 614 w 628"/>
                                  <a:gd name="T15" fmla="*/ 123 h 618"/>
                                  <a:gd name="T16" fmla="*/ 624 w 628"/>
                                  <a:gd name="T17" fmla="*/ 162 h 618"/>
                                  <a:gd name="T18" fmla="*/ 628 w 628"/>
                                  <a:gd name="T19" fmla="*/ 205 h 618"/>
                                  <a:gd name="T20" fmla="*/ 628 w 628"/>
                                  <a:gd name="T21" fmla="*/ 618 h 618"/>
                                  <a:gd name="T22" fmla="*/ 398 w 628"/>
                                  <a:gd name="T23" fmla="*/ 618 h 618"/>
                                  <a:gd name="T24" fmla="*/ 398 w 628"/>
                                  <a:gd name="T25" fmla="*/ 302 h 618"/>
                                  <a:gd name="T26" fmla="*/ 397 w 628"/>
                                  <a:gd name="T27" fmla="*/ 274 h 618"/>
                                  <a:gd name="T28" fmla="*/ 395 w 628"/>
                                  <a:gd name="T29" fmla="*/ 248 h 618"/>
                                  <a:gd name="T30" fmla="*/ 390 w 628"/>
                                  <a:gd name="T31" fmla="*/ 226 h 618"/>
                                  <a:gd name="T32" fmla="*/ 381 w 628"/>
                                  <a:gd name="T33" fmla="*/ 209 h 618"/>
                                  <a:gd name="T34" fmla="*/ 367 w 628"/>
                                  <a:gd name="T35" fmla="*/ 195 h 618"/>
                                  <a:gd name="T36" fmla="*/ 348 w 628"/>
                                  <a:gd name="T37" fmla="*/ 186 h 618"/>
                                  <a:gd name="T38" fmla="*/ 323 w 628"/>
                                  <a:gd name="T39" fmla="*/ 185 h 618"/>
                                  <a:gd name="T40" fmla="*/ 307 w 628"/>
                                  <a:gd name="T41" fmla="*/ 185 h 618"/>
                                  <a:gd name="T42" fmla="*/ 292 w 628"/>
                                  <a:gd name="T43" fmla="*/ 188 h 618"/>
                                  <a:gd name="T44" fmla="*/ 276 w 628"/>
                                  <a:gd name="T45" fmla="*/ 195 h 618"/>
                                  <a:gd name="T46" fmla="*/ 262 w 628"/>
                                  <a:gd name="T47" fmla="*/ 205 h 618"/>
                                  <a:gd name="T48" fmla="*/ 250 w 628"/>
                                  <a:gd name="T49" fmla="*/ 221 h 618"/>
                                  <a:gd name="T50" fmla="*/ 240 w 628"/>
                                  <a:gd name="T51" fmla="*/ 241 h 618"/>
                                  <a:gd name="T52" fmla="*/ 233 w 628"/>
                                  <a:gd name="T53" fmla="*/ 267 h 618"/>
                                  <a:gd name="T54" fmla="*/ 231 w 628"/>
                                  <a:gd name="T55" fmla="*/ 300 h 618"/>
                                  <a:gd name="T56" fmla="*/ 231 w 628"/>
                                  <a:gd name="T57" fmla="*/ 618 h 618"/>
                                  <a:gd name="T58" fmla="*/ 0 w 628"/>
                                  <a:gd name="T59" fmla="*/ 618 h 618"/>
                                  <a:gd name="T60" fmla="*/ 0 w 628"/>
                                  <a:gd name="T61" fmla="*/ 16 h 618"/>
                                  <a:gd name="T62" fmla="*/ 223 w 628"/>
                                  <a:gd name="T63" fmla="*/ 16 h 618"/>
                                  <a:gd name="T64" fmla="*/ 223 w 628"/>
                                  <a:gd name="T65" fmla="*/ 92 h 618"/>
                                  <a:gd name="T66" fmla="*/ 224 w 628"/>
                                  <a:gd name="T67" fmla="*/ 92 h 618"/>
                                  <a:gd name="T68" fmla="*/ 249 w 628"/>
                                  <a:gd name="T69" fmla="*/ 64 h 618"/>
                                  <a:gd name="T70" fmla="*/ 274 w 628"/>
                                  <a:gd name="T71" fmla="*/ 42 h 618"/>
                                  <a:gd name="T72" fmla="*/ 305 w 628"/>
                                  <a:gd name="T73" fmla="*/ 25 h 618"/>
                                  <a:gd name="T74" fmla="*/ 340 w 628"/>
                                  <a:gd name="T75" fmla="*/ 11 h 618"/>
                                  <a:gd name="T76" fmla="*/ 378 w 628"/>
                                  <a:gd name="T77" fmla="*/ 4 h 618"/>
                                  <a:gd name="T78" fmla="*/ 421 w 628"/>
                                  <a:gd name="T79" fmla="*/ 0 h 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28" h="618">
                                    <a:moveTo>
                                      <a:pt x="421" y="0"/>
                                    </a:moveTo>
                                    <a:lnTo>
                                      <a:pt x="457" y="4"/>
                                    </a:lnTo>
                                    <a:lnTo>
                                      <a:pt x="491" y="11"/>
                                    </a:lnTo>
                                    <a:lnTo>
                                      <a:pt x="522" y="23"/>
                                    </a:lnTo>
                                    <a:lnTo>
                                      <a:pt x="552" y="40"/>
                                    </a:lnTo>
                                    <a:lnTo>
                                      <a:pt x="578" y="62"/>
                                    </a:lnTo>
                                    <a:lnTo>
                                      <a:pt x="598" y="90"/>
                                    </a:lnTo>
                                    <a:lnTo>
                                      <a:pt x="614" y="123"/>
                                    </a:lnTo>
                                    <a:lnTo>
                                      <a:pt x="624" y="162"/>
                                    </a:lnTo>
                                    <a:lnTo>
                                      <a:pt x="628" y="205"/>
                                    </a:lnTo>
                                    <a:lnTo>
                                      <a:pt x="628" y="618"/>
                                    </a:lnTo>
                                    <a:lnTo>
                                      <a:pt x="398" y="618"/>
                                    </a:lnTo>
                                    <a:lnTo>
                                      <a:pt x="398" y="302"/>
                                    </a:lnTo>
                                    <a:lnTo>
                                      <a:pt x="397" y="274"/>
                                    </a:lnTo>
                                    <a:lnTo>
                                      <a:pt x="395" y="248"/>
                                    </a:lnTo>
                                    <a:lnTo>
                                      <a:pt x="390" y="226"/>
                                    </a:lnTo>
                                    <a:lnTo>
                                      <a:pt x="381" y="209"/>
                                    </a:lnTo>
                                    <a:lnTo>
                                      <a:pt x="367" y="195"/>
                                    </a:lnTo>
                                    <a:lnTo>
                                      <a:pt x="348" y="186"/>
                                    </a:lnTo>
                                    <a:lnTo>
                                      <a:pt x="323" y="185"/>
                                    </a:lnTo>
                                    <a:lnTo>
                                      <a:pt x="307" y="185"/>
                                    </a:lnTo>
                                    <a:lnTo>
                                      <a:pt x="292" y="188"/>
                                    </a:lnTo>
                                    <a:lnTo>
                                      <a:pt x="276" y="195"/>
                                    </a:lnTo>
                                    <a:lnTo>
                                      <a:pt x="262" y="205"/>
                                    </a:lnTo>
                                    <a:lnTo>
                                      <a:pt x="250" y="221"/>
                                    </a:lnTo>
                                    <a:lnTo>
                                      <a:pt x="240" y="241"/>
                                    </a:lnTo>
                                    <a:lnTo>
                                      <a:pt x="233" y="267"/>
                                    </a:lnTo>
                                    <a:lnTo>
                                      <a:pt x="231" y="300"/>
                                    </a:lnTo>
                                    <a:lnTo>
                                      <a:pt x="231" y="618"/>
                                    </a:lnTo>
                                    <a:lnTo>
                                      <a:pt x="0" y="618"/>
                                    </a:lnTo>
                                    <a:lnTo>
                                      <a:pt x="0" y="16"/>
                                    </a:lnTo>
                                    <a:lnTo>
                                      <a:pt x="223" y="16"/>
                                    </a:lnTo>
                                    <a:lnTo>
                                      <a:pt x="223" y="92"/>
                                    </a:lnTo>
                                    <a:lnTo>
                                      <a:pt x="224" y="92"/>
                                    </a:lnTo>
                                    <a:lnTo>
                                      <a:pt x="249" y="64"/>
                                    </a:lnTo>
                                    <a:lnTo>
                                      <a:pt x="274" y="42"/>
                                    </a:lnTo>
                                    <a:lnTo>
                                      <a:pt x="305" y="25"/>
                                    </a:lnTo>
                                    <a:lnTo>
                                      <a:pt x="340" y="11"/>
                                    </a:lnTo>
                                    <a:lnTo>
                                      <a:pt x="378" y="4"/>
                                    </a:lnTo>
                                    <a:lnTo>
                                      <a:pt x="421"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s:wsp>
                            <wps:cNvPr id="53" name="Freeform 22"/>
                            <wps:cNvSpPr>
                              <a:spLocks noEditPoints="1"/>
                            </wps:cNvSpPr>
                            <wps:spPr bwMode="auto">
                              <a:xfrm>
                                <a:off x="0" y="255320"/>
                                <a:ext cx="203208" cy="196159"/>
                              </a:xfrm>
                              <a:custGeom>
                                <a:avLst/>
                                <a:gdLst>
                                  <a:gd name="T0" fmla="*/ 429 w 856"/>
                                  <a:gd name="T1" fmla="*/ 277 h 827"/>
                                  <a:gd name="T2" fmla="*/ 350 w 856"/>
                                  <a:gd name="T3" fmla="*/ 531 h 827"/>
                                  <a:gd name="T4" fmla="*/ 506 w 856"/>
                                  <a:gd name="T5" fmla="*/ 531 h 827"/>
                                  <a:gd name="T6" fmla="*/ 432 w 856"/>
                                  <a:gd name="T7" fmla="*/ 277 h 827"/>
                                  <a:gd name="T8" fmla="*/ 429 w 856"/>
                                  <a:gd name="T9" fmla="*/ 277 h 827"/>
                                  <a:gd name="T10" fmla="*/ 305 w 856"/>
                                  <a:gd name="T11" fmla="*/ 0 h 827"/>
                                  <a:gd name="T12" fmla="*/ 555 w 856"/>
                                  <a:gd name="T13" fmla="*/ 0 h 827"/>
                                  <a:gd name="T14" fmla="*/ 856 w 856"/>
                                  <a:gd name="T15" fmla="*/ 827 h 827"/>
                                  <a:gd name="T16" fmla="*/ 593 w 856"/>
                                  <a:gd name="T17" fmla="*/ 827 h 827"/>
                                  <a:gd name="T18" fmla="*/ 556 w 856"/>
                                  <a:gd name="T19" fmla="*/ 710 h 827"/>
                                  <a:gd name="T20" fmla="*/ 293 w 856"/>
                                  <a:gd name="T21" fmla="*/ 710 h 827"/>
                                  <a:gd name="T22" fmla="*/ 257 w 856"/>
                                  <a:gd name="T23" fmla="*/ 827 h 827"/>
                                  <a:gd name="T24" fmla="*/ 0 w 856"/>
                                  <a:gd name="T25" fmla="*/ 827 h 827"/>
                                  <a:gd name="T26" fmla="*/ 305 w 856"/>
                                  <a:gd name="T27" fmla="*/ 0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6" h="827">
                                    <a:moveTo>
                                      <a:pt x="429" y="277"/>
                                    </a:moveTo>
                                    <a:lnTo>
                                      <a:pt x="350" y="531"/>
                                    </a:lnTo>
                                    <a:lnTo>
                                      <a:pt x="506" y="531"/>
                                    </a:lnTo>
                                    <a:lnTo>
                                      <a:pt x="432" y="277"/>
                                    </a:lnTo>
                                    <a:lnTo>
                                      <a:pt x="429" y="277"/>
                                    </a:lnTo>
                                    <a:close/>
                                    <a:moveTo>
                                      <a:pt x="305" y="0"/>
                                    </a:moveTo>
                                    <a:lnTo>
                                      <a:pt x="555" y="0"/>
                                    </a:lnTo>
                                    <a:lnTo>
                                      <a:pt x="856" y="827"/>
                                    </a:lnTo>
                                    <a:lnTo>
                                      <a:pt x="593" y="827"/>
                                    </a:lnTo>
                                    <a:lnTo>
                                      <a:pt x="556" y="710"/>
                                    </a:lnTo>
                                    <a:lnTo>
                                      <a:pt x="293" y="710"/>
                                    </a:lnTo>
                                    <a:lnTo>
                                      <a:pt x="257" y="827"/>
                                    </a:lnTo>
                                    <a:lnTo>
                                      <a:pt x="0" y="827"/>
                                    </a:lnTo>
                                    <a:lnTo>
                                      <a:pt x="305"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s:wsp>
                            <wps:cNvPr id="54" name="Freeform 23"/>
                            <wps:cNvSpPr>
                              <a:spLocks noEditPoints="1"/>
                            </wps:cNvSpPr>
                            <wps:spPr bwMode="auto">
                              <a:xfrm>
                                <a:off x="213756" y="255320"/>
                                <a:ext cx="54838" cy="196159"/>
                              </a:xfrm>
                              <a:custGeom>
                                <a:avLst/>
                                <a:gdLst>
                                  <a:gd name="T0" fmla="*/ 0 w 231"/>
                                  <a:gd name="T1" fmla="*/ 227 h 827"/>
                                  <a:gd name="T2" fmla="*/ 231 w 231"/>
                                  <a:gd name="T3" fmla="*/ 227 h 827"/>
                                  <a:gd name="T4" fmla="*/ 231 w 231"/>
                                  <a:gd name="T5" fmla="*/ 827 h 827"/>
                                  <a:gd name="T6" fmla="*/ 0 w 231"/>
                                  <a:gd name="T7" fmla="*/ 827 h 827"/>
                                  <a:gd name="T8" fmla="*/ 0 w 231"/>
                                  <a:gd name="T9" fmla="*/ 227 h 827"/>
                                  <a:gd name="T10" fmla="*/ 0 w 231"/>
                                  <a:gd name="T11" fmla="*/ 0 h 827"/>
                                  <a:gd name="T12" fmla="*/ 231 w 231"/>
                                  <a:gd name="T13" fmla="*/ 0 h 827"/>
                                  <a:gd name="T14" fmla="*/ 231 w 231"/>
                                  <a:gd name="T15" fmla="*/ 162 h 827"/>
                                  <a:gd name="T16" fmla="*/ 0 w 231"/>
                                  <a:gd name="T17" fmla="*/ 162 h 827"/>
                                  <a:gd name="T18" fmla="*/ 0 w 231"/>
                                  <a:gd name="T19" fmla="*/ 0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1" h="827">
                                    <a:moveTo>
                                      <a:pt x="0" y="227"/>
                                    </a:moveTo>
                                    <a:lnTo>
                                      <a:pt x="231" y="227"/>
                                    </a:lnTo>
                                    <a:lnTo>
                                      <a:pt x="231" y="827"/>
                                    </a:lnTo>
                                    <a:lnTo>
                                      <a:pt x="0" y="827"/>
                                    </a:lnTo>
                                    <a:lnTo>
                                      <a:pt x="0" y="227"/>
                                    </a:lnTo>
                                    <a:close/>
                                    <a:moveTo>
                                      <a:pt x="0" y="0"/>
                                    </a:moveTo>
                                    <a:lnTo>
                                      <a:pt x="231" y="0"/>
                                    </a:lnTo>
                                    <a:lnTo>
                                      <a:pt x="231" y="162"/>
                                    </a:lnTo>
                                    <a:lnTo>
                                      <a:pt x="0" y="162"/>
                                    </a:lnTo>
                                    <a:lnTo>
                                      <a:pt x="0"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s:wsp>
                            <wps:cNvPr id="55" name="Freeform 24"/>
                            <wps:cNvSpPr>
                              <a:spLocks noEditPoints="1"/>
                            </wps:cNvSpPr>
                            <wps:spPr bwMode="auto">
                              <a:xfrm>
                                <a:off x="285007" y="255320"/>
                                <a:ext cx="155255" cy="199954"/>
                              </a:xfrm>
                              <a:custGeom>
                                <a:avLst/>
                                <a:gdLst>
                                  <a:gd name="T0" fmla="*/ 303 w 654"/>
                                  <a:gd name="T1" fmla="*/ 382 h 843"/>
                                  <a:gd name="T2" fmla="*/ 263 w 654"/>
                                  <a:gd name="T3" fmla="*/ 406 h 843"/>
                                  <a:gd name="T4" fmla="*/ 241 w 654"/>
                                  <a:gd name="T5" fmla="*/ 449 h 843"/>
                                  <a:gd name="T6" fmla="*/ 230 w 654"/>
                                  <a:gd name="T7" fmla="*/ 500 h 843"/>
                                  <a:gd name="T8" fmla="*/ 230 w 654"/>
                                  <a:gd name="T9" fmla="*/ 554 h 843"/>
                                  <a:gd name="T10" fmla="*/ 241 w 654"/>
                                  <a:gd name="T11" fmla="*/ 605 h 843"/>
                                  <a:gd name="T12" fmla="*/ 263 w 654"/>
                                  <a:gd name="T13" fmla="*/ 648 h 843"/>
                                  <a:gd name="T14" fmla="*/ 303 w 654"/>
                                  <a:gd name="T15" fmla="*/ 672 h 843"/>
                                  <a:gd name="T16" fmla="*/ 360 w 654"/>
                                  <a:gd name="T17" fmla="*/ 672 h 843"/>
                                  <a:gd name="T18" fmla="*/ 399 w 654"/>
                                  <a:gd name="T19" fmla="*/ 648 h 843"/>
                                  <a:gd name="T20" fmla="*/ 422 w 654"/>
                                  <a:gd name="T21" fmla="*/ 605 h 843"/>
                                  <a:gd name="T22" fmla="*/ 430 w 654"/>
                                  <a:gd name="T23" fmla="*/ 554 h 843"/>
                                  <a:gd name="T24" fmla="*/ 430 w 654"/>
                                  <a:gd name="T25" fmla="*/ 500 h 843"/>
                                  <a:gd name="T26" fmla="*/ 422 w 654"/>
                                  <a:gd name="T27" fmla="*/ 449 h 843"/>
                                  <a:gd name="T28" fmla="*/ 399 w 654"/>
                                  <a:gd name="T29" fmla="*/ 406 h 843"/>
                                  <a:gd name="T30" fmla="*/ 360 w 654"/>
                                  <a:gd name="T31" fmla="*/ 382 h 843"/>
                                  <a:gd name="T32" fmla="*/ 423 w 654"/>
                                  <a:gd name="T33" fmla="*/ 0 h 843"/>
                                  <a:gd name="T34" fmla="*/ 654 w 654"/>
                                  <a:gd name="T35" fmla="*/ 827 h 843"/>
                                  <a:gd name="T36" fmla="*/ 432 w 654"/>
                                  <a:gd name="T37" fmla="*/ 762 h 843"/>
                                  <a:gd name="T38" fmla="*/ 418 w 654"/>
                                  <a:gd name="T39" fmla="*/ 776 h 843"/>
                                  <a:gd name="T40" fmla="*/ 391 w 654"/>
                                  <a:gd name="T41" fmla="*/ 805 h 843"/>
                                  <a:gd name="T42" fmla="*/ 351 w 654"/>
                                  <a:gd name="T43" fmla="*/ 827 h 843"/>
                                  <a:gd name="T44" fmla="*/ 292 w 654"/>
                                  <a:gd name="T45" fmla="*/ 841 h 843"/>
                                  <a:gd name="T46" fmla="*/ 210 w 654"/>
                                  <a:gd name="T47" fmla="*/ 839 h 843"/>
                                  <a:gd name="T48" fmla="*/ 134 w 654"/>
                                  <a:gd name="T49" fmla="*/ 808 h 843"/>
                                  <a:gd name="T50" fmla="*/ 75 w 654"/>
                                  <a:gd name="T51" fmla="*/ 757 h 843"/>
                                  <a:gd name="T52" fmla="*/ 32 w 654"/>
                                  <a:gd name="T53" fmla="*/ 686 h 843"/>
                                  <a:gd name="T54" fmla="*/ 8 w 654"/>
                                  <a:gd name="T55" fmla="*/ 607 h 843"/>
                                  <a:gd name="T56" fmla="*/ 0 w 654"/>
                                  <a:gd name="T57" fmla="*/ 525 h 843"/>
                                  <a:gd name="T58" fmla="*/ 5 w 654"/>
                                  <a:gd name="T59" fmla="*/ 452 h 843"/>
                                  <a:gd name="T60" fmla="*/ 22 w 654"/>
                                  <a:gd name="T61" fmla="*/ 380 h 843"/>
                                  <a:gd name="T62" fmla="*/ 53 w 654"/>
                                  <a:gd name="T63" fmla="*/ 315 h 843"/>
                                  <a:gd name="T64" fmla="*/ 101 w 654"/>
                                  <a:gd name="T65" fmla="*/ 261 h 843"/>
                                  <a:gd name="T66" fmla="*/ 168 w 654"/>
                                  <a:gd name="T67" fmla="*/ 225 h 843"/>
                                  <a:gd name="T68" fmla="*/ 256 w 654"/>
                                  <a:gd name="T69" fmla="*/ 211 h 843"/>
                                  <a:gd name="T70" fmla="*/ 334 w 654"/>
                                  <a:gd name="T71" fmla="*/ 225 h 843"/>
                                  <a:gd name="T72" fmla="*/ 398 w 654"/>
                                  <a:gd name="T73" fmla="*/ 265 h 843"/>
                                  <a:gd name="T74" fmla="*/ 423 w 654"/>
                                  <a:gd name="T75" fmla="*/ 292 h 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54" h="843">
                                    <a:moveTo>
                                      <a:pt x="330" y="378"/>
                                    </a:moveTo>
                                    <a:lnTo>
                                      <a:pt x="303" y="382"/>
                                    </a:lnTo>
                                    <a:lnTo>
                                      <a:pt x="280" y="392"/>
                                    </a:lnTo>
                                    <a:lnTo>
                                      <a:pt x="263" y="406"/>
                                    </a:lnTo>
                                    <a:lnTo>
                                      <a:pt x="249" y="426"/>
                                    </a:lnTo>
                                    <a:lnTo>
                                      <a:pt x="241" y="449"/>
                                    </a:lnTo>
                                    <a:lnTo>
                                      <a:pt x="234" y="473"/>
                                    </a:lnTo>
                                    <a:lnTo>
                                      <a:pt x="230" y="500"/>
                                    </a:lnTo>
                                    <a:lnTo>
                                      <a:pt x="230" y="526"/>
                                    </a:lnTo>
                                    <a:lnTo>
                                      <a:pt x="230" y="554"/>
                                    </a:lnTo>
                                    <a:lnTo>
                                      <a:pt x="234" y="580"/>
                                    </a:lnTo>
                                    <a:lnTo>
                                      <a:pt x="241" y="605"/>
                                    </a:lnTo>
                                    <a:lnTo>
                                      <a:pt x="249" y="628"/>
                                    </a:lnTo>
                                    <a:lnTo>
                                      <a:pt x="263" y="648"/>
                                    </a:lnTo>
                                    <a:lnTo>
                                      <a:pt x="280" y="662"/>
                                    </a:lnTo>
                                    <a:lnTo>
                                      <a:pt x="303" y="672"/>
                                    </a:lnTo>
                                    <a:lnTo>
                                      <a:pt x="330" y="676"/>
                                    </a:lnTo>
                                    <a:lnTo>
                                      <a:pt x="360" y="672"/>
                                    </a:lnTo>
                                    <a:lnTo>
                                      <a:pt x="382" y="662"/>
                                    </a:lnTo>
                                    <a:lnTo>
                                      <a:pt x="399" y="648"/>
                                    </a:lnTo>
                                    <a:lnTo>
                                      <a:pt x="413" y="628"/>
                                    </a:lnTo>
                                    <a:lnTo>
                                      <a:pt x="422" y="605"/>
                                    </a:lnTo>
                                    <a:lnTo>
                                      <a:pt x="429" y="580"/>
                                    </a:lnTo>
                                    <a:lnTo>
                                      <a:pt x="430" y="554"/>
                                    </a:lnTo>
                                    <a:lnTo>
                                      <a:pt x="432" y="526"/>
                                    </a:lnTo>
                                    <a:lnTo>
                                      <a:pt x="430" y="500"/>
                                    </a:lnTo>
                                    <a:lnTo>
                                      <a:pt x="429" y="473"/>
                                    </a:lnTo>
                                    <a:lnTo>
                                      <a:pt x="422" y="449"/>
                                    </a:lnTo>
                                    <a:lnTo>
                                      <a:pt x="413" y="426"/>
                                    </a:lnTo>
                                    <a:lnTo>
                                      <a:pt x="399" y="406"/>
                                    </a:lnTo>
                                    <a:lnTo>
                                      <a:pt x="382" y="392"/>
                                    </a:lnTo>
                                    <a:lnTo>
                                      <a:pt x="360" y="382"/>
                                    </a:lnTo>
                                    <a:lnTo>
                                      <a:pt x="330" y="378"/>
                                    </a:lnTo>
                                    <a:close/>
                                    <a:moveTo>
                                      <a:pt x="423" y="0"/>
                                    </a:moveTo>
                                    <a:lnTo>
                                      <a:pt x="654" y="0"/>
                                    </a:lnTo>
                                    <a:lnTo>
                                      <a:pt x="654" y="827"/>
                                    </a:lnTo>
                                    <a:lnTo>
                                      <a:pt x="432" y="827"/>
                                    </a:lnTo>
                                    <a:lnTo>
                                      <a:pt x="432" y="762"/>
                                    </a:lnTo>
                                    <a:lnTo>
                                      <a:pt x="430" y="762"/>
                                    </a:lnTo>
                                    <a:lnTo>
                                      <a:pt x="418" y="776"/>
                                    </a:lnTo>
                                    <a:lnTo>
                                      <a:pt x="406" y="791"/>
                                    </a:lnTo>
                                    <a:lnTo>
                                      <a:pt x="391" y="805"/>
                                    </a:lnTo>
                                    <a:lnTo>
                                      <a:pt x="373" y="817"/>
                                    </a:lnTo>
                                    <a:lnTo>
                                      <a:pt x="351" y="827"/>
                                    </a:lnTo>
                                    <a:lnTo>
                                      <a:pt x="323" y="836"/>
                                    </a:lnTo>
                                    <a:lnTo>
                                      <a:pt x="292" y="841"/>
                                    </a:lnTo>
                                    <a:lnTo>
                                      <a:pt x="253" y="843"/>
                                    </a:lnTo>
                                    <a:lnTo>
                                      <a:pt x="210" y="839"/>
                                    </a:lnTo>
                                    <a:lnTo>
                                      <a:pt x="168" y="827"/>
                                    </a:lnTo>
                                    <a:lnTo>
                                      <a:pt x="134" y="808"/>
                                    </a:lnTo>
                                    <a:lnTo>
                                      <a:pt x="101" y="784"/>
                                    </a:lnTo>
                                    <a:lnTo>
                                      <a:pt x="75" y="757"/>
                                    </a:lnTo>
                                    <a:lnTo>
                                      <a:pt x="51" y="722"/>
                                    </a:lnTo>
                                    <a:lnTo>
                                      <a:pt x="32" y="686"/>
                                    </a:lnTo>
                                    <a:lnTo>
                                      <a:pt x="19" y="647"/>
                                    </a:lnTo>
                                    <a:lnTo>
                                      <a:pt x="8" y="607"/>
                                    </a:lnTo>
                                    <a:lnTo>
                                      <a:pt x="3" y="566"/>
                                    </a:lnTo>
                                    <a:lnTo>
                                      <a:pt x="0" y="525"/>
                                    </a:lnTo>
                                    <a:lnTo>
                                      <a:pt x="1" y="488"/>
                                    </a:lnTo>
                                    <a:lnTo>
                                      <a:pt x="5" y="452"/>
                                    </a:lnTo>
                                    <a:lnTo>
                                      <a:pt x="12" y="416"/>
                                    </a:lnTo>
                                    <a:lnTo>
                                      <a:pt x="22" y="380"/>
                                    </a:lnTo>
                                    <a:lnTo>
                                      <a:pt x="36" y="346"/>
                                    </a:lnTo>
                                    <a:lnTo>
                                      <a:pt x="53" y="315"/>
                                    </a:lnTo>
                                    <a:lnTo>
                                      <a:pt x="74" y="285"/>
                                    </a:lnTo>
                                    <a:lnTo>
                                      <a:pt x="101" y="261"/>
                                    </a:lnTo>
                                    <a:lnTo>
                                      <a:pt x="132" y="241"/>
                                    </a:lnTo>
                                    <a:lnTo>
                                      <a:pt x="168" y="225"/>
                                    </a:lnTo>
                                    <a:lnTo>
                                      <a:pt x="210" y="215"/>
                                    </a:lnTo>
                                    <a:lnTo>
                                      <a:pt x="256" y="211"/>
                                    </a:lnTo>
                                    <a:lnTo>
                                      <a:pt x="298" y="215"/>
                                    </a:lnTo>
                                    <a:lnTo>
                                      <a:pt x="334" y="225"/>
                                    </a:lnTo>
                                    <a:lnTo>
                                      <a:pt x="368" y="242"/>
                                    </a:lnTo>
                                    <a:lnTo>
                                      <a:pt x="398" y="265"/>
                                    </a:lnTo>
                                    <a:lnTo>
                                      <a:pt x="422" y="292"/>
                                    </a:lnTo>
                                    <a:lnTo>
                                      <a:pt x="423" y="292"/>
                                    </a:lnTo>
                                    <a:lnTo>
                                      <a:pt x="423" y="0"/>
                                    </a:lnTo>
                                    <a:close/>
                                  </a:path>
                                </a:pathLst>
                              </a:custGeom>
                              <a:solidFill>
                                <a:sysClr val="window" lastClr="FFFFFF"/>
                              </a:solidFill>
                              <a:ln w="0">
                                <a:noFill/>
                                <a:prstDash val="solid"/>
                                <a:round/>
                                <a:headEnd/>
                                <a:tailEnd/>
                              </a:ln>
                            </wps:spPr>
                            <wps:bodyPr rot="0" vert="horz" wrap="square" lIns="91440" tIns="45720" rIns="91440" bIns="45720" anchor="t" anchorCtr="0" upright="1">
                              <a:noAutofit/>
                            </wps:bodyPr>
                          </wps:wsp>
                        </wpg:grpSp>
                        <wps:wsp>
                          <wps:cNvPr id="56" name="Rectangle 50"/>
                          <wps:cNvSpPr/>
                          <wps:spPr>
                            <a:xfrm>
                              <a:off x="1487606" y="0"/>
                              <a:ext cx="17780" cy="64008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1"/>
                          <wps:cNvSpPr txBox="1"/>
                          <wps:spPr>
                            <a:xfrm>
                              <a:off x="1596642" y="-56507"/>
                              <a:ext cx="2374041" cy="449200"/>
                            </a:xfrm>
                            <a:prstGeom prst="rect">
                              <a:avLst/>
                            </a:prstGeom>
                            <a:noFill/>
                            <a:ln w="6350">
                              <a:noFill/>
                            </a:ln>
                            <a:effectLst/>
                          </wps:spPr>
                          <wps:txbx>
                            <w:txbxContent>
                              <w:p w14:paraId="6826AE5C" w14:textId="77777777" w:rsidR="000210B2" w:rsidRPr="005540B8" w:rsidRDefault="000210B2" w:rsidP="004D78C2">
                                <w:pPr>
                                  <w:rPr>
                                    <w:rFonts w:ascii="Arial Black" w:hAnsi="Arial Black"/>
                                    <w:color w:val="FFFFFF"/>
                                    <w:sz w:val="28"/>
                                  </w:rPr>
                                </w:pPr>
                                <w:r w:rsidRPr="005540B8">
                                  <w:rPr>
                                    <w:rFonts w:ascii="Arial Black" w:hAnsi="Arial Black"/>
                                    <w:color w:val="FFFFFF"/>
                                    <w:sz w:val="28"/>
                                  </w:rPr>
                                  <w:t>Australia’s Education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Text Box 52"/>
                          <wps:cNvSpPr txBox="1"/>
                          <wps:spPr>
                            <a:xfrm>
                              <a:off x="1590414" y="105596"/>
                              <a:ext cx="2944077" cy="457197"/>
                            </a:xfrm>
                            <a:prstGeom prst="rect">
                              <a:avLst/>
                            </a:prstGeom>
                            <a:noFill/>
                            <a:ln w="6350">
                              <a:noFill/>
                            </a:ln>
                            <a:effectLst/>
                          </wps:spPr>
                          <wps:txbx>
                            <w:txbxContent>
                              <w:p w14:paraId="6826AE5D" w14:textId="77777777" w:rsidR="000210B2" w:rsidRPr="005540B8" w:rsidRDefault="000210B2" w:rsidP="004D78C2">
                                <w:pPr>
                                  <w:rPr>
                                    <w:rFonts w:ascii="Arial Black" w:hAnsi="Arial Black"/>
                                    <w:color w:val="FFFFFF"/>
                                    <w:sz w:val="28"/>
                                  </w:rPr>
                                </w:pPr>
                                <w:r w:rsidRPr="005540B8">
                                  <w:rPr>
                                    <w:rFonts w:ascii="Arial Black" w:hAnsi="Arial Black"/>
                                    <w:color w:val="FFFFFF"/>
                                    <w:sz w:val="28"/>
                                  </w:rPr>
                                  <w:t>Partnership with Indonesia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826ADBC" id="Group 1" o:spid="_x0000_s1026" style="position:absolute;margin-left:-73.85pt;margin-top:-85.4pt;width:577.9pt;height:214.1pt;z-index:251648000;mso-width-relative:margin;mso-height-relative:margin" coordsize="76968,2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">
                <o:lock v:ext="edit" aspectratio="t"/>
                <v:shape id="Freeform 5" o:spid="_x0000_s1027" style="position:absolute;top:1192;width:76968;height:27350;visibility:visible;mso-wrap-style:square;v-text-anchor:top" coordsize="22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" path="m,c,663,,663,,663,848,379,1662,329,2243,324,2152,,2152,,2152,l,xe" fillcolor="#ef3e42" stroked="f">
                  <v:path arrowok="t" o:connecttype="custom" o:connectlocs="0,0;0,2734945;7696835,1336534;7384569,0;0,0" o:connectangles="0,0,0,0,0"/>
                </v:shape>
                <v:shape id="Freeform 6" o:spid="_x0000_s1028" style="position:absolute;width:76968;height:27755;visibility:visible;mso-wrap-style:square;v-text-anchor:top" coordsize="224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" path="m,c,673,,673,,673,485,466,1191,278,2243,260,2166,,2166,,2166,l,xe" fillcolor="#144b8e" stroked="f">
                  <v:path arrowok="t" o:connecttype="custom" o:connectlocs="0,0;0,2775585;7696835,1072291;7432610,0;0,0" o:connectangles="0,0,0,0,0"/>
                </v:shape>
                <v:group id="Group 33" o:spid="_x0000_s1029" style="position:absolute;left:2146;top:3967;width:45345;height:6966" coordorigin=",-565" coordsize="45344,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4" o:spid="_x0000_s1030" style="position:absolute;top:409;width:13170;height:5664" coordsize="13544,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1" o:spid="_x0000_s1031" style="position:absolute;left:5047;top:2434;width:6264;height:3598;visibility:visible;mso-wrap-style:square;v-text-anchor:top" coordsize="2639,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" path="m1376,r66,3l1505,15r62,19l1626,60r57,31l1738,125r55,40l1848,204r55,43l1955,287r48,33l2048,346r40,20l2122,378r29,5l2179,382r24,-7l2222,364r14,-12l2248,337r7,-12l2260,313r3,-7l2263,303r-7,-18l2253,280r-3,-5l2246,268r,l2238,251r-7,-16l2227,222r2,-24l2236,175r12,-20l2260,139r7,-5l2272,129r3,-2l2281,125r,l2286,129r5,10l2294,156r4,30l2300,208r3,24l2306,251r7,22l2336,277r17,1l2374,282r31,3l2427,289r16,3l2455,299r17,10l2492,325r25,19l2542,364r26,21l2591,406r22,20l2630,445r7,12l2639,471r-5,16l2623,504r-15,12l2589,524r-19,l2539,518r-29,-7l2508,511r-34,-9l2443,495r-30,-2l2389,495r-22,7l2344,512r-15,12l2310,540r-21,17l2256,588r-37,29l2175,647r-37,17l2101,678r-32,8l2039,690r-22,3l2003,693r-5,l1988,712r-9,14l1972,739r-7,14l1957,772r-11,26l1933,834r-14,33l1907,896r-12,21l1877,939r-22,15l1833,963r-21,5l1793,970r-15,-2l1767,965r-7,-7l1759,951r,-9l1760,934r9,-9l1783,917r22,-11l1810,905r4,-2l1817,903r7,-4l1829,894r14,-17l1853,853r7,-28l1865,794r2,-30l1867,734r-3,-27l1857,686r-5,l1838,684r-23,-3l1788,676r-31,-5l1722,662r-34,-10l1688,684r-7,35l1669,757r-17,39l1628,838r-23,39l1586,910r-13,31l1562,968r-7,24l1550,1016r-3,23l1543,1061r-1,35l1543,1127r4,24l1554,1171r8,17l1571,1202r8,12l1595,1226r26,14l1652,1254r36,14l1726,1281r38,12l1798,1304r71,22l1943,1350r77,28l2096,1409r17,10l2132,1431r23,17l2174,1465r15,18l2198,1498r,4l2200,1507r-2,5l2194,1515r-3,2l2186,1517r-16,-3l2150,1508r-30,-10l2088,1486r-40,-14l2000,1455r-55,-19l1884,1414r-65,-21l1753,1371r-68,-21l1619,1331r-64,-15l1497,1305r-5,-3l1485,1295r-7,-12l1469,1266r-10,-26l1442,1194r-16,-54l1416,1085r-7,-60l1404,972r-7,-48l1388,877r-14,-43l1355,791r-15,-17l1318,758r-31,-15l1252,727r-36,-15l1178,698r-33,-15l1118,669r-23,-12l1066,628r-22,-30l1028,567r-15,-29l1007,538r-10,5l982,554r-21,13l935,585r-31,19l870,624r-38,23l790,669r-44,21l699,710r-50,17l597,741r-55,12l489,758r-57,2l368,753,308,736,251,714,200,683,155,650,119,614,98,588,74,555,48,519,24,481,3,445,,435r1,-5l8,428r11,2l32,437r14,10l74,469r24,24l122,516r26,22l174,561r29,18l234,595r36,14l310,617r45,4l406,619r59,-10l522,590r53,-24l625,535r45,-33l713,466r38,-34l784,397r27,-29l833,342r59,-64l951,220r60,-53l1069,118r61,-39l1190,44r60,-24l1312,5,1376,xe" fillcolor="#ff0031" strokecolor="#ff0031" strokeweight="0">
                      <v:path arrowok="t" o:connecttype="custom" o:connectlocs="386001,14232;451759,58587;503748,89659;530811,83492;537220,71870;533185,63568;530811,41509;540069,30124;544579,37002;549090,64754;576153,68549;597518,81594;624343,105551;619121,122392;595382,121206;561909,119071;535558,139470;491166,162714;471937,168882;461967,189280;445587,222724;422085,229603;417812,221538;430631,214185;439889,202326;442500,167696;424459,160343;399058,170542;376505,215846;367247,246444;368909,277753;384814,294119;426833,309300;501611,336577;521790,355315;520128,359822;495676,352469;431818,330410;355377,309537;346356,294119;333300,230552;318107,183587;279649,165561;247838,141842;233120,131405;197511,153464;141724,175760;73117,174574;23265,139470;0,103179;10920,106025;41306,133065;84274,147297;148371,126898;192526,87287;253773,27989;326653,0" o:connectangles="0,0,0,0,0,0,0,0,0,0,0,0,0,0,0,0,0,0,0,0,0,0,0,0,0,0,0,0,0,0,0,0,0,0,0,0,0,0,0,0,0,0,0,0,0,0,0,0,0,0,0,0,0,0,0,0,0"/>
                    </v:shape>
                    <v:shape id="Freeform 12" o:spid="_x0000_s1032" style="position:absolute;width:2032;height:1966;visibility:visible;mso-wrap-style:square;v-text-anchor:top" coordsize="85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" path="m429,279l350,533r156,l432,279r-3,xm305,l555,,856,829r-263,l556,710r-263,l257,829,,829,305,xe" fillcolor="window" stroked="f" strokeweight="0">
                      <v:path arrowok="t" o:connecttype="custom" o:connectlocs="101841,66177;83087,126424;120121,126424;102554,66177;101841,66177;72405,0;131753,0;203208,196633;140774,196633;131990,168407;69556,168407;61010,196633;0,196633;72405,0" o:connectangles="0,0,0,0,0,0,0,0,0,0,0,0,0,0"/>
                      <o:lock v:ext="edit" verticies="t"/>
                    </v:shape>
                    <v:shape id="Freeform 13" o:spid="_x0000_s1033" style="position:absolute;left:2078;top:534;width:1488;height:1461;visibility:visible;mso-wrap-style:square;v-text-anchor:top" coordsize="62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" path="m,l229,r,315l230,344r2,24l237,390r9,19l260,421r19,9l305,433r15,-1l336,428r15,-7l365,411r12,-15l387,377r7,-28l396,318,396,,627,r,602l404,602r,-77l403,525r-24,27l353,576r-31,17l287,605r-38,9l206,616r-36,-2l136,607,105,593,75,576,50,554,29,526,13,494,3,456,,413,,xe" fillcolor="window" stroked="f" strokeweight="0">
                      <v:path arrowok="t" o:connecttype="custom" o:connectlocs="0,0;54363,0;54363,74716;54600,81594;55075,87287;56262,92505;58399,97012;61722,99858;66232,101993;72405,102705;75966,102467;79764,101519;83325,99858;86648,97486;89497,93929;91871,89422;93533,82780;94007,75427;94007,0;148845,0;148845,142790;95907,142790;95907,124526;95669,124526;89972,130931;83799,136623;76440,140656;68132,143502;59111,145637;48903,146111;40357,145637;32285,143976;24926,140656;17804,136623;11870,131405;6884,124764;3086,117173;712,108160;0,97961;0,0" o:connectangles="0,0,0,0,0,0,0,0,0,0,0,0,0,0,0,0,0,0,0,0,0,0,0,0,0,0,0,0,0,0,0,0,0,0,0,0,0,0,0,0"/>
                    </v:shape>
                    <v:shape id="Freeform 14" o:spid="_x0000_s1034" style="position:absolute;left:3621;top:534;width:1444;height:1499;visibility:visible;mso-wrap-style:square;v-text-anchor:top" coordsize="60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" path="m298,r37,2l372,4r37,7l443,19r33,12l507,47r27,19l557,90r17,27l586,152r5,39l383,191r-4,-19l369,157,355,145r-14,-9l322,129r-17,-1l288,129r-15,2l257,136r-10,9l238,157r-3,17l238,186r5,9l252,202r10,3l285,214r29,5l348,226r38,7l426,241r38,11l491,262r28,14l543,289r22,19l583,331r13,26l605,386r3,34l605,460r-10,34l581,523r-21,26l538,572r-28,17l479,603r-32,12l410,623r-36,5l338,632r-36,l262,632r-38,-5l186,620,148,608,116,594,85,575,57,553,35,527,16,496,6,460,,420r221,l224,441r9,17l248,474r14,8l285,489r24,2l326,491r17,-4l360,480r14,-8l385,460r3,-16l386,431r-5,-11l371,412r-16,-9l333,396r-31,-7l260,381,200,369,148,353,105,336,73,314,47,289,28,260,18,229,14,191r5,-37l30,119,47,92,69,68,97,47,128,31,161,19r34,-8l229,6,266,2,298,xe" fillcolor="window" stroked="f" strokeweight="0">
                      <v:path arrowok="t" o:connecttype="custom" o:connectlocs="79527,474;97094,2609;112999,7353;126768,15655;136264,27752;140299,45304;89972,40797;84275,34393;76441,30598;68369,30598;61010,32258;56500,37239;56500,44118;59823,47913;67657,50759;82613,53606;101129,57164;116560,62145;128904,68549;138400,78511;143623,91557;143623,109109;137925,124052;127717,135674;113711,143027;97331,147771;80239,149906;62197,149906;44155,147060;27538,140893;13531,131168;3798,117648;0,99621;53176,104602;58873,112430;67657,115987;77390,116462;85462,113853;91396,109109;91634,102230;88073,97724;79052,93928;61722,90371;35134,83729;17330,74479;6647,61670;3324,45304;7122,28226;16380,16129;30386,7353;46292,2609;63147,474" o:connectangles="0,0,0,0,0,0,0,0,0,0,0,0,0,0,0,0,0,0,0,0,0,0,0,0,0,0,0,0,0,0,0,0,0,0,0,0,0,0,0,0,0,0,0,0,0,0,0,0,0,0,0,0"/>
                    </v:shape>
                    <v:shape id="Freeform 15" o:spid="_x0000_s1035" style="position:absolute;left:5106;top:118;width:1080;height:1881;visibility:visible;mso-wrap-style:square;v-text-anchor:top" coordsize="45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" path="m102,l333,r,184l455,184r,141l333,325r,210l333,561r5,20l346,595r13,12l377,612r26,4l455,612r,174l407,788r-50,3l309,793r-28,-2l255,789r-27,-3l203,779r-24,-8l159,757,140,740,124,717,112,688r-7,-34l102,612r,-287l,325,,184r102,l102,xe" fillcolor="window" stroked="f" strokeweight="0">
                      <v:path arrowok="t" o:connecttype="custom" o:connectlocs="24214,0;79052,0;79052,43644;108014,43644;108014,77088;79052,77088;79052,126898;79052,133065;80239,137809;82138,141130;85224,143976;89497,145162;95670,146111;108014,145162;108014,186434;96619,186908;84749,187620;73355,188094;66708,187620;60535,187145;54126,186434;48191,184773;42493,182876;37746,179555;33235,175523;29437,170067;26588,163189;24926,155124;24214,145162;24214,77088;0,77088;0,43644;24214,43644;24214,0" o:connectangles="0,0,0,0,0,0,0,0,0,0,0,0,0,0,0,0,0,0,0,0,0,0,0,0,0,0,0,0,0,0,0,0,0,0"/>
                    </v:shape>
                    <v:shape id="Freeform 16" o:spid="_x0000_s1036" style="position:absolute;left:6293;top:534;width:1092;height:1466;visibility:visible;mso-wrap-style:square;v-text-anchor:top" coordsize="46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" path="m393,r32,4l460,9r,203l443,207r-21,-5l399,198r-31,l337,200r-29,9l284,221r-19,20l250,265r-11,31l232,334r-3,45l229,618,,618,,16r220,l220,112r2,l243,80,265,50,289,30,318,14,353,4,393,xe" fillcolor="window" stroked="f" strokeweight="0">
                      <v:path arrowok="t" o:connecttype="custom" o:connectlocs="93296,0;100892,949;109201,2135;109201,50285;105165,49099;100180,47913;94720,46964;87361,46964;80002,47439;73117,49573;67420,52420;62909,57163;59348,62856;56737,70209;55075,79222;54363,89896;54363,146585;0,146585;0,3795;52227,3795;52227,26566;52701,26566;57687,18975;62909,11860;68607,7116;75491,3321;83800,949;93296,0" o:connectangles="0,0,0,0,0,0,0,0,0,0,0,0,0,0,0,0,0,0,0,0,0,0,0,0,0,0,0,0"/>
                    </v:shape>
                    <v:shape id="Freeform 17" o:spid="_x0000_s1037" style="position:absolute;left:7362;top:534;width:1548;height:1499;visibility:visible;mso-wrap-style:square;v-text-anchor:top" coordsize="65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" path="m404,348r-30,12l343,369r-31,6l285,384r-21,9l249,405r-11,15l235,441r3,17l249,474r15,12l283,494r24,4l333,494r21,-8l374,474r14,-19l398,432r6,-29l404,348xm338,r57,2l445,7r41,9l521,26r29,14l572,57r18,17l602,95r10,21l617,138r4,24l624,186r,24l624,236r,246l624,518r4,35l636,587r16,31l417,618r-5,-19l409,578r,-17l407,561r-26,24l352,604r-33,14l285,627r-35,5l212,632r-38,-2l140,625,106,613,76,597,50,578,30,554,14,525,4,491,,451,4,413r9,-32l28,353,47,331,71,312,97,296r29,-12l157,276r33,-7l223,262r31,-3l285,253r29,-3l342,245r15,-4l371,238r14,-7l395,221r5,-12l404,191r-4,-17l392,159,379,148r-15,-6l347,138r-19,-2l300,138r-20,5l264,152r-10,10l247,174r-4,12l242,198r-214,l33,159,44,124,59,95,80,71,106,52,133,35,169,21,211,11,252,6,295,2,338,xe" fillcolor="window" stroked="f" strokeweight="0">
                      <v:path arrowok="t" o:connecttype="custom" o:connectlocs="88785,85389;74067,88947;62672,93217;56499,99621;56499,108634;62672,115276;72880,118122;84037,115276;92108,107923;95907,95589;80239,0;105640,1660;123682,6167;135789,13520;142910,22533;146471,32733;148133,44118;148133,55978;148133,122866;150982,139232;98993,146585;97094,137098;96619,133065;83562,143265;67657,148720;50327,149906;33235,148246;18042,141604;7122,131405;950,116462;950,97961;6647,83729;16855,74004;29911,67363;45105,63805;60298,61433;74541,59298;84749,57164;91396,54792;94957,49573;94957,41272;89972,35105;82375,32733;71218,32733;62672,36053;58636,41272;57449,46964;7834,37714;14006,22533;25164,12334;40119,4981;59823,1423;80239,0" o:connectangles="0,0,0,0,0,0,0,0,0,0,0,0,0,0,0,0,0,0,0,0,0,0,0,0,0,0,0,0,0,0,0,0,0,0,0,0,0,0,0,0,0,0,0,0,0,0,0,0,0,0,0,0,0"/>
                      <o:lock v:ext="edit" verticies="t"/>
                    </v:shape>
                    <v:rect id="Rectangle 18" o:spid="_x0000_s1038" style="position:absolute;left:9025;width:543;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" fillcolor="window" stroked="f" strokeweight="0"/>
                    <v:shape id="Freeform 19" o:spid="_x0000_s1039" style="position:absolute;left:9737;width:546;height:1966;visibility:visible;mso-wrap-style:square;v-text-anchor:top" coordsize="23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" path="m,227r230,l230,829,,829,,227xm,l230,r,162l,162,,xe" fillcolor="window" stroked="f" strokeweight="0">
                      <v:path arrowok="t" o:connecttype="custom" o:connectlocs="0,53843;54600,53843;54600,196633;0,196633;0,53843;0,0;54600,0;54600,38425;0,38425;0,0" o:connectangles="0,0,0,0,0,0,0,0,0,0"/>
                      <o:lock v:ext="edit" verticies="t"/>
                    </v:shape>
                    <v:shape id="Freeform 20" o:spid="_x0000_s1040" style="position:absolute;left:10390;top:534;width:1546;height:1499;visibility:visible;mso-wrap-style:square;v-text-anchor:top" coordsize="65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" path="m403,348r-30,12l342,369r-31,6l284,384r-21,9l246,405r-9,15l234,441r3,17l248,474r15,12l282,494r24,4l330,494r23,-8l372,474r15,-19l397,432r6,-29l403,348xm337,r57,2l444,7r41,9l520,26r27,14l570,57r19,17l601,95r10,21l616,138r4,24l621,186r2,24l623,236r,246l623,518r4,35l635,587r16,31l416,618r-5,-19l408,578r,-17l406,561r-26,24l351,604r-33,14l284,627r-35,5l211,632r-38,-2l139,625,105,613,75,597,49,578,29,554,13,525,3,491,,451,3,413r9,-32l27,353,46,331,70,312,96,296r29,-12l156,276r33,-7l220,262r33,-3l284,253r29,-3l339,245r15,-4l370,238r12,-7l392,221r7,-12l403,191r-4,-17l391,159,379,148r-16,-6l346,138r-19,-2l299,138r-20,5l263,152r-10,10l246,174r-4,12l241,198r-214,l32,159,43,124,58,95,79,71,103,52,132,35,168,21,208,11,251,6,294,2,337,xe" fillcolor="window" stroked="f" strokeweight="0">
                      <v:path arrowok="t" o:connecttype="custom" o:connectlocs="88548,85389;73829,88947;62434,93217;56262,99621;56262,108634;62434,115276;72642,118122;83800,115276;91871,107923;95669,95589;80002,0;105403,1660;123444,6167;135314,13520;142673,22533;146234,32733;147421,44118;147896,55978;147896,122866;150745,139232;98756,146585;96856,137098;96382,133065;83325,143265;67420,148720;50090,149906;32998,148246;17804,141604;6884,131405;712,116462;712,97961;6410,83729;16618,74004;29674,67363;44867,63805;60060,61433;74304,59298;84037,57164;90684,54792;94720,49573;94720,41272;89972,35105;82138,32733;70981,32733;62434,36053;58399,41272;57212,46964;7597,37714;13769,22533;24452,12334;39882,4981;59586,1423;80002,0" o:connectangles="0,0,0,0,0,0,0,0,0,0,0,0,0,0,0,0,0,0,0,0,0,0,0,0,0,0,0,0,0,0,0,0,0,0,0,0,0,0,0,0,0,0,0,0,0,0,0,0,0,0,0,0,0"/>
                      <o:lock v:ext="edit" verticies="t"/>
                    </v:shape>
                    <v:shape id="Freeform 21" o:spid="_x0000_s1041" style="position:absolute;left:12053;top:534;width:1491;height:1466;visibility:visible;mso-wrap-style:square;v-text-anchor:top" coordsize="62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" path="m421,r36,4l491,11r31,12l552,40r26,22l598,90r16,33l624,162r4,43l628,618r-230,l398,302r-1,-28l395,248r-5,-22l381,209,367,195r-19,-9l323,185r-16,l292,188r-16,7l262,205r-12,16l240,241r-7,26l231,300r,318l,618,,16r223,l223,92r1,l249,64,274,42,305,25,340,11,378,4,421,xe" fillcolor="window" stroked="f" strokeweight="0">
                      <v:path arrowok="t" o:connecttype="custom" o:connectlocs="99943,0;108489,949;116560,2609;123919,5455;131041,9488;137213,14706;141961,21347;145759,29175;148133,38425;149083,48624;149083,146585;94483,146585;94483,71632;94245,64991;93770,58824;92583,53606;90447,49573;87123,46253;82613,44118;76678,43881;72880,43881;69319,44592;65521,46253;62197,48624;59348,52420;56974,57163;55313,63330;54838,71158;54838,146585;0,146585;0,3795;52939,3795;52939,21822;53176,21822;59111,15180;65046,9962;72405,5930;80714,2609;89735,949;99943,0" o:connectangles="0,0,0,0,0,0,0,0,0,0,0,0,0,0,0,0,0,0,0,0,0,0,0,0,0,0,0,0,0,0,0,0,0,0,0,0,0,0,0,0"/>
                    </v:shape>
                    <v:shape id="Freeform 22" o:spid="_x0000_s1042" style="position:absolute;top:2553;width:2032;height:1961;visibility:visible;mso-wrap-style:square;v-text-anchor:top" coordsize="85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" path="m429,277l350,531r156,l432,277r-3,xm305,l555,,856,827r-263,l556,710r-263,l257,827,,827,305,xe" fillcolor="window" stroked="f" strokeweight="0">
                      <v:path arrowok="t" o:connecttype="custom" o:connectlocs="101841,65703;83087,125950;120121,125950;102554,65703;101841,65703;72405,0;131753,0;203208,196159;140774,196159;131990,168407;69556,168407;61010,196159;0,196159;72405,0" o:connectangles="0,0,0,0,0,0,0,0,0,0,0,0,0,0"/>
                      <o:lock v:ext="edit" verticies="t"/>
                    </v:shape>
                    <v:shape id="Freeform 23" o:spid="_x0000_s1043" style="position:absolute;left:2137;top:2553;width:548;height:1961;visibility:visible;mso-wrap-style:square;v-text-anchor:top" coordsize="23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" path="m,227r231,l231,827,,827,,227xm,l231,r,162l,162,,xe" fillcolor="window" stroked="f" strokeweight="0">
                      <v:path arrowok="t" o:connecttype="custom" o:connectlocs="0,53843;54838,53843;54838,196159;0,196159;0,53843;0,0;54838,0;54838,38425;0,38425;0,0" o:connectangles="0,0,0,0,0,0,0,0,0,0"/>
                      <o:lock v:ext="edit" verticies="t"/>
                    </v:shape>
                    <v:shape id="Freeform 24" o:spid="_x0000_s1044" style="position:absolute;left:2850;top:2553;width:1552;height:1999;visibility:visible;mso-wrap-style:square;v-text-anchor:top" coordsize="65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" path="m330,378r-27,4l280,392r-17,14l249,426r-8,23l234,473r-4,27l230,526r,28l234,580r7,25l249,628r14,20l280,662r23,10l330,676r30,-4l382,662r17,-14l413,628r9,-23l429,580r1,-26l432,526r-2,-26l429,473r-7,-24l413,426,399,406,382,392,360,382r-30,-4xm423,l654,r,827l432,827r,-65l430,762r-12,14l406,791r-15,14l373,817r-22,10l323,836r-31,5l253,843r-43,-4l168,827,134,808,101,784,75,757,51,722,32,686,19,647,8,607,3,566,,525,1,488,5,452r7,-36l22,380,36,346,53,315,74,285r27,-24l132,241r36,-16l210,215r46,-4l298,215r36,10l368,242r30,23l422,292r1,l423,xe" fillcolor="window" stroked="f" strokeweight="0">
                      <v:path arrowok="t" o:connecttype="custom" o:connectlocs="71930,90608;62434,96301;57212,106500;54600,118597;54600,131405;57212,143502;62434,153701;71930,159394;85461,159394;94720,153701;100180,143502;102079,131405;102079,118597;100180,106500;94720,96301;85461,90608;100417,0;155255,196159;102554,180741;99230,184062;92821,190941;83325,196159;69319,199480;49853,199005;31811,191652;17804,179555;7597,162715;1899,143976;0,124527;1187,107211;5223,90133;12582,74716;23977,61907;39882,53369;60773,50048;79289,53369;94482,62856;100417,69260" o:connectangles="0,0,0,0,0,0,0,0,0,0,0,0,0,0,0,0,0,0,0,0,0,0,0,0,0,0,0,0,0,0,0,0,0,0,0,0,0,0"/>
                      <o:lock v:ext="edit" verticies="t"/>
                    </v:shape>
                  </v:group>
                  <v:rect id="Rectangle 50" o:spid="_x0000_s1045" style="position:absolute;left:14876;width:177;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" fillcolor="window" stroked="f" strokeweight="1pt"/>
                  <v:shapetype id="_x0000_t202" coordsize="21600,21600" o:spt="202" path="m,l,21600r21600,l21600,xe">
                    <v:stroke joinstyle="miter"/>
                    <v:path gradientshapeok="t" o:connecttype="rect"/>
                  </v:shapetype>
                  <v:shape id="Text Box 51" o:spid="_x0000_s1046" type="#_x0000_t202" style="position:absolute;left:15966;top:-565;width:23740;height:4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GHxQAAANsAAAAPAAAAZHJzL2Rvd25yZXYueG1sRI9BawIx&#10;FITvBf9DeIVeRLMWt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BEBcGHxQAAANsAAAAP&#10;AAAAAAAAAAAAAAAAAAcCAABkcnMvZG93bnJldi54bWxQSwUGAAAAAAMAAwC3AAAA+QIAAAAA&#10;" filled="f" stroked="f" strokeweight=".5pt">
                    <v:textbox>
                      <w:txbxContent>
                        <w:p w14:paraId="6826AE5C" w14:textId="77777777" w:rsidR="000210B2" w:rsidRPr="005540B8" w:rsidRDefault="000210B2" w:rsidP="004D78C2">
                          <w:pPr>
                            <w:rPr>
                              <w:rFonts w:ascii="Arial Black" w:hAnsi="Arial Black"/>
                              <w:color w:val="FFFFFF"/>
                              <w:sz w:val="28"/>
                            </w:rPr>
                          </w:pPr>
                          <w:r w:rsidRPr="005540B8">
                            <w:rPr>
                              <w:rFonts w:ascii="Arial Black" w:hAnsi="Arial Black"/>
                              <w:color w:val="FFFFFF"/>
                              <w:sz w:val="28"/>
                            </w:rPr>
                            <w:t>Australia’s Education</w:t>
                          </w:r>
                        </w:p>
                      </w:txbxContent>
                    </v:textbox>
                  </v:shape>
                  <v:shape id="Text Box 52" o:spid="_x0000_s1047" type="#_x0000_t202" style="position:absolute;left:15904;top:1055;width:29440;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" filled="f" stroked="f" strokeweight=".5pt">
                    <v:textbox>
                      <w:txbxContent>
                        <w:p w14:paraId="6826AE5D" w14:textId="77777777" w:rsidR="000210B2" w:rsidRPr="005540B8" w:rsidRDefault="000210B2" w:rsidP="004D78C2">
                          <w:pPr>
                            <w:rPr>
                              <w:rFonts w:ascii="Arial Black" w:hAnsi="Arial Black"/>
                              <w:color w:val="FFFFFF"/>
                              <w:sz w:val="28"/>
                            </w:rPr>
                          </w:pPr>
                          <w:r w:rsidRPr="005540B8">
                            <w:rPr>
                              <w:rFonts w:ascii="Arial Black" w:hAnsi="Arial Black"/>
                              <w:color w:val="FFFFFF"/>
                              <w:sz w:val="28"/>
                            </w:rPr>
                            <w:t>Partnership with Indonesia</w:t>
                          </w:r>
                        </w:p>
                      </w:txbxContent>
                    </v:textbox>
                  </v:shape>
                </v:group>
              </v:group>
            </w:pict>
          </mc:Fallback>
        </mc:AlternateContent>
      </w:r>
      <w:r w:rsidR="00082D8B">
        <w:rPr>
          <w:lang w:val="en-US"/>
        </w:rPr>
        <w:t>37</w:t>
      </w:r>
    </w:p>
    <w:p w14:paraId="6826A93B" w14:textId="77777777" w:rsidR="004D78C2" w:rsidRPr="005D09D0" w:rsidRDefault="00006A84" w:rsidP="004D78C2">
      <w:pPr>
        <w:rPr>
          <w:lang w:val="id-ID"/>
        </w:rPr>
      </w:pPr>
      <w:r>
        <w:rPr>
          <w:noProof/>
          <w:lang w:val="en-AU" w:eastAsia="en-AU"/>
        </w:rPr>
        <w:drawing>
          <wp:anchor distT="109728" distB="276606" distL="224028" distR="384810" simplePos="0" relativeHeight="251650048" behindDoc="1" locked="0" layoutInCell="1" allowOverlap="1" wp14:anchorId="6826ADBE" wp14:editId="3C32F6A1">
            <wp:simplePos x="0" y="0"/>
            <wp:positionH relativeFrom="column">
              <wp:posOffset>18796</wp:posOffset>
            </wp:positionH>
            <wp:positionV relativeFrom="paragraph">
              <wp:posOffset>9271</wp:posOffset>
            </wp:positionV>
            <wp:extent cx="5731764" cy="3821557"/>
            <wp:effectExtent l="57150" t="57150" r="116840" b="121920"/>
            <wp:wrapNone/>
            <wp:docPr id="1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55"/>
                    <pic:cNvPicPr/>
                  </pic:nvPicPr>
                  <pic:blipFill>
                    <a:blip r:embed="rId8" cstate="print">
                      <a:extLst>
                        <a:ext uri="{28A0092B-C50C-407E-A947-70E740481C1C}">
                          <a14:useLocalDpi xmlns:a14="http://schemas.microsoft.com/office/drawing/2010/main"/>
                        </a:ext>
                      </a:extLst>
                    </a:blip>
                    <a:stretch>
                      <a:fillRect/>
                    </a:stretch>
                  </pic:blipFill>
                  <pic:spPr>
                    <a:xfrm>
                      <a:off x="0" y="0"/>
                      <a:ext cx="5731510" cy="3821430"/>
                    </a:xfrm>
                    <a:prstGeom prst="rect">
                      <a:avLst/>
                    </a:prstGeom>
                    <a:ln>
                      <a:solidFill>
                        <a:sysClr val="windowText" lastClr="000000"/>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6826A93C" w14:textId="77777777" w:rsidR="004D78C2" w:rsidRPr="005D09D0" w:rsidRDefault="004D78C2" w:rsidP="004D78C2">
      <w:pPr>
        <w:rPr>
          <w:lang w:val="id-ID"/>
        </w:rPr>
      </w:pPr>
    </w:p>
    <w:p w14:paraId="6826A93D" w14:textId="77777777" w:rsidR="004D78C2" w:rsidRPr="005D09D0" w:rsidRDefault="004D78C2" w:rsidP="004D78C2">
      <w:pPr>
        <w:rPr>
          <w:lang w:val="id-ID"/>
        </w:rPr>
      </w:pPr>
    </w:p>
    <w:p w14:paraId="6826A93E" w14:textId="77777777" w:rsidR="004D78C2" w:rsidRPr="005D09D0" w:rsidRDefault="00006A84" w:rsidP="004D78C2">
      <w:pPr>
        <w:rPr>
          <w:lang w:val="id-ID"/>
        </w:rPr>
      </w:pPr>
      <w:r>
        <w:rPr>
          <w:noProof/>
          <w:lang w:val="en-AU" w:eastAsia="en-AU"/>
        </w:rPr>
        <w:drawing>
          <wp:anchor distT="0" distB="0" distL="114300" distR="114300" simplePos="0" relativeHeight="251657216" behindDoc="0" locked="1" layoutInCell="0" allowOverlap="1" wp14:anchorId="6826ADC0" wp14:editId="0F0FE5C3">
            <wp:simplePos x="0" y="0"/>
            <wp:positionH relativeFrom="column">
              <wp:posOffset>2927985</wp:posOffset>
            </wp:positionH>
            <wp:positionV relativeFrom="page">
              <wp:posOffset>7195185</wp:posOffset>
            </wp:positionV>
            <wp:extent cx="3721100" cy="219075"/>
            <wp:effectExtent l="0" t="0" r="0" b="9525"/>
            <wp:wrapNone/>
            <wp:docPr id="1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46976" behindDoc="0" locked="1" layoutInCell="0" allowOverlap="1" wp14:anchorId="6826ADC2" wp14:editId="5F79A063">
            <wp:simplePos x="0" y="0"/>
            <wp:positionH relativeFrom="column">
              <wp:posOffset>-650240</wp:posOffset>
            </wp:positionH>
            <wp:positionV relativeFrom="page">
              <wp:posOffset>9824085</wp:posOffset>
            </wp:positionV>
            <wp:extent cx="7086600" cy="401955"/>
            <wp:effectExtent l="0" t="0" r="0" b="0"/>
            <wp:wrapNone/>
            <wp:docPr id="1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6A93F" w14:textId="77777777" w:rsidR="004D78C2" w:rsidRPr="005D09D0" w:rsidRDefault="004D78C2" w:rsidP="004D78C2">
      <w:pPr>
        <w:rPr>
          <w:lang w:val="id-ID"/>
        </w:rPr>
      </w:pPr>
    </w:p>
    <w:p w14:paraId="6826A940" w14:textId="77777777" w:rsidR="004D78C2" w:rsidRDefault="004D78C2" w:rsidP="00715627">
      <w:pPr>
        <w:rPr>
          <w:b/>
          <w:bCs/>
          <w:sz w:val="28"/>
          <w:szCs w:val="28"/>
        </w:rPr>
      </w:pPr>
    </w:p>
    <w:p w14:paraId="6826A941" w14:textId="77777777" w:rsidR="00D868B6" w:rsidRDefault="00D868B6">
      <w:pPr>
        <w:rPr>
          <w:b/>
          <w:bCs/>
          <w:noProof/>
          <w:sz w:val="28"/>
          <w:szCs w:val="28"/>
          <w:lang w:val="en-US"/>
        </w:rPr>
      </w:pPr>
    </w:p>
    <w:p w14:paraId="6826A942" w14:textId="40AAE505" w:rsidR="004D78C2" w:rsidRDefault="00FE1423">
      <w:pPr>
        <w:rPr>
          <w:b/>
          <w:bCs/>
          <w:sz w:val="28"/>
          <w:szCs w:val="28"/>
        </w:rPr>
      </w:pPr>
      <w:r>
        <w:rPr>
          <w:noProof/>
          <w:lang w:val="en-AU" w:eastAsia="en-AU"/>
        </w:rPr>
        <mc:AlternateContent>
          <mc:Choice Requires="wpg">
            <w:drawing>
              <wp:anchor distT="0" distB="0" distL="114300" distR="114300" simplePos="0" relativeHeight="251651072" behindDoc="0" locked="0" layoutInCell="1" allowOverlap="1" wp14:anchorId="6826ADCA" wp14:editId="1B8D1B91">
                <wp:simplePos x="0" y="0"/>
                <wp:positionH relativeFrom="margin">
                  <wp:align>left</wp:align>
                </wp:positionH>
                <wp:positionV relativeFrom="paragraph">
                  <wp:posOffset>4110990</wp:posOffset>
                </wp:positionV>
                <wp:extent cx="4324350" cy="1990725"/>
                <wp:effectExtent l="0" t="0" r="0" b="9525"/>
                <wp:wrapSquare wrapText="bothSides"/>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4350" cy="1990725"/>
                          <a:chOff x="19050" y="0"/>
                          <a:chExt cx="4324984" cy="2081512"/>
                        </a:xfrm>
                      </wpg:grpSpPr>
                      <wps:wsp>
                        <wps:cNvPr id="217" name="Text Box 2"/>
                        <wps:cNvSpPr txBox="1">
                          <a:spLocks noChangeArrowheads="1"/>
                        </wps:cNvSpPr>
                        <wps:spPr bwMode="auto">
                          <a:xfrm>
                            <a:off x="19050" y="0"/>
                            <a:ext cx="4324984" cy="492139"/>
                          </a:xfrm>
                          <a:prstGeom prst="rect">
                            <a:avLst/>
                          </a:prstGeom>
                          <a:solidFill>
                            <a:srgbClr val="FFFFFF"/>
                          </a:solidFill>
                          <a:ln w="9525">
                            <a:noFill/>
                            <a:miter lim="800000"/>
                            <a:headEnd/>
                            <a:tailEnd/>
                          </a:ln>
                        </wps:spPr>
                        <wps:txbx>
                          <w:txbxContent>
                            <w:p w14:paraId="6826AE60" w14:textId="77777777" w:rsidR="000210B2" w:rsidRPr="005540B8" w:rsidRDefault="000210B2">
                              <w:pPr>
                                <w:rPr>
                                  <w:color w:val="262626"/>
                                  <w:sz w:val="34"/>
                                  <w:szCs w:val="34"/>
                                </w:rPr>
                              </w:pPr>
                              <w:r w:rsidRPr="005540B8">
                                <w:rPr>
                                  <w:color w:val="262626"/>
                                  <w:sz w:val="34"/>
                                  <w:szCs w:val="34"/>
                                </w:rPr>
                                <w:t>Performance Oversight and Monitoring (POM)</w:t>
                              </w:r>
                            </w:p>
                          </w:txbxContent>
                        </wps:txbx>
                        <wps:bodyPr rot="0" vert="horz" wrap="square" lIns="91440" tIns="45720" rIns="91440" bIns="45720" anchor="t" anchorCtr="0">
                          <a:noAutofit/>
                        </wps:bodyPr>
                      </wps:wsp>
                      <wps:wsp>
                        <wps:cNvPr id="59" name="Text Box 2"/>
                        <wps:cNvSpPr txBox="1">
                          <a:spLocks noChangeArrowheads="1"/>
                        </wps:cNvSpPr>
                        <wps:spPr bwMode="auto">
                          <a:xfrm>
                            <a:off x="38103" y="1623380"/>
                            <a:ext cx="2292349" cy="458132"/>
                          </a:xfrm>
                          <a:prstGeom prst="rect">
                            <a:avLst/>
                          </a:prstGeom>
                          <a:solidFill>
                            <a:srgbClr val="FFFFFF"/>
                          </a:solidFill>
                          <a:ln w="9525">
                            <a:noFill/>
                            <a:miter lim="800000"/>
                            <a:headEnd/>
                            <a:tailEnd/>
                          </a:ln>
                        </wps:spPr>
                        <wps:txbx>
                          <w:txbxContent>
                            <w:p w14:paraId="6826AE61" w14:textId="060C5992" w:rsidR="000210B2" w:rsidRPr="00F94B76" w:rsidRDefault="000210B2">
                              <w:pPr>
                                <w:rPr>
                                  <w:sz w:val="30"/>
                                  <w:szCs w:val="30"/>
                                </w:rPr>
                              </w:pPr>
                              <w:r>
                                <w:rPr>
                                  <w:sz w:val="30"/>
                                  <w:szCs w:val="30"/>
                                </w:rPr>
                                <w:t>December</w:t>
                              </w:r>
                              <w:r w:rsidRPr="00F94B76">
                                <w:rPr>
                                  <w:sz w:val="30"/>
                                  <w:szCs w:val="30"/>
                                </w:rPr>
                                <w:t xml:space="preserve"> 2016</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826ADCA" id="Group 61" o:spid="_x0000_s1048" style="position:absolute;margin-left:0;margin-top:323.7pt;width:340.5pt;height:156.75pt;z-index:251651072;mso-position-horizontal:left;mso-position-horizontal-relative:margin" coordorigin="190" coordsize="43249,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">
                <v:shape id="_x0000_s1049" type="#_x0000_t202" style="position:absolute;left:190;width:43250;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826AE60" w14:textId="77777777" w:rsidR="000210B2" w:rsidRPr="005540B8" w:rsidRDefault="000210B2">
                        <w:pPr>
                          <w:rPr>
                            <w:color w:val="262626"/>
                            <w:sz w:val="34"/>
                            <w:szCs w:val="34"/>
                          </w:rPr>
                        </w:pPr>
                        <w:r w:rsidRPr="005540B8">
                          <w:rPr>
                            <w:color w:val="262626"/>
                            <w:sz w:val="34"/>
                            <w:szCs w:val="34"/>
                          </w:rPr>
                          <w:t>Performance Oversight and Monitoring (POM)</w:t>
                        </w:r>
                      </w:p>
                    </w:txbxContent>
                  </v:textbox>
                </v:shape>
                <v:shape id="_x0000_s1050" type="#_x0000_t202" style="position:absolute;left:381;top:16233;width:22923;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6826AE61" w14:textId="060C5992" w:rsidR="000210B2" w:rsidRPr="00F94B76" w:rsidRDefault="000210B2">
                        <w:pPr>
                          <w:rPr>
                            <w:sz w:val="30"/>
                            <w:szCs w:val="30"/>
                          </w:rPr>
                        </w:pPr>
                        <w:r>
                          <w:rPr>
                            <w:sz w:val="30"/>
                            <w:szCs w:val="30"/>
                          </w:rPr>
                          <w:t>December</w:t>
                        </w:r>
                        <w:r w:rsidRPr="00F94B76">
                          <w:rPr>
                            <w:sz w:val="30"/>
                            <w:szCs w:val="30"/>
                          </w:rPr>
                          <w:t xml:space="preserve"> 2016</w:t>
                        </w:r>
                      </w:p>
                    </w:txbxContent>
                  </v:textbox>
                </v:shape>
                <w10:wrap type="square" anchorx="margin"/>
              </v:group>
            </w:pict>
          </mc:Fallback>
        </mc:AlternateContent>
      </w:r>
      <w:r w:rsidR="000E0AFF">
        <w:rPr>
          <w:noProof/>
          <w:lang w:val="en-AU" w:eastAsia="en-AU"/>
        </w:rPr>
        <mc:AlternateContent>
          <mc:Choice Requires="wps">
            <w:drawing>
              <wp:anchor distT="45720" distB="45720" distL="114300" distR="114300" simplePos="0" relativeHeight="251654144" behindDoc="1" locked="0" layoutInCell="1" allowOverlap="1" wp14:anchorId="6826ADCC" wp14:editId="15B07547">
                <wp:simplePos x="0" y="0"/>
                <wp:positionH relativeFrom="column">
                  <wp:posOffset>0</wp:posOffset>
                </wp:positionH>
                <wp:positionV relativeFrom="paragraph">
                  <wp:posOffset>6202680</wp:posOffset>
                </wp:positionV>
                <wp:extent cx="5572125" cy="377190"/>
                <wp:effectExtent l="0" t="0" r="9525"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7190"/>
                        </a:xfrm>
                        <a:prstGeom prst="rect">
                          <a:avLst/>
                        </a:prstGeom>
                        <a:solidFill>
                          <a:srgbClr val="FFFFFF"/>
                        </a:solidFill>
                        <a:ln w="9525">
                          <a:noFill/>
                          <a:miter lim="800000"/>
                          <a:headEnd/>
                          <a:tailEnd/>
                        </a:ln>
                      </wps:spPr>
                      <wps:txbx>
                        <w:txbxContent>
                          <w:p w14:paraId="6826AE62" w14:textId="77777777" w:rsidR="000210B2" w:rsidRDefault="000210B2">
                            <w:r>
                              <w:t>Australian Aid – managed by the Palladium Group on behalf of the Australian Government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6ADCC" id="Text Box 2" o:spid="_x0000_s1051" type="#_x0000_t202" style="position:absolute;margin-left:0;margin-top:488.4pt;width:438.75pt;height:29.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" stroked="f">
                <v:textbox style="mso-fit-shape-to-text:t">
                  <w:txbxContent>
                    <w:p w14:paraId="6826AE62" w14:textId="77777777" w:rsidR="000210B2" w:rsidRDefault="000210B2">
                      <w:r>
                        <w:t>Australian Aid – managed by the Palladium Group on behalf of the Australian Government</w:t>
                      </w:r>
                    </w:p>
                  </w:txbxContent>
                </v:textbox>
                <w10:wrap type="square"/>
              </v:shape>
            </w:pict>
          </mc:Fallback>
        </mc:AlternateContent>
      </w:r>
      <w:r w:rsidR="00006A84">
        <w:rPr>
          <w:noProof/>
          <w:lang w:val="en-AU" w:eastAsia="en-AU"/>
        </w:rPr>
        <w:drawing>
          <wp:anchor distT="36576" distB="89916" distL="150876" distR="203327" simplePos="0" relativeHeight="251658240" behindDoc="0" locked="0" layoutInCell="1" allowOverlap="1" wp14:anchorId="6826ADC4" wp14:editId="1EF920ED">
            <wp:simplePos x="0" y="0"/>
            <wp:positionH relativeFrom="column">
              <wp:posOffset>2962021</wp:posOffset>
            </wp:positionH>
            <wp:positionV relativeFrom="paragraph">
              <wp:posOffset>1843151</wp:posOffset>
            </wp:positionV>
            <wp:extent cx="2788412" cy="1866773"/>
            <wp:effectExtent l="57150" t="57150" r="107315" b="11493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788285" cy="1866265"/>
                    </a:xfrm>
                    <a:prstGeom prst="rect">
                      <a:avLst/>
                    </a:prstGeom>
                    <a:ln w="9525" cap="flat" cmpd="sng" algn="ctr">
                      <a:solidFill>
                        <a:sysClr val="windowText" lastClr="000000"/>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6A84">
        <w:rPr>
          <w:noProof/>
          <w:lang w:val="en-AU" w:eastAsia="en-AU"/>
        </w:rPr>
        <w:drawing>
          <wp:anchor distT="109728" distB="281940" distL="224028" distR="381762" simplePos="0" relativeHeight="251649024" behindDoc="1" locked="0" layoutInCell="1" allowOverlap="1" wp14:anchorId="6826ADC6" wp14:editId="5670E296">
            <wp:simplePos x="0" y="0"/>
            <wp:positionH relativeFrom="column">
              <wp:posOffset>8636</wp:posOffset>
            </wp:positionH>
            <wp:positionV relativeFrom="paragraph">
              <wp:posOffset>1826006</wp:posOffset>
            </wp:positionV>
            <wp:extent cx="2830830" cy="1887474"/>
            <wp:effectExtent l="57150" t="57150" r="121920" b="113030"/>
            <wp:wrapNone/>
            <wp:docPr id="1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56"/>
                    <pic:cNvPicPr/>
                  </pic:nvPicPr>
                  <pic:blipFill>
                    <a:blip r:embed="rId12" cstate="print">
                      <a:extLst>
                        <a:ext uri="{28A0092B-C50C-407E-A947-70E740481C1C}">
                          <a14:useLocalDpi xmlns:a14="http://schemas.microsoft.com/office/drawing/2010/main"/>
                        </a:ext>
                      </a:extLst>
                    </a:blip>
                    <a:stretch>
                      <a:fillRect/>
                    </a:stretch>
                  </pic:blipFill>
                  <pic:spPr>
                    <a:xfrm>
                      <a:off x="0" y="0"/>
                      <a:ext cx="2830830" cy="1887220"/>
                    </a:xfrm>
                    <a:prstGeom prst="rect">
                      <a:avLst/>
                    </a:prstGeom>
                    <a:ln>
                      <a:solidFill>
                        <a:sysClr val="windowText" lastClr="000000"/>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006A84">
        <w:rPr>
          <w:noProof/>
          <w:lang w:val="en-AU" w:eastAsia="en-AU"/>
        </w:rPr>
        <mc:AlternateContent>
          <mc:Choice Requires="wps">
            <w:drawing>
              <wp:anchor distT="0" distB="0" distL="114300" distR="114300" simplePos="0" relativeHeight="251652096" behindDoc="0" locked="0" layoutInCell="1" allowOverlap="1" wp14:anchorId="6826ADC8" wp14:editId="7720C615">
                <wp:simplePos x="0" y="0"/>
                <wp:positionH relativeFrom="column">
                  <wp:posOffset>-19050</wp:posOffset>
                </wp:positionH>
                <wp:positionV relativeFrom="paragraph">
                  <wp:posOffset>4664710</wp:posOffset>
                </wp:positionV>
                <wp:extent cx="5810250" cy="1114425"/>
                <wp:effectExtent l="0" t="0" r="0" b="952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1114425"/>
                        </a:xfrm>
                        <a:prstGeom prst="rect">
                          <a:avLst/>
                        </a:prstGeom>
                        <a:solidFill>
                          <a:sysClr val="window" lastClr="FFFFFF"/>
                        </a:solidFill>
                        <a:ln w="6350">
                          <a:noFill/>
                        </a:ln>
                        <a:effectLst/>
                      </wps:spPr>
                      <wps:txbx>
                        <w:txbxContent>
                          <w:p w14:paraId="6826AE5E" w14:textId="77777777" w:rsidR="000210B2" w:rsidRDefault="000210B2" w:rsidP="00B771FE">
                            <w:pPr>
                              <w:spacing w:after="120" w:line="240" w:lineRule="auto"/>
                              <w:rPr>
                                <w:b/>
                                <w:color w:val="404040"/>
                                <w:sz w:val="56"/>
                                <w:szCs w:val="56"/>
                              </w:rPr>
                            </w:pPr>
                            <w:r>
                              <w:rPr>
                                <w:b/>
                                <w:color w:val="404040"/>
                                <w:sz w:val="56"/>
                                <w:szCs w:val="56"/>
                              </w:rPr>
                              <w:t xml:space="preserve">Education Partnership – </w:t>
                            </w:r>
                          </w:p>
                          <w:p w14:paraId="6826AE5F" w14:textId="77777777" w:rsidR="000210B2" w:rsidRPr="005540B8" w:rsidRDefault="000210B2" w:rsidP="00B771FE">
                            <w:pPr>
                              <w:spacing w:after="120" w:line="240" w:lineRule="auto"/>
                              <w:rPr>
                                <w:b/>
                                <w:color w:val="404040"/>
                                <w:sz w:val="56"/>
                                <w:szCs w:val="56"/>
                              </w:rPr>
                            </w:pPr>
                            <w:r w:rsidRPr="005540B8">
                              <w:rPr>
                                <w:b/>
                                <w:color w:val="404040"/>
                                <w:sz w:val="56"/>
                                <w:szCs w:val="56"/>
                              </w:rPr>
                              <w:t>Independent Completion Report (ICR)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6ADC8" id="Text Box 58" o:spid="_x0000_s1052" type="#_x0000_t202" style="position:absolute;margin-left:-1.5pt;margin-top:367.3pt;width:457.5pt;height:8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" fillcolor="window" stroked="f" strokeweight=".5pt">
                <v:path arrowok="t"/>
                <v:textbox>
                  <w:txbxContent>
                    <w:p w14:paraId="6826AE5E" w14:textId="77777777" w:rsidR="000210B2" w:rsidRDefault="000210B2" w:rsidP="00B771FE">
                      <w:pPr>
                        <w:spacing w:after="120" w:line="240" w:lineRule="auto"/>
                        <w:rPr>
                          <w:b/>
                          <w:color w:val="404040"/>
                          <w:sz w:val="56"/>
                          <w:szCs w:val="56"/>
                        </w:rPr>
                      </w:pPr>
                      <w:r>
                        <w:rPr>
                          <w:b/>
                          <w:color w:val="404040"/>
                          <w:sz w:val="56"/>
                          <w:szCs w:val="56"/>
                        </w:rPr>
                        <w:t xml:space="preserve">Education Partnership – </w:t>
                      </w:r>
                    </w:p>
                    <w:p w14:paraId="6826AE5F" w14:textId="77777777" w:rsidR="000210B2" w:rsidRPr="005540B8" w:rsidRDefault="000210B2" w:rsidP="00B771FE">
                      <w:pPr>
                        <w:spacing w:after="120" w:line="240" w:lineRule="auto"/>
                        <w:rPr>
                          <w:b/>
                          <w:color w:val="404040"/>
                          <w:sz w:val="56"/>
                          <w:szCs w:val="56"/>
                        </w:rPr>
                      </w:pPr>
                      <w:r w:rsidRPr="005540B8">
                        <w:rPr>
                          <w:b/>
                          <w:color w:val="404040"/>
                          <w:sz w:val="56"/>
                          <w:szCs w:val="56"/>
                        </w:rPr>
                        <w:t>Independent Completion Report (ICR)</w:t>
                      </w:r>
                    </w:p>
                  </w:txbxContent>
                </v:textbox>
              </v:shape>
            </w:pict>
          </mc:Fallback>
        </mc:AlternateContent>
      </w:r>
      <w:r w:rsidR="004D78C2">
        <w:rPr>
          <w:b/>
          <w:bCs/>
          <w:sz w:val="28"/>
          <w:szCs w:val="28"/>
        </w:rPr>
        <w:br w:type="page"/>
      </w:r>
    </w:p>
    <w:p w14:paraId="63237193" w14:textId="77777777" w:rsidR="00B4772F" w:rsidRDefault="00F6704C" w:rsidP="00F60F1A">
      <w:pPr>
        <w:pStyle w:val="Heading1-NoNumber"/>
      </w:pPr>
      <w:bookmarkStart w:id="1" w:name="_Toc465605170"/>
      <w:bookmarkStart w:id="2" w:name="_Toc468260395"/>
      <w:bookmarkStart w:id="3" w:name="_Toc473786278"/>
      <w:r w:rsidRPr="009A5A6E">
        <w:lastRenderedPageBreak/>
        <w:t>Table of Contents</w:t>
      </w:r>
      <w:bookmarkEnd w:id="1"/>
      <w:bookmarkEnd w:id="2"/>
      <w:bookmarkEnd w:id="3"/>
    </w:p>
    <w:p w14:paraId="5BBFC655" w14:textId="77777777" w:rsidR="00082D8B" w:rsidRDefault="00F6704C">
      <w:pPr>
        <w:pStyle w:val="TOC1"/>
        <w:tabs>
          <w:tab w:val="right" w:leader="dot" w:pos="9016"/>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473786278" w:history="1">
        <w:r w:rsidR="00082D8B" w:rsidRPr="008E5C03">
          <w:rPr>
            <w:rStyle w:val="Hyperlink"/>
            <w:noProof/>
          </w:rPr>
          <w:t>Table of Contents</w:t>
        </w:r>
        <w:r w:rsidR="00082D8B">
          <w:rPr>
            <w:noProof/>
            <w:webHidden/>
          </w:rPr>
          <w:tab/>
        </w:r>
        <w:r w:rsidR="00082D8B">
          <w:rPr>
            <w:noProof/>
            <w:webHidden/>
          </w:rPr>
          <w:fldChar w:fldCharType="begin"/>
        </w:r>
        <w:r w:rsidR="00082D8B">
          <w:rPr>
            <w:noProof/>
            <w:webHidden/>
          </w:rPr>
          <w:instrText xml:space="preserve"> PAGEREF _Toc473786278 \h </w:instrText>
        </w:r>
        <w:r w:rsidR="00082D8B">
          <w:rPr>
            <w:noProof/>
            <w:webHidden/>
          </w:rPr>
        </w:r>
        <w:r w:rsidR="00082D8B">
          <w:rPr>
            <w:noProof/>
            <w:webHidden/>
          </w:rPr>
          <w:fldChar w:fldCharType="separate"/>
        </w:r>
        <w:r w:rsidR="00322461">
          <w:rPr>
            <w:noProof/>
            <w:webHidden/>
          </w:rPr>
          <w:t>ii</w:t>
        </w:r>
        <w:r w:rsidR="00082D8B">
          <w:rPr>
            <w:noProof/>
            <w:webHidden/>
          </w:rPr>
          <w:fldChar w:fldCharType="end"/>
        </w:r>
      </w:hyperlink>
    </w:p>
    <w:p w14:paraId="67288FBB" w14:textId="77777777" w:rsidR="00082D8B" w:rsidRDefault="00465F50">
      <w:pPr>
        <w:pStyle w:val="TOC1"/>
        <w:tabs>
          <w:tab w:val="right" w:leader="dot" w:pos="9016"/>
        </w:tabs>
        <w:rPr>
          <w:rFonts w:asciiTheme="minorHAnsi" w:eastAsiaTheme="minorEastAsia" w:hAnsiTheme="minorHAnsi" w:cstheme="minorBidi"/>
          <w:noProof/>
          <w:lang w:val="en-US"/>
        </w:rPr>
      </w:pPr>
      <w:hyperlink w:anchor="_Toc473786279" w:history="1">
        <w:r w:rsidR="00082D8B" w:rsidRPr="008E5C03">
          <w:rPr>
            <w:rStyle w:val="Hyperlink"/>
            <w:noProof/>
          </w:rPr>
          <w:t>List of Tables</w:t>
        </w:r>
        <w:r w:rsidR="00082D8B">
          <w:rPr>
            <w:noProof/>
            <w:webHidden/>
          </w:rPr>
          <w:tab/>
        </w:r>
        <w:r w:rsidR="00082D8B">
          <w:rPr>
            <w:noProof/>
            <w:webHidden/>
          </w:rPr>
          <w:fldChar w:fldCharType="begin"/>
        </w:r>
        <w:r w:rsidR="00082D8B">
          <w:rPr>
            <w:noProof/>
            <w:webHidden/>
          </w:rPr>
          <w:instrText xml:space="preserve"> PAGEREF _Toc473786279 \h </w:instrText>
        </w:r>
        <w:r w:rsidR="00082D8B">
          <w:rPr>
            <w:noProof/>
            <w:webHidden/>
          </w:rPr>
        </w:r>
        <w:r w:rsidR="00082D8B">
          <w:rPr>
            <w:noProof/>
            <w:webHidden/>
          </w:rPr>
          <w:fldChar w:fldCharType="separate"/>
        </w:r>
        <w:r w:rsidR="00322461">
          <w:rPr>
            <w:noProof/>
            <w:webHidden/>
          </w:rPr>
          <w:t>iii</w:t>
        </w:r>
        <w:r w:rsidR="00082D8B">
          <w:rPr>
            <w:noProof/>
            <w:webHidden/>
          </w:rPr>
          <w:fldChar w:fldCharType="end"/>
        </w:r>
      </w:hyperlink>
    </w:p>
    <w:p w14:paraId="1A1EE582" w14:textId="77777777" w:rsidR="00082D8B" w:rsidRDefault="00465F50">
      <w:pPr>
        <w:pStyle w:val="TOC1"/>
        <w:tabs>
          <w:tab w:val="right" w:leader="dot" w:pos="9016"/>
        </w:tabs>
        <w:rPr>
          <w:rFonts w:asciiTheme="minorHAnsi" w:eastAsiaTheme="minorEastAsia" w:hAnsiTheme="minorHAnsi" w:cstheme="minorBidi"/>
          <w:noProof/>
          <w:lang w:val="en-US"/>
        </w:rPr>
      </w:pPr>
      <w:hyperlink w:anchor="_Toc473786280" w:history="1">
        <w:r w:rsidR="00082D8B" w:rsidRPr="008E5C03">
          <w:rPr>
            <w:rStyle w:val="Hyperlink"/>
            <w:noProof/>
          </w:rPr>
          <w:t>Abbreviations and Acronyms</w:t>
        </w:r>
        <w:r w:rsidR="00082D8B">
          <w:rPr>
            <w:noProof/>
            <w:webHidden/>
          </w:rPr>
          <w:tab/>
        </w:r>
        <w:r w:rsidR="00082D8B">
          <w:rPr>
            <w:noProof/>
            <w:webHidden/>
          </w:rPr>
          <w:fldChar w:fldCharType="begin"/>
        </w:r>
        <w:r w:rsidR="00082D8B">
          <w:rPr>
            <w:noProof/>
            <w:webHidden/>
          </w:rPr>
          <w:instrText xml:space="preserve"> PAGEREF _Toc473786280 \h </w:instrText>
        </w:r>
        <w:r w:rsidR="00082D8B">
          <w:rPr>
            <w:noProof/>
            <w:webHidden/>
          </w:rPr>
        </w:r>
        <w:r w:rsidR="00082D8B">
          <w:rPr>
            <w:noProof/>
            <w:webHidden/>
          </w:rPr>
          <w:fldChar w:fldCharType="separate"/>
        </w:r>
        <w:r w:rsidR="00322461">
          <w:rPr>
            <w:noProof/>
            <w:webHidden/>
          </w:rPr>
          <w:t>iv</w:t>
        </w:r>
        <w:r w:rsidR="00082D8B">
          <w:rPr>
            <w:noProof/>
            <w:webHidden/>
          </w:rPr>
          <w:fldChar w:fldCharType="end"/>
        </w:r>
      </w:hyperlink>
    </w:p>
    <w:p w14:paraId="2E576745" w14:textId="77777777" w:rsidR="00082D8B" w:rsidRDefault="00465F50">
      <w:pPr>
        <w:pStyle w:val="TOC1"/>
        <w:tabs>
          <w:tab w:val="right" w:leader="dot" w:pos="9016"/>
        </w:tabs>
        <w:rPr>
          <w:rFonts w:asciiTheme="minorHAnsi" w:eastAsiaTheme="minorEastAsia" w:hAnsiTheme="minorHAnsi" w:cstheme="minorBidi"/>
          <w:noProof/>
          <w:lang w:val="en-US"/>
        </w:rPr>
      </w:pPr>
      <w:hyperlink w:anchor="_Toc473786281" w:history="1">
        <w:r w:rsidR="00082D8B" w:rsidRPr="008E5C03">
          <w:rPr>
            <w:rStyle w:val="Hyperlink"/>
            <w:noProof/>
          </w:rPr>
          <w:t>Executive Summary</w:t>
        </w:r>
        <w:r w:rsidR="00082D8B">
          <w:rPr>
            <w:noProof/>
            <w:webHidden/>
          </w:rPr>
          <w:tab/>
        </w:r>
        <w:r w:rsidR="00082D8B">
          <w:rPr>
            <w:noProof/>
            <w:webHidden/>
          </w:rPr>
          <w:fldChar w:fldCharType="begin"/>
        </w:r>
        <w:r w:rsidR="00082D8B">
          <w:rPr>
            <w:noProof/>
            <w:webHidden/>
          </w:rPr>
          <w:instrText xml:space="preserve"> PAGEREF _Toc473786281 \h </w:instrText>
        </w:r>
        <w:r w:rsidR="00082D8B">
          <w:rPr>
            <w:noProof/>
            <w:webHidden/>
          </w:rPr>
        </w:r>
        <w:r w:rsidR="00082D8B">
          <w:rPr>
            <w:noProof/>
            <w:webHidden/>
          </w:rPr>
          <w:fldChar w:fldCharType="separate"/>
        </w:r>
        <w:r w:rsidR="00322461">
          <w:rPr>
            <w:noProof/>
            <w:webHidden/>
          </w:rPr>
          <w:t>viii</w:t>
        </w:r>
        <w:r w:rsidR="00082D8B">
          <w:rPr>
            <w:noProof/>
            <w:webHidden/>
          </w:rPr>
          <w:fldChar w:fldCharType="end"/>
        </w:r>
      </w:hyperlink>
    </w:p>
    <w:p w14:paraId="6A21A100" w14:textId="77777777" w:rsidR="00082D8B" w:rsidRDefault="00465F50">
      <w:pPr>
        <w:pStyle w:val="TOC1"/>
        <w:tabs>
          <w:tab w:val="left" w:pos="440"/>
          <w:tab w:val="right" w:leader="dot" w:pos="9016"/>
        </w:tabs>
        <w:rPr>
          <w:rFonts w:asciiTheme="minorHAnsi" w:eastAsiaTheme="minorEastAsia" w:hAnsiTheme="minorHAnsi" w:cstheme="minorBidi"/>
          <w:noProof/>
          <w:lang w:val="en-US"/>
        </w:rPr>
      </w:pPr>
      <w:hyperlink w:anchor="_Toc473786282" w:history="1">
        <w:r w:rsidR="00082D8B" w:rsidRPr="008E5C03">
          <w:rPr>
            <w:rStyle w:val="Hyperlink"/>
            <w:noProof/>
          </w:rPr>
          <w:t>1</w:t>
        </w:r>
        <w:r w:rsidR="00082D8B">
          <w:rPr>
            <w:rFonts w:asciiTheme="minorHAnsi" w:eastAsiaTheme="minorEastAsia" w:hAnsiTheme="minorHAnsi" w:cstheme="minorBidi"/>
            <w:noProof/>
            <w:lang w:val="en-US"/>
          </w:rPr>
          <w:tab/>
        </w:r>
        <w:r w:rsidR="00082D8B" w:rsidRPr="008E5C03">
          <w:rPr>
            <w:rStyle w:val="Hyperlink"/>
            <w:noProof/>
          </w:rPr>
          <w:t>Introduction</w:t>
        </w:r>
        <w:r w:rsidR="00082D8B">
          <w:rPr>
            <w:noProof/>
            <w:webHidden/>
          </w:rPr>
          <w:tab/>
        </w:r>
        <w:r w:rsidR="00082D8B">
          <w:rPr>
            <w:noProof/>
            <w:webHidden/>
          </w:rPr>
          <w:fldChar w:fldCharType="begin"/>
        </w:r>
        <w:r w:rsidR="00082D8B">
          <w:rPr>
            <w:noProof/>
            <w:webHidden/>
          </w:rPr>
          <w:instrText xml:space="preserve"> PAGEREF _Toc473786282 \h </w:instrText>
        </w:r>
        <w:r w:rsidR="00082D8B">
          <w:rPr>
            <w:noProof/>
            <w:webHidden/>
          </w:rPr>
        </w:r>
        <w:r w:rsidR="00082D8B">
          <w:rPr>
            <w:noProof/>
            <w:webHidden/>
          </w:rPr>
          <w:fldChar w:fldCharType="separate"/>
        </w:r>
        <w:r w:rsidR="00322461">
          <w:rPr>
            <w:noProof/>
            <w:webHidden/>
          </w:rPr>
          <w:t>1</w:t>
        </w:r>
        <w:r w:rsidR="00082D8B">
          <w:rPr>
            <w:noProof/>
            <w:webHidden/>
          </w:rPr>
          <w:fldChar w:fldCharType="end"/>
        </w:r>
      </w:hyperlink>
    </w:p>
    <w:p w14:paraId="272A5C29"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283" w:history="1">
        <w:r w:rsidR="00082D8B" w:rsidRPr="008E5C03">
          <w:rPr>
            <w:rStyle w:val="Hyperlink"/>
            <w:noProof/>
          </w:rPr>
          <w:t>1.1</w:t>
        </w:r>
        <w:r w:rsidR="00082D8B">
          <w:rPr>
            <w:rFonts w:asciiTheme="minorHAnsi" w:eastAsiaTheme="minorEastAsia" w:hAnsiTheme="minorHAnsi" w:cstheme="minorBidi"/>
            <w:noProof/>
            <w:lang w:val="en-US"/>
          </w:rPr>
          <w:tab/>
        </w:r>
        <w:r w:rsidR="00082D8B" w:rsidRPr="008E5C03">
          <w:rPr>
            <w:rStyle w:val="Hyperlink"/>
            <w:noProof/>
          </w:rPr>
          <w:t>Purpose of the ICR</w:t>
        </w:r>
        <w:r w:rsidR="00082D8B">
          <w:rPr>
            <w:noProof/>
            <w:webHidden/>
          </w:rPr>
          <w:tab/>
        </w:r>
        <w:r w:rsidR="00082D8B">
          <w:rPr>
            <w:noProof/>
            <w:webHidden/>
          </w:rPr>
          <w:fldChar w:fldCharType="begin"/>
        </w:r>
        <w:r w:rsidR="00082D8B">
          <w:rPr>
            <w:noProof/>
            <w:webHidden/>
          </w:rPr>
          <w:instrText xml:space="preserve"> PAGEREF _Toc473786283 \h </w:instrText>
        </w:r>
        <w:r w:rsidR="00082D8B">
          <w:rPr>
            <w:noProof/>
            <w:webHidden/>
          </w:rPr>
        </w:r>
        <w:r w:rsidR="00082D8B">
          <w:rPr>
            <w:noProof/>
            <w:webHidden/>
          </w:rPr>
          <w:fldChar w:fldCharType="separate"/>
        </w:r>
        <w:r w:rsidR="00322461">
          <w:rPr>
            <w:noProof/>
            <w:webHidden/>
          </w:rPr>
          <w:t>1</w:t>
        </w:r>
        <w:r w:rsidR="00082D8B">
          <w:rPr>
            <w:noProof/>
            <w:webHidden/>
          </w:rPr>
          <w:fldChar w:fldCharType="end"/>
        </w:r>
      </w:hyperlink>
    </w:p>
    <w:p w14:paraId="1F1E5E99"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284" w:history="1">
        <w:r w:rsidR="00082D8B" w:rsidRPr="008E5C03">
          <w:rPr>
            <w:rStyle w:val="Hyperlink"/>
            <w:noProof/>
          </w:rPr>
          <w:t>1.2</w:t>
        </w:r>
        <w:r w:rsidR="00082D8B">
          <w:rPr>
            <w:rFonts w:asciiTheme="minorHAnsi" w:eastAsiaTheme="minorEastAsia" w:hAnsiTheme="minorHAnsi" w:cstheme="minorBidi"/>
            <w:noProof/>
            <w:lang w:val="en-US"/>
          </w:rPr>
          <w:tab/>
        </w:r>
        <w:r w:rsidR="00082D8B" w:rsidRPr="008E5C03">
          <w:rPr>
            <w:rStyle w:val="Hyperlink"/>
            <w:noProof/>
          </w:rPr>
          <w:t>Design and structure</w:t>
        </w:r>
        <w:r w:rsidR="00082D8B">
          <w:rPr>
            <w:noProof/>
            <w:webHidden/>
          </w:rPr>
          <w:tab/>
        </w:r>
        <w:r w:rsidR="00082D8B">
          <w:rPr>
            <w:noProof/>
            <w:webHidden/>
          </w:rPr>
          <w:fldChar w:fldCharType="begin"/>
        </w:r>
        <w:r w:rsidR="00082D8B">
          <w:rPr>
            <w:noProof/>
            <w:webHidden/>
          </w:rPr>
          <w:instrText xml:space="preserve"> PAGEREF _Toc473786284 \h </w:instrText>
        </w:r>
        <w:r w:rsidR="00082D8B">
          <w:rPr>
            <w:noProof/>
            <w:webHidden/>
          </w:rPr>
        </w:r>
        <w:r w:rsidR="00082D8B">
          <w:rPr>
            <w:noProof/>
            <w:webHidden/>
          </w:rPr>
          <w:fldChar w:fldCharType="separate"/>
        </w:r>
        <w:r w:rsidR="00322461">
          <w:rPr>
            <w:noProof/>
            <w:webHidden/>
          </w:rPr>
          <w:t>1</w:t>
        </w:r>
        <w:r w:rsidR="00082D8B">
          <w:rPr>
            <w:noProof/>
            <w:webHidden/>
          </w:rPr>
          <w:fldChar w:fldCharType="end"/>
        </w:r>
      </w:hyperlink>
    </w:p>
    <w:p w14:paraId="6B1FD4EB"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285" w:history="1">
        <w:r w:rsidR="00082D8B" w:rsidRPr="008E5C03">
          <w:rPr>
            <w:rStyle w:val="Hyperlink"/>
            <w:noProof/>
          </w:rPr>
          <w:t>1.3</w:t>
        </w:r>
        <w:r w:rsidR="00082D8B">
          <w:rPr>
            <w:rFonts w:asciiTheme="minorHAnsi" w:eastAsiaTheme="minorEastAsia" w:hAnsiTheme="minorHAnsi" w:cstheme="minorBidi"/>
            <w:noProof/>
            <w:lang w:val="en-US"/>
          </w:rPr>
          <w:tab/>
        </w:r>
        <w:r w:rsidR="00082D8B" w:rsidRPr="008E5C03">
          <w:rPr>
            <w:rStyle w:val="Hyperlink"/>
            <w:noProof/>
          </w:rPr>
          <w:t>Methodology</w:t>
        </w:r>
        <w:r w:rsidR="00082D8B">
          <w:rPr>
            <w:noProof/>
            <w:webHidden/>
          </w:rPr>
          <w:tab/>
        </w:r>
        <w:r w:rsidR="00082D8B">
          <w:rPr>
            <w:noProof/>
            <w:webHidden/>
          </w:rPr>
          <w:fldChar w:fldCharType="begin"/>
        </w:r>
        <w:r w:rsidR="00082D8B">
          <w:rPr>
            <w:noProof/>
            <w:webHidden/>
          </w:rPr>
          <w:instrText xml:space="preserve"> PAGEREF _Toc473786285 \h </w:instrText>
        </w:r>
        <w:r w:rsidR="00082D8B">
          <w:rPr>
            <w:noProof/>
            <w:webHidden/>
          </w:rPr>
        </w:r>
        <w:r w:rsidR="00082D8B">
          <w:rPr>
            <w:noProof/>
            <w:webHidden/>
          </w:rPr>
          <w:fldChar w:fldCharType="separate"/>
        </w:r>
        <w:r w:rsidR="00322461">
          <w:rPr>
            <w:noProof/>
            <w:webHidden/>
          </w:rPr>
          <w:t>1</w:t>
        </w:r>
        <w:r w:rsidR="00082D8B">
          <w:rPr>
            <w:noProof/>
            <w:webHidden/>
          </w:rPr>
          <w:fldChar w:fldCharType="end"/>
        </w:r>
      </w:hyperlink>
    </w:p>
    <w:p w14:paraId="3F382432"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286" w:history="1">
        <w:r w:rsidR="00082D8B" w:rsidRPr="008E5C03">
          <w:rPr>
            <w:rStyle w:val="Hyperlink"/>
            <w:noProof/>
          </w:rPr>
          <w:t>1.4</w:t>
        </w:r>
        <w:r w:rsidR="00082D8B">
          <w:rPr>
            <w:rFonts w:asciiTheme="minorHAnsi" w:eastAsiaTheme="minorEastAsia" w:hAnsiTheme="minorHAnsi" w:cstheme="minorBidi"/>
            <w:noProof/>
            <w:lang w:val="en-US"/>
          </w:rPr>
          <w:tab/>
        </w:r>
        <w:r w:rsidR="00082D8B" w:rsidRPr="008E5C03">
          <w:rPr>
            <w:rStyle w:val="Hyperlink"/>
            <w:noProof/>
          </w:rPr>
          <w:t>Limitations</w:t>
        </w:r>
        <w:r w:rsidR="00082D8B">
          <w:rPr>
            <w:noProof/>
            <w:webHidden/>
          </w:rPr>
          <w:tab/>
        </w:r>
        <w:r w:rsidR="00082D8B">
          <w:rPr>
            <w:noProof/>
            <w:webHidden/>
          </w:rPr>
          <w:fldChar w:fldCharType="begin"/>
        </w:r>
        <w:r w:rsidR="00082D8B">
          <w:rPr>
            <w:noProof/>
            <w:webHidden/>
          </w:rPr>
          <w:instrText xml:space="preserve"> PAGEREF _Toc473786286 \h </w:instrText>
        </w:r>
        <w:r w:rsidR="00082D8B">
          <w:rPr>
            <w:noProof/>
            <w:webHidden/>
          </w:rPr>
        </w:r>
        <w:r w:rsidR="00082D8B">
          <w:rPr>
            <w:noProof/>
            <w:webHidden/>
          </w:rPr>
          <w:fldChar w:fldCharType="separate"/>
        </w:r>
        <w:r w:rsidR="00322461">
          <w:rPr>
            <w:noProof/>
            <w:webHidden/>
          </w:rPr>
          <w:t>2</w:t>
        </w:r>
        <w:r w:rsidR="00082D8B">
          <w:rPr>
            <w:noProof/>
            <w:webHidden/>
          </w:rPr>
          <w:fldChar w:fldCharType="end"/>
        </w:r>
      </w:hyperlink>
    </w:p>
    <w:p w14:paraId="67D1707F" w14:textId="77777777" w:rsidR="00082D8B" w:rsidRDefault="00465F50">
      <w:pPr>
        <w:pStyle w:val="TOC1"/>
        <w:tabs>
          <w:tab w:val="left" w:pos="440"/>
          <w:tab w:val="right" w:leader="dot" w:pos="9016"/>
        </w:tabs>
        <w:rPr>
          <w:rFonts w:asciiTheme="minorHAnsi" w:eastAsiaTheme="minorEastAsia" w:hAnsiTheme="minorHAnsi" w:cstheme="minorBidi"/>
          <w:noProof/>
          <w:lang w:val="en-US"/>
        </w:rPr>
      </w:pPr>
      <w:hyperlink w:anchor="_Toc473786287" w:history="1">
        <w:r w:rsidR="00082D8B" w:rsidRPr="008E5C03">
          <w:rPr>
            <w:rStyle w:val="Hyperlink"/>
            <w:noProof/>
          </w:rPr>
          <w:t>2</w:t>
        </w:r>
        <w:r w:rsidR="00082D8B">
          <w:rPr>
            <w:rFonts w:asciiTheme="minorHAnsi" w:eastAsiaTheme="minorEastAsia" w:hAnsiTheme="minorHAnsi" w:cstheme="minorBidi"/>
            <w:noProof/>
            <w:lang w:val="en-US"/>
          </w:rPr>
          <w:tab/>
        </w:r>
        <w:r w:rsidR="00082D8B" w:rsidRPr="008E5C03">
          <w:rPr>
            <w:rStyle w:val="Hyperlink"/>
            <w:noProof/>
          </w:rPr>
          <w:t>Overview of the Education Partnership</w:t>
        </w:r>
        <w:r w:rsidR="00082D8B">
          <w:rPr>
            <w:noProof/>
            <w:webHidden/>
          </w:rPr>
          <w:tab/>
        </w:r>
        <w:r w:rsidR="00082D8B">
          <w:rPr>
            <w:noProof/>
            <w:webHidden/>
          </w:rPr>
          <w:fldChar w:fldCharType="begin"/>
        </w:r>
        <w:r w:rsidR="00082D8B">
          <w:rPr>
            <w:noProof/>
            <w:webHidden/>
          </w:rPr>
          <w:instrText xml:space="preserve"> PAGEREF _Toc473786287 \h </w:instrText>
        </w:r>
        <w:r w:rsidR="00082D8B">
          <w:rPr>
            <w:noProof/>
            <w:webHidden/>
          </w:rPr>
        </w:r>
        <w:r w:rsidR="00082D8B">
          <w:rPr>
            <w:noProof/>
            <w:webHidden/>
          </w:rPr>
          <w:fldChar w:fldCharType="separate"/>
        </w:r>
        <w:r w:rsidR="00322461">
          <w:rPr>
            <w:noProof/>
            <w:webHidden/>
          </w:rPr>
          <w:t>3</w:t>
        </w:r>
        <w:r w:rsidR="00082D8B">
          <w:rPr>
            <w:noProof/>
            <w:webHidden/>
          </w:rPr>
          <w:fldChar w:fldCharType="end"/>
        </w:r>
      </w:hyperlink>
    </w:p>
    <w:p w14:paraId="68D5AC46"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288" w:history="1">
        <w:r w:rsidR="00082D8B" w:rsidRPr="008E5C03">
          <w:rPr>
            <w:rStyle w:val="Hyperlink"/>
            <w:noProof/>
          </w:rPr>
          <w:t>2.1</w:t>
        </w:r>
        <w:r w:rsidR="00082D8B">
          <w:rPr>
            <w:rFonts w:asciiTheme="minorHAnsi" w:eastAsiaTheme="minorEastAsia" w:hAnsiTheme="minorHAnsi" w:cstheme="minorBidi"/>
            <w:noProof/>
            <w:lang w:val="en-US"/>
          </w:rPr>
          <w:tab/>
        </w:r>
        <w:r w:rsidR="00082D8B" w:rsidRPr="008E5C03">
          <w:rPr>
            <w:rStyle w:val="Hyperlink"/>
            <w:noProof/>
          </w:rPr>
          <w:t>The Education Partnership</w:t>
        </w:r>
        <w:r w:rsidR="00082D8B">
          <w:rPr>
            <w:noProof/>
            <w:webHidden/>
          </w:rPr>
          <w:tab/>
        </w:r>
        <w:r w:rsidR="00082D8B">
          <w:rPr>
            <w:noProof/>
            <w:webHidden/>
          </w:rPr>
          <w:fldChar w:fldCharType="begin"/>
        </w:r>
        <w:r w:rsidR="00082D8B">
          <w:rPr>
            <w:noProof/>
            <w:webHidden/>
          </w:rPr>
          <w:instrText xml:space="preserve"> PAGEREF _Toc473786288 \h </w:instrText>
        </w:r>
        <w:r w:rsidR="00082D8B">
          <w:rPr>
            <w:noProof/>
            <w:webHidden/>
          </w:rPr>
        </w:r>
        <w:r w:rsidR="00082D8B">
          <w:rPr>
            <w:noProof/>
            <w:webHidden/>
          </w:rPr>
          <w:fldChar w:fldCharType="separate"/>
        </w:r>
        <w:r w:rsidR="00322461">
          <w:rPr>
            <w:noProof/>
            <w:webHidden/>
          </w:rPr>
          <w:t>3</w:t>
        </w:r>
        <w:r w:rsidR="00082D8B">
          <w:rPr>
            <w:noProof/>
            <w:webHidden/>
          </w:rPr>
          <w:fldChar w:fldCharType="end"/>
        </w:r>
      </w:hyperlink>
    </w:p>
    <w:p w14:paraId="683EE819"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289" w:history="1">
        <w:r w:rsidR="00082D8B" w:rsidRPr="008E5C03">
          <w:rPr>
            <w:rStyle w:val="Hyperlink"/>
            <w:noProof/>
          </w:rPr>
          <w:t>2.2</w:t>
        </w:r>
        <w:r w:rsidR="00082D8B">
          <w:rPr>
            <w:rFonts w:asciiTheme="minorHAnsi" w:eastAsiaTheme="minorEastAsia" w:hAnsiTheme="minorHAnsi" w:cstheme="minorBidi"/>
            <w:noProof/>
            <w:lang w:val="en-US"/>
          </w:rPr>
          <w:tab/>
        </w:r>
        <w:r w:rsidR="00082D8B" w:rsidRPr="008E5C03">
          <w:rPr>
            <w:rStyle w:val="Hyperlink"/>
            <w:noProof/>
          </w:rPr>
          <w:t>The initial context of the EP</w:t>
        </w:r>
        <w:r w:rsidR="00082D8B">
          <w:rPr>
            <w:noProof/>
            <w:webHidden/>
          </w:rPr>
          <w:tab/>
        </w:r>
        <w:r w:rsidR="00082D8B">
          <w:rPr>
            <w:noProof/>
            <w:webHidden/>
          </w:rPr>
          <w:fldChar w:fldCharType="begin"/>
        </w:r>
        <w:r w:rsidR="00082D8B">
          <w:rPr>
            <w:noProof/>
            <w:webHidden/>
          </w:rPr>
          <w:instrText xml:space="preserve"> PAGEREF _Toc473786289 \h </w:instrText>
        </w:r>
        <w:r w:rsidR="00082D8B">
          <w:rPr>
            <w:noProof/>
            <w:webHidden/>
          </w:rPr>
        </w:r>
        <w:r w:rsidR="00082D8B">
          <w:rPr>
            <w:noProof/>
            <w:webHidden/>
          </w:rPr>
          <w:fldChar w:fldCharType="separate"/>
        </w:r>
        <w:r w:rsidR="00322461">
          <w:rPr>
            <w:noProof/>
            <w:webHidden/>
          </w:rPr>
          <w:t>4</w:t>
        </w:r>
        <w:r w:rsidR="00082D8B">
          <w:rPr>
            <w:noProof/>
            <w:webHidden/>
          </w:rPr>
          <w:fldChar w:fldCharType="end"/>
        </w:r>
      </w:hyperlink>
    </w:p>
    <w:p w14:paraId="505AEBC9"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290" w:history="1">
        <w:r w:rsidR="00082D8B" w:rsidRPr="008E5C03">
          <w:rPr>
            <w:rStyle w:val="Hyperlink"/>
            <w:noProof/>
          </w:rPr>
          <w:t>2.3</w:t>
        </w:r>
        <w:r w:rsidR="00082D8B">
          <w:rPr>
            <w:rFonts w:asciiTheme="minorHAnsi" w:eastAsiaTheme="minorEastAsia" w:hAnsiTheme="minorHAnsi" w:cstheme="minorBidi"/>
            <w:noProof/>
            <w:lang w:val="en-US"/>
          </w:rPr>
          <w:tab/>
        </w:r>
        <w:r w:rsidR="00082D8B" w:rsidRPr="008E5C03">
          <w:rPr>
            <w:rStyle w:val="Hyperlink"/>
            <w:noProof/>
          </w:rPr>
          <w:t>The evolving context of the EP</w:t>
        </w:r>
        <w:r w:rsidR="00082D8B">
          <w:rPr>
            <w:noProof/>
            <w:webHidden/>
          </w:rPr>
          <w:tab/>
        </w:r>
        <w:r w:rsidR="00082D8B">
          <w:rPr>
            <w:noProof/>
            <w:webHidden/>
          </w:rPr>
          <w:fldChar w:fldCharType="begin"/>
        </w:r>
        <w:r w:rsidR="00082D8B">
          <w:rPr>
            <w:noProof/>
            <w:webHidden/>
          </w:rPr>
          <w:instrText xml:space="preserve"> PAGEREF _Toc473786290 \h </w:instrText>
        </w:r>
        <w:r w:rsidR="00082D8B">
          <w:rPr>
            <w:noProof/>
            <w:webHidden/>
          </w:rPr>
        </w:r>
        <w:r w:rsidR="00082D8B">
          <w:rPr>
            <w:noProof/>
            <w:webHidden/>
          </w:rPr>
          <w:fldChar w:fldCharType="separate"/>
        </w:r>
        <w:r w:rsidR="00322461">
          <w:rPr>
            <w:noProof/>
            <w:webHidden/>
          </w:rPr>
          <w:t>5</w:t>
        </w:r>
        <w:r w:rsidR="00082D8B">
          <w:rPr>
            <w:noProof/>
            <w:webHidden/>
          </w:rPr>
          <w:fldChar w:fldCharType="end"/>
        </w:r>
      </w:hyperlink>
    </w:p>
    <w:p w14:paraId="4B145CA7" w14:textId="77777777" w:rsidR="00082D8B" w:rsidRDefault="00465F50">
      <w:pPr>
        <w:pStyle w:val="TOC1"/>
        <w:tabs>
          <w:tab w:val="left" w:pos="440"/>
          <w:tab w:val="right" w:leader="dot" w:pos="9016"/>
        </w:tabs>
        <w:rPr>
          <w:rFonts w:asciiTheme="minorHAnsi" w:eastAsiaTheme="minorEastAsia" w:hAnsiTheme="minorHAnsi" w:cstheme="minorBidi"/>
          <w:noProof/>
          <w:lang w:val="en-US"/>
        </w:rPr>
      </w:pPr>
      <w:hyperlink w:anchor="_Toc473786291" w:history="1">
        <w:r w:rsidR="00082D8B" w:rsidRPr="008E5C03">
          <w:rPr>
            <w:rStyle w:val="Hyperlink"/>
            <w:noProof/>
          </w:rPr>
          <w:t>3</w:t>
        </w:r>
        <w:r w:rsidR="00082D8B">
          <w:rPr>
            <w:rFonts w:asciiTheme="minorHAnsi" w:eastAsiaTheme="minorEastAsia" w:hAnsiTheme="minorHAnsi" w:cstheme="minorBidi"/>
            <w:noProof/>
            <w:lang w:val="en-US"/>
          </w:rPr>
          <w:tab/>
        </w:r>
        <w:r w:rsidR="00082D8B" w:rsidRPr="008E5C03">
          <w:rPr>
            <w:rStyle w:val="Hyperlink"/>
            <w:noProof/>
          </w:rPr>
          <w:t>Achievements</w:t>
        </w:r>
        <w:r w:rsidR="00082D8B">
          <w:rPr>
            <w:noProof/>
            <w:webHidden/>
          </w:rPr>
          <w:tab/>
        </w:r>
        <w:r w:rsidR="00082D8B">
          <w:rPr>
            <w:noProof/>
            <w:webHidden/>
          </w:rPr>
          <w:fldChar w:fldCharType="begin"/>
        </w:r>
        <w:r w:rsidR="00082D8B">
          <w:rPr>
            <w:noProof/>
            <w:webHidden/>
          </w:rPr>
          <w:instrText xml:space="preserve"> PAGEREF _Toc473786291 \h </w:instrText>
        </w:r>
        <w:r w:rsidR="00082D8B">
          <w:rPr>
            <w:noProof/>
            <w:webHidden/>
          </w:rPr>
        </w:r>
        <w:r w:rsidR="00082D8B">
          <w:rPr>
            <w:noProof/>
            <w:webHidden/>
          </w:rPr>
          <w:fldChar w:fldCharType="separate"/>
        </w:r>
        <w:r w:rsidR="00322461">
          <w:rPr>
            <w:noProof/>
            <w:webHidden/>
          </w:rPr>
          <w:t>7</w:t>
        </w:r>
        <w:r w:rsidR="00082D8B">
          <w:rPr>
            <w:noProof/>
            <w:webHidden/>
          </w:rPr>
          <w:fldChar w:fldCharType="end"/>
        </w:r>
      </w:hyperlink>
    </w:p>
    <w:p w14:paraId="67335C51" w14:textId="77777777" w:rsidR="00082D8B" w:rsidRDefault="00465F50">
      <w:pPr>
        <w:pStyle w:val="TOC1"/>
        <w:tabs>
          <w:tab w:val="left" w:pos="440"/>
          <w:tab w:val="right" w:leader="dot" w:pos="9016"/>
        </w:tabs>
        <w:rPr>
          <w:rFonts w:asciiTheme="minorHAnsi" w:eastAsiaTheme="minorEastAsia" w:hAnsiTheme="minorHAnsi" w:cstheme="minorBidi"/>
          <w:noProof/>
          <w:lang w:val="en-US"/>
        </w:rPr>
      </w:pPr>
      <w:hyperlink w:anchor="_Toc473786292" w:history="1">
        <w:r w:rsidR="00082D8B" w:rsidRPr="008E5C03">
          <w:rPr>
            <w:rStyle w:val="Hyperlink"/>
            <w:noProof/>
          </w:rPr>
          <w:t>4</w:t>
        </w:r>
        <w:r w:rsidR="00082D8B">
          <w:rPr>
            <w:rFonts w:asciiTheme="minorHAnsi" w:eastAsiaTheme="minorEastAsia" w:hAnsiTheme="minorHAnsi" w:cstheme="minorBidi"/>
            <w:noProof/>
            <w:lang w:val="en-US"/>
          </w:rPr>
          <w:tab/>
        </w:r>
        <w:r w:rsidR="00082D8B" w:rsidRPr="008E5C03">
          <w:rPr>
            <w:rStyle w:val="Hyperlink"/>
            <w:noProof/>
          </w:rPr>
          <w:t>Performance</w:t>
        </w:r>
        <w:r w:rsidR="00082D8B">
          <w:rPr>
            <w:noProof/>
            <w:webHidden/>
          </w:rPr>
          <w:tab/>
        </w:r>
        <w:r w:rsidR="00082D8B">
          <w:rPr>
            <w:noProof/>
            <w:webHidden/>
          </w:rPr>
          <w:fldChar w:fldCharType="begin"/>
        </w:r>
        <w:r w:rsidR="00082D8B">
          <w:rPr>
            <w:noProof/>
            <w:webHidden/>
          </w:rPr>
          <w:instrText xml:space="preserve"> PAGEREF _Toc473786292 \h </w:instrText>
        </w:r>
        <w:r w:rsidR="00082D8B">
          <w:rPr>
            <w:noProof/>
            <w:webHidden/>
          </w:rPr>
        </w:r>
        <w:r w:rsidR="00082D8B">
          <w:rPr>
            <w:noProof/>
            <w:webHidden/>
          </w:rPr>
          <w:fldChar w:fldCharType="separate"/>
        </w:r>
        <w:r w:rsidR="00322461">
          <w:rPr>
            <w:noProof/>
            <w:webHidden/>
          </w:rPr>
          <w:t>11</w:t>
        </w:r>
        <w:r w:rsidR="00082D8B">
          <w:rPr>
            <w:noProof/>
            <w:webHidden/>
          </w:rPr>
          <w:fldChar w:fldCharType="end"/>
        </w:r>
      </w:hyperlink>
    </w:p>
    <w:p w14:paraId="38696D9D"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293" w:history="1">
        <w:r w:rsidR="00082D8B" w:rsidRPr="008E5C03">
          <w:rPr>
            <w:rStyle w:val="Hyperlink"/>
            <w:noProof/>
          </w:rPr>
          <w:t>4.1</w:t>
        </w:r>
        <w:r w:rsidR="00082D8B">
          <w:rPr>
            <w:rFonts w:asciiTheme="minorHAnsi" w:eastAsiaTheme="minorEastAsia" w:hAnsiTheme="minorHAnsi" w:cstheme="minorBidi"/>
            <w:noProof/>
            <w:lang w:val="en-US"/>
          </w:rPr>
          <w:tab/>
        </w:r>
        <w:r w:rsidR="00082D8B" w:rsidRPr="008E5C03">
          <w:rPr>
            <w:rStyle w:val="Hyperlink"/>
            <w:noProof/>
          </w:rPr>
          <w:t>Introduction</w:t>
        </w:r>
        <w:r w:rsidR="00082D8B">
          <w:rPr>
            <w:noProof/>
            <w:webHidden/>
          </w:rPr>
          <w:tab/>
        </w:r>
        <w:r w:rsidR="00082D8B">
          <w:rPr>
            <w:noProof/>
            <w:webHidden/>
          </w:rPr>
          <w:fldChar w:fldCharType="begin"/>
        </w:r>
        <w:r w:rsidR="00082D8B">
          <w:rPr>
            <w:noProof/>
            <w:webHidden/>
          </w:rPr>
          <w:instrText xml:space="preserve"> PAGEREF _Toc473786293 \h </w:instrText>
        </w:r>
        <w:r w:rsidR="00082D8B">
          <w:rPr>
            <w:noProof/>
            <w:webHidden/>
          </w:rPr>
        </w:r>
        <w:r w:rsidR="00082D8B">
          <w:rPr>
            <w:noProof/>
            <w:webHidden/>
          </w:rPr>
          <w:fldChar w:fldCharType="separate"/>
        </w:r>
        <w:r w:rsidR="00322461">
          <w:rPr>
            <w:noProof/>
            <w:webHidden/>
          </w:rPr>
          <w:t>11</w:t>
        </w:r>
        <w:r w:rsidR="00082D8B">
          <w:rPr>
            <w:noProof/>
            <w:webHidden/>
          </w:rPr>
          <w:fldChar w:fldCharType="end"/>
        </w:r>
      </w:hyperlink>
    </w:p>
    <w:p w14:paraId="3F9EDFE0"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294" w:history="1">
        <w:r w:rsidR="00082D8B" w:rsidRPr="008E5C03">
          <w:rPr>
            <w:rStyle w:val="Hyperlink"/>
            <w:noProof/>
          </w:rPr>
          <w:t>4.2</w:t>
        </w:r>
        <w:r w:rsidR="00082D8B">
          <w:rPr>
            <w:rFonts w:asciiTheme="minorHAnsi" w:eastAsiaTheme="minorEastAsia" w:hAnsiTheme="minorHAnsi" w:cstheme="minorBidi"/>
            <w:noProof/>
            <w:lang w:val="en-US"/>
          </w:rPr>
          <w:tab/>
        </w:r>
        <w:r w:rsidR="00082D8B" w:rsidRPr="008E5C03">
          <w:rPr>
            <w:rStyle w:val="Hyperlink"/>
            <w:noProof/>
          </w:rPr>
          <w:t>Overview of EP performance assessment frameworks</w:t>
        </w:r>
        <w:r w:rsidR="00082D8B">
          <w:rPr>
            <w:noProof/>
            <w:webHidden/>
          </w:rPr>
          <w:tab/>
        </w:r>
        <w:r w:rsidR="00082D8B">
          <w:rPr>
            <w:noProof/>
            <w:webHidden/>
          </w:rPr>
          <w:fldChar w:fldCharType="begin"/>
        </w:r>
        <w:r w:rsidR="00082D8B">
          <w:rPr>
            <w:noProof/>
            <w:webHidden/>
          </w:rPr>
          <w:instrText xml:space="preserve"> PAGEREF _Toc473786294 \h </w:instrText>
        </w:r>
        <w:r w:rsidR="00082D8B">
          <w:rPr>
            <w:noProof/>
            <w:webHidden/>
          </w:rPr>
        </w:r>
        <w:r w:rsidR="00082D8B">
          <w:rPr>
            <w:noProof/>
            <w:webHidden/>
          </w:rPr>
          <w:fldChar w:fldCharType="separate"/>
        </w:r>
        <w:r w:rsidR="00322461">
          <w:rPr>
            <w:noProof/>
            <w:webHidden/>
          </w:rPr>
          <w:t>11</w:t>
        </w:r>
        <w:r w:rsidR="00082D8B">
          <w:rPr>
            <w:noProof/>
            <w:webHidden/>
          </w:rPr>
          <w:fldChar w:fldCharType="end"/>
        </w:r>
      </w:hyperlink>
    </w:p>
    <w:p w14:paraId="42AE669E"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297" w:history="1">
        <w:r w:rsidR="00082D8B" w:rsidRPr="008E5C03">
          <w:rPr>
            <w:rStyle w:val="Hyperlink"/>
            <w:noProof/>
          </w:rPr>
          <w:t>4.3</w:t>
        </w:r>
        <w:r w:rsidR="00082D8B">
          <w:rPr>
            <w:rFonts w:asciiTheme="minorHAnsi" w:eastAsiaTheme="minorEastAsia" w:hAnsiTheme="minorHAnsi" w:cstheme="minorBidi"/>
            <w:noProof/>
            <w:lang w:val="en-US"/>
          </w:rPr>
          <w:tab/>
        </w:r>
        <w:r w:rsidR="00082D8B" w:rsidRPr="008E5C03">
          <w:rPr>
            <w:rStyle w:val="Hyperlink"/>
            <w:noProof/>
          </w:rPr>
          <w:t>Component 1: School Construction</w:t>
        </w:r>
        <w:r w:rsidR="00082D8B">
          <w:rPr>
            <w:noProof/>
            <w:webHidden/>
          </w:rPr>
          <w:tab/>
        </w:r>
        <w:r w:rsidR="00082D8B">
          <w:rPr>
            <w:noProof/>
            <w:webHidden/>
          </w:rPr>
          <w:fldChar w:fldCharType="begin"/>
        </w:r>
        <w:r w:rsidR="00082D8B">
          <w:rPr>
            <w:noProof/>
            <w:webHidden/>
          </w:rPr>
          <w:instrText xml:space="preserve"> PAGEREF _Toc473786297 \h </w:instrText>
        </w:r>
        <w:r w:rsidR="00082D8B">
          <w:rPr>
            <w:noProof/>
            <w:webHidden/>
          </w:rPr>
        </w:r>
        <w:r w:rsidR="00082D8B">
          <w:rPr>
            <w:noProof/>
            <w:webHidden/>
          </w:rPr>
          <w:fldChar w:fldCharType="separate"/>
        </w:r>
        <w:r w:rsidR="00322461">
          <w:rPr>
            <w:noProof/>
            <w:webHidden/>
          </w:rPr>
          <w:t>12</w:t>
        </w:r>
        <w:r w:rsidR="00082D8B">
          <w:rPr>
            <w:noProof/>
            <w:webHidden/>
          </w:rPr>
          <w:fldChar w:fldCharType="end"/>
        </w:r>
      </w:hyperlink>
    </w:p>
    <w:p w14:paraId="553A977E"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06" w:history="1">
        <w:r w:rsidR="00082D8B" w:rsidRPr="008E5C03">
          <w:rPr>
            <w:rStyle w:val="Hyperlink"/>
            <w:noProof/>
          </w:rPr>
          <w:t>4.4</w:t>
        </w:r>
        <w:r w:rsidR="00082D8B">
          <w:rPr>
            <w:rFonts w:asciiTheme="minorHAnsi" w:eastAsiaTheme="minorEastAsia" w:hAnsiTheme="minorHAnsi" w:cstheme="minorBidi"/>
            <w:noProof/>
            <w:lang w:val="en-US"/>
          </w:rPr>
          <w:tab/>
        </w:r>
        <w:r w:rsidR="00082D8B" w:rsidRPr="008E5C03">
          <w:rPr>
            <w:rStyle w:val="Hyperlink"/>
            <w:noProof/>
          </w:rPr>
          <w:t>Component 2: School and District Management</w:t>
        </w:r>
        <w:r w:rsidR="00082D8B">
          <w:rPr>
            <w:noProof/>
            <w:webHidden/>
          </w:rPr>
          <w:tab/>
        </w:r>
        <w:r w:rsidR="00082D8B">
          <w:rPr>
            <w:noProof/>
            <w:webHidden/>
          </w:rPr>
          <w:fldChar w:fldCharType="begin"/>
        </w:r>
        <w:r w:rsidR="00082D8B">
          <w:rPr>
            <w:noProof/>
            <w:webHidden/>
          </w:rPr>
          <w:instrText xml:space="preserve"> PAGEREF _Toc473786306 \h </w:instrText>
        </w:r>
        <w:r w:rsidR="00082D8B">
          <w:rPr>
            <w:noProof/>
            <w:webHidden/>
          </w:rPr>
        </w:r>
        <w:r w:rsidR="00082D8B">
          <w:rPr>
            <w:noProof/>
            <w:webHidden/>
          </w:rPr>
          <w:fldChar w:fldCharType="separate"/>
        </w:r>
        <w:r w:rsidR="00322461">
          <w:rPr>
            <w:noProof/>
            <w:webHidden/>
          </w:rPr>
          <w:t>14</w:t>
        </w:r>
        <w:r w:rsidR="00082D8B">
          <w:rPr>
            <w:noProof/>
            <w:webHidden/>
          </w:rPr>
          <w:fldChar w:fldCharType="end"/>
        </w:r>
      </w:hyperlink>
    </w:p>
    <w:p w14:paraId="4EC338C0"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15" w:history="1">
        <w:r w:rsidR="00082D8B" w:rsidRPr="008E5C03">
          <w:rPr>
            <w:rStyle w:val="Hyperlink"/>
            <w:noProof/>
          </w:rPr>
          <w:t>4.5</w:t>
        </w:r>
        <w:r w:rsidR="00082D8B">
          <w:rPr>
            <w:rFonts w:asciiTheme="minorHAnsi" w:eastAsiaTheme="minorEastAsia" w:hAnsiTheme="minorHAnsi" w:cstheme="minorBidi"/>
            <w:noProof/>
            <w:lang w:val="en-US"/>
          </w:rPr>
          <w:tab/>
        </w:r>
        <w:r w:rsidR="00082D8B" w:rsidRPr="008E5C03">
          <w:rPr>
            <w:rStyle w:val="Hyperlink"/>
            <w:noProof/>
          </w:rPr>
          <w:t>Component 3: Islamic School Accreditation</w:t>
        </w:r>
        <w:r w:rsidR="00082D8B">
          <w:rPr>
            <w:noProof/>
            <w:webHidden/>
          </w:rPr>
          <w:tab/>
        </w:r>
        <w:r w:rsidR="00082D8B">
          <w:rPr>
            <w:noProof/>
            <w:webHidden/>
          </w:rPr>
          <w:fldChar w:fldCharType="begin"/>
        </w:r>
        <w:r w:rsidR="00082D8B">
          <w:rPr>
            <w:noProof/>
            <w:webHidden/>
          </w:rPr>
          <w:instrText xml:space="preserve"> PAGEREF _Toc473786315 \h </w:instrText>
        </w:r>
        <w:r w:rsidR="00082D8B">
          <w:rPr>
            <w:noProof/>
            <w:webHidden/>
          </w:rPr>
        </w:r>
        <w:r w:rsidR="00082D8B">
          <w:rPr>
            <w:noProof/>
            <w:webHidden/>
          </w:rPr>
          <w:fldChar w:fldCharType="separate"/>
        </w:r>
        <w:r w:rsidR="00322461">
          <w:rPr>
            <w:noProof/>
            <w:webHidden/>
          </w:rPr>
          <w:t>17</w:t>
        </w:r>
        <w:r w:rsidR="00082D8B">
          <w:rPr>
            <w:noProof/>
            <w:webHidden/>
          </w:rPr>
          <w:fldChar w:fldCharType="end"/>
        </w:r>
      </w:hyperlink>
    </w:p>
    <w:p w14:paraId="499DA8FC"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24" w:history="1">
        <w:r w:rsidR="00082D8B" w:rsidRPr="008E5C03">
          <w:rPr>
            <w:rStyle w:val="Hyperlink"/>
            <w:noProof/>
          </w:rPr>
          <w:t>4.6</w:t>
        </w:r>
        <w:r w:rsidR="00082D8B">
          <w:rPr>
            <w:rFonts w:asciiTheme="minorHAnsi" w:eastAsiaTheme="minorEastAsia" w:hAnsiTheme="minorHAnsi" w:cstheme="minorBidi"/>
            <w:noProof/>
            <w:lang w:val="en-US"/>
          </w:rPr>
          <w:tab/>
        </w:r>
        <w:r w:rsidR="00082D8B" w:rsidRPr="008E5C03">
          <w:rPr>
            <w:rStyle w:val="Hyperlink"/>
            <w:noProof/>
          </w:rPr>
          <w:t>Component 4: Analytical Capacity and Development Partnership</w:t>
        </w:r>
        <w:r w:rsidR="00082D8B">
          <w:rPr>
            <w:noProof/>
            <w:webHidden/>
          </w:rPr>
          <w:tab/>
        </w:r>
        <w:r w:rsidR="00082D8B">
          <w:rPr>
            <w:noProof/>
            <w:webHidden/>
          </w:rPr>
          <w:fldChar w:fldCharType="begin"/>
        </w:r>
        <w:r w:rsidR="00082D8B">
          <w:rPr>
            <w:noProof/>
            <w:webHidden/>
          </w:rPr>
          <w:instrText xml:space="preserve"> PAGEREF _Toc473786324 \h </w:instrText>
        </w:r>
        <w:r w:rsidR="00082D8B">
          <w:rPr>
            <w:noProof/>
            <w:webHidden/>
          </w:rPr>
        </w:r>
        <w:r w:rsidR="00082D8B">
          <w:rPr>
            <w:noProof/>
            <w:webHidden/>
          </w:rPr>
          <w:fldChar w:fldCharType="separate"/>
        </w:r>
        <w:r w:rsidR="00322461">
          <w:rPr>
            <w:noProof/>
            <w:webHidden/>
          </w:rPr>
          <w:t>19</w:t>
        </w:r>
        <w:r w:rsidR="00082D8B">
          <w:rPr>
            <w:noProof/>
            <w:webHidden/>
          </w:rPr>
          <w:fldChar w:fldCharType="end"/>
        </w:r>
      </w:hyperlink>
    </w:p>
    <w:p w14:paraId="137969FC"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33" w:history="1">
        <w:r w:rsidR="00082D8B" w:rsidRPr="008E5C03">
          <w:rPr>
            <w:rStyle w:val="Hyperlink"/>
            <w:noProof/>
          </w:rPr>
          <w:t>4.7</w:t>
        </w:r>
        <w:r w:rsidR="00082D8B">
          <w:rPr>
            <w:rFonts w:asciiTheme="minorHAnsi" w:eastAsiaTheme="minorEastAsia" w:hAnsiTheme="minorHAnsi" w:cstheme="minorBidi"/>
            <w:noProof/>
            <w:lang w:val="en-US"/>
          </w:rPr>
          <w:tab/>
        </w:r>
        <w:r w:rsidR="00082D8B" w:rsidRPr="008E5C03">
          <w:rPr>
            <w:rStyle w:val="Hyperlink"/>
            <w:noProof/>
          </w:rPr>
          <w:t>Cross-component issues</w:t>
        </w:r>
        <w:r w:rsidR="00082D8B">
          <w:rPr>
            <w:noProof/>
            <w:webHidden/>
          </w:rPr>
          <w:tab/>
        </w:r>
        <w:r w:rsidR="00082D8B">
          <w:rPr>
            <w:noProof/>
            <w:webHidden/>
          </w:rPr>
          <w:fldChar w:fldCharType="begin"/>
        </w:r>
        <w:r w:rsidR="00082D8B">
          <w:rPr>
            <w:noProof/>
            <w:webHidden/>
          </w:rPr>
          <w:instrText xml:space="preserve"> PAGEREF _Toc473786333 \h </w:instrText>
        </w:r>
        <w:r w:rsidR="00082D8B">
          <w:rPr>
            <w:noProof/>
            <w:webHidden/>
          </w:rPr>
        </w:r>
        <w:r w:rsidR="00082D8B">
          <w:rPr>
            <w:noProof/>
            <w:webHidden/>
          </w:rPr>
          <w:fldChar w:fldCharType="separate"/>
        </w:r>
        <w:r w:rsidR="00322461">
          <w:rPr>
            <w:noProof/>
            <w:webHidden/>
          </w:rPr>
          <w:t>22</w:t>
        </w:r>
        <w:r w:rsidR="00082D8B">
          <w:rPr>
            <w:noProof/>
            <w:webHidden/>
          </w:rPr>
          <w:fldChar w:fldCharType="end"/>
        </w:r>
      </w:hyperlink>
    </w:p>
    <w:p w14:paraId="259EEB39" w14:textId="77777777" w:rsidR="00082D8B" w:rsidRDefault="00465F50">
      <w:pPr>
        <w:pStyle w:val="TOC1"/>
        <w:tabs>
          <w:tab w:val="left" w:pos="440"/>
          <w:tab w:val="right" w:leader="dot" w:pos="9016"/>
        </w:tabs>
        <w:rPr>
          <w:rFonts w:asciiTheme="minorHAnsi" w:eastAsiaTheme="minorEastAsia" w:hAnsiTheme="minorHAnsi" w:cstheme="minorBidi"/>
          <w:noProof/>
          <w:lang w:val="en-US"/>
        </w:rPr>
      </w:pPr>
      <w:hyperlink w:anchor="_Toc473786336" w:history="1">
        <w:r w:rsidR="00082D8B" w:rsidRPr="008E5C03">
          <w:rPr>
            <w:rStyle w:val="Hyperlink"/>
            <w:noProof/>
          </w:rPr>
          <w:t>5</w:t>
        </w:r>
        <w:r w:rsidR="00082D8B">
          <w:rPr>
            <w:rFonts w:asciiTheme="minorHAnsi" w:eastAsiaTheme="minorEastAsia" w:hAnsiTheme="minorHAnsi" w:cstheme="minorBidi"/>
            <w:noProof/>
            <w:lang w:val="en-US"/>
          </w:rPr>
          <w:tab/>
        </w:r>
        <w:r w:rsidR="00082D8B" w:rsidRPr="008E5C03">
          <w:rPr>
            <w:rStyle w:val="Hyperlink"/>
            <w:noProof/>
          </w:rPr>
          <w:t>Analysis</w:t>
        </w:r>
        <w:r w:rsidR="00082D8B">
          <w:rPr>
            <w:noProof/>
            <w:webHidden/>
          </w:rPr>
          <w:tab/>
        </w:r>
        <w:r w:rsidR="00082D8B">
          <w:rPr>
            <w:noProof/>
            <w:webHidden/>
          </w:rPr>
          <w:fldChar w:fldCharType="begin"/>
        </w:r>
        <w:r w:rsidR="00082D8B">
          <w:rPr>
            <w:noProof/>
            <w:webHidden/>
          </w:rPr>
          <w:instrText xml:space="preserve"> PAGEREF _Toc473786336 \h </w:instrText>
        </w:r>
        <w:r w:rsidR="00082D8B">
          <w:rPr>
            <w:noProof/>
            <w:webHidden/>
          </w:rPr>
        </w:r>
        <w:r w:rsidR="00082D8B">
          <w:rPr>
            <w:noProof/>
            <w:webHidden/>
          </w:rPr>
          <w:fldChar w:fldCharType="separate"/>
        </w:r>
        <w:r w:rsidR="00322461">
          <w:rPr>
            <w:noProof/>
            <w:webHidden/>
          </w:rPr>
          <w:t>24</w:t>
        </w:r>
        <w:r w:rsidR="00082D8B">
          <w:rPr>
            <w:noProof/>
            <w:webHidden/>
          </w:rPr>
          <w:fldChar w:fldCharType="end"/>
        </w:r>
      </w:hyperlink>
    </w:p>
    <w:p w14:paraId="5CB2B3BC"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37" w:history="1">
        <w:r w:rsidR="00082D8B" w:rsidRPr="008E5C03">
          <w:rPr>
            <w:rStyle w:val="Hyperlink"/>
            <w:noProof/>
          </w:rPr>
          <w:t>5.1</w:t>
        </w:r>
        <w:r w:rsidR="00082D8B">
          <w:rPr>
            <w:rFonts w:asciiTheme="minorHAnsi" w:eastAsiaTheme="minorEastAsia" w:hAnsiTheme="minorHAnsi" w:cstheme="minorBidi"/>
            <w:noProof/>
            <w:lang w:val="en-US"/>
          </w:rPr>
          <w:tab/>
        </w:r>
        <w:r w:rsidR="00082D8B" w:rsidRPr="008E5C03">
          <w:rPr>
            <w:rStyle w:val="Hyperlink"/>
            <w:noProof/>
          </w:rPr>
          <w:t>Introduction</w:t>
        </w:r>
        <w:r w:rsidR="00082D8B">
          <w:rPr>
            <w:noProof/>
            <w:webHidden/>
          </w:rPr>
          <w:tab/>
        </w:r>
        <w:r w:rsidR="00082D8B">
          <w:rPr>
            <w:noProof/>
            <w:webHidden/>
          </w:rPr>
          <w:fldChar w:fldCharType="begin"/>
        </w:r>
        <w:r w:rsidR="00082D8B">
          <w:rPr>
            <w:noProof/>
            <w:webHidden/>
          </w:rPr>
          <w:instrText xml:space="preserve"> PAGEREF _Toc473786337 \h </w:instrText>
        </w:r>
        <w:r w:rsidR="00082D8B">
          <w:rPr>
            <w:noProof/>
            <w:webHidden/>
          </w:rPr>
        </w:r>
        <w:r w:rsidR="00082D8B">
          <w:rPr>
            <w:noProof/>
            <w:webHidden/>
          </w:rPr>
          <w:fldChar w:fldCharType="separate"/>
        </w:r>
        <w:r w:rsidR="00322461">
          <w:rPr>
            <w:noProof/>
            <w:webHidden/>
          </w:rPr>
          <w:t>24</w:t>
        </w:r>
        <w:r w:rsidR="00082D8B">
          <w:rPr>
            <w:noProof/>
            <w:webHidden/>
          </w:rPr>
          <w:fldChar w:fldCharType="end"/>
        </w:r>
      </w:hyperlink>
    </w:p>
    <w:p w14:paraId="4EA61ED2"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38" w:history="1">
        <w:r w:rsidR="00082D8B" w:rsidRPr="008E5C03">
          <w:rPr>
            <w:rStyle w:val="Hyperlink"/>
            <w:noProof/>
          </w:rPr>
          <w:t>5.2</w:t>
        </w:r>
        <w:r w:rsidR="00082D8B">
          <w:rPr>
            <w:rFonts w:asciiTheme="minorHAnsi" w:eastAsiaTheme="minorEastAsia" w:hAnsiTheme="minorHAnsi" w:cstheme="minorBidi"/>
            <w:noProof/>
            <w:lang w:val="en-US"/>
          </w:rPr>
          <w:tab/>
        </w:r>
        <w:r w:rsidR="00082D8B" w:rsidRPr="008E5C03">
          <w:rPr>
            <w:rStyle w:val="Hyperlink"/>
            <w:noProof/>
          </w:rPr>
          <w:t>Governance arrangements</w:t>
        </w:r>
        <w:r w:rsidR="00082D8B">
          <w:rPr>
            <w:noProof/>
            <w:webHidden/>
          </w:rPr>
          <w:tab/>
        </w:r>
        <w:r w:rsidR="00082D8B">
          <w:rPr>
            <w:noProof/>
            <w:webHidden/>
          </w:rPr>
          <w:fldChar w:fldCharType="begin"/>
        </w:r>
        <w:r w:rsidR="00082D8B">
          <w:rPr>
            <w:noProof/>
            <w:webHidden/>
          </w:rPr>
          <w:instrText xml:space="preserve"> PAGEREF _Toc473786338 \h </w:instrText>
        </w:r>
        <w:r w:rsidR="00082D8B">
          <w:rPr>
            <w:noProof/>
            <w:webHidden/>
          </w:rPr>
        </w:r>
        <w:r w:rsidR="00082D8B">
          <w:rPr>
            <w:noProof/>
            <w:webHidden/>
          </w:rPr>
          <w:fldChar w:fldCharType="separate"/>
        </w:r>
        <w:r w:rsidR="00322461">
          <w:rPr>
            <w:noProof/>
            <w:webHidden/>
          </w:rPr>
          <w:t>24</w:t>
        </w:r>
        <w:r w:rsidR="00082D8B">
          <w:rPr>
            <w:noProof/>
            <w:webHidden/>
          </w:rPr>
          <w:fldChar w:fldCharType="end"/>
        </w:r>
      </w:hyperlink>
    </w:p>
    <w:p w14:paraId="55F92ADD"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39" w:history="1">
        <w:r w:rsidR="00082D8B" w:rsidRPr="008E5C03">
          <w:rPr>
            <w:rStyle w:val="Hyperlink"/>
            <w:noProof/>
          </w:rPr>
          <w:t>5.3</w:t>
        </w:r>
        <w:r w:rsidR="00082D8B">
          <w:rPr>
            <w:rFonts w:asciiTheme="minorHAnsi" w:eastAsiaTheme="minorEastAsia" w:hAnsiTheme="minorHAnsi" w:cstheme="minorBidi"/>
            <w:noProof/>
            <w:lang w:val="en-US"/>
          </w:rPr>
          <w:tab/>
        </w:r>
        <w:r w:rsidR="00082D8B" w:rsidRPr="008E5C03">
          <w:rPr>
            <w:rStyle w:val="Hyperlink"/>
            <w:noProof/>
          </w:rPr>
          <w:t>Management arrangements</w:t>
        </w:r>
        <w:r w:rsidR="00082D8B">
          <w:rPr>
            <w:noProof/>
            <w:webHidden/>
          </w:rPr>
          <w:tab/>
        </w:r>
        <w:r w:rsidR="00082D8B">
          <w:rPr>
            <w:noProof/>
            <w:webHidden/>
          </w:rPr>
          <w:fldChar w:fldCharType="begin"/>
        </w:r>
        <w:r w:rsidR="00082D8B">
          <w:rPr>
            <w:noProof/>
            <w:webHidden/>
          </w:rPr>
          <w:instrText xml:space="preserve"> PAGEREF _Toc473786339 \h </w:instrText>
        </w:r>
        <w:r w:rsidR="00082D8B">
          <w:rPr>
            <w:noProof/>
            <w:webHidden/>
          </w:rPr>
        </w:r>
        <w:r w:rsidR="00082D8B">
          <w:rPr>
            <w:noProof/>
            <w:webHidden/>
          </w:rPr>
          <w:fldChar w:fldCharType="separate"/>
        </w:r>
        <w:r w:rsidR="00322461">
          <w:rPr>
            <w:noProof/>
            <w:webHidden/>
          </w:rPr>
          <w:t>24</w:t>
        </w:r>
        <w:r w:rsidR="00082D8B">
          <w:rPr>
            <w:noProof/>
            <w:webHidden/>
          </w:rPr>
          <w:fldChar w:fldCharType="end"/>
        </w:r>
      </w:hyperlink>
    </w:p>
    <w:p w14:paraId="2DCB8054"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43" w:history="1">
        <w:r w:rsidR="00082D8B" w:rsidRPr="008E5C03">
          <w:rPr>
            <w:rStyle w:val="Hyperlink"/>
            <w:noProof/>
          </w:rPr>
          <w:t>5.4</w:t>
        </w:r>
        <w:r w:rsidR="00082D8B">
          <w:rPr>
            <w:rFonts w:asciiTheme="minorHAnsi" w:eastAsiaTheme="minorEastAsia" w:hAnsiTheme="minorHAnsi" w:cstheme="minorBidi"/>
            <w:noProof/>
            <w:lang w:val="en-US"/>
          </w:rPr>
          <w:tab/>
        </w:r>
        <w:r w:rsidR="00082D8B" w:rsidRPr="008E5C03">
          <w:rPr>
            <w:rStyle w:val="Hyperlink"/>
            <w:noProof/>
          </w:rPr>
          <w:t>Synergies with other initiatives</w:t>
        </w:r>
        <w:r w:rsidR="00082D8B">
          <w:rPr>
            <w:noProof/>
            <w:webHidden/>
          </w:rPr>
          <w:tab/>
        </w:r>
        <w:r w:rsidR="00082D8B">
          <w:rPr>
            <w:noProof/>
            <w:webHidden/>
          </w:rPr>
          <w:fldChar w:fldCharType="begin"/>
        </w:r>
        <w:r w:rsidR="00082D8B">
          <w:rPr>
            <w:noProof/>
            <w:webHidden/>
          </w:rPr>
          <w:instrText xml:space="preserve"> PAGEREF _Toc473786343 \h </w:instrText>
        </w:r>
        <w:r w:rsidR="00082D8B">
          <w:rPr>
            <w:noProof/>
            <w:webHidden/>
          </w:rPr>
        </w:r>
        <w:r w:rsidR="00082D8B">
          <w:rPr>
            <w:noProof/>
            <w:webHidden/>
          </w:rPr>
          <w:fldChar w:fldCharType="separate"/>
        </w:r>
        <w:r w:rsidR="00322461">
          <w:rPr>
            <w:noProof/>
            <w:webHidden/>
          </w:rPr>
          <w:t>26</w:t>
        </w:r>
        <w:r w:rsidR="00082D8B">
          <w:rPr>
            <w:noProof/>
            <w:webHidden/>
          </w:rPr>
          <w:fldChar w:fldCharType="end"/>
        </w:r>
      </w:hyperlink>
    </w:p>
    <w:p w14:paraId="435D67B9"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46" w:history="1">
        <w:r w:rsidR="00082D8B" w:rsidRPr="008E5C03">
          <w:rPr>
            <w:rStyle w:val="Hyperlink"/>
            <w:noProof/>
          </w:rPr>
          <w:t>5.5</w:t>
        </w:r>
        <w:r w:rsidR="00082D8B">
          <w:rPr>
            <w:rFonts w:asciiTheme="minorHAnsi" w:eastAsiaTheme="minorEastAsia" w:hAnsiTheme="minorHAnsi" w:cstheme="minorBidi"/>
            <w:noProof/>
            <w:lang w:val="en-US"/>
          </w:rPr>
          <w:tab/>
        </w:r>
        <w:r w:rsidR="00082D8B" w:rsidRPr="008E5C03">
          <w:rPr>
            <w:rStyle w:val="Hyperlink"/>
            <w:noProof/>
          </w:rPr>
          <w:t>Overall Value for Money</w:t>
        </w:r>
        <w:r w:rsidR="00082D8B">
          <w:rPr>
            <w:noProof/>
            <w:webHidden/>
          </w:rPr>
          <w:tab/>
        </w:r>
        <w:r w:rsidR="00082D8B">
          <w:rPr>
            <w:noProof/>
            <w:webHidden/>
          </w:rPr>
          <w:fldChar w:fldCharType="begin"/>
        </w:r>
        <w:r w:rsidR="00082D8B">
          <w:rPr>
            <w:noProof/>
            <w:webHidden/>
          </w:rPr>
          <w:instrText xml:space="preserve"> PAGEREF _Toc473786346 \h </w:instrText>
        </w:r>
        <w:r w:rsidR="00082D8B">
          <w:rPr>
            <w:noProof/>
            <w:webHidden/>
          </w:rPr>
        </w:r>
        <w:r w:rsidR="00082D8B">
          <w:rPr>
            <w:noProof/>
            <w:webHidden/>
          </w:rPr>
          <w:fldChar w:fldCharType="separate"/>
        </w:r>
        <w:r w:rsidR="00322461">
          <w:rPr>
            <w:noProof/>
            <w:webHidden/>
          </w:rPr>
          <w:t>27</w:t>
        </w:r>
        <w:r w:rsidR="00082D8B">
          <w:rPr>
            <w:noProof/>
            <w:webHidden/>
          </w:rPr>
          <w:fldChar w:fldCharType="end"/>
        </w:r>
      </w:hyperlink>
    </w:p>
    <w:p w14:paraId="716106F6" w14:textId="77777777" w:rsidR="00082D8B" w:rsidRDefault="00465F50">
      <w:pPr>
        <w:pStyle w:val="TOC1"/>
        <w:tabs>
          <w:tab w:val="left" w:pos="440"/>
          <w:tab w:val="right" w:leader="dot" w:pos="9016"/>
        </w:tabs>
        <w:rPr>
          <w:rFonts w:asciiTheme="minorHAnsi" w:eastAsiaTheme="minorEastAsia" w:hAnsiTheme="minorHAnsi" w:cstheme="minorBidi"/>
          <w:noProof/>
          <w:lang w:val="en-US"/>
        </w:rPr>
      </w:pPr>
      <w:hyperlink w:anchor="_Toc473786347" w:history="1">
        <w:r w:rsidR="00082D8B" w:rsidRPr="008E5C03">
          <w:rPr>
            <w:rStyle w:val="Hyperlink"/>
            <w:noProof/>
          </w:rPr>
          <w:t>6</w:t>
        </w:r>
        <w:r w:rsidR="00082D8B">
          <w:rPr>
            <w:rFonts w:asciiTheme="minorHAnsi" w:eastAsiaTheme="minorEastAsia" w:hAnsiTheme="minorHAnsi" w:cstheme="minorBidi"/>
            <w:noProof/>
            <w:lang w:val="en-US"/>
          </w:rPr>
          <w:tab/>
        </w:r>
        <w:r w:rsidR="00082D8B" w:rsidRPr="008E5C03">
          <w:rPr>
            <w:rStyle w:val="Hyperlink"/>
            <w:noProof/>
          </w:rPr>
          <w:t>Conclusions</w:t>
        </w:r>
        <w:r w:rsidR="00082D8B">
          <w:rPr>
            <w:noProof/>
            <w:webHidden/>
          </w:rPr>
          <w:tab/>
        </w:r>
        <w:r w:rsidR="00082D8B">
          <w:rPr>
            <w:noProof/>
            <w:webHidden/>
          </w:rPr>
          <w:fldChar w:fldCharType="begin"/>
        </w:r>
        <w:r w:rsidR="00082D8B">
          <w:rPr>
            <w:noProof/>
            <w:webHidden/>
          </w:rPr>
          <w:instrText xml:space="preserve"> PAGEREF _Toc473786347 \h </w:instrText>
        </w:r>
        <w:r w:rsidR="00082D8B">
          <w:rPr>
            <w:noProof/>
            <w:webHidden/>
          </w:rPr>
        </w:r>
        <w:r w:rsidR="00082D8B">
          <w:rPr>
            <w:noProof/>
            <w:webHidden/>
          </w:rPr>
          <w:fldChar w:fldCharType="separate"/>
        </w:r>
        <w:r w:rsidR="00322461">
          <w:rPr>
            <w:noProof/>
            <w:webHidden/>
          </w:rPr>
          <w:t>29</w:t>
        </w:r>
        <w:r w:rsidR="00082D8B">
          <w:rPr>
            <w:noProof/>
            <w:webHidden/>
          </w:rPr>
          <w:fldChar w:fldCharType="end"/>
        </w:r>
      </w:hyperlink>
    </w:p>
    <w:p w14:paraId="3254F4A5"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48" w:history="1">
        <w:r w:rsidR="00082D8B" w:rsidRPr="008E5C03">
          <w:rPr>
            <w:rStyle w:val="Hyperlink"/>
            <w:noProof/>
          </w:rPr>
          <w:t>6.1</w:t>
        </w:r>
        <w:r w:rsidR="00082D8B">
          <w:rPr>
            <w:rFonts w:asciiTheme="minorHAnsi" w:eastAsiaTheme="minorEastAsia" w:hAnsiTheme="minorHAnsi" w:cstheme="minorBidi"/>
            <w:noProof/>
            <w:lang w:val="en-US"/>
          </w:rPr>
          <w:tab/>
        </w:r>
        <w:r w:rsidR="00082D8B" w:rsidRPr="008E5C03">
          <w:rPr>
            <w:rStyle w:val="Hyperlink"/>
            <w:noProof/>
          </w:rPr>
          <w:t>Performance against DAC criteria</w:t>
        </w:r>
        <w:r w:rsidR="00082D8B">
          <w:rPr>
            <w:noProof/>
            <w:webHidden/>
          </w:rPr>
          <w:tab/>
        </w:r>
        <w:r w:rsidR="00082D8B">
          <w:rPr>
            <w:noProof/>
            <w:webHidden/>
          </w:rPr>
          <w:fldChar w:fldCharType="begin"/>
        </w:r>
        <w:r w:rsidR="00082D8B">
          <w:rPr>
            <w:noProof/>
            <w:webHidden/>
          </w:rPr>
          <w:instrText xml:space="preserve"> PAGEREF _Toc473786348 \h </w:instrText>
        </w:r>
        <w:r w:rsidR="00082D8B">
          <w:rPr>
            <w:noProof/>
            <w:webHidden/>
          </w:rPr>
        </w:r>
        <w:r w:rsidR="00082D8B">
          <w:rPr>
            <w:noProof/>
            <w:webHidden/>
          </w:rPr>
          <w:fldChar w:fldCharType="separate"/>
        </w:r>
        <w:r w:rsidR="00322461">
          <w:rPr>
            <w:noProof/>
            <w:webHidden/>
          </w:rPr>
          <w:t>29</w:t>
        </w:r>
        <w:r w:rsidR="00082D8B">
          <w:rPr>
            <w:noProof/>
            <w:webHidden/>
          </w:rPr>
          <w:fldChar w:fldCharType="end"/>
        </w:r>
      </w:hyperlink>
    </w:p>
    <w:p w14:paraId="003A195D"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49" w:history="1">
        <w:r w:rsidR="00082D8B" w:rsidRPr="008E5C03">
          <w:rPr>
            <w:rStyle w:val="Hyperlink"/>
            <w:noProof/>
          </w:rPr>
          <w:t>6.2</w:t>
        </w:r>
        <w:r w:rsidR="00082D8B">
          <w:rPr>
            <w:rFonts w:asciiTheme="minorHAnsi" w:eastAsiaTheme="minorEastAsia" w:hAnsiTheme="minorHAnsi" w:cstheme="minorBidi"/>
            <w:noProof/>
            <w:lang w:val="en-US"/>
          </w:rPr>
          <w:tab/>
        </w:r>
        <w:r w:rsidR="00082D8B" w:rsidRPr="008E5C03">
          <w:rPr>
            <w:rStyle w:val="Hyperlink"/>
            <w:noProof/>
          </w:rPr>
          <w:t>Performance against key design attributes</w:t>
        </w:r>
        <w:r w:rsidR="00082D8B">
          <w:rPr>
            <w:noProof/>
            <w:webHidden/>
          </w:rPr>
          <w:tab/>
        </w:r>
        <w:r w:rsidR="00082D8B">
          <w:rPr>
            <w:noProof/>
            <w:webHidden/>
          </w:rPr>
          <w:fldChar w:fldCharType="begin"/>
        </w:r>
        <w:r w:rsidR="00082D8B">
          <w:rPr>
            <w:noProof/>
            <w:webHidden/>
          </w:rPr>
          <w:instrText xml:space="preserve"> PAGEREF _Toc473786349 \h </w:instrText>
        </w:r>
        <w:r w:rsidR="00082D8B">
          <w:rPr>
            <w:noProof/>
            <w:webHidden/>
          </w:rPr>
        </w:r>
        <w:r w:rsidR="00082D8B">
          <w:rPr>
            <w:noProof/>
            <w:webHidden/>
          </w:rPr>
          <w:fldChar w:fldCharType="separate"/>
        </w:r>
        <w:r w:rsidR="00322461">
          <w:rPr>
            <w:noProof/>
            <w:webHidden/>
          </w:rPr>
          <w:t>29</w:t>
        </w:r>
        <w:r w:rsidR="00082D8B">
          <w:rPr>
            <w:noProof/>
            <w:webHidden/>
          </w:rPr>
          <w:fldChar w:fldCharType="end"/>
        </w:r>
      </w:hyperlink>
    </w:p>
    <w:p w14:paraId="4FEBB9D5" w14:textId="77777777" w:rsidR="00082D8B" w:rsidRDefault="00465F50">
      <w:pPr>
        <w:pStyle w:val="TOC2"/>
        <w:tabs>
          <w:tab w:val="left" w:pos="880"/>
          <w:tab w:val="right" w:leader="dot" w:pos="9016"/>
        </w:tabs>
        <w:rPr>
          <w:rFonts w:asciiTheme="minorHAnsi" w:eastAsiaTheme="minorEastAsia" w:hAnsiTheme="minorHAnsi" w:cstheme="minorBidi"/>
          <w:noProof/>
          <w:lang w:val="en-US"/>
        </w:rPr>
      </w:pPr>
      <w:hyperlink w:anchor="_Toc473786350" w:history="1">
        <w:r w:rsidR="00082D8B" w:rsidRPr="008E5C03">
          <w:rPr>
            <w:rStyle w:val="Hyperlink"/>
            <w:noProof/>
          </w:rPr>
          <w:t>6.3</w:t>
        </w:r>
        <w:r w:rsidR="00082D8B">
          <w:rPr>
            <w:rFonts w:asciiTheme="minorHAnsi" w:eastAsiaTheme="minorEastAsia" w:hAnsiTheme="minorHAnsi" w:cstheme="minorBidi"/>
            <w:noProof/>
            <w:lang w:val="en-US"/>
          </w:rPr>
          <w:tab/>
        </w:r>
        <w:r w:rsidR="00082D8B" w:rsidRPr="008E5C03">
          <w:rPr>
            <w:rStyle w:val="Hyperlink"/>
            <w:noProof/>
          </w:rPr>
          <w:t>Management and Governance</w:t>
        </w:r>
        <w:r w:rsidR="00082D8B">
          <w:rPr>
            <w:noProof/>
            <w:webHidden/>
          </w:rPr>
          <w:tab/>
        </w:r>
        <w:r w:rsidR="00082D8B">
          <w:rPr>
            <w:noProof/>
            <w:webHidden/>
          </w:rPr>
          <w:fldChar w:fldCharType="begin"/>
        </w:r>
        <w:r w:rsidR="00082D8B">
          <w:rPr>
            <w:noProof/>
            <w:webHidden/>
          </w:rPr>
          <w:instrText xml:space="preserve"> PAGEREF _Toc473786350 \h </w:instrText>
        </w:r>
        <w:r w:rsidR="00082D8B">
          <w:rPr>
            <w:noProof/>
            <w:webHidden/>
          </w:rPr>
        </w:r>
        <w:r w:rsidR="00082D8B">
          <w:rPr>
            <w:noProof/>
            <w:webHidden/>
          </w:rPr>
          <w:fldChar w:fldCharType="separate"/>
        </w:r>
        <w:r w:rsidR="00322461">
          <w:rPr>
            <w:noProof/>
            <w:webHidden/>
          </w:rPr>
          <w:t>30</w:t>
        </w:r>
        <w:r w:rsidR="00082D8B">
          <w:rPr>
            <w:noProof/>
            <w:webHidden/>
          </w:rPr>
          <w:fldChar w:fldCharType="end"/>
        </w:r>
      </w:hyperlink>
    </w:p>
    <w:p w14:paraId="2145114D" w14:textId="77777777" w:rsidR="00082D8B" w:rsidRDefault="00465F50">
      <w:pPr>
        <w:pStyle w:val="TOC1"/>
        <w:tabs>
          <w:tab w:val="left" w:pos="440"/>
          <w:tab w:val="right" w:leader="dot" w:pos="9016"/>
        </w:tabs>
        <w:rPr>
          <w:rFonts w:asciiTheme="minorHAnsi" w:eastAsiaTheme="minorEastAsia" w:hAnsiTheme="minorHAnsi" w:cstheme="minorBidi"/>
          <w:noProof/>
          <w:lang w:val="en-US"/>
        </w:rPr>
      </w:pPr>
      <w:hyperlink w:anchor="_Toc473786351" w:history="1">
        <w:r w:rsidR="00082D8B" w:rsidRPr="008E5C03">
          <w:rPr>
            <w:rStyle w:val="Hyperlink"/>
            <w:noProof/>
          </w:rPr>
          <w:t>7</w:t>
        </w:r>
        <w:r w:rsidR="00082D8B">
          <w:rPr>
            <w:rFonts w:asciiTheme="minorHAnsi" w:eastAsiaTheme="minorEastAsia" w:hAnsiTheme="minorHAnsi" w:cstheme="minorBidi"/>
            <w:noProof/>
            <w:lang w:val="en-US"/>
          </w:rPr>
          <w:tab/>
        </w:r>
        <w:r w:rsidR="00082D8B" w:rsidRPr="008E5C03">
          <w:rPr>
            <w:rStyle w:val="Hyperlink"/>
            <w:noProof/>
          </w:rPr>
          <w:t>Lessons: Looking Forward</w:t>
        </w:r>
        <w:r w:rsidR="00082D8B">
          <w:rPr>
            <w:noProof/>
            <w:webHidden/>
          </w:rPr>
          <w:tab/>
        </w:r>
        <w:r w:rsidR="00082D8B">
          <w:rPr>
            <w:noProof/>
            <w:webHidden/>
          </w:rPr>
          <w:fldChar w:fldCharType="begin"/>
        </w:r>
        <w:r w:rsidR="00082D8B">
          <w:rPr>
            <w:noProof/>
            <w:webHidden/>
          </w:rPr>
          <w:instrText xml:space="preserve"> PAGEREF _Toc473786351 \h </w:instrText>
        </w:r>
        <w:r w:rsidR="00082D8B">
          <w:rPr>
            <w:noProof/>
            <w:webHidden/>
          </w:rPr>
        </w:r>
        <w:r w:rsidR="00082D8B">
          <w:rPr>
            <w:noProof/>
            <w:webHidden/>
          </w:rPr>
          <w:fldChar w:fldCharType="separate"/>
        </w:r>
        <w:r w:rsidR="00322461">
          <w:rPr>
            <w:noProof/>
            <w:webHidden/>
          </w:rPr>
          <w:t>31</w:t>
        </w:r>
        <w:r w:rsidR="00082D8B">
          <w:rPr>
            <w:noProof/>
            <w:webHidden/>
          </w:rPr>
          <w:fldChar w:fldCharType="end"/>
        </w:r>
      </w:hyperlink>
    </w:p>
    <w:p w14:paraId="71B56E91" w14:textId="77777777" w:rsidR="00082D8B" w:rsidRDefault="00465F50">
      <w:pPr>
        <w:pStyle w:val="TOC1"/>
        <w:tabs>
          <w:tab w:val="left" w:pos="440"/>
          <w:tab w:val="right" w:leader="dot" w:pos="9016"/>
        </w:tabs>
        <w:rPr>
          <w:rFonts w:asciiTheme="minorHAnsi" w:eastAsiaTheme="minorEastAsia" w:hAnsiTheme="minorHAnsi" w:cstheme="minorBidi"/>
          <w:noProof/>
          <w:lang w:val="en-US"/>
        </w:rPr>
      </w:pPr>
      <w:hyperlink w:anchor="_Toc473786352" w:history="1">
        <w:r w:rsidR="00082D8B" w:rsidRPr="008E5C03">
          <w:rPr>
            <w:rStyle w:val="Hyperlink"/>
            <w:noProof/>
          </w:rPr>
          <w:t>8</w:t>
        </w:r>
        <w:r w:rsidR="00082D8B">
          <w:rPr>
            <w:rFonts w:asciiTheme="minorHAnsi" w:eastAsiaTheme="minorEastAsia" w:hAnsiTheme="minorHAnsi" w:cstheme="minorBidi"/>
            <w:noProof/>
            <w:lang w:val="en-US"/>
          </w:rPr>
          <w:tab/>
        </w:r>
        <w:r w:rsidR="00082D8B" w:rsidRPr="008E5C03">
          <w:rPr>
            <w:rStyle w:val="Hyperlink"/>
            <w:noProof/>
          </w:rPr>
          <w:t>Recommendations</w:t>
        </w:r>
        <w:r w:rsidR="00082D8B">
          <w:rPr>
            <w:noProof/>
            <w:webHidden/>
          </w:rPr>
          <w:tab/>
        </w:r>
        <w:r w:rsidR="00082D8B">
          <w:rPr>
            <w:noProof/>
            <w:webHidden/>
          </w:rPr>
          <w:fldChar w:fldCharType="begin"/>
        </w:r>
        <w:r w:rsidR="00082D8B">
          <w:rPr>
            <w:noProof/>
            <w:webHidden/>
          </w:rPr>
          <w:instrText xml:space="preserve"> PAGEREF _Toc473786352 \h </w:instrText>
        </w:r>
        <w:r w:rsidR="00082D8B">
          <w:rPr>
            <w:noProof/>
            <w:webHidden/>
          </w:rPr>
        </w:r>
        <w:r w:rsidR="00082D8B">
          <w:rPr>
            <w:noProof/>
            <w:webHidden/>
          </w:rPr>
          <w:fldChar w:fldCharType="separate"/>
        </w:r>
        <w:r w:rsidR="00322461">
          <w:rPr>
            <w:noProof/>
            <w:webHidden/>
          </w:rPr>
          <w:t>33</w:t>
        </w:r>
        <w:r w:rsidR="00082D8B">
          <w:rPr>
            <w:noProof/>
            <w:webHidden/>
          </w:rPr>
          <w:fldChar w:fldCharType="end"/>
        </w:r>
      </w:hyperlink>
    </w:p>
    <w:p w14:paraId="6CE33FBC" w14:textId="3EFA01F7" w:rsidR="00333F71" w:rsidRDefault="00F6704C" w:rsidP="00DB4F15">
      <w:pPr>
        <w:spacing w:line="276" w:lineRule="auto"/>
        <w:rPr>
          <w:rFonts w:eastAsia="Times New Roman" w:cs="Calibri"/>
          <w:b/>
          <w:bCs/>
          <w:color w:val="003880"/>
          <w:kern w:val="32"/>
          <w:sz w:val="28"/>
          <w:szCs w:val="28"/>
          <w:lang w:val="en-AU"/>
        </w:rPr>
      </w:pPr>
      <w:r>
        <w:rPr>
          <w:b/>
          <w:bCs/>
          <w:noProof/>
        </w:rPr>
        <w:lastRenderedPageBreak/>
        <w:fldChar w:fldCharType="end"/>
      </w:r>
      <w:bookmarkStart w:id="4" w:name="_Toc465605171"/>
    </w:p>
    <w:p w14:paraId="6826A984" w14:textId="6ED14224" w:rsidR="00711B52" w:rsidRPr="009A5A6E" w:rsidRDefault="00300C06" w:rsidP="00EB0708">
      <w:pPr>
        <w:pStyle w:val="Heading1-NoNumber"/>
      </w:pPr>
      <w:bookmarkStart w:id="5" w:name="_Toc468260396"/>
      <w:bookmarkStart w:id="6" w:name="_Toc473786279"/>
      <w:r w:rsidRPr="009A5A6E">
        <w:t>List of Tables</w:t>
      </w:r>
      <w:bookmarkEnd w:id="4"/>
      <w:bookmarkEnd w:id="5"/>
      <w:bookmarkEnd w:id="6"/>
    </w:p>
    <w:p w14:paraId="6AE7EB08" w14:textId="77777777" w:rsidR="00B4772F" w:rsidRDefault="00300C06" w:rsidP="00F60F1A">
      <w:pPr>
        <w:pStyle w:val="TableofFigures"/>
        <w:tabs>
          <w:tab w:val="right" w:leader="dot" w:pos="9016"/>
        </w:tabs>
        <w:spacing w:afterLines="100" w:after="240" w:line="276" w:lineRule="auto"/>
        <w:rPr>
          <w:rFonts w:asciiTheme="minorHAnsi" w:eastAsiaTheme="minorEastAsia" w:hAnsiTheme="minorHAnsi" w:cstheme="minorBidi"/>
          <w:noProof/>
          <w:lang w:val="en-AU" w:eastAsia="en-AU"/>
        </w:rPr>
      </w:pPr>
      <w:r w:rsidRPr="00300C06">
        <w:rPr>
          <w:rStyle w:val="Hyperlink"/>
          <w:noProof/>
        </w:rPr>
        <w:fldChar w:fldCharType="begin"/>
      </w:r>
      <w:r w:rsidRPr="00300C06">
        <w:rPr>
          <w:rStyle w:val="Hyperlink"/>
          <w:noProof/>
        </w:rPr>
        <w:instrText xml:space="preserve"> TOC \h \z \c "Table" </w:instrText>
      </w:r>
      <w:r w:rsidRPr="00300C06">
        <w:rPr>
          <w:rStyle w:val="Hyperlink"/>
          <w:noProof/>
        </w:rPr>
        <w:fldChar w:fldCharType="separate"/>
      </w:r>
      <w:hyperlink w:anchor="_Toc468197994" w:history="1">
        <w:r w:rsidR="00B4772F" w:rsidRPr="00C55925">
          <w:rPr>
            <w:rStyle w:val="Hyperlink"/>
            <w:noProof/>
          </w:rPr>
          <w:t>Table 1: Financial allocations to the Education Partnership (AUD)</w:t>
        </w:r>
        <w:r w:rsidR="00B4772F">
          <w:rPr>
            <w:noProof/>
            <w:webHidden/>
          </w:rPr>
          <w:tab/>
        </w:r>
        <w:r w:rsidR="00B4772F">
          <w:rPr>
            <w:noProof/>
            <w:webHidden/>
          </w:rPr>
          <w:fldChar w:fldCharType="begin"/>
        </w:r>
        <w:r w:rsidR="00B4772F">
          <w:rPr>
            <w:noProof/>
            <w:webHidden/>
          </w:rPr>
          <w:instrText xml:space="preserve"> PAGEREF _Toc468197994 \h </w:instrText>
        </w:r>
        <w:r w:rsidR="00B4772F">
          <w:rPr>
            <w:noProof/>
            <w:webHidden/>
          </w:rPr>
        </w:r>
        <w:r w:rsidR="00B4772F">
          <w:rPr>
            <w:noProof/>
            <w:webHidden/>
          </w:rPr>
          <w:fldChar w:fldCharType="separate"/>
        </w:r>
        <w:r w:rsidR="00322461">
          <w:rPr>
            <w:noProof/>
            <w:webHidden/>
          </w:rPr>
          <w:t>3</w:t>
        </w:r>
        <w:r w:rsidR="00B4772F">
          <w:rPr>
            <w:noProof/>
            <w:webHidden/>
          </w:rPr>
          <w:fldChar w:fldCharType="end"/>
        </w:r>
      </w:hyperlink>
    </w:p>
    <w:p w14:paraId="5E309448" w14:textId="77777777" w:rsidR="00B4772F" w:rsidRDefault="00465F50" w:rsidP="00F60F1A">
      <w:pPr>
        <w:pStyle w:val="TableofFigures"/>
        <w:tabs>
          <w:tab w:val="right" w:leader="dot" w:pos="9016"/>
        </w:tabs>
        <w:spacing w:afterLines="100" w:after="240" w:line="276" w:lineRule="auto"/>
        <w:rPr>
          <w:rFonts w:asciiTheme="minorHAnsi" w:eastAsiaTheme="minorEastAsia" w:hAnsiTheme="minorHAnsi" w:cstheme="minorBidi"/>
          <w:noProof/>
          <w:lang w:val="en-AU" w:eastAsia="en-AU"/>
        </w:rPr>
      </w:pPr>
      <w:hyperlink w:anchor="_Toc468197995" w:history="1">
        <w:r w:rsidR="00B4772F" w:rsidRPr="00C55925">
          <w:rPr>
            <w:rStyle w:val="Hyperlink"/>
            <w:noProof/>
          </w:rPr>
          <w:t>Table 2: EP Target-related Achievements by Component</w:t>
        </w:r>
        <w:r w:rsidR="00B4772F">
          <w:rPr>
            <w:noProof/>
            <w:webHidden/>
          </w:rPr>
          <w:tab/>
        </w:r>
        <w:r w:rsidR="00B4772F">
          <w:rPr>
            <w:noProof/>
            <w:webHidden/>
          </w:rPr>
          <w:fldChar w:fldCharType="begin"/>
        </w:r>
        <w:r w:rsidR="00B4772F">
          <w:rPr>
            <w:noProof/>
            <w:webHidden/>
          </w:rPr>
          <w:instrText xml:space="preserve"> PAGEREF _Toc468197995 \h </w:instrText>
        </w:r>
        <w:r w:rsidR="00B4772F">
          <w:rPr>
            <w:noProof/>
            <w:webHidden/>
          </w:rPr>
        </w:r>
        <w:r w:rsidR="00B4772F">
          <w:rPr>
            <w:noProof/>
            <w:webHidden/>
          </w:rPr>
          <w:fldChar w:fldCharType="separate"/>
        </w:r>
        <w:r w:rsidR="00322461">
          <w:rPr>
            <w:noProof/>
            <w:webHidden/>
          </w:rPr>
          <w:t>8</w:t>
        </w:r>
        <w:r w:rsidR="00B4772F">
          <w:rPr>
            <w:noProof/>
            <w:webHidden/>
          </w:rPr>
          <w:fldChar w:fldCharType="end"/>
        </w:r>
      </w:hyperlink>
    </w:p>
    <w:p w14:paraId="08B56A19" w14:textId="77777777" w:rsidR="00B4772F" w:rsidRDefault="00465F50" w:rsidP="00F60F1A">
      <w:pPr>
        <w:pStyle w:val="TableofFigures"/>
        <w:tabs>
          <w:tab w:val="right" w:leader="dot" w:pos="9016"/>
        </w:tabs>
        <w:spacing w:afterLines="100" w:after="240" w:line="276" w:lineRule="auto"/>
        <w:rPr>
          <w:rFonts w:asciiTheme="minorHAnsi" w:eastAsiaTheme="minorEastAsia" w:hAnsiTheme="minorHAnsi" w:cstheme="minorBidi"/>
          <w:noProof/>
          <w:lang w:val="en-AU" w:eastAsia="en-AU"/>
        </w:rPr>
      </w:pPr>
      <w:hyperlink w:anchor="_Toc468197996" w:history="1">
        <w:r w:rsidR="00B4772F" w:rsidRPr="00C55925">
          <w:rPr>
            <w:rStyle w:val="Hyperlink"/>
            <w:noProof/>
          </w:rPr>
          <w:t>Table 3: EP Achievements</w:t>
        </w:r>
        <w:r w:rsidR="00B4772F">
          <w:rPr>
            <w:noProof/>
            <w:webHidden/>
          </w:rPr>
          <w:tab/>
        </w:r>
        <w:r w:rsidR="00B4772F">
          <w:rPr>
            <w:noProof/>
            <w:webHidden/>
          </w:rPr>
          <w:fldChar w:fldCharType="begin"/>
        </w:r>
        <w:r w:rsidR="00B4772F">
          <w:rPr>
            <w:noProof/>
            <w:webHidden/>
          </w:rPr>
          <w:instrText xml:space="preserve"> PAGEREF _Toc468197996 \h </w:instrText>
        </w:r>
        <w:r w:rsidR="00B4772F">
          <w:rPr>
            <w:noProof/>
            <w:webHidden/>
          </w:rPr>
        </w:r>
        <w:r w:rsidR="00B4772F">
          <w:rPr>
            <w:noProof/>
            <w:webHidden/>
          </w:rPr>
          <w:fldChar w:fldCharType="separate"/>
        </w:r>
        <w:r w:rsidR="00322461">
          <w:rPr>
            <w:noProof/>
            <w:webHidden/>
          </w:rPr>
          <w:t>9</w:t>
        </w:r>
        <w:r w:rsidR="00B4772F">
          <w:rPr>
            <w:noProof/>
            <w:webHidden/>
          </w:rPr>
          <w:fldChar w:fldCharType="end"/>
        </w:r>
      </w:hyperlink>
    </w:p>
    <w:p w14:paraId="6826A988" w14:textId="77777777" w:rsidR="00300C06" w:rsidRDefault="00300C06" w:rsidP="00F60F1A">
      <w:pPr>
        <w:pStyle w:val="TOC1"/>
        <w:tabs>
          <w:tab w:val="left" w:pos="440"/>
          <w:tab w:val="right" w:leader="dot" w:pos="9016"/>
        </w:tabs>
        <w:spacing w:afterLines="100" w:after="240" w:line="276" w:lineRule="auto"/>
        <w:rPr>
          <w:b/>
          <w:sz w:val="28"/>
          <w:szCs w:val="28"/>
        </w:rPr>
      </w:pPr>
      <w:r w:rsidRPr="00300C06">
        <w:rPr>
          <w:rStyle w:val="Hyperlink"/>
          <w:noProof/>
        </w:rPr>
        <w:fldChar w:fldCharType="end"/>
      </w:r>
    </w:p>
    <w:p w14:paraId="6826A989" w14:textId="77777777" w:rsidR="00EB0708" w:rsidRPr="009A5A6E" w:rsidRDefault="00EB0708" w:rsidP="00EB0708">
      <w:pPr>
        <w:pStyle w:val="Heading1-NoNumber"/>
      </w:pPr>
      <w:r>
        <w:rPr>
          <w:b w:val="0"/>
        </w:rPr>
        <w:br w:type="page"/>
      </w:r>
      <w:bookmarkStart w:id="7" w:name="_Toc448156321"/>
      <w:bookmarkStart w:id="8" w:name="_Toc465605172"/>
      <w:bookmarkStart w:id="9" w:name="_Toc473786280"/>
      <w:r w:rsidRPr="009A5A6E">
        <w:lastRenderedPageBreak/>
        <w:t>Abbreviations and Acronyms</w:t>
      </w:r>
      <w:bookmarkEnd w:id="7"/>
      <w:bookmarkEnd w:id="8"/>
      <w:bookmarkEnd w:id="9"/>
    </w:p>
    <w:tbl>
      <w:tblPr>
        <w:tblW w:w="0" w:type="auto"/>
        <w:tblLayout w:type="fixed"/>
        <w:tblLook w:val="04A0" w:firstRow="1" w:lastRow="0" w:firstColumn="1" w:lastColumn="0" w:noHBand="0" w:noVBand="1"/>
      </w:tblPr>
      <w:tblGrid>
        <w:gridCol w:w="1242"/>
        <w:gridCol w:w="3685"/>
        <w:gridCol w:w="4223"/>
      </w:tblGrid>
      <w:tr w:rsidR="00EB0708" w:rsidRPr="007B49A9" w14:paraId="6826A98D" w14:textId="77777777" w:rsidTr="009A5A6E">
        <w:trPr>
          <w:cantSplit/>
          <w:trHeight w:val="468"/>
          <w:tblHeader/>
        </w:trPr>
        <w:tc>
          <w:tcPr>
            <w:tcW w:w="1242" w:type="dxa"/>
            <w:shd w:val="clear" w:color="auto" w:fill="365F91"/>
            <w:vAlign w:val="center"/>
          </w:tcPr>
          <w:p w14:paraId="6826A98A" w14:textId="77777777" w:rsidR="00EB0708" w:rsidRPr="009A5A6E" w:rsidRDefault="00EB0708" w:rsidP="009A5A6E">
            <w:pPr>
              <w:spacing w:before="120" w:after="120" w:line="276" w:lineRule="auto"/>
              <w:jc w:val="center"/>
              <w:rPr>
                <w:rFonts w:cs="Calibri"/>
                <w:b/>
                <w:color w:val="FFFFFF"/>
                <w:sz w:val="24"/>
                <w:szCs w:val="24"/>
                <w:lang w:val="en-AU"/>
              </w:rPr>
            </w:pPr>
          </w:p>
        </w:tc>
        <w:tc>
          <w:tcPr>
            <w:tcW w:w="3685" w:type="dxa"/>
            <w:shd w:val="clear" w:color="auto" w:fill="365F91"/>
            <w:vAlign w:val="center"/>
          </w:tcPr>
          <w:p w14:paraId="6826A98B" w14:textId="77777777" w:rsidR="00EB0708" w:rsidRPr="009A5A6E" w:rsidRDefault="00EB0708" w:rsidP="009A5A6E">
            <w:pPr>
              <w:spacing w:before="120" w:after="120" w:line="276" w:lineRule="auto"/>
              <w:jc w:val="center"/>
              <w:rPr>
                <w:rFonts w:cs="Calibri"/>
                <w:b/>
                <w:color w:val="FFFFFF"/>
                <w:sz w:val="24"/>
                <w:szCs w:val="24"/>
                <w:lang w:val="en-AU"/>
              </w:rPr>
            </w:pPr>
            <w:r w:rsidRPr="009A5A6E">
              <w:rPr>
                <w:rFonts w:cs="Calibri"/>
                <w:b/>
                <w:color w:val="FFFFFF"/>
                <w:sz w:val="24"/>
                <w:szCs w:val="24"/>
                <w:lang w:val="en-AU"/>
              </w:rPr>
              <w:t>English</w:t>
            </w:r>
          </w:p>
        </w:tc>
        <w:tc>
          <w:tcPr>
            <w:tcW w:w="4223" w:type="dxa"/>
            <w:shd w:val="clear" w:color="auto" w:fill="365F91"/>
            <w:vAlign w:val="center"/>
          </w:tcPr>
          <w:p w14:paraId="6826A98C" w14:textId="264BA66F" w:rsidR="00EB0708" w:rsidRPr="009A5A6E" w:rsidRDefault="00EB0708" w:rsidP="009A5A6E">
            <w:pPr>
              <w:spacing w:before="120" w:after="120" w:line="276" w:lineRule="auto"/>
              <w:jc w:val="center"/>
              <w:rPr>
                <w:rFonts w:cs="Calibri"/>
                <w:b/>
                <w:color w:val="FFFFFF"/>
                <w:sz w:val="24"/>
                <w:szCs w:val="24"/>
                <w:lang w:val="en-AU"/>
              </w:rPr>
            </w:pPr>
            <w:r w:rsidRPr="009A5A6E">
              <w:rPr>
                <w:rFonts w:cs="Calibri"/>
                <w:b/>
                <w:color w:val="FFFFFF"/>
                <w:sz w:val="24"/>
                <w:szCs w:val="24"/>
                <w:lang w:val="en-AU"/>
              </w:rPr>
              <w:t>Indonesia</w:t>
            </w:r>
            <w:r w:rsidR="00BF5DF9">
              <w:rPr>
                <w:rFonts w:cs="Calibri"/>
                <w:b/>
                <w:color w:val="FFFFFF"/>
                <w:sz w:val="24"/>
                <w:szCs w:val="24"/>
                <w:lang w:val="en-AU"/>
              </w:rPr>
              <w:t>n</w:t>
            </w:r>
          </w:p>
        </w:tc>
      </w:tr>
      <w:tr w:rsidR="00EB0708" w:rsidRPr="007B49A9" w14:paraId="6826A991" w14:textId="77777777" w:rsidTr="00635AAF">
        <w:trPr>
          <w:cantSplit/>
          <w:trHeight w:val="170"/>
        </w:trPr>
        <w:tc>
          <w:tcPr>
            <w:tcW w:w="1242" w:type="dxa"/>
            <w:shd w:val="clear" w:color="auto" w:fill="auto"/>
          </w:tcPr>
          <w:p w14:paraId="6826A98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ACDP</w:t>
            </w:r>
          </w:p>
        </w:tc>
        <w:tc>
          <w:tcPr>
            <w:tcW w:w="3685" w:type="dxa"/>
            <w:shd w:val="clear" w:color="auto" w:fill="auto"/>
          </w:tcPr>
          <w:p w14:paraId="6826A98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Analytical and Capacity Development Partnership</w:t>
            </w:r>
          </w:p>
        </w:tc>
        <w:tc>
          <w:tcPr>
            <w:tcW w:w="4223" w:type="dxa"/>
            <w:shd w:val="clear" w:color="auto" w:fill="auto"/>
          </w:tcPr>
          <w:p w14:paraId="6826A99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Kemitraan untuk Pengembangan Kapasitas dan Analisis</w:t>
            </w:r>
          </w:p>
        </w:tc>
      </w:tr>
      <w:tr w:rsidR="00EB0708" w:rsidRPr="007B49A9" w14:paraId="6826A995" w14:textId="77777777" w:rsidTr="00635AAF">
        <w:trPr>
          <w:cantSplit/>
          <w:trHeight w:val="170"/>
        </w:trPr>
        <w:tc>
          <w:tcPr>
            <w:tcW w:w="1242" w:type="dxa"/>
            <w:shd w:val="clear" w:color="auto" w:fill="auto"/>
          </w:tcPr>
          <w:p w14:paraId="6826A99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ADB</w:t>
            </w:r>
          </w:p>
        </w:tc>
        <w:tc>
          <w:tcPr>
            <w:tcW w:w="3685" w:type="dxa"/>
            <w:shd w:val="clear" w:color="auto" w:fill="auto"/>
          </w:tcPr>
          <w:p w14:paraId="6826A99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Asian Development Bank</w:t>
            </w:r>
          </w:p>
        </w:tc>
        <w:tc>
          <w:tcPr>
            <w:tcW w:w="4223" w:type="dxa"/>
            <w:shd w:val="clear" w:color="auto" w:fill="auto"/>
          </w:tcPr>
          <w:p w14:paraId="6826A994"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Bank Pembangunan Asia</w:t>
            </w:r>
          </w:p>
        </w:tc>
      </w:tr>
      <w:tr w:rsidR="00EB0708" w:rsidRPr="007B49A9" w14:paraId="6826A99D" w14:textId="77777777" w:rsidTr="00635AAF">
        <w:trPr>
          <w:cantSplit/>
          <w:trHeight w:val="170"/>
        </w:trPr>
        <w:tc>
          <w:tcPr>
            <w:tcW w:w="1242" w:type="dxa"/>
            <w:shd w:val="clear" w:color="auto" w:fill="auto"/>
          </w:tcPr>
          <w:p w14:paraId="6826A99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AEP</w:t>
            </w:r>
            <w:r w:rsidR="00152054" w:rsidRPr="009A5A6E">
              <w:rPr>
                <w:rFonts w:cs="Calibri"/>
                <w:sz w:val="20"/>
                <w:szCs w:val="20"/>
                <w:lang w:val="en-AU"/>
              </w:rPr>
              <w:t>I</w:t>
            </w:r>
          </w:p>
        </w:tc>
        <w:tc>
          <w:tcPr>
            <w:tcW w:w="3685" w:type="dxa"/>
            <w:shd w:val="clear" w:color="auto" w:fill="auto"/>
          </w:tcPr>
          <w:p w14:paraId="6826A99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Australia</w:t>
            </w:r>
            <w:r w:rsidR="00152054" w:rsidRPr="009A5A6E">
              <w:rPr>
                <w:rFonts w:cs="Calibri"/>
                <w:sz w:val="20"/>
                <w:szCs w:val="20"/>
                <w:lang w:val="en-AU"/>
              </w:rPr>
              <w:t>’s</w:t>
            </w:r>
            <w:r w:rsidRPr="009A5A6E">
              <w:rPr>
                <w:rFonts w:cs="Calibri"/>
                <w:sz w:val="20"/>
                <w:szCs w:val="20"/>
                <w:lang w:val="en-AU"/>
              </w:rPr>
              <w:t xml:space="preserve"> Education Partnership</w:t>
            </w:r>
            <w:r w:rsidR="00152054" w:rsidRPr="009A5A6E">
              <w:rPr>
                <w:rFonts w:cs="Calibri"/>
                <w:sz w:val="20"/>
                <w:szCs w:val="20"/>
                <w:lang w:val="en-AU"/>
              </w:rPr>
              <w:t xml:space="preserve"> with Indonesia</w:t>
            </w:r>
          </w:p>
        </w:tc>
        <w:tc>
          <w:tcPr>
            <w:tcW w:w="4223" w:type="dxa"/>
            <w:shd w:val="clear" w:color="auto" w:fill="auto"/>
          </w:tcPr>
          <w:p w14:paraId="6826A99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Kemitraan Pendidikan Australia Indonesia</w:t>
            </w:r>
          </w:p>
        </w:tc>
      </w:tr>
      <w:tr w:rsidR="00333F71" w:rsidRPr="007B49A9" w14:paraId="3535A6C2" w14:textId="77777777" w:rsidTr="00635AAF">
        <w:trPr>
          <w:cantSplit/>
          <w:trHeight w:val="170"/>
        </w:trPr>
        <w:tc>
          <w:tcPr>
            <w:tcW w:w="1242" w:type="dxa"/>
            <w:shd w:val="clear" w:color="auto" w:fill="auto"/>
          </w:tcPr>
          <w:p w14:paraId="121F4C0E" w14:textId="77777777" w:rsidR="00333F71" w:rsidRPr="009A5A6E" w:rsidRDefault="00333F71" w:rsidP="00333F71">
            <w:pPr>
              <w:spacing w:before="60" w:after="60" w:line="276" w:lineRule="auto"/>
              <w:rPr>
                <w:rFonts w:cs="Calibri"/>
                <w:sz w:val="20"/>
                <w:szCs w:val="20"/>
                <w:lang w:val="en-AU"/>
              </w:rPr>
            </w:pPr>
            <w:r w:rsidRPr="009A5A6E">
              <w:rPr>
                <w:rFonts w:cs="Calibri"/>
                <w:sz w:val="20"/>
                <w:szCs w:val="20"/>
                <w:lang w:val="en-AU"/>
              </w:rPr>
              <w:t>AIBEP</w:t>
            </w:r>
          </w:p>
        </w:tc>
        <w:tc>
          <w:tcPr>
            <w:tcW w:w="3685" w:type="dxa"/>
            <w:shd w:val="clear" w:color="auto" w:fill="auto"/>
          </w:tcPr>
          <w:p w14:paraId="55B57872" w14:textId="77777777" w:rsidR="00333F71" w:rsidRPr="009A5A6E" w:rsidRDefault="00333F71" w:rsidP="00333F71">
            <w:pPr>
              <w:spacing w:before="60" w:after="60" w:line="276" w:lineRule="auto"/>
              <w:rPr>
                <w:rFonts w:cs="Calibri"/>
                <w:sz w:val="20"/>
                <w:szCs w:val="20"/>
                <w:lang w:val="en-AU"/>
              </w:rPr>
            </w:pPr>
            <w:r w:rsidRPr="009A5A6E">
              <w:rPr>
                <w:rFonts w:cs="Calibri"/>
                <w:sz w:val="20"/>
                <w:szCs w:val="20"/>
                <w:lang w:val="en-AU"/>
              </w:rPr>
              <w:t>Australia Indonesia Basic Education Program</w:t>
            </w:r>
          </w:p>
        </w:tc>
        <w:tc>
          <w:tcPr>
            <w:tcW w:w="4223" w:type="dxa"/>
            <w:shd w:val="clear" w:color="auto" w:fill="auto"/>
          </w:tcPr>
          <w:p w14:paraId="2DDA9292" w14:textId="50AD884A" w:rsidR="00333F71" w:rsidRPr="009A5A6E" w:rsidRDefault="00333F71" w:rsidP="00333F71">
            <w:pPr>
              <w:spacing w:before="60" w:after="60" w:line="276" w:lineRule="auto"/>
              <w:rPr>
                <w:rFonts w:cs="Calibri"/>
                <w:sz w:val="20"/>
                <w:szCs w:val="20"/>
                <w:lang w:val="en-AU"/>
              </w:rPr>
            </w:pPr>
            <w:r w:rsidRPr="009A5A6E">
              <w:rPr>
                <w:rFonts w:cs="Calibri"/>
                <w:sz w:val="20"/>
                <w:szCs w:val="20"/>
                <w:lang w:val="en-AU"/>
              </w:rPr>
              <w:t>Program Pendidikan Dasar Australia</w:t>
            </w:r>
            <w:r w:rsidR="00D477C8">
              <w:rPr>
                <w:rFonts w:cs="Calibri"/>
                <w:sz w:val="20"/>
                <w:szCs w:val="20"/>
                <w:lang w:val="en-AU"/>
              </w:rPr>
              <w:t xml:space="preserve"> </w:t>
            </w:r>
            <w:r w:rsidRPr="009A5A6E">
              <w:rPr>
                <w:rFonts w:cs="Calibri"/>
                <w:sz w:val="20"/>
                <w:szCs w:val="20"/>
                <w:lang w:val="en-AU"/>
              </w:rPr>
              <w:t>Indonesia</w:t>
            </w:r>
          </w:p>
        </w:tc>
      </w:tr>
      <w:tr w:rsidR="00EB0708" w:rsidRPr="007B49A9" w14:paraId="6826A9A1" w14:textId="77777777" w:rsidTr="00635AAF">
        <w:trPr>
          <w:cantSplit/>
          <w:trHeight w:val="170"/>
        </w:trPr>
        <w:tc>
          <w:tcPr>
            <w:tcW w:w="1242" w:type="dxa"/>
            <w:shd w:val="clear" w:color="auto" w:fill="auto"/>
          </w:tcPr>
          <w:p w14:paraId="6826A99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AIPRD</w:t>
            </w:r>
          </w:p>
        </w:tc>
        <w:tc>
          <w:tcPr>
            <w:tcW w:w="3685" w:type="dxa"/>
            <w:shd w:val="clear" w:color="auto" w:fill="auto"/>
          </w:tcPr>
          <w:p w14:paraId="6826A99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 xml:space="preserve">Australia-Indonesia Partnership for Reconstruction and Development </w:t>
            </w:r>
          </w:p>
        </w:tc>
        <w:tc>
          <w:tcPr>
            <w:tcW w:w="4223" w:type="dxa"/>
            <w:shd w:val="clear" w:color="auto" w:fill="auto"/>
          </w:tcPr>
          <w:p w14:paraId="6826A9A0" w14:textId="77777777" w:rsidR="00EB0708" w:rsidRPr="009A5A6E" w:rsidRDefault="007B49A9" w:rsidP="009A5A6E">
            <w:pPr>
              <w:spacing w:before="60" w:after="60" w:line="276" w:lineRule="auto"/>
              <w:rPr>
                <w:rFonts w:cs="Calibri"/>
                <w:sz w:val="20"/>
                <w:szCs w:val="20"/>
                <w:lang w:val="en-AU"/>
              </w:rPr>
            </w:pPr>
            <w:r w:rsidRPr="009A5A6E">
              <w:rPr>
                <w:rFonts w:cs="Calibri"/>
                <w:sz w:val="20"/>
                <w:szCs w:val="20"/>
                <w:lang w:val="en-AU"/>
              </w:rPr>
              <w:t>Kemitraan Australia-Indonesia untuk Rekonstruksi dan Pembangunan</w:t>
            </w:r>
          </w:p>
        </w:tc>
      </w:tr>
      <w:tr w:rsidR="00EB0708" w:rsidRPr="007B49A9" w14:paraId="6826A9A5" w14:textId="77777777" w:rsidTr="00635AAF">
        <w:trPr>
          <w:cantSplit/>
          <w:trHeight w:val="170"/>
        </w:trPr>
        <w:tc>
          <w:tcPr>
            <w:tcW w:w="1242" w:type="dxa"/>
            <w:shd w:val="clear" w:color="auto" w:fill="auto"/>
          </w:tcPr>
          <w:p w14:paraId="6826A9A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APBN</w:t>
            </w:r>
          </w:p>
        </w:tc>
        <w:tc>
          <w:tcPr>
            <w:tcW w:w="3685" w:type="dxa"/>
            <w:shd w:val="clear" w:color="auto" w:fill="auto"/>
          </w:tcPr>
          <w:p w14:paraId="6826A9A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National Budget</w:t>
            </w:r>
          </w:p>
        </w:tc>
        <w:tc>
          <w:tcPr>
            <w:tcW w:w="4223" w:type="dxa"/>
            <w:shd w:val="clear" w:color="auto" w:fill="auto"/>
          </w:tcPr>
          <w:p w14:paraId="6826A9A4"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Anggaran Pendapatan dan Belanja Negara</w:t>
            </w:r>
          </w:p>
        </w:tc>
      </w:tr>
      <w:tr w:rsidR="00EB0708" w:rsidRPr="007B49A9" w14:paraId="6826A9A9" w14:textId="77777777" w:rsidTr="00635AAF">
        <w:trPr>
          <w:cantSplit/>
          <w:trHeight w:val="170"/>
        </w:trPr>
        <w:tc>
          <w:tcPr>
            <w:tcW w:w="1242" w:type="dxa"/>
            <w:shd w:val="clear" w:color="auto" w:fill="auto"/>
          </w:tcPr>
          <w:p w14:paraId="6826A9A6"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APBN-P</w:t>
            </w:r>
          </w:p>
        </w:tc>
        <w:tc>
          <w:tcPr>
            <w:tcW w:w="3685" w:type="dxa"/>
            <w:shd w:val="clear" w:color="auto" w:fill="auto"/>
          </w:tcPr>
          <w:p w14:paraId="6826A9A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National Budget Amendment</w:t>
            </w:r>
          </w:p>
        </w:tc>
        <w:tc>
          <w:tcPr>
            <w:tcW w:w="4223" w:type="dxa"/>
            <w:shd w:val="clear" w:color="auto" w:fill="auto"/>
          </w:tcPr>
          <w:p w14:paraId="6826A9A8"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Anggaran Pendapatan dan Belanja Negara – Perubahan</w:t>
            </w:r>
          </w:p>
        </w:tc>
      </w:tr>
      <w:tr w:rsidR="00EB0708" w:rsidRPr="007B49A9" w14:paraId="6826A9AD" w14:textId="77777777" w:rsidTr="00635AAF">
        <w:trPr>
          <w:cantSplit/>
          <w:trHeight w:val="170"/>
        </w:trPr>
        <w:tc>
          <w:tcPr>
            <w:tcW w:w="1242" w:type="dxa"/>
            <w:shd w:val="clear" w:color="auto" w:fill="auto"/>
          </w:tcPr>
          <w:p w14:paraId="6826A9A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APPR</w:t>
            </w:r>
          </w:p>
        </w:tc>
        <w:tc>
          <w:tcPr>
            <w:tcW w:w="3685" w:type="dxa"/>
            <w:shd w:val="clear" w:color="auto" w:fill="auto"/>
          </w:tcPr>
          <w:p w14:paraId="6826A9A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Annual Partnership Performance Report</w:t>
            </w:r>
          </w:p>
        </w:tc>
        <w:tc>
          <w:tcPr>
            <w:tcW w:w="4223" w:type="dxa"/>
            <w:shd w:val="clear" w:color="auto" w:fill="auto"/>
          </w:tcPr>
          <w:p w14:paraId="6826A9A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 xml:space="preserve">Laporan Tahunan Kinerja Kemitraan </w:t>
            </w:r>
          </w:p>
        </w:tc>
      </w:tr>
      <w:tr w:rsidR="00EB0708" w:rsidRPr="007B49A9" w14:paraId="6826A9B1" w14:textId="77777777" w:rsidTr="00635AAF">
        <w:trPr>
          <w:cantSplit/>
          <w:trHeight w:val="170"/>
        </w:trPr>
        <w:tc>
          <w:tcPr>
            <w:tcW w:w="1242" w:type="dxa"/>
            <w:shd w:val="clear" w:color="auto" w:fill="auto"/>
          </w:tcPr>
          <w:p w14:paraId="6826A9A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AUD</w:t>
            </w:r>
          </w:p>
        </w:tc>
        <w:tc>
          <w:tcPr>
            <w:tcW w:w="3685" w:type="dxa"/>
            <w:shd w:val="clear" w:color="auto" w:fill="auto"/>
          </w:tcPr>
          <w:p w14:paraId="6826A9A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Australian Dollar</w:t>
            </w:r>
          </w:p>
        </w:tc>
        <w:tc>
          <w:tcPr>
            <w:tcW w:w="4223" w:type="dxa"/>
            <w:shd w:val="clear" w:color="auto" w:fill="auto"/>
          </w:tcPr>
          <w:p w14:paraId="6826A9B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Dolar Australia</w:t>
            </w:r>
          </w:p>
        </w:tc>
      </w:tr>
      <w:tr w:rsidR="00EB0708" w:rsidRPr="007B49A9" w14:paraId="6826A9B5" w14:textId="77777777" w:rsidTr="00635AAF">
        <w:trPr>
          <w:cantSplit/>
          <w:trHeight w:val="170"/>
        </w:trPr>
        <w:tc>
          <w:tcPr>
            <w:tcW w:w="1242" w:type="dxa"/>
            <w:shd w:val="clear" w:color="auto" w:fill="auto"/>
          </w:tcPr>
          <w:p w14:paraId="6826A9B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AusAID</w:t>
            </w:r>
          </w:p>
        </w:tc>
        <w:tc>
          <w:tcPr>
            <w:tcW w:w="3685" w:type="dxa"/>
            <w:shd w:val="clear" w:color="auto" w:fill="auto"/>
          </w:tcPr>
          <w:p w14:paraId="6826A9B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 xml:space="preserve">Australian Agency for International Development </w:t>
            </w:r>
          </w:p>
        </w:tc>
        <w:tc>
          <w:tcPr>
            <w:tcW w:w="4223" w:type="dxa"/>
            <w:shd w:val="clear" w:color="auto" w:fill="auto"/>
          </w:tcPr>
          <w:p w14:paraId="6826A9B4" w14:textId="77777777" w:rsidR="00EB0708" w:rsidRPr="009A5A6E" w:rsidRDefault="007B49A9" w:rsidP="009A5A6E">
            <w:pPr>
              <w:spacing w:before="60" w:after="60" w:line="276" w:lineRule="auto"/>
              <w:rPr>
                <w:rFonts w:cs="Calibri"/>
                <w:sz w:val="20"/>
                <w:szCs w:val="20"/>
                <w:lang w:val="en-AU"/>
              </w:rPr>
            </w:pPr>
            <w:r w:rsidRPr="009A5A6E">
              <w:rPr>
                <w:rFonts w:cs="Calibri"/>
                <w:sz w:val="20"/>
                <w:szCs w:val="20"/>
                <w:lang w:val="en-AU"/>
              </w:rPr>
              <w:t>Lembaga Australia untuk Pembangunan Internasional</w:t>
            </w:r>
          </w:p>
        </w:tc>
      </w:tr>
      <w:tr w:rsidR="00EB0708" w:rsidRPr="007B49A9" w14:paraId="6826A9BD" w14:textId="77777777" w:rsidTr="00635AAF">
        <w:trPr>
          <w:cantSplit/>
          <w:trHeight w:val="170"/>
        </w:trPr>
        <w:tc>
          <w:tcPr>
            <w:tcW w:w="1242" w:type="dxa"/>
            <w:shd w:val="clear" w:color="auto" w:fill="auto"/>
          </w:tcPr>
          <w:p w14:paraId="6826A9B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BAN-S/M</w:t>
            </w:r>
          </w:p>
        </w:tc>
        <w:tc>
          <w:tcPr>
            <w:tcW w:w="3685" w:type="dxa"/>
            <w:shd w:val="clear" w:color="auto" w:fill="auto"/>
          </w:tcPr>
          <w:p w14:paraId="6826A9B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National Accreditation Board – School/Madrasah</w:t>
            </w:r>
          </w:p>
        </w:tc>
        <w:tc>
          <w:tcPr>
            <w:tcW w:w="4223" w:type="dxa"/>
            <w:shd w:val="clear" w:color="auto" w:fill="auto"/>
          </w:tcPr>
          <w:p w14:paraId="6826A9B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Badan Akreditasi Nasional-Sekolah/Madrasah</w:t>
            </w:r>
          </w:p>
        </w:tc>
      </w:tr>
      <w:tr w:rsidR="00EB0708" w:rsidRPr="007B49A9" w14:paraId="6826A9C1" w14:textId="77777777" w:rsidTr="00635AAF">
        <w:trPr>
          <w:cantSplit/>
          <w:trHeight w:val="170"/>
        </w:trPr>
        <w:tc>
          <w:tcPr>
            <w:tcW w:w="1242" w:type="dxa"/>
            <w:shd w:val="clear" w:color="auto" w:fill="auto"/>
          </w:tcPr>
          <w:p w14:paraId="6826A9B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Bappenas</w:t>
            </w:r>
          </w:p>
        </w:tc>
        <w:tc>
          <w:tcPr>
            <w:tcW w:w="3685" w:type="dxa"/>
            <w:shd w:val="clear" w:color="auto" w:fill="auto"/>
          </w:tcPr>
          <w:p w14:paraId="6826A9B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Ministry of National Development Planning</w:t>
            </w:r>
          </w:p>
        </w:tc>
        <w:tc>
          <w:tcPr>
            <w:tcW w:w="4223" w:type="dxa"/>
            <w:shd w:val="clear" w:color="auto" w:fill="auto"/>
          </w:tcPr>
          <w:p w14:paraId="6826A9C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Badan Perencanaan Pembangunan Nasional</w:t>
            </w:r>
          </w:p>
        </w:tc>
      </w:tr>
      <w:tr w:rsidR="00EB0708" w:rsidRPr="007B49A9" w14:paraId="6826A9C5" w14:textId="77777777" w:rsidTr="00635AAF">
        <w:trPr>
          <w:cantSplit/>
          <w:trHeight w:val="170"/>
        </w:trPr>
        <w:tc>
          <w:tcPr>
            <w:tcW w:w="1242" w:type="dxa"/>
            <w:shd w:val="clear" w:color="auto" w:fill="auto"/>
          </w:tcPr>
          <w:p w14:paraId="6826A9C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BOS</w:t>
            </w:r>
          </w:p>
        </w:tc>
        <w:tc>
          <w:tcPr>
            <w:tcW w:w="3685" w:type="dxa"/>
            <w:shd w:val="clear" w:color="auto" w:fill="auto"/>
          </w:tcPr>
          <w:p w14:paraId="6826A9C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School Operational Grants</w:t>
            </w:r>
          </w:p>
        </w:tc>
        <w:tc>
          <w:tcPr>
            <w:tcW w:w="4223" w:type="dxa"/>
            <w:shd w:val="clear" w:color="auto" w:fill="auto"/>
          </w:tcPr>
          <w:p w14:paraId="6826A9C4"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Bantuan Operasional Sekolah</w:t>
            </w:r>
          </w:p>
        </w:tc>
      </w:tr>
      <w:tr w:rsidR="00E33835" w:rsidRPr="007B49A9" w14:paraId="6826A9C9" w14:textId="77777777" w:rsidTr="00635AAF">
        <w:trPr>
          <w:cantSplit/>
          <w:trHeight w:val="170"/>
        </w:trPr>
        <w:tc>
          <w:tcPr>
            <w:tcW w:w="1242" w:type="dxa"/>
            <w:shd w:val="clear" w:color="auto" w:fill="auto"/>
          </w:tcPr>
          <w:p w14:paraId="6826A9C6"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BSM</w:t>
            </w:r>
          </w:p>
        </w:tc>
        <w:tc>
          <w:tcPr>
            <w:tcW w:w="3685" w:type="dxa"/>
            <w:shd w:val="clear" w:color="auto" w:fill="auto"/>
          </w:tcPr>
          <w:p w14:paraId="6826A9C7"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Student Assistance Cash Transfer Scheme</w:t>
            </w:r>
          </w:p>
        </w:tc>
        <w:tc>
          <w:tcPr>
            <w:tcW w:w="4223" w:type="dxa"/>
            <w:shd w:val="clear" w:color="auto" w:fill="auto"/>
          </w:tcPr>
          <w:p w14:paraId="6826A9C8"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Bantuan Siswa Miskin</w:t>
            </w:r>
          </w:p>
        </w:tc>
      </w:tr>
      <w:tr w:rsidR="00EB0708" w:rsidRPr="007B49A9" w14:paraId="6826A9CD" w14:textId="77777777" w:rsidTr="00635AAF">
        <w:trPr>
          <w:cantSplit/>
          <w:trHeight w:val="170"/>
        </w:trPr>
        <w:tc>
          <w:tcPr>
            <w:tcW w:w="1242" w:type="dxa"/>
            <w:shd w:val="clear" w:color="auto" w:fill="auto"/>
          </w:tcPr>
          <w:p w14:paraId="6826A9C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C1</w:t>
            </w:r>
          </w:p>
        </w:tc>
        <w:tc>
          <w:tcPr>
            <w:tcW w:w="3685" w:type="dxa"/>
            <w:shd w:val="clear" w:color="auto" w:fill="auto"/>
          </w:tcPr>
          <w:p w14:paraId="6826A9C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Component 1 of the Education Partnership</w:t>
            </w:r>
          </w:p>
        </w:tc>
        <w:tc>
          <w:tcPr>
            <w:tcW w:w="4223" w:type="dxa"/>
            <w:shd w:val="clear" w:color="auto" w:fill="auto"/>
          </w:tcPr>
          <w:p w14:paraId="6826A9C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Komponen 1 Kemitraan Pendidikan</w:t>
            </w:r>
          </w:p>
        </w:tc>
      </w:tr>
      <w:tr w:rsidR="00EB0708" w:rsidRPr="007B49A9" w14:paraId="6826A9D1" w14:textId="77777777" w:rsidTr="00635AAF">
        <w:trPr>
          <w:cantSplit/>
          <w:trHeight w:val="170"/>
        </w:trPr>
        <w:tc>
          <w:tcPr>
            <w:tcW w:w="1242" w:type="dxa"/>
            <w:shd w:val="clear" w:color="auto" w:fill="auto"/>
          </w:tcPr>
          <w:p w14:paraId="6826A9C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C2</w:t>
            </w:r>
          </w:p>
        </w:tc>
        <w:tc>
          <w:tcPr>
            <w:tcW w:w="3685" w:type="dxa"/>
            <w:shd w:val="clear" w:color="auto" w:fill="auto"/>
          </w:tcPr>
          <w:p w14:paraId="6826A9C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Component 2 of the Education Partnership</w:t>
            </w:r>
          </w:p>
        </w:tc>
        <w:tc>
          <w:tcPr>
            <w:tcW w:w="4223" w:type="dxa"/>
            <w:shd w:val="clear" w:color="auto" w:fill="auto"/>
          </w:tcPr>
          <w:p w14:paraId="6826A9D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Komponen 2 Kemitraan Pendidikan</w:t>
            </w:r>
          </w:p>
        </w:tc>
      </w:tr>
      <w:tr w:rsidR="00EB0708" w:rsidRPr="007B49A9" w14:paraId="6826A9D5" w14:textId="77777777" w:rsidTr="00635AAF">
        <w:trPr>
          <w:cantSplit/>
          <w:trHeight w:val="170"/>
        </w:trPr>
        <w:tc>
          <w:tcPr>
            <w:tcW w:w="1242" w:type="dxa"/>
            <w:shd w:val="clear" w:color="auto" w:fill="auto"/>
          </w:tcPr>
          <w:p w14:paraId="6826A9D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C3</w:t>
            </w:r>
          </w:p>
        </w:tc>
        <w:tc>
          <w:tcPr>
            <w:tcW w:w="3685" w:type="dxa"/>
            <w:shd w:val="clear" w:color="auto" w:fill="auto"/>
          </w:tcPr>
          <w:p w14:paraId="6826A9D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Component 3 of the Education Partnership</w:t>
            </w:r>
          </w:p>
        </w:tc>
        <w:tc>
          <w:tcPr>
            <w:tcW w:w="4223" w:type="dxa"/>
            <w:shd w:val="clear" w:color="auto" w:fill="auto"/>
          </w:tcPr>
          <w:p w14:paraId="6826A9D4"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Komponen 3 Kemitraan Pendidikan</w:t>
            </w:r>
          </w:p>
        </w:tc>
      </w:tr>
      <w:tr w:rsidR="00EB0708" w:rsidRPr="007B49A9" w14:paraId="6826A9D9" w14:textId="77777777" w:rsidTr="00635AAF">
        <w:trPr>
          <w:cantSplit/>
          <w:trHeight w:val="170"/>
        </w:trPr>
        <w:tc>
          <w:tcPr>
            <w:tcW w:w="1242" w:type="dxa"/>
            <w:shd w:val="clear" w:color="auto" w:fill="auto"/>
          </w:tcPr>
          <w:p w14:paraId="6826A9D6"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C4</w:t>
            </w:r>
          </w:p>
        </w:tc>
        <w:tc>
          <w:tcPr>
            <w:tcW w:w="3685" w:type="dxa"/>
            <w:shd w:val="clear" w:color="auto" w:fill="auto"/>
          </w:tcPr>
          <w:p w14:paraId="6826A9D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Component 4 of the Education Partnership</w:t>
            </w:r>
          </w:p>
        </w:tc>
        <w:tc>
          <w:tcPr>
            <w:tcW w:w="4223" w:type="dxa"/>
            <w:shd w:val="clear" w:color="auto" w:fill="auto"/>
          </w:tcPr>
          <w:p w14:paraId="6826A9D8"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Komponen 4 Kemitraan Pendidikan</w:t>
            </w:r>
          </w:p>
        </w:tc>
      </w:tr>
      <w:tr w:rsidR="00EB0708" w:rsidRPr="007B49A9" w14:paraId="6826A9DD" w14:textId="77777777" w:rsidTr="00635AAF">
        <w:trPr>
          <w:cantSplit/>
          <w:trHeight w:val="170"/>
        </w:trPr>
        <w:tc>
          <w:tcPr>
            <w:tcW w:w="1242" w:type="dxa"/>
            <w:shd w:val="clear" w:color="auto" w:fill="FFFFFF"/>
          </w:tcPr>
          <w:p w14:paraId="6826A9D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CHS</w:t>
            </w:r>
          </w:p>
        </w:tc>
        <w:tc>
          <w:tcPr>
            <w:tcW w:w="3685" w:type="dxa"/>
            <w:shd w:val="clear" w:color="auto" w:fill="FFFFFF"/>
          </w:tcPr>
          <w:p w14:paraId="6826A9D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Complaints Handling System</w:t>
            </w:r>
          </w:p>
        </w:tc>
        <w:tc>
          <w:tcPr>
            <w:tcW w:w="4223" w:type="dxa"/>
            <w:shd w:val="clear" w:color="auto" w:fill="FFFFFF"/>
          </w:tcPr>
          <w:p w14:paraId="6826A9D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Sistem Penanganan Pengaduan</w:t>
            </w:r>
          </w:p>
        </w:tc>
      </w:tr>
      <w:tr w:rsidR="00EB0708" w:rsidRPr="007B49A9" w14:paraId="6826A9E1" w14:textId="77777777" w:rsidTr="00635AAF">
        <w:trPr>
          <w:cantSplit/>
          <w:trHeight w:val="170"/>
        </w:trPr>
        <w:tc>
          <w:tcPr>
            <w:tcW w:w="1242" w:type="dxa"/>
            <w:shd w:val="clear" w:color="auto" w:fill="auto"/>
          </w:tcPr>
          <w:p w14:paraId="6826A9D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CPD</w:t>
            </w:r>
          </w:p>
        </w:tc>
        <w:tc>
          <w:tcPr>
            <w:tcW w:w="3685" w:type="dxa"/>
            <w:shd w:val="clear" w:color="auto" w:fill="auto"/>
          </w:tcPr>
          <w:p w14:paraId="6826A9D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Continuous Professional Development</w:t>
            </w:r>
          </w:p>
        </w:tc>
        <w:tc>
          <w:tcPr>
            <w:tcW w:w="4223" w:type="dxa"/>
            <w:shd w:val="clear" w:color="auto" w:fill="auto"/>
          </w:tcPr>
          <w:p w14:paraId="6826A9E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Pengembangan Keprofesian Berkelanjutan Kepala Sekolah / Madrasah</w:t>
            </w:r>
          </w:p>
        </w:tc>
      </w:tr>
      <w:tr w:rsidR="00EB0708" w:rsidRPr="007B49A9" w14:paraId="6826A9E5" w14:textId="77777777" w:rsidTr="00635AAF">
        <w:trPr>
          <w:cantSplit/>
          <w:trHeight w:val="170"/>
        </w:trPr>
        <w:tc>
          <w:tcPr>
            <w:tcW w:w="1242" w:type="dxa"/>
            <w:shd w:val="clear" w:color="auto" w:fill="auto"/>
          </w:tcPr>
          <w:p w14:paraId="6826A9E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 xml:space="preserve">DAC </w:t>
            </w:r>
          </w:p>
        </w:tc>
        <w:tc>
          <w:tcPr>
            <w:tcW w:w="3685" w:type="dxa"/>
            <w:shd w:val="clear" w:color="auto" w:fill="auto"/>
          </w:tcPr>
          <w:p w14:paraId="6826A9E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Development Assistance Committee</w:t>
            </w:r>
          </w:p>
        </w:tc>
        <w:tc>
          <w:tcPr>
            <w:tcW w:w="4223" w:type="dxa"/>
            <w:shd w:val="clear" w:color="auto" w:fill="auto"/>
          </w:tcPr>
          <w:p w14:paraId="6826A9E4"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Komite Bantuan Pembangunan</w:t>
            </w:r>
          </w:p>
        </w:tc>
      </w:tr>
      <w:tr w:rsidR="00EB0708" w:rsidRPr="007B49A9" w14:paraId="6826A9E9" w14:textId="77777777" w:rsidTr="00635AAF">
        <w:trPr>
          <w:cantSplit/>
          <w:trHeight w:val="170"/>
        </w:trPr>
        <w:tc>
          <w:tcPr>
            <w:tcW w:w="1242" w:type="dxa"/>
            <w:shd w:val="clear" w:color="auto" w:fill="auto"/>
          </w:tcPr>
          <w:p w14:paraId="6826A9E6"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DFAT</w:t>
            </w:r>
          </w:p>
        </w:tc>
        <w:tc>
          <w:tcPr>
            <w:tcW w:w="3685" w:type="dxa"/>
            <w:shd w:val="clear" w:color="auto" w:fill="auto"/>
          </w:tcPr>
          <w:p w14:paraId="6826A9E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Department of Foreign Affairs and Trade</w:t>
            </w:r>
          </w:p>
        </w:tc>
        <w:tc>
          <w:tcPr>
            <w:tcW w:w="4223" w:type="dxa"/>
            <w:shd w:val="clear" w:color="auto" w:fill="auto"/>
          </w:tcPr>
          <w:p w14:paraId="6826A9E8"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Departemen Luar Negeri dan Perdagangan Australia</w:t>
            </w:r>
          </w:p>
        </w:tc>
      </w:tr>
      <w:tr w:rsidR="00EB0708" w:rsidRPr="007B49A9" w14:paraId="6826A9F0" w14:textId="77777777" w:rsidTr="00635AAF">
        <w:trPr>
          <w:cantSplit/>
          <w:trHeight w:val="170"/>
        </w:trPr>
        <w:tc>
          <w:tcPr>
            <w:tcW w:w="1242" w:type="dxa"/>
            <w:shd w:val="clear" w:color="auto" w:fill="auto"/>
          </w:tcPr>
          <w:p w14:paraId="6826A9EA" w14:textId="77777777" w:rsidR="009D4BBF" w:rsidRDefault="009D4BBF" w:rsidP="009A5A6E">
            <w:pPr>
              <w:spacing w:before="60" w:after="60" w:line="276" w:lineRule="auto"/>
              <w:rPr>
                <w:rFonts w:cs="Calibri"/>
                <w:sz w:val="20"/>
                <w:szCs w:val="20"/>
                <w:lang w:val="en-AU"/>
              </w:rPr>
            </w:pPr>
            <w:r>
              <w:rPr>
                <w:rFonts w:cs="Calibri"/>
                <w:sz w:val="20"/>
                <w:szCs w:val="20"/>
                <w:lang w:val="en-AU"/>
              </w:rPr>
              <w:lastRenderedPageBreak/>
              <w:t>EC</w:t>
            </w:r>
          </w:p>
          <w:p w14:paraId="6826A9E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EOCO</w:t>
            </w:r>
          </w:p>
        </w:tc>
        <w:tc>
          <w:tcPr>
            <w:tcW w:w="3685" w:type="dxa"/>
            <w:shd w:val="clear" w:color="auto" w:fill="auto"/>
          </w:tcPr>
          <w:p w14:paraId="6826A9EC" w14:textId="4139B700" w:rsidR="009D4BBF" w:rsidRDefault="009D4BBF" w:rsidP="009A5A6E">
            <w:pPr>
              <w:spacing w:before="60" w:after="60" w:line="276" w:lineRule="auto"/>
              <w:rPr>
                <w:rFonts w:cs="Calibri"/>
                <w:sz w:val="20"/>
                <w:szCs w:val="20"/>
                <w:lang w:val="en-AU"/>
              </w:rPr>
            </w:pPr>
            <w:r>
              <w:rPr>
                <w:rFonts w:cs="Calibri"/>
                <w:sz w:val="20"/>
                <w:szCs w:val="20"/>
                <w:lang w:val="en-AU"/>
              </w:rPr>
              <w:t xml:space="preserve">European </w:t>
            </w:r>
            <w:r w:rsidR="00333F71">
              <w:rPr>
                <w:rFonts w:cs="Calibri"/>
                <w:sz w:val="20"/>
                <w:szCs w:val="20"/>
                <w:lang w:val="en-AU"/>
              </w:rPr>
              <w:t>Commission</w:t>
            </w:r>
          </w:p>
          <w:p w14:paraId="6826A9E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End-of-Component-Outcome</w:t>
            </w:r>
          </w:p>
        </w:tc>
        <w:tc>
          <w:tcPr>
            <w:tcW w:w="4223" w:type="dxa"/>
            <w:shd w:val="clear" w:color="auto" w:fill="auto"/>
          </w:tcPr>
          <w:p w14:paraId="6826A9EE" w14:textId="38D5BE84" w:rsidR="009D4BBF" w:rsidRDefault="009D4BBF" w:rsidP="009A5A6E">
            <w:pPr>
              <w:spacing w:before="60" w:after="60" w:line="276" w:lineRule="auto"/>
              <w:rPr>
                <w:rFonts w:cs="Calibri"/>
                <w:sz w:val="20"/>
                <w:szCs w:val="20"/>
                <w:lang w:val="en-AU"/>
              </w:rPr>
            </w:pPr>
            <w:r>
              <w:rPr>
                <w:rFonts w:cs="Calibri"/>
                <w:sz w:val="20"/>
                <w:szCs w:val="20"/>
                <w:lang w:val="en-AU"/>
              </w:rPr>
              <w:t>Kom</w:t>
            </w:r>
            <w:r w:rsidR="003B0EE2">
              <w:rPr>
                <w:rFonts w:cs="Calibri"/>
                <w:sz w:val="20"/>
                <w:szCs w:val="20"/>
                <w:lang w:val="en-AU"/>
              </w:rPr>
              <w:t>isi</w:t>
            </w:r>
            <w:r>
              <w:rPr>
                <w:rFonts w:cs="Calibri"/>
                <w:sz w:val="20"/>
                <w:szCs w:val="20"/>
                <w:lang w:val="en-AU"/>
              </w:rPr>
              <w:t xml:space="preserve"> Eropa</w:t>
            </w:r>
          </w:p>
          <w:p w14:paraId="6826A9E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Tujuan Akhir Komponen</w:t>
            </w:r>
          </w:p>
        </w:tc>
      </w:tr>
      <w:tr w:rsidR="00EB0708" w:rsidRPr="007B49A9" w14:paraId="6826A9F4" w14:textId="77777777" w:rsidTr="00635AAF">
        <w:trPr>
          <w:cantSplit/>
          <w:trHeight w:val="170"/>
        </w:trPr>
        <w:tc>
          <w:tcPr>
            <w:tcW w:w="1242" w:type="dxa"/>
            <w:shd w:val="clear" w:color="auto" w:fill="auto"/>
          </w:tcPr>
          <w:p w14:paraId="6826A9F1"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EOPO</w:t>
            </w:r>
          </w:p>
        </w:tc>
        <w:tc>
          <w:tcPr>
            <w:tcW w:w="3685" w:type="dxa"/>
            <w:shd w:val="clear" w:color="auto" w:fill="auto"/>
          </w:tcPr>
          <w:p w14:paraId="6826A9F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End-of-Partnership-Outcome</w:t>
            </w:r>
          </w:p>
        </w:tc>
        <w:tc>
          <w:tcPr>
            <w:tcW w:w="4223" w:type="dxa"/>
            <w:shd w:val="clear" w:color="auto" w:fill="auto"/>
          </w:tcPr>
          <w:p w14:paraId="6826A9F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Tujuan Akhir Kemitraan/Program</w:t>
            </w:r>
          </w:p>
        </w:tc>
      </w:tr>
      <w:tr w:rsidR="00EB0708" w:rsidRPr="007B49A9" w14:paraId="6826A9F8" w14:textId="77777777" w:rsidTr="00635AAF">
        <w:trPr>
          <w:cantSplit/>
          <w:trHeight w:val="170"/>
        </w:trPr>
        <w:tc>
          <w:tcPr>
            <w:tcW w:w="1242" w:type="dxa"/>
            <w:shd w:val="clear" w:color="auto" w:fill="auto"/>
          </w:tcPr>
          <w:p w14:paraId="6826A9F5"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EP</w:t>
            </w:r>
          </w:p>
        </w:tc>
        <w:tc>
          <w:tcPr>
            <w:tcW w:w="3685" w:type="dxa"/>
            <w:shd w:val="clear" w:color="auto" w:fill="auto"/>
          </w:tcPr>
          <w:p w14:paraId="6826A9F6"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 xml:space="preserve">Education Partnership </w:t>
            </w:r>
          </w:p>
        </w:tc>
        <w:tc>
          <w:tcPr>
            <w:tcW w:w="4223" w:type="dxa"/>
            <w:shd w:val="clear" w:color="auto" w:fill="auto"/>
          </w:tcPr>
          <w:p w14:paraId="6826A9F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Kemitraan Pendidikan</w:t>
            </w:r>
          </w:p>
        </w:tc>
      </w:tr>
      <w:tr w:rsidR="00EB0708" w:rsidRPr="007B49A9" w14:paraId="6826A9FC" w14:textId="77777777" w:rsidTr="00635AAF">
        <w:trPr>
          <w:cantSplit/>
          <w:trHeight w:val="170"/>
        </w:trPr>
        <w:tc>
          <w:tcPr>
            <w:tcW w:w="1242" w:type="dxa"/>
            <w:shd w:val="clear" w:color="auto" w:fill="auto"/>
          </w:tcPr>
          <w:p w14:paraId="6826A9F9"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EPOS</w:t>
            </w:r>
          </w:p>
        </w:tc>
        <w:tc>
          <w:tcPr>
            <w:tcW w:w="3685" w:type="dxa"/>
            <w:shd w:val="clear" w:color="auto" w:fill="auto"/>
          </w:tcPr>
          <w:p w14:paraId="6826A9F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Education Partnership Outreach Services</w:t>
            </w:r>
          </w:p>
        </w:tc>
        <w:tc>
          <w:tcPr>
            <w:tcW w:w="4223" w:type="dxa"/>
            <w:shd w:val="clear" w:color="auto" w:fill="auto"/>
          </w:tcPr>
          <w:p w14:paraId="6826A9F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Pelayanan Humas Kemitraan Pendidikan</w:t>
            </w:r>
          </w:p>
        </w:tc>
      </w:tr>
      <w:tr w:rsidR="00EB0708" w:rsidRPr="007B49A9" w14:paraId="6826AA00" w14:textId="77777777" w:rsidTr="00635AAF">
        <w:trPr>
          <w:cantSplit/>
          <w:trHeight w:val="170"/>
        </w:trPr>
        <w:tc>
          <w:tcPr>
            <w:tcW w:w="1242" w:type="dxa"/>
            <w:shd w:val="clear" w:color="auto" w:fill="auto"/>
          </w:tcPr>
          <w:p w14:paraId="6826A9F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ESSP</w:t>
            </w:r>
          </w:p>
        </w:tc>
        <w:tc>
          <w:tcPr>
            <w:tcW w:w="3685" w:type="dxa"/>
            <w:shd w:val="clear" w:color="auto" w:fill="auto"/>
          </w:tcPr>
          <w:p w14:paraId="6826A9F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Education Sector Support Program</w:t>
            </w:r>
          </w:p>
        </w:tc>
        <w:tc>
          <w:tcPr>
            <w:tcW w:w="4223" w:type="dxa"/>
            <w:shd w:val="clear" w:color="auto" w:fill="auto"/>
          </w:tcPr>
          <w:p w14:paraId="6826A9F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Program Dukungan untuk Sektor Pendidikan</w:t>
            </w:r>
          </w:p>
        </w:tc>
      </w:tr>
      <w:tr w:rsidR="00EB0708" w:rsidRPr="007B49A9" w14:paraId="6826AA04" w14:textId="77777777" w:rsidTr="00635AAF">
        <w:trPr>
          <w:cantSplit/>
          <w:trHeight w:val="170"/>
        </w:trPr>
        <w:tc>
          <w:tcPr>
            <w:tcW w:w="1242" w:type="dxa"/>
            <w:shd w:val="clear" w:color="auto" w:fill="auto"/>
          </w:tcPr>
          <w:p w14:paraId="6826AA01"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EU</w:t>
            </w:r>
          </w:p>
        </w:tc>
        <w:tc>
          <w:tcPr>
            <w:tcW w:w="3685" w:type="dxa"/>
            <w:shd w:val="clear" w:color="auto" w:fill="auto"/>
          </w:tcPr>
          <w:p w14:paraId="6826AA0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European Union</w:t>
            </w:r>
          </w:p>
        </w:tc>
        <w:tc>
          <w:tcPr>
            <w:tcW w:w="4223" w:type="dxa"/>
            <w:shd w:val="clear" w:color="auto" w:fill="auto"/>
          </w:tcPr>
          <w:p w14:paraId="6826AA0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Uni Eropa</w:t>
            </w:r>
          </w:p>
        </w:tc>
      </w:tr>
      <w:tr w:rsidR="00EB0708" w:rsidRPr="007B49A9" w14:paraId="6826AA08" w14:textId="77777777" w:rsidTr="00635AAF">
        <w:trPr>
          <w:cantSplit/>
          <w:trHeight w:val="170"/>
        </w:trPr>
        <w:tc>
          <w:tcPr>
            <w:tcW w:w="1242" w:type="dxa"/>
            <w:shd w:val="clear" w:color="auto" w:fill="auto"/>
          </w:tcPr>
          <w:p w14:paraId="6826AA05"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EUR</w:t>
            </w:r>
          </w:p>
        </w:tc>
        <w:tc>
          <w:tcPr>
            <w:tcW w:w="3685" w:type="dxa"/>
            <w:shd w:val="clear" w:color="auto" w:fill="auto"/>
          </w:tcPr>
          <w:p w14:paraId="6826AA06"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Euro</w:t>
            </w:r>
          </w:p>
        </w:tc>
        <w:tc>
          <w:tcPr>
            <w:tcW w:w="4223" w:type="dxa"/>
            <w:shd w:val="clear" w:color="auto" w:fill="auto"/>
          </w:tcPr>
          <w:p w14:paraId="6826AA07" w14:textId="77777777" w:rsidR="00EB0708" w:rsidRPr="009A5A6E" w:rsidRDefault="00C75C42" w:rsidP="009A5A6E">
            <w:pPr>
              <w:spacing w:before="60" w:after="60" w:line="276" w:lineRule="auto"/>
              <w:rPr>
                <w:rFonts w:cs="Calibri"/>
                <w:sz w:val="20"/>
                <w:szCs w:val="20"/>
                <w:lang w:val="en-AU"/>
              </w:rPr>
            </w:pPr>
            <w:r w:rsidRPr="009A5A6E">
              <w:rPr>
                <w:rFonts w:cs="Calibri"/>
                <w:sz w:val="20"/>
                <w:szCs w:val="20"/>
                <w:lang w:val="en-AU"/>
              </w:rPr>
              <w:t>Euro</w:t>
            </w:r>
          </w:p>
        </w:tc>
      </w:tr>
      <w:tr w:rsidR="00333F71" w:rsidRPr="007B49A9" w14:paraId="22FD8D85" w14:textId="77777777" w:rsidTr="00635AAF">
        <w:trPr>
          <w:cantSplit/>
          <w:trHeight w:val="170"/>
        </w:trPr>
        <w:tc>
          <w:tcPr>
            <w:tcW w:w="1242" w:type="dxa"/>
            <w:shd w:val="clear" w:color="auto" w:fill="auto"/>
          </w:tcPr>
          <w:p w14:paraId="05862C7F" w14:textId="77777777" w:rsidR="00333F71" w:rsidRPr="009A5A6E" w:rsidRDefault="00333F71" w:rsidP="00333F71">
            <w:pPr>
              <w:spacing w:before="60" w:after="60" w:line="276" w:lineRule="auto"/>
              <w:rPr>
                <w:rFonts w:cs="Calibri"/>
                <w:sz w:val="20"/>
                <w:szCs w:val="20"/>
                <w:lang w:val="en-AU"/>
              </w:rPr>
            </w:pPr>
            <w:r w:rsidRPr="009A5A6E">
              <w:rPr>
                <w:rFonts w:cs="Calibri"/>
                <w:sz w:val="20"/>
                <w:szCs w:val="20"/>
                <w:lang w:val="en-AU"/>
              </w:rPr>
              <w:t>G20</w:t>
            </w:r>
          </w:p>
        </w:tc>
        <w:tc>
          <w:tcPr>
            <w:tcW w:w="3685" w:type="dxa"/>
            <w:shd w:val="clear" w:color="auto" w:fill="auto"/>
          </w:tcPr>
          <w:p w14:paraId="0765B96A" w14:textId="77777777" w:rsidR="00333F71" w:rsidRPr="009A5A6E" w:rsidRDefault="00333F71" w:rsidP="00333F71">
            <w:pPr>
              <w:spacing w:before="60" w:after="60" w:line="276" w:lineRule="auto"/>
              <w:rPr>
                <w:rFonts w:cs="Calibri"/>
                <w:sz w:val="20"/>
                <w:szCs w:val="20"/>
                <w:lang w:val="en-AU"/>
              </w:rPr>
            </w:pPr>
            <w:r w:rsidRPr="009A5A6E">
              <w:rPr>
                <w:rFonts w:cs="Calibri"/>
                <w:sz w:val="20"/>
                <w:szCs w:val="20"/>
                <w:lang w:val="en-AU"/>
              </w:rPr>
              <w:t>Group of Twenty</w:t>
            </w:r>
          </w:p>
        </w:tc>
        <w:tc>
          <w:tcPr>
            <w:tcW w:w="4223" w:type="dxa"/>
            <w:shd w:val="clear" w:color="auto" w:fill="auto"/>
          </w:tcPr>
          <w:p w14:paraId="6486D09A" w14:textId="77777777" w:rsidR="00333F71" w:rsidRPr="009A5A6E" w:rsidRDefault="00333F71" w:rsidP="00333F71">
            <w:pPr>
              <w:spacing w:before="60" w:after="60" w:line="276" w:lineRule="auto"/>
              <w:rPr>
                <w:rFonts w:cs="Calibri"/>
                <w:sz w:val="20"/>
                <w:szCs w:val="20"/>
                <w:lang w:val="en-AU"/>
              </w:rPr>
            </w:pPr>
            <w:r w:rsidRPr="009A5A6E">
              <w:rPr>
                <w:rFonts w:cs="Calibri"/>
                <w:sz w:val="20"/>
                <w:szCs w:val="20"/>
                <w:lang w:val="en-AU"/>
              </w:rPr>
              <w:t>Negara-negara Anggota G20</w:t>
            </w:r>
          </w:p>
        </w:tc>
      </w:tr>
      <w:tr w:rsidR="00EB0708" w:rsidRPr="007B49A9" w14:paraId="6826AA0C" w14:textId="77777777" w:rsidTr="00635AAF">
        <w:trPr>
          <w:cantSplit/>
          <w:trHeight w:val="170"/>
        </w:trPr>
        <w:tc>
          <w:tcPr>
            <w:tcW w:w="1242" w:type="dxa"/>
            <w:shd w:val="clear" w:color="auto" w:fill="auto"/>
          </w:tcPr>
          <w:p w14:paraId="6826AA09"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GA</w:t>
            </w:r>
          </w:p>
        </w:tc>
        <w:tc>
          <w:tcPr>
            <w:tcW w:w="3685" w:type="dxa"/>
            <w:shd w:val="clear" w:color="auto" w:fill="auto"/>
          </w:tcPr>
          <w:p w14:paraId="6826AA0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Grant Agreement</w:t>
            </w:r>
          </w:p>
        </w:tc>
        <w:tc>
          <w:tcPr>
            <w:tcW w:w="4223" w:type="dxa"/>
            <w:shd w:val="clear" w:color="auto" w:fill="auto"/>
          </w:tcPr>
          <w:p w14:paraId="6826AA0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Kesepakatan Hibah</w:t>
            </w:r>
          </w:p>
        </w:tc>
      </w:tr>
      <w:tr w:rsidR="00EB0708" w:rsidRPr="007B49A9" w14:paraId="6826AA10" w14:textId="77777777" w:rsidTr="00635AAF">
        <w:trPr>
          <w:cantSplit/>
          <w:trHeight w:val="170"/>
        </w:trPr>
        <w:tc>
          <w:tcPr>
            <w:tcW w:w="1242" w:type="dxa"/>
            <w:shd w:val="clear" w:color="auto" w:fill="auto"/>
          </w:tcPr>
          <w:p w14:paraId="6826AA0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GER</w:t>
            </w:r>
          </w:p>
        </w:tc>
        <w:tc>
          <w:tcPr>
            <w:tcW w:w="3685" w:type="dxa"/>
            <w:shd w:val="clear" w:color="auto" w:fill="auto"/>
          </w:tcPr>
          <w:p w14:paraId="6826AA0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Gross Enrolment Rate</w:t>
            </w:r>
          </w:p>
        </w:tc>
        <w:tc>
          <w:tcPr>
            <w:tcW w:w="4223" w:type="dxa"/>
            <w:shd w:val="clear" w:color="auto" w:fill="auto"/>
          </w:tcPr>
          <w:p w14:paraId="6826AA0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Angka Partisipasi Kasar (APK)</w:t>
            </w:r>
          </w:p>
        </w:tc>
      </w:tr>
      <w:tr w:rsidR="00152054" w:rsidRPr="007B49A9" w14:paraId="6826AA14" w14:textId="77777777" w:rsidTr="00635AAF">
        <w:trPr>
          <w:cantSplit/>
          <w:trHeight w:val="170"/>
        </w:trPr>
        <w:tc>
          <w:tcPr>
            <w:tcW w:w="1242" w:type="dxa"/>
            <w:shd w:val="clear" w:color="auto" w:fill="auto"/>
          </w:tcPr>
          <w:p w14:paraId="6826AA11" w14:textId="77777777" w:rsidR="00152054" w:rsidRPr="009A5A6E" w:rsidRDefault="00152054" w:rsidP="009A5A6E">
            <w:pPr>
              <w:spacing w:before="60" w:after="60" w:line="276" w:lineRule="auto"/>
              <w:rPr>
                <w:rFonts w:cs="Calibri"/>
                <w:sz w:val="20"/>
                <w:szCs w:val="20"/>
                <w:lang w:val="en-AU"/>
              </w:rPr>
            </w:pPr>
            <w:r w:rsidRPr="009A5A6E">
              <w:rPr>
                <w:rFonts w:cs="Calibri"/>
                <w:sz w:val="20"/>
                <w:szCs w:val="20"/>
                <w:lang w:val="en-AU"/>
              </w:rPr>
              <w:t>GNI</w:t>
            </w:r>
          </w:p>
        </w:tc>
        <w:tc>
          <w:tcPr>
            <w:tcW w:w="3685" w:type="dxa"/>
            <w:shd w:val="clear" w:color="auto" w:fill="auto"/>
          </w:tcPr>
          <w:p w14:paraId="6826AA12" w14:textId="77777777" w:rsidR="00152054" w:rsidRPr="009A5A6E" w:rsidRDefault="00152054" w:rsidP="009A5A6E">
            <w:pPr>
              <w:spacing w:before="60" w:after="60" w:line="276" w:lineRule="auto"/>
              <w:rPr>
                <w:rFonts w:cs="Calibri"/>
                <w:sz w:val="20"/>
                <w:szCs w:val="20"/>
                <w:lang w:val="en-AU"/>
              </w:rPr>
            </w:pPr>
            <w:r w:rsidRPr="009A5A6E">
              <w:rPr>
                <w:rFonts w:cs="Calibri"/>
                <w:sz w:val="20"/>
                <w:szCs w:val="20"/>
                <w:lang w:val="en-AU"/>
              </w:rPr>
              <w:t>Gross National Income</w:t>
            </w:r>
          </w:p>
        </w:tc>
        <w:tc>
          <w:tcPr>
            <w:tcW w:w="4223" w:type="dxa"/>
            <w:shd w:val="clear" w:color="auto" w:fill="auto"/>
          </w:tcPr>
          <w:p w14:paraId="6826AA13" w14:textId="77777777" w:rsidR="00152054" w:rsidRPr="009A5A6E" w:rsidRDefault="007B49A9" w:rsidP="009A5A6E">
            <w:pPr>
              <w:spacing w:before="60" w:after="60" w:line="276" w:lineRule="auto"/>
              <w:rPr>
                <w:rFonts w:cs="Calibri"/>
                <w:sz w:val="20"/>
                <w:szCs w:val="20"/>
                <w:lang w:val="en-AU"/>
              </w:rPr>
            </w:pPr>
            <w:r w:rsidRPr="009A5A6E">
              <w:rPr>
                <w:rFonts w:cs="Calibri"/>
                <w:sz w:val="20"/>
                <w:szCs w:val="20"/>
                <w:lang w:val="en-AU"/>
              </w:rPr>
              <w:t>Pendapatan Nasional Bruto (PNB)</w:t>
            </w:r>
          </w:p>
        </w:tc>
      </w:tr>
      <w:tr w:rsidR="00EB0708" w:rsidRPr="007B49A9" w14:paraId="6826AA18" w14:textId="77777777" w:rsidTr="00635AAF">
        <w:trPr>
          <w:cantSplit/>
          <w:trHeight w:val="170"/>
        </w:trPr>
        <w:tc>
          <w:tcPr>
            <w:tcW w:w="1242" w:type="dxa"/>
            <w:shd w:val="clear" w:color="auto" w:fill="auto"/>
          </w:tcPr>
          <w:p w14:paraId="6826AA15"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GoA</w:t>
            </w:r>
          </w:p>
        </w:tc>
        <w:tc>
          <w:tcPr>
            <w:tcW w:w="3685" w:type="dxa"/>
            <w:shd w:val="clear" w:color="auto" w:fill="auto"/>
          </w:tcPr>
          <w:p w14:paraId="6826AA16"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Government of Australia</w:t>
            </w:r>
          </w:p>
        </w:tc>
        <w:tc>
          <w:tcPr>
            <w:tcW w:w="4223" w:type="dxa"/>
            <w:shd w:val="clear" w:color="auto" w:fill="auto"/>
          </w:tcPr>
          <w:p w14:paraId="6826AA1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Pemerintah Australia</w:t>
            </w:r>
          </w:p>
        </w:tc>
      </w:tr>
      <w:tr w:rsidR="00EB0708" w:rsidRPr="007B49A9" w14:paraId="6826AA1C" w14:textId="77777777" w:rsidTr="00635AAF">
        <w:trPr>
          <w:cantSplit/>
          <w:trHeight w:val="170"/>
        </w:trPr>
        <w:tc>
          <w:tcPr>
            <w:tcW w:w="1242" w:type="dxa"/>
            <w:shd w:val="clear" w:color="auto" w:fill="auto"/>
          </w:tcPr>
          <w:p w14:paraId="6826AA19"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GOG</w:t>
            </w:r>
          </w:p>
        </w:tc>
        <w:tc>
          <w:tcPr>
            <w:tcW w:w="3685" w:type="dxa"/>
            <w:shd w:val="clear" w:color="auto" w:fill="auto"/>
          </w:tcPr>
          <w:p w14:paraId="6826AA1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Governance Oversight Group</w:t>
            </w:r>
          </w:p>
        </w:tc>
        <w:tc>
          <w:tcPr>
            <w:tcW w:w="4223" w:type="dxa"/>
            <w:shd w:val="clear" w:color="auto" w:fill="auto"/>
          </w:tcPr>
          <w:p w14:paraId="6826AA1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Kelompok Pengawasan Tata Kelola Program</w:t>
            </w:r>
          </w:p>
        </w:tc>
      </w:tr>
      <w:tr w:rsidR="00EB0708" w:rsidRPr="007B49A9" w14:paraId="6826AA20" w14:textId="77777777" w:rsidTr="00635AAF">
        <w:trPr>
          <w:cantSplit/>
          <w:trHeight w:val="170"/>
        </w:trPr>
        <w:tc>
          <w:tcPr>
            <w:tcW w:w="1242" w:type="dxa"/>
            <w:shd w:val="clear" w:color="auto" w:fill="auto"/>
          </w:tcPr>
          <w:p w14:paraId="6826AA1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GoI</w:t>
            </w:r>
          </w:p>
        </w:tc>
        <w:tc>
          <w:tcPr>
            <w:tcW w:w="3685" w:type="dxa"/>
            <w:shd w:val="clear" w:color="auto" w:fill="auto"/>
          </w:tcPr>
          <w:p w14:paraId="6826AA1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Government of Indonesia</w:t>
            </w:r>
          </w:p>
        </w:tc>
        <w:tc>
          <w:tcPr>
            <w:tcW w:w="4223" w:type="dxa"/>
            <w:shd w:val="clear" w:color="auto" w:fill="auto"/>
          </w:tcPr>
          <w:p w14:paraId="6826AA1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Pemerintah RI</w:t>
            </w:r>
          </w:p>
        </w:tc>
      </w:tr>
      <w:tr w:rsidR="00EB0708" w:rsidRPr="007B49A9" w14:paraId="6826AA28" w14:textId="77777777" w:rsidTr="00635AAF">
        <w:trPr>
          <w:cantSplit/>
          <w:trHeight w:val="170"/>
        </w:trPr>
        <w:tc>
          <w:tcPr>
            <w:tcW w:w="1242" w:type="dxa"/>
            <w:shd w:val="clear" w:color="auto" w:fill="auto"/>
          </w:tcPr>
          <w:p w14:paraId="6826AA25"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HRMD</w:t>
            </w:r>
          </w:p>
        </w:tc>
        <w:tc>
          <w:tcPr>
            <w:tcW w:w="3685" w:type="dxa"/>
            <w:shd w:val="clear" w:color="auto" w:fill="auto"/>
          </w:tcPr>
          <w:p w14:paraId="6826AA26"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Human Resources Management and Development (ProDEP Component)</w:t>
            </w:r>
          </w:p>
        </w:tc>
        <w:tc>
          <w:tcPr>
            <w:tcW w:w="4223" w:type="dxa"/>
            <w:shd w:val="clear" w:color="auto" w:fill="auto"/>
          </w:tcPr>
          <w:p w14:paraId="6826AA2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Manajemen dan Pengembangan Sumber Daya Manusia (Komponen ProDEP)</w:t>
            </w:r>
          </w:p>
        </w:tc>
      </w:tr>
      <w:tr w:rsidR="00E33835" w:rsidRPr="007B49A9" w14:paraId="6826AA2C" w14:textId="77777777" w:rsidTr="00635AAF">
        <w:trPr>
          <w:cantSplit/>
          <w:trHeight w:val="170"/>
        </w:trPr>
        <w:tc>
          <w:tcPr>
            <w:tcW w:w="1242" w:type="dxa"/>
            <w:shd w:val="clear" w:color="auto" w:fill="auto"/>
          </w:tcPr>
          <w:p w14:paraId="6826AA29"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IAASB</w:t>
            </w:r>
          </w:p>
        </w:tc>
        <w:tc>
          <w:tcPr>
            <w:tcW w:w="3685" w:type="dxa"/>
            <w:shd w:val="clear" w:color="auto" w:fill="auto"/>
          </w:tcPr>
          <w:p w14:paraId="6826AA2A"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 xml:space="preserve">International Auditing and Assurance Board </w:t>
            </w:r>
          </w:p>
        </w:tc>
        <w:tc>
          <w:tcPr>
            <w:tcW w:w="4223" w:type="dxa"/>
            <w:shd w:val="clear" w:color="auto" w:fill="auto"/>
          </w:tcPr>
          <w:p w14:paraId="6826AA2B" w14:textId="77777777" w:rsidR="00E33835" w:rsidRPr="009A5A6E" w:rsidRDefault="007B49A9" w:rsidP="009A5A6E">
            <w:pPr>
              <w:spacing w:before="60" w:after="60" w:line="276" w:lineRule="auto"/>
              <w:rPr>
                <w:rFonts w:cs="Calibri"/>
                <w:sz w:val="20"/>
                <w:szCs w:val="20"/>
                <w:lang w:val="en-AU"/>
              </w:rPr>
            </w:pPr>
            <w:r w:rsidRPr="009A5A6E">
              <w:rPr>
                <w:rFonts w:cs="Calibri"/>
                <w:sz w:val="20"/>
                <w:szCs w:val="20"/>
                <w:lang w:val="en-AU"/>
              </w:rPr>
              <w:t>Dewan Audit dan Penjaminan Internasional</w:t>
            </w:r>
          </w:p>
        </w:tc>
      </w:tr>
      <w:tr w:rsidR="00EB0708" w:rsidRPr="007B49A9" w14:paraId="6826AA30" w14:textId="77777777" w:rsidTr="00635AAF">
        <w:trPr>
          <w:cantSplit/>
          <w:trHeight w:val="170"/>
        </w:trPr>
        <w:tc>
          <w:tcPr>
            <w:tcW w:w="1242" w:type="dxa"/>
            <w:shd w:val="clear" w:color="auto" w:fill="auto"/>
          </w:tcPr>
          <w:p w14:paraId="6826AA2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ICR</w:t>
            </w:r>
          </w:p>
        </w:tc>
        <w:tc>
          <w:tcPr>
            <w:tcW w:w="3685" w:type="dxa"/>
            <w:shd w:val="clear" w:color="auto" w:fill="auto"/>
          </w:tcPr>
          <w:p w14:paraId="6826AA2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Independent Completion Report</w:t>
            </w:r>
          </w:p>
        </w:tc>
        <w:tc>
          <w:tcPr>
            <w:tcW w:w="4223" w:type="dxa"/>
            <w:shd w:val="clear" w:color="auto" w:fill="auto"/>
          </w:tcPr>
          <w:p w14:paraId="6826AA2F" w14:textId="77777777" w:rsidR="00EB0708" w:rsidRPr="009A5A6E" w:rsidRDefault="007B49A9" w:rsidP="009A5A6E">
            <w:pPr>
              <w:spacing w:before="60" w:after="60" w:line="276" w:lineRule="auto"/>
              <w:rPr>
                <w:rFonts w:cs="Calibri"/>
                <w:sz w:val="20"/>
                <w:szCs w:val="20"/>
                <w:lang w:val="en-AU"/>
              </w:rPr>
            </w:pPr>
            <w:r w:rsidRPr="009A5A6E">
              <w:rPr>
                <w:rFonts w:cs="Calibri"/>
                <w:sz w:val="20"/>
                <w:szCs w:val="20"/>
                <w:lang w:val="en-AU"/>
              </w:rPr>
              <w:t>Laporan Penutupan Mandiri</w:t>
            </w:r>
          </w:p>
        </w:tc>
      </w:tr>
      <w:tr w:rsidR="00EB0708" w:rsidRPr="007B49A9" w14:paraId="6826AA34" w14:textId="77777777" w:rsidTr="00635AAF">
        <w:trPr>
          <w:cantSplit/>
          <w:trHeight w:val="170"/>
        </w:trPr>
        <w:tc>
          <w:tcPr>
            <w:tcW w:w="1242" w:type="dxa"/>
            <w:shd w:val="clear" w:color="auto" w:fill="auto"/>
          </w:tcPr>
          <w:p w14:paraId="6826AA31"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IDR</w:t>
            </w:r>
          </w:p>
        </w:tc>
        <w:tc>
          <w:tcPr>
            <w:tcW w:w="3685" w:type="dxa"/>
            <w:shd w:val="clear" w:color="auto" w:fill="auto"/>
          </w:tcPr>
          <w:p w14:paraId="6826AA3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Indonesian Rupiah</w:t>
            </w:r>
          </w:p>
        </w:tc>
        <w:tc>
          <w:tcPr>
            <w:tcW w:w="4223" w:type="dxa"/>
            <w:shd w:val="clear" w:color="auto" w:fill="auto"/>
          </w:tcPr>
          <w:p w14:paraId="6826AA3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Rupiah Indonesia</w:t>
            </w:r>
          </w:p>
        </w:tc>
      </w:tr>
      <w:tr w:rsidR="00E33835" w:rsidRPr="007B49A9" w14:paraId="6826AA38" w14:textId="77777777" w:rsidTr="00635AAF">
        <w:trPr>
          <w:cantSplit/>
          <w:trHeight w:val="170"/>
        </w:trPr>
        <w:tc>
          <w:tcPr>
            <w:tcW w:w="1242" w:type="dxa"/>
            <w:shd w:val="clear" w:color="auto" w:fill="auto"/>
          </w:tcPr>
          <w:p w14:paraId="6826AA35"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IICPA</w:t>
            </w:r>
          </w:p>
        </w:tc>
        <w:tc>
          <w:tcPr>
            <w:tcW w:w="3685" w:type="dxa"/>
            <w:shd w:val="clear" w:color="auto" w:fill="auto"/>
          </w:tcPr>
          <w:p w14:paraId="6826AA36"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Indonesian Institute of Certified Public Accountants</w:t>
            </w:r>
          </w:p>
        </w:tc>
        <w:tc>
          <w:tcPr>
            <w:tcW w:w="4223" w:type="dxa"/>
            <w:shd w:val="clear" w:color="auto" w:fill="auto"/>
          </w:tcPr>
          <w:p w14:paraId="6826AA37" w14:textId="77777777" w:rsidR="00E33835" w:rsidRPr="009A5A6E" w:rsidRDefault="007B49A9" w:rsidP="009A5A6E">
            <w:pPr>
              <w:spacing w:before="60" w:after="60" w:line="276" w:lineRule="auto"/>
              <w:rPr>
                <w:rFonts w:cs="Calibri"/>
                <w:sz w:val="20"/>
                <w:szCs w:val="20"/>
                <w:lang w:val="en-AU"/>
              </w:rPr>
            </w:pPr>
            <w:r w:rsidRPr="009A5A6E">
              <w:rPr>
                <w:rFonts w:cs="Calibri"/>
                <w:sz w:val="20"/>
                <w:szCs w:val="20"/>
                <w:lang w:val="en-AU"/>
              </w:rPr>
              <w:t>Lembaga Akuntan Publik Tersertifikasi Indonesia</w:t>
            </w:r>
          </w:p>
        </w:tc>
      </w:tr>
      <w:tr w:rsidR="00EB0708" w:rsidRPr="007B49A9" w14:paraId="6826AA3C" w14:textId="77777777" w:rsidTr="00635AAF">
        <w:trPr>
          <w:cantSplit/>
          <w:trHeight w:val="170"/>
        </w:trPr>
        <w:tc>
          <w:tcPr>
            <w:tcW w:w="1242" w:type="dxa"/>
            <w:shd w:val="clear" w:color="auto" w:fill="auto"/>
          </w:tcPr>
          <w:p w14:paraId="6826AA39"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JRF</w:t>
            </w:r>
          </w:p>
        </w:tc>
        <w:tc>
          <w:tcPr>
            <w:tcW w:w="3685" w:type="dxa"/>
            <w:shd w:val="clear" w:color="auto" w:fill="auto"/>
          </w:tcPr>
          <w:p w14:paraId="6826AA3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Joint Result</w:t>
            </w:r>
            <w:r w:rsidR="00152054" w:rsidRPr="009A5A6E">
              <w:rPr>
                <w:rFonts w:cs="Calibri"/>
                <w:sz w:val="20"/>
                <w:szCs w:val="20"/>
                <w:lang w:val="en-AU"/>
              </w:rPr>
              <w:t>s</w:t>
            </w:r>
            <w:r w:rsidRPr="009A5A6E">
              <w:rPr>
                <w:rFonts w:cs="Calibri"/>
                <w:sz w:val="20"/>
                <w:szCs w:val="20"/>
                <w:lang w:val="en-AU"/>
              </w:rPr>
              <w:t xml:space="preserve"> Framework</w:t>
            </w:r>
          </w:p>
        </w:tc>
        <w:tc>
          <w:tcPr>
            <w:tcW w:w="4223" w:type="dxa"/>
            <w:shd w:val="clear" w:color="auto" w:fill="auto"/>
          </w:tcPr>
          <w:p w14:paraId="6826AA3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Kerangka Hasil Bersama</w:t>
            </w:r>
          </w:p>
        </w:tc>
      </w:tr>
      <w:tr w:rsidR="00EB0708" w:rsidRPr="007B49A9" w14:paraId="6826AA40" w14:textId="77777777" w:rsidTr="00635AAF">
        <w:trPr>
          <w:cantSplit/>
          <w:trHeight w:val="170"/>
        </w:trPr>
        <w:tc>
          <w:tcPr>
            <w:tcW w:w="1242" w:type="dxa"/>
            <w:shd w:val="clear" w:color="auto" w:fill="auto"/>
          </w:tcPr>
          <w:p w14:paraId="6826AA3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JSE</w:t>
            </w:r>
          </w:p>
        </w:tc>
        <w:tc>
          <w:tcPr>
            <w:tcW w:w="3685" w:type="dxa"/>
            <w:shd w:val="clear" w:color="auto" w:fill="auto"/>
          </w:tcPr>
          <w:p w14:paraId="6826AA3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Junior Secondary Education</w:t>
            </w:r>
          </w:p>
        </w:tc>
        <w:tc>
          <w:tcPr>
            <w:tcW w:w="4223" w:type="dxa"/>
            <w:shd w:val="clear" w:color="auto" w:fill="auto"/>
          </w:tcPr>
          <w:p w14:paraId="6826AA3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Pendidikan Sekolah Menengah Pertama</w:t>
            </w:r>
          </w:p>
        </w:tc>
      </w:tr>
      <w:tr w:rsidR="00EB0708" w:rsidRPr="007B49A9" w14:paraId="6826AA44" w14:textId="77777777" w:rsidTr="00635AAF">
        <w:trPr>
          <w:cantSplit/>
          <w:trHeight w:val="170"/>
        </w:trPr>
        <w:tc>
          <w:tcPr>
            <w:tcW w:w="1242" w:type="dxa"/>
            <w:shd w:val="clear" w:color="auto" w:fill="auto"/>
          </w:tcPr>
          <w:p w14:paraId="6826AA41"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JSS</w:t>
            </w:r>
          </w:p>
        </w:tc>
        <w:tc>
          <w:tcPr>
            <w:tcW w:w="3685" w:type="dxa"/>
            <w:shd w:val="clear" w:color="auto" w:fill="auto"/>
          </w:tcPr>
          <w:p w14:paraId="6826AA4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Junior Secondary School</w:t>
            </w:r>
          </w:p>
        </w:tc>
        <w:tc>
          <w:tcPr>
            <w:tcW w:w="4223" w:type="dxa"/>
            <w:shd w:val="clear" w:color="auto" w:fill="auto"/>
          </w:tcPr>
          <w:p w14:paraId="6826AA4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Sekolah Menengah Pertama</w:t>
            </w:r>
          </w:p>
        </w:tc>
      </w:tr>
      <w:tr w:rsidR="00EB0708" w:rsidRPr="007B49A9" w14:paraId="6826AA48" w14:textId="77777777" w:rsidTr="00635AAF">
        <w:trPr>
          <w:cantSplit/>
          <w:trHeight w:val="170"/>
        </w:trPr>
        <w:tc>
          <w:tcPr>
            <w:tcW w:w="1242" w:type="dxa"/>
            <w:shd w:val="clear" w:color="auto" w:fill="auto"/>
          </w:tcPr>
          <w:p w14:paraId="6826AA45"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K2P</w:t>
            </w:r>
          </w:p>
        </w:tc>
        <w:tc>
          <w:tcPr>
            <w:tcW w:w="3685" w:type="dxa"/>
            <w:shd w:val="clear" w:color="auto" w:fill="auto"/>
          </w:tcPr>
          <w:p w14:paraId="6826AA46"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Knowledge-to-Policy</w:t>
            </w:r>
          </w:p>
        </w:tc>
        <w:tc>
          <w:tcPr>
            <w:tcW w:w="4223" w:type="dxa"/>
            <w:shd w:val="clear" w:color="auto" w:fill="auto"/>
          </w:tcPr>
          <w:p w14:paraId="6826AA4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Dasar Pengetahuan untuk Kebijakan</w:t>
            </w:r>
          </w:p>
        </w:tc>
      </w:tr>
      <w:tr w:rsidR="00E33835" w:rsidRPr="007B49A9" w14:paraId="6826AA4C" w14:textId="77777777" w:rsidTr="00635AAF">
        <w:trPr>
          <w:cantSplit/>
          <w:trHeight w:val="170"/>
        </w:trPr>
        <w:tc>
          <w:tcPr>
            <w:tcW w:w="1242" w:type="dxa"/>
            <w:shd w:val="clear" w:color="auto" w:fill="auto"/>
          </w:tcPr>
          <w:p w14:paraId="6826AA49"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KIP</w:t>
            </w:r>
          </w:p>
        </w:tc>
        <w:tc>
          <w:tcPr>
            <w:tcW w:w="3685" w:type="dxa"/>
            <w:shd w:val="clear" w:color="auto" w:fill="auto"/>
          </w:tcPr>
          <w:p w14:paraId="6826AA4A" w14:textId="6B41C246"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Means-tested Cash Transfer Scheme</w:t>
            </w:r>
          </w:p>
        </w:tc>
        <w:tc>
          <w:tcPr>
            <w:tcW w:w="4223" w:type="dxa"/>
            <w:shd w:val="clear" w:color="auto" w:fill="auto"/>
          </w:tcPr>
          <w:p w14:paraId="6826AA4B"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Kartu Indonesia Pintar</w:t>
            </w:r>
          </w:p>
        </w:tc>
      </w:tr>
      <w:tr w:rsidR="00EB0708" w:rsidRPr="007B49A9" w14:paraId="6826AA50" w14:textId="77777777" w:rsidTr="00635AAF">
        <w:trPr>
          <w:cantSplit/>
          <w:trHeight w:val="170"/>
        </w:trPr>
        <w:tc>
          <w:tcPr>
            <w:tcW w:w="1242" w:type="dxa"/>
            <w:shd w:val="clear" w:color="auto" w:fill="auto"/>
          </w:tcPr>
          <w:p w14:paraId="6826AA4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Kopi Darat</w:t>
            </w:r>
          </w:p>
        </w:tc>
        <w:tc>
          <w:tcPr>
            <w:tcW w:w="3685" w:type="dxa"/>
            <w:shd w:val="clear" w:color="auto" w:fill="auto"/>
          </w:tcPr>
          <w:p w14:paraId="6826AA4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Education Roundtable Discussion</w:t>
            </w:r>
          </w:p>
        </w:tc>
        <w:tc>
          <w:tcPr>
            <w:tcW w:w="4223" w:type="dxa"/>
            <w:shd w:val="clear" w:color="auto" w:fill="auto"/>
          </w:tcPr>
          <w:p w14:paraId="6826AA4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Kongkow Pendidikan: Diskusi Ahli dan Tukar Pendapat</w:t>
            </w:r>
          </w:p>
        </w:tc>
      </w:tr>
      <w:tr w:rsidR="00E33835" w:rsidRPr="007B49A9" w14:paraId="6826AA55" w14:textId="77777777" w:rsidTr="00635AAF">
        <w:trPr>
          <w:cantSplit/>
          <w:trHeight w:val="170"/>
        </w:trPr>
        <w:tc>
          <w:tcPr>
            <w:tcW w:w="1242" w:type="dxa"/>
            <w:shd w:val="clear" w:color="auto" w:fill="auto"/>
          </w:tcPr>
          <w:p w14:paraId="6826AA51"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LAPIS</w:t>
            </w:r>
          </w:p>
        </w:tc>
        <w:tc>
          <w:tcPr>
            <w:tcW w:w="3685" w:type="dxa"/>
            <w:shd w:val="clear" w:color="auto" w:fill="auto"/>
          </w:tcPr>
          <w:p w14:paraId="6826AA52" w14:textId="77777777" w:rsidR="00E33835" w:rsidRPr="009A5A6E" w:rsidRDefault="00725E9B" w:rsidP="009A5A6E">
            <w:pPr>
              <w:spacing w:before="60" w:after="60" w:line="276" w:lineRule="auto"/>
              <w:rPr>
                <w:rFonts w:cs="Calibri"/>
                <w:sz w:val="20"/>
                <w:szCs w:val="20"/>
                <w:lang w:val="en-AU"/>
              </w:rPr>
            </w:pPr>
            <w:r w:rsidRPr="009A5A6E">
              <w:rPr>
                <w:rFonts w:cs="Calibri"/>
                <w:sz w:val="20"/>
                <w:szCs w:val="20"/>
                <w:lang w:val="en-AU"/>
              </w:rPr>
              <w:t>Learning Assistance Program for Islamic Schools</w:t>
            </w:r>
          </w:p>
        </w:tc>
        <w:tc>
          <w:tcPr>
            <w:tcW w:w="4223" w:type="dxa"/>
            <w:shd w:val="clear" w:color="auto" w:fill="auto"/>
          </w:tcPr>
          <w:p w14:paraId="6826AA53" w14:textId="77777777" w:rsidR="007B49A9" w:rsidRPr="009A5A6E" w:rsidRDefault="007B49A9" w:rsidP="009A5A6E">
            <w:pPr>
              <w:spacing w:before="60" w:after="60" w:line="276" w:lineRule="auto"/>
              <w:rPr>
                <w:rFonts w:cs="Calibri"/>
                <w:sz w:val="20"/>
                <w:szCs w:val="20"/>
                <w:lang w:val="en-AU"/>
              </w:rPr>
            </w:pPr>
            <w:r w:rsidRPr="009A5A6E">
              <w:rPr>
                <w:rFonts w:cs="Calibri"/>
                <w:sz w:val="20"/>
                <w:szCs w:val="20"/>
                <w:lang w:val="en-AU"/>
              </w:rPr>
              <w:t>Program Perbantuan Pembelajaran untuk Sekolah Islam</w:t>
            </w:r>
          </w:p>
          <w:p w14:paraId="6826AA54" w14:textId="77777777" w:rsidR="00E33835" w:rsidRPr="009A5A6E" w:rsidRDefault="00E33835" w:rsidP="009A5A6E">
            <w:pPr>
              <w:spacing w:before="60" w:after="60" w:line="276" w:lineRule="auto"/>
              <w:rPr>
                <w:rFonts w:cs="Calibri"/>
                <w:sz w:val="20"/>
                <w:szCs w:val="20"/>
                <w:lang w:val="en-AU"/>
              </w:rPr>
            </w:pPr>
          </w:p>
        </w:tc>
      </w:tr>
      <w:tr w:rsidR="006973C7" w:rsidRPr="007B49A9" w14:paraId="6826AA59" w14:textId="77777777" w:rsidTr="00635AAF">
        <w:trPr>
          <w:cantSplit/>
          <w:trHeight w:val="170"/>
        </w:trPr>
        <w:tc>
          <w:tcPr>
            <w:tcW w:w="1242" w:type="dxa"/>
            <w:shd w:val="clear" w:color="auto" w:fill="auto"/>
          </w:tcPr>
          <w:p w14:paraId="6826AA56" w14:textId="77777777" w:rsidR="006973C7" w:rsidRPr="009A5A6E" w:rsidRDefault="006973C7" w:rsidP="009A5A6E">
            <w:pPr>
              <w:spacing w:before="60" w:after="60" w:line="276" w:lineRule="auto"/>
              <w:rPr>
                <w:rFonts w:cs="Calibri"/>
                <w:sz w:val="20"/>
                <w:szCs w:val="20"/>
                <w:lang w:val="en-AU"/>
              </w:rPr>
            </w:pPr>
            <w:r w:rsidRPr="009A5A6E">
              <w:rPr>
                <w:rFonts w:cs="Calibri"/>
                <w:sz w:val="20"/>
                <w:szCs w:val="20"/>
                <w:lang w:val="en-AU"/>
              </w:rPr>
              <w:t>LPMP</w:t>
            </w:r>
          </w:p>
        </w:tc>
        <w:tc>
          <w:tcPr>
            <w:tcW w:w="3685" w:type="dxa"/>
            <w:shd w:val="clear" w:color="auto" w:fill="auto"/>
          </w:tcPr>
          <w:p w14:paraId="6826AA57" w14:textId="77777777" w:rsidR="006973C7" w:rsidRPr="009A5A6E" w:rsidRDefault="006973C7" w:rsidP="009A5A6E">
            <w:pPr>
              <w:spacing w:before="60" w:after="60" w:line="276" w:lineRule="auto"/>
              <w:rPr>
                <w:rFonts w:cs="Calibri"/>
                <w:sz w:val="20"/>
                <w:szCs w:val="20"/>
                <w:lang w:val="en-AU"/>
              </w:rPr>
            </w:pPr>
            <w:r w:rsidRPr="009A5A6E">
              <w:rPr>
                <w:rFonts w:cs="Calibri"/>
                <w:sz w:val="20"/>
                <w:szCs w:val="20"/>
                <w:lang w:val="en-AU"/>
              </w:rPr>
              <w:t xml:space="preserve">Educational Quality Assurance Council </w:t>
            </w:r>
          </w:p>
        </w:tc>
        <w:tc>
          <w:tcPr>
            <w:tcW w:w="4223" w:type="dxa"/>
            <w:shd w:val="clear" w:color="auto" w:fill="auto"/>
          </w:tcPr>
          <w:p w14:paraId="6826AA58" w14:textId="77777777" w:rsidR="006973C7" w:rsidRPr="009A5A6E" w:rsidRDefault="006973C7" w:rsidP="009A5A6E">
            <w:pPr>
              <w:spacing w:before="60" w:after="60" w:line="276" w:lineRule="auto"/>
              <w:rPr>
                <w:rFonts w:cs="Calibri"/>
                <w:sz w:val="20"/>
                <w:szCs w:val="20"/>
                <w:lang w:val="en-AU"/>
              </w:rPr>
            </w:pPr>
            <w:r w:rsidRPr="009A5A6E">
              <w:rPr>
                <w:rFonts w:cs="Calibri"/>
                <w:sz w:val="20"/>
                <w:szCs w:val="20"/>
                <w:lang w:val="en-AU"/>
              </w:rPr>
              <w:t>Lembaga Penjaminan Mutu Pendidikan</w:t>
            </w:r>
          </w:p>
        </w:tc>
      </w:tr>
      <w:tr w:rsidR="00EB0708" w:rsidRPr="007B49A9" w14:paraId="6826AA5D" w14:textId="77777777" w:rsidTr="00635AAF">
        <w:trPr>
          <w:cantSplit/>
          <w:trHeight w:val="170"/>
        </w:trPr>
        <w:tc>
          <w:tcPr>
            <w:tcW w:w="1242" w:type="dxa"/>
            <w:shd w:val="clear" w:color="auto" w:fill="auto"/>
          </w:tcPr>
          <w:p w14:paraId="6826AA5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M&amp;E</w:t>
            </w:r>
          </w:p>
        </w:tc>
        <w:tc>
          <w:tcPr>
            <w:tcW w:w="3685" w:type="dxa"/>
            <w:shd w:val="clear" w:color="auto" w:fill="auto"/>
          </w:tcPr>
          <w:p w14:paraId="6826AA5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Monitoring and Evaluation</w:t>
            </w:r>
          </w:p>
        </w:tc>
        <w:tc>
          <w:tcPr>
            <w:tcW w:w="4223" w:type="dxa"/>
            <w:shd w:val="clear" w:color="auto" w:fill="auto"/>
          </w:tcPr>
          <w:p w14:paraId="6826AA5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Monitoring dan Evaluasi</w:t>
            </w:r>
          </w:p>
        </w:tc>
      </w:tr>
      <w:tr w:rsidR="00EB0708" w:rsidRPr="007B49A9" w14:paraId="6826AA61" w14:textId="77777777" w:rsidTr="00635AAF">
        <w:trPr>
          <w:cantSplit/>
          <w:trHeight w:val="170"/>
        </w:trPr>
        <w:tc>
          <w:tcPr>
            <w:tcW w:w="1242" w:type="dxa"/>
            <w:shd w:val="clear" w:color="auto" w:fill="auto"/>
          </w:tcPr>
          <w:p w14:paraId="6826AA5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lastRenderedPageBreak/>
              <w:t>MDC</w:t>
            </w:r>
          </w:p>
        </w:tc>
        <w:tc>
          <w:tcPr>
            <w:tcW w:w="3685" w:type="dxa"/>
            <w:shd w:val="clear" w:color="auto" w:fill="auto"/>
          </w:tcPr>
          <w:p w14:paraId="6826AA5F" w14:textId="2C52549A" w:rsidR="00EB0708" w:rsidRPr="009A5A6E" w:rsidRDefault="00EB0708" w:rsidP="007F5363">
            <w:pPr>
              <w:spacing w:before="60" w:after="60" w:line="276" w:lineRule="auto"/>
              <w:rPr>
                <w:rFonts w:cs="Calibri"/>
                <w:sz w:val="20"/>
                <w:szCs w:val="20"/>
                <w:lang w:val="en-AU"/>
              </w:rPr>
            </w:pPr>
            <w:r w:rsidRPr="009A5A6E">
              <w:rPr>
                <w:rFonts w:cs="Calibri"/>
                <w:sz w:val="20"/>
                <w:szCs w:val="20"/>
                <w:lang w:val="en-AU"/>
              </w:rPr>
              <w:t>Madrasah Development Cent</w:t>
            </w:r>
            <w:r w:rsidR="007F5363">
              <w:rPr>
                <w:rFonts w:cs="Calibri"/>
                <w:sz w:val="20"/>
                <w:szCs w:val="20"/>
                <w:lang w:val="en-AU"/>
              </w:rPr>
              <w:t>re</w:t>
            </w:r>
          </w:p>
        </w:tc>
        <w:tc>
          <w:tcPr>
            <w:tcW w:w="4223" w:type="dxa"/>
            <w:shd w:val="clear" w:color="auto" w:fill="auto"/>
          </w:tcPr>
          <w:p w14:paraId="6826AA6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Pusat Pengembangan Madrasah</w:t>
            </w:r>
          </w:p>
        </w:tc>
      </w:tr>
      <w:tr w:rsidR="00EB0708" w:rsidRPr="007B49A9" w14:paraId="6826AA65" w14:textId="77777777" w:rsidTr="00635AAF">
        <w:trPr>
          <w:cantSplit/>
          <w:trHeight w:val="170"/>
        </w:trPr>
        <w:tc>
          <w:tcPr>
            <w:tcW w:w="1242" w:type="dxa"/>
            <w:shd w:val="clear" w:color="auto" w:fill="auto"/>
          </w:tcPr>
          <w:p w14:paraId="6826AA6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MoEC</w:t>
            </w:r>
          </w:p>
        </w:tc>
        <w:tc>
          <w:tcPr>
            <w:tcW w:w="3685" w:type="dxa"/>
            <w:shd w:val="clear" w:color="auto" w:fill="auto"/>
          </w:tcPr>
          <w:p w14:paraId="6826AA6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Ministry of Education and Culture</w:t>
            </w:r>
          </w:p>
        </w:tc>
        <w:tc>
          <w:tcPr>
            <w:tcW w:w="4223" w:type="dxa"/>
            <w:shd w:val="clear" w:color="auto" w:fill="auto"/>
          </w:tcPr>
          <w:p w14:paraId="6826AA64"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Kementerian Pendidikan dan Kebudayaan</w:t>
            </w:r>
          </w:p>
        </w:tc>
      </w:tr>
      <w:tr w:rsidR="00EB0708" w:rsidRPr="007B49A9" w14:paraId="6826AA69" w14:textId="77777777" w:rsidTr="00635AAF">
        <w:trPr>
          <w:cantSplit/>
          <w:trHeight w:val="170"/>
        </w:trPr>
        <w:tc>
          <w:tcPr>
            <w:tcW w:w="1242" w:type="dxa"/>
            <w:shd w:val="clear" w:color="auto" w:fill="auto"/>
          </w:tcPr>
          <w:p w14:paraId="6826AA66"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MoF</w:t>
            </w:r>
          </w:p>
        </w:tc>
        <w:tc>
          <w:tcPr>
            <w:tcW w:w="3685" w:type="dxa"/>
            <w:shd w:val="clear" w:color="auto" w:fill="auto"/>
          </w:tcPr>
          <w:p w14:paraId="6826AA6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Ministry of Finance</w:t>
            </w:r>
          </w:p>
        </w:tc>
        <w:tc>
          <w:tcPr>
            <w:tcW w:w="4223" w:type="dxa"/>
            <w:shd w:val="clear" w:color="auto" w:fill="auto"/>
          </w:tcPr>
          <w:p w14:paraId="6826AA68"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Kementerian Keuangan</w:t>
            </w:r>
          </w:p>
        </w:tc>
      </w:tr>
      <w:tr w:rsidR="00EB0708" w:rsidRPr="007B49A9" w14:paraId="6826AA6D" w14:textId="77777777" w:rsidTr="00635AAF">
        <w:trPr>
          <w:cantSplit/>
          <w:trHeight w:val="170"/>
        </w:trPr>
        <w:tc>
          <w:tcPr>
            <w:tcW w:w="1242" w:type="dxa"/>
            <w:shd w:val="clear" w:color="auto" w:fill="auto"/>
          </w:tcPr>
          <w:p w14:paraId="6826AA6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MoRA</w:t>
            </w:r>
          </w:p>
        </w:tc>
        <w:tc>
          <w:tcPr>
            <w:tcW w:w="3685" w:type="dxa"/>
            <w:shd w:val="clear" w:color="auto" w:fill="auto"/>
          </w:tcPr>
          <w:p w14:paraId="6826AA6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Ministry of Religious Affairs</w:t>
            </w:r>
          </w:p>
        </w:tc>
        <w:tc>
          <w:tcPr>
            <w:tcW w:w="4223" w:type="dxa"/>
            <w:shd w:val="clear" w:color="auto" w:fill="auto"/>
          </w:tcPr>
          <w:p w14:paraId="6826AA6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Kementerian Agama</w:t>
            </w:r>
          </w:p>
        </w:tc>
      </w:tr>
      <w:tr w:rsidR="00EB0708" w:rsidRPr="007B49A9" w14:paraId="6826AA71" w14:textId="77777777" w:rsidTr="00635AAF">
        <w:trPr>
          <w:cantSplit/>
          <w:trHeight w:val="170"/>
        </w:trPr>
        <w:tc>
          <w:tcPr>
            <w:tcW w:w="1242" w:type="dxa"/>
            <w:shd w:val="clear" w:color="auto" w:fill="auto"/>
          </w:tcPr>
          <w:p w14:paraId="6826AA6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MSS</w:t>
            </w:r>
          </w:p>
        </w:tc>
        <w:tc>
          <w:tcPr>
            <w:tcW w:w="3685" w:type="dxa"/>
            <w:shd w:val="clear" w:color="auto" w:fill="auto"/>
          </w:tcPr>
          <w:p w14:paraId="6826AA6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Minimum Service Standard</w:t>
            </w:r>
          </w:p>
        </w:tc>
        <w:tc>
          <w:tcPr>
            <w:tcW w:w="4223" w:type="dxa"/>
            <w:shd w:val="clear" w:color="auto" w:fill="auto"/>
          </w:tcPr>
          <w:p w14:paraId="6826AA7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Standar Pelayanan Minimum</w:t>
            </w:r>
          </w:p>
        </w:tc>
      </w:tr>
      <w:tr w:rsidR="00EB0708" w:rsidRPr="007B49A9" w14:paraId="6826AA75" w14:textId="77777777" w:rsidTr="00635AAF">
        <w:trPr>
          <w:cantSplit/>
          <w:trHeight w:val="170"/>
        </w:trPr>
        <w:tc>
          <w:tcPr>
            <w:tcW w:w="1242" w:type="dxa"/>
            <w:shd w:val="clear" w:color="auto" w:fill="auto"/>
          </w:tcPr>
          <w:p w14:paraId="6826AA7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MTR</w:t>
            </w:r>
          </w:p>
        </w:tc>
        <w:tc>
          <w:tcPr>
            <w:tcW w:w="3685" w:type="dxa"/>
            <w:shd w:val="clear" w:color="auto" w:fill="auto"/>
          </w:tcPr>
          <w:p w14:paraId="6826AA7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Mid-Term Review</w:t>
            </w:r>
          </w:p>
        </w:tc>
        <w:tc>
          <w:tcPr>
            <w:tcW w:w="4223" w:type="dxa"/>
            <w:shd w:val="clear" w:color="auto" w:fill="auto"/>
          </w:tcPr>
          <w:p w14:paraId="6826AA74"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Tinjauan pada Pertengahan Program</w:t>
            </w:r>
          </w:p>
        </w:tc>
      </w:tr>
      <w:tr w:rsidR="00EB0708" w:rsidRPr="007B49A9" w14:paraId="6826AA79" w14:textId="77777777" w:rsidTr="00635AAF">
        <w:trPr>
          <w:cantSplit/>
          <w:trHeight w:val="170"/>
        </w:trPr>
        <w:tc>
          <w:tcPr>
            <w:tcW w:w="1242" w:type="dxa"/>
            <w:shd w:val="clear" w:color="auto" w:fill="auto"/>
          </w:tcPr>
          <w:p w14:paraId="6826AA76"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NES</w:t>
            </w:r>
          </w:p>
        </w:tc>
        <w:tc>
          <w:tcPr>
            <w:tcW w:w="3685" w:type="dxa"/>
            <w:shd w:val="clear" w:color="auto" w:fill="auto"/>
          </w:tcPr>
          <w:p w14:paraId="6826AA7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National Education Standard</w:t>
            </w:r>
            <w:r w:rsidR="006973C7" w:rsidRPr="009A5A6E">
              <w:rPr>
                <w:rFonts w:cs="Calibri"/>
                <w:sz w:val="20"/>
                <w:szCs w:val="20"/>
                <w:lang w:val="en-AU"/>
              </w:rPr>
              <w:t>(s)</w:t>
            </w:r>
          </w:p>
        </w:tc>
        <w:tc>
          <w:tcPr>
            <w:tcW w:w="4223" w:type="dxa"/>
            <w:shd w:val="clear" w:color="auto" w:fill="auto"/>
          </w:tcPr>
          <w:p w14:paraId="6826AA78"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Standar Nasional Pendidikan</w:t>
            </w:r>
          </w:p>
        </w:tc>
      </w:tr>
      <w:tr w:rsidR="00EB0708" w:rsidRPr="007B49A9" w14:paraId="6826AA7D" w14:textId="77777777" w:rsidTr="00635AAF">
        <w:trPr>
          <w:cantSplit/>
          <w:trHeight w:val="170"/>
        </w:trPr>
        <w:tc>
          <w:tcPr>
            <w:tcW w:w="1242" w:type="dxa"/>
            <w:shd w:val="clear" w:color="auto" w:fill="auto"/>
          </w:tcPr>
          <w:p w14:paraId="0629256F" w14:textId="2BD4B5FA" w:rsidR="005F0A1F" w:rsidRDefault="005F0A1F" w:rsidP="009A5A6E">
            <w:pPr>
              <w:spacing w:before="60" w:after="60" w:line="276" w:lineRule="auto"/>
              <w:rPr>
                <w:rFonts w:cs="Calibri"/>
                <w:sz w:val="20"/>
                <w:szCs w:val="20"/>
                <w:lang w:val="en-AU"/>
              </w:rPr>
            </w:pPr>
            <w:r>
              <w:rPr>
                <w:rFonts w:cs="Calibri"/>
                <w:sz w:val="20"/>
                <w:szCs w:val="20"/>
                <w:lang w:val="en-AU"/>
              </w:rPr>
              <w:t>NGO</w:t>
            </w:r>
          </w:p>
          <w:p w14:paraId="6826AA7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NSIP</w:t>
            </w:r>
          </w:p>
        </w:tc>
        <w:tc>
          <w:tcPr>
            <w:tcW w:w="3685" w:type="dxa"/>
            <w:shd w:val="clear" w:color="auto" w:fill="auto"/>
          </w:tcPr>
          <w:p w14:paraId="738DB6FD" w14:textId="1A560AB2" w:rsidR="005F0A1F" w:rsidRDefault="005F0A1F" w:rsidP="009A5A6E">
            <w:pPr>
              <w:spacing w:before="60" w:after="60" w:line="276" w:lineRule="auto"/>
              <w:rPr>
                <w:rFonts w:cs="Calibri"/>
                <w:sz w:val="20"/>
                <w:szCs w:val="20"/>
                <w:lang w:val="en-AU"/>
              </w:rPr>
            </w:pPr>
            <w:r>
              <w:rPr>
                <w:rFonts w:cs="Calibri"/>
                <w:sz w:val="20"/>
                <w:szCs w:val="20"/>
                <w:lang w:val="en-AU"/>
              </w:rPr>
              <w:t>Non-Government Organisation</w:t>
            </w:r>
          </w:p>
          <w:p w14:paraId="6826AA7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New School Induction Program</w:t>
            </w:r>
          </w:p>
        </w:tc>
        <w:tc>
          <w:tcPr>
            <w:tcW w:w="4223" w:type="dxa"/>
            <w:shd w:val="clear" w:color="auto" w:fill="auto"/>
          </w:tcPr>
          <w:p w14:paraId="1EB1F36F" w14:textId="71E4FE17" w:rsidR="005F0A1F" w:rsidRDefault="005F0A1F" w:rsidP="009A5A6E">
            <w:pPr>
              <w:spacing w:before="60" w:after="60" w:line="276" w:lineRule="auto"/>
              <w:rPr>
                <w:rFonts w:cs="Calibri"/>
                <w:sz w:val="20"/>
                <w:szCs w:val="20"/>
                <w:lang w:val="en-AU"/>
              </w:rPr>
            </w:pPr>
            <w:r>
              <w:rPr>
                <w:rFonts w:cs="Calibri"/>
                <w:sz w:val="20"/>
                <w:szCs w:val="20"/>
                <w:lang w:val="en-AU"/>
              </w:rPr>
              <w:t>Lembaga Swadaya Masyarakat</w:t>
            </w:r>
          </w:p>
          <w:p w14:paraId="6826AA7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Program Induksi untuk Sekolah Baru</w:t>
            </w:r>
          </w:p>
        </w:tc>
      </w:tr>
      <w:tr w:rsidR="00152054" w:rsidRPr="007B49A9" w14:paraId="6826AA81" w14:textId="77777777" w:rsidTr="00635AAF">
        <w:trPr>
          <w:cantSplit/>
          <w:trHeight w:val="170"/>
        </w:trPr>
        <w:tc>
          <w:tcPr>
            <w:tcW w:w="1242" w:type="dxa"/>
            <w:shd w:val="clear" w:color="auto" w:fill="auto"/>
          </w:tcPr>
          <w:p w14:paraId="6826AA7E" w14:textId="77777777" w:rsidR="00152054" w:rsidRPr="009A5A6E" w:rsidRDefault="00152054" w:rsidP="009A5A6E">
            <w:pPr>
              <w:spacing w:before="60" w:after="60" w:line="276" w:lineRule="auto"/>
              <w:rPr>
                <w:rFonts w:cs="Calibri"/>
                <w:sz w:val="20"/>
                <w:szCs w:val="20"/>
                <w:lang w:val="en-AU"/>
              </w:rPr>
            </w:pPr>
            <w:r w:rsidRPr="009A5A6E">
              <w:rPr>
                <w:rFonts w:cs="Calibri"/>
                <w:sz w:val="20"/>
                <w:szCs w:val="20"/>
                <w:lang w:val="en-AU"/>
              </w:rPr>
              <w:t>ODA</w:t>
            </w:r>
          </w:p>
        </w:tc>
        <w:tc>
          <w:tcPr>
            <w:tcW w:w="3685" w:type="dxa"/>
            <w:shd w:val="clear" w:color="auto" w:fill="auto"/>
          </w:tcPr>
          <w:p w14:paraId="6826AA7F" w14:textId="77777777" w:rsidR="00152054" w:rsidRPr="009A5A6E" w:rsidRDefault="00152054" w:rsidP="009A5A6E">
            <w:pPr>
              <w:spacing w:before="60" w:after="60" w:line="276" w:lineRule="auto"/>
              <w:rPr>
                <w:rFonts w:cs="Calibri"/>
                <w:sz w:val="20"/>
                <w:szCs w:val="20"/>
                <w:lang w:val="en-AU"/>
              </w:rPr>
            </w:pPr>
            <w:r w:rsidRPr="009A5A6E">
              <w:rPr>
                <w:rFonts w:cs="Calibri"/>
                <w:sz w:val="20"/>
                <w:szCs w:val="20"/>
                <w:lang w:val="en-AU"/>
              </w:rPr>
              <w:t>Official Development Assistance</w:t>
            </w:r>
          </w:p>
        </w:tc>
        <w:tc>
          <w:tcPr>
            <w:tcW w:w="4223" w:type="dxa"/>
            <w:shd w:val="clear" w:color="auto" w:fill="auto"/>
          </w:tcPr>
          <w:p w14:paraId="6826AA80" w14:textId="77777777" w:rsidR="00152054" w:rsidRPr="009A5A6E" w:rsidRDefault="007B49A9" w:rsidP="009A5A6E">
            <w:pPr>
              <w:spacing w:before="60" w:after="60" w:line="276" w:lineRule="auto"/>
              <w:rPr>
                <w:rFonts w:cs="Calibri"/>
                <w:sz w:val="20"/>
                <w:szCs w:val="20"/>
                <w:lang w:val="en-AU"/>
              </w:rPr>
            </w:pPr>
            <w:r w:rsidRPr="009A5A6E">
              <w:rPr>
                <w:rFonts w:cs="Calibri"/>
                <w:sz w:val="20"/>
                <w:szCs w:val="20"/>
                <w:lang w:val="en-AU"/>
              </w:rPr>
              <w:t>Perbantuan Pembangunan Resmi</w:t>
            </w:r>
          </w:p>
        </w:tc>
      </w:tr>
      <w:tr w:rsidR="00EB0708" w:rsidRPr="007B49A9" w14:paraId="6826AA85" w14:textId="77777777" w:rsidTr="00635AAF">
        <w:trPr>
          <w:cantSplit/>
          <w:trHeight w:val="170"/>
        </w:trPr>
        <w:tc>
          <w:tcPr>
            <w:tcW w:w="1242" w:type="dxa"/>
            <w:shd w:val="clear" w:color="auto" w:fill="auto"/>
          </w:tcPr>
          <w:p w14:paraId="6826AA82"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OECD</w:t>
            </w:r>
          </w:p>
        </w:tc>
        <w:tc>
          <w:tcPr>
            <w:tcW w:w="3685" w:type="dxa"/>
            <w:shd w:val="clear" w:color="auto" w:fill="auto"/>
          </w:tcPr>
          <w:p w14:paraId="6826AA8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Organization for Economic Co-operation and Development</w:t>
            </w:r>
          </w:p>
        </w:tc>
        <w:tc>
          <w:tcPr>
            <w:tcW w:w="4223" w:type="dxa"/>
            <w:shd w:val="clear" w:color="auto" w:fill="auto"/>
          </w:tcPr>
          <w:p w14:paraId="6826AA84"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Organisasi untuk Kerja Sama Ekonomi dan Pembangunan</w:t>
            </w:r>
          </w:p>
        </w:tc>
      </w:tr>
      <w:tr w:rsidR="00EB0708" w:rsidRPr="007B49A9" w14:paraId="6826AA89" w14:textId="77777777" w:rsidTr="00635AAF">
        <w:trPr>
          <w:cantSplit/>
          <w:trHeight w:val="170"/>
        </w:trPr>
        <w:tc>
          <w:tcPr>
            <w:tcW w:w="1242" w:type="dxa"/>
            <w:shd w:val="clear" w:color="auto" w:fill="auto"/>
          </w:tcPr>
          <w:p w14:paraId="6826AA86"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OLL</w:t>
            </w:r>
          </w:p>
        </w:tc>
        <w:tc>
          <w:tcPr>
            <w:tcW w:w="3685" w:type="dxa"/>
            <w:shd w:val="clear" w:color="auto" w:fill="auto"/>
          </w:tcPr>
          <w:p w14:paraId="6826AA8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On-Line Learning</w:t>
            </w:r>
          </w:p>
        </w:tc>
        <w:tc>
          <w:tcPr>
            <w:tcW w:w="4223" w:type="dxa"/>
            <w:shd w:val="clear" w:color="auto" w:fill="auto"/>
          </w:tcPr>
          <w:p w14:paraId="6826AA88"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Pembelajaran Moda Online</w:t>
            </w:r>
          </w:p>
        </w:tc>
      </w:tr>
      <w:tr w:rsidR="00EB0708" w:rsidRPr="007B49A9" w14:paraId="6826AA8D" w14:textId="77777777" w:rsidTr="00635AAF">
        <w:trPr>
          <w:cantSplit/>
          <w:trHeight w:val="170"/>
        </w:trPr>
        <w:tc>
          <w:tcPr>
            <w:tcW w:w="1242" w:type="dxa"/>
            <w:shd w:val="clear" w:color="auto" w:fill="auto"/>
          </w:tcPr>
          <w:p w14:paraId="6826AA8A"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P4TK</w:t>
            </w:r>
          </w:p>
        </w:tc>
        <w:tc>
          <w:tcPr>
            <w:tcW w:w="3685" w:type="dxa"/>
            <w:shd w:val="clear" w:color="auto" w:fill="auto"/>
          </w:tcPr>
          <w:p w14:paraId="6826AA8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Centre for Development and Empowerment of Teacher and Education Personnel</w:t>
            </w:r>
          </w:p>
        </w:tc>
        <w:tc>
          <w:tcPr>
            <w:tcW w:w="4223" w:type="dxa"/>
            <w:shd w:val="clear" w:color="auto" w:fill="auto"/>
          </w:tcPr>
          <w:p w14:paraId="6826AA8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Pusat Pengembangan dan Pemberdayaan Pendidik dan Tenaga Kependidikan</w:t>
            </w:r>
          </w:p>
        </w:tc>
      </w:tr>
      <w:tr w:rsidR="00EB0708" w:rsidRPr="007B49A9" w14:paraId="6826AA92" w14:textId="77777777" w:rsidTr="00635AAF">
        <w:trPr>
          <w:cantSplit/>
          <w:trHeight w:val="170"/>
        </w:trPr>
        <w:tc>
          <w:tcPr>
            <w:tcW w:w="1242" w:type="dxa"/>
            <w:shd w:val="clear" w:color="auto" w:fill="auto"/>
          </w:tcPr>
          <w:p w14:paraId="6826AA8E"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PASKA</w:t>
            </w:r>
          </w:p>
          <w:p w14:paraId="6826AA8F" w14:textId="77777777" w:rsidR="00EB0708" w:rsidRPr="009A5A6E" w:rsidRDefault="00EB0708" w:rsidP="009A5A6E">
            <w:pPr>
              <w:spacing w:before="60" w:after="60" w:line="276" w:lineRule="auto"/>
              <w:rPr>
                <w:rFonts w:cs="Calibri"/>
                <w:sz w:val="20"/>
                <w:szCs w:val="20"/>
                <w:lang w:val="en-AU"/>
              </w:rPr>
            </w:pPr>
          </w:p>
        </w:tc>
        <w:tc>
          <w:tcPr>
            <w:tcW w:w="3685" w:type="dxa"/>
            <w:shd w:val="clear" w:color="auto" w:fill="auto"/>
          </w:tcPr>
          <w:p w14:paraId="6826AA9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Centre for Policy Analysis and Synchronisation</w:t>
            </w:r>
          </w:p>
        </w:tc>
        <w:tc>
          <w:tcPr>
            <w:tcW w:w="4223" w:type="dxa"/>
            <w:shd w:val="clear" w:color="auto" w:fill="auto"/>
          </w:tcPr>
          <w:p w14:paraId="6826AA91"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Pusat Analisis dan Sikronisasi Kebijakan</w:t>
            </w:r>
          </w:p>
        </w:tc>
      </w:tr>
      <w:tr w:rsidR="00152054" w:rsidRPr="007B49A9" w14:paraId="6826AA96" w14:textId="77777777" w:rsidTr="00635AAF">
        <w:trPr>
          <w:cantSplit/>
          <w:trHeight w:val="170"/>
        </w:trPr>
        <w:tc>
          <w:tcPr>
            <w:tcW w:w="1242" w:type="dxa"/>
            <w:shd w:val="clear" w:color="auto" w:fill="auto"/>
          </w:tcPr>
          <w:p w14:paraId="6826AA93" w14:textId="77777777" w:rsidR="00152054" w:rsidRPr="009A5A6E" w:rsidRDefault="00152054" w:rsidP="009A5A6E">
            <w:pPr>
              <w:spacing w:before="60" w:after="60" w:line="276" w:lineRule="auto"/>
              <w:rPr>
                <w:rFonts w:cs="Calibri"/>
                <w:sz w:val="20"/>
                <w:szCs w:val="20"/>
                <w:lang w:val="en-AU"/>
              </w:rPr>
            </w:pPr>
            <w:r w:rsidRPr="009A5A6E">
              <w:rPr>
                <w:rFonts w:cs="Calibri"/>
                <w:sz w:val="20"/>
                <w:szCs w:val="20"/>
                <w:lang w:val="en-AU"/>
              </w:rPr>
              <w:t>PMF</w:t>
            </w:r>
          </w:p>
        </w:tc>
        <w:tc>
          <w:tcPr>
            <w:tcW w:w="3685" w:type="dxa"/>
            <w:shd w:val="clear" w:color="auto" w:fill="auto"/>
          </w:tcPr>
          <w:p w14:paraId="6826AA94" w14:textId="77777777" w:rsidR="00152054" w:rsidRPr="009A5A6E" w:rsidRDefault="00152054" w:rsidP="009A5A6E">
            <w:pPr>
              <w:spacing w:before="60" w:after="60" w:line="276" w:lineRule="auto"/>
              <w:rPr>
                <w:rFonts w:cs="Calibri"/>
                <w:sz w:val="20"/>
                <w:szCs w:val="20"/>
                <w:lang w:val="en-AU"/>
              </w:rPr>
            </w:pPr>
            <w:r w:rsidRPr="009A5A6E">
              <w:rPr>
                <w:rFonts w:cs="Calibri"/>
                <w:sz w:val="20"/>
                <w:szCs w:val="20"/>
                <w:lang w:val="en-AU"/>
              </w:rPr>
              <w:t>Performance Milestone Framework</w:t>
            </w:r>
          </w:p>
        </w:tc>
        <w:tc>
          <w:tcPr>
            <w:tcW w:w="4223" w:type="dxa"/>
            <w:shd w:val="clear" w:color="auto" w:fill="auto"/>
          </w:tcPr>
          <w:p w14:paraId="6826AA95" w14:textId="77777777" w:rsidR="00152054" w:rsidRPr="009A5A6E" w:rsidRDefault="007B49A9" w:rsidP="009A5A6E">
            <w:pPr>
              <w:spacing w:before="60" w:after="60" w:line="276" w:lineRule="auto"/>
              <w:rPr>
                <w:rFonts w:cs="Calibri"/>
                <w:sz w:val="20"/>
                <w:szCs w:val="20"/>
                <w:lang w:val="en-AU"/>
              </w:rPr>
            </w:pPr>
            <w:r w:rsidRPr="009A5A6E">
              <w:rPr>
                <w:rFonts w:cs="Calibri"/>
                <w:sz w:val="20"/>
                <w:szCs w:val="20"/>
                <w:lang w:val="en-AU"/>
              </w:rPr>
              <w:t>Kerangka Penanda Kinerja</w:t>
            </w:r>
          </w:p>
        </w:tc>
      </w:tr>
      <w:tr w:rsidR="00EB0708" w:rsidRPr="007B49A9" w14:paraId="6826AA9A" w14:textId="77777777" w:rsidTr="00635AAF">
        <w:trPr>
          <w:cantSplit/>
          <w:trHeight w:val="170"/>
        </w:trPr>
        <w:tc>
          <w:tcPr>
            <w:tcW w:w="1242" w:type="dxa"/>
            <w:shd w:val="clear" w:color="auto" w:fill="auto"/>
          </w:tcPr>
          <w:p w14:paraId="6826AA9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POM</w:t>
            </w:r>
          </w:p>
        </w:tc>
        <w:tc>
          <w:tcPr>
            <w:tcW w:w="3685" w:type="dxa"/>
            <w:shd w:val="clear" w:color="auto" w:fill="auto"/>
          </w:tcPr>
          <w:p w14:paraId="6826AA98"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Performance Oversight and Monitoring</w:t>
            </w:r>
          </w:p>
        </w:tc>
        <w:tc>
          <w:tcPr>
            <w:tcW w:w="4223" w:type="dxa"/>
            <w:shd w:val="clear" w:color="auto" w:fill="auto"/>
          </w:tcPr>
          <w:p w14:paraId="6826AA99" w14:textId="77777777" w:rsidR="00EB0708" w:rsidRPr="009A5A6E" w:rsidRDefault="007B49A9" w:rsidP="009A5A6E">
            <w:pPr>
              <w:spacing w:before="60" w:after="60" w:line="276" w:lineRule="auto"/>
              <w:rPr>
                <w:rFonts w:cs="Calibri"/>
                <w:sz w:val="20"/>
                <w:szCs w:val="20"/>
                <w:lang w:val="en-AU"/>
              </w:rPr>
            </w:pPr>
            <w:r w:rsidRPr="009A5A6E">
              <w:rPr>
                <w:rFonts w:cs="Calibri"/>
                <w:sz w:val="20"/>
                <w:szCs w:val="20"/>
                <w:lang w:val="en-AU"/>
              </w:rPr>
              <w:t>Pengawasan dan Pemantauan Kinerja</w:t>
            </w:r>
          </w:p>
        </w:tc>
      </w:tr>
      <w:tr w:rsidR="00EB0708" w:rsidRPr="007B49A9" w14:paraId="6826AA9E" w14:textId="77777777" w:rsidTr="00635AAF">
        <w:trPr>
          <w:cantSplit/>
          <w:trHeight w:val="170"/>
        </w:trPr>
        <w:tc>
          <w:tcPr>
            <w:tcW w:w="1242" w:type="dxa"/>
            <w:shd w:val="clear" w:color="auto" w:fill="auto"/>
          </w:tcPr>
          <w:p w14:paraId="6826AA9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PPIP</w:t>
            </w:r>
          </w:p>
        </w:tc>
        <w:tc>
          <w:tcPr>
            <w:tcW w:w="3685" w:type="dxa"/>
            <w:shd w:val="clear" w:color="auto" w:fill="auto"/>
          </w:tcPr>
          <w:p w14:paraId="6826AA9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Principals Performance Improvement Program</w:t>
            </w:r>
          </w:p>
        </w:tc>
        <w:tc>
          <w:tcPr>
            <w:tcW w:w="4223" w:type="dxa"/>
            <w:shd w:val="clear" w:color="auto" w:fill="auto"/>
          </w:tcPr>
          <w:p w14:paraId="6826AA9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Program Peningkatan Kinerja Kepala Sekolah</w:t>
            </w:r>
          </w:p>
        </w:tc>
      </w:tr>
      <w:tr w:rsidR="006973C7" w:rsidRPr="007B49A9" w14:paraId="6826AAA2" w14:textId="77777777" w:rsidTr="00635AAF">
        <w:trPr>
          <w:cantSplit/>
          <w:trHeight w:val="170"/>
        </w:trPr>
        <w:tc>
          <w:tcPr>
            <w:tcW w:w="1242" w:type="dxa"/>
            <w:shd w:val="clear" w:color="auto" w:fill="auto"/>
          </w:tcPr>
          <w:p w14:paraId="6826AA9F" w14:textId="77777777" w:rsidR="006973C7" w:rsidRPr="009A5A6E" w:rsidRDefault="006973C7" w:rsidP="009A5A6E">
            <w:pPr>
              <w:spacing w:before="60" w:after="60" w:line="276" w:lineRule="auto"/>
              <w:rPr>
                <w:rFonts w:cs="Calibri"/>
                <w:sz w:val="20"/>
                <w:szCs w:val="20"/>
                <w:lang w:val="en-AU"/>
              </w:rPr>
            </w:pPr>
            <w:r w:rsidRPr="009A5A6E">
              <w:rPr>
                <w:rFonts w:cs="Calibri"/>
                <w:sz w:val="20"/>
                <w:szCs w:val="20"/>
                <w:lang w:val="en-AU"/>
              </w:rPr>
              <w:t>PPM</w:t>
            </w:r>
          </w:p>
        </w:tc>
        <w:tc>
          <w:tcPr>
            <w:tcW w:w="3685" w:type="dxa"/>
            <w:shd w:val="clear" w:color="auto" w:fill="auto"/>
          </w:tcPr>
          <w:p w14:paraId="6826AAA0" w14:textId="6D8469FD" w:rsidR="006973C7" w:rsidRPr="009A5A6E" w:rsidRDefault="003B0EE2" w:rsidP="007F5363">
            <w:pPr>
              <w:spacing w:before="60" w:after="60" w:line="276" w:lineRule="auto"/>
              <w:rPr>
                <w:rFonts w:cs="Calibri"/>
                <w:sz w:val="20"/>
                <w:szCs w:val="20"/>
                <w:lang w:val="en-AU"/>
              </w:rPr>
            </w:pPr>
            <w:r>
              <w:rPr>
                <w:rFonts w:cs="Calibri"/>
                <w:sz w:val="20"/>
                <w:szCs w:val="20"/>
                <w:lang w:val="en-AU"/>
              </w:rPr>
              <w:t>Madrasah Development Cent</w:t>
            </w:r>
            <w:r w:rsidR="007F5363">
              <w:rPr>
                <w:rFonts w:cs="Calibri"/>
                <w:sz w:val="20"/>
                <w:szCs w:val="20"/>
                <w:lang w:val="en-AU"/>
              </w:rPr>
              <w:t>re</w:t>
            </w:r>
          </w:p>
        </w:tc>
        <w:tc>
          <w:tcPr>
            <w:tcW w:w="4223" w:type="dxa"/>
            <w:shd w:val="clear" w:color="auto" w:fill="auto"/>
          </w:tcPr>
          <w:p w14:paraId="6826AAA1" w14:textId="77777777" w:rsidR="006973C7" w:rsidRPr="009A5A6E" w:rsidRDefault="006973C7" w:rsidP="009A5A6E">
            <w:pPr>
              <w:spacing w:before="60" w:after="60" w:line="276" w:lineRule="auto"/>
              <w:rPr>
                <w:rFonts w:cs="Calibri"/>
                <w:sz w:val="20"/>
                <w:szCs w:val="20"/>
                <w:lang w:val="en-AU"/>
              </w:rPr>
            </w:pPr>
            <w:r w:rsidRPr="009A5A6E">
              <w:rPr>
                <w:rFonts w:cs="Calibri"/>
                <w:sz w:val="20"/>
                <w:szCs w:val="20"/>
                <w:lang w:val="en-AU"/>
              </w:rPr>
              <w:t>Pusat Pengembangan Madrasah</w:t>
            </w:r>
          </w:p>
        </w:tc>
      </w:tr>
      <w:tr w:rsidR="00EB0708" w:rsidRPr="007B49A9" w14:paraId="6826AAA6" w14:textId="77777777" w:rsidTr="00635AAF">
        <w:trPr>
          <w:cantSplit/>
          <w:trHeight w:val="170"/>
        </w:trPr>
        <w:tc>
          <w:tcPr>
            <w:tcW w:w="1242" w:type="dxa"/>
            <w:shd w:val="clear" w:color="auto" w:fill="auto"/>
          </w:tcPr>
          <w:p w14:paraId="6826AAA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PPP</w:t>
            </w:r>
          </w:p>
        </w:tc>
        <w:tc>
          <w:tcPr>
            <w:tcW w:w="3685" w:type="dxa"/>
            <w:shd w:val="clear" w:color="auto" w:fill="auto"/>
          </w:tcPr>
          <w:p w14:paraId="6826AAA4"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Principals Preparation Program</w:t>
            </w:r>
          </w:p>
        </w:tc>
        <w:tc>
          <w:tcPr>
            <w:tcW w:w="4223" w:type="dxa"/>
            <w:shd w:val="clear" w:color="auto" w:fill="auto"/>
          </w:tcPr>
          <w:p w14:paraId="6826AAA5"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Program Penyiapan Calon Kepala Sekolah</w:t>
            </w:r>
          </w:p>
        </w:tc>
      </w:tr>
      <w:tr w:rsidR="00EB0708" w:rsidRPr="007B49A9" w14:paraId="6826AAAA" w14:textId="77777777" w:rsidTr="00635AAF">
        <w:trPr>
          <w:cantSplit/>
          <w:trHeight w:val="170"/>
        </w:trPr>
        <w:tc>
          <w:tcPr>
            <w:tcW w:w="1242" w:type="dxa"/>
            <w:shd w:val="clear" w:color="auto" w:fill="auto"/>
          </w:tcPr>
          <w:p w14:paraId="6826AAA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ProDEP</w:t>
            </w:r>
          </w:p>
        </w:tc>
        <w:tc>
          <w:tcPr>
            <w:tcW w:w="3685" w:type="dxa"/>
            <w:shd w:val="clear" w:color="auto" w:fill="auto"/>
          </w:tcPr>
          <w:p w14:paraId="6826AAA8"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Professional Development for Education Personnel</w:t>
            </w:r>
          </w:p>
        </w:tc>
        <w:tc>
          <w:tcPr>
            <w:tcW w:w="4223" w:type="dxa"/>
            <w:shd w:val="clear" w:color="auto" w:fill="auto"/>
          </w:tcPr>
          <w:p w14:paraId="6826AAA9"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Pengembangan Profesi</w:t>
            </w:r>
          </w:p>
        </w:tc>
      </w:tr>
      <w:tr w:rsidR="00EB0708" w:rsidRPr="007B49A9" w14:paraId="6826AAAE" w14:textId="77777777" w:rsidTr="00635AAF">
        <w:trPr>
          <w:cantSplit/>
          <w:trHeight w:val="170"/>
        </w:trPr>
        <w:tc>
          <w:tcPr>
            <w:tcW w:w="1242" w:type="dxa"/>
            <w:shd w:val="clear" w:color="auto" w:fill="auto"/>
          </w:tcPr>
          <w:p w14:paraId="6826AAA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Q</w:t>
            </w:r>
          </w:p>
        </w:tc>
        <w:tc>
          <w:tcPr>
            <w:tcW w:w="3685" w:type="dxa"/>
            <w:shd w:val="clear" w:color="auto" w:fill="auto"/>
          </w:tcPr>
          <w:p w14:paraId="6826AAA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Quarter</w:t>
            </w:r>
          </w:p>
        </w:tc>
        <w:tc>
          <w:tcPr>
            <w:tcW w:w="4223" w:type="dxa"/>
            <w:shd w:val="clear" w:color="auto" w:fill="auto"/>
          </w:tcPr>
          <w:p w14:paraId="6826AAA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Kwartal</w:t>
            </w:r>
          </w:p>
        </w:tc>
      </w:tr>
      <w:tr w:rsidR="00EB0708" w:rsidRPr="007B49A9" w14:paraId="6826AAB2" w14:textId="77777777" w:rsidTr="00635AAF">
        <w:trPr>
          <w:cantSplit/>
          <w:trHeight w:val="170"/>
        </w:trPr>
        <w:tc>
          <w:tcPr>
            <w:tcW w:w="1242" w:type="dxa"/>
            <w:shd w:val="clear" w:color="auto" w:fill="auto"/>
          </w:tcPr>
          <w:p w14:paraId="6826AAA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Renstra</w:t>
            </w:r>
          </w:p>
        </w:tc>
        <w:tc>
          <w:tcPr>
            <w:tcW w:w="3685" w:type="dxa"/>
            <w:shd w:val="clear" w:color="auto" w:fill="auto"/>
          </w:tcPr>
          <w:p w14:paraId="6826AAB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Strategic Plan</w:t>
            </w:r>
          </w:p>
        </w:tc>
        <w:tc>
          <w:tcPr>
            <w:tcW w:w="4223" w:type="dxa"/>
            <w:shd w:val="clear" w:color="auto" w:fill="auto"/>
          </w:tcPr>
          <w:p w14:paraId="6826AAB1"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Rencana Strategis</w:t>
            </w:r>
          </w:p>
        </w:tc>
      </w:tr>
      <w:tr w:rsidR="006973C7" w:rsidRPr="007B49A9" w14:paraId="6826AAB6" w14:textId="77777777" w:rsidTr="00635AAF">
        <w:trPr>
          <w:cantSplit/>
          <w:trHeight w:val="170"/>
        </w:trPr>
        <w:tc>
          <w:tcPr>
            <w:tcW w:w="1242" w:type="dxa"/>
            <w:shd w:val="clear" w:color="auto" w:fill="auto"/>
          </w:tcPr>
          <w:p w14:paraId="6826AAB3" w14:textId="77777777" w:rsidR="006973C7" w:rsidRPr="009A5A6E" w:rsidRDefault="006973C7" w:rsidP="009A5A6E">
            <w:pPr>
              <w:spacing w:before="60" w:after="60" w:line="276" w:lineRule="auto"/>
              <w:rPr>
                <w:rFonts w:cs="Calibri"/>
                <w:sz w:val="20"/>
                <w:szCs w:val="20"/>
                <w:lang w:val="en-AU"/>
              </w:rPr>
            </w:pPr>
            <w:r w:rsidRPr="009A5A6E">
              <w:rPr>
                <w:rFonts w:cs="Calibri"/>
                <w:sz w:val="20"/>
                <w:szCs w:val="20"/>
                <w:lang w:val="en-AU"/>
              </w:rPr>
              <w:t>ROM</w:t>
            </w:r>
          </w:p>
        </w:tc>
        <w:tc>
          <w:tcPr>
            <w:tcW w:w="3685" w:type="dxa"/>
            <w:shd w:val="clear" w:color="auto" w:fill="auto"/>
          </w:tcPr>
          <w:p w14:paraId="6826AAB4" w14:textId="77777777" w:rsidR="006973C7" w:rsidRPr="009A5A6E" w:rsidRDefault="006973C7" w:rsidP="009A5A6E">
            <w:pPr>
              <w:spacing w:before="60" w:after="60" w:line="276" w:lineRule="auto"/>
              <w:rPr>
                <w:rFonts w:cs="Calibri"/>
                <w:sz w:val="20"/>
                <w:szCs w:val="20"/>
                <w:lang w:val="en-AU"/>
              </w:rPr>
            </w:pPr>
            <w:r w:rsidRPr="009A5A6E">
              <w:rPr>
                <w:rFonts w:cs="Calibri"/>
                <w:sz w:val="20"/>
                <w:szCs w:val="20"/>
                <w:lang w:val="en-AU"/>
              </w:rPr>
              <w:t>Results-orientated Monitoring</w:t>
            </w:r>
          </w:p>
        </w:tc>
        <w:tc>
          <w:tcPr>
            <w:tcW w:w="4223" w:type="dxa"/>
            <w:shd w:val="clear" w:color="auto" w:fill="auto"/>
          </w:tcPr>
          <w:p w14:paraId="6826AAB5" w14:textId="77777777" w:rsidR="006973C7" w:rsidRPr="009A5A6E" w:rsidRDefault="007B49A9" w:rsidP="009A5A6E">
            <w:pPr>
              <w:spacing w:before="60" w:after="60" w:line="276" w:lineRule="auto"/>
              <w:rPr>
                <w:rFonts w:cs="Calibri"/>
                <w:sz w:val="20"/>
                <w:szCs w:val="20"/>
                <w:lang w:val="en-AU"/>
              </w:rPr>
            </w:pPr>
            <w:r w:rsidRPr="009A5A6E">
              <w:rPr>
                <w:rFonts w:cs="Calibri"/>
                <w:sz w:val="20"/>
                <w:szCs w:val="20"/>
                <w:lang w:val="en-AU"/>
              </w:rPr>
              <w:t>Pemantauan Berorientasi kepada Hasil</w:t>
            </w:r>
          </w:p>
        </w:tc>
      </w:tr>
      <w:tr w:rsidR="00EB0708" w:rsidRPr="007B49A9" w14:paraId="6826AABE" w14:textId="77777777" w:rsidTr="00635AAF">
        <w:trPr>
          <w:cantSplit/>
          <w:trHeight w:val="170"/>
        </w:trPr>
        <w:tc>
          <w:tcPr>
            <w:tcW w:w="1242" w:type="dxa"/>
            <w:shd w:val="clear" w:color="auto" w:fill="auto"/>
          </w:tcPr>
          <w:p w14:paraId="6826AAB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SATAP</w:t>
            </w:r>
          </w:p>
        </w:tc>
        <w:tc>
          <w:tcPr>
            <w:tcW w:w="3685" w:type="dxa"/>
            <w:shd w:val="clear" w:color="auto" w:fill="auto"/>
          </w:tcPr>
          <w:p w14:paraId="6826AAB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 xml:space="preserve">One Roof School </w:t>
            </w:r>
          </w:p>
        </w:tc>
        <w:tc>
          <w:tcPr>
            <w:tcW w:w="4223" w:type="dxa"/>
            <w:shd w:val="clear" w:color="auto" w:fill="auto"/>
          </w:tcPr>
          <w:p w14:paraId="6826AAB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Sekolah Satu Atap</w:t>
            </w:r>
          </w:p>
        </w:tc>
      </w:tr>
      <w:tr w:rsidR="00E33835" w:rsidRPr="007B49A9" w14:paraId="6826AAC2" w14:textId="77777777" w:rsidTr="00635AAF">
        <w:trPr>
          <w:cantSplit/>
          <w:trHeight w:val="170"/>
        </w:trPr>
        <w:tc>
          <w:tcPr>
            <w:tcW w:w="1242" w:type="dxa"/>
            <w:shd w:val="clear" w:color="auto" w:fill="auto"/>
          </w:tcPr>
          <w:p w14:paraId="6826AABF"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SFR</w:t>
            </w:r>
          </w:p>
        </w:tc>
        <w:tc>
          <w:tcPr>
            <w:tcW w:w="3685" w:type="dxa"/>
            <w:shd w:val="clear" w:color="auto" w:fill="auto"/>
          </w:tcPr>
          <w:p w14:paraId="6826AAC0" w14:textId="77777777" w:rsidR="00E33835" w:rsidRPr="009A5A6E" w:rsidRDefault="00E33835" w:rsidP="009A5A6E">
            <w:pPr>
              <w:spacing w:before="60" w:after="60" w:line="276" w:lineRule="auto"/>
              <w:rPr>
                <w:rFonts w:cs="Calibri"/>
                <w:sz w:val="20"/>
                <w:szCs w:val="20"/>
                <w:lang w:val="en-AU"/>
              </w:rPr>
            </w:pPr>
            <w:r w:rsidRPr="009A5A6E">
              <w:rPr>
                <w:rFonts w:cs="Calibri"/>
                <w:sz w:val="20"/>
                <w:szCs w:val="20"/>
                <w:lang w:val="en-AU"/>
              </w:rPr>
              <w:t>Suspicion of Fraud Report</w:t>
            </w:r>
          </w:p>
        </w:tc>
        <w:tc>
          <w:tcPr>
            <w:tcW w:w="4223" w:type="dxa"/>
            <w:shd w:val="clear" w:color="auto" w:fill="auto"/>
          </w:tcPr>
          <w:p w14:paraId="6826AAC1" w14:textId="77777777" w:rsidR="00E33835" w:rsidRPr="009A5A6E" w:rsidRDefault="007B49A9" w:rsidP="009A5A6E">
            <w:pPr>
              <w:spacing w:before="60" w:after="60" w:line="276" w:lineRule="auto"/>
              <w:rPr>
                <w:rFonts w:cs="Calibri"/>
                <w:sz w:val="20"/>
                <w:szCs w:val="20"/>
                <w:lang w:val="en-AU"/>
              </w:rPr>
            </w:pPr>
            <w:r w:rsidRPr="009A5A6E">
              <w:rPr>
                <w:rFonts w:cs="Calibri"/>
                <w:sz w:val="20"/>
                <w:szCs w:val="20"/>
                <w:lang w:val="en-AU"/>
              </w:rPr>
              <w:t>Laporan Diduga Adanya Penyimpangan</w:t>
            </w:r>
          </w:p>
        </w:tc>
      </w:tr>
      <w:tr w:rsidR="00EB0708" w:rsidRPr="007B49A9" w14:paraId="6826AACA" w14:textId="77777777" w:rsidTr="00635AAF">
        <w:trPr>
          <w:cantSplit/>
          <w:trHeight w:val="170"/>
        </w:trPr>
        <w:tc>
          <w:tcPr>
            <w:tcW w:w="1242" w:type="dxa"/>
            <w:shd w:val="clear" w:color="auto" w:fill="auto"/>
          </w:tcPr>
          <w:p w14:paraId="6826AAC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SNIP</w:t>
            </w:r>
          </w:p>
        </w:tc>
        <w:tc>
          <w:tcPr>
            <w:tcW w:w="3685" w:type="dxa"/>
            <w:shd w:val="clear" w:color="auto" w:fill="auto"/>
          </w:tcPr>
          <w:p w14:paraId="6826AAC8"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Sub-National Implementation Partner</w:t>
            </w:r>
          </w:p>
        </w:tc>
        <w:tc>
          <w:tcPr>
            <w:tcW w:w="4223" w:type="dxa"/>
            <w:shd w:val="clear" w:color="auto" w:fill="auto"/>
          </w:tcPr>
          <w:p w14:paraId="6826AAC9"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Mitra Pelaksana Sub-Nasional</w:t>
            </w:r>
          </w:p>
        </w:tc>
      </w:tr>
      <w:tr w:rsidR="00EB0708" w:rsidRPr="007B49A9" w14:paraId="6826AACE" w14:textId="77777777" w:rsidTr="00635AAF">
        <w:trPr>
          <w:cantSplit/>
          <w:trHeight w:val="170"/>
        </w:trPr>
        <w:tc>
          <w:tcPr>
            <w:tcW w:w="1242" w:type="dxa"/>
            <w:shd w:val="clear" w:color="auto" w:fill="auto"/>
          </w:tcPr>
          <w:p w14:paraId="6826AAC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SPD</w:t>
            </w:r>
          </w:p>
        </w:tc>
        <w:tc>
          <w:tcPr>
            <w:tcW w:w="3685" w:type="dxa"/>
            <w:shd w:val="clear" w:color="auto" w:fill="auto"/>
          </w:tcPr>
          <w:p w14:paraId="6826AAC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Supervisor Professional Development</w:t>
            </w:r>
          </w:p>
        </w:tc>
        <w:tc>
          <w:tcPr>
            <w:tcW w:w="4223" w:type="dxa"/>
            <w:shd w:val="clear" w:color="auto" w:fill="auto"/>
          </w:tcPr>
          <w:p w14:paraId="6826AAC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Program Pendampingan Kepala Sekolah oleh Pengawas Sekolah</w:t>
            </w:r>
          </w:p>
        </w:tc>
      </w:tr>
      <w:tr w:rsidR="00EB0708" w:rsidRPr="007B49A9" w14:paraId="6826AAD2" w14:textId="77777777" w:rsidTr="00635AAF">
        <w:trPr>
          <w:cantSplit/>
          <w:trHeight w:val="170"/>
        </w:trPr>
        <w:tc>
          <w:tcPr>
            <w:tcW w:w="1242" w:type="dxa"/>
            <w:shd w:val="clear" w:color="auto" w:fill="auto"/>
          </w:tcPr>
          <w:p w14:paraId="6826AAC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SP&amp;FM</w:t>
            </w:r>
          </w:p>
        </w:tc>
        <w:tc>
          <w:tcPr>
            <w:tcW w:w="3685" w:type="dxa"/>
            <w:shd w:val="clear" w:color="auto" w:fill="auto"/>
          </w:tcPr>
          <w:p w14:paraId="6826AAD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Strategic Planning and Financial Management (ProDEP Component)</w:t>
            </w:r>
          </w:p>
        </w:tc>
        <w:tc>
          <w:tcPr>
            <w:tcW w:w="4223" w:type="dxa"/>
            <w:shd w:val="clear" w:color="auto" w:fill="auto"/>
          </w:tcPr>
          <w:p w14:paraId="6826AAD1"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Perencanaan Strategis dan Manajemen Keuangan (Komponen ProDEP)</w:t>
            </w:r>
          </w:p>
        </w:tc>
      </w:tr>
      <w:tr w:rsidR="00EB0708" w:rsidRPr="007B49A9" w14:paraId="6826AAD6" w14:textId="77777777" w:rsidTr="00635AAF">
        <w:trPr>
          <w:cantSplit/>
          <w:trHeight w:val="170"/>
        </w:trPr>
        <w:tc>
          <w:tcPr>
            <w:tcW w:w="1242" w:type="dxa"/>
            <w:shd w:val="clear" w:color="auto" w:fill="auto"/>
          </w:tcPr>
          <w:p w14:paraId="6826AAD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SSQ</w:t>
            </w:r>
          </w:p>
        </w:tc>
        <w:tc>
          <w:tcPr>
            <w:tcW w:w="3685" w:type="dxa"/>
            <w:shd w:val="clear" w:color="auto" w:fill="auto"/>
          </w:tcPr>
          <w:p w14:paraId="6826AAD4"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 xml:space="preserve">School Systems and Quality </w:t>
            </w:r>
          </w:p>
        </w:tc>
        <w:tc>
          <w:tcPr>
            <w:tcW w:w="4223" w:type="dxa"/>
            <w:shd w:val="clear" w:color="auto" w:fill="auto"/>
          </w:tcPr>
          <w:p w14:paraId="6826AAD5"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Program Sistem dan Mutu Sekolah</w:t>
            </w:r>
          </w:p>
        </w:tc>
      </w:tr>
      <w:tr w:rsidR="00EB0708" w:rsidRPr="007B49A9" w14:paraId="6826AADA" w14:textId="77777777" w:rsidTr="00635AAF">
        <w:trPr>
          <w:cantSplit/>
          <w:trHeight w:val="170"/>
        </w:trPr>
        <w:tc>
          <w:tcPr>
            <w:tcW w:w="1242" w:type="dxa"/>
            <w:shd w:val="clear" w:color="auto" w:fill="auto"/>
          </w:tcPr>
          <w:p w14:paraId="6826AAD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TA</w:t>
            </w:r>
          </w:p>
        </w:tc>
        <w:tc>
          <w:tcPr>
            <w:tcW w:w="3685" w:type="dxa"/>
            <w:shd w:val="clear" w:color="auto" w:fill="auto"/>
          </w:tcPr>
          <w:p w14:paraId="6826AAD8"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Technical Assistance</w:t>
            </w:r>
          </w:p>
        </w:tc>
        <w:tc>
          <w:tcPr>
            <w:tcW w:w="4223" w:type="dxa"/>
            <w:shd w:val="clear" w:color="auto" w:fill="auto"/>
          </w:tcPr>
          <w:p w14:paraId="6826AAD9"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Bantuan Teknis</w:t>
            </w:r>
          </w:p>
        </w:tc>
      </w:tr>
      <w:tr w:rsidR="00EB0708" w:rsidRPr="007B49A9" w14:paraId="6826AADE" w14:textId="77777777" w:rsidTr="00635AAF">
        <w:trPr>
          <w:cantSplit/>
          <w:trHeight w:val="170"/>
        </w:trPr>
        <w:tc>
          <w:tcPr>
            <w:tcW w:w="1242" w:type="dxa"/>
            <w:shd w:val="clear" w:color="auto" w:fill="auto"/>
          </w:tcPr>
          <w:p w14:paraId="6826AAD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TOG</w:t>
            </w:r>
          </w:p>
        </w:tc>
        <w:tc>
          <w:tcPr>
            <w:tcW w:w="3685" w:type="dxa"/>
            <w:shd w:val="clear" w:color="auto" w:fill="auto"/>
          </w:tcPr>
          <w:p w14:paraId="6826AAD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Technical Oversight Group</w:t>
            </w:r>
          </w:p>
        </w:tc>
        <w:tc>
          <w:tcPr>
            <w:tcW w:w="4223" w:type="dxa"/>
            <w:shd w:val="clear" w:color="auto" w:fill="auto"/>
          </w:tcPr>
          <w:p w14:paraId="6826AAD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Kelompok Pengawasan Teknis</w:t>
            </w:r>
          </w:p>
        </w:tc>
      </w:tr>
      <w:tr w:rsidR="00EB0708" w:rsidRPr="007B49A9" w14:paraId="6826AAE2" w14:textId="77777777" w:rsidTr="00635AAF">
        <w:trPr>
          <w:cantSplit/>
          <w:trHeight w:val="170"/>
        </w:trPr>
        <w:tc>
          <w:tcPr>
            <w:tcW w:w="1242" w:type="dxa"/>
            <w:shd w:val="clear" w:color="auto" w:fill="auto"/>
          </w:tcPr>
          <w:p w14:paraId="6826AAD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UoL</w:t>
            </w:r>
          </w:p>
        </w:tc>
        <w:tc>
          <w:tcPr>
            <w:tcW w:w="3685" w:type="dxa"/>
            <w:shd w:val="clear" w:color="auto" w:fill="auto"/>
          </w:tcPr>
          <w:p w14:paraId="6826AAE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Unit of Learning</w:t>
            </w:r>
          </w:p>
        </w:tc>
        <w:tc>
          <w:tcPr>
            <w:tcW w:w="4223" w:type="dxa"/>
            <w:shd w:val="clear" w:color="auto" w:fill="auto"/>
          </w:tcPr>
          <w:p w14:paraId="6826AAE1"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Badan Pembelajaran Umum</w:t>
            </w:r>
          </w:p>
        </w:tc>
      </w:tr>
      <w:tr w:rsidR="00EB0708" w:rsidRPr="007B49A9" w14:paraId="6826AAE6" w14:textId="77777777" w:rsidTr="00635AAF">
        <w:trPr>
          <w:cantSplit/>
          <w:trHeight w:val="170"/>
        </w:trPr>
        <w:tc>
          <w:tcPr>
            <w:tcW w:w="1242" w:type="dxa"/>
            <w:shd w:val="clear" w:color="auto" w:fill="auto"/>
          </w:tcPr>
          <w:p w14:paraId="6826AAE3"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USB</w:t>
            </w:r>
          </w:p>
        </w:tc>
        <w:tc>
          <w:tcPr>
            <w:tcW w:w="3685" w:type="dxa"/>
            <w:shd w:val="clear" w:color="auto" w:fill="auto"/>
          </w:tcPr>
          <w:p w14:paraId="6826AAE4"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New School Unit</w:t>
            </w:r>
          </w:p>
        </w:tc>
        <w:tc>
          <w:tcPr>
            <w:tcW w:w="4223" w:type="dxa"/>
            <w:shd w:val="clear" w:color="auto" w:fill="auto"/>
          </w:tcPr>
          <w:p w14:paraId="6826AAE5"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Unit Sekolah Baru</w:t>
            </w:r>
          </w:p>
        </w:tc>
      </w:tr>
      <w:tr w:rsidR="00EB0708" w:rsidRPr="007B49A9" w14:paraId="6826AAEA" w14:textId="77777777" w:rsidTr="00635AAF">
        <w:trPr>
          <w:cantSplit/>
          <w:trHeight w:val="170"/>
        </w:trPr>
        <w:tc>
          <w:tcPr>
            <w:tcW w:w="1242" w:type="dxa"/>
            <w:shd w:val="clear" w:color="auto" w:fill="auto"/>
          </w:tcPr>
          <w:p w14:paraId="6826AAE7"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USD</w:t>
            </w:r>
          </w:p>
        </w:tc>
        <w:tc>
          <w:tcPr>
            <w:tcW w:w="3685" w:type="dxa"/>
            <w:shd w:val="clear" w:color="auto" w:fill="auto"/>
          </w:tcPr>
          <w:p w14:paraId="6826AAE8"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United States Dollar</w:t>
            </w:r>
          </w:p>
        </w:tc>
        <w:tc>
          <w:tcPr>
            <w:tcW w:w="4223" w:type="dxa"/>
            <w:shd w:val="clear" w:color="auto" w:fill="auto"/>
          </w:tcPr>
          <w:p w14:paraId="6826AAE9"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Dolar Amerika Serikat</w:t>
            </w:r>
          </w:p>
        </w:tc>
      </w:tr>
      <w:tr w:rsidR="00EB0708" w:rsidRPr="007B49A9" w14:paraId="6826AAEE" w14:textId="77777777" w:rsidTr="00635AAF">
        <w:trPr>
          <w:cantSplit/>
          <w:trHeight w:val="170"/>
        </w:trPr>
        <w:tc>
          <w:tcPr>
            <w:tcW w:w="1242" w:type="dxa"/>
            <w:shd w:val="clear" w:color="auto" w:fill="auto"/>
          </w:tcPr>
          <w:p w14:paraId="6826AAEB"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VFM</w:t>
            </w:r>
          </w:p>
        </w:tc>
        <w:tc>
          <w:tcPr>
            <w:tcW w:w="3685" w:type="dxa"/>
            <w:shd w:val="clear" w:color="auto" w:fill="auto"/>
          </w:tcPr>
          <w:p w14:paraId="6826AAEC"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Value for Money</w:t>
            </w:r>
          </w:p>
        </w:tc>
        <w:tc>
          <w:tcPr>
            <w:tcW w:w="4223" w:type="dxa"/>
            <w:shd w:val="clear" w:color="auto" w:fill="auto"/>
          </w:tcPr>
          <w:p w14:paraId="6826AAED"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Nilai yang diperoleh untuk dana tertentu</w:t>
            </w:r>
          </w:p>
        </w:tc>
      </w:tr>
      <w:tr w:rsidR="00EB0708" w:rsidRPr="00EB0708" w14:paraId="6826AAF2" w14:textId="77777777" w:rsidTr="00635AAF">
        <w:trPr>
          <w:cantSplit/>
          <w:trHeight w:val="170"/>
        </w:trPr>
        <w:tc>
          <w:tcPr>
            <w:tcW w:w="1242" w:type="dxa"/>
            <w:shd w:val="clear" w:color="auto" w:fill="auto"/>
          </w:tcPr>
          <w:p w14:paraId="6826AAEF"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WiPS</w:t>
            </w:r>
          </w:p>
        </w:tc>
        <w:tc>
          <w:tcPr>
            <w:tcW w:w="3685" w:type="dxa"/>
            <w:shd w:val="clear" w:color="auto" w:fill="auto"/>
          </w:tcPr>
          <w:p w14:paraId="6826AAF0"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Working in Partner Systems</w:t>
            </w:r>
          </w:p>
        </w:tc>
        <w:tc>
          <w:tcPr>
            <w:tcW w:w="4223" w:type="dxa"/>
            <w:shd w:val="clear" w:color="auto" w:fill="auto"/>
          </w:tcPr>
          <w:p w14:paraId="6826AAF1" w14:textId="77777777" w:rsidR="00EB0708" w:rsidRPr="009A5A6E" w:rsidRDefault="00EB0708" w:rsidP="009A5A6E">
            <w:pPr>
              <w:spacing w:before="60" w:after="60" w:line="276" w:lineRule="auto"/>
              <w:rPr>
                <w:rFonts w:cs="Calibri"/>
                <w:sz w:val="20"/>
                <w:szCs w:val="20"/>
                <w:lang w:val="en-AU"/>
              </w:rPr>
            </w:pPr>
            <w:r w:rsidRPr="009A5A6E">
              <w:rPr>
                <w:rFonts w:cs="Calibri"/>
                <w:sz w:val="20"/>
                <w:szCs w:val="20"/>
                <w:lang w:val="en-AU"/>
              </w:rPr>
              <w:t>Bekerja dalam Sistem Mitra</w:t>
            </w:r>
          </w:p>
        </w:tc>
      </w:tr>
    </w:tbl>
    <w:p w14:paraId="6826AAF3" w14:textId="5B19297B" w:rsidR="003B0EE2" w:rsidRDefault="003B0EE2" w:rsidP="00EB0708">
      <w:pPr>
        <w:spacing w:before="120" w:after="120" w:line="276" w:lineRule="auto"/>
        <w:jc w:val="both"/>
        <w:rPr>
          <w:rFonts w:eastAsia="Times New Roman" w:cs="Calibri"/>
          <w:lang w:val="en-AU"/>
        </w:rPr>
      </w:pPr>
    </w:p>
    <w:p w14:paraId="6F594246" w14:textId="77777777" w:rsidR="003B0EE2" w:rsidRDefault="003B0EE2">
      <w:pPr>
        <w:spacing w:after="0" w:line="240" w:lineRule="auto"/>
        <w:rPr>
          <w:rFonts w:eastAsia="Times New Roman" w:cs="Calibri"/>
          <w:lang w:val="en-AU"/>
        </w:rPr>
      </w:pPr>
      <w:r>
        <w:rPr>
          <w:rFonts w:eastAsia="Times New Roman" w:cs="Calibri"/>
          <w:lang w:val="en-AU"/>
        </w:rPr>
        <w:br w:type="page"/>
      </w:r>
    </w:p>
    <w:p w14:paraId="6826AB04" w14:textId="77777777" w:rsidR="009D4BBF" w:rsidRPr="003B0EE2" w:rsidRDefault="009D4BBF" w:rsidP="003B0EE2">
      <w:pPr>
        <w:pStyle w:val="Heading1"/>
        <w:numPr>
          <w:ilvl w:val="0"/>
          <w:numId w:val="0"/>
        </w:numPr>
        <w:rPr>
          <w:b w:val="0"/>
        </w:rPr>
      </w:pPr>
      <w:bookmarkStart w:id="10" w:name="_Toc473786281"/>
      <w:r w:rsidRPr="003B0EE2">
        <w:t>Executive Summary</w:t>
      </w:r>
      <w:bookmarkEnd w:id="10"/>
    </w:p>
    <w:p w14:paraId="6826AB05" w14:textId="009FCCE1" w:rsidR="009D4BBF" w:rsidRPr="009D4BBF" w:rsidRDefault="007F0564" w:rsidP="009D4BBF">
      <w:pPr>
        <w:spacing w:after="200" w:line="276" w:lineRule="auto"/>
        <w:jc w:val="both"/>
        <w:rPr>
          <w:rFonts w:asciiTheme="minorHAnsi" w:eastAsiaTheme="minorHAnsi" w:hAnsiTheme="minorHAnsi" w:cstheme="minorBidi"/>
          <w:lang w:val="en-US"/>
        </w:rPr>
      </w:pPr>
      <w:r w:rsidRPr="005C2D83">
        <w:rPr>
          <w:rFonts w:cs="Arial"/>
        </w:rPr>
        <w:t xml:space="preserve">Australia’s Education Partnership with Indonesia </w:t>
      </w:r>
      <w:r>
        <w:rPr>
          <w:rFonts w:cs="Arial"/>
        </w:rPr>
        <w:t xml:space="preserve">(or the </w:t>
      </w:r>
      <w:r w:rsidR="009D4BBF" w:rsidRPr="009D4BBF">
        <w:rPr>
          <w:rFonts w:asciiTheme="minorHAnsi" w:eastAsiaTheme="minorHAnsi" w:hAnsiTheme="minorHAnsi" w:cstheme="minorBidi"/>
          <w:lang w:val="en-US"/>
        </w:rPr>
        <w:t>Education Partnership</w:t>
      </w:r>
      <w:r>
        <w:rPr>
          <w:rFonts w:asciiTheme="minorHAnsi" w:eastAsiaTheme="minorHAnsi" w:hAnsiTheme="minorHAnsi" w:cstheme="minorBidi"/>
          <w:lang w:val="en-US"/>
        </w:rPr>
        <w:t>, t</w:t>
      </w:r>
      <w:r w:rsidR="009D4BBF" w:rsidRPr="009D4BBF">
        <w:rPr>
          <w:rFonts w:asciiTheme="minorHAnsi" w:eastAsiaTheme="minorHAnsi" w:hAnsiTheme="minorHAnsi" w:cstheme="minorBidi"/>
          <w:lang w:val="en-US"/>
        </w:rPr>
        <w:t>he EP) was an AUD 368.8 million investment in the Indonesian education sector that commenced in 2011 for a scheduled period of five years. It formed part of a multi-donor Education Sector Support Program that was designed to assist the Government of Indonesia in attaining key education planning objectives.</w:t>
      </w:r>
      <w:r w:rsidR="009D4BBF" w:rsidRPr="009D4BBF">
        <w:rPr>
          <w:rFonts w:cs="Arial"/>
        </w:rPr>
        <w:t xml:space="preserve"> EP support was formulated in accordance with Indonesia’s requests for both budget support and targeted assistance to pursue priority items listed within the 2010-2014 Strategic Plans of the two main counterpart ministries</w:t>
      </w:r>
      <w:r>
        <w:rPr>
          <w:rFonts w:cs="Arial"/>
        </w:rPr>
        <w:t>: the Ministry of Education and Culture, and the Ministry of Religious Affairs</w:t>
      </w:r>
      <w:r w:rsidR="009D4BBF" w:rsidRPr="009D4BBF">
        <w:rPr>
          <w:rFonts w:cs="Arial"/>
        </w:rPr>
        <w:t>.</w:t>
      </w:r>
    </w:p>
    <w:p w14:paraId="6826AB06" w14:textId="0D837742" w:rsidR="009D4BBF" w:rsidRPr="009D4BBF" w:rsidRDefault="009D4BBF" w:rsidP="009D4BBF">
      <w:pPr>
        <w:spacing w:after="200" w:line="276" w:lineRule="auto"/>
        <w:jc w:val="both"/>
        <w:rPr>
          <w:rFonts w:asciiTheme="minorHAnsi" w:eastAsiaTheme="minorHAnsi" w:hAnsiTheme="minorHAnsi" w:cstheme="minorBidi"/>
          <w:lang w:val="en-US"/>
        </w:rPr>
      </w:pPr>
      <w:r w:rsidRPr="009D4BBF">
        <w:rPr>
          <w:rFonts w:asciiTheme="minorHAnsi" w:eastAsiaTheme="minorHAnsi" w:hAnsiTheme="minorHAnsi" w:cstheme="minorBidi"/>
          <w:lang w:val="en-US"/>
        </w:rPr>
        <w:t xml:space="preserve">The core element of the EP was a portfolio of four investments or </w:t>
      </w:r>
      <w:r w:rsidRPr="009D4BBF">
        <w:rPr>
          <w:rFonts w:asciiTheme="minorHAnsi" w:eastAsiaTheme="minorHAnsi" w:hAnsiTheme="minorHAnsi" w:cstheme="minorBidi"/>
          <w:i/>
          <w:lang w:val="en-US"/>
        </w:rPr>
        <w:t>components</w:t>
      </w:r>
      <w:r w:rsidRPr="009D4BBF">
        <w:rPr>
          <w:rFonts w:asciiTheme="minorHAnsi" w:eastAsiaTheme="minorHAnsi" w:hAnsiTheme="minorHAnsi" w:cstheme="minorBidi"/>
          <w:lang w:val="en-US"/>
        </w:rPr>
        <w:t xml:space="preserve">: </w:t>
      </w:r>
    </w:p>
    <w:p w14:paraId="6826AB07" w14:textId="77777777" w:rsidR="009D4BBF" w:rsidRPr="009D4BBF" w:rsidRDefault="009D4BBF" w:rsidP="009D4BBF">
      <w:pPr>
        <w:numPr>
          <w:ilvl w:val="0"/>
          <w:numId w:val="12"/>
        </w:numPr>
        <w:spacing w:after="200" w:line="276" w:lineRule="auto"/>
        <w:ind w:left="567" w:hanging="357"/>
        <w:contextualSpacing/>
        <w:jc w:val="both"/>
        <w:rPr>
          <w:rFonts w:asciiTheme="minorHAnsi" w:eastAsiaTheme="minorHAnsi" w:hAnsiTheme="minorHAnsi" w:cstheme="minorBidi"/>
          <w:lang w:val="en-US"/>
        </w:rPr>
      </w:pPr>
      <w:r w:rsidRPr="009D4BBF">
        <w:rPr>
          <w:rFonts w:asciiTheme="minorHAnsi" w:eastAsiaTheme="minorHAnsi" w:hAnsiTheme="minorHAnsi" w:cstheme="minorBidi"/>
          <w:lang w:val="en-US"/>
        </w:rPr>
        <w:t xml:space="preserve">Component 1 or </w:t>
      </w:r>
      <w:r w:rsidRPr="009D4BBF">
        <w:rPr>
          <w:rFonts w:asciiTheme="minorHAnsi" w:eastAsiaTheme="minorHAnsi" w:hAnsiTheme="minorHAnsi" w:cstheme="minorBidi"/>
          <w:b/>
          <w:lang w:val="en-US"/>
        </w:rPr>
        <w:t>C1</w:t>
      </w:r>
      <w:r w:rsidRPr="009D4BBF">
        <w:rPr>
          <w:rFonts w:asciiTheme="minorHAnsi" w:eastAsiaTheme="minorHAnsi" w:hAnsiTheme="minorHAnsi" w:cstheme="minorBidi"/>
          <w:lang w:val="en-US"/>
        </w:rPr>
        <w:t>: Junior secondary school construction and expansion (AUD 179.3 million).</w:t>
      </w:r>
    </w:p>
    <w:p w14:paraId="6826AB08" w14:textId="77777777" w:rsidR="009D4BBF" w:rsidRPr="009D4BBF" w:rsidRDefault="009D4BBF" w:rsidP="009D4BBF">
      <w:pPr>
        <w:numPr>
          <w:ilvl w:val="0"/>
          <w:numId w:val="12"/>
        </w:numPr>
        <w:spacing w:after="200" w:line="276" w:lineRule="auto"/>
        <w:ind w:left="567" w:hanging="357"/>
        <w:contextualSpacing/>
        <w:jc w:val="both"/>
        <w:rPr>
          <w:rFonts w:asciiTheme="minorHAnsi" w:eastAsiaTheme="minorHAnsi" w:hAnsiTheme="minorHAnsi" w:cstheme="minorBidi"/>
          <w:lang w:val="en-US"/>
        </w:rPr>
      </w:pPr>
      <w:r w:rsidRPr="009D4BBF">
        <w:rPr>
          <w:rFonts w:asciiTheme="minorHAnsi" w:eastAsiaTheme="minorHAnsi" w:hAnsiTheme="minorHAnsi" w:cstheme="minorBidi"/>
          <w:lang w:val="en-US"/>
        </w:rPr>
        <w:t xml:space="preserve">Component 2 or </w:t>
      </w:r>
      <w:r w:rsidRPr="009D4BBF">
        <w:rPr>
          <w:rFonts w:asciiTheme="minorHAnsi" w:eastAsiaTheme="minorHAnsi" w:hAnsiTheme="minorHAnsi" w:cstheme="minorBidi"/>
          <w:b/>
          <w:lang w:val="en-US"/>
        </w:rPr>
        <w:t>C2</w:t>
      </w:r>
      <w:r w:rsidRPr="009D4BBF">
        <w:rPr>
          <w:rFonts w:asciiTheme="minorHAnsi" w:eastAsiaTheme="minorHAnsi" w:hAnsiTheme="minorHAnsi" w:cstheme="minorBidi"/>
          <w:lang w:val="en-US"/>
        </w:rPr>
        <w:t>: Education personnel professional development (AUD 106.4 million).</w:t>
      </w:r>
    </w:p>
    <w:p w14:paraId="6826AB09" w14:textId="77777777" w:rsidR="009D4BBF" w:rsidRPr="009D4BBF" w:rsidRDefault="009D4BBF" w:rsidP="009D4BBF">
      <w:pPr>
        <w:numPr>
          <w:ilvl w:val="0"/>
          <w:numId w:val="12"/>
        </w:numPr>
        <w:spacing w:after="200" w:line="276" w:lineRule="auto"/>
        <w:ind w:left="567" w:hanging="357"/>
        <w:contextualSpacing/>
        <w:jc w:val="both"/>
        <w:rPr>
          <w:rFonts w:asciiTheme="minorHAnsi" w:eastAsiaTheme="minorHAnsi" w:hAnsiTheme="minorHAnsi" w:cstheme="minorBidi"/>
          <w:lang w:val="en-US"/>
        </w:rPr>
      </w:pPr>
      <w:r w:rsidRPr="009D4BBF">
        <w:rPr>
          <w:rFonts w:asciiTheme="minorHAnsi" w:eastAsiaTheme="minorHAnsi" w:hAnsiTheme="minorHAnsi" w:cstheme="minorBidi"/>
          <w:lang w:val="en-US"/>
        </w:rPr>
        <w:t xml:space="preserve">Component 3 or </w:t>
      </w:r>
      <w:r w:rsidRPr="009D4BBF">
        <w:rPr>
          <w:rFonts w:asciiTheme="minorHAnsi" w:eastAsiaTheme="minorHAnsi" w:hAnsiTheme="minorHAnsi" w:cstheme="minorBidi"/>
          <w:b/>
          <w:lang w:val="en-US"/>
        </w:rPr>
        <w:t>C3</w:t>
      </w:r>
      <w:r w:rsidRPr="009D4BBF">
        <w:rPr>
          <w:rFonts w:asciiTheme="minorHAnsi" w:eastAsiaTheme="minorHAnsi" w:hAnsiTheme="minorHAnsi" w:cstheme="minorBidi"/>
          <w:lang w:val="en-US"/>
        </w:rPr>
        <w:t>: Private Islamic school (madrasah) quality improvement (AUD 37 million).</w:t>
      </w:r>
    </w:p>
    <w:p w14:paraId="6826AB0A" w14:textId="77777777" w:rsidR="009D4BBF" w:rsidRDefault="009D4BBF" w:rsidP="009D4BBF">
      <w:pPr>
        <w:numPr>
          <w:ilvl w:val="0"/>
          <w:numId w:val="12"/>
        </w:numPr>
        <w:spacing w:after="200" w:line="276" w:lineRule="auto"/>
        <w:ind w:left="567" w:hanging="357"/>
        <w:contextualSpacing/>
        <w:jc w:val="both"/>
        <w:rPr>
          <w:rFonts w:asciiTheme="minorHAnsi" w:eastAsiaTheme="minorHAnsi" w:hAnsiTheme="minorHAnsi" w:cstheme="minorBidi"/>
          <w:lang w:val="en-US"/>
        </w:rPr>
      </w:pPr>
      <w:r w:rsidRPr="009D4BBF">
        <w:rPr>
          <w:rFonts w:asciiTheme="minorHAnsi" w:eastAsiaTheme="minorHAnsi" w:hAnsiTheme="minorHAnsi" w:cstheme="minorBidi"/>
          <w:lang w:val="en-US"/>
        </w:rPr>
        <w:t xml:space="preserve">Component 4 or </w:t>
      </w:r>
      <w:r w:rsidRPr="009D4BBF">
        <w:rPr>
          <w:rFonts w:asciiTheme="minorHAnsi" w:eastAsiaTheme="minorHAnsi" w:hAnsiTheme="minorHAnsi" w:cstheme="minorBidi"/>
          <w:b/>
          <w:lang w:val="en-US"/>
        </w:rPr>
        <w:t>C4</w:t>
      </w:r>
      <w:r w:rsidRPr="009D4BBF">
        <w:rPr>
          <w:rFonts w:asciiTheme="minorHAnsi" w:eastAsiaTheme="minorHAnsi" w:hAnsiTheme="minorHAnsi" w:cstheme="minorBidi"/>
          <w:lang w:val="en-US"/>
        </w:rPr>
        <w:t>: Analytical and Capacity Development Partnership (AUD 25 million).</w:t>
      </w:r>
    </w:p>
    <w:p w14:paraId="6826AB0B" w14:textId="77777777" w:rsidR="009D4BBF" w:rsidRPr="009D4BBF" w:rsidRDefault="009D4BBF" w:rsidP="009D4BBF">
      <w:pPr>
        <w:spacing w:after="200" w:line="276" w:lineRule="auto"/>
        <w:ind w:left="709"/>
        <w:contextualSpacing/>
        <w:jc w:val="both"/>
        <w:rPr>
          <w:rFonts w:asciiTheme="minorHAnsi" w:eastAsiaTheme="minorHAnsi" w:hAnsiTheme="minorHAnsi" w:cstheme="minorBidi"/>
          <w:lang w:val="en-US"/>
        </w:rPr>
      </w:pPr>
    </w:p>
    <w:p w14:paraId="6826AB0C" w14:textId="52FC62E9" w:rsidR="009D4BBF" w:rsidRPr="009D4BBF" w:rsidRDefault="009D4BBF" w:rsidP="009D4BBF">
      <w:pPr>
        <w:spacing w:after="200" w:line="276" w:lineRule="auto"/>
        <w:jc w:val="both"/>
        <w:rPr>
          <w:rFonts w:asciiTheme="minorHAnsi" w:eastAsiaTheme="minorHAnsi" w:hAnsiTheme="minorHAnsi" w:cs="Arial"/>
        </w:rPr>
      </w:pPr>
      <w:r w:rsidRPr="009D4BBF">
        <w:rPr>
          <w:rFonts w:asciiTheme="minorHAnsi" w:eastAsiaTheme="minorHAnsi" w:hAnsiTheme="minorHAnsi" w:cstheme="minorBidi"/>
          <w:lang w:val="en-US"/>
        </w:rPr>
        <w:t>EP support was delivered via a range of mechanisms. Approximately half of the overall investment took the</w:t>
      </w:r>
      <w:r w:rsidRPr="009D4BBF">
        <w:rPr>
          <w:rFonts w:asciiTheme="minorHAnsi" w:eastAsiaTheme="minorHAnsi" w:hAnsiTheme="minorHAnsi" w:cs="Arial"/>
        </w:rPr>
        <w:t xml:space="preserve"> form of earmarked budget support to the Ministry of Education and Culture (C1 and C2). Component 3 </w:t>
      </w:r>
      <w:r w:rsidR="00927F6D">
        <w:rPr>
          <w:rFonts w:asciiTheme="minorHAnsi" w:eastAsiaTheme="minorHAnsi" w:hAnsiTheme="minorHAnsi" w:cs="Arial"/>
        </w:rPr>
        <w:t>was delivered by</w:t>
      </w:r>
      <w:r w:rsidR="00927F6D" w:rsidRPr="009D4BBF">
        <w:rPr>
          <w:rFonts w:asciiTheme="minorHAnsi" w:eastAsiaTheme="minorHAnsi" w:hAnsiTheme="minorHAnsi" w:cs="Arial"/>
        </w:rPr>
        <w:t xml:space="preserve"> </w:t>
      </w:r>
      <w:r w:rsidRPr="009D4BBF">
        <w:rPr>
          <w:rFonts w:asciiTheme="minorHAnsi" w:eastAsiaTheme="minorHAnsi" w:hAnsiTheme="minorHAnsi" w:cs="Arial"/>
        </w:rPr>
        <w:t xml:space="preserve">a Managing Contractor, while C4 took the form of a funding contribution to a multilateral facility managed by the Asian Development Bank (ADB). All EP activities </w:t>
      </w:r>
      <w:r w:rsidR="00927F6D">
        <w:rPr>
          <w:rFonts w:asciiTheme="minorHAnsi" w:eastAsiaTheme="minorHAnsi" w:hAnsiTheme="minorHAnsi" w:cs="Arial"/>
        </w:rPr>
        <w:t>will</w:t>
      </w:r>
      <w:r w:rsidR="00927F6D" w:rsidRPr="009D4BBF">
        <w:rPr>
          <w:rFonts w:asciiTheme="minorHAnsi" w:eastAsiaTheme="minorHAnsi" w:hAnsiTheme="minorHAnsi" w:cs="Arial"/>
        </w:rPr>
        <w:t xml:space="preserve"> </w:t>
      </w:r>
      <w:r w:rsidRPr="009D4BBF">
        <w:rPr>
          <w:rFonts w:asciiTheme="minorHAnsi" w:eastAsiaTheme="minorHAnsi" w:hAnsiTheme="minorHAnsi" w:cs="Arial"/>
        </w:rPr>
        <w:t>cease by January 2017, with the exception of C4 which was granted a no-cost extension until June 2017.</w:t>
      </w:r>
    </w:p>
    <w:p w14:paraId="441928FC" w14:textId="6C20BD79" w:rsidR="00F06E0F" w:rsidRDefault="009D4BBF" w:rsidP="009D4BBF">
      <w:pPr>
        <w:spacing w:after="200" w:line="276" w:lineRule="auto"/>
        <w:jc w:val="both"/>
        <w:rPr>
          <w:rFonts w:asciiTheme="minorHAnsi" w:eastAsiaTheme="minorHAnsi" w:hAnsiTheme="minorHAnsi" w:cs="Arial"/>
        </w:rPr>
      </w:pPr>
      <w:r w:rsidRPr="009D4BBF">
        <w:rPr>
          <w:rFonts w:asciiTheme="minorHAnsi" w:eastAsiaTheme="minorHAnsi" w:hAnsiTheme="minorHAnsi" w:cs="Arial"/>
        </w:rPr>
        <w:t>This ICR has been compiled by the EP Performance Oversight and Monitoring (POM) team to</w:t>
      </w:r>
      <w:r w:rsidR="00927F6D">
        <w:rPr>
          <w:rFonts w:asciiTheme="minorHAnsi" w:eastAsiaTheme="minorHAnsi" w:hAnsiTheme="minorHAnsi" w:cs="Arial"/>
        </w:rPr>
        <w:t>:</w:t>
      </w:r>
    </w:p>
    <w:p w14:paraId="09D63682" w14:textId="3F11C876" w:rsidR="00F06E0F" w:rsidRDefault="009D4BBF" w:rsidP="00F06E0F">
      <w:pPr>
        <w:pStyle w:val="ListParagraph"/>
        <w:numPr>
          <w:ilvl w:val="0"/>
          <w:numId w:val="31"/>
        </w:numPr>
        <w:jc w:val="both"/>
        <w:rPr>
          <w:rFonts w:asciiTheme="minorHAnsi" w:eastAsiaTheme="minorHAnsi" w:hAnsiTheme="minorHAnsi" w:cs="Arial"/>
        </w:rPr>
      </w:pPr>
      <w:r w:rsidRPr="00F06E0F">
        <w:rPr>
          <w:rFonts w:asciiTheme="minorHAnsi" w:eastAsiaTheme="minorHAnsi" w:hAnsiTheme="minorHAnsi" w:cs="Arial"/>
        </w:rPr>
        <w:t>outline the achievements of the EP and the extent to which they are in line with expectations</w:t>
      </w:r>
      <w:r w:rsidR="00927F6D" w:rsidRPr="00F06E0F">
        <w:rPr>
          <w:rFonts w:asciiTheme="minorHAnsi" w:eastAsiaTheme="minorHAnsi" w:hAnsiTheme="minorHAnsi" w:cs="Arial"/>
        </w:rPr>
        <w:t>;</w:t>
      </w:r>
      <w:r w:rsidRPr="00F06E0F">
        <w:rPr>
          <w:rFonts w:asciiTheme="minorHAnsi" w:eastAsiaTheme="minorHAnsi" w:hAnsiTheme="minorHAnsi" w:cs="Arial"/>
        </w:rPr>
        <w:t xml:space="preserve"> </w:t>
      </w:r>
    </w:p>
    <w:p w14:paraId="67C1168A" w14:textId="2CE6B117" w:rsidR="00F06E0F" w:rsidRDefault="009D4BBF" w:rsidP="00F06E0F">
      <w:pPr>
        <w:pStyle w:val="ListParagraph"/>
        <w:numPr>
          <w:ilvl w:val="0"/>
          <w:numId w:val="31"/>
        </w:numPr>
        <w:jc w:val="both"/>
        <w:rPr>
          <w:rFonts w:asciiTheme="minorHAnsi" w:eastAsiaTheme="minorHAnsi" w:hAnsiTheme="minorHAnsi" w:cs="Arial"/>
        </w:rPr>
      </w:pPr>
      <w:r w:rsidRPr="00F06E0F">
        <w:rPr>
          <w:rFonts w:asciiTheme="minorHAnsi" w:eastAsiaTheme="minorHAnsi" w:hAnsiTheme="minorHAnsi" w:cs="Arial"/>
        </w:rPr>
        <w:t>assess the performance of the EP and the extent to which it represented value for money</w:t>
      </w:r>
      <w:r w:rsidR="00F06E0F">
        <w:rPr>
          <w:rFonts w:asciiTheme="minorHAnsi" w:eastAsiaTheme="minorHAnsi" w:hAnsiTheme="minorHAnsi" w:cs="Arial"/>
        </w:rPr>
        <w:t>;</w:t>
      </w:r>
      <w:r w:rsidRPr="00F06E0F">
        <w:rPr>
          <w:rFonts w:asciiTheme="minorHAnsi" w:eastAsiaTheme="minorHAnsi" w:hAnsiTheme="minorHAnsi" w:cs="Arial"/>
        </w:rPr>
        <w:t xml:space="preserve"> and</w:t>
      </w:r>
    </w:p>
    <w:p w14:paraId="6826AB0D" w14:textId="292494B3" w:rsidR="009D4BBF" w:rsidRPr="00F06E0F" w:rsidRDefault="009D4BBF" w:rsidP="00F06E0F">
      <w:pPr>
        <w:pStyle w:val="ListParagraph"/>
        <w:numPr>
          <w:ilvl w:val="0"/>
          <w:numId w:val="31"/>
        </w:numPr>
        <w:jc w:val="both"/>
        <w:rPr>
          <w:rFonts w:asciiTheme="minorHAnsi" w:eastAsiaTheme="minorHAnsi" w:hAnsiTheme="minorHAnsi" w:cs="Arial"/>
        </w:rPr>
      </w:pPr>
      <w:r w:rsidRPr="00F06E0F">
        <w:rPr>
          <w:rFonts w:asciiTheme="minorHAnsi" w:eastAsiaTheme="minorHAnsi" w:hAnsiTheme="minorHAnsi" w:cs="Arial"/>
        </w:rPr>
        <w:t xml:space="preserve">identify lessons that may benefit future DFAT investments in the Indonesian education sector. </w:t>
      </w:r>
    </w:p>
    <w:p w14:paraId="6826AB0E" w14:textId="58DC76BA" w:rsidR="009D4BBF" w:rsidRPr="009D4BBF" w:rsidRDefault="009D4BBF" w:rsidP="009D4BBF">
      <w:pPr>
        <w:spacing w:after="200" w:line="276" w:lineRule="auto"/>
        <w:jc w:val="both"/>
        <w:rPr>
          <w:rFonts w:asciiTheme="minorHAnsi" w:eastAsiaTheme="minorHAnsi" w:hAnsiTheme="minorHAnsi" w:cs="Arial"/>
          <w:b/>
        </w:rPr>
      </w:pPr>
      <w:r w:rsidRPr="009D4BBF">
        <w:rPr>
          <w:rFonts w:asciiTheme="minorHAnsi" w:eastAsiaTheme="minorHAnsi" w:hAnsiTheme="minorHAnsi" w:cs="Arial"/>
          <w:b/>
        </w:rPr>
        <w:t>The general conclusion of the re</w:t>
      </w:r>
      <w:r w:rsidR="000834DF">
        <w:rPr>
          <w:rFonts w:asciiTheme="minorHAnsi" w:eastAsiaTheme="minorHAnsi" w:hAnsiTheme="minorHAnsi" w:cs="Arial"/>
          <w:b/>
        </w:rPr>
        <w:t>i</w:t>
      </w:r>
      <w:r w:rsidRPr="009D4BBF">
        <w:rPr>
          <w:rFonts w:asciiTheme="minorHAnsi" w:eastAsiaTheme="minorHAnsi" w:hAnsiTheme="minorHAnsi" w:cs="Arial"/>
          <w:b/>
        </w:rPr>
        <w:t xml:space="preserve">view is that the EP was a highly relevant investment that represented satisfactory value for money for both governments. The activities conducted under the umbrella of the EP were delivered efficiently and produced valuable improvements in key areas of the Indonesian education sector. The EP did not, however, meet expectations in terms of </w:t>
      </w:r>
      <w:r w:rsidR="00927F6D">
        <w:rPr>
          <w:rFonts w:asciiTheme="minorHAnsi" w:eastAsiaTheme="minorHAnsi" w:hAnsiTheme="minorHAnsi" w:cs="Arial"/>
          <w:b/>
        </w:rPr>
        <w:t xml:space="preserve">its potential </w:t>
      </w:r>
      <w:r w:rsidRPr="009D4BBF">
        <w:rPr>
          <w:rFonts w:asciiTheme="minorHAnsi" w:eastAsiaTheme="minorHAnsi" w:hAnsiTheme="minorHAnsi" w:cs="Arial"/>
          <w:b/>
        </w:rPr>
        <w:t xml:space="preserve">impact or </w:t>
      </w:r>
      <w:r w:rsidR="00927F6D">
        <w:rPr>
          <w:rFonts w:asciiTheme="minorHAnsi" w:eastAsiaTheme="minorHAnsi" w:hAnsiTheme="minorHAnsi" w:cs="Arial"/>
          <w:b/>
        </w:rPr>
        <w:t>with regards to the likelihood that key benefits will be sustained in the long-term</w:t>
      </w:r>
      <w:r w:rsidRPr="009D4BBF">
        <w:rPr>
          <w:rFonts w:asciiTheme="minorHAnsi" w:eastAsiaTheme="minorHAnsi" w:hAnsiTheme="minorHAnsi" w:cs="Arial"/>
          <w:b/>
        </w:rPr>
        <w:t>.</w:t>
      </w:r>
    </w:p>
    <w:p w14:paraId="6826AB0F" w14:textId="77777777" w:rsidR="009D4BBF" w:rsidRPr="009D4BBF" w:rsidRDefault="009D4BBF" w:rsidP="009D4BBF">
      <w:pPr>
        <w:spacing w:after="200" w:line="276" w:lineRule="auto"/>
        <w:jc w:val="both"/>
        <w:rPr>
          <w:rFonts w:asciiTheme="minorHAnsi" w:eastAsiaTheme="minorHAnsi" w:hAnsiTheme="minorHAnsi" w:cs="Arial"/>
          <w:b/>
        </w:rPr>
      </w:pPr>
      <w:r w:rsidRPr="009D4BBF">
        <w:rPr>
          <w:rFonts w:asciiTheme="minorHAnsi" w:eastAsiaTheme="minorHAnsi" w:hAnsiTheme="minorHAnsi" w:cs="Arial"/>
          <w:b/>
        </w:rPr>
        <w:t>Key contextual considerations</w:t>
      </w:r>
    </w:p>
    <w:p w14:paraId="6826AB10" w14:textId="7B696C98" w:rsidR="009D4BBF" w:rsidRPr="009D4BBF" w:rsidRDefault="009D4BBF" w:rsidP="009D4BBF">
      <w:pPr>
        <w:spacing w:after="200" w:line="276" w:lineRule="auto"/>
        <w:jc w:val="both"/>
        <w:rPr>
          <w:rFonts w:asciiTheme="minorHAnsi" w:eastAsiaTheme="minorHAnsi" w:hAnsiTheme="minorHAnsi" w:cs="Arial"/>
        </w:rPr>
      </w:pPr>
      <w:r w:rsidRPr="009D4BBF">
        <w:rPr>
          <w:rFonts w:asciiTheme="minorHAnsi" w:eastAsiaTheme="minorHAnsi" w:hAnsiTheme="minorHAnsi" w:cs="Arial"/>
        </w:rPr>
        <w:t xml:space="preserve">The EP spanned a period of considerable </w:t>
      </w:r>
      <w:r w:rsidR="008D1D80">
        <w:rPr>
          <w:rFonts w:asciiTheme="minorHAnsi" w:eastAsiaTheme="minorHAnsi" w:hAnsiTheme="minorHAnsi" w:cs="Arial"/>
        </w:rPr>
        <w:t>change</w:t>
      </w:r>
      <w:r w:rsidR="008D1D80" w:rsidRPr="009D4BBF">
        <w:rPr>
          <w:rFonts w:asciiTheme="minorHAnsi" w:eastAsiaTheme="minorHAnsi" w:hAnsiTheme="minorHAnsi" w:cs="Arial"/>
        </w:rPr>
        <w:t xml:space="preserve"> </w:t>
      </w:r>
      <w:r w:rsidRPr="009D4BBF">
        <w:rPr>
          <w:rFonts w:asciiTheme="minorHAnsi" w:eastAsiaTheme="minorHAnsi" w:hAnsiTheme="minorHAnsi" w:cs="Arial"/>
        </w:rPr>
        <w:t xml:space="preserve">in Australia’s overseas aid program and, to a lesser degree, the domestic policy environment in Indonesia. It was designed as an AUD 500 million investment </w:t>
      </w:r>
      <w:r w:rsidR="00927F6D">
        <w:rPr>
          <w:rFonts w:asciiTheme="minorHAnsi" w:eastAsiaTheme="minorHAnsi" w:hAnsiTheme="minorHAnsi" w:cs="Arial"/>
        </w:rPr>
        <w:t xml:space="preserve">to be </w:t>
      </w:r>
      <w:r w:rsidRPr="009D4BBF">
        <w:rPr>
          <w:rFonts w:asciiTheme="minorHAnsi" w:eastAsiaTheme="minorHAnsi" w:hAnsiTheme="minorHAnsi" w:cs="Arial"/>
        </w:rPr>
        <w:t xml:space="preserve">managed by the Australian Agency for International Development (AusAID) </w:t>
      </w:r>
      <w:r w:rsidR="00927F6D">
        <w:rPr>
          <w:rFonts w:asciiTheme="minorHAnsi" w:eastAsiaTheme="minorHAnsi" w:hAnsiTheme="minorHAnsi" w:cs="Arial"/>
        </w:rPr>
        <w:t xml:space="preserve">and </w:t>
      </w:r>
      <w:r w:rsidRPr="009D4BBF">
        <w:rPr>
          <w:rFonts w:asciiTheme="minorHAnsi" w:eastAsiaTheme="minorHAnsi" w:hAnsiTheme="minorHAnsi" w:cs="Arial"/>
        </w:rPr>
        <w:t>at a time of record levels of aid spending</w:t>
      </w:r>
      <w:r w:rsidR="00927F6D">
        <w:rPr>
          <w:rFonts w:asciiTheme="minorHAnsi" w:eastAsiaTheme="minorHAnsi" w:hAnsiTheme="minorHAnsi" w:cs="Arial"/>
        </w:rPr>
        <w:t xml:space="preserve">. </w:t>
      </w:r>
      <w:r w:rsidR="00A37DC6">
        <w:rPr>
          <w:rFonts w:asciiTheme="minorHAnsi" w:eastAsiaTheme="minorHAnsi" w:hAnsiTheme="minorHAnsi" w:cs="Arial"/>
        </w:rPr>
        <w:t xml:space="preserve">It </w:t>
      </w:r>
      <w:r w:rsidR="00A37DC6" w:rsidRPr="009D4BBF">
        <w:rPr>
          <w:rFonts w:asciiTheme="minorHAnsi" w:eastAsiaTheme="minorHAnsi" w:hAnsiTheme="minorHAnsi" w:cs="Arial"/>
        </w:rPr>
        <w:t>concluded</w:t>
      </w:r>
      <w:r w:rsidRPr="009D4BBF">
        <w:rPr>
          <w:rFonts w:asciiTheme="minorHAnsi" w:eastAsiaTheme="minorHAnsi" w:hAnsiTheme="minorHAnsi" w:cs="Arial"/>
        </w:rPr>
        <w:t xml:space="preserve"> as a</w:t>
      </w:r>
      <w:r w:rsidR="00927F6D">
        <w:rPr>
          <w:rFonts w:asciiTheme="minorHAnsi" w:eastAsiaTheme="minorHAnsi" w:hAnsiTheme="minorHAnsi" w:cs="Arial"/>
        </w:rPr>
        <w:t>n</w:t>
      </w:r>
      <w:r w:rsidRPr="009D4BBF">
        <w:rPr>
          <w:rFonts w:asciiTheme="minorHAnsi" w:eastAsiaTheme="minorHAnsi" w:hAnsiTheme="minorHAnsi" w:cs="Arial"/>
        </w:rPr>
        <w:t xml:space="preserve"> AUD 368.8 million program managed by the Department of Foreign Affairs and Trade (DFAT) </w:t>
      </w:r>
      <w:r w:rsidR="00927F6D">
        <w:rPr>
          <w:rFonts w:asciiTheme="minorHAnsi" w:eastAsiaTheme="minorHAnsi" w:hAnsiTheme="minorHAnsi" w:cs="Arial"/>
        </w:rPr>
        <w:t xml:space="preserve">and </w:t>
      </w:r>
      <w:r w:rsidRPr="009D4BBF">
        <w:rPr>
          <w:rFonts w:asciiTheme="minorHAnsi" w:eastAsiaTheme="minorHAnsi" w:hAnsiTheme="minorHAnsi" w:cs="Arial"/>
        </w:rPr>
        <w:t xml:space="preserve">at a time of relative budget austerity. The merger of AusAID with DFAT at the mid-point of the program had far reaching implications for both the shape and direction of Australian investments in general and the resources available for the implementation and management of the EP </w:t>
      </w:r>
      <w:r w:rsidR="00927F6D">
        <w:rPr>
          <w:rFonts w:asciiTheme="minorHAnsi" w:eastAsiaTheme="minorHAnsi" w:hAnsiTheme="minorHAnsi" w:cs="Arial"/>
        </w:rPr>
        <w:t xml:space="preserve">more </w:t>
      </w:r>
      <w:r w:rsidRPr="009D4BBF">
        <w:rPr>
          <w:rFonts w:asciiTheme="minorHAnsi" w:eastAsiaTheme="minorHAnsi" w:hAnsiTheme="minorHAnsi" w:cs="Arial"/>
        </w:rPr>
        <w:t xml:space="preserve">specifically. While targets were adjusted appropriately to accommodate changing levels of resourcing, </w:t>
      </w:r>
      <w:r w:rsidR="00927F6D">
        <w:rPr>
          <w:rFonts w:asciiTheme="minorHAnsi" w:eastAsiaTheme="minorHAnsi" w:hAnsiTheme="minorHAnsi" w:cs="Arial"/>
        </w:rPr>
        <w:t xml:space="preserve">the </w:t>
      </w:r>
      <w:r w:rsidRPr="009D4BBF">
        <w:rPr>
          <w:rFonts w:asciiTheme="minorHAnsi" w:eastAsiaTheme="minorHAnsi" w:hAnsiTheme="minorHAnsi" w:cs="Arial"/>
        </w:rPr>
        <w:t xml:space="preserve">changes in the broader context </w:t>
      </w:r>
      <w:r w:rsidR="00927F6D" w:rsidRPr="009D4BBF">
        <w:rPr>
          <w:rFonts w:asciiTheme="minorHAnsi" w:eastAsiaTheme="minorHAnsi" w:hAnsiTheme="minorHAnsi" w:cs="Arial"/>
        </w:rPr>
        <w:t xml:space="preserve">ultimately </w:t>
      </w:r>
      <w:r w:rsidRPr="009D4BBF">
        <w:rPr>
          <w:rFonts w:asciiTheme="minorHAnsi" w:eastAsiaTheme="minorHAnsi" w:hAnsiTheme="minorHAnsi" w:cs="Arial"/>
        </w:rPr>
        <w:t>limited the extent to which the EP was capable of attaining objectives that were set under a very different set of circumstances.</w:t>
      </w:r>
    </w:p>
    <w:p w14:paraId="6826AB11" w14:textId="77777777" w:rsidR="009D4BBF" w:rsidRPr="009D4BBF" w:rsidRDefault="009D4BBF" w:rsidP="009D4BBF">
      <w:pPr>
        <w:spacing w:after="200" w:line="276" w:lineRule="auto"/>
        <w:jc w:val="both"/>
        <w:rPr>
          <w:rFonts w:asciiTheme="minorHAnsi" w:eastAsiaTheme="minorHAnsi" w:hAnsiTheme="minorHAnsi" w:cs="Arial"/>
          <w:b/>
        </w:rPr>
      </w:pPr>
      <w:r w:rsidRPr="009D4BBF">
        <w:rPr>
          <w:rFonts w:asciiTheme="minorHAnsi" w:eastAsiaTheme="minorHAnsi" w:hAnsiTheme="minorHAnsi" w:cs="Arial"/>
          <w:b/>
        </w:rPr>
        <w:t xml:space="preserve">Headline achievements </w:t>
      </w:r>
    </w:p>
    <w:p w14:paraId="6826AB12" w14:textId="306C4CD5" w:rsidR="009D4BBF" w:rsidRPr="009D4BBF" w:rsidRDefault="009D4BBF" w:rsidP="009D4BBF">
      <w:pPr>
        <w:spacing w:after="200" w:line="276" w:lineRule="auto"/>
        <w:jc w:val="both"/>
        <w:rPr>
          <w:rFonts w:asciiTheme="minorHAnsi" w:eastAsiaTheme="minorHAnsi" w:hAnsiTheme="minorHAnsi" w:cs="Arial"/>
        </w:rPr>
      </w:pPr>
      <w:r w:rsidRPr="009D4BBF">
        <w:rPr>
          <w:rFonts w:asciiTheme="minorHAnsi" w:eastAsiaTheme="minorHAnsi" w:hAnsiTheme="minorHAnsi" w:cs="Arial"/>
        </w:rPr>
        <w:t xml:space="preserve">The EP made a number of significant contributions to the development of the Indonesian education sector. These included the construction </w:t>
      </w:r>
      <w:r w:rsidR="00927F6D">
        <w:rPr>
          <w:rFonts w:asciiTheme="minorHAnsi" w:eastAsiaTheme="minorHAnsi" w:hAnsiTheme="minorHAnsi" w:cs="Arial"/>
        </w:rPr>
        <w:t xml:space="preserve">or expansion </w:t>
      </w:r>
      <w:r w:rsidRPr="009D4BBF">
        <w:rPr>
          <w:rFonts w:asciiTheme="minorHAnsi" w:eastAsiaTheme="minorHAnsi" w:hAnsiTheme="minorHAnsi" w:cs="Arial"/>
        </w:rPr>
        <w:t>of over 1</w:t>
      </w:r>
      <w:r w:rsidR="00927F6D">
        <w:rPr>
          <w:rFonts w:asciiTheme="minorHAnsi" w:eastAsiaTheme="minorHAnsi" w:hAnsiTheme="minorHAnsi" w:cs="Arial"/>
        </w:rPr>
        <w:t>,</w:t>
      </w:r>
      <w:r w:rsidRPr="009D4BBF">
        <w:rPr>
          <w:rFonts w:asciiTheme="minorHAnsi" w:eastAsiaTheme="minorHAnsi" w:hAnsiTheme="minorHAnsi" w:cs="Arial"/>
        </w:rPr>
        <w:t>000 new junior secondary schools in remote and often challenging environments (</w:t>
      </w:r>
      <w:r w:rsidR="00A37DC6" w:rsidRPr="009D4BBF">
        <w:rPr>
          <w:rFonts w:asciiTheme="minorHAnsi" w:eastAsiaTheme="minorHAnsi" w:hAnsiTheme="minorHAnsi" w:cs="Arial"/>
        </w:rPr>
        <w:t>e.g.</w:t>
      </w:r>
      <w:r w:rsidRPr="009D4BBF">
        <w:rPr>
          <w:rFonts w:asciiTheme="minorHAnsi" w:eastAsiaTheme="minorHAnsi" w:hAnsiTheme="minorHAnsi" w:cs="Arial"/>
        </w:rPr>
        <w:t xml:space="preserve"> isolated island communities); measurable improvements to both the physical infrastructure and skill</w:t>
      </w:r>
      <w:r w:rsidR="00927F6D">
        <w:rPr>
          <w:rFonts w:asciiTheme="minorHAnsi" w:eastAsiaTheme="minorHAnsi" w:hAnsiTheme="minorHAnsi" w:cs="Arial"/>
        </w:rPr>
        <w:t>s-</w:t>
      </w:r>
      <w:r w:rsidRPr="009D4BBF">
        <w:rPr>
          <w:rFonts w:asciiTheme="minorHAnsi" w:eastAsiaTheme="minorHAnsi" w:hAnsiTheme="minorHAnsi" w:cs="Arial"/>
        </w:rPr>
        <w:t xml:space="preserve">base of educational personnel of 1,500 private Islamic schools; and the provision of training programs to over half a million education management staff. Training investments in school principals and supervisors, in particular, contributed not only to improved competencies, but increased awareness of the pivotal role of these actors in strategies to improve education quality at the school level. Research conducted by the EP’s Analytical and Capacity Development Partnership (C4) likewise made a valuable contribution to the quality of dialogue and decision-making surrounding key education reform issues in Indonesia. </w:t>
      </w:r>
    </w:p>
    <w:p w14:paraId="6826AB13" w14:textId="77777777" w:rsidR="009D4BBF" w:rsidRPr="009D4BBF" w:rsidRDefault="009D4BBF" w:rsidP="009D4BBF">
      <w:pPr>
        <w:spacing w:after="200" w:line="276" w:lineRule="auto"/>
        <w:jc w:val="both"/>
        <w:rPr>
          <w:rFonts w:asciiTheme="minorHAnsi" w:eastAsiaTheme="minorHAnsi" w:hAnsiTheme="minorHAnsi" w:cs="Arial"/>
          <w:b/>
        </w:rPr>
      </w:pPr>
      <w:r w:rsidRPr="009D4BBF">
        <w:rPr>
          <w:rFonts w:asciiTheme="minorHAnsi" w:eastAsiaTheme="minorHAnsi" w:hAnsiTheme="minorHAnsi" w:cs="Arial"/>
          <w:b/>
        </w:rPr>
        <w:t>Performance against OECD Development Assessment Committee (DAC) Criteria</w:t>
      </w:r>
    </w:p>
    <w:p w14:paraId="6826AB14" w14:textId="0BE30B25" w:rsidR="009D4BBF" w:rsidRPr="009D4BBF" w:rsidRDefault="009D4BBF" w:rsidP="009D4BBF">
      <w:pPr>
        <w:spacing w:after="200" w:line="276" w:lineRule="auto"/>
        <w:jc w:val="both"/>
        <w:rPr>
          <w:rFonts w:asciiTheme="minorHAnsi" w:eastAsiaTheme="minorHAnsi" w:hAnsiTheme="minorHAnsi" w:cs="Arial"/>
        </w:rPr>
      </w:pPr>
      <w:r w:rsidRPr="009D4BBF">
        <w:rPr>
          <w:rFonts w:asciiTheme="minorHAnsi" w:eastAsiaTheme="minorHAnsi" w:hAnsiTheme="minorHAnsi" w:cs="Arial"/>
        </w:rPr>
        <w:t xml:space="preserve">From a development perspective, the EP was a highly </w:t>
      </w:r>
      <w:r w:rsidRPr="009D4BBF">
        <w:rPr>
          <w:rFonts w:asciiTheme="minorHAnsi" w:eastAsiaTheme="minorHAnsi" w:hAnsiTheme="minorHAnsi" w:cs="Arial"/>
          <w:b/>
        </w:rPr>
        <w:t xml:space="preserve">relevant </w:t>
      </w:r>
      <w:r w:rsidRPr="009D4BBF">
        <w:rPr>
          <w:rFonts w:asciiTheme="minorHAnsi" w:eastAsiaTheme="minorHAnsi" w:hAnsiTheme="minorHAnsi" w:cs="Arial"/>
        </w:rPr>
        <w:t>investment that addressed systemic and ongoing weaknesses in the Indonesian education sector. From a policy perspective, the relevance of the two flagship components (C1</w:t>
      </w:r>
      <w:r w:rsidR="00713325">
        <w:rPr>
          <w:rFonts w:asciiTheme="minorHAnsi" w:eastAsiaTheme="minorHAnsi" w:hAnsiTheme="minorHAnsi" w:cs="Arial"/>
        </w:rPr>
        <w:t>,</w:t>
      </w:r>
      <w:r w:rsidRPr="009D4BBF">
        <w:rPr>
          <w:rFonts w:asciiTheme="minorHAnsi" w:eastAsiaTheme="minorHAnsi" w:hAnsiTheme="minorHAnsi" w:cs="Arial"/>
        </w:rPr>
        <w:t xml:space="preserve"> C2) declined somewhat from mid-2014 onwards with the introduction of a new foreign aid policy that signalled a move away from large budget support packages delivered through </w:t>
      </w:r>
      <w:r w:rsidR="00927F6D">
        <w:rPr>
          <w:rFonts w:asciiTheme="minorHAnsi" w:eastAsiaTheme="minorHAnsi" w:hAnsiTheme="minorHAnsi" w:cs="Arial"/>
        </w:rPr>
        <w:t xml:space="preserve">partner </w:t>
      </w:r>
      <w:r w:rsidRPr="009D4BBF">
        <w:rPr>
          <w:rFonts w:asciiTheme="minorHAnsi" w:eastAsiaTheme="minorHAnsi" w:hAnsiTheme="minorHAnsi" w:cs="Arial"/>
        </w:rPr>
        <w:t xml:space="preserve">government systems. </w:t>
      </w:r>
    </w:p>
    <w:p w14:paraId="6826AB15" w14:textId="7F298C0D" w:rsidR="009D4BBF" w:rsidRPr="009D4BBF" w:rsidRDefault="00927F6D" w:rsidP="009D4BBF">
      <w:pPr>
        <w:spacing w:after="200" w:line="276" w:lineRule="auto"/>
        <w:jc w:val="both"/>
        <w:rPr>
          <w:rFonts w:asciiTheme="minorHAnsi" w:eastAsiaTheme="minorHAnsi" w:hAnsiTheme="minorHAnsi" w:cs="Arial"/>
        </w:rPr>
      </w:pPr>
      <w:r>
        <w:rPr>
          <w:rFonts w:asciiTheme="minorHAnsi" w:eastAsiaTheme="minorHAnsi" w:hAnsiTheme="minorHAnsi" w:cs="Arial"/>
        </w:rPr>
        <w:t>Parts of the</w:t>
      </w:r>
      <w:r w:rsidRPr="009D4BBF">
        <w:rPr>
          <w:rFonts w:asciiTheme="minorHAnsi" w:eastAsiaTheme="minorHAnsi" w:hAnsiTheme="minorHAnsi" w:cs="Arial"/>
        </w:rPr>
        <w:t xml:space="preserve"> </w:t>
      </w:r>
      <w:r w:rsidR="009D4BBF" w:rsidRPr="009D4BBF">
        <w:rPr>
          <w:rFonts w:asciiTheme="minorHAnsi" w:eastAsiaTheme="minorHAnsi" w:hAnsiTheme="minorHAnsi" w:cs="Arial"/>
        </w:rPr>
        <w:t xml:space="preserve">EP </w:t>
      </w:r>
      <w:r>
        <w:rPr>
          <w:rFonts w:asciiTheme="minorHAnsi" w:eastAsiaTheme="minorHAnsi" w:hAnsiTheme="minorHAnsi" w:cs="Arial"/>
        </w:rPr>
        <w:t xml:space="preserve">(i.e. C1, C3) </w:t>
      </w:r>
      <w:r w:rsidR="009D4BBF" w:rsidRPr="009D4BBF">
        <w:rPr>
          <w:rFonts w:asciiTheme="minorHAnsi" w:eastAsiaTheme="minorHAnsi" w:hAnsiTheme="minorHAnsi" w:cs="Arial"/>
        </w:rPr>
        <w:t xml:space="preserve">exhibited strong levels of </w:t>
      </w:r>
      <w:r w:rsidR="009D4BBF" w:rsidRPr="009D4BBF">
        <w:rPr>
          <w:rFonts w:asciiTheme="minorHAnsi" w:eastAsiaTheme="minorHAnsi" w:hAnsiTheme="minorHAnsi" w:cs="Arial"/>
          <w:b/>
        </w:rPr>
        <w:t>efficiency</w:t>
      </w:r>
      <w:r w:rsidR="009D4BBF" w:rsidRPr="009D4BBF">
        <w:rPr>
          <w:rFonts w:asciiTheme="minorHAnsi" w:eastAsiaTheme="minorHAnsi" w:hAnsiTheme="minorHAnsi" w:cs="Arial"/>
        </w:rPr>
        <w:t xml:space="preserve"> due to a strong managerial focus on the attainment of outputs and intermediate development outcomes. Program expenditure was carefully monitored in accordance with relevant guidelines, and appropriate measures were taken to minim</w:t>
      </w:r>
      <w:r>
        <w:rPr>
          <w:rFonts w:asciiTheme="minorHAnsi" w:eastAsiaTheme="minorHAnsi" w:hAnsiTheme="minorHAnsi" w:cs="Arial"/>
        </w:rPr>
        <w:t>ize</w:t>
      </w:r>
      <w:r w:rsidR="009D4BBF" w:rsidRPr="009D4BBF">
        <w:rPr>
          <w:rFonts w:asciiTheme="minorHAnsi" w:eastAsiaTheme="minorHAnsi" w:hAnsiTheme="minorHAnsi" w:cs="Arial"/>
        </w:rPr>
        <w:t xml:space="preserve"> risks associated with the delivery of support through partner systems. The protracted nature of ADB procurement processes somewhat constrained the efficiency of C4 in terms of its ability to produce studies in a timely manner.</w:t>
      </w:r>
    </w:p>
    <w:p w14:paraId="6826AB16" w14:textId="202F4437" w:rsidR="009D4BBF" w:rsidRPr="009D4BBF" w:rsidRDefault="009D4BBF" w:rsidP="009D4BBF">
      <w:pPr>
        <w:spacing w:after="200" w:line="276" w:lineRule="auto"/>
        <w:jc w:val="both"/>
        <w:rPr>
          <w:rFonts w:asciiTheme="minorHAnsi" w:eastAsiaTheme="minorHAnsi" w:hAnsiTheme="minorHAnsi" w:cs="Arial"/>
        </w:rPr>
      </w:pPr>
      <w:r w:rsidRPr="009D4BBF">
        <w:rPr>
          <w:rFonts w:asciiTheme="minorHAnsi" w:eastAsiaTheme="minorHAnsi" w:hAnsiTheme="minorHAnsi" w:cs="Arial"/>
        </w:rPr>
        <w:t xml:space="preserve">Endline evaluation studies conducted for three of the four EP components concluded that they had attained objectives consistent with that of an </w:t>
      </w:r>
      <w:r w:rsidRPr="009D4BBF">
        <w:rPr>
          <w:rFonts w:asciiTheme="minorHAnsi" w:eastAsiaTheme="minorHAnsi" w:hAnsiTheme="minorHAnsi" w:cs="Arial"/>
          <w:b/>
        </w:rPr>
        <w:t>effective</w:t>
      </w:r>
      <w:r w:rsidRPr="009D4BBF">
        <w:rPr>
          <w:rFonts w:asciiTheme="minorHAnsi" w:eastAsiaTheme="minorHAnsi" w:hAnsiTheme="minorHAnsi" w:cs="Arial"/>
        </w:rPr>
        <w:t xml:space="preserve"> development intervention. The exception to this was the C2 investment in </w:t>
      </w:r>
      <w:r w:rsidR="00713325">
        <w:rPr>
          <w:rFonts w:asciiTheme="minorHAnsi" w:eastAsiaTheme="minorHAnsi" w:hAnsiTheme="minorHAnsi" w:cs="Arial"/>
        </w:rPr>
        <w:t xml:space="preserve">the </w:t>
      </w:r>
      <w:r w:rsidR="00713325" w:rsidRPr="009D4BBF">
        <w:rPr>
          <w:rFonts w:asciiTheme="minorHAnsi" w:eastAsiaTheme="minorHAnsi" w:hAnsiTheme="minorHAnsi" w:cs="Arial"/>
        </w:rPr>
        <w:t xml:space="preserve">professional development </w:t>
      </w:r>
      <w:r w:rsidR="00713325">
        <w:rPr>
          <w:rFonts w:asciiTheme="minorHAnsi" w:eastAsiaTheme="minorHAnsi" w:hAnsiTheme="minorHAnsi" w:cs="Arial"/>
        </w:rPr>
        <w:t xml:space="preserve">of </w:t>
      </w:r>
      <w:r w:rsidRPr="009D4BBF">
        <w:rPr>
          <w:rFonts w:asciiTheme="minorHAnsi" w:eastAsiaTheme="minorHAnsi" w:hAnsiTheme="minorHAnsi" w:cs="Arial"/>
        </w:rPr>
        <w:t>education personnel. Due to delays in the implementation of grant-financed activities th</w:t>
      </w:r>
      <w:r w:rsidR="00927F6D">
        <w:rPr>
          <w:rFonts w:asciiTheme="minorHAnsi" w:eastAsiaTheme="minorHAnsi" w:hAnsiTheme="minorHAnsi" w:cs="Arial"/>
        </w:rPr>
        <w:t>e component</w:t>
      </w:r>
      <w:r w:rsidRPr="009D4BBF">
        <w:rPr>
          <w:rFonts w:asciiTheme="minorHAnsi" w:eastAsiaTheme="minorHAnsi" w:hAnsiTheme="minorHAnsi" w:cs="Arial"/>
        </w:rPr>
        <w:t xml:space="preserve"> </w:t>
      </w:r>
      <w:r w:rsidR="00927F6D">
        <w:rPr>
          <w:rFonts w:asciiTheme="minorHAnsi" w:eastAsiaTheme="minorHAnsi" w:hAnsiTheme="minorHAnsi" w:cs="Arial"/>
        </w:rPr>
        <w:t>did</w:t>
      </w:r>
      <w:r w:rsidRPr="009D4BBF">
        <w:rPr>
          <w:rFonts w:asciiTheme="minorHAnsi" w:eastAsiaTheme="minorHAnsi" w:hAnsiTheme="minorHAnsi" w:cs="Arial"/>
        </w:rPr>
        <w:t xml:space="preserve"> not generate</w:t>
      </w:r>
      <w:r w:rsidR="00927F6D">
        <w:rPr>
          <w:rFonts w:asciiTheme="minorHAnsi" w:eastAsiaTheme="minorHAnsi" w:hAnsiTheme="minorHAnsi" w:cs="Arial"/>
        </w:rPr>
        <w:t xml:space="preserve"> the necessary </w:t>
      </w:r>
      <w:r w:rsidRPr="009D4BBF">
        <w:rPr>
          <w:rFonts w:asciiTheme="minorHAnsi" w:eastAsiaTheme="minorHAnsi" w:hAnsiTheme="minorHAnsi" w:cs="Arial"/>
        </w:rPr>
        <w:t>critical mass of achievement at output and outcome level</w:t>
      </w:r>
      <w:r w:rsidR="00927F6D">
        <w:rPr>
          <w:rFonts w:asciiTheme="minorHAnsi" w:eastAsiaTheme="minorHAnsi" w:hAnsiTheme="minorHAnsi" w:cs="Arial"/>
        </w:rPr>
        <w:t xml:space="preserve"> to create the expected changes at systemic level</w:t>
      </w:r>
      <w:r w:rsidRPr="009D4BBF">
        <w:rPr>
          <w:rFonts w:asciiTheme="minorHAnsi" w:eastAsiaTheme="minorHAnsi" w:hAnsiTheme="minorHAnsi" w:cs="Arial"/>
        </w:rPr>
        <w:t xml:space="preserve">. </w:t>
      </w:r>
    </w:p>
    <w:p w14:paraId="6826AB17" w14:textId="6908B7E3" w:rsidR="009D4BBF" w:rsidRPr="009D4BBF" w:rsidRDefault="009D4BBF" w:rsidP="009D4BBF">
      <w:pPr>
        <w:spacing w:after="200" w:line="276" w:lineRule="auto"/>
        <w:jc w:val="both"/>
        <w:rPr>
          <w:rFonts w:asciiTheme="minorHAnsi" w:eastAsiaTheme="minorHAnsi" w:hAnsiTheme="minorHAnsi" w:cs="Arial"/>
        </w:rPr>
      </w:pPr>
      <w:r w:rsidRPr="009D4BBF">
        <w:rPr>
          <w:rFonts w:asciiTheme="minorHAnsi" w:eastAsiaTheme="minorHAnsi" w:hAnsiTheme="minorHAnsi" w:cs="Arial"/>
        </w:rPr>
        <w:t xml:space="preserve">The overall </w:t>
      </w:r>
      <w:r w:rsidRPr="009D4BBF">
        <w:rPr>
          <w:rFonts w:asciiTheme="minorHAnsi" w:eastAsiaTheme="minorHAnsi" w:hAnsiTheme="minorHAnsi" w:cs="Arial"/>
          <w:b/>
        </w:rPr>
        <w:t>impact</w:t>
      </w:r>
      <w:r w:rsidRPr="009D4BBF">
        <w:rPr>
          <w:rFonts w:asciiTheme="minorHAnsi" w:eastAsiaTheme="minorHAnsi" w:hAnsiTheme="minorHAnsi" w:cs="Arial"/>
        </w:rPr>
        <w:t xml:space="preserve"> of the EP was largely confined to the direct beneficiaries of program activities. This limited impact of the investment was largely a function of the higher value placed by management and GoI partners upon transactional outputs </w:t>
      </w:r>
      <w:r w:rsidR="00927F6D">
        <w:rPr>
          <w:rFonts w:asciiTheme="minorHAnsi" w:eastAsiaTheme="minorHAnsi" w:hAnsiTheme="minorHAnsi" w:cs="Arial"/>
        </w:rPr>
        <w:t xml:space="preserve">over transformative change that would </w:t>
      </w:r>
      <w:r w:rsidR="00AF23BD">
        <w:rPr>
          <w:rFonts w:asciiTheme="minorHAnsi" w:eastAsiaTheme="minorHAnsi" w:hAnsiTheme="minorHAnsi" w:cs="Arial"/>
        </w:rPr>
        <w:t>contribute to systemic reform</w:t>
      </w:r>
      <w:r w:rsidRPr="009D4BBF">
        <w:rPr>
          <w:rFonts w:asciiTheme="minorHAnsi" w:eastAsiaTheme="minorHAnsi" w:hAnsiTheme="minorHAnsi" w:cs="Arial"/>
        </w:rPr>
        <w:t>. The extent of EP impact was also constrained by a design that limited funding support to central ministry agencies. District governments, who receive approximately two thirds of Indonesia’s education budget, had</w:t>
      </w:r>
      <w:r w:rsidR="00AF23BD">
        <w:rPr>
          <w:rFonts w:asciiTheme="minorHAnsi" w:eastAsiaTheme="minorHAnsi" w:hAnsiTheme="minorHAnsi" w:cs="Arial"/>
        </w:rPr>
        <w:t xml:space="preserve"> comparatively</w:t>
      </w:r>
      <w:r w:rsidRPr="009D4BBF">
        <w:rPr>
          <w:rFonts w:asciiTheme="minorHAnsi" w:eastAsiaTheme="minorHAnsi" w:hAnsiTheme="minorHAnsi" w:cs="Arial"/>
        </w:rPr>
        <w:t xml:space="preserve"> limited engagement with EP programs.</w:t>
      </w:r>
    </w:p>
    <w:p w14:paraId="6826AB18" w14:textId="74126833" w:rsidR="009D4BBF" w:rsidRPr="009D4BBF" w:rsidRDefault="009D4BBF" w:rsidP="009D4BBF">
      <w:pPr>
        <w:spacing w:after="200" w:line="276" w:lineRule="auto"/>
        <w:jc w:val="both"/>
        <w:rPr>
          <w:rFonts w:asciiTheme="minorHAnsi" w:eastAsiaTheme="minorHAnsi" w:hAnsiTheme="minorHAnsi" w:cs="Arial"/>
        </w:rPr>
      </w:pPr>
      <w:r w:rsidRPr="009D4BBF">
        <w:rPr>
          <w:rFonts w:asciiTheme="minorHAnsi" w:eastAsiaTheme="minorHAnsi" w:hAnsiTheme="minorHAnsi" w:cs="Arial"/>
        </w:rPr>
        <w:t xml:space="preserve">The performance of the EP was </w:t>
      </w:r>
      <w:r w:rsidR="00AF23BD">
        <w:rPr>
          <w:rFonts w:asciiTheme="minorHAnsi" w:eastAsiaTheme="minorHAnsi" w:hAnsiTheme="minorHAnsi" w:cs="Arial"/>
        </w:rPr>
        <w:t xml:space="preserve">weakest in the area </w:t>
      </w:r>
      <w:r w:rsidR="00A37DC6">
        <w:rPr>
          <w:rFonts w:asciiTheme="minorHAnsi" w:eastAsiaTheme="minorHAnsi" w:hAnsiTheme="minorHAnsi" w:cs="Arial"/>
        </w:rPr>
        <w:t xml:space="preserve">of </w:t>
      </w:r>
      <w:r w:rsidR="00A37DC6" w:rsidRPr="009D4BBF">
        <w:rPr>
          <w:rFonts w:asciiTheme="minorHAnsi" w:eastAsiaTheme="minorHAnsi" w:hAnsiTheme="minorHAnsi" w:cs="Arial"/>
          <w:b/>
        </w:rPr>
        <w:t>sustainability</w:t>
      </w:r>
      <w:r w:rsidRPr="009D4BBF">
        <w:rPr>
          <w:rFonts w:asciiTheme="minorHAnsi" w:eastAsiaTheme="minorHAnsi" w:hAnsiTheme="minorHAnsi" w:cs="Arial"/>
        </w:rPr>
        <w:t xml:space="preserve">. Inevitably, reductions in spend through government systems reduced the degree to which EP support could prepare those systems to adopt and adapt initiatives developed by Implementing Partners. Despite the take-up of various EP products </w:t>
      </w:r>
      <w:r w:rsidR="00AF23BD">
        <w:rPr>
          <w:rFonts w:asciiTheme="minorHAnsi" w:eastAsiaTheme="minorHAnsi" w:hAnsiTheme="minorHAnsi" w:cs="Arial"/>
        </w:rPr>
        <w:t xml:space="preserve">– products </w:t>
      </w:r>
      <w:r w:rsidRPr="009D4BBF">
        <w:rPr>
          <w:rFonts w:asciiTheme="minorHAnsi" w:eastAsiaTheme="minorHAnsi" w:hAnsiTheme="minorHAnsi" w:cs="Arial"/>
        </w:rPr>
        <w:t>that will sustain benefits in particular segments of the education system</w:t>
      </w:r>
      <w:r w:rsidR="00AF23BD">
        <w:rPr>
          <w:rFonts w:asciiTheme="minorHAnsi" w:eastAsiaTheme="minorHAnsi" w:hAnsiTheme="minorHAnsi" w:cs="Arial"/>
        </w:rPr>
        <w:t xml:space="preserve"> –</w:t>
      </w:r>
      <w:r w:rsidRPr="009D4BBF">
        <w:rPr>
          <w:rFonts w:asciiTheme="minorHAnsi" w:eastAsiaTheme="minorHAnsi" w:hAnsiTheme="minorHAnsi" w:cs="Arial"/>
        </w:rPr>
        <w:t>insufficient attention was paid to the</w:t>
      </w:r>
      <w:r w:rsidR="00AF23BD">
        <w:rPr>
          <w:rFonts w:asciiTheme="minorHAnsi" w:eastAsiaTheme="minorHAnsi" w:hAnsiTheme="minorHAnsi" w:cs="Arial"/>
        </w:rPr>
        <w:t xml:space="preserve"> political-institutional realities of the sector and, by consequence,</w:t>
      </w:r>
      <w:r w:rsidR="00D477C8">
        <w:rPr>
          <w:rFonts w:asciiTheme="minorHAnsi" w:eastAsiaTheme="minorHAnsi" w:hAnsiTheme="minorHAnsi" w:cs="Arial"/>
        </w:rPr>
        <w:t xml:space="preserve"> </w:t>
      </w:r>
      <w:r w:rsidRPr="009D4BBF">
        <w:rPr>
          <w:rFonts w:asciiTheme="minorHAnsi" w:eastAsiaTheme="minorHAnsi" w:hAnsiTheme="minorHAnsi" w:cs="Arial"/>
        </w:rPr>
        <w:t>future financing options for systems-level reform</w:t>
      </w:r>
      <w:r w:rsidR="00AF23BD">
        <w:rPr>
          <w:rFonts w:asciiTheme="minorHAnsi" w:eastAsiaTheme="minorHAnsi" w:hAnsiTheme="minorHAnsi" w:cs="Arial"/>
        </w:rPr>
        <w:t xml:space="preserve"> were ill-considered</w:t>
      </w:r>
      <w:r w:rsidRPr="009D4BBF">
        <w:rPr>
          <w:rFonts w:asciiTheme="minorHAnsi" w:eastAsiaTheme="minorHAnsi" w:hAnsiTheme="minorHAnsi" w:cs="Arial"/>
        </w:rPr>
        <w:t xml:space="preserve"> (particularly in C2 and C3). </w:t>
      </w:r>
    </w:p>
    <w:p w14:paraId="6826AB19" w14:textId="77777777" w:rsidR="009D4BBF" w:rsidRPr="009D4BBF" w:rsidRDefault="009D4BBF" w:rsidP="009D4BBF">
      <w:pPr>
        <w:spacing w:after="200" w:line="276" w:lineRule="auto"/>
        <w:jc w:val="both"/>
        <w:rPr>
          <w:rFonts w:asciiTheme="minorHAnsi" w:eastAsiaTheme="minorHAnsi" w:hAnsiTheme="minorHAnsi" w:cs="Arial"/>
          <w:b/>
        </w:rPr>
      </w:pPr>
      <w:r w:rsidRPr="009D4BBF">
        <w:rPr>
          <w:rFonts w:asciiTheme="minorHAnsi" w:eastAsiaTheme="minorHAnsi" w:hAnsiTheme="minorHAnsi" w:cs="Arial"/>
          <w:b/>
        </w:rPr>
        <w:t>Cross-cutting issues</w:t>
      </w:r>
    </w:p>
    <w:p w14:paraId="6826AB1A" w14:textId="2A82D0D4" w:rsidR="009D4BBF" w:rsidRPr="009D4BBF" w:rsidRDefault="009D4BBF" w:rsidP="009D4BBF">
      <w:pPr>
        <w:spacing w:after="200" w:line="276" w:lineRule="auto"/>
        <w:jc w:val="both"/>
        <w:rPr>
          <w:rFonts w:asciiTheme="minorHAnsi" w:eastAsiaTheme="minorHAnsi" w:hAnsiTheme="minorHAnsi" w:cs="Arial"/>
        </w:rPr>
      </w:pPr>
      <w:r w:rsidRPr="009D4BBF">
        <w:rPr>
          <w:rFonts w:asciiTheme="minorHAnsi" w:eastAsiaTheme="minorHAnsi" w:hAnsiTheme="minorHAnsi" w:cs="Arial"/>
        </w:rPr>
        <w:t>EP activities were successful in reaching targeted beneficiaries. Most notably, poor students in remote and underserved areas received the greatest benefit from school construction (C1) and quality improvement activities in the private Islamic education sector targeted the neediest eligible institutions (C3). The implementation of all activities adhered to relevant guidelines on gender empowerment and social inclusion, such as the provision of access infrastructure in new schools and development of gender</w:t>
      </w:r>
      <w:r w:rsidR="00AF23BD">
        <w:rPr>
          <w:rFonts w:asciiTheme="minorHAnsi" w:eastAsiaTheme="minorHAnsi" w:hAnsiTheme="minorHAnsi" w:cs="Arial"/>
        </w:rPr>
        <w:t>-</w:t>
      </w:r>
      <w:r w:rsidRPr="009D4BBF">
        <w:rPr>
          <w:rFonts w:asciiTheme="minorHAnsi" w:eastAsiaTheme="minorHAnsi" w:hAnsiTheme="minorHAnsi" w:cs="Arial"/>
        </w:rPr>
        <w:t xml:space="preserve">sensitive learning materials for training purposes. </w:t>
      </w:r>
      <w:r w:rsidRPr="009D4BBF">
        <w:rPr>
          <w:rFonts w:asciiTheme="minorHAnsi" w:eastAsiaTheme="minorHAnsi" w:hAnsiTheme="minorHAnsi" w:cstheme="minorBidi"/>
          <w:bCs/>
        </w:rPr>
        <w:t>This social inclusion agenda was strengthened from 2014 to better reflect evolving</w:t>
      </w:r>
      <w:r w:rsidR="00CF081F">
        <w:rPr>
          <w:rFonts w:asciiTheme="minorHAnsi" w:eastAsiaTheme="minorHAnsi" w:hAnsiTheme="minorHAnsi" w:cstheme="minorBidi"/>
          <w:bCs/>
        </w:rPr>
        <w:t xml:space="preserve"> Government of Australia</w:t>
      </w:r>
      <w:r w:rsidRPr="009D4BBF">
        <w:rPr>
          <w:rFonts w:asciiTheme="minorHAnsi" w:eastAsiaTheme="minorHAnsi" w:hAnsiTheme="minorHAnsi" w:cstheme="minorBidi"/>
          <w:bCs/>
        </w:rPr>
        <w:t xml:space="preserve"> policy frameworks. However</w:t>
      </w:r>
      <w:r w:rsidR="00713325">
        <w:rPr>
          <w:rFonts w:asciiTheme="minorHAnsi" w:eastAsiaTheme="minorHAnsi" w:hAnsiTheme="minorHAnsi" w:cstheme="minorBidi"/>
          <w:bCs/>
        </w:rPr>
        <w:t>,</w:t>
      </w:r>
      <w:r w:rsidRPr="009D4BBF">
        <w:rPr>
          <w:rFonts w:asciiTheme="minorHAnsi" w:eastAsiaTheme="minorHAnsi" w:hAnsiTheme="minorHAnsi" w:cstheme="minorBidi"/>
          <w:bCs/>
        </w:rPr>
        <w:t xml:space="preserve"> the absence of a robust social inclusion framework and specialist staff to assist in the mainstreaming of social inclusion agendas from the outset of the EP weakened the overall impact of individual component activities.</w:t>
      </w:r>
    </w:p>
    <w:p w14:paraId="6826AB1B" w14:textId="77777777" w:rsidR="009D4BBF" w:rsidRPr="009D4BBF" w:rsidRDefault="009D4BBF" w:rsidP="009D4BBF">
      <w:pPr>
        <w:spacing w:after="200" w:line="276" w:lineRule="auto"/>
        <w:jc w:val="both"/>
        <w:rPr>
          <w:rFonts w:asciiTheme="minorHAnsi" w:eastAsiaTheme="minorHAnsi" w:hAnsiTheme="minorHAnsi" w:cs="Arial"/>
          <w:b/>
        </w:rPr>
      </w:pPr>
      <w:r w:rsidRPr="009D4BBF">
        <w:rPr>
          <w:rFonts w:asciiTheme="minorHAnsi" w:eastAsiaTheme="minorHAnsi" w:hAnsiTheme="minorHAnsi" w:cs="Arial"/>
          <w:b/>
        </w:rPr>
        <w:t>Management and Governance</w:t>
      </w:r>
    </w:p>
    <w:p w14:paraId="6826AB1C" w14:textId="6DE686D6" w:rsidR="009D4BBF" w:rsidRPr="009D4BBF" w:rsidRDefault="009D4BBF" w:rsidP="009D4BBF">
      <w:pPr>
        <w:spacing w:after="200" w:line="276" w:lineRule="auto"/>
        <w:jc w:val="both"/>
        <w:rPr>
          <w:rFonts w:asciiTheme="minorHAnsi" w:eastAsiaTheme="minorHAnsi" w:hAnsiTheme="minorHAnsi" w:cstheme="minorBidi"/>
          <w:bCs/>
        </w:rPr>
      </w:pPr>
      <w:r w:rsidRPr="009D4BBF">
        <w:rPr>
          <w:bCs/>
        </w:rPr>
        <w:t>The</w:t>
      </w:r>
      <w:r w:rsidRPr="009D4BBF">
        <w:rPr>
          <w:rFonts w:asciiTheme="minorHAnsi" w:eastAsiaTheme="minorHAnsi" w:hAnsiTheme="minorHAnsi" w:cstheme="minorBidi"/>
          <w:bCs/>
        </w:rPr>
        <w:t xml:space="preserve"> joint governance aspirations of the EP were only partially met. The formal governance structures reflected a scenario in which AusAID, and then DFAT, retained control of the partnership, with GoI responsible for a blend of institutional and implementing functions. For the larger part, this was a pragmatic division of labour</w:t>
      </w:r>
      <w:r w:rsidR="00AF23BD">
        <w:rPr>
          <w:rFonts w:asciiTheme="minorHAnsi" w:eastAsiaTheme="minorHAnsi" w:hAnsiTheme="minorHAnsi" w:cstheme="minorBidi"/>
          <w:bCs/>
        </w:rPr>
        <w:t xml:space="preserve">. Nonetheless, </w:t>
      </w:r>
      <w:r w:rsidRPr="009D4BBF">
        <w:rPr>
          <w:rFonts w:asciiTheme="minorHAnsi" w:eastAsiaTheme="minorHAnsi" w:hAnsiTheme="minorHAnsi" w:cstheme="minorBidi"/>
          <w:bCs/>
        </w:rPr>
        <w:t xml:space="preserve">the heralded “partnership” between the two </w:t>
      </w:r>
      <w:r w:rsidR="00AF23BD" w:rsidRPr="009D4BBF">
        <w:rPr>
          <w:rFonts w:asciiTheme="minorHAnsi" w:eastAsiaTheme="minorHAnsi" w:hAnsiTheme="minorHAnsi" w:cstheme="minorBidi"/>
          <w:bCs/>
        </w:rPr>
        <w:t>governments</w:t>
      </w:r>
      <w:r w:rsidRPr="009D4BBF">
        <w:rPr>
          <w:rFonts w:asciiTheme="minorHAnsi" w:eastAsiaTheme="minorHAnsi" w:hAnsiTheme="minorHAnsi" w:cstheme="minorBidi"/>
          <w:bCs/>
        </w:rPr>
        <w:t xml:space="preserve"> could have been more effectively exploited at critical technical and political junctures.</w:t>
      </w:r>
    </w:p>
    <w:p w14:paraId="6826AB1D" w14:textId="660AF739" w:rsidR="009D4BBF" w:rsidRPr="009D4BBF" w:rsidRDefault="009D4BBF" w:rsidP="009D4BBF">
      <w:pPr>
        <w:spacing w:after="200" w:line="276" w:lineRule="auto"/>
        <w:jc w:val="both"/>
        <w:rPr>
          <w:bCs/>
        </w:rPr>
      </w:pPr>
      <w:r w:rsidRPr="009D4BBF">
        <w:rPr>
          <w:rFonts w:asciiTheme="minorHAnsi" w:eastAsiaTheme="minorHAnsi" w:hAnsiTheme="minorHAnsi" w:cstheme="minorBidi"/>
          <w:bCs/>
        </w:rPr>
        <w:t>EP management placed considerable emphasis on the timely delivery of contracted deliverables. Management decisions were typically driven by prescriptive commitments to the attainment of quantifiable output-level targets. This culture of transactional management allowed for efficient delivery across much of the partnership and enabled funds to be spent with minimal loss.</w:t>
      </w:r>
      <w:r w:rsidRPr="009D4BBF">
        <w:rPr>
          <w:bCs/>
        </w:rPr>
        <w:t xml:space="preserve"> Risk was mitigated, not only through judicious compliance with Australian Government fiduciary procedures, but also through the commissioning of a comprehensive program of financial audits and compliance reviews on those Australian funds that were managed through partner government systems</w:t>
      </w:r>
      <w:r w:rsidR="00AF23BD">
        <w:rPr>
          <w:bCs/>
        </w:rPr>
        <w:t>.</w:t>
      </w:r>
    </w:p>
    <w:p w14:paraId="6826AB1E" w14:textId="3FCFA07A" w:rsidR="009D4BBF" w:rsidRPr="009D4BBF" w:rsidRDefault="009D4BBF" w:rsidP="009D4BBF">
      <w:pPr>
        <w:spacing w:after="200" w:line="276" w:lineRule="auto"/>
        <w:jc w:val="both"/>
        <w:rPr>
          <w:bCs/>
        </w:rPr>
      </w:pPr>
      <w:r w:rsidRPr="009D4BBF">
        <w:rPr>
          <w:bCs/>
        </w:rPr>
        <w:t xml:space="preserve">The EP was designed and largely implemented as four separate investments. The limited coherence between components was reflective of the nature of the partner ministries and departments with which the components worked. Any appetite for donor coordination of investments was based more on personal relationships than </w:t>
      </w:r>
      <w:r w:rsidR="00AF23BD">
        <w:rPr>
          <w:bCs/>
        </w:rPr>
        <w:t>by</w:t>
      </w:r>
      <w:r w:rsidR="00AF23BD" w:rsidRPr="009D4BBF">
        <w:rPr>
          <w:bCs/>
        </w:rPr>
        <w:t xml:space="preserve"> </w:t>
      </w:r>
      <w:r w:rsidRPr="009D4BBF">
        <w:rPr>
          <w:bCs/>
        </w:rPr>
        <w:t>a desire to collaborate.</w:t>
      </w:r>
    </w:p>
    <w:p w14:paraId="6826AB1F" w14:textId="3AEC4F10" w:rsidR="009D4BBF" w:rsidRPr="009D4BBF" w:rsidRDefault="009D4BBF" w:rsidP="009D4BBF">
      <w:pPr>
        <w:spacing w:after="200" w:line="276" w:lineRule="auto"/>
        <w:jc w:val="both"/>
        <w:rPr>
          <w:bCs/>
        </w:rPr>
      </w:pPr>
      <w:r w:rsidRPr="009D4BBF">
        <w:rPr>
          <w:bCs/>
        </w:rPr>
        <w:t xml:space="preserve">Performance management of the partnership was supported by the existence of a quasi-independent </w:t>
      </w:r>
      <w:r w:rsidR="00AF23BD">
        <w:rPr>
          <w:bCs/>
        </w:rPr>
        <w:t xml:space="preserve">M&amp;E </w:t>
      </w:r>
      <w:r w:rsidRPr="009D4BBF">
        <w:rPr>
          <w:bCs/>
        </w:rPr>
        <w:t xml:space="preserve">facility that provided scheduled and </w:t>
      </w:r>
      <w:r w:rsidRPr="009D4BBF">
        <w:rPr>
          <w:bCs/>
          <w:i/>
        </w:rPr>
        <w:t>ad hoc</w:t>
      </w:r>
      <w:r w:rsidRPr="009D4BBF">
        <w:rPr>
          <w:bCs/>
        </w:rPr>
        <w:t xml:space="preserve"> inputs to EP stakeholders. The strong feedback loop</w:t>
      </w:r>
      <w:r w:rsidR="00AF23BD">
        <w:rPr>
          <w:bCs/>
        </w:rPr>
        <w:t>s</w:t>
      </w:r>
      <w:r w:rsidRPr="009D4BBF">
        <w:rPr>
          <w:bCs/>
        </w:rPr>
        <w:t xml:space="preserve"> that this produced for program managers and Implementing Partners resulted in a range of evidence-based adjustments that, in general, enhanced both the efficiency and effectiveness of the investment. </w:t>
      </w:r>
    </w:p>
    <w:p w14:paraId="6826AB20" w14:textId="77777777" w:rsidR="009D4BBF" w:rsidRPr="009D4BBF" w:rsidRDefault="009D4BBF" w:rsidP="009D4BBF">
      <w:pPr>
        <w:spacing w:after="200" w:line="276" w:lineRule="auto"/>
        <w:jc w:val="both"/>
        <w:rPr>
          <w:rFonts w:asciiTheme="minorHAnsi" w:eastAsiaTheme="minorHAnsi" w:hAnsiTheme="minorHAnsi" w:cs="Arial"/>
        </w:rPr>
      </w:pPr>
      <w:r w:rsidRPr="009D4BBF">
        <w:rPr>
          <w:rFonts w:asciiTheme="minorHAnsi" w:eastAsia="Times New Roman" w:hAnsiTheme="minorHAnsi" w:cstheme="minorHAnsi"/>
          <w:lang w:val="en-US"/>
        </w:rPr>
        <w:t>With respect to DFAT’s Value for Money principles, the EP performed well with respect to the principles relating to Economy and Efficiency, but less so with respect to Effectiveness and Ethics. Highlights included the increasing efficiency with which schools were constructed in remote places; the breadth of training activities for education management personnel; the sensitive manner in which the EP was managed through a period of shifting external aid policy and domestic education policy; and the additional value provided by attracting considerable external financing for Madrasah quality improvement and principal training.</w:t>
      </w:r>
    </w:p>
    <w:p w14:paraId="6826AB21" w14:textId="77777777" w:rsidR="009D4BBF" w:rsidRPr="009D4BBF" w:rsidRDefault="009D4BBF" w:rsidP="009D4BBF">
      <w:pPr>
        <w:spacing w:after="200" w:line="240" w:lineRule="auto"/>
        <w:jc w:val="both"/>
        <w:rPr>
          <w:rFonts w:asciiTheme="minorHAnsi" w:eastAsiaTheme="minorHAnsi" w:hAnsiTheme="minorHAnsi" w:cstheme="minorBidi"/>
          <w:lang w:val="en-US"/>
        </w:rPr>
      </w:pPr>
    </w:p>
    <w:p w14:paraId="6826AB22" w14:textId="77777777" w:rsidR="009D4BBF" w:rsidRPr="009D4BBF" w:rsidRDefault="009D4BBF" w:rsidP="009D4BBF">
      <w:pPr>
        <w:spacing w:after="200" w:line="276" w:lineRule="auto"/>
        <w:jc w:val="both"/>
        <w:rPr>
          <w:rFonts w:asciiTheme="minorHAnsi" w:eastAsiaTheme="minorHAnsi" w:hAnsiTheme="minorHAnsi" w:cstheme="minorBidi"/>
          <w:lang w:val="en-US"/>
        </w:rPr>
      </w:pPr>
      <w:r w:rsidRPr="009D4BBF">
        <w:rPr>
          <w:rFonts w:asciiTheme="minorHAnsi" w:eastAsiaTheme="minorHAnsi" w:hAnsiTheme="minorHAnsi" w:cstheme="minorBidi"/>
          <w:lang w:val="en-US"/>
        </w:rPr>
        <w:t xml:space="preserve"> </w:t>
      </w:r>
    </w:p>
    <w:p w14:paraId="6826AB23" w14:textId="77777777" w:rsidR="009D4BBF" w:rsidRPr="009D4BBF" w:rsidRDefault="009D4BBF" w:rsidP="009D4BBF">
      <w:pPr>
        <w:spacing w:after="200" w:line="276" w:lineRule="auto"/>
        <w:jc w:val="both"/>
        <w:rPr>
          <w:rFonts w:asciiTheme="minorHAnsi" w:eastAsiaTheme="minorHAnsi" w:hAnsiTheme="minorHAnsi" w:cstheme="minorBidi"/>
          <w:lang w:val="en-US"/>
        </w:rPr>
      </w:pPr>
      <w:r w:rsidRPr="009D4BBF">
        <w:rPr>
          <w:rFonts w:asciiTheme="minorHAnsi" w:eastAsiaTheme="minorHAnsi" w:hAnsiTheme="minorHAnsi" w:cstheme="minorBidi"/>
          <w:lang w:val="en-US"/>
        </w:rPr>
        <w:t xml:space="preserve"> </w:t>
      </w:r>
    </w:p>
    <w:p w14:paraId="6826AB24" w14:textId="77777777" w:rsidR="00851FE8" w:rsidRPr="00300C06" w:rsidRDefault="00851FE8" w:rsidP="00300C06">
      <w:pPr>
        <w:rPr>
          <w:b/>
          <w:sz w:val="28"/>
          <w:szCs w:val="28"/>
        </w:rPr>
        <w:sectPr w:rsidR="00851FE8" w:rsidRPr="00300C06" w:rsidSect="00F6704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fmt="lowerRoman" w:start="1"/>
          <w:cols w:space="708"/>
          <w:docGrid w:linePitch="360"/>
        </w:sectPr>
      </w:pPr>
    </w:p>
    <w:p w14:paraId="6826AB25" w14:textId="77777777" w:rsidR="000A13DF" w:rsidRPr="004B2398" w:rsidRDefault="000A13DF" w:rsidP="00F300B3">
      <w:pPr>
        <w:pStyle w:val="Heading1"/>
      </w:pPr>
      <w:bookmarkStart w:id="11" w:name="_Toc473786282"/>
      <w:r w:rsidRPr="004B2398">
        <w:t>Introduction</w:t>
      </w:r>
      <w:bookmarkEnd w:id="11"/>
      <w:r w:rsidRPr="004B2398">
        <w:t xml:space="preserve"> </w:t>
      </w:r>
    </w:p>
    <w:p w14:paraId="6826AB26" w14:textId="77777777" w:rsidR="000A13DF" w:rsidRPr="005540B8" w:rsidRDefault="000A13DF" w:rsidP="00082D8B">
      <w:pPr>
        <w:pStyle w:val="Heading2"/>
      </w:pPr>
      <w:bookmarkStart w:id="12" w:name="_Toc473786283"/>
      <w:r w:rsidRPr="005540B8">
        <w:t>Purpose of the ICR</w:t>
      </w:r>
      <w:bookmarkEnd w:id="12"/>
      <w:r w:rsidRPr="005540B8">
        <w:t xml:space="preserve"> </w:t>
      </w:r>
    </w:p>
    <w:p w14:paraId="6826AB27" w14:textId="77777777" w:rsidR="000A13DF" w:rsidRPr="009B0783" w:rsidRDefault="000A13DF" w:rsidP="001B01E2">
      <w:pPr>
        <w:jc w:val="both"/>
        <w:rPr>
          <w:rFonts w:eastAsia="Times New Roman"/>
          <w:szCs w:val="24"/>
          <w:lang w:val="en-AU" w:eastAsia="en-AU"/>
        </w:rPr>
      </w:pPr>
      <w:r w:rsidRPr="009B0783">
        <w:rPr>
          <w:rFonts w:eastAsia="Times New Roman"/>
          <w:szCs w:val="24"/>
          <w:lang w:val="en-AU" w:eastAsia="en-AU"/>
        </w:rPr>
        <w:t>Independent Completion Reports (ICRs) are part of the DFAT quality assurance framework. The purpose of this ICR is to capture and report the effects of Australia's Education Partnership with Indonesia</w:t>
      </w:r>
      <w:r w:rsidRPr="009B0783" w:rsidDel="00964017">
        <w:rPr>
          <w:rFonts w:eastAsia="Times New Roman"/>
          <w:szCs w:val="24"/>
          <w:lang w:val="en-AU" w:eastAsia="en-AU"/>
        </w:rPr>
        <w:t xml:space="preserve"> </w:t>
      </w:r>
      <w:r w:rsidRPr="009B0783">
        <w:rPr>
          <w:rFonts w:eastAsia="Times New Roman"/>
          <w:szCs w:val="24"/>
          <w:lang w:val="en-AU" w:eastAsia="en-AU"/>
        </w:rPr>
        <w:t>(henceforth, ‘the Partnership’ or EP). In particular, the report seeks to:</w:t>
      </w:r>
    </w:p>
    <w:p w14:paraId="6826AB28" w14:textId="77777777" w:rsidR="000A13DF" w:rsidRPr="009B0783" w:rsidRDefault="000A13DF" w:rsidP="002C7568">
      <w:pPr>
        <w:pStyle w:val="ListParagraph"/>
        <w:numPr>
          <w:ilvl w:val="0"/>
          <w:numId w:val="6"/>
        </w:numPr>
        <w:spacing w:line="360" w:lineRule="auto"/>
        <w:ind w:left="567" w:hanging="210"/>
        <w:rPr>
          <w:rFonts w:eastAsia="Times New Roman"/>
          <w:szCs w:val="24"/>
          <w:lang w:val="en-AU" w:eastAsia="en-AU"/>
        </w:rPr>
      </w:pPr>
      <w:r w:rsidRPr="009B0783">
        <w:rPr>
          <w:rFonts w:eastAsia="Times New Roman"/>
          <w:szCs w:val="24"/>
          <w:lang w:val="en-AU" w:eastAsia="en-AU"/>
        </w:rPr>
        <w:t xml:space="preserve">Outline the achievements of the EP and </w:t>
      </w:r>
      <w:r w:rsidR="001B01E2">
        <w:rPr>
          <w:rFonts w:eastAsia="Times New Roman"/>
          <w:szCs w:val="24"/>
          <w:lang w:val="en-AU" w:eastAsia="en-AU"/>
        </w:rPr>
        <w:t xml:space="preserve">the extent to which they are in </w:t>
      </w:r>
      <w:r w:rsidRPr="009B0783">
        <w:rPr>
          <w:rFonts w:eastAsia="Times New Roman"/>
          <w:szCs w:val="24"/>
          <w:lang w:val="en-AU" w:eastAsia="en-AU"/>
        </w:rPr>
        <w:t>line with expectations.</w:t>
      </w:r>
    </w:p>
    <w:p w14:paraId="6826AB29" w14:textId="77777777" w:rsidR="000A13DF" w:rsidRPr="009B0783" w:rsidRDefault="00ED6031" w:rsidP="002C7568">
      <w:pPr>
        <w:pStyle w:val="ListParagraph"/>
        <w:numPr>
          <w:ilvl w:val="0"/>
          <w:numId w:val="6"/>
        </w:numPr>
        <w:spacing w:line="360" w:lineRule="auto"/>
        <w:ind w:left="567" w:hanging="210"/>
        <w:rPr>
          <w:rFonts w:eastAsia="Times New Roman"/>
          <w:szCs w:val="24"/>
          <w:lang w:val="en-AU" w:eastAsia="en-AU"/>
        </w:rPr>
      </w:pPr>
      <w:r>
        <w:rPr>
          <w:rFonts w:eastAsia="Times New Roman"/>
          <w:szCs w:val="24"/>
          <w:lang w:val="en-AU" w:eastAsia="en-AU"/>
        </w:rPr>
        <w:t>A</w:t>
      </w:r>
      <w:r w:rsidR="000A13DF" w:rsidRPr="009B0783">
        <w:rPr>
          <w:rFonts w:eastAsia="Times New Roman"/>
          <w:szCs w:val="24"/>
          <w:lang w:val="en-AU" w:eastAsia="en-AU"/>
        </w:rPr>
        <w:t xml:space="preserve">ssess the </w:t>
      </w:r>
      <w:r w:rsidR="000A13DF">
        <w:rPr>
          <w:rFonts w:eastAsia="Times New Roman"/>
          <w:szCs w:val="24"/>
          <w:lang w:val="en-AU" w:eastAsia="en-AU"/>
        </w:rPr>
        <w:t xml:space="preserve">performance of the EP and the extent to which it represented value for money. </w:t>
      </w:r>
    </w:p>
    <w:p w14:paraId="6826AB2A" w14:textId="77777777" w:rsidR="000A13DF" w:rsidRPr="009B0783" w:rsidRDefault="000A13DF" w:rsidP="002C7568">
      <w:pPr>
        <w:pStyle w:val="ListParagraph"/>
        <w:numPr>
          <w:ilvl w:val="0"/>
          <w:numId w:val="6"/>
        </w:numPr>
        <w:spacing w:line="360" w:lineRule="auto"/>
        <w:ind w:left="567" w:hanging="210"/>
        <w:rPr>
          <w:rFonts w:eastAsia="Times New Roman"/>
          <w:szCs w:val="24"/>
          <w:lang w:val="en-AU" w:eastAsia="en-AU"/>
        </w:rPr>
      </w:pPr>
      <w:r w:rsidRPr="009B0783">
        <w:rPr>
          <w:rFonts w:eastAsia="Times New Roman"/>
        </w:rPr>
        <w:t xml:space="preserve">Identify </w:t>
      </w:r>
      <w:r w:rsidR="001B01E2">
        <w:rPr>
          <w:rFonts w:eastAsia="Times New Roman"/>
        </w:rPr>
        <w:t>lessons</w:t>
      </w:r>
      <w:r w:rsidRPr="009B0783">
        <w:rPr>
          <w:rFonts w:eastAsia="Times New Roman"/>
        </w:rPr>
        <w:t xml:space="preserve"> for the Australian Government’s Forward Program in Indonesia.</w:t>
      </w:r>
    </w:p>
    <w:p w14:paraId="6826AB2B" w14:textId="77777777" w:rsidR="000A13DF" w:rsidRPr="005540B8" w:rsidRDefault="000A13DF" w:rsidP="00082D8B">
      <w:pPr>
        <w:pStyle w:val="Heading2"/>
      </w:pPr>
      <w:bookmarkStart w:id="13" w:name="_Toc473786284"/>
      <w:r w:rsidRPr="005540B8">
        <w:t>Design and structure</w:t>
      </w:r>
      <w:bookmarkEnd w:id="13"/>
    </w:p>
    <w:p w14:paraId="6826AB2C" w14:textId="28FD72B6" w:rsidR="000A13DF" w:rsidRPr="009B0783" w:rsidRDefault="000A13DF" w:rsidP="001B01E2">
      <w:pPr>
        <w:jc w:val="both"/>
        <w:rPr>
          <w:rFonts w:eastAsia="Times New Roman"/>
          <w:szCs w:val="24"/>
          <w:lang w:val="en-AU" w:eastAsia="en-AU"/>
        </w:rPr>
      </w:pPr>
      <w:r w:rsidRPr="009B0783">
        <w:rPr>
          <w:rFonts w:eastAsia="Times New Roman"/>
          <w:szCs w:val="24"/>
          <w:lang w:val="en-AU" w:eastAsia="en-AU"/>
        </w:rPr>
        <w:t xml:space="preserve">The design and structure of this report was developed by </w:t>
      </w:r>
      <w:r>
        <w:rPr>
          <w:rFonts w:eastAsia="Times New Roman"/>
          <w:szCs w:val="24"/>
          <w:lang w:val="en-AU" w:eastAsia="en-AU"/>
        </w:rPr>
        <w:t xml:space="preserve">the </w:t>
      </w:r>
      <w:r w:rsidRPr="009B0783">
        <w:rPr>
          <w:rFonts w:eastAsia="Times New Roman"/>
          <w:szCs w:val="24"/>
          <w:lang w:val="en-AU" w:eastAsia="en-AU"/>
        </w:rPr>
        <w:t>Performance Oversight and Monitoring (P</w:t>
      </w:r>
      <w:r>
        <w:rPr>
          <w:rFonts w:eastAsia="Times New Roman"/>
          <w:szCs w:val="24"/>
          <w:lang w:val="en-AU" w:eastAsia="en-AU"/>
        </w:rPr>
        <w:t>OM) unit of the EP in collaboration with DFAT.</w:t>
      </w:r>
      <w:r w:rsidRPr="009B0783">
        <w:rPr>
          <w:rFonts w:eastAsia="Times New Roman"/>
          <w:szCs w:val="24"/>
          <w:lang w:val="en-AU" w:eastAsia="en-AU"/>
        </w:rPr>
        <w:t xml:space="preserve"> </w:t>
      </w:r>
      <w:r>
        <w:rPr>
          <w:rFonts w:eastAsia="Times New Roman"/>
          <w:szCs w:val="24"/>
          <w:lang w:val="en-AU" w:eastAsia="en-AU"/>
        </w:rPr>
        <w:t>In order to maximise the value of</w:t>
      </w:r>
      <w:r w:rsidRPr="009B0783">
        <w:rPr>
          <w:rFonts w:eastAsia="Times New Roman"/>
          <w:szCs w:val="24"/>
          <w:lang w:val="en-AU" w:eastAsia="en-AU"/>
        </w:rPr>
        <w:t xml:space="preserve"> </w:t>
      </w:r>
      <w:r>
        <w:rPr>
          <w:rFonts w:eastAsia="Times New Roman"/>
          <w:szCs w:val="24"/>
          <w:lang w:val="en-AU" w:eastAsia="en-AU"/>
        </w:rPr>
        <w:t xml:space="preserve">DFAT’s investment in the </w:t>
      </w:r>
      <w:r w:rsidRPr="009B0783">
        <w:rPr>
          <w:rFonts w:eastAsia="Times New Roman"/>
          <w:szCs w:val="24"/>
          <w:lang w:val="en-AU" w:eastAsia="en-AU"/>
        </w:rPr>
        <w:t>monitoring and evaluation</w:t>
      </w:r>
      <w:r>
        <w:rPr>
          <w:rFonts w:eastAsia="Times New Roman"/>
          <w:szCs w:val="24"/>
          <w:lang w:val="en-AU" w:eastAsia="en-AU"/>
        </w:rPr>
        <w:t xml:space="preserve"> of the EP, this review draws upon an existing pool of published and unpublished resources</w:t>
      </w:r>
      <w:r w:rsidR="00ED6031">
        <w:rPr>
          <w:rStyle w:val="EndnoteReference"/>
          <w:rFonts w:eastAsia="Times New Roman"/>
          <w:szCs w:val="24"/>
          <w:lang w:val="en-AU" w:eastAsia="en-AU"/>
        </w:rPr>
        <w:endnoteReference w:id="1"/>
      </w:r>
      <w:r>
        <w:rPr>
          <w:rFonts w:eastAsia="Times New Roman"/>
          <w:szCs w:val="24"/>
          <w:lang w:val="en-AU" w:eastAsia="en-AU"/>
        </w:rPr>
        <w:t xml:space="preserve">. The findings of those reports have been synthesised and interpreted for the specific purposes of this ICR, and ‘tested’ in interviews with key EP stakeholders. </w:t>
      </w:r>
      <w:r w:rsidRPr="009B0783">
        <w:rPr>
          <w:rFonts w:eastAsia="Times New Roman"/>
          <w:szCs w:val="24"/>
          <w:lang w:val="en-AU" w:eastAsia="en-AU"/>
        </w:rPr>
        <w:t xml:space="preserve">The design </w:t>
      </w:r>
      <w:r>
        <w:rPr>
          <w:rFonts w:eastAsia="Times New Roman"/>
          <w:szCs w:val="24"/>
          <w:lang w:val="en-AU" w:eastAsia="en-AU"/>
        </w:rPr>
        <w:t xml:space="preserve">of this ICR was </w:t>
      </w:r>
      <w:r w:rsidRPr="009B0783">
        <w:rPr>
          <w:rFonts w:eastAsia="Times New Roman"/>
          <w:szCs w:val="24"/>
          <w:lang w:val="en-AU" w:eastAsia="en-AU"/>
        </w:rPr>
        <w:t xml:space="preserve">informed by a desire to maximise </w:t>
      </w:r>
      <w:r w:rsidR="00A14336">
        <w:rPr>
          <w:rFonts w:eastAsia="Times New Roman"/>
          <w:szCs w:val="24"/>
          <w:lang w:val="en-AU" w:eastAsia="en-AU"/>
        </w:rPr>
        <w:t>its</w:t>
      </w:r>
      <w:r w:rsidR="00A14336" w:rsidRPr="009B0783">
        <w:rPr>
          <w:rFonts w:eastAsia="Times New Roman"/>
          <w:szCs w:val="24"/>
          <w:lang w:val="en-AU" w:eastAsia="en-AU"/>
        </w:rPr>
        <w:t xml:space="preserve"> </w:t>
      </w:r>
      <w:r w:rsidRPr="009B0783">
        <w:rPr>
          <w:rFonts w:eastAsia="Times New Roman"/>
          <w:szCs w:val="24"/>
          <w:lang w:val="en-AU" w:eastAsia="en-AU"/>
        </w:rPr>
        <w:t>utility as a resource for curren</w:t>
      </w:r>
      <w:r>
        <w:rPr>
          <w:rFonts w:eastAsia="Times New Roman"/>
          <w:szCs w:val="24"/>
          <w:lang w:val="en-AU" w:eastAsia="en-AU"/>
        </w:rPr>
        <w:t>t and future programming needs.</w:t>
      </w:r>
    </w:p>
    <w:p w14:paraId="6826AB2D" w14:textId="24FFBF18" w:rsidR="000A13DF" w:rsidRPr="009B0783" w:rsidRDefault="000A13DF" w:rsidP="001B01E2">
      <w:pPr>
        <w:jc w:val="both"/>
        <w:rPr>
          <w:rFonts w:eastAsia="Times New Roman"/>
          <w:szCs w:val="24"/>
          <w:lang w:val="en-AU" w:eastAsia="en-AU"/>
        </w:rPr>
      </w:pPr>
      <w:r w:rsidRPr="009B0783">
        <w:rPr>
          <w:rFonts w:eastAsia="Times New Roman"/>
          <w:szCs w:val="24"/>
          <w:lang w:val="en-AU" w:eastAsia="en-AU"/>
        </w:rPr>
        <w:t>In terms of structure, the first half of this ICR is largely descriptive. Chapter 2 presents an overvie</w:t>
      </w:r>
      <w:r>
        <w:rPr>
          <w:rFonts w:eastAsia="Times New Roman"/>
          <w:szCs w:val="24"/>
          <w:lang w:val="en-AU" w:eastAsia="en-AU"/>
        </w:rPr>
        <w:t>w of the EP and a summary of key changes that occurred over the life of the six</w:t>
      </w:r>
      <w:r w:rsidR="00A14336">
        <w:rPr>
          <w:rFonts w:eastAsia="Times New Roman"/>
          <w:szCs w:val="24"/>
          <w:lang w:val="en-AU" w:eastAsia="en-AU"/>
        </w:rPr>
        <w:t>-</w:t>
      </w:r>
      <w:r>
        <w:rPr>
          <w:rFonts w:eastAsia="Times New Roman"/>
          <w:szCs w:val="24"/>
          <w:lang w:val="en-AU" w:eastAsia="en-AU"/>
        </w:rPr>
        <w:t>year program</w:t>
      </w:r>
      <w:r w:rsidRPr="009B0783">
        <w:rPr>
          <w:rFonts w:eastAsia="Times New Roman"/>
          <w:szCs w:val="24"/>
          <w:lang w:val="en-AU" w:eastAsia="en-AU"/>
        </w:rPr>
        <w:t xml:space="preserve">. Chapter 3 </w:t>
      </w:r>
      <w:r>
        <w:rPr>
          <w:rFonts w:eastAsia="Times New Roman"/>
          <w:szCs w:val="24"/>
          <w:lang w:val="en-AU" w:eastAsia="en-AU"/>
        </w:rPr>
        <w:t>presents</w:t>
      </w:r>
      <w:r w:rsidRPr="009B0783">
        <w:rPr>
          <w:rFonts w:eastAsia="Times New Roman"/>
          <w:szCs w:val="24"/>
          <w:lang w:val="en-AU" w:eastAsia="en-AU"/>
        </w:rPr>
        <w:t xml:space="preserve"> a series of headline achievements. The second half of the ICR a</w:t>
      </w:r>
      <w:r w:rsidR="001B01E2">
        <w:rPr>
          <w:rFonts w:eastAsia="Times New Roman"/>
          <w:szCs w:val="24"/>
          <w:lang w:val="en-AU" w:eastAsia="en-AU"/>
        </w:rPr>
        <w:t>ssesses</w:t>
      </w:r>
      <w:r w:rsidRPr="009B0783">
        <w:rPr>
          <w:rFonts w:eastAsia="Times New Roman"/>
          <w:szCs w:val="24"/>
          <w:lang w:val="en-AU" w:eastAsia="en-AU"/>
        </w:rPr>
        <w:t xml:space="preserve"> </w:t>
      </w:r>
      <w:r>
        <w:rPr>
          <w:rFonts w:eastAsia="Times New Roman"/>
          <w:szCs w:val="24"/>
          <w:lang w:val="en-AU" w:eastAsia="en-AU"/>
        </w:rPr>
        <w:t>the performance of the EP</w:t>
      </w:r>
      <w:r w:rsidRPr="009B0783">
        <w:rPr>
          <w:rFonts w:eastAsia="Times New Roman"/>
          <w:szCs w:val="24"/>
          <w:lang w:val="en-AU" w:eastAsia="en-AU"/>
        </w:rPr>
        <w:t xml:space="preserve"> </w:t>
      </w:r>
      <w:r>
        <w:rPr>
          <w:rFonts w:eastAsia="Times New Roman"/>
          <w:szCs w:val="24"/>
          <w:lang w:val="en-AU" w:eastAsia="en-AU"/>
        </w:rPr>
        <w:t>using</w:t>
      </w:r>
      <w:r w:rsidR="00AB615D">
        <w:rPr>
          <w:rFonts w:eastAsia="Times New Roman"/>
          <w:szCs w:val="24"/>
          <w:lang w:val="en-AU" w:eastAsia="en-AU"/>
        </w:rPr>
        <w:t xml:space="preserve"> the OECD DAC criteria for evaluating development assistance</w:t>
      </w:r>
      <w:r w:rsidR="00AB615D">
        <w:rPr>
          <w:rStyle w:val="EndnoteReference"/>
          <w:rFonts w:eastAsia="Times New Roman"/>
          <w:szCs w:val="24"/>
          <w:lang w:val="en-AU" w:eastAsia="en-AU"/>
        </w:rPr>
        <w:endnoteReference w:id="2"/>
      </w:r>
      <w:r w:rsidRPr="009B0783">
        <w:rPr>
          <w:rFonts w:eastAsia="Times New Roman"/>
          <w:szCs w:val="24"/>
          <w:lang w:val="en-AU" w:eastAsia="en-AU"/>
        </w:rPr>
        <w:t xml:space="preserve"> </w:t>
      </w:r>
      <w:r>
        <w:rPr>
          <w:rFonts w:eastAsia="Times New Roman"/>
          <w:szCs w:val="24"/>
          <w:lang w:val="en-AU" w:eastAsia="en-AU"/>
        </w:rPr>
        <w:t xml:space="preserve">(Chapter 4) </w:t>
      </w:r>
      <w:r w:rsidR="00A14336">
        <w:rPr>
          <w:rFonts w:eastAsia="Times New Roman"/>
          <w:szCs w:val="24"/>
          <w:lang w:val="en-AU" w:eastAsia="en-AU"/>
        </w:rPr>
        <w:t xml:space="preserve">before </w:t>
      </w:r>
      <w:r w:rsidR="001B01E2">
        <w:rPr>
          <w:rFonts w:eastAsia="Times New Roman"/>
          <w:szCs w:val="24"/>
          <w:lang w:val="en-AU" w:eastAsia="en-AU"/>
        </w:rPr>
        <w:t>analys</w:t>
      </w:r>
      <w:r w:rsidR="00A14336">
        <w:rPr>
          <w:rFonts w:eastAsia="Times New Roman"/>
          <w:szCs w:val="24"/>
          <w:lang w:val="en-AU" w:eastAsia="en-AU"/>
        </w:rPr>
        <w:t>ing the</w:t>
      </w:r>
      <w:r w:rsidR="001B01E2">
        <w:rPr>
          <w:rFonts w:eastAsia="Times New Roman"/>
          <w:szCs w:val="24"/>
          <w:lang w:val="en-AU" w:eastAsia="en-AU"/>
        </w:rPr>
        <w:t xml:space="preserve"> performance</w:t>
      </w:r>
      <w:r w:rsidR="00A14336">
        <w:rPr>
          <w:rFonts w:eastAsia="Times New Roman"/>
          <w:szCs w:val="24"/>
          <w:lang w:val="en-AU" w:eastAsia="en-AU"/>
        </w:rPr>
        <w:t xml:space="preserve"> story</w:t>
      </w:r>
      <w:r w:rsidR="001B01E2">
        <w:rPr>
          <w:rFonts w:eastAsia="Times New Roman"/>
          <w:szCs w:val="24"/>
          <w:lang w:val="en-AU" w:eastAsia="en-AU"/>
        </w:rPr>
        <w:t xml:space="preserve"> </w:t>
      </w:r>
      <w:r w:rsidR="00B240E9">
        <w:rPr>
          <w:rFonts w:eastAsia="Times New Roman"/>
          <w:szCs w:val="24"/>
          <w:lang w:val="en-AU" w:eastAsia="en-AU"/>
        </w:rPr>
        <w:t xml:space="preserve">in light of </w:t>
      </w:r>
      <w:r w:rsidR="00A14336">
        <w:rPr>
          <w:rFonts w:eastAsia="Times New Roman"/>
          <w:szCs w:val="24"/>
          <w:lang w:val="en-AU" w:eastAsia="en-AU"/>
        </w:rPr>
        <w:t xml:space="preserve">the EP’s </w:t>
      </w:r>
      <w:r w:rsidR="00B240E9">
        <w:rPr>
          <w:rFonts w:eastAsia="Times New Roman"/>
          <w:szCs w:val="24"/>
          <w:lang w:val="en-AU" w:eastAsia="en-AU"/>
        </w:rPr>
        <w:t>governance and management arrangements and its VFM proposition</w:t>
      </w:r>
      <w:r w:rsidR="001B01E2">
        <w:rPr>
          <w:rFonts w:eastAsia="Times New Roman"/>
          <w:szCs w:val="24"/>
          <w:lang w:val="en-AU" w:eastAsia="en-AU"/>
        </w:rPr>
        <w:t xml:space="preserve"> (Chapter 5)</w:t>
      </w:r>
      <w:r>
        <w:rPr>
          <w:rFonts w:eastAsia="Times New Roman"/>
          <w:szCs w:val="24"/>
          <w:lang w:val="en-AU" w:eastAsia="en-AU"/>
        </w:rPr>
        <w:t>.</w:t>
      </w:r>
      <w:r w:rsidRPr="009B0783">
        <w:rPr>
          <w:rFonts w:eastAsia="Times New Roman"/>
          <w:szCs w:val="24"/>
          <w:lang w:val="en-AU" w:eastAsia="en-AU"/>
        </w:rPr>
        <w:t xml:space="preserve"> Chapter 6 </w:t>
      </w:r>
      <w:r>
        <w:rPr>
          <w:rFonts w:eastAsia="Times New Roman"/>
          <w:szCs w:val="24"/>
          <w:lang w:val="en-AU" w:eastAsia="en-AU"/>
        </w:rPr>
        <w:t>provides a set of conclusions</w:t>
      </w:r>
      <w:r w:rsidR="00BC313D">
        <w:rPr>
          <w:rFonts w:eastAsia="Times New Roman"/>
          <w:szCs w:val="24"/>
          <w:lang w:val="en-AU" w:eastAsia="en-AU"/>
        </w:rPr>
        <w:t xml:space="preserve">, </w:t>
      </w:r>
      <w:r w:rsidR="00ED6031">
        <w:rPr>
          <w:rFonts w:eastAsia="Times New Roman"/>
          <w:szCs w:val="24"/>
          <w:lang w:val="en-AU" w:eastAsia="en-AU"/>
        </w:rPr>
        <w:t>Chapter 7 draws lessons for future programing</w:t>
      </w:r>
      <w:r w:rsidR="00BC313D">
        <w:rPr>
          <w:rFonts w:eastAsia="Times New Roman"/>
          <w:szCs w:val="24"/>
          <w:lang w:val="en-AU" w:eastAsia="en-AU"/>
        </w:rPr>
        <w:t xml:space="preserve"> and Chapter 8 identifies a number of recommendations for future programing.</w:t>
      </w:r>
    </w:p>
    <w:p w14:paraId="6826AB2E" w14:textId="77777777" w:rsidR="000A13DF" w:rsidRPr="005540B8" w:rsidRDefault="000A13DF" w:rsidP="00082D8B">
      <w:pPr>
        <w:pStyle w:val="Heading2"/>
      </w:pPr>
      <w:bookmarkStart w:id="14" w:name="_Toc473786285"/>
      <w:r w:rsidRPr="005540B8">
        <w:t>Methodology</w:t>
      </w:r>
      <w:bookmarkEnd w:id="14"/>
    </w:p>
    <w:p w14:paraId="6826AB2F" w14:textId="055F9C96" w:rsidR="000A13DF" w:rsidRPr="009B0783" w:rsidRDefault="000A13DF" w:rsidP="000A13DF">
      <w:pPr>
        <w:spacing w:after="200" w:line="276" w:lineRule="auto"/>
        <w:jc w:val="both"/>
        <w:rPr>
          <w:rFonts w:eastAsia="Times New Roman"/>
          <w:szCs w:val="24"/>
          <w:lang w:val="en-AU" w:eastAsia="en-AU"/>
        </w:rPr>
      </w:pPr>
      <w:r w:rsidRPr="009B0783">
        <w:rPr>
          <w:rFonts w:eastAsia="Times New Roman"/>
          <w:szCs w:val="24"/>
          <w:lang w:val="en-AU" w:eastAsia="en-AU"/>
        </w:rPr>
        <w:t>The ICR is a qualitative study. Our analysis of the EP is based upon a review of an existing pool of EP performance assessment materials</w:t>
      </w:r>
      <w:r>
        <w:rPr>
          <w:rFonts w:eastAsia="Times New Roman"/>
          <w:szCs w:val="24"/>
          <w:lang w:val="en-AU" w:eastAsia="en-AU"/>
        </w:rPr>
        <w:t xml:space="preserve"> </w:t>
      </w:r>
      <w:r w:rsidRPr="009B0783">
        <w:rPr>
          <w:rFonts w:eastAsia="Times New Roman"/>
          <w:szCs w:val="24"/>
          <w:lang w:val="en-AU" w:eastAsia="en-AU"/>
        </w:rPr>
        <w:t xml:space="preserve">and data generated </w:t>
      </w:r>
      <w:r w:rsidR="00EE7D0D">
        <w:rPr>
          <w:rFonts w:eastAsia="Times New Roman"/>
          <w:szCs w:val="24"/>
          <w:lang w:val="en-AU" w:eastAsia="en-AU"/>
        </w:rPr>
        <w:t>over the life of the program</w:t>
      </w:r>
      <w:r>
        <w:rPr>
          <w:rFonts w:eastAsia="Times New Roman"/>
          <w:szCs w:val="24"/>
          <w:lang w:val="en-AU" w:eastAsia="en-AU"/>
        </w:rPr>
        <w:t>.</w:t>
      </w:r>
      <w:r w:rsidR="00EE7D0D">
        <w:rPr>
          <w:rFonts w:eastAsia="Times New Roman"/>
          <w:szCs w:val="24"/>
          <w:lang w:val="en-AU" w:eastAsia="en-AU"/>
        </w:rPr>
        <w:t xml:space="preserve"> </w:t>
      </w:r>
    </w:p>
    <w:p w14:paraId="6826AB30" w14:textId="212B366B" w:rsidR="000A13DF" w:rsidRPr="009B0783" w:rsidRDefault="000A13DF" w:rsidP="001B01E2">
      <w:pPr>
        <w:contextualSpacing/>
        <w:jc w:val="both"/>
        <w:rPr>
          <w:rFonts w:eastAsia="Times New Roman"/>
          <w:szCs w:val="24"/>
          <w:lang w:val="en-AU" w:eastAsia="en-AU"/>
        </w:rPr>
      </w:pPr>
      <w:r w:rsidRPr="009B0783">
        <w:rPr>
          <w:rFonts w:eastAsia="Times New Roman"/>
          <w:szCs w:val="24"/>
          <w:lang w:val="en-AU" w:eastAsia="en-AU"/>
        </w:rPr>
        <w:t xml:space="preserve">While </w:t>
      </w:r>
      <w:r>
        <w:rPr>
          <w:rFonts w:eastAsia="Times New Roman"/>
          <w:szCs w:val="24"/>
          <w:lang w:val="en-AU" w:eastAsia="en-AU"/>
        </w:rPr>
        <w:t>EP activities were operationalised via national (i.e. centralised) systems, implicit in the design of those activities was the importance of generating a positive impact at the sub-national level in order to enhance the sustainability of outcomes</w:t>
      </w:r>
      <w:r w:rsidRPr="009B0783">
        <w:rPr>
          <w:rFonts w:eastAsia="Times New Roman"/>
          <w:szCs w:val="24"/>
          <w:vertAlign w:val="superscript"/>
          <w:lang w:val="en-AU" w:eastAsia="en-AU"/>
        </w:rPr>
        <w:footnoteReference w:id="1"/>
      </w:r>
      <w:r>
        <w:rPr>
          <w:rFonts w:eastAsia="Times New Roman"/>
          <w:szCs w:val="24"/>
          <w:lang w:val="en-AU" w:eastAsia="en-AU"/>
        </w:rPr>
        <w:t>. As such, i</w:t>
      </w:r>
      <w:r w:rsidRPr="009B0783">
        <w:rPr>
          <w:rFonts w:eastAsia="Times New Roman"/>
          <w:szCs w:val="24"/>
          <w:lang w:val="en-AU" w:eastAsia="en-AU"/>
        </w:rPr>
        <w:t>nterviews were also conducted in a sample of districts</w:t>
      </w:r>
      <w:r>
        <w:rPr>
          <w:rFonts w:eastAsia="Times New Roman"/>
          <w:szCs w:val="24"/>
          <w:lang w:val="en-AU" w:eastAsia="en-AU"/>
        </w:rPr>
        <w:t xml:space="preserve"> in which EP activities were conducted</w:t>
      </w:r>
      <w:r w:rsidR="00A14336">
        <w:rPr>
          <w:rStyle w:val="FootnoteReference"/>
          <w:rFonts w:eastAsia="Times New Roman"/>
          <w:szCs w:val="24"/>
          <w:lang w:val="en-AU" w:eastAsia="en-AU"/>
        </w:rPr>
        <w:footnoteReference w:id="2"/>
      </w:r>
      <w:r w:rsidRPr="009B0783">
        <w:rPr>
          <w:rFonts w:eastAsia="Times New Roman"/>
          <w:szCs w:val="24"/>
          <w:lang w:val="en-AU" w:eastAsia="en-AU"/>
        </w:rPr>
        <w:t xml:space="preserve">. </w:t>
      </w:r>
      <w:r>
        <w:rPr>
          <w:rFonts w:eastAsia="Times New Roman"/>
          <w:szCs w:val="24"/>
          <w:lang w:val="en-AU" w:eastAsia="en-AU"/>
        </w:rPr>
        <w:t>A</w:t>
      </w:r>
      <w:r w:rsidRPr="009B0783">
        <w:rPr>
          <w:rFonts w:eastAsia="Times New Roman"/>
          <w:szCs w:val="24"/>
          <w:lang w:val="en-AU" w:eastAsia="en-AU"/>
        </w:rPr>
        <w:t>n understanding of the achievements</w:t>
      </w:r>
      <w:r>
        <w:rPr>
          <w:rFonts w:eastAsia="Times New Roman"/>
          <w:szCs w:val="24"/>
          <w:lang w:val="en-AU" w:eastAsia="en-AU"/>
        </w:rPr>
        <w:t xml:space="preserve"> of the EP at the sub-national </w:t>
      </w:r>
      <w:r w:rsidRPr="009B0783">
        <w:rPr>
          <w:rFonts w:eastAsia="Times New Roman"/>
          <w:szCs w:val="24"/>
          <w:lang w:val="en-AU" w:eastAsia="en-AU"/>
        </w:rPr>
        <w:t>l</w:t>
      </w:r>
      <w:r>
        <w:rPr>
          <w:rFonts w:eastAsia="Times New Roman"/>
          <w:szCs w:val="24"/>
          <w:lang w:val="en-AU" w:eastAsia="en-AU"/>
        </w:rPr>
        <w:t>e</w:t>
      </w:r>
      <w:r w:rsidRPr="009B0783">
        <w:rPr>
          <w:rFonts w:eastAsia="Times New Roman"/>
          <w:szCs w:val="24"/>
          <w:lang w:val="en-AU" w:eastAsia="en-AU"/>
        </w:rPr>
        <w:t xml:space="preserve">vel and </w:t>
      </w:r>
      <w:r w:rsidR="00A14336">
        <w:rPr>
          <w:rFonts w:eastAsia="Times New Roman"/>
          <w:szCs w:val="24"/>
          <w:lang w:val="en-AU" w:eastAsia="en-AU"/>
        </w:rPr>
        <w:t xml:space="preserve">the </w:t>
      </w:r>
      <w:r w:rsidRPr="009B0783">
        <w:rPr>
          <w:rFonts w:eastAsia="Times New Roman"/>
          <w:szCs w:val="24"/>
          <w:lang w:val="en-AU" w:eastAsia="en-AU"/>
        </w:rPr>
        <w:t xml:space="preserve">general perceptions of the program by sub-national actors </w:t>
      </w:r>
      <w:r w:rsidR="00A14336">
        <w:rPr>
          <w:rFonts w:eastAsia="Times New Roman"/>
          <w:szCs w:val="24"/>
          <w:lang w:val="en-AU" w:eastAsia="en-AU"/>
        </w:rPr>
        <w:t xml:space="preserve">are </w:t>
      </w:r>
      <w:r>
        <w:rPr>
          <w:rFonts w:eastAsia="Times New Roman"/>
          <w:szCs w:val="24"/>
          <w:lang w:val="en-AU" w:eastAsia="en-AU"/>
        </w:rPr>
        <w:t>also highly</w:t>
      </w:r>
      <w:r w:rsidRPr="009B0783">
        <w:rPr>
          <w:rFonts w:eastAsia="Times New Roman"/>
          <w:szCs w:val="24"/>
          <w:lang w:val="en-AU" w:eastAsia="en-AU"/>
        </w:rPr>
        <w:t xml:space="preserve"> relevant for elements of the current and upcoming portfolio of</w:t>
      </w:r>
      <w:r w:rsidR="00CF081F">
        <w:rPr>
          <w:rFonts w:eastAsia="Times New Roman"/>
          <w:szCs w:val="24"/>
          <w:lang w:val="en-AU" w:eastAsia="en-AU"/>
        </w:rPr>
        <w:t xml:space="preserve"> </w:t>
      </w:r>
      <w:r w:rsidR="00BF3EA1">
        <w:rPr>
          <w:rFonts w:eastAsia="Times New Roman"/>
          <w:szCs w:val="24"/>
          <w:lang w:val="en-AU" w:eastAsia="en-AU"/>
        </w:rPr>
        <w:t>the Government of Australia’s (</w:t>
      </w:r>
      <w:r w:rsidRPr="009B0783">
        <w:rPr>
          <w:rFonts w:eastAsia="Times New Roman"/>
          <w:szCs w:val="24"/>
          <w:lang w:val="en-AU" w:eastAsia="en-AU"/>
        </w:rPr>
        <w:t>GoA</w:t>
      </w:r>
      <w:r w:rsidR="00BF3EA1">
        <w:rPr>
          <w:rFonts w:eastAsia="Times New Roman"/>
          <w:szCs w:val="24"/>
          <w:lang w:val="en-AU" w:eastAsia="en-AU"/>
        </w:rPr>
        <w:t>)</w:t>
      </w:r>
      <w:r w:rsidRPr="009B0783">
        <w:rPr>
          <w:rFonts w:eastAsia="Times New Roman"/>
          <w:szCs w:val="24"/>
          <w:lang w:val="en-AU" w:eastAsia="en-AU"/>
        </w:rPr>
        <w:t xml:space="preserve"> activities in the Indonesian education sector.</w:t>
      </w:r>
    </w:p>
    <w:p w14:paraId="6826AB31" w14:textId="77777777" w:rsidR="000A13DF" w:rsidRPr="005540B8" w:rsidRDefault="000A13DF" w:rsidP="00082D8B">
      <w:pPr>
        <w:pStyle w:val="Heading2"/>
      </w:pPr>
      <w:bookmarkStart w:id="15" w:name="_Toc473786286"/>
      <w:r w:rsidRPr="005540B8">
        <w:t>Limitations</w:t>
      </w:r>
      <w:bookmarkEnd w:id="15"/>
    </w:p>
    <w:p w14:paraId="6826AB32" w14:textId="66984251" w:rsidR="000A13DF" w:rsidRPr="009B0783" w:rsidRDefault="000A13DF" w:rsidP="002C164F">
      <w:pPr>
        <w:jc w:val="both"/>
        <w:rPr>
          <w:rFonts w:eastAsia="Times New Roman" w:cs="Arial"/>
          <w:lang w:val="en-AU" w:eastAsia="en-AU"/>
        </w:rPr>
      </w:pPr>
      <w:r w:rsidRPr="009B0783">
        <w:rPr>
          <w:rFonts w:eastAsia="Times New Roman" w:cs="Arial"/>
          <w:lang w:val="en-AU" w:eastAsia="en-AU"/>
        </w:rPr>
        <w:t>The EP consist</w:t>
      </w:r>
      <w:r>
        <w:rPr>
          <w:rFonts w:eastAsia="Times New Roman" w:cs="Arial"/>
          <w:lang w:val="en-AU" w:eastAsia="en-AU"/>
        </w:rPr>
        <w:t>ed of a range of activities of varying duration</w:t>
      </w:r>
      <w:r w:rsidRPr="009B0783">
        <w:rPr>
          <w:rFonts w:eastAsia="Times New Roman" w:cs="Arial"/>
          <w:lang w:val="en-AU" w:eastAsia="en-AU"/>
        </w:rPr>
        <w:t xml:space="preserve">. Of the four main </w:t>
      </w:r>
      <w:r>
        <w:rPr>
          <w:rFonts w:eastAsia="Times New Roman" w:cs="Arial"/>
          <w:lang w:val="en-AU" w:eastAsia="en-AU"/>
        </w:rPr>
        <w:t>c</w:t>
      </w:r>
      <w:r w:rsidRPr="00F31D36">
        <w:rPr>
          <w:rFonts w:eastAsia="Times New Roman" w:cs="Arial"/>
          <w:lang w:val="en-AU" w:eastAsia="en-AU"/>
        </w:rPr>
        <w:t xml:space="preserve">omponents </w:t>
      </w:r>
      <w:r>
        <w:rPr>
          <w:rFonts w:eastAsia="Times New Roman" w:cs="Arial"/>
          <w:lang w:val="en-AU" w:eastAsia="en-AU"/>
        </w:rPr>
        <w:t xml:space="preserve">of the partnership, only Components </w:t>
      </w:r>
      <w:r w:rsidR="00CF081F">
        <w:rPr>
          <w:rFonts w:eastAsia="Times New Roman" w:cs="Arial"/>
          <w:lang w:val="en-AU" w:eastAsia="en-AU"/>
        </w:rPr>
        <w:t xml:space="preserve">2 </w:t>
      </w:r>
      <w:r>
        <w:rPr>
          <w:rFonts w:eastAsia="Times New Roman" w:cs="Arial"/>
          <w:lang w:val="en-AU" w:eastAsia="en-AU"/>
        </w:rPr>
        <w:t xml:space="preserve">and </w:t>
      </w:r>
      <w:r w:rsidR="00CF081F">
        <w:rPr>
          <w:rFonts w:eastAsia="Times New Roman" w:cs="Arial"/>
          <w:lang w:val="en-AU" w:eastAsia="en-AU"/>
        </w:rPr>
        <w:t>3</w:t>
      </w:r>
      <w:r w:rsidR="00CF081F" w:rsidRPr="009B0783">
        <w:rPr>
          <w:rFonts w:eastAsia="Times New Roman" w:cs="Arial"/>
          <w:lang w:val="en-AU" w:eastAsia="en-AU"/>
        </w:rPr>
        <w:t xml:space="preserve"> </w:t>
      </w:r>
      <w:r w:rsidRPr="009B0783">
        <w:rPr>
          <w:rFonts w:eastAsia="Times New Roman" w:cs="Arial"/>
          <w:lang w:val="en-AU" w:eastAsia="en-AU"/>
        </w:rPr>
        <w:t>had officially concluded at the time of writing</w:t>
      </w:r>
      <w:r w:rsidR="00B240E9">
        <w:rPr>
          <w:rFonts w:eastAsia="Times New Roman" w:cs="Arial"/>
          <w:lang w:val="en-AU" w:eastAsia="en-AU"/>
        </w:rPr>
        <w:t xml:space="preserve"> in September-October 2016</w:t>
      </w:r>
      <w:r w:rsidRPr="009B0783">
        <w:rPr>
          <w:rFonts w:eastAsia="Times New Roman" w:cs="Arial"/>
          <w:lang w:val="en-AU" w:eastAsia="en-AU"/>
        </w:rPr>
        <w:t xml:space="preserve">. Component </w:t>
      </w:r>
      <w:r w:rsidR="00CF081F">
        <w:rPr>
          <w:rFonts w:eastAsia="Times New Roman" w:cs="Arial"/>
          <w:lang w:val="en-AU" w:eastAsia="en-AU"/>
        </w:rPr>
        <w:t>1</w:t>
      </w:r>
      <w:r w:rsidR="00CF081F" w:rsidRPr="009B0783">
        <w:rPr>
          <w:rFonts w:eastAsia="Times New Roman" w:cs="Arial"/>
          <w:lang w:val="en-AU" w:eastAsia="en-AU"/>
        </w:rPr>
        <w:t xml:space="preserve"> </w:t>
      </w:r>
      <w:r w:rsidRPr="009B0783">
        <w:rPr>
          <w:rFonts w:eastAsia="Times New Roman" w:cs="Arial"/>
          <w:lang w:val="en-AU" w:eastAsia="en-AU"/>
        </w:rPr>
        <w:t xml:space="preserve">was </w:t>
      </w:r>
      <w:r>
        <w:rPr>
          <w:rFonts w:eastAsia="Times New Roman" w:cs="Arial"/>
          <w:lang w:val="en-AU" w:eastAsia="en-AU"/>
        </w:rPr>
        <w:t xml:space="preserve">also </w:t>
      </w:r>
      <w:r w:rsidRPr="009B0783">
        <w:rPr>
          <w:rFonts w:eastAsia="Times New Roman" w:cs="Arial"/>
          <w:lang w:val="en-AU" w:eastAsia="en-AU"/>
        </w:rPr>
        <w:t xml:space="preserve">originally scheduled to conclude on June 30, 2016, but was subsequently extended to </w:t>
      </w:r>
      <w:r w:rsidR="00794F2E">
        <w:rPr>
          <w:rFonts w:eastAsia="Times New Roman" w:cs="Arial"/>
          <w:lang w:val="en-AU" w:eastAsia="en-AU"/>
        </w:rPr>
        <w:t>January</w:t>
      </w:r>
      <w:r w:rsidRPr="009B0783">
        <w:rPr>
          <w:rFonts w:eastAsia="Times New Roman" w:cs="Arial"/>
          <w:lang w:val="en-AU" w:eastAsia="en-AU"/>
        </w:rPr>
        <w:t xml:space="preserve"> 31, 201</w:t>
      </w:r>
      <w:r>
        <w:rPr>
          <w:rFonts w:eastAsia="Times New Roman" w:cs="Arial"/>
          <w:lang w:val="en-AU" w:eastAsia="en-AU"/>
        </w:rPr>
        <w:t>7</w:t>
      </w:r>
      <w:r w:rsidRPr="009B0783">
        <w:rPr>
          <w:rFonts w:eastAsia="Times New Roman" w:cs="Arial"/>
          <w:lang w:val="en-AU" w:eastAsia="en-AU"/>
        </w:rPr>
        <w:t>. While the extension does not compromise the validity of our assessment of that component, it does mean that some of the figures presented in this report remain provisional. The</w:t>
      </w:r>
      <w:r w:rsidR="00AB615D">
        <w:rPr>
          <w:rFonts w:eastAsia="Times New Roman" w:cs="Arial"/>
          <w:lang w:val="en-AU" w:eastAsia="en-AU"/>
        </w:rPr>
        <w:t xml:space="preserve"> Analytical and Capacity Development Partnership</w:t>
      </w:r>
      <w:r w:rsidR="00AB615D">
        <w:rPr>
          <w:rStyle w:val="EndnoteReference"/>
          <w:rFonts w:eastAsia="Times New Roman" w:cs="Arial"/>
          <w:lang w:val="en-AU" w:eastAsia="en-AU"/>
        </w:rPr>
        <w:endnoteReference w:id="3"/>
      </w:r>
      <w:r w:rsidRPr="009B0783">
        <w:rPr>
          <w:rFonts w:eastAsia="Times New Roman" w:cs="Arial"/>
          <w:lang w:val="en-AU" w:eastAsia="en-AU"/>
        </w:rPr>
        <w:t xml:space="preserve"> (C4) was originally scheduled to conclude on December 31</w:t>
      </w:r>
      <w:r>
        <w:rPr>
          <w:rFonts w:eastAsia="Times New Roman" w:cs="Arial"/>
          <w:lang w:val="en-AU" w:eastAsia="en-AU"/>
        </w:rPr>
        <w:t>,</w:t>
      </w:r>
      <w:r w:rsidRPr="009B0783">
        <w:rPr>
          <w:rFonts w:eastAsia="Times New Roman" w:cs="Arial"/>
          <w:lang w:val="en-AU" w:eastAsia="en-AU"/>
        </w:rPr>
        <w:t xml:space="preserve"> 2015. DFAT formally approved an 18 month no</w:t>
      </w:r>
      <w:r>
        <w:rPr>
          <w:rFonts w:eastAsia="Times New Roman" w:cs="Arial"/>
          <w:lang w:val="en-AU" w:eastAsia="en-AU"/>
        </w:rPr>
        <w:t>-</w:t>
      </w:r>
      <w:r w:rsidRPr="009B0783">
        <w:rPr>
          <w:rFonts w:eastAsia="Times New Roman" w:cs="Arial"/>
          <w:lang w:val="en-AU" w:eastAsia="en-AU"/>
        </w:rPr>
        <w:t>cost extension to C4 in February 2016. Once again, while POM is confident that findings generated in relation to C4 are defendable at the time of writing, the relevance of those findings may be affected by developments subsequent to the writing of this report.</w:t>
      </w:r>
    </w:p>
    <w:p w14:paraId="22BA2906" w14:textId="77777777" w:rsidR="00FA14CE" w:rsidRDefault="00FA14CE">
      <w:pPr>
        <w:spacing w:after="0" w:line="240" w:lineRule="auto"/>
        <w:rPr>
          <w:rFonts w:eastAsia="Times New Roman" w:cs="Calibri"/>
          <w:b/>
          <w:bCs/>
          <w:color w:val="003880"/>
          <w:kern w:val="32"/>
          <w:sz w:val="28"/>
          <w:szCs w:val="28"/>
          <w:lang w:val="en-AU"/>
        </w:rPr>
      </w:pPr>
      <w:bookmarkStart w:id="16" w:name="_Toc473786287"/>
      <w:r>
        <w:br w:type="page"/>
      </w:r>
    </w:p>
    <w:p w14:paraId="6826AB34" w14:textId="1238A90E" w:rsidR="000A13DF" w:rsidRPr="004B2398" w:rsidRDefault="000A13DF" w:rsidP="00F300B3">
      <w:pPr>
        <w:pStyle w:val="Heading1"/>
      </w:pPr>
      <w:r w:rsidRPr="004B2398">
        <w:t>Overview of the Education Partnership</w:t>
      </w:r>
      <w:bookmarkEnd w:id="16"/>
      <w:r w:rsidRPr="004B2398">
        <w:t xml:space="preserve"> </w:t>
      </w:r>
    </w:p>
    <w:p w14:paraId="6826AB35" w14:textId="77777777" w:rsidR="000A13DF" w:rsidRPr="005540B8" w:rsidRDefault="000A13DF" w:rsidP="00082D8B">
      <w:pPr>
        <w:pStyle w:val="Heading2"/>
      </w:pPr>
      <w:bookmarkStart w:id="17" w:name="_Toc473786288"/>
      <w:r w:rsidRPr="005540B8">
        <w:t>The Education Partnership</w:t>
      </w:r>
      <w:bookmarkEnd w:id="17"/>
    </w:p>
    <w:p w14:paraId="6826AB36" w14:textId="707D1740" w:rsidR="000A13DF" w:rsidRPr="005C2D83" w:rsidRDefault="000A13DF" w:rsidP="000A13DF">
      <w:pPr>
        <w:jc w:val="both"/>
        <w:rPr>
          <w:rFonts w:cs="Arial"/>
        </w:rPr>
      </w:pPr>
      <w:r w:rsidRPr="005C2D83">
        <w:rPr>
          <w:rFonts w:cs="Arial"/>
        </w:rPr>
        <w:t xml:space="preserve">Australia’s Education Partnership with Indonesia was designed to </w:t>
      </w:r>
      <w:r w:rsidR="004B0A01">
        <w:rPr>
          <w:rFonts w:cs="Arial"/>
        </w:rPr>
        <w:t>“</w:t>
      </w:r>
      <w:r w:rsidRPr="005C2D83">
        <w:rPr>
          <w:rFonts w:cs="Arial"/>
        </w:rPr>
        <w:t xml:space="preserve">assist the GoI to achieve its Renstra </w:t>
      </w:r>
      <w:r>
        <w:rPr>
          <w:rFonts w:cs="Arial"/>
        </w:rPr>
        <w:t xml:space="preserve">[MoEC and MoRA Strategic Plans, 2010-2014] </w:t>
      </w:r>
      <w:r w:rsidRPr="005C2D83">
        <w:rPr>
          <w:rFonts w:cs="Arial"/>
        </w:rPr>
        <w:t xml:space="preserve">priorities through contributing </w:t>
      </w:r>
      <w:r w:rsidR="00B240E9">
        <w:rPr>
          <w:rFonts w:cs="Arial"/>
        </w:rPr>
        <w:t>[</w:t>
      </w:r>
      <w:r>
        <w:rPr>
          <w:rFonts w:cs="Arial"/>
        </w:rPr>
        <w:t>sic</w:t>
      </w:r>
      <w:r w:rsidR="00B240E9">
        <w:rPr>
          <w:rFonts w:cs="Arial"/>
        </w:rPr>
        <w:t>]</w:t>
      </w:r>
      <w:r>
        <w:rPr>
          <w:rFonts w:cs="Arial"/>
        </w:rPr>
        <w:t xml:space="preserve"> </w:t>
      </w:r>
      <w:r w:rsidRPr="005C2D83">
        <w:rPr>
          <w:rFonts w:cs="Arial"/>
        </w:rPr>
        <w:t>to the GoI’s Education Sector Support Program (ESSP)</w:t>
      </w:r>
      <w:r w:rsidR="004B0A01">
        <w:rPr>
          <w:rFonts w:cs="Arial"/>
        </w:rPr>
        <w:t>”</w:t>
      </w:r>
      <w:r w:rsidRPr="005C2D83">
        <w:rPr>
          <w:rFonts w:cs="Arial"/>
          <w:vertAlign w:val="superscript"/>
        </w:rPr>
        <w:endnoteReference w:id="4"/>
      </w:r>
      <w:r w:rsidRPr="005C2D83">
        <w:rPr>
          <w:rFonts w:cs="Arial"/>
        </w:rPr>
        <w:t>. The ESSP was projected to disburse AUD</w:t>
      </w:r>
      <w:r>
        <w:rPr>
          <w:rFonts w:cs="Arial"/>
        </w:rPr>
        <w:t xml:space="preserve"> </w:t>
      </w:r>
      <w:r w:rsidRPr="005C2D83">
        <w:rPr>
          <w:rFonts w:cs="Arial"/>
        </w:rPr>
        <w:t xml:space="preserve">987 </w:t>
      </w:r>
      <w:r>
        <w:rPr>
          <w:rFonts w:cs="Arial"/>
        </w:rPr>
        <w:t xml:space="preserve">million </w:t>
      </w:r>
      <w:r w:rsidRPr="005C2D83">
        <w:rPr>
          <w:rFonts w:cs="Arial"/>
        </w:rPr>
        <w:t>over a five-year period via three donor partners: GoA (AUD</w:t>
      </w:r>
      <w:r>
        <w:rPr>
          <w:rFonts w:cs="Arial"/>
        </w:rPr>
        <w:t xml:space="preserve"> </w:t>
      </w:r>
      <w:r w:rsidRPr="005C2D83">
        <w:rPr>
          <w:rFonts w:cs="Arial"/>
        </w:rPr>
        <w:t>500 million)</w:t>
      </w:r>
      <w:r w:rsidR="00D969B4">
        <w:rPr>
          <w:rFonts w:cs="Arial"/>
        </w:rPr>
        <w:t>,</w:t>
      </w:r>
      <w:r w:rsidRPr="005C2D83">
        <w:rPr>
          <w:rFonts w:cs="Arial"/>
        </w:rPr>
        <w:t xml:space="preserve"> the European Union (</w:t>
      </w:r>
      <w:r>
        <w:rPr>
          <w:rFonts w:cs="Arial"/>
        </w:rPr>
        <w:t>EUR 345 million</w:t>
      </w:r>
      <w:r w:rsidRPr="005C2D83">
        <w:rPr>
          <w:rFonts w:cs="Arial"/>
        </w:rPr>
        <w:t>) and the Asian Development Bank (</w:t>
      </w:r>
      <w:r>
        <w:rPr>
          <w:rFonts w:cs="Arial"/>
        </w:rPr>
        <w:t xml:space="preserve">USD </w:t>
      </w:r>
      <w:r w:rsidRPr="005C2D83">
        <w:rPr>
          <w:rFonts w:cs="Arial"/>
        </w:rPr>
        <w:t>2.</w:t>
      </w:r>
      <w:r>
        <w:rPr>
          <w:rFonts w:cs="Arial"/>
        </w:rPr>
        <w:t>2</w:t>
      </w:r>
      <w:r w:rsidRPr="005C2D83">
        <w:rPr>
          <w:rFonts w:cs="Arial"/>
        </w:rPr>
        <w:t xml:space="preserve"> million). All donor support to the ESSP was </w:t>
      </w:r>
      <w:r w:rsidR="004B0A01">
        <w:rPr>
          <w:rFonts w:cs="Arial"/>
        </w:rPr>
        <w:t>“</w:t>
      </w:r>
      <w:r w:rsidRPr="005C2D83">
        <w:rPr>
          <w:rFonts w:cs="Arial"/>
        </w:rPr>
        <w:t>formulated based on Indonesia’s requests for both budget support and targeted assistance for Renstra priorities</w:t>
      </w:r>
      <w:r w:rsidR="004B0A01">
        <w:rPr>
          <w:rFonts w:cs="Arial"/>
        </w:rPr>
        <w:t>”</w:t>
      </w:r>
      <w:r w:rsidRPr="005C2D83">
        <w:rPr>
          <w:rFonts w:cs="Arial"/>
          <w:vertAlign w:val="superscript"/>
        </w:rPr>
        <w:endnoteReference w:id="5"/>
      </w:r>
      <w:r w:rsidRPr="005C2D83">
        <w:rPr>
          <w:rFonts w:cs="Arial"/>
        </w:rPr>
        <w:t>.</w:t>
      </w:r>
      <w:r w:rsidR="00987A7A">
        <w:rPr>
          <w:rFonts w:cs="Arial"/>
        </w:rPr>
        <w:t xml:space="preserve"> </w:t>
      </w:r>
    </w:p>
    <w:p w14:paraId="6826AB37" w14:textId="77777777" w:rsidR="000A13DF" w:rsidRPr="005D24E2" w:rsidRDefault="000A13DF" w:rsidP="000A13DF">
      <w:pPr>
        <w:jc w:val="both"/>
        <w:rPr>
          <w:rFonts w:cs="Arial"/>
        </w:rPr>
      </w:pPr>
      <w:r w:rsidRPr="005C2D83">
        <w:rPr>
          <w:rFonts w:cs="Arial"/>
        </w:rPr>
        <w:t xml:space="preserve">GoA’s contribution to the ESSP consisted of four </w:t>
      </w:r>
      <w:r w:rsidRPr="005D24E2">
        <w:rPr>
          <w:rFonts w:cs="Arial"/>
        </w:rPr>
        <w:t xml:space="preserve">specific </w:t>
      </w:r>
      <w:r w:rsidR="005D24E2" w:rsidRPr="005D24E2">
        <w:rPr>
          <w:rFonts w:cs="Arial"/>
        </w:rPr>
        <w:t>c</w:t>
      </w:r>
      <w:r w:rsidRPr="005D24E2">
        <w:rPr>
          <w:rFonts w:cs="Arial"/>
        </w:rPr>
        <w:t>omponents:</w:t>
      </w:r>
    </w:p>
    <w:p w14:paraId="6826AB38" w14:textId="77777777" w:rsidR="000A13DF" w:rsidRPr="00F7738B" w:rsidRDefault="000A13DF" w:rsidP="002C7568">
      <w:pPr>
        <w:pStyle w:val="ListParagraph"/>
        <w:numPr>
          <w:ilvl w:val="0"/>
          <w:numId w:val="3"/>
        </w:numPr>
        <w:spacing w:before="120"/>
        <w:jc w:val="both"/>
        <w:rPr>
          <w:lang w:eastAsia="en-AU"/>
        </w:rPr>
      </w:pPr>
      <w:r>
        <w:rPr>
          <w:rFonts w:cs="Arial"/>
        </w:rPr>
        <w:t>Construction or expansion of schools, with a view to increasing e</w:t>
      </w:r>
      <w:r w:rsidRPr="00F7738B">
        <w:rPr>
          <w:lang w:eastAsia="en-AU"/>
        </w:rPr>
        <w:t xml:space="preserve">nrolment in </w:t>
      </w:r>
      <w:r>
        <w:rPr>
          <w:lang w:eastAsia="en-AU"/>
        </w:rPr>
        <w:t>junior secondary education</w:t>
      </w:r>
      <w:r w:rsidRPr="00F7738B">
        <w:rPr>
          <w:lang w:eastAsia="en-AU"/>
        </w:rPr>
        <w:t xml:space="preserve"> in participating districts (Component 1</w:t>
      </w:r>
      <w:r>
        <w:rPr>
          <w:lang w:eastAsia="en-AU"/>
        </w:rPr>
        <w:t xml:space="preserve"> or C1</w:t>
      </w:r>
      <w:r w:rsidRPr="00F7738B">
        <w:rPr>
          <w:lang w:eastAsia="en-AU"/>
        </w:rPr>
        <w:t xml:space="preserve">). </w:t>
      </w:r>
    </w:p>
    <w:p w14:paraId="6826AB39" w14:textId="77777777" w:rsidR="000A13DF" w:rsidRPr="00F7738B" w:rsidRDefault="000A13DF" w:rsidP="002C7568">
      <w:pPr>
        <w:pStyle w:val="ListParagraph"/>
        <w:numPr>
          <w:ilvl w:val="0"/>
          <w:numId w:val="3"/>
        </w:numPr>
        <w:spacing w:before="120"/>
        <w:jc w:val="both"/>
        <w:rPr>
          <w:lang w:eastAsia="en-AU"/>
        </w:rPr>
      </w:pPr>
      <w:r>
        <w:rPr>
          <w:lang w:eastAsia="en-AU"/>
        </w:rPr>
        <w:t xml:space="preserve">A suite of </w:t>
      </w:r>
      <w:r w:rsidR="00B240E9">
        <w:rPr>
          <w:lang w:eastAsia="en-AU"/>
        </w:rPr>
        <w:t xml:space="preserve">related </w:t>
      </w:r>
      <w:r>
        <w:rPr>
          <w:lang w:eastAsia="en-AU"/>
        </w:rPr>
        <w:t xml:space="preserve">programs to improve school/madrasah </w:t>
      </w:r>
      <w:r w:rsidR="00BB0E78">
        <w:rPr>
          <w:lang w:eastAsia="en-AU"/>
        </w:rPr>
        <w:t xml:space="preserve">(Islamic school) </w:t>
      </w:r>
      <w:r>
        <w:rPr>
          <w:lang w:eastAsia="en-AU"/>
        </w:rPr>
        <w:t>management, at the core of which was the development of a</w:t>
      </w:r>
      <w:r w:rsidR="00B240E9">
        <w:rPr>
          <w:lang w:eastAsia="en-AU"/>
        </w:rPr>
        <w:t xml:space="preserve"> system for the</w:t>
      </w:r>
      <w:r>
        <w:rPr>
          <w:lang w:eastAsia="en-AU"/>
        </w:rPr>
        <w:t xml:space="preserve"> continuous professional development </w:t>
      </w:r>
      <w:r w:rsidR="00B240E9">
        <w:rPr>
          <w:lang w:eastAsia="en-AU"/>
        </w:rPr>
        <w:t>of</w:t>
      </w:r>
      <w:r>
        <w:rPr>
          <w:lang w:eastAsia="en-AU"/>
        </w:rPr>
        <w:t xml:space="preserve"> principals, supervisors, and district office education officials</w:t>
      </w:r>
      <w:r w:rsidRPr="00F7738B">
        <w:rPr>
          <w:lang w:eastAsia="en-AU"/>
        </w:rPr>
        <w:t xml:space="preserve"> (Component 2</w:t>
      </w:r>
      <w:r>
        <w:rPr>
          <w:lang w:eastAsia="en-AU"/>
        </w:rPr>
        <w:t xml:space="preserve"> or C2</w:t>
      </w:r>
      <w:r w:rsidRPr="00F7738B">
        <w:rPr>
          <w:lang w:eastAsia="en-AU"/>
        </w:rPr>
        <w:t xml:space="preserve">). </w:t>
      </w:r>
    </w:p>
    <w:p w14:paraId="6826AB3A" w14:textId="77777777" w:rsidR="000A13DF" w:rsidRPr="00F7738B" w:rsidRDefault="000A13DF" w:rsidP="002C7568">
      <w:pPr>
        <w:pStyle w:val="ListParagraph"/>
        <w:numPr>
          <w:ilvl w:val="0"/>
          <w:numId w:val="3"/>
        </w:numPr>
        <w:spacing w:before="120"/>
        <w:jc w:val="both"/>
        <w:rPr>
          <w:lang w:eastAsia="en-AU"/>
        </w:rPr>
      </w:pPr>
      <w:r>
        <w:rPr>
          <w:lang w:eastAsia="en-AU"/>
        </w:rPr>
        <w:t>Support for madrasah accreditation, with a view to improving the q</w:t>
      </w:r>
      <w:r w:rsidRPr="00F7738B">
        <w:rPr>
          <w:lang w:eastAsia="en-AU"/>
        </w:rPr>
        <w:t>ualit</w:t>
      </w:r>
      <w:r>
        <w:rPr>
          <w:lang w:eastAsia="en-AU"/>
        </w:rPr>
        <w:t>y of madrasah service provision</w:t>
      </w:r>
      <w:r w:rsidRPr="00F7738B">
        <w:rPr>
          <w:lang w:eastAsia="en-AU"/>
        </w:rPr>
        <w:t xml:space="preserve"> in targeted districts (Component 3</w:t>
      </w:r>
      <w:r>
        <w:rPr>
          <w:lang w:eastAsia="en-AU"/>
        </w:rPr>
        <w:t xml:space="preserve"> or C3</w:t>
      </w:r>
      <w:r w:rsidRPr="00F7738B">
        <w:rPr>
          <w:lang w:eastAsia="en-AU"/>
        </w:rPr>
        <w:t>).</w:t>
      </w:r>
    </w:p>
    <w:p w14:paraId="6826AB3B" w14:textId="77777777" w:rsidR="000A13DF" w:rsidRPr="00F7738B" w:rsidRDefault="000A13DF" w:rsidP="002C7568">
      <w:pPr>
        <w:pStyle w:val="ListParagraph"/>
        <w:numPr>
          <w:ilvl w:val="0"/>
          <w:numId w:val="3"/>
        </w:numPr>
        <w:spacing w:before="120"/>
        <w:jc w:val="both"/>
        <w:rPr>
          <w:lang w:eastAsia="en-AU"/>
        </w:rPr>
      </w:pPr>
      <w:r>
        <w:rPr>
          <w:lang w:eastAsia="en-AU"/>
        </w:rPr>
        <w:t xml:space="preserve">Support for a multi-donor analytical and capacity development </w:t>
      </w:r>
      <w:r w:rsidR="009E0CB3">
        <w:rPr>
          <w:lang w:eastAsia="en-AU"/>
        </w:rPr>
        <w:t>facility</w:t>
      </w:r>
      <w:r>
        <w:rPr>
          <w:lang w:eastAsia="en-AU"/>
        </w:rPr>
        <w:t>, with a view to its e</w:t>
      </w:r>
      <w:r w:rsidRPr="00F7738B">
        <w:rPr>
          <w:lang w:eastAsia="en-AU"/>
        </w:rPr>
        <w:t xml:space="preserve">vidence </w:t>
      </w:r>
      <w:r>
        <w:rPr>
          <w:lang w:eastAsia="en-AU"/>
        </w:rPr>
        <w:t>being</w:t>
      </w:r>
      <w:r w:rsidRPr="00F7738B">
        <w:rPr>
          <w:lang w:eastAsia="en-AU"/>
        </w:rPr>
        <w:t xml:space="preserve"> incorporated in relevant education sector policies, regulations, plans and budgets (Component 4</w:t>
      </w:r>
      <w:r>
        <w:rPr>
          <w:lang w:eastAsia="en-AU"/>
        </w:rPr>
        <w:t xml:space="preserve"> or C4</w:t>
      </w:r>
      <w:r w:rsidRPr="00F7738B">
        <w:rPr>
          <w:lang w:eastAsia="en-AU"/>
        </w:rPr>
        <w:t>).</w:t>
      </w:r>
    </w:p>
    <w:p w14:paraId="6826AB3C" w14:textId="77777777" w:rsidR="000A13DF" w:rsidRPr="005C2D83" w:rsidRDefault="000A13DF" w:rsidP="000A13DF">
      <w:pPr>
        <w:jc w:val="both"/>
        <w:rPr>
          <w:rFonts w:cs="Arial"/>
        </w:rPr>
      </w:pPr>
      <w:r>
        <w:rPr>
          <w:rFonts w:cs="Arial"/>
        </w:rPr>
        <w:t>T</w:t>
      </w:r>
      <w:r w:rsidRPr="005C2D83">
        <w:rPr>
          <w:rFonts w:cs="Arial"/>
        </w:rPr>
        <w:t xml:space="preserve">o be implemented over a five-year </w:t>
      </w:r>
      <w:r w:rsidRPr="00086EEF">
        <w:rPr>
          <w:rFonts w:cs="Arial"/>
        </w:rPr>
        <w:t>period (2011-2016)</w:t>
      </w:r>
      <w:r w:rsidRPr="002C164F">
        <w:rPr>
          <w:rFonts w:cs="Arial"/>
        </w:rPr>
        <w:t>, these four components were known as the ‘Education Partnership’.</w:t>
      </w:r>
      <w:r w:rsidRPr="005C2D83">
        <w:rPr>
          <w:rFonts w:cs="Arial"/>
        </w:rPr>
        <w:t xml:space="preserve"> </w:t>
      </w:r>
      <w:r>
        <w:rPr>
          <w:rFonts w:cs="Arial"/>
        </w:rPr>
        <w:t>C1 and C2</w:t>
      </w:r>
      <w:r w:rsidRPr="005C2D83">
        <w:rPr>
          <w:rFonts w:cs="Arial"/>
        </w:rPr>
        <w:t xml:space="preserve"> represented the major</w:t>
      </w:r>
      <w:r>
        <w:rPr>
          <w:rFonts w:cs="Arial"/>
        </w:rPr>
        <w:t xml:space="preserve"> part</w:t>
      </w:r>
      <w:r w:rsidRPr="005C2D83">
        <w:rPr>
          <w:rFonts w:cs="Arial"/>
        </w:rPr>
        <w:t xml:space="preserve"> (81%) of the </w:t>
      </w:r>
      <w:r>
        <w:rPr>
          <w:rFonts w:cs="Arial"/>
        </w:rPr>
        <w:t xml:space="preserve">original </w:t>
      </w:r>
      <w:r w:rsidRPr="005C2D83">
        <w:rPr>
          <w:rFonts w:cs="Arial"/>
        </w:rPr>
        <w:t>EP investment</w:t>
      </w:r>
      <w:r>
        <w:rPr>
          <w:rFonts w:cs="Arial"/>
        </w:rPr>
        <w:t xml:space="preserve"> of AUD 500 million </w:t>
      </w:r>
      <w:r w:rsidRPr="005C2D83">
        <w:rPr>
          <w:rFonts w:cs="Arial"/>
        </w:rPr>
        <w:t xml:space="preserve">(see </w:t>
      </w:r>
      <w:r w:rsidRPr="00E80A29">
        <w:rPr>
          <w:rFonts w:cs="Arial"/>
        </w:rPr>
        <w:t xml:space="preserve">Table </w:t>
      </w:r>
      <w:r>
        <w:rPr>
          <w:rFonts w:cs="Arial"/>
        </w:rPr>
        <w:t>1</w:t>
      </w:r>
      <w:r w:rsidRPr="005C2D83">
        <w:rPr>
          <w:rFonts w:cs="Arial"/>
        </w:rPr>
        <w:t>)</w:t>
      </w:r>
      <w:r>
        <w:rPr>
          <w:rFonts w:cs="Arial"/>
        </w:rPr>
        <w:t xml:space="preserve">, with </w:t>
      </w:r>
      <w:r w:rsidRPr="005C2D83">
        <w:rPr>
          <w:rFonts w:cs="Arial"/>
        </w:rPr>
        <w:t>the majority of funding to be delivered in the form of earmarked budget support to the main counterpart ministry</w:t>
      </w:r>
      <w:r w:rsidR="007F7D41">
        <w:rPr>
          <w:rFonts w:cs="Arial"/>
        </w:rPr>
        <w:t xml:space="preserve">, </w:t>
      </w:r>
      <w:r>
        <w:rPr>
          <w:rFonts w:cs="Arial"/>
        </w:rPr>
        <w:t>i.e. the Mini</w:t>
      </w:r>
      <w:r w:rsidR="00C30127">
        <w:rPr>
          <w:rFonts w:cs="Arial"/>
        </w:rPr>
        <w:t>stry of Education and Culture</w:t>
      </w:r>
      <w:r>
        <w:rPr>
          <w:rFonts w:cs="Arial"/>
        </w:rPr>
        <w:t xml:space="preserve"> </w:t>
      </w:r>
      <w:r w:rsidR="00C30127">
        <w:rPr>
          <w:rFonts w:cs="Arial"/>
        </w:rPr>
        <w:t>(</w:t>
      </w:r>
      <w:r>
        <w:rPr>
          <w:rFonts w:cs="Arial"/>
        </w:rPr>
        <w:t>MoEC</w:t>
      </w:r>
      <w:r w:rsidR="00C30127">
        <w:rPr>
          <w:rFonts w:cs="Arial"/>
        </w:rPr>
        <w:t>)</w:t>
      </w:r>
      <w:r w:rsidRPr="005C2D83">
        <w:rPr>
          <w:rFonts w:cs="Arial"/>
        </w:rPr>
        <w:t xml:space="preserve">. The </w:t>
      </w:r>
      <w:r>
        <w:rPr>
          <w:rFonts w:cs="Arial"/>
        </w:rPr>
        <w:t xml:space="preserve">smaller </w:t>
      </w:r>
      <w:r w:rsidRPr="005C2D83">
        <w:rPr>
          <w:rFonts w:cs="Arial"/>
        </w:rPr>
        <w:t xml:space="preserve">madrasah accreditation program (C3) </w:t>
      </w:r>
      <w:r>
        <w:rPr>
          <w:rFonts w:cs="Arial"/>
        </w:rPr>
        <w:t xml:space="preserve">supported the Ministry of Religious Affairs (MoRA) and </w:t>
      </w:r>
      <w:r w:rsidRPr="005C2D83">
        <w:rPr>
          <w:rFonts w:cs="Arial"/>
        </w:rPr>
        <w:t xml:space="preserve">utilised a </w:t>
      </w:r>
      <w:r w:rsidR="009E0CB3">
        <w:rPr>
          <w:rFonts w:cs="Arial"/>
        </w:rPr>
        <w:t xml:space="preserve">direct service model of support. </w:t>
      </w:r>
      <w:r w:rsidRPr="005C2D83">
        <w:rPr>
          <w:rFonts w:cs="Arial"/>
        </w:rPr>
        <w:t>C4 took the form of a funding contribution to a multilateral activity managed by the Asian Development Bank (ADB).</w:t>
      </w:r>
      <w:r>
        <w:rPr>
          <w:rFonts w:cs="Arial"/>
        </w:rPr>
        <w:t xml:space="preserve"> The latter two components represented 9% and 5% of the original investment value respectively.</w:t>
      </w:r>
    </w:p>
    <w:p w14:paraId="6826AB3D" w14:textId="77777777" w:rsidR="000A13DF" w:rsidRPr="005B76F8" w:rsidRDefault="005B76F8" w:rsidP="005B76F8">
      <w:pPr>
        <w:pStyle w:val="Caption"/>
        <w:keepNext/>
        <w:jc w:val="center"/>
        <w:rPr>
          <w:color w:val="auto"/>
          <w:sz w:val="22"/>
          <w:szCs w:val="22"/>
        </w:rPr>
      </w:pPr>
      <w:bookmarkStart w:id="18" w:name="_Ref447897499"/>
      <w:bookmarkStart w:id="19" w:name="_Toc450131645"/>
      <w:bookmarkStart w:id="20" w:name="_Toc468197994"/>
      <w:r w:rsidRPr="005B76F8">
        <w:rPr>
          <w:color w:val="auto"/>
          <w:sz w:val="22"/>
          <w:szCs w:val="22"/>
        </w:rPr>
        <w:t xml:space="preserve">Table </w:t>
      </w:r>
      <w:r w:rsidRPr="005B76F8">
        <w:rPr>
          <w:color w:val="auto"/>
          <w:sz w:val="22"/>
          <w:szCs w:val="22"/>
        </w:rPr>
        <w:fldChar w:fldCharType="begin"/>
      </w:r>
      <w:r w:rsidRPr="005B76F8">
        <w:rPr>
          <w:color w:val="auto"/>
          <w:sz w:val="22"/>
          <w:szCs w:val="22"/>
        </w:rPr>
        <w:instrText xml:space="preserve"> SEQ Table \* ARABIC </w:instrText>
      </w:r>
      <w:r w:rsidRPr="005B76F8">
        <w:rPr>
          <w:color w:val="auto"/>
          <w:sz w:val="22"/>
          <w:szCs w:val="22"/>
        </w:rPr>
        <w:fldChar w:fldCharType="separate"/>
      </w:r>
      <w:r w:rsidR="00F82B53">
        <w:rPr>
          <w:noProof/>
          <w:color w:val="auto"/>
          <w:sz w:val="22"/>
          <w:szCs w:val="22"/>
        </w:rPr>
        <w:t>1</w:t>
      </w:r>
      <w:r w:rsidRPr="005B76F8">
        <w:rPr>
          <w:color w:val="auto"/>
          <w:sz w:val="22"/>
          <w:szCs w:val="22"/>
        </w:rPr>
        <w:fldChar w:fldCharType="end"/>
      </w:r>
      <w:bookmarkEnd w:id="18"/>
      <w:r w:rsidR="000A13DF" w:rsidRPr="005B76F8">
        <w:rPr>
          <w:color w:val="auto"/>
          <w:sz w:val="22"/>
          <w:szCs w:val="22"/>
        </w:rPr>
        <w:t>: Financial allocations to the Education Partnership</w:t>
      </w:r>
      <w:bookmarkEnd w:id="19"/>
      <w:r w:rsidR="00A45D1C" w:rsidRPr="005B76F8">
        <w:rPr>
          <w:color w:val="auto"/>
          <w:sz w:val="22"/>
          <w:szCs w:val="22"/>
        </w:rPr>
        <w:t xml:space="preserve"> (AUD)</w:t>
      </w:r>
      <w:bookmarkEnd w:id="20"/>
    </w:p>
    <w:tbl>
      <w:tblPr>
        <w:tblW w:w="4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1205"/>
        <w:gridCol w:w="2269"/>
        <w:gridCol w:w="2269"/>
        <w:gridCol w:w="2269"/>
      </w:tblGrid>
      <w:tr w:rsidR="000A13DF" w:rsidRPr="005540B8" w14:paraId="6826AB45" w14:textId="77777777" w:rsidTr="009336BD">
        <w:trPr>
          <w:trHeight w:val="680"/>
          <w:jc w:val="center"/>
        </w:trPr>
        <w:tc>
          <w:tcPr>
            <w:tcW w:w="752" w:type="pct"/>
            <w:shd w:val="clear" w:color="auto" w:fill="376092"/>
            <w:tcMar>
              <w:top w:w="72" w:type="dxa"/>
              <w:left w:w="144" w:type="dxa"/>
              <w:bottom w:w="72" w:type="dxa"/>
              <w:right w:w="144" w:type="dxa"/>
            </w:tcMar>
            <w:vAlign w:val="center"/>
            <w:hideMark/>
          </w:tcPr>
          <w:p w14:paraId="6826AB3E" w14:textId="77777777" w:rsidR="000A13DF" w:rsidRPr="005540B8" w:rsidRDefault="000A13DF" w:rsidP="005C45E7">
            <w:pPr>
              <w:spacing w:after="0"/>
              <w:jc w:val="center"/>
              <w:rPr>
                <w:rFonts w:ascii="Arial" w:hAnsi="Arial" w:cs="Arial"/>
                <w:lang w:eastAsia="en-AU"/>
              </w:rPr>
            </w:pPr>
          </w:p>
        </w:tc>
        <w:tc>
          <w:tcPr>
            <w:tcW w:w="1416" w:type="pct"/>
            <w:shd w:val="clear" w:color="auto" w:fill="376092"/>
            <w:vAlign w:val="center"/>
          </w:tcPr>
          <w:p w14:paraId="6826AB3F" w14:textId="77777777" w:rsidR="000A13DF" w:rsidRPr="005540B8" w:rsidRDefault="000A13DF" w:rsidP="005C45E7">
            <w:pPr>
              <w:spacing w:after="0"/>
              <w:jc w:val="center"/>
              <w:rPr>
                <w:rFonts w:cs="Arial"/>
                <w:b/>
                <w:bCs/>
                <w:color w:val="FFFFFF"/>
                <w:kern w:val="24"/>
                <w:lang w:eastAsia="en-AU"/>
              </w:rPr>
            </w:pPr>
            <w:r w:rsidRPr="005540B8">
              <w:rPr>
                <w:rFonts w:cs="Arial"/>
                <w:b/>
                <w:bCs/>
                <w:color w:val="FFFFFF"/>
                <w:kern w:val="24"/>
                <w:lang w:eastAsia="en-AU"/>
              </w:rPr>
              <w:t>Original Budget</w:t>
            </w:r>
          </w:p>
          <w:p w14:paraId="6826AB40" w14:textId="0E318307" w:rsidR="000A13DF" w:rsidRPr="005540B8" w:rsidRDefault="000A13DF" w:rsidP="005C45E7">
            <w:pPr>
              <w:spacing w:after="0"/>
              <w:jc w:val="center"/>
              <w:rPr>
                <w:rFonts w:cs="Arial"/>
                <w:b/>
                <w:bCs/>
                <w:color w:val="FFFFFF"/>
                <w:kern w:val="24"/>
                <w:lang w:eastAsia="en-AU"/>
              </w:rPr>
            </w:pPr>
            <w:r w:rsidRPr="005540B8">
              <w:rPr>
                <w:rFonts w:cs="Arial"/>
                <w:b/>
                <w:bCs/>
                <w:color w:val="FFFFFF"/>
                <w:kern w:val="24"/>
                <w:lang w:eastAsia="en-AU"/>
              </w:rPr>
              <w:t>2011</w:t>
            </w:r>
            <w:r w:rsidR="009336BD" w:rsidRPr="00F42A98">
              <w:rPr>
                <w:rFonts w:cs="Arial"/>
                <w:b/>
                <w:bCs/>
                <w:color w:val="FFFFFF"/>
                <w:kern w:val="24"/>
                <w:vertAlign w:val="superscript"/>
                <w:lang w:eastAsia="en-AU"/>
              </w:rPr>
              <w:t>(a)</w:t>
            </w:r>
          </w:p>
        </w:tc>
        <w:tc>
          <w:tcPr>
            <w:tcW w:w="1416" w:type="pct"/>
            <w:shd w:val="clear" w:color="auto" w:fill="376092"/>
            <w:tcMar>
              <w:top w:w="72" w:type="dxa"/>
              <w:left w:w="144" w:type="dxa"/>
              <w:bottom w:w="72" w:type="dxa"/>
              <w:right w:w="144" w:type="dxa"/>
            </w:tcMar>
            <w:vAlign w:val="center"/>
            <w:hideMark/>
          </w:tcPr>
          <w:p w14:paraId="6826AB41" w14:textId="77777777" w:rsidR="000A13DF" w:rsidRPr="005540B8" w:rsidRDefault="000A13DF" w:rsidP="005C45E7">
            <w:pPr>
              <w:spacing w:after="0"/>
              <w:jc w:val="center"/>
              <w:rPr>
                <w:rFonts w:ascii="Arial" w:hAnsi="Arial" w:cs="Arial"/>
                <w:lang w:eastAsia="en-AU"/>
              </w:rPr>
            </w:pPr>
            <w:r w:rsidRPr="005540B8">
              <w:rPr>
                <w:rFonts w:cs="Arial"/>
                <w:b/>
                <w:bCs/>
                <w:color w:val="FFFFFF"/>
                <w:kern w:val="24"/>
                <w:lang w:eastAsia="en-AU"/>
              </w:rPr>
              <w:t>Revised Budget</w:t>
            </w:r>
          </w:p>
          <w:p w14:paraId="6826AB42" w14:textId="14C4CE6C" w:rsidR="000A13DF" w:rsidRPr="005540B8" w:rsidRDefault="000A13DF" w:rsidP="005C45E7">
            <w:pPr>
              <w:spacing w:after="0"/>
              <w:jc w:val="center"/>
              <w:rPr>
                <w:rFonts w:ascii="Arial" w:hAnsi="Arial" w:cs="Arial"/>
                <w:lang w:eastAsia="en-AU"/>
              </w:rPr>
            </w:pPr>
            <w:r w:rsidRPr="005540B8">
              <w:rPr>
                <w:rFonts w:cs="Arial"/>
                <w:b/>
                <w:bCs/>
                <w:color w:val="FFFFFF"/>
                <w:kern w:val="24"/>
                <w:lang w:eastAsia="en-AU"/>
              </w:rPr>
              <w:t>201</w:t>
            </w:r>
            <w:r w:rsidR="0077207B">
              <w:rPr>
                <w:rFonts w:cs="Arial"/>
                <w:b/>
                <w:bCs/>
                <w:color w:val="FFFFFF"/>
                <w:kern w:val="24"/>
                <w:lang w:eastAsia="en-AU"/>
              </w:rPr>
              <w:t>3</w:t>
            </w:r>
            <w:r w:rsidR="009336BD" w:rsidRPr="00F42A98">
              <w:rPr>
                <w:rFonts w:cs="Arial"/>
                <w:b/>
                <w:bCs/>
                <w:color w:val="FFFFFF"/>
                <w:kern w:val="24"/>
                <w:vertAlign w:val="superscript"/>
                <w:lang w:eastAsia="en-AU"/>
              </w:rPr>
              <w:t>(b)</w:t>
            </w:r>
          </w:p>
        </w:tc>
        <w:tc>
          <w:tcPr>
            <w:tcW w:w="1416" w:type="pct"/>
            <w:shd w:val="clear" w:color="auto" w:fill="376092"/>
            <w:tcMar>
              <w:top w:w="72" w:type="dxa"/>
              <w:left w:w="144" w:type="dxa"/>
              <w:bottom w:w="72" w:type="dxa"/>
              <w:right w:w="144" w:type="dxa"/>
            </w:tcMar>
            <w:vAlign w:val="center"/>
            <w:hideMark/>
          </w:tcPr>
          <w:p w14:paraId="6826AB43" w14:textId="77777777" w:rsidR="000A13DF" w:rsidRPr="005540B8" w:rsidRDefault="00AF0B7F" w:rsidP="005C45E7">
            <w:pPr>
              <w:spacing w:after="0"/>
              <w:jc w:val="center"/>
              <w:rPr>
                <w:rFonts w:ascii="Arial" w:hAnsi="Arial" w:cs="Arial"/>
                <w:lang w:eastAsia="en-AU"/>
              </w:rPr>
            </w:pPr>
            <w:r w:rsidRPr="005540B8">
              <w:rPr>
                <w:rFonts w:cs="Arial"/>
                <w:b/>
                <w:bCs/>
                <w:color w:val="FFFFFF"/>
                <w:kern w:val="24"/>
                <w:lang w:eastAsia="en-AU"/>
              </w:rPr>
              <w:t>Final</w:t>
            </w:r>
            <w:r w:rsidR="000A13DF" w:rsidRPr="005540B8">
              <w:rPr>
                <w:rFonts w:cs="Arial"/>
                <w:b/>
                <w:bCs/>
                <w:color w:val="FFFFFF"/>
                <w:kern w:val="24"/>
                <w:lang w:eastAsia="en-AU"/>
              </w:rPr>
              <w:t xml:space="preserve"> Budget</w:t>
            </w:r>
          </w:p>
          <w:p w14:paraId="6826AB44" w14:textId="0A15F812" w:rsidR="000A13DF" w:rsidRPr="005540B8" w:rsidRDefault="000A13DF" w:rsidP="00AF0B7F">
            <w:pPr>
              <w:spacing w:after="0"/>
              <w:jc w:val="center"/>
              <w:rPr>
                <w:rFonts w:ascii="Arial" w:hAnsi="Arial" w:cs="Arial"/>
                <w:lang w:eastAsia="en-AU"/>
              </w:rPr>
            </w:pPr>
            <w:r w:rsidRPr="005540B8">
              <w:rPr>
                <w:rFonts w:cs="Arial"/>
                <w:b/>
                <w:bCs/>
                <w:color w:val="FFFFFF"/>
                <w:kern w:val="24"/>
                <w:lang w:eastAsia="en-AU"/>
              </w:rPr>
              <w:t>201</w:t>
            </w:r>
            <w:r w:rsidR="00AF0B7F" w:rsidRPr="005540B8">
              <w:rPr>
                <w:rFonts w:cs="Arial"/>
                <w:b/>
                <w:bCs/>
                <w:color w:val="FFFFFF"/>
                <w:kern w:val="24"/>
                <w:lang w:eastAsia="en-AU"/>
              </w:rPr>
              <w:t>6</w:t>
            </w:r>
            <w:r w:rsidR="009336BD" w:rsidRPr="00F42A98">
              <w:rPr>
                <w:rFonts w:cs="Arial"/>
                <w:b/>
                <w:bCs/>
                <w:color w:val="FFFFFF"/>
                <w:kern w:val="24"/>
                <w:vertAlign w:val="superscript"/>
                <w:lang w:eastAsia="en-AU"/>
              </w:rPr>
              <w:t>(c)</w:t>
            </w:r>
          </w:p>
        </w:tc>
      </w:tr>
      <w:tr w:rsidR="000A13DF" w:rsidRPr="005540B8" w14:paraId="6826AB4A" w14:textId="77777777" w:rsidTr="009336BD">
        <w:trPr>
          <w:trHeight w:val="283"/>
          <w:jc w:val="center"/>
        </w:trPr>
        <w:tc>
          <w:tcPr>
            <w:tcW w:w="752" w:type="pct"/>
            <w:shd w:val="clear" w:color="auto" w:fill="FFFFFF"/>
            <w:tcMar>
              <w:top w:w="72" w:type="dxa"/>
              <w:left w:w="144" w:type="dxa"/>
              <w:bottom w:w="72" w:type="dxa"/>
              <w:right w:w="144" w:type="dxa"/>
            </w:tcMar>
            <w:vAlign w:val="center"/>
            <w:hideMark/>
          </w:tcPr>
          <w:p w14:paraId="6826AB46" w14:textId="77777777" w:rsidR="000A13DF" w:rsidRPr="005540B8" w:rsidRDefault="000A13DF" w:rsidP="005C45E7">
            <w:pPr>
              <w:spacing w:after="0"/>
              <w:jc w:val="center"/>
              <w:rPr>
                <w:rFonts w:ascii="Arial" w:hAnsi="Arial" w:cs="Arial"/>
                <w:lang w:eastAsia="en-AU"/>
              </w:rPr>
            </w:pPr>
            <w:r w:rsidRPr="005540B8">
              <w:rPr>
                <w:rFonts w:cs="Arial"/>
                <w:b/>
                <w:bCs/>
                <w:color w:val="000000"/>
                <w:kern w:val="24"/>
                <w:lang w:eastAsia="en-AU"/>
              </w:rPr>
              <w:t>C1</w:t>
            </w:r>
          </w:p>
        </w:tc>
        <w:tc>
          <w:tcPr>
            <w:tcW w:w="1416" w:type="pct"/>
            <w:shd w:val="clear" w:color="auto" w:fill="FFFFFF"/>
            <w:vAlign w:val="center"/>
          </w:tcPr>
          <w:p w14:paraId="6826AB47" w14:textId="77777777" w:rsidR="000A13DF" w:rsidRPr="005540B8" w:rsidRDefault="000A13DF" w:rsidP="005C45E7">
            <w:pPr>
              <w:spacing w:after="0"/>
              <w:jc w:val="center"/>
              <w:rPr>
                <w:rFonts w:cs="Arial"/>
                <w:color w:val="000000"/>
                <w:kern w:val="24"/>
                <w:sz w:val="20"/>
                <w:szCs w:val="20"/>
                <w:lang w:eastAsia="en-AU"/>
              </w:rPr>
            </w:pPr>
            <w:r w:rsidRPr="005540B8">
              <w:rPr>
                <w:rFonts w:cs="Arial"/>
                <w:color w:val="000000"/>
                <w:kern w:val="24"/>
                <w:sz w:val="20"/>
                <w:szCs w:val="20"/>
                <w:lang w:eastAsia="en-AU"/>
              </w:rPr>
              <w:t>215,700,000</w:t>
            </w:r>
          </w:p>
        </w:tc>
        <w:tc>
          <w:tcPr>
            <w:tcW w:w="1416" w:type="pct"/>
            <w:shd w:val="clear" w:color="auto" w:fill="FFFFFF"/>
            <w:tcMar>
              <w:top w:w="72" w:type="dxa"/>
              <w:left w:w="144" w:type="dxa"/>
              <w:bottom w:w="72" w:type="dxa"/>
              <w:right w:w="144" w:type="dxa"/>
            </w:tcMar>
            <w:vAlign w:val="center"/>
            <w:hideMark/>
          </w:tcPr>
          <w:p w14:paraId="6826AB48" w14:textId="77777777" w:rsidR="000A13DF" w:rsidRPr="005540B8" w:rsidRDefault="000A13DF" w:rsidP="005C45E7">
            <w:pPr>
              <w:spacing w:after="0"/>
              <w:jc w:val="center"/>
              <w:rPr>
                <w:rFonts w:ascii="Arial" w:hAnsi="Arial" w:cs="Arial"/>
                <w:sz w:val="20"/>
                <w:szCs w:val="20"/>
                <w:lang w:eastAsia="en-AU"/>
              </w:rPr>
            </w:pPr>
            <w:r w:rsidRPr="005540B8">
              <w:rPr>
                <w:rFonts w:cs="Arial"/>
                <w:color w:val="000000"/>
                <w:kern w:val="24"/>
                <w:sz w:val="20"/>
                <w:szCs w:val="20"/>
                <w:lang w:eastAsia="en-AU"/>
              </w:rPr>
              <w:t>239,000,000</w:t>
            </w:r>
          </w:p>
        </w:tc>
        <w:tc>
          <w:tcPr>
            <w:tcW w:w="1416" w:type="pct"/>
            <w:shd w:val="clear" w:color="auto" w:fill="FFFFFF"/>
            <w:tcMar>
              <w:top w:w="72" w:type="dxa"/>
              <w:left w:w="144" w:type="dxa"/>
              <w:bottom w:w="72" w:type="dxa"/>
              <w:right w:w="144" w:type="dxa"/>
            </w:tcMar>
            <w:vAlign w:val="center"/>
            <w:hideMark/>
          </w:tcPr>
          <w:p w14:paraId="6826AB49" w14:textId="77777777" w:rsidR="000A13DF" w:rsidRPr="005540B8" w:rsidRDefault="000A13DF" w:rsidP="0077207B">
            <w:pPr>
              <w:spacing w:after="0"/>
              <w:jc w:val="center"/>
              <w:rPr>
                <w:rFonts w:ascii="Arial" w:hAnsi="Arial" w:cs="Arial"/>
                <w:sz w:val="20"/>
                <w:szCs w:val="20"/>
                <w:lang w:eastAsia="en-AU"/>
              </w:rPr>
            </w:pPr>
            <w:r w:rsidRPr="005540B8">
              <w:rPr>
                <w:rFonts w:cs="Arial"/>
                <w:color w:val="000000"/>
                <w:kern w:val="24"/>
                <w:sz w:val="20"/>
                <w:szCs w:val="20"/>
                <w:lang w:eastAsia="en-AU"/>
              </w:rPr>
              <w:t>179,300,000</w:t>
            </w:r>
          </w:p>
        </w:tc>
      </w:tr>
      <w:tr w:rsidR="000A13DF" w:rsidRPr="005540B8" w14:paraId="6826AB4F" w14:textId="77777777" w:rsidTr="009336BD">
        <w:trPr>
          <w:trHeight w:val="283"/>
          <w:jc w:val="center"/>
        </w:trPr>
        <w:tc>
          <w:tcPr>
            <w:tcW w:w="752" w:type="pct"/>
            <w:shd w:val="clear" w:color="auto" w:fill="FFFFFF"/>
            <w:tcMar>
              <w:top w:w="72" w:type="dxa"/>
              <w:left w:w="144" w:type="dxa"/>
              <w:bottom w:w="72" w:type="dxa"/>
              <w:right w:w="144" w:type="dxa"/>
            </w:tcMar>
            <w:vAlign w:val="center"/>
            <w:hideMark/>
          </w:tcPr>
          <w:p w14:paraId="6826AB4B" w14:textId="77777777" w:rsidR="000A13DF" w:rsidRPr="005540B8" w:rsidRDefault="000A13DF" w:rsidP="005C45E7">
            <w:pPr>
              <w:spacing w:after="0"/>
              <w:jc w:val="center"/>
              <w:rPr>
                <w:rFonts w:ascii="Arial" w:hAnsi="Arial" w:cs="Arial"/>
                <w:lang w:eastAsia="en-AU"/>
              </w:rPr>
            </w:pPr>
            <w:r w:rsidRPr="005540B8">
              <w:rPr>
                <w:rFonts w:cs="Arial"/>
                <w:b/>
                <w:bCs/>
                <w:color w:val="000000"/>
                <w:kern w:val="24"/>
                <w:lang w:eastAsia="en-AU"/>
              </w:rPr>
              <w:t>C2</w:t>
            </w:r>
          </w:p>
        </w:tc>
        <w:tc>
          <w:tcPr>
            <w:tcW w:w="1416" w:type="pct"/>
            <w:shd w:val="clear" w:color="auto" w:fill="FFFFFF"/>
            <w:vAlign w:val="center"/>
          </w:tcPr>
          <w:p w14:paraId="6826AB4C" w14:textId="77777777" w:rsidR="000A13DF" w:rsidRPr="005540B8" w:rsidRDefault="000A13DF" w:rsidP="005C45E7">
            <w:pPr>
              <w:spacing w:after="0"/>
              <w:jc w:val="center"/>
              <w:rPr>
                <w:rFonts w:cs="Arial"/>
                <w:color w:val="000000"/>
                <w:kern w:val="24"/>
                <w:sz w:val="20"/>
                <w:szCs w:val="20"/>
                <w:lang w:eastAsia="en-AU"/>
              </w:rPr>
            </w:pPr>
            <w:r w:rsidRPr="005540B8">
              <w:rPr>
                <w:rFonts w:cs="Arial"/>
                <w:color w:val="000000"/>
                <w:kern w:val="24"/>
                <w:sz w:val="20"/>
                <w:szCs w:val="20"/>
                <w:lang w:eastAsia="en-AU"/>
              </w:rPr>
              <w:t>188,300,000</w:t>
            </w:r>
          </w:p>
        </w:tc>
        <w:tc>
          <w:tcPr>
            <w:tcW w:w="1416" w:type="pct"/>
            <w:shd w:val="clear" w:color="auto" w:fill="FFFFFF"/>
            <w:tcMar>
              <w:top w:w="72" w:type="dxa"/>
              <w:left w:w="144" w:type="dxa"/>
              <w:bottom w:w="72" w:type="dxa"/>
              <w:right w:w="144" w:type="dxa"/>
            </w:tcMar>
            <w:vAlign w:val="center"/>
            <w:hideMark/>
          </w:tcPr>
          <w:p w14:paraId="6826AB4D" w14:textId="77777777" w:rsidR="000A13DF" w:rsidRPr="005540B8" w:rsidRDefault="000A13DF" w:rsidP="005C45E7">
            <w:pPr>
              <w:spacing w:after="0"/>
              <w:jc w:val="center"/>
              <w:rPr>
                <w:rFonts w:ascii="Arial" w:hAnsi="Arial" w:cs="Arial"/>
                <w:sz w:val="20"/>
                <w:szCs w:val="20"/>
                <w:lang w:eastAsia="en-AU"/>
              </w:rPr>
            </w:pPr>
            <w:r w:rsidRPr="005540B8">
              <w:rPr>
                <w:rFonts w:cs="Arial"/>
                <w:color w:val="000000"/>
                <w:kern w:val="24"/>
                <w:sz w:val="20"/>
                <w:szCs w:val="20"/>
                <w:lang w:eastAsia="en-AU"/>
              </w:rPr>
              <w:t>179,726,512</w:t>
            </w:r>
          </w:p>
        </w:tc>
        <w:tc>
          <w:tcPr>
            <w:tcW w:w="1416" w:type="pct"/>
            <w:shd w:val="clear" w:color="auto" w:fill="FFFFFF"/>
            <w:tcMar>
              <w:top w:w="72" w:type="dxa"/>
              <w:left w:w="144" w:type="dxa"/>
              <w:bottom w:w="72" w:type="dxa"/>
              <w:right w:w="144" w:type="dxa"/>
            </w:tcMar>
            <w:vAlign w:val="center"/>
            <w:hideMark/>
          </w:tcPr>
          <w:p w14:paraId="6826AB4E" w14:textId="77777777" w:rsidR="000A13DF" w:rsidRPr="005540B8" w:rsidRDefault="000A13DF" w:rsidP="005C45E7">
            <w:pPr>
              <w:spacing w:after="0"/>
              <w:jc w:val="center"/>
              <w:rPr>
                <w:rFonts w:ascii="Arial" w:hAnsi="Arial" w:cs="Arial"/>
                <w:sz w:val="20"/>
                <w:szCs w:val="20"/>
                <w:lang w:eastAsia="en-AU"/>
              </w:rPr>
            </w:pPr>
            <w:r w:rsidRPr="005540B8">
              <w:rPr>
                <w:rFonts w:cs="Arial"/>
                <w:color w:val="000000"/>
                <w:kern w:val="24"/>
                <w:sz w:val="20"/>
                <w:szCs w:val="20"/>
                <w:lang w:eastAsia="en-AU"/>
              </w:rPr>
              <w:t>106,400,000</w:t>
            </w:r>
            <w:r w:rsidR="0077207B" w:rsidRPr="00043B42">
              <w:rPr>
                <w:rFonts w:cs="Arial"/>
                <w:color w:val="000000"/>
                <w:kern w:val="24"/>
                <w:sz w:val="20"/>
                <w:szCs w:val="20"/>
                <w:vertAlign w:val="superscript"/>
                <w:lang w:eastAsia="en-AU"/>
              </w:rPr>
              <w:t>(d)</w:t>
            </w:r>
          </w:p>
        </w:tc>
      </w:tr>
      <w:tr w:rsidR="000A13DF" w:rsidRPr="005540B8" w14:paraId="6826AB54" w14:textId="77777777" w:rsidTr="009336BD">
        <w:trPr>
          <w:trHeight w:val="283"/>
          <w:jc w:val="center"/>
        </w:trPr>
        <w:tc>
          <w:tcPr>
            <w:tcW w:w="752" w:type="pct"/>
            <w:shd w:val="clear" w:color="auto" w:fill="FFFFFF"/>
            <w:tcMar>
              <w:top w:w="72" w:type="dxa"/>
              <w:left w:w="144" w:type="dxa"/>
              <w:bottom w:w="72" w:type="dxa"/>
              <w:right w:w="144" w:type="dxa"/>
            </w:tcMar>
            <w:vAlign w:val="center"/>
            <w:hideMark/>
          </w:tcPr>
          <w:p w14:paraId="6826AB50" w14:textId="77777777" w:rsidR="000A13DF" w:rsidRPr="005540B8" w:rsidRDefault="000A13DF" w:rsidP="005C45E7">
            <w:pPr>
              <w:spacing w:after="0"/>
              <w:jc w:val="center"/>
              <w:rPr>
                <w:rFonts w:ascii="Arial" w:hAnsi="Arial" w:cs="Arial"/>
                <w:lang w:eastAsia="en-AU"/>
              </w:rPr>
            </w:pPr>
            <w:r w:rsidRPr="005540B8">
              <w:rPr>
                <w:rFonts w:cs="Arial"/>
                <w:b/>
                <w:bCs/>
                <w:color w:val="000000"/>
                <w:kern w:val="24"/>
                <w:lang w:eastAsia="en-AU"/>
              </w:rPr>
              <w:t>C3</w:t>
            </w:r>
          </w:p>
        </w:tc>
        <w:tc>
          <w:tcPr>
            <w:tcW w:w="1416" w:type="pct"/>
            <w:shd w:val="clear" w:color="auto" w:fill="FFFFFF"/>
            <w:vAlign w:val="center"/>
          </w:tcPr>
          <w:p w14:paraId="6826AB51" w14:textId="77777777" w:rsidR="000A13DF" w:rsidRPr="005540B8" w:rsidRDefault="000A13DF" w:rsidP="005C45E7">
            <w:pPr>
              <w:spacing w:after="0"/>
              <w:jc w:val="center"/>
              <w:rPr>
                <w:rFonts w:cs="Arial"/>
                <w:color w:val="000000"/>
                <w:kern w:val="24"/>
                <w:sz w:val="20"/>
                <w:szCs w:val="20"/>
                <w:lang w:eastAsia="en-AU"/>
              </w:rPr>
            </w:pPr>
            <w:r w:rsidRPr="005540B8">
              <w:rPr>
                <w:rFonts w:cs="Arial"/>
                <w:color w:val="000000"/>
                <w:kern w:val="24"/>
                <w:sz w:val="20"/>
                <w:szCs w:val="20"/>
                <w:lang w:eastAsia="en-AU"/>
              </w:rPr>
              <w:t>47,000,000</w:t>
            </w:r>
          </w:p>
        </w:tc>
        <w:tc>
          <w:tcPr>
            <w:tcW w:w="1416" w:type="pct"/>
            <w:shd w:val="clear" w:color="auto" w:fill="FFFFFF"/>
            <w:tcMar>
              <w:top w:w="72" w:type="dxa"/>
              <w:left w:w="144" w:type="dxa"/>
              <w:bottom w:w="72" w:type="dxa"/>
              <w:right w:w="144" w:type="dxa"/>
            </w:tcMar>
            <w:vAlign w:val="center"/>
            <w:hideMark/>
          </w:tcPr>
          <w:p w14:paraId="6826AB52" w14:textId="77777777" w:rsidR="000A13DF" w:rsidRPr="005540B8" w:rsidRDefault="000A13DF" w:rsidP="005C45E7">
            <w:pPr>
              <w:spacing w:after="0"/>
              <w:jc w:val="center"/>
              <w:rPr>
                <w:rFonts w:ascii="Arial" w:hAnsi="Arial" w:cs="Arial"/>
                <w:sz w:val="20"/>
                <w:szCs w:val="20"/>
                <w:lang w:eastAsia="en-AU"/>
              </w:rPr>
            </w:pPr>
            <w:r w:rsidRPr="005540B8">
              <w:rPr>
                <w:rFonts w:cs="Arial"/>
                <w:color w:val="000000"/>
                <w:kern w:val="24"/>
                <w:sz w:val="20"/>
                <w:szCs w:val="20"/>
                <w:lang w:eastAsia="en-AU"/>
              </w:rPr>
              <w:t>48,426,296</w:t>
            </w:r>
          </w:p>
        </w:tc>
        <w:tc>
          <w:tcPr>
            <w:tcW w:w="1416" w:type="pct"/>
            <w:shd w:val="clear" w:color="auto" w:fill="FFFFFF"/>
            <w:tcMar>
              <w:top w:w="72" w:type="dxa"/>
              <w:left w:w="144" w:type="dxa"/>
              <w:bottom w:w="72" w:type="dxa"/>
              <w:right w:w="144" w:type="dxa"/>
            </w:tcMar>
            <w:vAlign w:val="center"/>
            <w:hideMark/>
          </w:tcPr>
          <w:p w14:paraId="6826AB53" w14:textId="77777777" w:rsidR="000A13DF" w:rsidRPr="005540B8" w:rsidRDefault="000A13DF" w:rsidP="005C45E7">
            <w:pPr>
              <w:spacing w:after="0"/>
              <w:jc w:val="center"/>
              <w:rPr>
                <w:rFonts w:ascii="Arial" w:hAnsi="Arial" w:cs="Arial"/>
                <w:sz w:val="20"/>
                <w:szCs w:val="20"/>
                <w:lang w:eastAsia="en-AU"/>
              </w:rPr>
            </w:pPr>
            <w:r w:rsidRPr="005540B8">
              <w:rPr>
                <w:rFonts w:cs="Arial"/>
                <w:color w:val="000000"/>
                <w:kern w:val="24"/>
                <w:sz w:val="20"/>
                <w:szCs w:val="20"/>
                <w:lang w:eastAsia="en-AU"/>
              </w:rPr>
              <w:t>36,600,000</w:t>
            </w:r>
          </w:p>
        </w:tc>
      </w:tr>
      <w:tr w:rsidR="000A13DF" w:rsidRPr="005540B8" w14:paraId="6826AB59" w14:textId="77777777" w:rsidTr="009336BD">
        <w:trPr>
          <w:trHeight w:val="283"/>
          <w:jc w:val="center"/>
        </w:trPr>
        <w:tc>
          <w:tcPr>
            <w:tcW w:w="752" w:type="pct"/>
            <w:shd w:val="clear" w:color="auto" w:fill="FFFFFF"/>
            <w:tcMar>
              <w:top w:w="72" w:type="dxa"/>
              <w:left w:w="144" w:type="dxa"/>
              <w:bottom w:w="72" w:type="dxa"/>
              <w:right w:w="144" w:type="dxa"/>
            </w:tcMar>
            <w:vAlign w:val="center"/>
            <w:hideMark/>
          </w:tcPr>
          <w:p w14:paraId="6826AB55" w14:textId="77777777" w:rsidR="000A13DF" w:rsidRPr="005540B8" w:rsidRDefault="000A13DF" w:rsidP="005C45E7">
            <w:pPr>
              <w:spacing w:after="0"/>
              <w:jc w:val="center"/>
              <w:rPr>
                <w:rFonts w:ascii="Arial" w:hAnsi="Arial" w:cs="Arial"/>
                <w:lang w:eastAsia="en-AU"/>
              </w:rPr>
            </w:pPr>
            <w:r w:rsidRPr="005540B8">
              <w:rPr>
                <w:rFonts w:cs="Arial"/>
                <w:b/>
                <w:bCs/>
                <w:color w:val="000000"/>
                <w:kern w:val="24"/>
                <w:lang w:eastAsia="en-AU"/>
              </w:rPr>
              <w:t>C4</w:t>
            </w:r>
          </w:p>
        </w:tc>
        <w:tc>
          <w:tcPr>
            <w:tcW w:w="1416" w:type="pct"/>
            <w:shd w:val="clear" w:color="auto" w:fill="FFFFFF"/>
            <w:vAlign w:val="center"/>
          </w:tcPr>
          <w:p w14:paraId="6826AB56" w14:textId="77777777" w:rsidR="000A13DF" w:rsidRPr="005540B8" w:rsidRDefault="000A13DF" w:rsidP="005C45E7">
            <w:pPr>
              <w:spacing w:after="0"/>
              <w:jc w:val="center"/>
              <w:rPr>
                <w:rFonts w:cs="Arial"/>
                <w:color w:val="000000"/>
                <w:kern w:val="24"/>
                <w:sz w:val="20"/>
                <w:szCs w:val="20"/>
                <w:lang w:eastAsia="en-AU"/>
              </w:rPr>
            </w:pPr>
            <w:r w:rsidRPr="005540B8">
              <w:rPr>
                <w:rFonts w:cs="Arial"/>
                <w:color w:val="000000"/>
                <w:kern w:val="24"/>
                <w:sz w:val="20"/>
                <w:szCs w:val="20"/>
                <w:lang w:eastAsia="en-AU"/>
              </w:rPr>
              <w:t>25,000,000</w:t>
            </w:r>
          </w:p>
        </w:tc>
        <w:tc>
          <w:tcPr>
            <w:tcW w:w="1416" w:type="pct"/>
            <w:shd w:val="clear" w:color="auto" w:fill="FFFFFF"/>
            <w:tcMar>
              <w:top w:w="72" w:type="dxa"/>
              <w:left w:w="144" w:type="dxa"/>
              <w:bottom w:w="72" w:type="dxa"/>
              <w:right w:w="144" w:type="dxa"/>
            </w:tcMar>
            <w:vAlign w:val="center"/>
            <w:hideMark/>
          </w:tcPr>
          <w:p w14:paraId="6826AB57" w14:textId="77777777" w:rsidR="000A13DF" w:rsidRPr="005540B8" w:rsidRDefault="000A13DF" w:rsidP="005C45E7">
            <w:pPr>
              <w:spacing w:after="0"/>
              <w:jc w:val="center"/>
              <w:rPr>
                <w:rFonts w:ascii="Arial" w:hAnsi="Arial" w:cs="Arial"/>
                <w:sz w:val="20"/>
                <w:szCs w:val="20"/>
                <w:lang w:eastAsia="en-AU"/>
              </w:rPr>
            </w:pPr>
            <w:r w:rsidRPr="005540B8">
              <w:rPr>
                <w:rFonts w:cs="Arial"/>
                <w:color w:val="000000"/>
                <w:kern w:val="24"/>
                <w:sz w:val="20"/>
                <w:szCs w:val="20"/>
                <w:lang w:eastAsia="en-AU"/>
              </w:rPr>
              <w:t>25,000,000</w:t>
            </w:r>
          </w:p>
        </w:tc>
        <w:tc>
          <w:tcPr>
            <w:tcW w:w="1416" w:type="pct"/>
            <w:shd w:val="clear" w:color="auto" w:fill="FFFFFF"/>
            <w:tcMar>
              <w:top w:w="72" w:type="dxa"/>
              <w:left w:w="144" w:type="dxa"/>
              <w:bottom w:w="72" w:type="dxa"/>
              <w:right w:w="144" w:type="dxa"/>
            </w:tcMar>
            <w:vAlign w:val="center"/>
            <w:hideMark/>
          </w:tcPr>
          <w:p w14:paraId="6826AB58" w14:textId="77777777" w:rsidR="000A13DF" w:rsidRPr="005540B8" w:rsidRDefault="000A13DF" w:rsidP="005C45E7">
            <w:pPr>
              <w:spacing w:after="0"/>
              <w:jc w:val="center"/>
              <w:rPr>
                <w:rFonts w:ascii="Arial" w:hAnsi="Arial" w:cs="Arial"/>
                <w:sz w:val="20"/>
                <w:szCs w:val="20"/>
                <w:lang w:eastAsia="en-AU"/>
              </w:rPr>
            </w:pPr>
            <w:r w:rsidRPr="005540B8">
              <w:rPr>
                <w:rFonts w:cs="Arial"/>
                <w:color w:val="000000"/>
                <w:kern w:val="24"/>
                <w:sz w:val="20"/>
                <w:szCs w:val="20"/>
                <w:lang w:eastAsia="en-AU"/>
              </w:rPr>
              <w:t>20,000,00</w:t>
            </w:r>
          </w:p>
        </w:tc>
      </w:tr>
      <w:tr w:rsidR="000A13DF" w:rsidRPr="005540B8" w14:paraId="6826AB5E" w14:textId="77777777" w:rsidTr="009336BD">
        <w:trPr>
          <w:trHeight w:val="283"/>
          <w:jc w:val="center"/>
        </w:trPr>
        <w:tc>
          <w:tcPr>
            <w:tcW w:w="752" w:type="pct"/>
            <w:shd w:val="clear" w:color="auto" w:fill="FFFFFF"/>
            <w:tcMar>
              <w:top w:w="72" w:type="dxa"/>
              <w:left w:w="144" w:type="dxa"/>
              <w:bottom w:w="72" w:type="dxa"/>
              <w:right w:w="144" w:type="dxa"/>
            </w:tcMar>
            <w:vAlign w:val="center"/>
            <w:hideMark/>
          </w:tcPr>
          <w:p w14:paraId="6826AB5A" w14:textId="3473E1B8" w:rsidR="000A13DF" w:rsidRPr="005540B8" w:rsidRDefault="000A13DF" w:rsidP="00FA123C">
            <w:pPr>
              <w:spacing w:after="0"/>
              <w:jc w:val="center"/>
              <w:rPr>
                <w:rFonts w:ascii="Arial" w:hAnsi="Arial" w:cs="Arial"/>
                <w:lang w:eastAsia="en-AU"/>
              </w:rPr>
            </w:pPr>
            <w:r w:rsidRPr="005540B8">
              <w:rPr>
                <w:rFonts w:cs="Arial"/>
                <w:b/>
                <w:bCs/>
                <w:color w:val="000000"/>
                <w:kern w:val="24"/>
                <w:lang w:eastAsia="en-AU"/>
              </w:rPr>
              <w:t>Support</w:t>
            </w:r>
            <w:r w:rsidR="00AF0B7F" w:rsidRPr="005540B8">
              <w:rPr>
                <w:rFonts w:cs="Arial"/>
                <w:bCs/>
                <w:color w:val="000000"/>
                <w:kern w:val="24"/>
                <w:vertAlign w:val="superscript"/>
                <w:lang w:eastAsia="en-AU"/>
              </w:rPr>
              <w:t>(</w:t>
            </w:r>
            <w:r w:rsidR="00FA123C">
              <w:rPr>
                <w:rFonts w:cs="Arial"/>
                <w:bCs/>
                <w:color w:val="000000"/>
                <w:kern w:val="24"/>
                <w:vertAlign w:val="superscript"/>
                <w:lang w:eastAsia="en-AU"/>
              </w:rPr>
              <w:t>e</w:t>
            </w:r>
            <w:r w:rsidR="00AF0B7F" w:rsidRPr="005540B8">
              <w:rPr>
                <w:rFonts w:cs="Arial"/>
                <w:bCs/>
                <w:color w:val="000000"/>
                <w:kern w:val="24"/>
                <w:vertAlign w:val="superscript"/>
                <w:lang w:eastAsia="en-AU"/>
              </w:rPr>
              <w:t>)</w:t>
            </w:r>
          </w:p>
        </w:tc>
        <w:tc>
          <w:tcPr>
            <w:tcW w:w="1416" w:type="pct"/>
            <w:shd w:val="clear" w:color="auto" w:fill="FFFFFF"/>
            <w:vAlign w:val="center"/>
          </w:tcPr>
          <w:p w14:paraId="6826AB5B" w14:textId="77777777" w:rsidR="000A13DF" w:rsidRPr="005540B8" w:rsidRDefault="000A13DF" w:rsidP="005C45E7">
            <w:pPr>
              <w:spacing w:after="0"/>
              <w:jc w:val="center"/>
              <w:rPr>
                <w:rFonts w:cs="Arial"/>
                <w:color w:val="000000"/>
                <w:kern w:val="24"/>
                <w:sz w:val="20"/>
                <w:szCs w:val="20"/>
                <w:lang w:eastAsia="en-AU"/>
              </w:rPr>
            </w:pPr>
            <w:r w:rsidRPr="005540B8">
              <w:rPr>
                <w:rFonts w:cs="Arial"/>
                <w:color w:val="000000"/>
                <w:kern w:val="24"/>
                <w:sz w:val="20"/>
                <w:szCs w:val="20"/>
                <w:lang w:eastAsia="en-AU"/>
              </w:rPr>
              <w:t>24,000,000</w:t>
            </w:r>
          </w:p>
        </w:tc>
        <w:tc>
          <w:tcPr>
            <w:tcW w:w="1416" w:type="pct"/>
            <w:shd w:val="clear" w:color="auto" w:fill="FFFFFF"/>
            <w:tcMar>
              <w:top w:w="72" w:type="dxa"/>
              <w:left w:w="144" w:type="dxa"/>
              <w:bottom w:w="72" w:type="dxa"/>
              <w:right w:w="144" w:type="dxa"/>
            </w:tcMar>
            <w:vAlign w:val="center"/>
            <w:hideMark/>
          </w:tcPr>
          <w:p w14:paraId="6826AB5C" w14:textId="77777777" w:rsidR="000A13DF" w:rsidRPr="005540B8" w:rsidRDefault="000A13DF" w:rsidP="005C45E7">
            <w:pPr>
              <w:spacing w:after="0"/>
              <w:jc w:val="center"/>
              <w:rPr>
                <w:rFonts w:ascii="Arial" w:hAnsi="Arial" w:cs="Arial"/>
                <w:sz w:val="20"/>
                <w:szCs w:val="20"/>
                <w:lang w:eastAsia="en-AU"/>
              </w:rPr>
            </w:pPr>
            <w:r w:rsidRPr="005540B8">
              <w:rPr>
                <w:rFonts w:cs="Arial"/>
                <w:color w:val="000000"/>
                <w:kern w:val="24"/>
                <w:sz w:val="20"/>
                <w:szCs w:val="20"/>
                <w:lang w:eastAsia="en-AU"/>
              </w:rPr>
              <w:t>31,847,192</w:t>
            </w:r>
          </w:p>
        </w:tc>
        <w:tc>
          <w:tcPr>
            <w:tcW w:w="1416" w:type="pct"/>
            <w:shd w:val="clear" w:color="auto" w:fill="FFFFFF"/>
            <w:tcMar>
              <w:top w:w="72" w:type="dxa"/>
              <w:left w:w="144" w:type="dxa"/>
              <w:bottom w:w="72" w:type="dxa"/>
              <w:right w:w="144" w:type="dxa"/>
            </w:tcMar>
            <w:vAlign w:val="center"/>
            <w:hideMark/>
          </w:tcPr>
          <w:p w14:paraId="6826AB5D" w14:textId="77777777" w:rsidR="000A13DF" w:rsidRPr="005540B8" w:rsidRDefault="000A13DF" w:rsidP="005C45E7">
            <w:pPr>
              <w:spacing w:after="0"/>
              <w:jc w:val="center"/>
              <w:rPr>
                <w:rFonts w:ascii="Arial" w:hAnsi="Arial" w:cs="Arial"/>
                <w:sz w:val="20"/>
                <w:szCs w:val="20"/>
                <w:lang w:eastAsia="en-AU"/>
              </w:rPr>
            </w:pPr>
            <w:r w:rsidRPr="005540B8">
              <w:rPr>
                <w:rFonts w:cs="Arial"/>
                <w:color w:val="000000"/>
                <w:kern w:val="24"/>
                <w:sz w:val="20"/>
                <w:szCs w:val="20"/>
                <w:lang w:eastAsia="en-AU"/>
              </w:rPr>
              <w:t>26,500,000</w:t>
            </w:r>
          </w:p>
        </w:tc>
      </w:tr>
      <w:tr w:rsidR="000A13DF" w:rsidRPr="005540B8" w14:paraId="6826AB63" w14:textId="77777777" w:rsidTr="009336BD">
        <w:trPr>
          <w:trHeight w:val="283"/>
          <w:jc w:val="center"/>
        </w:trPr>
        <w:tc>
          <w:tcPr>
            <w:tcW w:w="752" w:type="pct"/>
            <w:shd w:val="clear" w:color="auto" w:fill="FFFFFF"/>
            <w:tcMar>
              <w:top w:w="72" w:type="dxa"/>
              <w:left w:w="144" w:type="dxa"/>
              <w:bottom w:w="72" w:type="dxa"/>
              <w:right w:w="144" w:type="dxa"/>
            </w:tcMar>
            <w:vAlign w:val="center"/>
            <w:hideMark/>
          </w:tcPr>
          <w:p w14:paraId="6826AB5F" w14:textId="77777777" w:rsidR="000A13DF" w:rsidRPr="005540B8" w:rsidRDefault="000A13DF" w:rsidP="005C45E7">
            <w:pPr>
              <w:spacing w:after="0"/>
              <w:jc w:val="center"/>
              <w:rPr>
                <w:rFonts w:ascii="Arial" w:hAnsi="Arial" w:cs="Arial"/>
                <w:lang w:eastAsia="en-AU"/>
              </w:rPr>
            </w:pPr>
            <w:r w:rsidRPr="005540B8">
              <w:rPr>
                <w:rFonts w:cs="Arial"/>
                <w:b/>
                <w:bCs/>
                <w:color w:val="000000"/>
                <w:kern w:val="24"/>
                <w:lang w:eastAsia="en-AU"/>
              </w:rPr>
              <w:t>Total</w:t>
            </w:r>
          </w:p>
        </w:tc>
        <w:tc>
          <w:tcPr>
            <w:tcW w:w="1416" w:type="pct"/>
            <w:shd w:val="clear" w:color="auto" w:fill="FFFFFF"/>
            <w:vAlign w:val="center"/>
          </w:tcPr>
          <w:p w14:paraId="6826AB60" w14:textId="77777777" w:rsidR="000A13DF" w:rsidRPr="005540B8" w:rsidRDefault="000A13DF" w:rsidP="005C45E7">
            <w:pPr>
              <w:spacing w:after="0"/>
              <w:jc w:val="center"/>
              <w:rPr>
                <w:rFonts w:cs="Arial"/>
                <w:b/>
                <w:bCs/>
                <w:color w:val="000000"/>
                <w:kern w:val="24"/>
                <w:sz w:val="20"/>
                <w:szCs w:val="20"/>
                <w:lang w:eastAsia="en-AU"/>
              </w:rPr>
            </w:pPr>
            <w:r w:rsidRPr="005540B8">
              <w:rPr>
                <w:rFonts w:cs="Arial"/>
                <w:b/>
                <w:bCs/>
                <w:color w:val="000000"/>
                <w:kern w:val="24"/>
                <w:sz w:val="20"/>
                <w:szCs w:val="20"/>
                <w:lang w:eastAsia="en-AU"/>
              </w:rPr>
              <w:t>500,000,000</w:t>
            </w:r>
          </w:p>
        </w:tc>
        <w:tc>
          <w:tcPr>
            <w:tcW w:w="1416" w:type="pct"/>
            <w:shd w:val="clear" w:color="auto" w:fill="FFFFFF"/>
            <w:tcMar>
              <w:top w:w="72" w:type="dxa"/>
              <w:left w:w="144" w:type="dxa"/>
              <w:bottom w:w="72" w:type="dxa"/>
              <w:right w:w="144" w:type="dxa"/>
            </w:tcMar>
            <w:vAlign w:val="center"/>
            <w:hideMark/>
          </w:tcPr>
          <w:p w14:paraId="6826AB61" w14:textId="77777777" w:rsidR="000A13DF" w:rsidRPr="005540B8" w:rsidRDefault="000A13DF" w:rsidP="005C45E7">
            <w:pPr>
              <w:spacing w:after="0"/>
              <w:jc w:val="center"/>
              <w:rPr>
                <w:rFonts w:ascii="Arial" w:hAnsi="Arial" w:cs="Arial"/>
                <w:sz w:val="20"/>
                <w:szCs w:val="20"/>
                <w:lang w:eastAsia="en-AU"/>
              </w:rPr>
            </w:pPr>
            <w:r w:rsidRPr="005540B8">
              <w:rPr>
                <w:rFonts w:cs="Arial"/>
                <w:b/>
                <w:bCs/>
                <w:color w:val="000000"/>
                <w:kern w:val="24"/>
                <w:sz w:val="20"/>
                <w:szCs w:val="20"/>
                <w:lang w:eastAsia="en-AU"/>
              </w:rPr>
              <w:t>524,000,000</w:t>
            </w:r>
          </w:p>
        </w:tc>
        <w:tc>
          <w:tcPr>
            <w:tcW w:w="1416" w:type="pct"/>
            <w:shd w:val="clear" w:color="auto" w:fill="FFFFFF"/>
            <w:tcMar>
              <w:top w:w="72" w:type="dxa"/>
              <w:left w:w="144" w:type="dxa"/>
              <w:bottom w:w="72" w:type="dxa"/>
              <w:right w:w="144" w:type="dxa"/>
            </w:tcMar>
            <w:vAlign w:val="center"/>
            <w:hideMark/>
          </w:tcPr>
          <w:p w14:paraId="6826AB62" w14:textId="77777777" w:rsidR="000A13DF" w:rsidRPr="005540B8" w:rsidRDefault="000A13DF" w:rsidP="005C45E7">
            <w:pPr>
              <w:spacing w:after="0"/>
              <w:jc w:val="center"/>
              <w:rPr>
                <w:rFonts w:ascii="Arial" w:hAnsi="Arial" w:cs="Arial"/>
                <w:sz w:val="20"/>
                <w:szCs w:val="20"/>
                <w:lang w:eastAsia="en-AU"/>
              </w:rPr>
            </w:pPr>
            <w:r w:rsidRPr="005540B8">
              <w:rPr>
                <w:rFonts w:cs="Arial"/>
                <w:b/>
                <w:bCs/>
                <w:color w:val="000000"/>
                <w:kern w:val="24"/>
                <w:sz w:val="20"/>
                <w:szCs w:val="20"/>
                <w:lang w:eastAsia="en-AU"/>
              </w:rPr>
              <w:t>368,800,000</w:t>
            </w:r>
          </w:p>
        </w:tc>
      </w:tr>
    </w:tbl>
    <w:p w14:paraId="6826AB64" w14:textId="6357FA2D" w:rsidR="009336BD" w:rsidRPr="00F42A98" w:rsidRDefault="009336BD" w:rsidP="002C7568">
      <w:pPr>
        <w:pStyle w:val="ListParagraph"/>
        <w:numPr>
          <w:ilvl w:val="0"/>
          <w:numId w:val="7"/>
        </w:numPr>
        <w:spacing w:before="120" w:after="0" w:line="240" w:lineRule="auto"/>
        <w:ind w:right="380"/>
        <w:rPr>
          <w:sz w:val="18"/>
          <w:szCs w:val="18"/>
        </w:rPr>
      </w:pPr>
      <w:r w:rsidRPr="00F42A98">
        <w:rPr>
          <w:i/>
          <w:sz w:val="18"/>
          <w:szCs w:val="18"/>
        </w:rPr>
        <w:t xml:space="preserve">Subsidiary </w:t>
      </w:r>
      <w:r w:rsidR="00CF081F" w:rsidRPr="00F42A98">
        <w:rPr>
          <w:i/>
          <w:sz w:val="18"/>
          <w:szCs w:val="18"/>
        </w:rPr>
        <w:t>arrangement</w:t>
      </w:r>
      <w:r w:rsidR="0077207B" w:rsidRPr="00F42A98">
        <w:rPr>
          <w:i/>
          <w:sz w:val="18"/>
          <w:szCs w:val="18"/>
        </w:rPr>
        <w:t xml:space="preserve"> between the Government of the Republic of Indonesia and the Government of Australia relating to Australia’s Economic Partnership with Indonesia contribution to the Education Sector Support Program, 2011.</w:t>
      </w:r>
    </w:p>
    <w:p w14:paraId="6826AB65" w14:textId="77777777" w:rsidR="0077207B" w:rsidRPr="00F42A98" w:rsidRDefault="0077207B" w:rsidP="002C7568">
      <w:pPr>
        <w:pStyle w:val="ListParagraph"/>
        <w:numPr>
          <w:ilvl w:val="0"/>
          <w:numId w:val="7"/>
        </w:numPr>
        <w:spacing w:before="120" w:after="0" w:line="240" w:lineRule="auto"/>
        <w:ind w:right="380"/>
        <w:rPr>
          <w:sz w:val="18"/>
          <w:szCs w:val="18"/>
        </w:rPr>
      </w:pPr>
      <w:r w:rsidRPr="00F42A98">
        <w:rPr>
          <w:i/>
          <w:sz w:val="18"/>
          <w:szCs w:val="18"/>
        </w:rPr>
        <w:t>Amendment 2 of the Subsidiary Arrangement,</w:t>
      </w:r>
      <w:r w:rsidRPr="00F42A98">
        <w:rPr>
          <w:sz w:val="18"/>
          <w:szCs w:val="18"/>
        </w:rPr>
        <w:t xml:space="preserve"> 2013.</w:t>
      </w:r>
    </w:p>
    <w:p w14:paraId="6826AB66" w14:textId="77777777" w:rsidR="0077207B" w:rsidRPr="00F42A98" w:rsidRDefault="0077207B" w:rsidP="002C7568">
      <w:pPr>
        <w:pStyle w:val="ListParagraph"/>
        <w:numPr>
          <w:ilvl w:val="0"/>
          <w:numId w:val="7"/>
        </w:numPr>
        <w:spacing w:before="120" w:after="0" w:line="240" w:lineRule="auto"/>
        <w:ind w:right="380"/>
        <w:rPr>
          <w:sz w:val="18"/>
          <w:szCs w:val="18"/>
        </w:rPr>
      </w:pPr>
      <w:r w:rsidRPr="00F42A98">
        <w:rPr>
          <w:i/>
          <w:sz w:val="18"/>
          <w:szCs w:val="18"/>
        </w:rPr>
        <w:t>Amendment 3 of the Subsidiary Arrangement</w:t>
      </w:r>
      <w:r w:rsidRPr="00F42A98">
        <w:rPr>
          <w:sz w:val="18"/>
          <w:szCs w:val="18"/>
        </w:rPr>
        <w:t>, 2016.</w:t>
      </w:r>
    </w:p>
    <w:p w14:paraId="6826AB67" w14:textId="77777777" w:rsidR="0077207B" w:rsidRPr="00F42A98" w:rsidRDefault="0077207B" w:rsidP="002C7568">
      <w:pPr>
        <w:pStyle w:val="ListParagraph"/>
        <w:numPr>
          <w:ilvl w:val="0"/>
          <w:numId w:val="7"/>
        </w:numPr>
        <w:spacing w:before="120" w:after="0" w:line="240" w:lineRule="auto"/>
        <w:ind w:right="380"/>
        <w:rPr>
          <w:sz w:val="18"/>
          <w:szCs w:val="18"/>
        </w:rPr>
      </w:pPr>
      <w:r w:rsidRPr="00F42A98">
        <w:rPr>
          <w:sz w:val="18"/>
          <w:szCs w:val="18"/>
        </w:rPr>
        <w:t>Total actual expenditure was AUD 91.9 million. In 2016 AUD 14.5 million in unspent Grant Agreement funds were returned by GoI.</w:t>
      </w:r>
    </w:p>
    <w:p w14:paraId="6826AB68" w14:textId="5CA7188F" w:rsidR="00AF0B7F" w:rsidRPr="00F42A98" w:rsidRDefault="00AF0B7F" w:rsidP="002C7568">
      <w:pPr>
        <w:pStyle w:val="ListParagraph"/>
        <w:numPr>
          <w:ilvl w:val="0"/>
          <w:numId w:val="7"/>
        </w:numPr>
        <w:spacing w:before="120" w:after="0" w:line="240" w:lineRule="auto"/>
        <w:ind w:right="380"/>
        <w:rPr>
          <w:sz w:val="18"/>
          <w:szCs w:val="18"/>
        </w:rPr>
      </w:pPr>
      <w:r w:rsidRPr="00F42A98">
        <w:rPr>
          <w:sz w:val="18"/>
          <w:szCs w:val="18"/>
        </w:rPr>
        <w:t xml:space="preserve">Support comprises </w:t>
      </w:r>
      <w:r w:rsidR="00011361" w:rsidRPr="00F42A98">
        <w:rPr>
          <w:sz w:val="18"/>
          <w:szCs w:val="18"/>
        </w:rPr>
        <w:t xml:space="preserve">two elements: a) </w:t>
      </w:r>
      <w:r w:rsidRPr="00F42A98">
        <w:rPr>
          <w:sz w:val="18"/>
          <w:szCs w:val="18"/>
        </w:rPr>
        <w:t>other advisory services</w:t>
      </w:r>
      <w:r w:rsidR="00011361" w:rsidRPr="00F42A98">
        <w:rPr>
          <w:sz w:val="18"/>
          <w:szCs w:val="18"/>
        </w:rPr>
        <w:t xml:space="preserve">, </w:t>
      </w:r>
      <w:r w:rsidR="00A37DC6" w:rsidRPr="00F42A98">
        <w:rPr>
          <w:sz w:val="18"/>
          <w:szCs w:val="18"/>
        </w:rPr>
        <w:t>i.e.</w:t>
      </w:r>
      <w:r w:rsidRPr="00F42A98">
        <w:rPr>
          <w:sz w:val="18"/>
          <w:szCs w:val="18"/>
        </w:rPr>
        <w:t xml:space="preserve"> </w:t>
      </w:r>
      <w:r w:rsidR="00011361" w:rsidRPr="00F42A98">
        <w:rPr>
          <w:sz w:val="18"/>
          <w:szCs w:val="18"/>
        </w:rPr>
        <w:t xml:space="preserve">a </w:t>
      </w:r>
      <w:r w:rsidRPr="00F42A98">
        <w:rPr>
          <w:sz w:val="18"/>
          <w:szCs w:val="18"/>
        </w:rPr>
        <w:t>Performance Oversight and Monitoring (POM) team and an Education Partnership Outreach Services (EPOS)</w:t>
      </w:r>
      <w:r w:rsidR="00011361" w:rsidRPr="00F42A98">
        <w:rPr>
          <w:sz w:val="18"/>
          <w:szCs w:val="18"/>
        </w:rPr>
        <w:t xml:space="preserve"> team; </w:t>
      </w:r>
      <w:r w:rsidR="00FA123C">
        <w:rPr>
          <w:sz w:val="18"/>
          <w:szCs w:val="18"/>
        </w:rPr>
        <w:t xml:space="preserve">and </w:t>
      </w:r>
      <w:r w:rsidR="00011361" w:rsidRPr="00F42A98">
        <w:rPr>
          <w:sz w:val="18"/>
          <w:szCs w:val="18"/>
        </w:rPr>
        <w:t>b</w:t>
      </w:r>
      <w:r w:rsidR="00A37DC6" w:rsidRPr="00F42A98">
        <w:rPr>
          <w:sz w:val="18"/>
          <w:szCs w:val="18"/>
        </w:rPr>
        <w:t>) DFAT</w:t>
      </w:r>
      <w:r w:rsidRPr="00F42A98">
        <w:rPr>
          <w:sz w:val="18"/>
          <w:szCs w:val="18"/>
        </w:rPr>
        <w:t xml:space="preserve"> oversight and management costs.</w:t>
      </w:r>
    </w:p>
    <w:p w14:paraId="6826AB69" w14:textId="77777777" w:rsidR="00AF0B7F" w:rsidRPr="00CF3449" w:rsidRDefault="00AF0B7F" w:rsidP="000A13DF"/>
    <w:p w14:paraId="6826AB6A" w14:textId="77777777" w:rsidR="000A13DF" w:rsidRDefault="006501A7" w:rsidP="000A13DF">
      <w:pPr>
        <w:jc w:val="both"/>
        <w:rPr>
          <w:rFonts w:cs="Arial"/>
        </w:rPr>
      </w:pPr>
      <w:r>
        <w:rPr>
          <w:rFonts w:cs="Arial"/>
        </w:rPr>
        <w:t xml:space="preserve">As two elements of the </w:t>
      </w:r>
      <w:r w:rsidR="007F7D41" w:rsidRPr="00F42A98">
        <w:rPr>
          <w:rFonts w:cs="Arial"/>
          <w:i/>
        </w:rPr>
        <w:t>Support</w:t>
      </w:r>
      <w:r w:rsidR="007F7D41">
        <w:rPr>
          <w:rFonts w:cs="Arial"/>
        </w:rPr>
        <w:t xml:space="preserve"> budget-line, t</w:t>
      </w:r>
      <w:r w:rsidR="000A13DF" w:rsidRPr="005C2D83">
        <w:rPr>
          <w:rFonts w:cs="Arial"/>
        </w:rPr>
        <w:t>he EP also included two contracts to provide support services to</w:t>
      </w:r>
      <w:r w:rsidR="007F5869">
        <w:rPr>
          <w:rFonts w:cs="Arial"/>
        </w:rPr>
        <w:t xml:space="preserve"> the Embassy</w:t>
      </w:r>
      <w:r w:rsidR="000A13DF" w:rsidRPr="005C2D83">
        <w:rPr>
          <w:rFonts w:cs="Arial"/>
        </w:rPr>
        <w:t xml:space="preserve">: a dedicated Performance Oversight and Monitoring (POM) facility to provide the EP with routine and </w:t>
      </w:r>
      <w:r w:rsidR="000A13DF" w:rsidRPr="00382C70">
        <w:rPr>
          <w:rFonts w:cs="Arial"/>
          <w:i/>
        </w:rPr>
        <w:t>ad hoc</w:t>
      </w:r>
      <w:r w:rsidR="000A13DF" w:rsidRPr="005C2D83">
        <w:rPr>
          <w:rFonts w:cs="Arial"/>
        </w:rPr>
        <w:t xml:space="preserve"> </w:t>
      </w:r>
      <w:r w:rsidR="000A13DF">
        <w:rPr>
          <w:rFonts w:cs="Arial"/>
        </w:rPr>
        <w:t xml:space="preserve">performance-related </w:t>
      </w:r>
      <w:r w:rsidR="000A13DF" w:rsidRPr="005C2D83">
        <w:rPr>
          <w:rFonts w:cs="Arial"/>
        </w:rPr>
        <w:t>services</w:t>
      </w:r>
      <w:r w:rsidR="000A13DF">
        <w:rPr>
          <w:rFonts w:cs="Arial"/>
        </w:rPr>
        <w:t xml:space="preserve"> </w:t>
      </w:r>
      <w:r w:rsidR="000A13DF" w:rsidRPr="005C2D83">
        <w:rPr>
          <w:rFonts w:cs="Arial"/>
        </w:rPr>
        <w:t xml:space="preserve">and </w:t>
      </w:r>
      <w:r w:rsidR="000A13DF">
        <w:rPr>
          <w:rFonts w:cs="Arial"/>
        </w:rPr>
        <w:t xml:space="preserve">the </w:t>
      </w:r>
      <w:r w:rsidR="000A13DF" w:rsidRPr="005C2D83">
        <w:rPr>
          <w:rFonts w:cs="Arial"/>
        </w:rPr>
        <w:t xml:space="preserve">Education Partnership Outreach Services (EPOS) </w:t>
      </w:r>
      <w:r w:rsidR="000A13DF">
        <w:rPr>
          <w:rFonts w:cs="Arial"/>
        </w:rPr>
        <w:t xml:space="preserve">unit which sought </w:t>
      </w:r>
      <w:r w:rsidR="000A13DF" w:rsidRPr="005C2D83">
        <w:rPr>
          <w:rFonts w:cs="Arial"/>
        </w:rPr>
        <w:t xml:space="preserve">to raise visibility amongst Indonesian audiences of Australia’s partnership with Indonesia in education. </w:t>
      </w:r>
    </w:p>
    <w:p w14:paraId="6826AB6B" w14:textId="5076138C" w:rsidR="000A13DF" w:rsidRPr="005C2D83" w:rsidRDefault="000A13DF" w:rsidP="000A13DF">
      <w:pPr>
        <w:jc w:val="both"/>
        <w:rPr>
          <w:rFonts w:cs="Arial"/>
        </w:rPr>
      </w:pPr>
      <w:r w:rsidRPr="00787297">
        <w:rPr>
          <w:rFonts w:cs="Arial"/>
        </w:rPr>
        <w:t xml:space="preserve">The EP was governed by the ESSP Governance Oversight Group (GOG), which was mandated to meet at least once every six months. </w:t>
      </w:r>
      <w:r w:rsidR="00C12F2F">
        <w:rPr>
          <w:rFonts w:cs="Arial"/>
        </w:rPr>
        <w:t>The GoG</w:t>
      </w:r>
      <w:r w:rsidRPr="00787297">
        <w:rPr>
          <w:rFonts w:cs="Arial"/>
        </w:rPr>
        <w:t xml:space="preserve"> was co-chaired by the Vice-Minister of MoEC and the Secretary General of MoRA, with membership including representatives from MoEC, MoRA, Bappenas</w:t>
      </w:r>
      <w:r>
        <w:rPr>
          <w:rStyle w:val="FootnoteReference"/>
          <w:rFonts w:cs="Arial"/>
        </w:rPr>
        <w:footnoteReference w:id="3"/>
      </w:r>
      <w:r w:rsidRPr="00787297">
        <w:rPr>
          <w:rFonts w:cs="Arial"/>
        </w:rPr>
        <w:t xml:space="preserve">, the Ministry of Finance, the Ministry of Home Affairs, </w:t>
      </w:r>
      <w:r w:rsidR="007F5869" w:rsidRPr="007F7D41">
        <w:rPr>
          <w:rFonts w:cs="Arial"/>
        </w:rPr>
        <w:t>GoA</w:t>
      </w:r>
      <w:r w:rsidRPr="00787297">
        <w:rPr>
          <w:rFonts w:cs="Arial"/>
        </w:rPr>
        <w:t xml:space="preserve"> and the EU. In addition to the </w:t>
      </w:r>
      <w:r w:rsidRPr="000B68D8">
        <w:rPr>
          <w:rFonts w:cs="Arial"/>
        </w:rPr>
        <w:t>GOG, four Technical Oversight Groups (TOGs) were established to coordinate planning and progress under each of the four components. Scheduled to meet every three months, the TOGs were co-chaired by designated MoEC and MoRA</w:t>
      </w:r>
      <w:r w:rsidRPr="00787297">
        <w:rPr>
          <w:rFonts w:cs="Arial"/>
        </w:rPr>
        <w:t xml:space="preserve"> representatives, </w:t>
      </w:r>
      <w:r w:rsidRPr="007F7D41">
        <w:rPr>
          <w:rFonts w:cs="Arial"/>
        </w:rPr>
        <w:t>GoA</w:t>
      </w:r>
      <w:r w:rsidRPr="00787297">
        <w:rPr>
          <w:rFonts w:cs="Arial"/>
        </w:rPr>
        <w:t xml:space="preserve"> and the EU. The TOGs were nominally responsible for approving workplans and procurement plans; the coordination and approval of major technical reports; and ongoing management, monitoring and oversight of the delivery of the ESSP. At a day-to-day level, the EP was managed by the Basic Education Unit of the Development Cooperation Section of the </w:t>
      </w:r>
      <w:r>
        <w:rPr>
          <w:rFonts w:cs="Arial"/>
        </w:rPr>
        <w:t>Australian Embassy in Jakarta</w:t>
      </w:r>
      <w:r w:rsidRPr="00787297">
        <w:rPr>
          <w:rFonts w:cs="Arial"/>
        </w:rPr>
        <w:t>.</w:t>
      </w:r>
    </w:p>
    <w:p w14:paraId="6826AB6C" w14:textId="77777777" w:rsidR="000A13DF" w:rsidRPr="005540B8" w:rsidRDefault="000A13DF" w:rsidP="00082D8B">
      <w:pPr>
        <w:pStyle w:val="Heading2"/>
      </w:pPr>
      <w:bookmarkStart w:id="21" w:name="_Toc473786289"/>
      <w:r w:rsidRPr="005540B8">
        <w:t>The initial context of the EP</w:t>
      </w:r>
      <w:bookmarkEnd w:id="21"/>
      <w:r w:rsidR="00D00C09" w:rsidRPr="005540B8">
        <w:t xml:space="preserve"> </w:t>
      </w:r>
    </w:p>
    <w:p w14:paraId="6826AB6D" w14:textId="77777777" w:rsidR="000A13DF" w:rsidRDefault="000A13DF" w:rsidP="000A13DF">
      <w:pPr>
        <w:jc w:val="both"/>
        <w:rPr>
          <w:rFonts w:cs="Arial"/>
        </w:rPr>
      </w:pPr>
      <w:r>
        <w:rPr>
          <w:rFonts w:cs="Arial"/>
        </w:rPr>
        <w:t xml:space="preserve">The design of the EP was influenced by the success of education sector activities undertaken during the 2005-2010 Australia-Indonesia Partnership for Reconstruction and Development (AIPRD), and the need for GoA to respond to new priorities within the sector. All elements of the EP reflected important changes in Indonesia’s education sector and corresponding changes to the policy context for the 2010-2014 period. Whereas the issue of </w:t>
      </w:r>
      <w:r w:rsidRPr="008D4F15">
        <w:rPr>
          <w:rFonts w:cs="Arial"/>
          <w:i/>
        </w:rPr>
        <w:t>access</w:t>
      </w:r>
      <w:r>
        <w:rPr>
          <w:rFonts w:cs="Arial"/>
        </w:rPr>
        <w:t xml:space="preserve"> to basic education was the priority concern for the 2004-09 MoEC Strategic Plan (</w:t>
      </w:r>
      <w:r w:rsidRPr="009A6B65">
        <w:rPr>
          <w:rFonts w:cs="Arial"/>
          <w:i/>
        </w:rPr>
        <w:t>Renstra</w:t>
      </w:r>
      <w:r>
        <w:rPr>
          <w:rFonts w:cs="Arial"/>
        </w:rPr>
        <w:t xml:space="preserve">), this had been supplanted in the 2010-14 MoEC </w:t>
      </w:r>
      <w:r w:rsidRPr="001B01E2">
        <w:rPr>
          <w:rFonts w:cs="Arial"/>
          <w:i/>
        </w:rPr>
        <w:t>Renstra</w:t>
      </w:r>
      <w:r>
        <w:rPr>
          <w:rFonts w:cs="Arial"/>
        </w:rPr>
        <w:t xml:space="preserve"> by a desire to improve the </w:t>
      </w:r>
      <w:r w:rsidRPr="008D4F15">
        <w:rPr>
          <w:rFonts w:cs="Arial"/>
          <w:i/>
        </w:rPr>
        <w:t>quality</w:t>
      </w:r>
      <w:r>
        <w:rPr>
          <w:rFonts w:cs="Arial"/>
        </w:rPr>
        <w:t xml:space="preserve"> of education</w:t>
      </w:r>
      <w:r w:rsidRPr="00AE68B3">
        <w:rPr>
          <w:rFonts w:cs="Arial"/>
        </w:rPr>
        <w:t>.</w:t>
      </w:r>
      <w:r>
        <w:rPr>
          <w:rFonts w:cs="Arial"/>
        </w:rPr>
        <w:t xml:space="preserve"> The ‘quality agenda</w:t>
      </w:r>
      <w:r w:rsidR="007F7D41">
        <w:rPr>
          <w:rFonts w:cs="Arial"/>
        </w:rPr>
        <w:t>’</w:t>
      </w:r>
      <w:r>
        <w:rPr>
          <w:rFonts w:cs="Arial"/>
        </w:rPr>
        <w:t xml:space="preserve"> was driven by a range of factors, including a commitment to </w:t>
      </w:r>
      <w:r w:rsidRPr="005C2D83">
        <w:rPr>
          <w:rFonts w:cs="Arial"/>
        </w:rPr>
        <w:t>capitalise on the ‘demographic dividend’ of a large school-age population as the nation moved tow</w:t>
      </w:r>
      <w:r>
        <w:rPr>
          <w:rFonts w:cs="Arial"/>
        </w:rPr>
        <w:t>ards upper middle-income status, and domestic political agendas pertaining to issues of teacher welfare and professional competencies.</w:t>
      </w:r>
    </w:p>
    <w:p w14:paraId="6826AB6E" w14:textId="77777777" w:rsidR="000A13DF" w:rsidRPr="005C2D83" w:rsidRDefault="000A13DF" w:rsidP="000A13DF">
      <w:pPr>
        <w:jc w:val="both"/>
        <w:rPr>
          <w:rFonts w:cs="Arial"/>
        </w:rPr>
      </w:pPr>
      <w:r>
        <w:rPr>
          <w:rFonts w:cs="Arial"/>
        </w:rPr>
        <w:t xml:space="preserve">The new policy context did not result in the </w:t>
      </w:r>
      <w:r w:rsidRPr="005C2D83">
        <w:rPr>
          <w:rFonts w:cs="Arial"/>
        </w:rPr>
        <w:t>wholesale redefining of the GoA-GoI aid relationship.</w:t>
      </w:r>
      <w:r>
        <w:rPr>
          <w:rFonts w:cs="Arial"/>
        </w:rPr>
        <w:t xml:space="preserve"> The</w:t>
      </w:r>
      <w:r w:rsidRPr="005C2D83">
        <w:rPr>
          <w:rFonts w:cs="Arial"/>
        </w:rPr>
        <w:t xml:space="preserve"> </w:t>
      </w:r>
      <w:r>
        <w:rPr>
          <w:rFonts w:cs="Arial"/>
        </w:rPr>
        <w:t>EP investment</w:t>
      </w:r>
      <w:r w:rsidRPr="005C2D83">
        <w:rPr>
          <w:rFonts w:cs="Arial"/>
        </w:rPr>
        <w:t xml:space="preserve"> </w:t>
      </w:r>
      <w:r>
        <w:rPr>
          <w:rFonts w:cs="Arial"/>
        </w:rPr>
        <w:t>in school construction (C1) was an extension of the AUD 395 million Australia-Indonesia Basic Education Program (AIBEP, 2006-2011), albeit one that was modified to respond to an evolving policy agenda that placed focus on</w:t>
      </w:r>
      <w:r w:rsidR="00D00C09">
        <w:rPr>
          <w:rFonts w:cs="Arial"/>
        </w:rPr>
        <w:t xml:space="preserve"> </w:t>
      </w:r>
      <w:r w:rsidRPr="005C2D83">
        <w:rPr>
          <w:rFonts w:cs="Arial"/>
          <w:i/>
        </w:rPr>
        <w:t xml:space="preserve">disparities </w:t>
      </w:r>
      <w:r w:rsidRPr="005C2D83">
        <w:rPr>
          <w:rFonts w:cs="Arial"/>
        </w:rPr>
        <w:t>in access</w:t>
      </w:r>
      <w:r>
        <w:rPr>
          <w:rFonts w:cs="Arial"/>
        </w:rPr>
        <w:t xml:space="preserve"> to basic education, rather than </w:t>
      </w:r>
      <w:r w:rsidRPr="004E6FF1">
        <w:rPr>
          <w:rFonts w:cs="Arial"/>
          <w:i/>
        </w:rPr>
        <w:t>absolute</w:t>
      </w:r>
      <w:r>
        <w:rPr>
          <w:rFonts w:cs="Arial"/>
        </w:rPr>
        <w:t xml:space="preserve"> access to basic education</w:t>
      </w:r>
      <w:r w:rsidRPr="005C2D83">
        <w:rPr>
          <w:rFonts w:cs="Arial"/>
          <w:vertAlign w:val="superscript"/>
        </w:rPr>
        <w:footnoteReference w:id="4"/>
      </w:r>
      <w:r>
        <w:rPr>
          <w:rFonts w:cs="Arial"/>
        </w:rPr>
        <w:t>.</w:t>
      </w:r>
      <w:r w:rsidRPr="005C2D83">
        <w:rPr>
          <w:rFonts w:cs="Arial"/>
        </w:rPr>
        <w:t xml:space="preserve"> </w:t>
      </w:r>
      <w:r>
        <w:rPr>
          <w:rFonts w:cs="Arial"/>
        </w:rPr>
        <w:t>For GoA</w:t>
      </w:r>
      <w:r w:rsidRPr="005C2D83">
        <w:rPr>
          <w:rFonts w:cs="Arial"/>
        </w:rPr>
        <w:t xml:space="preserve">, this </w:t>
      </w:r>
      <w:r>
        <w:rPr>
          <w:rFonts w:cs="Arial"/>
        </w:rPr>
        <w:t xml:space="preserve">modified </w:t>
      </w:r>
      <w:r w:rsidRPr="005C2D83">
        <w:rPr>
          <w:rFonts w:cs="Arial"/>
        </w:rPr>
        <w:t xml:space="preserve">agenda </w:t>
      </w:r>
      <w:r>
        <w:rPr>
          <w:rFonts w:cs="Arial"/>
        </w:rPr>
        <w:t xml:space="preserve">was well </w:t>
      </w:r>
      <w:r w:rsidRPr="005C2D83">
        <w:rPr>
          <w:rFonts w:cs="Arial"/>
        </w:rPr>
        <w:t xml:space="preserve">aligned with the traditional geographic focus of Australian support and resonated with </w:t>
      </w:r>
      <w:r>
        <w:rPr>
          <w:rFonts w:cs="Arial"/>
        </w:rPr>
        <w:t>AusAID’s</w:t>
      </w:r>
      <w:r w:rsidRPr="005C2D83">
        <w:rPr>
          <w:rFonts w:cs="Arial"/>
        </w:rPr>
        <w:t xml:space="preserve"> strat</w:t>
      </w:r>
      <w:r>
        <w:rPr>
          <w:rFonts w:cs="Arial"/>
        </w:rPr>
        <w:t>egic focus on poverty reduction</w:t>
      </w:r>
      <w:r w:rsidRPr="005C2D83">
        <w:rPr>
          <w:rFonts w:cs="Arial"/>
          <w:vertAlign w:val="superscript"/>
        </w:rPr>
        <w:endnoteReference w:id="6"/>
      </w:r>
      <w:r>
        <w:rPr>
          <w:rFonts w:cs="Arial"/>
        </w:rPr>
        <w:t>.</w:t>
      </w:r>
    </w:p>
    <w:p w14:paraId="6826AB6F" w14:textId="77777777" w:rsidR="000A13DF" w:rsidRDefault="000A13DF" w:rsidP="000A13DF">
      <w:pPr>
        <w:jc w:val="both"/>
        <w:rPr>
          <w:rFonts w:cs="Arial"/>
        </w:rPr>
      </w:pPr>
      <w:r>
        <w:rPr>
          <w:rFonts w:cs="Arial"/>
        </w:rPr>
        <w:t>From an operational perspective, t</w:t>
      </w:r>
      <w:r w:rsidRPr="005C2D83">
        <w:rPr>
          <w:rFonts w:cs="Arial"/>
        </w:rPr>
        <w:t xml:space="preserve">he design of the EP reflected GoA’s commitment to </w:t>
      </w:r>
      <w:r>
        <w:rPr>
          <w:rFonts w:cs="Arial"/>
        </w:rPr>
        <w:t xml:space="preserve">the </w:t>
      </w:r>
      <w:r w:rsidRPr="005C2D83">
        <w:rPr>
          <w:rFonts w:cs="Arial"/>
        </w:rPr>
        <w:t>Paris Declarat</w:t>
      </w:r>
      <w:r>
        <w:rPr>
          <w:rFonts w:cs="Arial"/>
        </w:rPr>
        <w:t xml:space="preserve">ion on Aid Effectiveness (2005), the </w:t>
      </w:r>
      <w:r w:rsidRPr="005C2D83">
        <w:rPr>
          <w:rFonts w:cs="Arial"/>
        </w:rPr>
        <w:t xml:space="preserve">Accra Action Agenda (2008), </w:t>
      </w:r>
      <w:r>
        <w:rPr>
          <w:rFonts w:cs="Arial"/>
        </w:rPr>
        <w:t xml:space="preserve">and </w:t>
      </w:r>
      <w:r w:rsidRPr="005C2D83">
        <w:rPr>
          <w:rFonts w:cs="Arial"/>
        </w:rPr>
        <w:t>the 2010 Jakarta Commitment on Aid Effectiveness</w:t>
      </w:r>
      <w:r w:rsidRPr="005C2D83">
        <w:rPr>
          <w:rFonts w:cs="Arial"/>
          <w:vertAlign w:val="superscript"/>
        </w:rPr>
        <w:endnoteReference w:id="7"/>
      </w:r>
      <w:r>
        <w:rPr>
          <w:rFonts w:cs="Arial"/>
        </w:rPr>
        <w:t xml:space="preserve"> by seeking to:</w:t>
      </w:r>
    </w:p>
    <w:p w14:paraId="6826AB70" w14:textId="77777777" w:rsidR="000A13DF" w:rsidRPr="005C2D83" w:rsidRDefault="000A13DF" w:rsidP="002C7568">
      <w:pPr>
        <w:numPr>
          <w:ilvl w:val="0"/>
          <w:numId w:val="2"/>
        </w:numPr>
        <w:spacing w:after="200" w:line="276" w:lineRule="auto"/>
        <w:contextualSpacing/>
        <w:jc w:val="both"/>
        <w:rPr>
          <w:rFonts w:cs="Arial"/>
        </w:rPr>
      </w:pPr>
      <w:r w:rsidRPr="005C2D83">
        <w:rPr>
          <w:rFonts w:cs="Arial"/>
        </w:rPr>
        <w:t>Strengthen country ownership over development.</w:t>
      </w:r>
    </w:p>
    <w:p w14:paraId="6826AB71" w14:textId="77777777" w:rsidR="000A13DF" w:rsidRPr="005C2D83" w:rsidRDefault="000A13DF" w:rsidP="002C7568">
      <w:pPr>
        <w:numPr>
          <w:ilvl w:val="0"/>
          <w:numId w:val="2"/>
        </w:numPr>
        <w:spacing w:after="200" w:line="276" w:lineRule="auto"/>
        <w:contextualSpacing/>
        <w:jc w:val="both"/>
        <w:rPr>
          <w:rFonts w:cs="Arial"/>
        </w:rPr>
      </w:pPr>
      <w:r w:rsidRPr="005C2D83">
        <w:rPr>
          <w:rFonts w:cs="Arial"/>
        </w:rPr>
        <w:t>Build more effective and inclusive partnerships for development.</w:t>
      </w:r>
    </w:p>
    <w:p w14:paraId="6826AB72" w14:textId="77777777" w:rsidR="000A13DF" w:rsidRDefault="000A13DF" w:rsidP="002C7568">
      <w:pPr>
        <w:numPr>
          <w:ilvl w:val="0"/>
          <w:numId w:val="2"/>
        </w:numPr>
        <w:spacing w:after="200" w:line="276" w:lineRule="auto"/>
        <w:contextualSpacing/>
        <w:jc w:val="both"/>
        <w:rPr>
          <w:rFonts w:cs="Arial"/>
        </w:rPr>
      </w:pPr>
      <w:r w:rsidRPr="005C2D83">
        <w:rPr>
          <w:rFonts w:cs="Arial"/>
        </w:rPr>
        <w:t>Deliver and account for development results.</w:t>
      </w:r>
    </w:p>
    <w:p w14:paraId="6826AB73" w14:textId="77777777" w:rsidR="000A13DF" w:rsidRDefault="000A13DF" w:rsidP="001B01E2">
      <w:pPr>
        <w:spacing w:after="0"/>
      </w:pPr>
    </w:p>
    <w:p w14:paraId="6826AB74" w14:textId="77777777" w:rsidR="000A13DF" w:rsidRPr="005C2D83" w:rsidRDefault="000A13DF" w:rsidP="000A13DF">
      <w:pPr>
        <w:jc w:val="both"/>
        <w:rPr>
          <w:rFonts w:cs="Arial"/>
        </w:rPr>
      </w:pPr>
      <w:r>
        <w:rPr>
          <w:rFonts w:cs="Arial"/>
        </w:rPr>
        <w:t>Accordingly, w</w:t>
      </w:r>
      <w:r w:rsidRPr="005C2D83">
        <w:rPr>
          <w:rFonts w:cs="Arial"/>
        </w:rPr>
        <w:t xml:space="preserve">hereas </w:t>
      </w:r>
      <w:r>
        <w:rPr>
          <w:rFonts w:cs="Arial"/>
        </w:rPr>
        <w:t xml:space="preserve">education sector initiatives conducted under the AIPRD </w:t>
      </w:r>
      <w:r w:rsidRPr="005C2D83">
        <w:rPr>
          <w:rFonts w:cs="Arial"/>
        </w:rPr>
        <w:t xml:space="preserve">were designed and managed on a bilateral basis, the EP </w:t>
      </w:r>
      <w:r>
        <w:rPr>
          <w:rFonts w:cs="Arial"/>
        </w:rPr>
        <w:t>was</w:t>
      </w:r>
      <w:r w:rsidRPr="005C2D83">
        <w:rPr>
          <w:rFonts w:cs="Arial"/>
        </w:rPr>
        <w:t xml:space="preserve"> located within the broader framework of the multi-donor ESSP. </w:t>
      </w:r>
      <w:r>
        <w:rPr>
          <w:rFonts w:cs="Arial"/>
        </w:rPr>
        <w:t xml:space="preserve">GoA’s traditional preference for the delivery </w:t>
      </w:r>
      <w:r w:rsidRPr="005C2D83">
        <w:rPr>
          <w:rFonts w:cs="Arial"/>
        </w:rPr>
        <w:t>of services through parallel systems w</w:t>
      </w:r>
      <w:r>
        <w:rPr>
          <w:rFonts w:cs="Arial"/>
        </w:rPr>
        <w:t>as likewise supplanted</w:t>
      </w:r>
      <w:r w:rsidRPr="005C2D83">
        <w:rPr>
          <w:rFonts w:cs="Arial"/>
        </w:rPr>
        <w:t xml:space="preserve"> </w:t>
      </w:r>
      <w:r>
        <w:rPr>
          <w:rFonts w:cs="Arial"/>
        </w:rPr>
        <w:t>by an approach designed to better strengthen existing partner systems, with the majority of EP support designed to be provided in the form of</w:t>
      </w:r>
      <w:r w:rsidRPr="005C2D83">
        <w:rPr>
          <w:rFonts w:cs="Arial"/>
        </w:rPr>
        <w:t xml:space="preserve"> earmarked budget support to </w:t>
      </w:r>
      <w:r>
        <w:rPr>
          <w:rFonts w:cs="Arial"/>
        </w:rPr>
        <w:t>GoI.</w:t>
      </w:r>
    </w:p>
    <w:p w14:paraId="6826AB75" w14:textId="77777777" w:rsidR="000A13DF" w:rsidRDefault="000A13DF" w:rsidP="000A13DF">
      <w:pPr>
        <w:jc w:val="both"/>
        <w:rPr>
          <w:rFonts w:cs="Arial"/>
        </w:rPr>
      </w:pPr>
      <w:r>
        <w:rPr>
          <w:rFonts w:cs="Arial"/>
        </w:rPr>
        <w:t>The</w:t>
      </w:r>
      <w:r w:rsidRPr="005C2D83">
        <w:rPr>
          <w:rFonts w:cs="Arial"/>
        </w:rPr>
        <w:t xml:space="preserve"> scale of the EP investment was indicative</w:t>
      </w:r>
      <w:r>
        <w:rPr>
          <w:rFonts w:cs="Arial"/>
        </w:rPr>
        <w:t xml:space="preserve"> of levels of aid funding at the time of the design.</w:t>
      </w:r>
      <w:r w:rsidRPr="005C2D83">
        <w:rPr>
          <w:rFonts w:cs="Arial"/>
        </w:rPr>
        <w:t xml:space="preserve"> GoA foreign aid had been increasing in both real terms and as </w:t>
      </w:r>
      <w:r>
        <w:rPr>
          <w:rFonts w:cs="Arial"/>
        </w:rPr>
        <w:t xml:space="preserve">a </w:t>
      </w:r>
      <w:r w:rsidRPr="005C2D83">
        <w:rPr>
          <w:rFonts w:cs="Arial"/>
        </w:rPr>
        <w:t>percentage of Gross National Income (GNI) since 2004-05. By 2010-11, total Australian O</w:t>
      </w:r>
      <w:r>
        <w:rPr>
          <w:rFonts w:cs="Arial"/>
        </w:rPr>
        <w:t>fficial Development Assistance (O</w:t>
      </w:r>
      <w:r w:rsidRPr="005C2D83">
        <w:rPr>
          <w:rFonts w:cs="Arial"/>
        </w:rPr>
        <w:t>DA</w:t>
      </w:r>
      <w:r>
        <w:rPr>
          <w:rFonts w:cs="Arial"/>
        </w:rPr>
        <w:t>)</w:t>
      </w:r>
      <w:r w:rsidRPr="005C2D83">
        <w:rPr>
          <w:rFonts w:cs="Arial"/>
        </w:rPr>
        <w:t xml:space="preserve"> had more than doubled in dollar value from 2004-05 figures</w:t>
      </w:r>
      <w:r w:rsidRPr="005C2D83">
        <w:rPr>
          <w:rFonts w:cs="Arial"/>
          <w:vertAlign w:val="superscript"/>
        </w:rPr>
        <w:endnoteReference w:id="8"/>
      </w:r>
      <w:r w:rsidRPr="005C2D83">
        <w:rPr>
          <w:rFonts w:cs="Arial"/>
        </w:rPr>
        <w:t xml:space="preserve">, boosted by a booming Australian resource sector and political commitments to meet a target of 0.5% of GNI by 2015. In 2010, education spending was identified as the flagship of this </w:t>
      </w:r>
      <w:r w:rsidR="009E0CB3">
        <w:rPr>
          <w:rFonts w:cs="Arial"/>
        </w:rPr>
        <w:t>growing</w:t>
      </w:r>
      <w:r w:rsidRPr="005C2D83">
        <w:rPr>
          <w:rFonts w:cs="Arial"/>
        </w:rPr>
        <w:t xml:space="preserve"> ODA budget and ‘the development partnership with Indonesia’</w:t>
      </w:r>
      <w:r w:rsidRPr="005C2D83">
        <w:rPr>
          <w:rFonts w:cs="Arial"/>
          <w:vertAlign w:val="superscript"/>
        </w:rPr>
        <w:endnoteReference w:id="9"/>
      </w:r>
      <w:r w:rsidRPr="005C2D83">
        <w:rPr>
          <w:rFonts w:cs="Arial"/>
        </w:rPr>
        <w:t xml:space="preserve"> retained its special status within the overall aid framework. The net result was a </w:t>
      </w:r>
      <w:r>
        <w:rPr>
          <w:rFonts w:cs="Arial"/>
        </w:rPr>
        <w:t>fiscal position that supported</w:t>
      </w:r>
      <w:r w:rsidRPr="00D3782B">
        <w:t xml:space="preserve"> </w:t>
      </w:r>
      <w:r>
        <w:t>prevailing AusAID theories that programs of scale were necessary to attain both sectoral impact and adequate levels of GoI buy-in</w:t>
      </w:r>
      <w:r>
        <w:rPr>
          <w:rStyle w:val="FootnoteReference"/>
          <w:rFonts w:cs="Arial"/>
        </w:rPr>
        <w:footnoteReference w:id="5"/>
      </w:r>
      <w:r>
        <w:rPr>
          <w:rFonts w:cs="Arial"/>
        </w:rPr>
        <w:t xml:space="preserve">. </w:t>
      </w:r>
      <w:r w:rsidRPr="005C2D83">
        <w:rPr>
          <w:rFonts w:cs="Arial"/>
        </w:rPr>
        <w:t xml:space="preserve">This was achieved with relative ease in the case of the school construction program (C1) as it was largely a modification of </w:t>
      </w:r>
      <w:r>
        <w:rPr>
          <w:rFonts w:cs="Arial"/>
        </w:rPr>
        <w:t>GoA’s earlier</w:t>
      </w:r>
      <w:r w:rsidRPr="005C2D83">
        <w:rPr>
          <w:rFonts w:cs="Arial"/>
        </w:rPr>
        <w:t xml:space="preserve"> AIBEP program. The development of </w:t>
      </w:r>
      <w:r>
        <w:rPr>
          <w:rFonts w:cs="Arial"/>
        </w:rPr>
        <w:t xml:space="preserve">a </w:t>
      </w:r>
      <w:r w:rsidRPr="005C2D83">
        <w:rPr>
          <w:rFonts w:cs="Arial"/>
        </w:rPr>
        <w:t xml:space="preserve">national accredited </w:t>
      </w:r>
      <w:r w:rsidRPr="00794F2E">
        <w:rPr>
          <w:rFonts w:cs="Arial"/>
        </w:rPr>
        <w:t>training system (C2) was a far more ambitious undertaking, yet one that was strongly aligned to the quality agenda</w:t>
      </w:r>
      <w:r>
        <w:rPr>
          <w:rFonts w:cs="Arial"/>
        </w:rPr>
        <w:t xml:space="preserve"> of the 2010-2014 MoEC Renstra.</w:t>
      </w:r>
      <w:r w:rsidRPr="005C2D83">
        <w:rPr>
          <w:rFonts w:cs="Arial"/>
        </w:rPr>
        <w:t xml:space="preserve"> </w:t>
      </w:r>
    </w:p>
    <w:p w14:paraId="6826AB76" w14:textId="77777777" w:rsidR="000A13DF" w:rsidRPr="005C2D83" w:rsidRDefault="000A13DF" w:rsidP="000A13DF">
      <w:pPr>
        <w:jc w:val="both"/>
        <w:rPr>
          <w:rFonts w:cs="Arial"/>
        </w:rPr>
      </w:pPr>
      <w:r>
        <w:rPr>
          <w:rFonts w:cs="Arial"/>
        </w:rPr>
        <w:t>T</w:t>
      </w:r>
      <w:r w:rsidRPr="005C2D83">
        <w:rPr>
          <w:rFonts w:cs="Arial"/>
        </w:rPr>
        <w:t xml:space="preserve">he fiscal position of </w:t>
      </w:r>
      <w:r>
        <w:rPr>
          <w:rFonts w:cs="Arial"/>
        </w:rPr>
        <w:t xml:space="preserve">MoEC, </w:t>
      </w:r>
      <w:r w:rsidRPr="005C2D83">
        <w:rPr>
          <w:rFonts w:cs="Arial"/>
        </w:rPr>
        <w:t xml:space="preserve">the </w:t>
      </w:r>
      <w:r>
        <w:rPr>
          <w:rFonts w:cs="Arial"/>
        </w:rPr>
        <w:t xml:space="preserve">main </w:t>
      </w:r>
      <w:r w:rsidRPr="005C2D83">
        <w:rPr>
          <w:rFonts w:cs="Arial"/>
        </w:rPr>
        <w:t>counterpart ministry</w:t>
      </w:r>
      <w:r>
        <w:rPr>
          <w:rFonts w:cs="Arial"/>
        </w:rPr>
        <w:t>,</w:t>
      </w:r>
      <w:r w:rsidRPr="005C2D83">
        <w:rPr>
          <w:rFonts w:cs="Arial"/>
        </w:rPr>
        <w:t xml:space="preserve"> </w:t>
      </w:r>
      <w:r>
        <w:rPr>
          <w:rFonts w:cs="Arial"/>
        </w:rPr>
        <w:t>justified</w:t>
      </w:r>
      <w:r w:rsidRPr="005C2D83">
        <w:rPr>
          <w:rFonts w:cs="Arial"/>
        </w:rPr>
        <w:t xml:space="preserve"> large investments</w:t>
      </w:r>
      <w:r>
        <w:rPr>
          <w:rFonts w:cs="Arial"/>
        </w:rPr>
        <w:t xml:space="preserve"> in school construction and professional development</w:t>
      </w:r>
      <w:r w:rsidRPr="005C2D83">
        <w:rPr>
          <w:rFonts w:cs="Arial"/>
        </w:rPr>
        <w:t xml:space="preserve">. While Indonesia had attained a constitutionally mandated allocation of 20% of the national budget for education in 2009, this </w:t>
      </w:r>
      <w:r>
        <w:rPr>
          <w:rFonts w:cs="Arial"/>
        </w:rPr>
        <w:t xml:space="preserve">had only produced modest </w:t>
      </w:r>
      <w:r w:rsidRPr="005C2D83">
        <w:rPr>
          <w:rFonts w:cs="Arial"/>
        </w:rPr>
        <w:t>real increases in the</w:t>
      </w:r>
      <w:r>
        <w:rPr>
          <w:rFonts w:cs="Arial"/>
        </w:rPr>
        <w:t xml:space="preserve"> size of the education budget</w:t>
      </w:r>
      <w:r>
        <w:rPr>
          <w:rStyle w:val="EndnoteReference"/>
          <w:rFonts w:cs="Arial"/>
        </w:rPr>
        <w:endnoteReference w:id="10"/>
      </w:r>
      <w:r>
        <w:rPr>
          <w:rFonts w:cs="Arial"/>
        </w:rPr>
        <w:t xml:space="preserve">. The percentage of this budget allocated for salary purposes remained high at approximately 80%, with the impending costs of </w:t>
      </w:r>
      <w:r w:rsidR="00EA3812">
        <w:rPr>
          <w:rFonts w:cs="Arial"/>
        </w:rPr>
        <w:t xml:space="preserve">Indonesia’s national </w:t>
      </w:r>
      <w:r>
        <w:rPr>
          <w:rFonts w:cs="Arial"/>
        </w:rPr>
        <w:t>teacher certification scheme potentially crowding out any increases in non-salary expenditure</w:t>
      </w:r>
      <w:r>
        <w:rPr>
          <w:rStyle w:val="EndnoteReference"/>
          <w:rFonts w:cs="Arial"/>
        </w:rPr>
        <w:endnoteReference w:id="11"/>
      </w:r>
      <w:r>
        <w:rPr>
          <w:rFonts w:cs="Arial"/>
        </w:rPr>
        <w:t>.</w:t>
      </w:r>
    </w:p>
    <w:p w14:paraId="6826AB77" w14:textId="77777777" w:rsidR="000A13DF" w:rsidRPr="005540B8" w:rsidRDefault="000A13DF" w:rsidP="00082D8B">
      <w:pPr>
        <w:pStyle w:val="Heading2"/>
      </w:pPr>
      <w:bookmarkStart w:id="22" w:name="_Toc473786290"/>
      <w:r w:rsidRPr="005540B8">
        <w:t>The evolving context of the EP</w:t>
      </w:r>
      <w:bookmarkEnd w:id="22"/>
    </w:p>
    <w:p w14:paraId="6826AB78" w14:textId="77777777" w:rsidR="00EA3812" w:rsidRPr="00EA3812" w:rsidRDefault="00EA3812" w:rsidP="00EA3812">
      <w:pPr>
        <w:tabs>
          <w:tab w:val="left" w:pos="8145"/>
        </w:tabs>
        <w:jc w:val="both"/>
        <w:rPr>
          <w:rFonts w:cs="Arial"/>
        </w:rPr>
      </w:pPr>
      <w:r w:rsidRPr="00EA3812">
        <w:rPr>
          <w:rFonts w:cs="Arial"/>
        </w:rPr>
        <w:t xml:space="preserve">The prescriptive character of GoI education policy (five-year planning cycles) ensured that the broader trajectory of the policy environment remained steady for the duration of the EP. Indeed, the importance of strategies aimed at improving the quality of education gained greater urgency as international benchmark tests continued to highlight low levels of student competency. </w:t>
      </w:r>
    </w:p>
    <w:p w14:paraId="6826AB79" w14:textId="705A5CD0" w:rsidR="000A13DF" w:rsidRPr="005C2D83" w:rsidRDefault="00EA3812" w:rsidP="00EA3812">
      <w:pPr>
        <w:tabs>
          <w:tab w:val="left" w:pos="8145"/>
        </w:tabs>
        <w:jc w:val="both"/>
        <w:rPr>
          <w:rFonts w:cs="Arial"/>
        </w:rPr>
      </w:pPr>
      <w:r w:rsidRPr="00EA3812">
        <w:rPr>
          <w:rFonts w:cs="Arial"/>
        </w:rPr>
        <w:t xml:space="preserve">Nonetheless, the period from 2010 to 2016 was not without a number of critical events which produced challenges for the </w:t>
      </w:r>
      <w:r w:rsidR="00A37DC6" w:rsidRPr="00EA3812">
        <w:rPr>
          <w:rFonts w:cs="Arial"/>
        </w:rPr>
        <w:t>EP</w:t>
      </w:r>
      <w:r w:rsidRPr="00EA3812">
        <w:rPr>
          <w:rFonts w:cs="Arial"/>
        </w:rPr>
        <w:t xml:space="preserve"> and C2 in particular. The launch of a new national curriculum in 2013 required the revision of various program activities as MoEC agencies and staff were required to prioritise actions that took attention away from EP investments. The election of the Joko Widodo administration in 2014 and the introduction of new rules regarding civil service appointments produced delays in implementation as senior education ministry staff were reshuffled and resources were directed away from EP activities towards new priorities</w:t>
      </w:r>
    </w:p>
    <w:p w14:paraId="6826AB7A" w14:textId="77777777" w:rsidR="000A13DF" w:rsidRPr="00762EC8" w:rsidRDefault="000A13DF" w:rsidP="000A13DF">
      <w:pPr>
        <w:tabs>
          <w:tab w:val="left" w:pos="8145"/>
        </w:tabs>
        <w:jc w:val="both"/>
        <w:rPr>
          <w:rFonts w:cs="Arial"/>
        </w:rPr>
      </w:pPr>
      <w:r>
        <w:rPr>
          <w:rFonts w:cs="Arial"/>
        </w:rPr>
        <w:t xml:space="preserve">From a GoA perspective, </w:t>
      </w:r>
      <w:r w:rsidRPr="00762EC8">
        <w:rPr>
          <w:rFonts w:cs="Arial"/>
        </w:rPr>
        <w:t>the change in Australian Government in late 2013</w:t>
      </w:r>
      <w:r>
        <w:rPr>
          <w:rFonts w:cs="Arial"/>
        </w:rPr>
        <w:t xml:space="preserve"> led to </w:t>
      </w:r>
      <w:r w:rsidRPr="00762EC8">
        <w:rPr>
          <w:rFonts w:cs="Arial"/>
        </w:rPr>
        <w:t xml:space="preserve">the </w:t>
      </w:r>
      <w:r w:rsidR="00694BC1">
        <w:rPr>
          <w:rFonts w:cs="Arial"/>
        </w:rPr>
        <w:t xml:space="preserve">introduction and </w:t>
      </w:r>
      <w:r w:rsidRPr="00762EC8">
        <w:rPr>
          <w:rFonts w:cs="Arial"/>
        </w:rPr>
        <w:t xml:space="preserve">operationalisation of </w:t>
      </w:r>
      <w:r>
        <w:rPr>
          <w:rFonts w:cs="Arial"/>
        </w:rPr>
        <w:t>Australia’s</w:t>
      </w:r>
      <w:r w:rsidRPr="00762EC8">
        <w:rPr>
          <w:rFonts w:cs="Arial"/>
        </w:rPr>
        <w:t xml:space="preserve"> </w:t>
      </w:r>
      <w:r>
        <w:rPr>
          <w:rFonts w:cs="Arial"/>
        </w:rPr>
        <w:t>‘</w:t>
      </w:r>
      <w:r w:rsidRPr="00762EC8">
        <w:rPr>
          <w:rFonts w:cs="Arial"/>
        </w:rPr>
        <w:t>new aid paradigm</w:t>
      </w:r>
      <w:r>
        <w:rPr>
          <w:rFonts w:cs="Arial"/>
        </w:rPr>
        <w:t>’ from</w:t>
      </w:r>
      <w:r w:rsidRPr="00762EC8">
        <w:rPr>
          <w:rFonts w:cs="Arial"/>
        </w:rPr>
        <w:t xml:space="preserve"> 201</w:t>
      </w:r>
      <w:r>
        <w:rPr>
          <w:rFonts w:cs="Arial"/>
        </w:rPr>
        <w:t>4</w:t>
      </w:r>
      <w:r w:rsidRPr="00762EC8">
        <w:rPr>
          <w:rFonts w:cs="Arial"/>
        </w:rPr>
        <w:t xml:space="preserve">. The change led to significant reorganisation and refocusing of international development assistance, </w:t>
      </w:r>
      <w:r w:rsidR="00E170D8">
        <w:rPr>
          <w:rFonts w:cs="Arial"/>
        </w:rPr>
        <w:t xml:space="preserve">and </w:t>
      </w:r>
      <w:r w:rsidRPr="00762EC8">
        <w:rPr>
          <w:rFonts w:cs="Arial"/>
        </w:rPr>
        <w:t>the absorption of AusAID into DFAT. During 2014, a new development policy and a new performance framework were released</w:t>
      </w:r>
      <w:r>
        <w:rPr>
          <w:rFonts w:cs="Arial"/>
        </w:rPr>
        <w:t xml:space="preserve">. </w:t>
      </w:r>
      <w:r w:rsidRPr="00762EC8">
        <w:rPr>
          <w:rFonts w:cs="Arial"/>
        </w:rPr>
        <w:t>For the program in Indonesia, th</w:t>
      </w:r>
      <w:r w:rsidR="00EA3812">
        <w:rPr>
          <w:rFonts w:cs="Arial"/>
        </w:rPr>
        <w:t>is</w:t>
      </w:r>
      <w:r w:rsidRPr="00762EC8">
        <w:rPr>
          <w:rFonts w:cs="Arial"/>
        </w:rPr>
        <w:t xml:space="preserve"> meant a move away from </w:t>
      </w:r>
      <w:r>
        <w:rPr>
          <w:rFonts w:cs="Arial"/>
        </w:rPr>
        <w:t>a</w:t>
      </w:r>
      <w:r w:rsidRPr="00762EC8">
        <w:rPr>
          <w:rFonts w:cs="Arial"/>
        </w:rPr>
        <w:t xml:space="preserve"> traditional</w:t>
      </w:r>
      <w:r>
        <w:rPr>
          <w:rFonts w:cs="Arial"/>
        </w:rPr>
        <w:t xml:space="preserve"> aid model </w:t>
      </w:r>
      <w:r w:rsidRPr="00762EC8">
        <w:rPr>
          <w:rFonts w:cs="Arial"/>
        </w:rPr>
        <w:t>towards</w:t>
      </w:r>
      <w:r>
        <w:rPr>
          <w:rFonts w:cs="Arial"/>
        </w:rPr>
        <w:t xml:space="preserve"> a framework within which aid investments were conceived within a </w:t>
      </w:r>
      <w:r w:rsidRPr="00762EC8">
        <w:rPr>
          <w:rFonts w:cs="Arial"/>
        </w:rPr>
        <w:t xml:space="preserve">mutually beneficial relationship </w:t>
      </w:r>
      <w:r>
        <w:rPr>
          <w:rFonts w:cs="Arial"/>
        </w:rPr>
        <w:t>between G20</w:t>
      </w:r>
      <w:r w:rsidRPr="00762EC8">
        <w:rPr>
          <w:rFonts w:cs="Arial"/>
        </w:rPr>
        <w:t xml:space="preserve"> partners. In practical terms, this meant the recognition of Indonesia’s economic wealth and a related downsizing in the capital value of the aid program and a focus on shorter term economic diplomacy outcomes </w:t>
      </w:r>
      <w:r>
        <w:rPr>
          <w:rFonts w:cs="Arial"/>
        </w:rPr>
        <w:t>alongside</w:t>
      </w:r>
      <w:r w:rsidRPr="00762EC8">
        <w:rPr>
          <w:rFonts w:cs="Arial"/>
        </w:rPr>
        <w:t xml:space="preserve"> longer-term development outcomes.</w:t>
      </w:r>
      <w:r w:rsidR="00D00C09">
        <w:rPr>
          <w:rFonts w:cs="Arial"/>
        </w:rPr>
        <w:t xml:space="preserve"> </w:t>
      </w:r>
    </w:p>
    <w:p w14:paraId="6826AB7B" w14:textId="77777777" w:rsidR="00AA73F9" w:rsidRDefault="00694BC1" w:rsidP="00AA73F9">
      <w:pPr>
        <w:jc w:val="both"/>
        <w:rPr>
          <w:rFonts w:cs="Arial"/>
        </w:rPr>
      </w:pPr>
      <w:r>
        <w:rPr>
          <w:rFonts w:cs="Arial"/>
        </w:rPr>
        <w:t>W</w:t>
      </w:r>
      <w:r w:rsidR="000A13DF" w:rsidRPr="005C2D83">
        <w:rPr>
          <w:rFonts w:cs="Arial"/>
        </w:rPr>
        <w:t>hen it was launched</w:t>
      </w:r>
      <w:r>
        <w:rPr>
          <w:rFonts w:cs="Arial"/>
        </w:rPr>
        <w:t xml:space="preserve"> in 2011</w:t>
      </w:r>
      <w:r w:rsidR="000A13DF" w:rsidRPr="005C2D83">
        <w:rPr>
          <w:rFonts w:cs="Arial"/>
        </w:rPr>
        <w:t>, the EP was valued at AUD</w:t>
      </w:r>
      <w:r w:rsidR="000A13DF">
        <w:rPr>
          <w:rFonts w:cs="Arial"/>
        </w:rPr>
        <w:t xml:space="preserve"> </w:t>
      </w:r>
      <w:r w:rsidR="000A13DF" w:rsidRPr="005C2D83">
        <w:rPr>
          <w:rFonts w:cs="Arial"/>
        </w:rPr>
        <w:t>500 million, a sum that peaked at AUD</w:t>
      </w:r>
      <w:r w:rsidR="000A13DF">
        <w:rPr>
          <w:rFonts w:cs="Arial"/>
        </w:rPr>
        <w:t xml:space="preserve"> </w:t>
      </w:r>
      <w:r w:rsidR="000A13DF" w:rsidRPr="005C2D83">
        <w:rPr>
          <w:rFonts w:cs="Arial"/>
        </w:rPr>
        <w:t xml:space="preserve">524 million following an amendment in </w:t>
      </w:r>
      <w:r w:rsidR="00A61FF7">
        <w:rPr>
          <w:rFonts w:cs="Arial"/>
        </w:rPr>
        <w:t xml:space="preserve">late </w:t>
      </w:r>
      <w:r w:rsidR="000A13DF" w:rsidRPr="005C2D83">
        <w:rPr>
          <w:rFonts w:cs="Arial"/>
        </w:rPr>
        <w:t>201</w:t>
      </w:r>
      <w:r w:rsidR="00A61FF7">
        <w:rPr>
          <w:rFonts w:cs="Arial"/>
        </w:rPr>
        <w:t>3</w:t>
      </w:r>
      <w:r w:rsidR="000A13DF" w:rsidRPr="005C2D83">
        <w:rPr>
          <w:rFonts w:cs="Arial"/>
        </w:rPr>
        <w:t>. By June 2016 the EP was valued at AUD</w:t>
      </w:r>
      <w:r w:rsidR="000A13DF">
        <w:rPr>
          <w:rFonts w:cs="Arial"/>
        </w:rPr>
        <w:t xml:space="preserve"> </w:t>
      </w:r>
      <w:r w:rsidR="000A13DF" w:rsidRPr="005C2D83">
        <w:rPr>
          <w:rFonts w:cs="Arial"/>
        </w:rPr>
        <w:t>368.8 million, a total reduction of AUD</w:t>
      </w:r>
      <w:r w:rsidR="000A13DF">
        <w:rPr>
          <w:rFonts w:cs="Arial"/>
        </w:rPr>
        <w:t xml:space="preserve"> </w:t>
      </w:r>
      <w:r w:rsidR="000A13DF" w:rsidRPr="005C2D83">
        <w:rPr>
          <w:rFonts w:cs="Arial"/>
        </w:rPr>
        <w:t>155.2 million.</w:t>
      </w:r>
      <w:r w:rsidR="00AA73F9">
        <w:rPr>
          <w:rFonts w:cs="Arial"/>
        </w:rPr>
        <w:t xml:space="preserve"> Conversely, the fiscal position of MoEC improved significantly over the course of the EP. At the time of the EP’s formulation in 2010, the Indonesian education budget was IDR 225.2 trillion</w:t>
      </w:r>
      <w:r w:rsidR="00FD1164">
        <w:rPr>
          <w:rStyle w:val="FootnoteReference"/>
          <w:rFonts w:cs="Arial"/>
        </w:rPr>
        <w:footnoteReference w:id="6"/>
      </w:r>
      <w:r w:rsidR="00AA73F9">
        <w:rPr>
          <w:rFonts w:cs="Arial"/>
        </w:rPr>
        <w:t>. By 2014, this had risen to IDR 368.9 trillion</w:t>
      </w:r>
      <w:r w:rsidR="00FD1164">
        <w:rPr>
          <w:rStyle w:val="FootnoteReference"/>
          <w:rFonts w:cs="Arial"/>
        </w:rPr>
        <w:footnoteReference w:id="7"/>
      </w:r>
      <w:r w:rsidR="00FD1164">
        <w:rPr>
          <w:rFonts w:cs="Arial"/>
        </w:rPr>
        <w:t xml:space="preserve"> </w:t>
      </w:r>
      <w:r w:rsidR="00AA73F9">
        <w:rPr>
          <w:rStyle w:val="EndnoteReference"/>
          <w:rFonts w:cs="Arial"/>
        </w:rPr>
        <w:endnoteReference w:id="12"/>
      </w:r>
      <w:r w:rsidR="00AA73F9">
        <w:rPr>
          <w:rFonts w:cs="Arial"/>
        </w:rPr>
        <w:t xml:space="preserve">. </w:t>
      </w:r>
    </w:p>
    <w:p w14:paraId="6826AB7C" w14:textId="77777777" w:rsidR="00BE4CFB" w:rsidRDefault="00BE4CFB" w:rsidP="00AA73F9">
      <w:pPr>
        <w:jc w:val="both"/>
        <w:rPr>
          <w:rFonts w:cs="Arial"/>
        </w:rPr>
      </w:pPr>
    </w:p>
    <w:p w14:paraId="3FB19F67" w14:textId="77777777" w:rsidR="00FA14CE" w:rsidRDefault="00FA14CE">
      <w:pPr>
        <w:spacing w:after="0" w:line="240" w:lineRule="auto"/>
        <w:rPr>
          <w:rFonts w:eastAsia="Times New Roman" w:cs="Calibri"/>
          <w:b/>
          <w:bCs/>
          <w:color w:val="003880"/>
          <w:kern w:val="32"/>
          <w:sz w:val="28"/>
          <w:szCs w:val="28"/>
          <w:lang w:val="en-AU"/>
        </w:rPr>
      </w:pPr>
      <w:bookmarkStart w:id="23" w:name="_Toc473786291"/>
      <w:r>
        <w:br w:type="page"/>
      </w:r>
    </w:p>
    <w:p w14:paraId="6826AB7D" w14:textId="5AC481BA" w:rsidR="005B76F8" w:rsidRDefault="005B76F8" w:rsidP="005B76F8">
      <w:pPr>
        <w:pStyle w:val="Heading1"/>
      </w:pPr>
      <w:r w:rsidRPr="0058673C">
        <w:t>Achievements</w:t>
      </w:r>
      <w:bookmarkEnd w:id="23"/>
    </w:p>
    <w:p w14:paraId="6826AB7E" w14:textId="2FFB9D1D" w:rsidR="005B76F8" w:rsidRDefault="005B76F8" w:rsidP="005B76F8">
      <w:pPr>
        <w:jc w:val="both"/>
        <w:rPr>
          <w:rFonts w:cs="Arial"/>
        </w:rPr>
      </w:pPr>
      <w:r>
        <w:rPr>
          <w:rFonts w:cs="Arial"/>
        </w:rPr>
        <w:t>Table 2</w:t>
      </w:r>
      <w:r w:rsidR="004B0A01">
        <w:rPr>
          <w:rFonts w:cs="Arial"/>
        </w:rPr>
        <w:t>, below,</w:t>
      </w:r>
      <w:r>
        <w:rPr>
          <w:rFonts w:cs="Arial"/>
        </w:rPr>
        <w:t xml:space="preserve"> presents headline achievements for each of the four components with respect to identified and agreed targets. These targets were identified e</w:t>
      </w:r>
      <w:r w:rsidR="00DD4E1B">
        <w:rPr>
          <w:rFonts w:cs="Arial"/>
        </w:rPr>
        <w:t>arly on in the life of the EP (O</w:t>
      </w:r>
      <w:r>
        <w:rPr>
          <w:rFonts w:cs="Arial"/>
        </w:rPr>
        <w:t>riginal target)</w:t>
      </w:r>
      <w:r w:rsidR="004B0A01">
        <w:rPr>
          <w:rFonts w:cs="Arial"/>
        </w:rPr>
        <w:t xml:space="preserve">. Some </w:t>
      </w:r>
      <w:r>
        <w:rPr>
          <w:rFonts w:cs="Arial"/>
        </w:rPr>
        <w:t xml:space="preserve">were identified later on in the life of the EP </w:t>
      </w:r>
      <w:r w:rsidR="00DD4E1B">
        <w:rPr>
          <w:rFonts w:cs="Arial"/>
        </w:rPr>
        <w:t xml:space="preserve">(Revised target) </w:t>
      </w:r>
      <w:r>
        <w:rPr>
          <w:rFonts w:cs="Arial"/>
        </w:rPr>
        <w:t xml:space="preserve">as a result of reduced budget or delays to implementation. Table 3 presents </w:t>
      </w:r>
      <w:r w:rsidR="000202F7">
        <w:rPr>
          <w:rFonts w:cs="Arial"/>
        </w:rPr>
        <w:t>a series of additional</w:t>
      </w:r>
      <w:r>
        <w:rPr>
          <w:rFonts w:cs="Arial"/>
        </w:rPr>
        <w:t xml:space="preserve"> achievements that were not </w:t>
      </w:r>
      <w:r w:rsidR="000202F7">
        <w:rPr>
          <w:rFonts w:cs="Arial"/>
        </w:rPr>
        <w:t>identified as specific targets,</w:t>
      </w:r>
      <w:r>
        <w:rPr>
          <w:rFonts w:cs="Arial"/>
        </w:rPr>
        <w:t xml:space="preserve"> but were realised during implementation, thereby adding </w:t>
      </w:r>
      <w:r w:rsidR="00DD4E1B">
        <w:rPr>
          <w:rFonts w:cs="Arial"/>
        </w:rPr>
        <w:t>to the overall value proposition of the EP.</w:t>
      </w:r>
    </w:p>
    <w:p w14:paraId="6826AB7F" w14:textId="77777777" w:rsidR="005B76F8" w:rsidRDefault="005B76F8" w:rsidP="000A13DF">
      <w:pPr>
        <w:rPr>
          <w:rFonts w:cs="Arial"/>
        </w:rPr>
        <w:sectPr w:rsidR="005B76F8" w:rsidSect="00711B52">
          <w:pgSz w:w="11906" w:h="16838"/>
          <w:pgMar w:top="1440" w:right="1440" w:bottom="1440" w:left="1440" w:header="708" w:footer="708" w:gutter="0"/>
          <w:pgNumType w:start="1"/>
          <w:cols w:space="708"/>
          <w:docGrid w:linePitch="360"/>
        </w:sectPr>
      </w:pPr>
    </w:p>
    <w:p w14:paraId="6826AB80" w14:textId="77777777" w:rsidR="0087388B" w:rsidRPr="005B76F8" w:rsidRDefault="005B76F8" w:rsidP="005B76F8">
      <w:pPr>
        <w:pStyle w:val="Caption"/>
        <w:jc w:val="center"/>
        <w:rPr>
          <w:color w:val="auto"/>
          <w:sz w:val="22"/>
          <w:szCs w:val="22"/>
        </w:rPr>
      </w:pPr>
      <w:bookmarkStart w:id="24" w:name="_Toc468197995"/>
      <w:r w:rsidRPr="005B76F8">
        <w:rPr>
          <w:color w:val="auto"/>
          <w:sz w:val="22"/>
          <w:szCs w:val="22"/>
        </w:rPr>
        <w:t xml:space="preserve">Table </w:t>
      </w:r>
      <w:r w:rsidRPr="005B76F8">
        <w:rPr>
          <w:color w:val="auto"/>
          <w:sz w:val="22"/>
          <w:szCs w:val="22"/>
        </w:rPr>
        <w:fldChar w:fldCharType="begin"/>
      </w:r>
      <w:r w:rsidRPr="005B76F8">
        <w:rPr>
          <w:color w:val="auto"/>
          <w:sz w:val="22"/>
          <w:szCs w:val="22"/>
        </w:rPr>
        <w:instrText xml:space="preserve"> SEQ Table \* ARABIC </w:instrText>
      </w:r>
      <w:r w:rsidRPr="005B76F8">
        <w:rPr>
          <w:color w:val="auto"/>
          <w:sz w:val="22"/>
          <w:szCs w:val="22"/>
        </w:rPr>
        <w:fldChar w:fldCharType="separate"/>
      </w:r>
      <w:r w:rsidR="00F82B53">
        <w:rPr>
          <w:noProof/>
          <w:color w:val="auto"/>
          <w:sz w:val="22"/>
          <w:szCs w:val="22"/>
        </w:rPr>
        <w:t>2</w:t>
      </w:r>
      <w:r w:rsidRPr="005B76F8">
        <w:rPr>
          <w:color w:val="auto"/>
          <w:sz w:val="22"/>
          <w:szCs w:val="22"/>
        </w:rPr>
        <w:fldChar w:fldCharType="end"/>
      </w:r>
      <w:r w:rsidRPr="005B76F8">
        <w:rPr>
          <w:color w:val="auto"/>
          <w:sz w:val="22"/>
          <w:szCs w:val="22"/>
        </w:rPr>
        <w:t>: EP Target-related Achievements by Component</w:t>
      </w:r>
      <w:bookmarkEnd w:id="24"/>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5245"/>
        <w:gridCol w:w="1133"/>
        <w:gridCol w:w="1275"/>
        <w:gridCol w:w="1135"/>
        <w:gridCol w:w="1228"/>
        <w:gridCol w:w="1087"/>
        <w:gridCol w:w="1087"/>
      </w:tblGrid>
      <w:tr w:rsidR="0075663F" w:rsidRPr="005540B8" w14:paraId="6826AB87" w14:textId="77777777" w:rsidTr="00FA123C">
        <w:trPr>
          <w:trHeight w:val="510"/>
        </w:trPr>
        <w:tc>
          <w:tcPr>
            <w:tcW w:w="1418" w:type="dxa"/>
            <w:vMerge w:val="restart"/>
            <w:shd w:val="clear" w:color="auto" w:fill="1F4E79"/>
            <w:vAlign w:val="center"/>
          </w:tcPr>
          <w:p w14:paraId="6826AB81" w14:textId="77777777" w:rsidR="0075663F" w:rsidRPr="005540B8" w:rsidRDefault="0075663F" w:rsidP="005540B8">
            <w:pPr>
              <w:spacing w:after="0" w:line="240" w:lineRule="auto"/>
              <w:jc w:val="center"/>
              <w:rPr>
                <w:b/>
                <w:color w:val="FFFFFF"/>
              </w:rPr>
            </w:pPr>
            <w:r w:rsidRPr="005540B8">
              <w:rPr>
                <w:b/>
                <w:color w:val="FFFFFF"/>
              </w:rPr>
              <w:t>Component</w:t>
            </w:r>
          </w:p>
        </w:tc>
        <w:tc>
          <w:tcPr>
            <w:tcW w:w="5245" w:type="dxa"/>
            <w:vMerge w:val="restart"/>
            <w:shd w:val="clear" w:color="auto" w:fill="1F4E79"/>
            <w:vAlign w:val="center"/>
          </w:tcPr>
          <w:p w14:paraId="6826AB82" w14:textId="77777777" w:rsidR="0075663F" w:rsidRPr="005540B8" w:rsidRDefault="0075663F" w:rsidP="005540B8">
            <w:pPr>
              <w:spacing w:after="0" w:line="240" w:lineRule="auto"/>
              <w:jc w:val="center"/>
              <w:rPr>
                <w:b/>
                <w:color w:val="FFFFFF"/>
              </w:rPr>
            </w:pPr>
            <w:r w:rsidRPr="005540B8">
              <w:rPr>
                <w:b/>
                <w:color w:val="FFFFFF"/>
              </w:rPr>
              <w:t>Indicators</w:t>
            </w:r>
          </w:p>
        </w:tc>
        <w:tc>
          <w:tcPr>
            <w:tcW w:w="1133" w:type="dxa"/>
            <w:vMerge w:val="restart"/>
            <w:shd w:val="clear" w:color="auto" w:fill="1F4E79"/>
            <w:vAlign w:val="center"/>
          </w:tcPr>
          <w:p w14:paraId="6826AB83" w14:textId="5CD8CFB4" w:rsidR="0075663F" w:rsidRPr="005540B8" w:rsidRDefault="0075663F" w:rsidP="007F5363">
            <w:pPr>
              <w:spacing w:after="0" w:line="240" w:lineRule="auto"/>
              <w:jc w:val="center"/>
              <w:rPr>
                <w:b/>
                <w:color w:val="FFFFFF"/>
              </w:rPr>
            </w:pPr>
            <w:r>
              <w:rPr>
                <w:b/>
                <w:color w:val="FFFFFF"/>
              </w:rPr>
              <w:t>Design</w:t>
            </w:r>
            <w:r w:rsidRPr="005540B8">
              <w:rPr>
                <w:b/>
                <w:color w:val="FFFFFF"/>
              </w:rPr>
              <w:t xml:space="preserve"> </w:t>
            </w:r>
            <w:r w:rsidRPr="005540B8">
              <w:rPr>
                <w:b/>
                <w:color w:val="FFFFFF"/>
              </w:rPr>
              <w:br/>
              <w:t>Target</w:t>
            </w:r>
            <w:r w:rsidR="009336BD">
              <w:rPr>
                <w:b/>
                <w:color w:val="FFFFFF"/>
              </w:rPr>
              <w:t xml:space="preserve"> 2011</w:t>
            </w:r>
            <w:r w:rsidR="00954092">
              <w:rPr>
                <w:b/>
                <w:color w:val="FFFFFF"/>
                <w:vertAlign w:val="superscript"/>
              </w:rPr>
              <w:t>(a</w:t>
            </w:r>
            <w:r w:rsidRPr="005540B8">
              <w:rPr>
                <w:b/>
                <w:color w:val="FFFFFF"/>
                <w:vertAlign w:val="superscript"/>
              </w:rPr>
              <w:t>)</w:t>
            </w:r>
            <w:r w:rsidRPr="005540B8" w:rsidDel="00694BC1">
              <w:rPr>
                <w:rStyle w:val="FootnoteReference"/>
                <w:b/>
                <w:color w:val="FFFFFF"/>
              </w:rPr>
              <w:t xml:space="preserve"> </w:t>
            </w:r>
          </w:p>
        </w:tc>
        <w:tc>
          <w:tcPr>
            <w:tcW w:w="1275" w:type="dxa"/>
            <w:vMerge w:val="restart"/>
            <w:shd w:val="clear" w:color="auto" w:fill="1F4E79"/>
            <w:vAlign w:val="center"/>
          </w:tcPr>
          <w:p w14:paraId="6826AB84" w14:textId="1B071F62" w:rsidR="0075663F" w:rsidRPr="005540B8" w:rsidRDefault="004B0A01" w:rsidP="007F5363">
            <w:pPr>
              <w:spacing w:after="0" w:line="240" w:lineRule="auto"/>
              <w:jc w:val="center"/>
              <w:rPr>
                <w:b/>
                <w:color w:val="FFFFFF"/>
              </w:rPr>
            </w:pPr>
            <w:r w:rsidRPr="00F60F1A">
              <w:rPr>
                <w:b/>
                <w:color w:val="FFFFFF"/>
              </w:rPr>
              <w:t>PMF</w:t>
            </w:r>
            <w:r w:rsidR="0075663F" w:rsidRPr="005540B8">
              <w:rPr>
                <w:b/>
                <w:color w:val="FFFFFF"/>
              </w:rPr>
              <w:t xml:space="preserve"> </w:t>
            </w:r>
            <w:r w:rsidR="0075663F" w:rsidRPr="005540B8">
              <w:rPr>
                <w:b/>
                <w:color w:val="FFFFFF"/>
              </w:rPr>
              <w:br/>
              <w:t xml:space="preserve">Target </w:t>
            </w:r>
            <w:r w:rsidR="009336BD">
              <w:rPr>
                <w:b/>
                <w:color w:val="FFFFFF"/>
              </w:rPr>
              <w:t>2013</w:t>
            </w:r>
            <w:r w:rsidR="0075663F" w:rsidRPr="005540B8">
              <w:rPr>
                <w:b/>
                <w:color w:val="FFFFFF"/>
                <w:vertAlign w:val="superscript"/>
              </w:rPr>
              <w:t>(</w:t>
            </w:r>
            <w:r w:rsidR="00954092">
              <w:rPr>
                <w:b/>
                <w:color w:val="FFFFFF"/>
                <w:vertAlign w:val="superscript"/>
              </w:rPr>
              <w:t>b</w:t>
            </w:r>
            <w:r w:rsidR="0075663F" w:rsidRPr="005540B8">
              <w:rPr>
                <w:b/>
                <w:color w:val="FFFFFF"/>
                <w:vertAlign w:val="superscript"/>
              </w:rPr>
              <w:t>)</w:t>
            </w:r>
            <w:r w:rsidR="0075663F" w:rsidRPr="005540B8" w:rsidDel="00694BC1">
              <w:rPr>
                <w:rStyle w:val="FootnoteReference"/>
                <w:b/>
                <w:color w:val="FFFFFF"/>
              </w:rPr>
              <w:t xml:space="preserve"> </w:t>
            </w:r>
          </w:p>
        </w:tc>
        <w:tc>
          <w:tcPr>
            <w:tcW w:w="1135" w:type="dxa"/>
            <w:vMerge w:val="restart"/>
            <w:shd w:val="clear" w:color="auto" w:fill="1F4E79"/>
            <w:vAlign w:val="center"/>
          </w:tcPr>
          <w:p w14:paraId="6826AB85" w14:textId="77777777" w:rsidR="009336BD" w:rsidRPr="005540B8" w:rsidRDefault="0075663F" w:rsidP="009336BD">
            <w:pPr>
              <w:spacing w:after="0" w:line="240" w:lineRule="auto"/>
              <w:jc w:val="center"/>
              <w:rPr>
                <w:b/>
                <w:color w:val="FFFFFF"/>
              </w:rPr>
            </w:pPr>
            <w:r w:rsidRPr="005540B8">
              <w:rPr>
                <w:b/>
                <w:color w:val="FFFFFF"/>
              </w:rPr>
              <w:t>Revised Target</w:t>
            </w:r>
            <w:r w:rsidR="009336BD">
              <w:rPr>
                <w:b/>
                <w:color w:val="FFFFFF"/>
              </w:rPr>
              <w:t xml:space="preserve"> 2015</w:t>
            </w:r>
          </w:p>
        </w:tc>
        <w:tc>
          <w:tcPr>
            <w:tcW w:w="3402" w:type="dxa"/>
            <w:gridSpan w:val="3"/>
            <w:shd w:val="clear" w:color="auto" w:fill="1F4E79"/>
            <w:vAlign w:val="center"/>
          </w:tcPr>
          <w:p w14:paraId="6826AB86" w14:textId="77777777" w:rsidR="0075663F" w:rsidRPr="005540B8" w:rsidRDefault="0075663F" w:rsidP="005540B8">
            <w:pPr>
              <w:spacing w:after="0" w:line="240" w:lineRule="auto"/>
              <w:jc w:val="center"/>
              <w:rPr>
                <w:b/>
                <w:color w:val="FFFFFF"/>
              </w:rPr>
            </w:pPr>
            <w:r w:rsidRPr="005540B8">
              <w:rPr>
                <w:b/>
                <w:color w:val="FFFFFF"/>
              </w:rPr>
              <w:t>Achievements</w:t>
            </w:r>
          </w:p>
        </w:tc>
      </w:tr>
      <w:tr w:rsidR="0075663F" w:rsidRPr="005540B8" w14:paraId="6826AB90" w14:textId="77777777" w:rsidTr="00FA123C">
        <w:trPr>
          <w:trHeight w:val="193"/>
        </w:trPr>
        <w:tc>
          <w:tcPr>
            <w:tcW w:w="1418" w:type="dxa"/>
            <w:vMerge/>
            <w:shd w:val="clear" w:color="auto" w:fill="1F4E79"/>
            <w:vAlign w:val="center"/>
          </w:tcPr>
          <w:p w14:paraId="6826AB88" w14:textId="77777777" w:rsidR="0075663F" w:rsidRPr="005540B8" w:rsidRDefault="0075663F" w:rsidP="005540B8">
            <w:pPr>
              <w:spacing w:after="0" w:line="240" w:lineRule="auto"/>
              <w:rPr>
                <w:b/>
                <w:color w:val="FFFFFF"/>
                <w:sz w:val="20"/>
                <w:szCs w:val="20"/>
              </w:rPr>
            </w:pPr>
          </w:p>
        </w:tc>
        <w:tc>
          <w:tcPr>
            <w:tcW w:w="5245" w:type="dxa"/>
            <w:vMerge/>
            <w:shd w:val="clear" w:color="auto" w:fill="FFFFFF"/>
            <w:vAlign w:val="center"/>
          </w:tcPr>
          <w:p w14:paraId="6826AB89" w14:textId="77777777" w:rsidR="0075663F" w:rsidRPr="005540B8" w:rsidRDefault="0075663F" w:rsidP="005540B8">
            <w:pPr>
              <w:spacing w:after="0" w:line="240" w:lineRule="auto"/>
              <w:rPr>
                <w:b/>
                <w:sz w:val="20"/>
                <w:szCs w:val="20"/>
              </w:rPr>
            </w:pPr>
          </w:p>
        </w:tc>
        <w:tc>
          <w:tcPr>
            <w:tcW w:w="1133" w:type="dxa"/>
            <w:vMerge/>
            <w:shd w:val="clear" w:color="auto" w:fill="FFFFFF"/>
          </w:tcPr>
          <w:p w14:paraId="6826AB8A" w14:textId="77777777" w:rsidR="0075663F" w:rsidRPr="005540B8" w:rsidRDefault="0075663F" w:rsidP="005540B8">
            <w:pPr>
              <w:spacing w:after="0" w:line="240" w:lineRule="auto"/>
              <w:jc w:val="center"/>
              <w:rPr>
                <w:b/>
                <w:sz w:val="20"/>
                <w:szCs w:val="20"/>
              </w:rPr>
            </w:pPr>
          </w:p>
        </w:tc>
        <w:tc>
          <w:tcPr>
            <w:tcW w:w="1275" w:type="dxa"/>
            <w:vMerge/>
            <w:shd w:val="clear" w:color="auto" w:fill="FFFFFF"/>
            <w:vAlign w:val="center"/>
          </w:tcPr>
          <w:p w14:paraId="6826AB8B" w14:textId="77777777" w:rsidR="0075663F" w:rsidRPr="005540B8" w:rsidRDefault="0075663F" w:rsidP="005540B8">
            <w:pPr>
              <w:spacing w:after="0" w:line="240" w:lineRule="auto"/>
              <w:jc w:val="center"/>
              <w:rPr>
                <w:b/>
                <w:sz w:val="20"/>
                <w:szCs w:val="20"/>
              </w:rPr>
            </w:pPr>
          </w:p>
        </w:tc>
        <w:tc>
          <w:tcPr>
            <w:tcW w:w="1135" w:type="dxa"/>
            <w:vMerge/>
            <w:shd w:val="clear" w:color="auto" w:fill="FFFFFF"/>
            <w:vAlign w:val="center"/>
          </w:tcPr>
          <w:p w14:paraId="6826AB8C" w14:textId="77777777" w:rsidR="0075663F" w:rsidRPr="005540B8" w:rsidRDefault="0075663F" w:rsidP="005540B8">
            <w:pPr>
              <w:spacing w:after="0" w:line="240" w:lineRule="auto"/>
              <w:jc w:val="center"/>
              <w:rPr>
                <w:b/>
                <w:sz w:val="20"/>
                <w:szCs w:val="20"/>
              </w:rPr>
            </w:pPr>
          </w:p>
        </w:tc>
        <w:tc>
          <w:tcPr>
            <w:tcW w:w="1228" w:type="dxa"/>
            <w:shd w:val="clear" w:color="auto" w:fill="1F4E79"/>
            <w:vAlign w:val="center"/>
          </w:tcPr>
          <w:p w14:paraId="6826AB8D" w14:textId="77777777" w:rsidR="0075663F" w:rsidRPr="005540B8" w:rsidRDefault="0073378A" w:rsidP="005540B8">
            <w:pPr>
              <w:spacing w:after="0" w:line="240" w:lineRule="auto"/>
              <w:jc w:val="center"/>
              <w:rPr>
                <w:b/>
                <w:color w:val="FFFFFF"/>
              </w:rPr>
            </w:pPr>
            <w:r w:rsidRPr="009A5A6E">
              <w:rPr>
                <w:rFonts w:cs="Calibri"/>
                <w:b/>
                <w:color w:val="FFFFFF"/>
              </w:rPr>
              <w:t>Result</w:t>
            </w:r>
            <w:r w:rsidRPr="009A5A6E">
              <w:rPr>
                <w:color w:val="FFFFFF"/>
                <w:sz w:val="20"/>
                <w:szCs w:val="20"/>
                <w:vertAlign w:val="superscript"/>
              </w:rPr>
              <w:t>(f)</w:t>
            </w:r>
          </w:p>
        </w:tc>
        <w:tc>
          <w:tcPr>
            <w:tcW w:w="1087" w:type="dxa"/>
            <w:shd w:val="clear" w:color="auto" w:fill="1F4E79"/>
            <w:vAlign w:val="center"/>
          </w:tcPr>
          <w:p w14:paraId="6826AB8E" w14:textId="77777777" w:rsidR="0075663F" w:rsidRPr="005540B8" w:rsidRDefault="0075663F" w:rsidP="0075663F">
            <w:pPr>
              <w:spacing w:after="0" w:line="240" w:lineRule="auto"/>
              <w:jc w:val="center"/>
              <w:rPr>
                <w:b/>
                <w:color w:val="FFFFFF"/>
              </w:rPr>
            </w:pPr>
            <w:r w:rsidRPr="005540B8">
              <w:rPr>
                <w:b/>
                <w:color w:val="FFFFFF"/>
              </w:rPr>
              <w:t xml:space="preserve">% </w:t>
            </w:r>
            <w:r>
              <w:rPr>
                <w:b/>
                <w:color w:val="FFFFFF"/>
              </w:rPr>
              <w:t>PMF target</w:t>
            </w:r>
          </w:p>
        </w:tc>
        <w:tc>
          <w:tcPr>
            <w:tcW w:w="1087" w:type="dxa"/>
            <w:shd w:val="clear" w:color="auto" w:fill="1F4E79"/>
            <w:vAlign w:val="center"/>
          </w:tcPr>
          <w:p w14:paraId="6826AB8F" w14:textId="77777777" w:rsidR="0075663F" w:rsidRPr="005540B8" w:rsidRDefault="0075663F" w:rsidP="005540B8">
            <w:pPr>
              <w:spacing w:after="0" w:line="240" w:lineRule="auto"/>
              <w:jc w:val="center"/>
              <w:rPr>
                <w:b/>
                <w:color w:val="FFFFFF"/>
              </w:rPr>
            </w:pPr>
            <w:r w:rsidRPr="005540B8">
              <w:rPr>
                <w:b/>
                <w:color w:val="FFFFFF"/>
              </w:rPr>
              <w:t>% revised</w:t>
            </w:r>
            <w:r>
              <w:rPr>
                <w:b/>
                <w:color w:val="FFFFFF"/>
              </w:rPr>
              <w:t xml:space="preserve"> target</w:t>
            </w:r>
          </w:p>
        </w:tc>
      </w:tr>
      <w:tr w:rsidR="0075663F" w:rsidRPr="005540B8" w14:paraId="6826AB99" w14:textId="77777777" w:rsidTr="00FA123C">
        <w:tblPrEx>
          <w:shd w:val="clear" w:color="auto" w:fill="auto"/>
        </w:tblPrEx>
        <w:trPr>
          <w:trHeight w:val="510"/>
        </w:trPr>
        <w:tc>
          <w:tcPr>
            <w:tcW w:w="1418" w:type="dxa"/>
            <w:vMerge w:val="restart"/>
            <w:shd w:val="clear" w:color="auto" w:fill="1F4E79"/>
            <w:vAlign w:val="center"/>
          </w:tcPr>
          <w:p w14:paraId="6826AB91" w14:textId="77777777" w:rsidR="0075663F" w:rsidRPr="005540B8" w:rsidRDefault="0075663F" w:rsidP="00415C7A">
            <w:pPr>
              <w:spacing w:after="0" w:line="240" w:lineRule="auto"/>
              <w:jc w:val="center"/>
              <w:rPr>
                <w:b/>
                <w:color w:val="FFFFFF"/>
              </w:rPr>
            </w:pPr>
            <w:r w:rsidRPr="005540B8">
              <w:rPr>
                <w:b/>
                <w:color w:val="FFFFFF"/>
              </w:rPr>
              <w:t>C 1</w:t>
            </w:r>
          </w:p>
        </w:tc>
        <w:tc>
          <w:tcPr>
            <w:tcW w:w="5245" w:type="dxa"/>
            <w:shd w:val="clear" w:color="auto" w:fill="DEEAF6"/>
            <w:vAlign w:val="center"/>
          </w:tcPr>
          <w:p w14:paraId="6826AB92" w14:textId="77777777" w:rsidR="0075663F" w:rsidRPr="00634C77" w:rsidRDefault="0075663F" w:rsidP="005540B8">
            <w:pPr>
              <w:spacing w:after="0" w:line="240" w:lineRule="auto"/>
            </w:pPr>
            <w:r w:rsidRPr="00634C77">
              <w:t>Construction of new junior secondary schools (JSS)</w:t>
            </w:r>
          </w:p>
        </w:tc>
        <w:tc>
          <w:tcPr>
            <w:tcW w:w="1133" w:type="dxa"/>
            <w:shd w:val="clear" w:color="auto" w:fill="DEEAF6"/>
            <w:vAlign w:val="center"/>
          </w:tcPr>
          <w:p w14:paraId="6826AB93" w14:textId="77777777" w:rsidR="0075663F" w:rsidRPr="00634C77" w:rsidRDefault="0075663F" w:rsidP="00BE4CFB">
            <w:pPr>
              <w:spacing w:after="0" w:line="240" w:lineRule="auto"/>
              <w:jc w:val="center"/>
            </w:pPr>
            <w:r w:rsidRPr="00634C77">
              <w:t>2,000</w:t>
            </w:r>
          </w:p>
        </w:tc>
        <w:tc>
          <w:tcPr>
            <w:tcW w:w="1275" w:type="dxa"/>
            <w:shd w:val="clear" w:color="auto" w:fill="DEEAF6"/>
            <w:vAlign w:val="center"/>
          </w:tcPr>
          <w:p w14:paraId="6826AB94" w14:textId="77777777" w:rsidR="0075663F" w:rsidRPr="00634C77" w:rsidRDefault="0075663F" w:rsidP="005540B8">
            <w:pPr>
              <w:spacing w:after="0" w:line="240" w:lineRule="auto"/>
              <w:jc w:val="center"/>
            </w:pPr>
            <w:r w:rsidRPr="00634C77">
              <w:t>1,334</w:t>
            </w:r>
          </w:p>
        </w:tc>
        <w:tc>
          <w:tcPr>
            <w:tcW w:w="1135" w:type="dxa"/>
            <w:shd w:val="clear" w:color="auto" w:fill="DEEAF6"/>
            <w:vAlign w:val="center"/>
          </w:tcPr>
          <w:p w14:paraId="6826AB95" w14:textId="7C49B61E" w:rsidR="0075663F" w:rsidRPr="00634C77" w:rsidRDefault="0075663F" w:rsidP="00F82B53">
            <w:pPr>
              <w:spacing w:after="0" w:line="240" w:lineRule="auto"/>
              <w:jc w:val="center"/>
            </w:pPr>
            <w:r w:rsidRPr="00634C77">
              <w:t>1,15</w:t>
            </w:r>
            <w:r w:rsidR="00F82B53">
              <w:t>5</w:t>
            </w:r>
            <w:r w:rsidR="0073378A" w:rsidRPr="00634C77">
              <w:rPr>
                <w:vertAlign w:val="superscript"/>
              </w:rPr>
              <w:t>(c)</w:t>
            </w:r>
          </w:p>
        </w:tc>
        <w:tc>
          <w:tcPr>
            <w:tcW w:w="1228" w:type="dxa"/>
            <w:shd w:val="clear" w:color="auto" w:fill="DEEAF6"/>
            <w:vAlign w:val="center"/>
          </w:tcPr>
          <w:p w14:paraId="6826AB96" w14:textId="77777777" w:rsidR="0075663F" w:rsidRPr="00634C77" w:rsidRDefault="0075663F" w:rsidP="0073378A">
            <w:pPr>
              <w:spacing w:after="0" w:line="240" w:lineRule="auto"/>
              <w:jc w:val="center"/>
            </w:pPr>
            <w:r w:rsidRPr="00634C77">
              <w:t>1,106</w:t>
            </w:r>
            <w:r w:rsidR="0073378A" w:rsidRPr="00634C77">
              <w:rPr>
                <w:vertAlign w:val="superscript"/>
              </w:rPr>
              <w:t>(g)</w:t>
            </w:r>
            <w:r w:rsidRPr="00634C77" w:rsidDel="00694BC1">
              <w:rPr>
                <w:rStyle w:val="FootnoteReference"/>
              </w:rPr>
              <w:t xml:space="preserve"> </w:t>
            </w:r>
          </w:p>
        </w:tc>
        <w:tc>
          <w:tcPr>
            <w:tcW w:w="1087" w:type="dxa"/>
            <w:shd w:val="clear" w:color="auto" w:fill="DEEAF6"/>
            <w:vAlign w:val="center"/>
          </w:tcPr>
          <w:p w14:paraId="6826AB97" w14:textId="77777777" w:rsidR="0075663F" w:rsidRPr="00634C77" w:rsidRDefault="00AC4334" w:rsidP="00AC4334">
            <w:pPr>
              <w:spacing w:after="0" w:line="240" w:lineRule="auto"/>
              <w:jc w:val="center"/>
            </w:pPr>
            <w:r w:rsidRPr="00634C77">
              <w:t>83</w:t>
            </w:r>
            <w:r w:rsidR="0075663F" w:rsidRPr="00634C77">
              <w:t>%</w:t>
            </w:r>
          </w:p>
        </w:tc>
        <w:tc>
          <w:tcPr>
            <w:tcW w:w="1087" w:type="dxa"/>
            <w:shd w:val="clear" w:color="auto" w:fill="DEEAF6"/>
            <w:vAlign w:val="center"/>
          </w:tcPr>
          <w:p w14:paraId="6826AB98" w14:textId="77777777" w:rsidR="0075663F" w:rsidRPr="00634C77" w:rsidRDefault="0075663F" w:rsidP="005540B8">
            <w:pPr>
              <w:spacing w:after="0" w:line="240" w:lineRule="auto"/>
              <w:jc w:val="center"/>
            </w:pPr>
            <w:r w:rsidRPr="00634C77">
              <w:t>96%</w:t>
            </w:r>
          </w:p>
        </w:tc>
      </w:tr>
      <w:tr w:rsidR="0075663F" w:rsidRPr="005540B8" w14:paraId="6826ABA2" w14:textId="77777777" w:rsidTr="00FA123C">
        <w:tblPrEx>
          <w:shd w:val="clear" w:color="auto" w:fill="auto"/>
        </w:tblPrEx>
        <w:trPr>
          <w:trHeight w:val="510"/>
        </w:trPr>
        <w:tc>
          <w:tcPr>
            <w:tcW w:w="1418" w:type="dxa"/>
            <w:vMerge/>
            <w:shd w:val="clear" w:color="auto" w:fill="1F4E79"/>
            <w:vAlign w:val="center"/>
          </w:tcPr>
          <w:p w14:paraId="6826AB9A" w14:textId="77777777" w:rsidR="0075663F" w:rsidRPr="005540B8" w:rsidRDefault="0075663F" w:rsidP="005540B8">
            <w:pPr>
              <w:spacing w:after="0" w:line="240" w:lineRule="auto"/>
              <w:rPr>
                <w:b/>
                <w:color w:val="FFFFFF"/>
              </w:rPr>
            </w:pPr>
          </w:p>
        </w:tc>
        <w:tc>
          <w:tcPr>
            <w:tcW w:w="5245" w:type="dxa"/>
            <w:shd w:val="clear" w:color="auto" w:fill="FFFFFF"/>
            <w:vAlign w:val="center"/>
          </w:tcPr>
          <w:p w14:paraId="6826AB9B" w14:textId="58466C52" w:rsidR="0075663F" w:rsidRPr="00634C77" w:rsidRDefault="0075663F" w:rsidP="005540B8">
            <w:pPr>
              <w:spacing w:after="0" w:line="240" w:lineRule="auto"/>
            </w:pPr>
            <w:r w:rsidRPr="00634C77">
              <w:t>Number of new J</w:t>
            </w:r>
            <w:r w:rsidR="004B0A01">
              <w:t>unior Secondary Education (J</w:t>
            </w:r>
            <w:r w:rsidRPr="00634C77">
              <w:t>SE</w:t>
            </w:r>
            <w:r w:rsidR="004B0A01">
              <w:t>)</w:t>
            </w:r>
            <w:r w:rsidRPr="00634C77">
              <w:t xml:space="preserve"> places created</w:t>
            </w:r>
          </w:p>
        </w:tc>
        <w:tc>
          <w:tcPr>
            <w:tcW w:w="1133" w:type="dxa"/>
            <w:shd w:val="clear" w:color="auto" w:fill="FFFFFF"/>
          </w:tcPr>
          <w:p w14:paraId="6826AB9C" w14:textId="77777777" w:rsidR="0075663F" w:rsidRPr="00634C77" w:rsidRDefault="0075663F" w:rsidP="005540B8">
            <w:pPr>
              <w:spacing w:after="0" w:line="240" w:lineRule="auto"/>
              <w:jc w:val="center"/>
            </w:pPr>
          </w:p>
        </w:tc>
        <w:tc>
          <w:tcPr>
            <w:tcW w:w="1275" w:type="dxa"/>
            <w:shd w:val="clear" w:color="auto" w:fill="FFFFFF"/>
            <w:vAlign w:val="center"/>
          </w:tcPr>
          <w:p w14:paraId="6826AB9D" w14:textId="77777777" w:rsidR="0075663F" w:rsidRPr="00634C77" w:rsidRDefault="0075663F" w:rsidP="005540B8">
            <w:pPr>
              <w:spacing w:after="0" w:line="240" w:lineRule="auto"/>
              <w:jc w:val="center"/>
            </w:pPr>
            <w:r w:rsidRPr="00634C77">
              <w:t>178,080</w:t>
            </w:r>
          </w:p>
        </w:tc>
        <w:tc>
          <w:tcPr>
            <w:tcW w:w="1135" w:type="dxa"/>
            <w:shd w:val="clear" w:color="auto" w:fill="FFFFFF"/>
            <w:vAlign w:val="center"/>
          </w:tcPr>
          <w:p w14:paraId="6826AB9E" w14:textId="77777777" w:rsidR="0075663F" w:rsidRPr="00634C77" w:rsidRDefault="0075663F" w:rsidP="005540B8">
            <w:pPr>
              <w:spacing w:after="0" w:line="240" w:lineRule="auto"/>
              <w:jc w:val="center"/>
            </w:pPr>
            <w:r w:rsidRPr="00634C77">
              <w:t>160,000</w:t>
            </w:r>
            <w:r w:rsidR="0073378A" w:rsidRPr="00634C77">
              <w:rPr>
                <w:vertAlign w:val="superscript"/>
              </w:rPr>
              <w:t>(c)</w:t>
            </w:r>
          </w:p>
        </w:tc>
        <w:tc>
          <w:tcPr>
            <w:tcW w:w="1228" w:type="dxa"/>
            <w:shd w:val="clear" w:color="auto" w:fill="FFFFFF"/>
            <w:vAlign w:val="center"/>
          </w:tcPr>
          <w:p w14:paraId="6826AB9F" w14:textId="11661DCD" w:rsidR="0075663F" w:rsidRPr="00634C77" w:rsidRDefault="0075663F" w:rsidP="00FA123C">
            <w:pPr>
              <w:spacing w:after="0" w:line="240" w:lineRule="auto"/>
              <w:jc w:val="center"/>
            </w:pPr>
            <w:r w:rsidRPr="00634C77">
              <w:t>149,664</w:t>
            </w:r>
            <w:r w:rsidR="0073378A" w:rsidRPr="00634C77">
              <w:rPr>
                <w:vertAlign w:val="superscript"/>
              </w:rPr>
              <w:t>(g</w:t>
            </w:r>
            <w:r w:rsidRPr="00634C77">
              <w:rPr>
                <w:vertAlign w:val="superscript"/>
              </w:rPr>
              <w:t>)</w:t>
            </w:r>
          </w:p>
        </w:tc>
        <w:tc>
          <w:tcPr>
            <w:tcW w:w="1087" w:type="dxa"/>
            <w:shd w:val="clear" w:color="auto" w:fill="FFFFFF"/>
            <w:vAlign w:val="center"/>
          </w:tcPr>
          <w:p w14:paraId="6826ABA0" w14:textId="77777777" w:rsidR="0075663F" w:rsidRPr="00634C77" w:rsidRDefault="00AC4334" w:rsidP="00AC4334">
            <w:pPr>
              <w:spacing w:after="0" w:line="240" w:lineRule="auto"/>
              <w:jc w:val="center"/>
            </w:pPr>
            <w:r w:rsidRPr="00634C77">
              <w:t>84</w:t>
            </w:r>
            <w:r w:rsidR="0075663F" w:rsidRPr="00634C77">
              <w:t>%</w:t>
            </w:r>
          </w:p>
        </w:tc>
        <w:tc>
          <w:tcPr>
            <w:tcW w:w="1087" w:type="dxa"/>
            <w:shd w:val="clear" w:color="auto" w:fill="FFFFFF"/>
            <w:vAlign w:val="center"/>
          </w:tcPr>
          <w:p w14:paraId="6826ABA1" w14:textId="77777777" w:rsidR="0075663F" w:rsidRPr="00634C77" w:rsidRDefault="0075663F" w:rsidP="005540B8">
            <w:pPr>
              <w:spacing w:after="0" w:line="240" w:lineRule="auto"/>
              <w:jc w:val="center"/>
            </w:pPr>
            <w:r w:rsidRPr="00634C77">
              <w:t>94%</w:t>
            </w:r>
          </w:p>
        </w:tc>
      </w:tr>
      <w:tr w:rsidR="0075663F" w:rsidRPr="005540B8" w14:paraId="6826ABAB" w14:textId="77777777" w:rsidTr="00FA123C">
        <w:tblPrEx>
          <w:shd w:val="clear" w:color="auto" w:fill="auto"/>
        </w:tblPrEx>
        <w:trPr>
          <w:trHeight w:val="510"/>
        </w:trPr>
        <w:tc>
          <w:tcPr>
            <w:tcW w:w="1418" w:type="dxa"/>
            <w:vMerge w:val="restart"/>
            <w:shd w:val="clear" w:color="auto" w:fill="1F4E79"/>
            <w:vAlign w:val="center"/>
          </w:tcPr>
          <w:p w14:paraId="6826ABA3" w14:textId="77777777" w:rsidR="0075663F" w:rsidRPr="005540B8" w:rsidRDefault="0075663F" w:rsidP="00415C7A">
            <w:pPr>
              <w:spacing w:after="0" w:line="240" w:lineRule="auto"/>
              <w:jc w:val="center"/>
              <w:rPr>
                <w:b/>
                <w:color w:val="FFFFFF"/>
              </w:rPr>
            </w:pPr>
            <w:r w:rsidRPr="005540B8">
              <w:rPr>
                <w:b/>
                <w:color w:val="FFFFFF"/>
              </w:rPr>
              <w:t>C 2</w:t>
            </w:r>
          </w:p>
        </w:tc>
        <w:tc>
          <w:tcPr>
            <w:tcW w:w="5245" w:type="dxa"/>
            <w:shd w:val="clear" w:color="auto" w:fill="DEEAF6"/>
            <w:vAlign w:val="center"/>
          </w:tcPr>
          <w:p w14:paraId="6826ABA4" w14:textId="6B1108B2" w:rsidR="0075663F" w:rsidRPr="00634C77" w:rsidRDefault="0075663F" w:rsidP="005540B8">
            <w:pPr>
              <w:spacing w:after="0" w:line="240" w:lineRule="auto"/>
            </w:pPr>
            <w:r w:rsidRPr="00634C77">
              <w:t>Number of supervisors trained in S</w:t>
            </w:r>
            <w:r w:rsidR="004B0A01">
              <w:t>upervisor Professional Development (S</w:t>
            </w:r>
            <w:r w:rsidRPr="00634C77">
              <w:t>PD</w:t>
            </w:r>
            <w:r w:rsidR="004B0A01">
              <w:t>)</w:t>
            </w:r>
          </w:p>
        </w:tc>
        <w:tc>
          <w:tcPr>
            <w:tcW w:w="1133" w:type="dxa"/>
            <w:vMerge w:val="restart"/>
            <w:shd w:val="clear" w:color="auto" w:fill="DEEAF6"/>
            <w:vAlign w:val="center"/>
          </w:tcPr>
          <w:p w14:paraId="6826ABA5" w14:textId="77777777" w:rsidR="0075663F" w:rsidRPr="00634C77" w:rsidRDefault="0075663F" w:rsidP="0075663F">
            <w:pPr>
              <w:spacing w:after="0" w:line="240" w:lineRule="auto"/>
              <w:jc w:val="center"/>
            </w:pPr>
            <w:r w:rsidRPr="00634C77">
              <w:t>293,000</w:t>
            </w:r>
          </w:p>
        </w:tc>
        <w:tc>
          <w:tcPr>
            <w:tcW w:w="1275" w:type="dxa"/>
            <w:shd w:val="clear" w:color="auto" w:fill="DEEAF6"/>
            <w:vAlign w:val="center"/>
          </w:tcPr>
          <w:p w14:paraId="6826ABA6" w14:textId="77777777" w:rsidR="0075663F" w:rsidRPr="00634C77" w:rsidRDefault="0075663F" w:rsidP="005540B8">
            <w:pPr>
              <w:spacing w:after="0" w:line="240" w:lineRule="auto"/>
              <w:jc w:val="center"/>
            </w:pPr>
            <w:r w:rsidRPr="00634C77">
              <w:t>12,000</w:t>
            </w:r>
          </w:p>
        </w:tc>
        <w:tc>
          <w:tcPr>
            <w:tcW w:w="1135" w:type="dxa"/>
            <w:shd w:val="clear" w:color="auto" w:fill="DEEAF6"/>
            <w:vAlign w:val="center"/>
          </w:tcPr>
          <w:p w14:paraId="6826ABA7" w14:textId="77777777" w:rsidR="0075663F" w:rsidRPr="00634C77" w:rsidRDefault="0075663F" w:rsidP="005540B8">
            <w:pPr>
              <w:spacing w:after="0" w:line="240" w:lineRule="auto"/>
              <w:jc w:val="center"/>
            </w:pPr>
            <w:r w:rsidRPr="00634C77">
              <w:t>4,036</w:t>
            </w:r>
            <w:r w:rsidR="0073378A" w:rsidRPr="00634C77">
              <w:rPr>
                <w:vertAlign w:val="superscript"/>
              </w:rPr>
              <w:t>(d)</w:t>
            </w:r>
          </w:p>
        </w:tc>
        <w:tc>
          <w:tcPr>
            <w:tcW w:w="1228" w:type="dxa"/>
            <w:shd w:val="clear" w:color="auto" w:fill="DEEAF6"/>
            <w:vAlign w:val="center"/>
          </w:tcPr>
          <w:p w14:paraId="6826ABA8" w14:textId="77777777" w:rsidR="0075663F" w:rsidRPr="00634C77" w:rsidRDefault="0075663F" w:rsidP="005540B8">
            <w:pPr>
              <w:spacing w:after="0" w:line="240" w:lineRule="auto"/>
              <w:jc w:val="center"/>
            </w:pPr>
            <w:r w:rsidRPr="00634C77">
              <w:t>3,587</w:t>
            </w:r>
          </w:p>
        </w:tc>
        <w:tc>
          <w:tcPr>
            <w:tcW w:w="1087" w:type="dxa"/>
            <w:shd w:val="clear" w:color="auto" w:fill="DEEAF6"/>
            <w:vAlign w:val="center"/>
          </w:tcPr>
          <w:p w14:paraId="6826ABA9" w14:textId="77777777" w:rsidR="0075663F" w:rsidRPr="00634C77" w:rsidRDefault="0075663F" w:rsidP="005540B8">
            <w:pPr>
              <w:spacing w:after="0" w:line="240" w:lineRule="auto"/>
              <w:jc w:val="center"/>
            </w:pPr>
            <w:r w:rsidRPr="00634C77">
              <w:t>30%</w:t>
            </w:r>
          </w:p>
        </w:tc>
        <w:tc>
          <w:tcPr>
            <w:tcW w:w="1087" w:type="dxa"/>
            <w:shd w:val="clear" w:color="auto" w:fill="DEEAF6"/>
            <w:vAlign w:val="center"/>
          </w:tcPr>
          <w:p w14:paraId="6826ABAA" w14:textId="77777777" w:rsidR="0075663F" w:rsidRPr="00634C77" w:rsidRDefault="0075663F" w:rsidP="005540B8">
            <w:pPr>
              <w:spacing w:after="0" w:line="240" w:lineRule="auto"/>
              <w:jc w:val="center"/>
            </w:pPr>
            <w:r w:rsidRPr="00634C77">
              <w:t>89%</w:t>
            </w:r>
          </w:p>
        </w:tc>
      </w:tr>
      <w:tr w:rsidR="0075663F" w:rsidRPr="005540B8" w14:paraId="6826ABB4" w14:textId="77777777" w:rsidTr="00FA123C">
        <w:tblPrEx>
          <w:shd w:val="clear" w:color="auto" w:fill="auto"/>
        </w:tblPrEx>
        <w:trPr>
          <w:trHeight w:val="510"/>
        </w:trPr>
        <w:tc>
          <w:tcPr>
            <w:tcW w:w="1418" w:type="dxa"/>
            <w:vMerge/>
            <w:shd w:val="clear" w:color="auto" w:fill="1F4E79"/>
            <w:vAlign w:val="center"/>
          </w:tcPr>
          <w:p w14:paraId="6826ABAC" w14:textId="77777777" w:rsidR="0075663F" w:rsidRPr="005540B8" w:rsidRDefault="0075663F" w:rsidP="005540B8">
            <w:pPr>
              <w:spacing w:after="0" w:line="240" w:lineRule="auto"/>
              <w:rPr>
                <w:b/>
                <w:color w:val="FFFFFF"/>
              </w:rPr>
            </w:pPr>
          </w:p>
        </w:tc>
        <w:tc>
          <w:tcPr>
            <w:tcW w:w="5245" w:type="dxa"/>
            <w:shd w:val="clear" w:color="auto" w:fill="FFFFFF"/>
            <w:vAlign w:val="center"/>
          </w:tcPr>
          <w:p w14:paraId="6826ABAD" w14:textId="3955F357" w:rsidR="0075663F" w:rsidRPr="00634C77" w:rsidRDefault="0075663F" w:rsidP="005540B8">
            <w:pPr>
              <w:spacing w:after="0" w:line="240" w:lineRule="auto"/>
            </w:pPr>
            <w:r w:rsidRPr="00634C77">
              <w:t>Number of principals participating in at least one</w:t>
            </w:r>
            <w:r w:rsidR="004B0A01">
              <w:t xml:space="preserve"> Unit of Learning</w:t>
            </w:r>
            <w:r w:rsidRPr="00634C77">
              <w:t xml:space="preserve"> </w:t>
            </w:r>
            <w:r w:rsidR="004B0A01">
              <w:t>(</w:t>
            </w:r>
            <w:r w:rsidRPr="00634C77">
              <w:t>UoL</w:t>
            </w:r>
            <w:r w:rsidR="004B0A01">
              <w:t>)</w:t>
            </w:r>
          </w:p>
        </w:tc>
        <w:tc>
          <w:tcPr>
            <w:tcW w:w="1133" w:type="dxa"/>
            <w:vMerge/>
            <w:shd w:val="clear" w:color="auto" w:fill="FFFFFF"/>
          </w:tcPr>
          <w:p w14:paraId="6826ABAE" w14:textId="77777777" w:rsidR="0075663F" w:rsidRPr="00634C77" w:rsidRDefault="0075663F" w:rsidP="005540B8">
            <w:pPr>
              <w:spacing w:after="0" w:line="240" w:lineRule="auto"/>
              <w:jc w:val="center"/>
            </w:pPr>
          </w:p>
        </w:tc>
        <w:tc>
          <w:tcPr>
            <w:tcW w:w="1275" w:type="dxa"/>
            <w:shd w:val="clear" w:color="auto" w:fill="FFFFFF"/>
            <w:vAlign w:val="center"/>
          </w:tcPr>
          <w:p w14:paraId="6826ABAF" w14:textId="77777777" w:rsidR="0075663F" w:rsidRPr="00634C77" w:rsidRDefault="0075663F" w:rsidP="005540B8">
            <w:pPr>
              <w:spacing w:after="0" w:line="240" w:lineRule="auto"/>
              <w:jc w:val="center"/>
            </w:pPr>
            <w:r w:rsidRPr="00634C77">
              <w:t>60,000</w:t>
            </w:r>
          </w:p>
        </w:tc>
        <w:tc>
          <w:tcPr>
            <w:tcW w:w="1135" w:type="dxa"/>
            <w:shd w:val="clear" w:color="auto" w:fill="FFFFFF"/>
            <w:vAlign w:val="center"/>
          </w:tcPr>
          <w:p w14:paraId="6826ABB0" w14:textId="77777777" w:rsidR="0075663F" w:rsidRPr="00634C77" w:rsidRDefault="0075663F" w:rsidP="005540B8">
            <w:pPr>
              <w:spacing w:after="0" w:line="240" w:lineRule="auto"/>
              <w:jc w:val="center"/>
            </w:pPr>
            <w:r w:rsidRPr="00634C77">
              <w:t>21,689</w:t>
            </w:r>
            <w:r w:rsidR="0073378A" w:rsidRPr="00634C77">
              <w:rPr>
                <w:vertAlign w:val="superscript"/>
              </w:rPr>
              <w:t>(d)</w:t>
            </w:r>
          </w:p>
        </w:tc>
        <w:tc>
          <w:tcPr>
            <w:tcW w:w="1228" w:type="dxa"/>
            <w:shd w:val="clear" w:color="auto" w:fill="FFFFFF"/>
            <w:vAlign w:val="center"/>
          </w:tcPr>
          <w:p w14:paraId="6826ABB1" w14:textId="77777777" w:rsidR="0075663F" w:rsidRPr="00634C77" w:rsidRDefault="0075663F" w:rsidP="005540B8">
            <w:pPr>
              <w:spacing w:after="0" w:line="240" w:lineRule="auto"/>
              <w:jc w:val="center"/>
            </w:pPr>
            <w:r w:rsidRPr="00634C77">
              <w:t>17,775</w:t>
            </w:r>
          </w:p>
        </w:tc>
        <w:tc>
          <w:tcPr>
            <w:tcW w:w="1087" w:type="dxa"/>
            <w:shd w:val="clear" w:color="auto" w:fill="FFFFFF"/>
            <w:vAlign w:val="center"/>
          </w:tcPr>
          <w:p w14:paraId="6826ABB2" w14:textId="77777777" w:rsidR="0075663F" w:rsidRPr="00634C77" w:rsidRDefault="0075663F" w:rsidP="005540B8">
            <w:pPr>
              <w:spacing w:after="0" w:line="240" w:lineRule="auto"/>
              <w:jc w:val="center"/>
            </w:pPr>
            <w:r w:rsidRPr="00634C77">
              <w:t>30%</w:t>
            </w:r>
          </w:p>
        </w:tc>
        <w:tc>
          <w:tcPr>
            <w:tcW w:w="1087" w:type="dxa"/>
            <w:shd w:val="clear" w:color="auto" w:fill="FFFFFF"/>
            <w:vAlign w:val="center"/>
          </w:tcPr>
          <w:p w14:paraId="6826ABB3" w14:textId="77777777" w:rsidR="0075663F" w:rsidRPr="00634C77" w:rsidRDefault="0075663F" w:rsidP="005540B8">
            <w:pPr>
              <w:spacing w:after="0" w:line="240" w:lineRule="auto"/>
              <w:jc w:val="center"/>
            </w:pPr>
            <w:r w:rsidRPr="00634C77">
              <w:t>82%</w:t>
            </w:r>
          </w:p>
        </w:tc>
      </w:tr>
      <w:tr w:rsidR="0075663F" w:rsidRPr="005540B8" w14:paraId="6826ABBD" w14:textId="77777777" w:rsidTr="00FA123C">
        <w:tblPrEx>
          <w:shd w:val="clear" w:color="auto" w:fill="auto"/>
        </w:tblPrEx>
        <w:trPr>
          <w:trHeight w:val="510"/>
        </w:trPr>
        <w:tc>
          <w:tcPr>
            <w:tcW w:w="1418" w:type="dxa"/>
            <w:vMerge w:val="restart"/>
            <w:shd w:val="clear" w:color="auto" w:fill="1F4E79"/>
            <w:vAlign w:val="center"/>
          </w:tcPr>
          <w:p w14:paraId="6826ABB5" w14:textId="77777777" w:rsidR="0075663F" w:rsidRPr="005540B8" w:rsidRDefault="0075663F" w:rsidP="00415C7A">
            <w:pPr>
              <w:spacing w:after="0" w:line="240" w:lineRule="auto"/>
              <w:jc w:val="center"/>
              <w:rPr>
                <w:b/>
                <w:color w:val="FFFFFF"/>
              </w:rPr>
            </w:pPr>
            <w:r w:rsidRPr="005540B8">
              <w:rPr>
                <w:b/>
                <w:color w:val="FFFFFF"/>
              </w:rPr>
              <w:t>C 3</w:t>
            </w:r>
          </w:p>
        </w:tc>
        <w:tc>
          <w:tcPr>
            <w:tcW w:w="5245" w:type="dxa"/>
            <w:shd w:val="clear" w:color="auto" w:fill="DEEAF6"/>
            <w:vAlign w:val="center"/>
          </w:tcPr>
          <w:p w14:paraId="6826ABB6" w14:textId="77777777" w:rsidR="0075663F" w:rsidRPr="00634C77" w:rsidRDefault="0075663F" w:rsidP="005540B8">
            <w:pPr>
              <w:spacing w:after="0" w:line="240" w:lineRule="auto"/>
            </w:pPr>
            <w:r w:rsidRPr="00634C77">
              <w:t>Number of madrasah targeted in accreditation preparation</w:t>
            </w:r>
          </w:p>
        </w:tc>
        <w:tc>
          <w:tcPr>
            <w:tcW w:w="1133" w:type="dxa"/>
            <w:shd w:val="clear" w:color="auto" w:fill="DEEAF6"/>
            <w:vAlign w:val="center"/>
          </w:tcPr>
          <w:p w14:paraId="6826ABB7" w14:textId="77777777" w:rsidR="0075663F" w:rsidRPr="00634C77" w:rsidRDefault="0075663F" w:rsidP="0075663F">
            <w:pPr>
              <w:spacing w:after="0" w:line="240" w:lineRule="auto"/>
              <w:jc w:val="center"/>
            </w:pPr>
            <w:r w:rsidRPr="00634C77">
              <w:t>1,500</w:t>
            </w:r>
          </w:p>
        </w:tc>
        <w:tc>
          <w:tcPr>
            <w:tcW w:w="1275" w:type="dxa"/>
            <w:shd w:val="clear" w:color="auto" w:fill="DEEAF6"/>
            <w:vAlign w:val="center"/>
          </w:tcPr>
          <w:p w14:paraId="6826ABB8" w14:textId="77777777" w:rsidR="0075663F" w:rsidRPr="00634C77" w:rsidRDefault="0075663F" w:rsidP="005540B8">
            <w:pPr>
              <w:spacing w:after="0" w:line="240" w:lineRule="auto"/>
              <w:jc w:val="center"/>
            </w:pPr>
            <w:r w:rsidRPr="00634C77">
              <w:t>1,500</w:t>
            </w:r>
          </w:p>
        </w:tc>
        <w:tc>
          <w:tcPr>
            <w:tcW w:w="1135" w:type="dxa"/>
            <w:shd w:val="clear" w:color="auto" w:fill="DEEAF6"/>
            <w:vAlign w:val="center"/>
          </w:tcPr>
          <w:p w14:paraId="6826ABB9" w14:textId="77777777" w:rsidR="0075663F" w:rsidRPr="00634C77" w:rsidRDefault="0075663F" w:rsidP="0073378A">
            <w:pPr>
              <w:spacing w:after="0" w:line="240" w:lineRule="auto"/>
              <w:jc w:val="center"/>
            </w:pPr>
            <w:r w:rsidRPr="00634C77">
              <w:t>1,500</w:t>
            </w:r>
            <w:r w:rsidR="0073378A" w:rsidRPr="00634C77">
              <w:rPr>
                <w:vertAlign w:val="superscript"/>
              </w:rPr>
              <w:t>(e)</w:t>
            </w:r>
          </w:p>
        </w:tc>
        <w:tc>
          <w:tcPr>
            <w:tcW w:w="1228" w:type="dxa"/>
            <w:shd w:val="clear" w:color="auto" w:fill="DEEAF6"/>
            <w:vAlign w:val="center"/>
          </w:tcPr>
          <w:p w14:paraId="6826ABBA" w14:textId="77777777" w:rsidR="0075663F" w:rsidRPr="00634C77" w:rsidRDefault="0075663F" w:rsidP="005540B8">
            <w:pPr>
              <w:spacing w:after="0" w:line="240" w:lineRule="auto"/>
              <w:jc w:val="center"/>
            </w:pPr>
            <w:r w:rsidRPr="00634C77">
              <w:t>1,500</w:t>
            </w:r>
          </w:p>
        </w:tc>
        <w:tc>
          <w:tcPr>
            <w:tcW w:w="1087" w:type="dxa"/>
            <w:shd w:val="clear" w:color="auto" w:fill="DEEAF6"/>
            <w:vAlign w:val="center"/>
          </w:tcPr>
          <w:p w14:paraId="6826ABBB" w14:textId="77777777" w:rsidR="0075663F" w:rsidRPr="00634C77" w:rsidRDefault="0075663F" w:rsidP="005540B8">
            <w:pPr>
              <w:spacing w:after="0" w:line="240" w:lineRule="auto"/>
              <w:jc w:val="center"/>
            </w:pPr>
            <w:r w:rsidRPr="00634C77">
              <w:t>100%</w:t>
            </w:r>
          </w:p>
        </w:tc>
        <w:tc>
          <w:tcPr>
            <w:tcW w:w="1087" w:type="dxa"/>
            <w:shd w:val="clear" w:color="auto" w:fill="DEEAF6"/>
            <w:vAlign w:val="center"/>
          </w:tcPr>
          <w:p w14:paraId="6826ABBC" w14:textId="77777777" w:rsidR="0075663F" w:rsidRPr="00634C77" w:rsidRDefault="0075663F" w:rsidP="005540B8">
            <w:pPr>
              <w:spacing w:after="0" w:line="240" w:lineRule="auto"/>
              <w:jc w:val="center"/>
            </w:pPr>
            <w:r w:rsidRPr="00634C77">
              <w:t>100%</w:t>
            </w:r>
          </w:p>
        </w:tc>
      </w:tr>
      <w:tr w:rsidR="0075663F" w:rsidRPr="005540B8" w14:paraId="6826ABC6" w14:textId="77777777" w:rsidTr="00FA123C">
        <w:tblPrEx>
          <w:shd w:val="clear" w:color="auto" w:fill="auto"/>
        </w:tblPrEx>
        <w:trPr>
          <w:trHeight w:val="510"/>
        </w:trPr>
        <w:tc>
          <w:tcPr>
            <w:tcW w:w="1418" w:type="dxa"/>
            <w:vMerge/>
            <w:shd w:val="clear" w:color="auto" w:fill="1F4E79"/>
            <w:vAlign w:val="center"/>
          </w:tcPr>
          <w:p w14:paraId="6826ABBE" w14:textId="77777777" w:rsidR="0075663F" w:rsidRPr="005540B8" w:rsidRDefault="0075663F" w:rsidP="005540B8">
            <w:pPr>
              <w:spacing w:after="0" w:line="240" w:lineRule="auto"/>
              <w:rPr>
                <w:b/>
                <w:color w:val="FFFFFF"/>
              </w:rPr>
            </w:pPr>
          </w:p>
        </w:tc>
        <w:tc>
          <w:tcPr>
            <w:tcW w:w="5245" w:type="dxa"/>
            <w:shd w:val="clear" w:color="auto" w:fill="FFFFFF"/>
            <w:vAlign w:val="center"/>
          </w:tcPr>
          <w:p w14:paraId="6826ABBF" w14:textId="77777777" w:rsidR="0075663F" w:rsidRPr="00634C77" w:rsidRDefault="00634C77" w:rsidP="0059240D">
            <w:pPr>
              <w:spacing w:after="0" w:line="240" w:lineRule="auto"/>
            </w:pPr>
            <w:r>
              <w:t>Number of madrasah</w:t>
            </w:r>
            <w:r w:rsidR="0059240D" w:rsidRPr="00634C77">
              <w:t xml:space="preserve"> accredited at a minimum of ‘B’</w:t>
            </w:r>
          </w:p>
        </w:tc>
        <w:tc>
          <w:tcPr>
            <w:tcW w:w="1133" w:type="dxa"/>
            <w:shd w:val="clear" w:color="auto" w:fill="FFFFFF"/>
          </w:tcPr>
          <w:p w14:paraId="6826ABC0" w14:textId="77777777" w:rsidR="0075663F" w:rsidRPr="00634C77" w:rsidRDefault="0075663F" w:rsidP="005540B8">
            <w:pPr>
              <w:spacing w:after="0" w:line="240" w:lineRule="auto"/>
              <w:jc w:val="center"/>
            </w:pPr>
          </w:p>
        </w:tc>
        <w:tc>
          <w:tcPr>
            <w:tcW w:w="1275" w:type="dxa"/>
            <w:shd w:val="clear" w:color="auto" w:fill="FFFFFF"/>
            <w:vAlign w:val="center"/>
          </w:tcPr>
          <w:p w14:paraId="6826ABC1" w14:textId="77777777" w:rsidR="0075663F" w:rsidRPr="00634C77" w:rsidRDefault="0075663F" w:rsidP="005540B8">
            <w:pPr>
              <w:spacing w:after="0" w:line="240" w:lineRule="auto"/>
              <w:jc w:val="center"/>
            </w:pPr>
            <w:r w:rsidRPr="00634C77">
              <w:t>1,350</w:t>
            </w:r>
          </w:p>
        </w:tc>
        <w:tc>
          <w:tcPr>
            <w:tcW w:w="1135" w:type="dxa"/>
            <w:shd w:val="clear" w:color="auto" w:fill="FFFFFF"/>
            <w:vAlign w:val="center"/>
          </w:tcPr>
          <w:p w14:paraId="6826ABC2" w14:textId="77777777" w:rsidR="0075663F" w:rsidRPr="00634C77" w:rsidRDefault="0075663F" w:rsidP="005540B8">
            <w:pPr>
              <w:spacing w:after="0" w:line="240" w:lineRule="auto"/>
              <w:jc w:val="center"/>
            </w:pPr>
            <w:r w:rsidRPr="00634C77">
              <w:t>1,350</w:t>
            </w:r>
            <w:r w:rsidR="0073378A" w:rsidRPr="00634C77">
              <w:rPr>
                <w:vertAlign w:val="superscript"/>
              </w:rPr>
              <w:t>(e)</w:t>
            </w:r>
          </w:p>
        </w:tc>
        <w:tc>
          <w:tcPr>
            <w:tcW w:w="1228" w:type="dxa"/>
            <w:shd w:val="clear" w:color="auto" w:fill="FFFFFF"/>
            <w:vAlign w:val="center"/>
          </w:tcPr>
          <w:p w14:paraId="6826ABC3" w14:textId="77777777" w:rsidR="0075663F" w:rsidRPr="00634C77" w:rsidRDefault="0075663F" w:rsidP="005540B8">
            <w:pPr>
              <w:spacing w:after="0" w:line="240" w:lineRule="auto"/>
              <w:jc w:val="center"/>
            </w:pPr>
            <w:r w:rsidRPr="00634C77">
              <w:t>1,442</w:t>
            </w:r>
          </w:p>
        </w:tc>
        <w:tc>
          <w:tcPr>
            <w:tcW w:w="1087" w:type="dxa"/>
            <w:shd w:val="clear" w:color="auto" w:fill="FFFFFF"/>
            <w:vAlign w:val="center"/>
          </w:tcPr>
          <w:p w14:paraId="6826ABC4" w14:textId="77777777" w:rsidR="0075663F" w:rsidRPr="00634C77" w:rsidRDefault="0075663F" w:rsidP="005540B8">
            <w:pPr>
              <w:spacing w:after="0" w:line="240" w:lineRule="auto"/>
              <w:jc w:val="center"/>
            </w:pPr>
            <w:r w:rsidRPr="00634C77">
              <w:t>107%</w:t>
            </w:r>
          </w:p>
        </w:tc>
        <w:tc>
          <w:tcPr>
            <w:tcW w:w="1087" w:type="dxa"/>
            <w:shd w:val="clear" w:color="auto" w:fill="FFFFFF"/>
            <w:vAlign w:val="center"/>
          </w:tcPr>
          <w:p w14:paraId="6826ABC5" w14:textId="77777777" w:rsidR="0075663F" w:rsidRPr="00634C77" w:rsidRDefault="0075663F" w:rsidP="005540B8">
            <w:pPr>
              <w:spacing w:after="0" w:line="240" w:lineRule="auto"/>
              <w:jc w:val="center"/>
            </w:pPr>
            <w:r w:rsidRPr="00634C77">
              <w:t>107%</w:t>
            </w:r>
          </w:p>
        </w:tc>
      </w:tr>
      <w:tr w:rsidR="0075663F" w:rsidRPr="005540B8" w14:paraId="6826ABCF" w14:textId="77777777" w:rsidTr="00FA123C">
        <w:tblPrEx>
          <w:shd w:val="clear" w:color="auto" w:fill="auto"/>
        </w:tblPrEx>
        <w:trPr>
          <w:trHeight w:val="510"/>
        </w:trPr>
        <w:tc>
          <w:tcPr>
            <w:tcW w:w="1418" w:type="dxa"/>
            <w:shd w:val="clear" w:color="auto" w:fill="1F4E79"/>
            <w:vAlign w:val="center"/>
          </w:tcPr>
          <w:p w14:paraId="6826ABC7" w14:textId="77777777" w:rsidR="0075663F" w:rsidRPr="005540B8" w:rsidRDefault="0075663F" w:rsidP="00415C7A">
            <w:pPr>
              <w:spacing w:after="0" w:line="240" w:lineRule="auto"/>
              <w:jc w:val="center"/>
              <w:rPr>
                <w:b/>
                <w:color w:val="FFFFFF"/>
              </w:rPr>
            </w:pPr>
            <w:r w:rsidRPr="005540B8">
              <w:rPr>
                <w:b/>
                <w:color w:val="FFFFFF"/>
              </w:rPr>
              <w:t>C 4</w:t>
            </w:r>
          </w:p>
        </w:tc>
        <w:tc>
          <w:tcPr>
            <w:tcW w:w="5245" w:type="dxa"/>
            <w:shd w:val="clear" w:color="auto" w:fill="DEEAF6"/>
            <w:vAlign w:val="center"/>
          </w:tcPr>
          <w:p w14:paraId="6826ABC8" w14:textId="77777777" w:rsidR="0075663F" w:rsidRPr="00634C77" w:rsidRDefault="003F59B5" w:rsidP="003F59B5">
            <w:pPr>
              <w:spacing w:after="0" w:line="240" w:lineRule="auto"/>
            </w:pPr>
            <w:r w:rsidRPr="00634C77">
              <w:t>Main analytical and capacity development activities completed by mid-2016</w:t>
            </w:r>
          </w:p>
        </w:tc>
        <w:tc>
          <w:tcPr>
            <w:tcW w:w="1133" w:type="dxa"/>
            <w:shd w:val="clear" w:color="auto" w:fill="DEEAF6"/>
          </w:tcPr>
          <w:p w14:paraId="6826ABC9" w14:textId="77777777" w:rsidR="0075663F" w:rsidRPr="00634C77" w:rsidRDefault="0075663F" w:rsidP="005540B8">
            <w:pPr>
              <w:spacing w:after="0" w:line="240" w:lineRule="auto"/>
              <w:jc w:val="center"/>
            </w:pPr>
          </w:p>
        </w:tc>
        <w:tc>
          <w:tcPr>
            <w:tcW w:w="1275" w:type="dxa"/>
            <w:shd w:val="clear" w:color="auto" w:fill="DEEAF6"/>
            <w:vAlign w:val="center"/>
          </w:tcPr>
          <w:p w14:paraId="6826ABCA" w14:textId="77777777" w:rsidR="0075663F" w:rsidRPr="00634C77" w:rsidRDefault="003F59B5" w:rsidP="005540B8">
            <w:pPr>
              <w:spacing w:after="0" w:line="240" w:lineRule="auto"/>
              <w:jc w:val="center"/>
            </w:pPr>
            <w:r w:rsidRPr="00634C77">
              <w:t>67</w:t>
            </w:r>
          </w:p>
        </w:tc>
        <w:tc>
          <w:tcPr>
            <w:tcW w:w="1135" w:type="dxa"/>
            <w:shd w:val="clear" w:color="auto" w:fill="DEEAF6"/>
            <w:vAlign w:val="center"/>
          </w:tcPr>
          <w:p w14:paraId="6826ABCB" w14:textId="77777777" w:rsidR="0075663F" w:rsidRPr="00634C77" w:rsidRDefault="003F59B5" w:rsidP="005540B8">
            <w:pPr>
              <w:spacing w:after="0" w:line="240" w:lineRule="auto"/>
              <w:jc w:val="center"/>
            </w:pPr>
            <w:r w:rsidRPr="00634C77">
              <w:t>54</w:t>
            </w:r>
          </w:p>
        </w:tc>
        <w:tc>
          <w:tcPr>
            <w:tcW w:w="1228" w:type="dxa"/>
            <w:shd w:val="clear" w:color="auto" w:fill="DEEAF6"/>
            <w:vAlign w:val="center"/>
          </w:tcPr>
          <w:p w14:paraId="6826ABCC" w14:textId="77777777" w:rsidR="0075663F" w:rsidRPr="00634C77" w:rsidRDefault="003F59B5" w:rsidP="005540B8">
            <w:pPr>
              <w:spacing w:after="0" w:line="240" w:lineRule="auto"/>
              <w:jc w:val="center"/>
            </w:pPr>
            <w:r w:rsidRPr="00634C77">
              <w:t>38</w:t>
            </w:r>
          </w:p>
        </w:tc>
        <w:tc>
          <w:tcPr>
            <w:tcW w:w="1087" w:type="dxa"/>
            <w:shd w:val="clear" w:color="auto" w:fill="DEEAF6"/>
            <w:vAlign w:val="center"/>
          </w:tcPr>
          <w:p w14:paraId="6826ABCD" w14:textId="77777777" w:rsidR="0075663F" w:rsidRPr="00634C77" w:rsidRDefault="003F59B5" w:rsidP="005540B8">
            <w:pPr>
              <w:spacing w:after="0" w:line="240" w:lineRule="auto"/>
              <w:jc w:val="center"/>
            </w:pPr>
            <w:r w:rsidRPr="00634C77">
              <w:t>57%</w:t>
            </w:r>
          </w:p>
        </w:tc>
        <w:tc>
          <w:tcPr>
            <w:tcW w:w="1087" w:type="dxa"/>
            <w:shd w:val="clear" w:color="auto" w:fill="DEEAF6"/>
            <w:vAlign w:val="center"/>
          </w:tcPr>
          <w:p w14:paraId="6826ABCE" w14:textId="77777777" w:rsidR="0075663F" w:rsidRPr="00634C77" w:rsidRDefault="003F59B5" w:rsidP="003F59B5">
            <w:pPr>
              <w:spacing w:after="0" w:line="240" w:lineRule="auto"/>
              <w:jc w:val="center"/>
            </w:pPr>
            <w:r w:rsidRPr="00634C77">
              <w:t>70%</w:t>
            </w:r>
            <w:r w:rsidR="00714470" w:rsidRPr="00634C77">
              <w:rPr>
                <w:vertAlign w:val="superscript"/>
              </w:rPr>
              <w:t>(h)</w:t>
            </w:r>
          </w:p>
        </w:tc>
      </w:tr>
    </w:tbl>
    <w:p w14:paraId="6826ABD9" w14:textId="77777777" w:rsidR="00BE7FA1" w:rsidRDefault="00BE7FA1" w:rsidP="00BE7FA1">
      <w:pPr>
        <w:pStyle w:val="NoSpacing"/>
        <w:rPr>
          <w:sz w:val="20"/>
          <w:szCs w:val="20"/>
        </w:rPr>
      </w:pPr>
    </w:p>
    <w:p w14:paraId="6826ABDA" w14:textId="77777777" w:rsidR="00BE7FA1" w:rsidRPr="00F42A98" w:rsidRDefault="00954092" w:rsidP="00BE7FA1">
      <w:pPr>
        <w:pStyle w:val="NoSpacing"/>
        <w:rPr>
          <w:sz w:val="18"/>
          <w:szCs w:val="18"/>
        </w:rPr>
      </w:pPr>
      <w:r w:rsidRPr="00F42A98">
        <w:rPr>
          <w:sz w:val="18"/>
          <w:szCs w:val="18"/>
        </w:rPr>
        <w:t xml:space="preserve">Notes: </w:t>
      </w:r>
    </w:p>
    <w:p w14:paraId="6826ABDB" w14:textId="77777777" w:rsidR="00954092" w:rsidRPr="00F42A98" w:rsidRDefault="00954092" w:rsidP="00BE7FA1">
      <w:pPr>
        <w:pStyle w:val="NoSpacing"/>
        <w:rPr>
          <w:i/>
          <w:sz w:val="18"/>
          <w:szCs w:val="18"/>
        </w:rPr>
      </w:pPr>
      <w:r w:rsidRPr="00F42A98">
        <w:rPr>
          <w:sz w:val="18"/>
          <w:szCs w:val="18"/>
        </w:rPr>
        <w:t>(a</w:t>
      </w:r>
      <w:r w:rsidR="00694BC1" w:rsidRPr="00F42A98">
        <w:rPr>
          <w:sz w:val="18"/>
          <w:szCs w:val="18"/>
        </w:rPr>
        <w:t>)</w:t>
      </w:r>
      <w:r w:rsidRPr="00F42A98">
        <w:rPr>
          <w:sz w:val="18"/>
          <w:szCs w:val="18"/>
        </w:rPr>
        <w:t xml:space="preserve"> See AusAID (2010).</w:t>
      </w:r>
      <w:r w:rsidRPr="00F42A98">
        <w:rPr>
          <w:i/>
          <w:sz w:val="18"/>
          <w:szCs w:val="18"/>
        </w:rPr>
        <w:t xml:space="preserve"> Australia’s Education Partnership with Indonesia, A Contribution to the Government of Indonesia’s ESSP</w:t>
      </w:r>
      <w:r w:rsidRPr="00F42A98">
        <w:rPr>
          <w:sz w:val="18"/>
          <w:szCs w:val="18"/>
        </w:rPr>
        <w:t>, p. 40.</w:t>
      </w:r>
      <w:r w:rsidR="00694BC1" w:rsidRPr="00F42A98">
        <w:rPr>
          <w:i/>
          <w:sz w:val="18"/>
          <w:szCs w:val="18"/>
        </w:rPr>
        <w:t xml:space="preserve"> </w:t>
      </w:r>
    </w:p>
    <w:p w14:paraId="6826ABDC" w14:textId="55CA7AF9" w:rsidR="00954092" w:rsidRPr="00F42A98" w:rsidRDefault="00954092" w:rsidP="00BE7FA1">
      <w:pPr>
        <w:pStyle w:val="NoSpacing"/>
        <w:rPr>
          <w:sz w:val="18"/>
          <w:szCs w:val="18"/>
        </w:rPr>
      </w:pPr>
      <w:r w:rsidRPr="00F42A98">
        <w:rPr>
          <w:sz w:val="18"/>
          <w:szCs w:val="18"/>
        </w:rPr>
        <w:t>(b)</w:t>
      </w:r>
      <w:r w:rsidR="0073378A" w:rsidRPr="00F42A98">
        <w:rPr>
          <w:sz w:val="18"/>
          <w:szCs w:val="18"/>
        </w:rPr>
        <w:t xml:space="preserve"> See </w:t>
      </w:r>
      <w:r w:rsidRPr="00F42A98">
        <w:rPr>
          <w:sz w:val="18"/>
          <w:szCs w:val="18"/>
        </w:rPr>
        <w:t>POM (2013)</w:t>
      </w:r>
      <w:r w:rsidR="00011361" w:rsidRPr="00F42A98">
        <w:rPr>
          <w:sz w:val="18"/>
          <w:szCs w:val="18"/>
        </w:rPr>
        <w:t>.</w:t>
      </w:r>
      <w:r w:rsidRPr="00F42A98">
        <w:rPr>
          <w:sz w:val="18"/>
          <w:szCs w:val="18"/>
        </w:rPr>
        <w:t xml:space="preserve"> </w:t>
      </w:r>
      <w:r w:rsidRPr="00F42A98">
        <w:rPr>
          <w:i/>
          <w:sz w:val="18"/>
          <w:szCs w:val="18"/>
        </w:rPr>
        <w:t>Education Partnership - Performa</w:t>
      </w:r>
      <w:r w:rsidR="008B026D">
        <w:rPr>
          <w:i/>
          <w:sz w:val="18"/>
          <w:szCs w:val="18"/>
        </w:rPr>
        <w:t>nce Milestone Framework, Annex II</w:t>
      </w:r>
      <w:r w:rsidRPr="00F42A98">
        <w:rPr>
          <w:i/>
          <w:sz w:val="18"/>
          <w:szCs w:val="18"/>
        </w:rPr>
        <w:t>.</w:t>
      </w:r>
      <w:r w:rsidRPr="00F42A98">
        <w:rPr>
          <w:sz w:val="18"/>
          <w:szCs w:val="18"/>
        </w:rPr>
        <w:t xml:space="preserve"> </w:t>
      </w:r>
    </w:p>
    <w:p w14:paraId="6826ABDD" w14:textId="1CC82F9D" w:rsidR="0073378A" w:rsidRPr="00F42A98" w:rsidRDefault="0073378A" w:rsidP="00BE7FA1">
      <w:pPr>
        <w:pStyle w:val="NoSpacing"/>
        <w:rPr>
          <w:sz w:val="18"/>
          <w:szCs w:val="18"/>
        </w:rPr>
      </w:pPr>
      <w:r w:rsidRPr="00F42A98">
        <w:rPr>
          <w:sz w:val="18"/>
          <w:szCs w:val="18"/>
        </w:rPr>
        <w:t xml:space="preserve">(c) See </w:t>
      </w:r>
      <w:r w:rsidR="00F82B53">
        <w:rPr>
          <w:sz w:val="18"/>
          <w:szCs w:val="18"/>
        </w:rPr>
        <w:t>Amendment No 2 of the Grant Agreement relating to Junior Secondary School Construction and Expansion through AEPI (a contribution to the GoI ESSP) between the Commonwealth of Australia and the Government of the Republic of Indonesia</w:t>
      </w:r>
      <w:r w:rsidRPr="00F42A98">
        <w:rPr>
          <w:sz w:val="18"/>
          <w:szCs w:val="18"/>
        </w:rPr>
        <w:t>.</w:t>
      </w:r>
      <w:r w:rsidR="00F82B53">
        <w:rPr>
          <w:sz w:val="18"/>
          <w:szCs w:val="18"/>
        </w:rPr>
        <w:t xml:space="preserve"> DFAT Agreement 60472.</w:t>
      </w:r>
    </w:p>
    <w:p w14:paraId="6826ABDE" w14:textId="068807BB" w:rsidR="0073378A" w:rsidRPr="00F42A98" w:rsidRDefault="0073378A" w:rsidP="00BE7FA1">
      <w:pPr>
        <w:pStyle w:val="NoSpacing"/>
        <w:rPr>
          <w:sz w:val="18"/>
          <w:szCs w:val="18"/>
        </w:rPr>
      </w:pPr>
      <w:r w:rsidRPr="00F42A98">
        <w:rPr>
          <w:sz w:val="18"/>
          <w:szCs w:val="18"/>
        </w:rPr>
        <w:t xml:space="preserve">(d) </w:t>
      </w:r>
      <w:r w:rsidR="00EA0DEA" w:rsidRPr="00F42A98">
        <w:rPr>
          <w:sz w:val="18"/>
          <w:szCs w:val="18"/>
        </w:rPr>
        <w:t>See POM (2016)</w:t>
      </w:r>
      <w:r w:rsidR="00011361" w:rsidRPr="00F42A98">
        <w:rPr>
          <w:sz w:val="18"/>
          <w:szCs w:val="18"/>
        </w:rPr>
        <w:t>.</w:t>
      </w:r>
      <w:r w:rsidR="00EA0DEA" w:rsidRPr="00F42A98">
        <w:rPr>
          <w:i/>
          <w:sz w:val="18"/>
          <w:szCs w:val="18"/>
        </w:rPr>
        <w:t xml:space="preserve"> Annual Partnership Performance Report 2015.</w:t>
      </w:r>
    </w:p>
    <w:p w14:paraId="6826ABDF" w14:textId="77777777" w:rsidR="0073378A" w:rsidRPr="00F42A98" w:rsidRDefault="0073378A" w:rsidP="00BE7FA1">
      <w:pPr>
        <w:pStyle w:val="NoSpacing"/>
        <w:rPr>
          <w:sz w:val="18"/>
          <w:szCs w:val="18"/>
        </w:rPr>
      </w:pPr>
      <w:r w:rsidRPr="00F42A98">
        <w:rPr>
          <w:sz w:val="18"/>
          <w:szCs w:val="18"/>
        </w:rPr>
        <w:t>(e) No revision from design or PMF target</w:t>
      </w:r>
      <w:r w:rsidR="00EA0DEA" w:rsidRPr="00F42A98">
        <w:rPr>
          <w:sz w:val="18"/>
          <w:szCs w:val="18"/>
        </w:rPr>
        <w:t>.</w:t>
      </w:r>
    </w:p>
    <w:p w14:paraId="6826ABE0" w14:textId="33F33444" w:rsidR="0073378A" w:rsidRPr="00F42A98" w:rsidRDefault="0073378A" w:rsidP="00BE7FA1">
      <w:pPr>
        <w:pStyle w:val="NoSpacing"/>
        <w:rPr>
          <w:sz w:val="18"/>
          <w:szCs w:val="18"/>
        </w:rPr>
      </w:pPr>
      <w:r w:rsidRPr="00F42A98">
        <w:rPr>
          <w:sz w:val="18"/>
          <w:szCs w:val="18"/>
        </w:rPr>
        <w:t>(f) See POM (2016)</w:t>
      </w:r>
      <w:r w:rsidR="00011361" w:rsidRPr="00F42A98">
        <w:rPr>
          <w:sz w:val="18"/>
          <w:szCs w:val="18"/>
        </w:rPr>
        <w:t>.</w:t>
      </w:r>
      <w:r w:rsidRPr="00F42A98">
        <w:rPr>
          <w:i/>
          <w:sz w:val="18"/>
          <w:szCs w:val="18"/>
        </w:rPr>
        <w:t xml:space="preserve"> Annual Partnership Performance Report 2015</w:t>
      </w:r>
      <w:r w:rsidRPr="00F42A98">
        <w:rPr>
          <w:sz w:val="18"/>
          <w:szCs w:val="18"/>
        </w:rPr>
        <w:t>, unless otherwise indicated</w:t>
      </w:r>
      <w:r w:rsidR="00EA0DEA" w:rsidRPr="00F42A98">
        <w:rPr>
          <w:sz w:val="18"/>
          <w:szCs w:val="18"/>
        </w:rPr>
        <w:t>.</w:t>
      </w:r>
    </w:p>
    <w:p w14:paraId="6826ABE1" w14:textId="77777777" w:rsidR="00714470" w:rsidRPr="00F42A98" w:rsidRDefault="0073378A" w:rsidP="00BE7FA1">
      <w:pPr>
        <w:pStyle w:val="NoSpacing"/>
        <w:rPr>
          <w:sz w:val="18"/>
          <w:szCs w:val="18"/>
        </w:rPr>
      </w:pPr>
      <w:r w:rsidRPr="00F42A98">
        <w:rPr>
          <w:sz w:val="18"/>
          <w:szCs w:val="18"/>
        </w:rPr>
        <w:t>(g</w:t>
      </w:r>
      <w:r w:rsidR="00694BC1" w:rsidRPr="00F42A98">
        <w:rPr>
          <w:sz w:val="18"/>
          <w:szCs w:val="18"/>
        </w:rPr>
        <w:t xml:space="preserve">) </w:t>
      </w:r>
      <w:r w:rsidRPr="00F42A98">
        <w:rPr>
          <w:sz w:val="18"/>
          <w:szCs w:val="18"/>
        </w:rPr>
        <w:t>Updated as at 24 June 2016 (Jihad Saad, pers.</w:t>
      </w:r>
      <w:r w:rsidR="00EA0DEA" w:rsidRPr="00F42A98">
        <w:rPr>
          <w:sz w:val="18"/>
          <w:szCs w:val="18"/>
        </w:rPr>
        <w:t xml:space="preserve"> </w:t>
      </w:r>
      <w:r w:rsidRPr="00F42A98">
        <w:rPr>
          <w:sz w:val="18"/>
          <w:szCs w:val="18"/>
        </w:rPr>
        <w:t>comm.)</w:t>
      </w:r>
      <w:r w:rsidR="00EA0DEA" w:rsidRPr="00F42A98">
        <w:rPr>
          <w:sz w:val="18"/>
          <w:szCs w:val="18"/>
        </w:rPr>
        <w:t>.</w:t>
      </w:r>
    </w:p>
    <w:p w14:paraId="6826ABE2" w14:textId="77777777" w:rsidR="009336BD" w:rsidRPr="00F42A98" w:rsidRDefault="00714470" w:rsidP="00BE7FA1">
      <w:pPr>
        <w:pStyle w:val="NoSpacing"/>
        <w:rPr>
          <w:sz w:val="18"/>
          <w:szCs w:val="18"/>
        </w:rPr>
      </w:pPr>
      <w:r w:rsidRPr="00F42A98">
        <w:rPr>
          <w:sz w:val="18"/>
          <w:szCs w:val="18"/>
        </w:rPr>
        <w:t>(h) The approval of an extension for the ACDP through until mid-2017 means that this figure represents progress against the target at the time of writing.</w:t>
      </w:r>
    </w:p>
    <w:p w14:paraId="6826ABE3" w14:textId="77777777" w:rsidR="0087388B" w:rsidRPr="00954092" w:rsidRDefault="009336BD" w:rsidP="00BE7FA1">
      <w:pPr>
        <w:pStyle w:val="NoSpacing"/>
      </w:pPr>
      <w:r w:rsidRPr="00F42A98">
        <w:rPr>
          <w:sz w:val="18"/>
          <w:szCs w:val="18"/>
        </w:rPr>
        <w:t>(i) Estimates for attendance of 35 events held up until June 2016. Echelon 1 and 2 are equivalent to Director General and Director level appointments in the Indonesian civil service.</w:t>
      </w:r>
      <w:r w:rsidR="0087388B" w:rsidRPr="00954092">
        <w:br w:type="page"/>
      </w:r>
    </w:p>
    <w:p w14:paraId="6826ABE4" w14:textId="77777777" w:rsidR="005B76F8" w:rsidRPr="005B76F8" w:rsidRDefault="005B76F8" w:rsidP="005B76F8">
      <w:pPr>
        <w:pStyle w:val="Caption"/>
        <w:jc w:val="center"/>
        <w:rPr>
          <w:color w:val="auto"/>
          <w:sz w:val="22"/>
          <w:szCs w:val="22"/>
        </w:rPr>
      </w:pPr>
      <w:bookmarkStart w:id="25" w:name="_Toc468197996"/>
      <w:r w:rsidRPr="005B76F8">
        <w:rPr>
          <w:color w:val="auto"/>
          <w:sz w:val="22"/>
          <w:szCs w:val="22"/>
        </w:rPr>
        <w:t xml:space="preserve">Table </w:t>
      </w:r>
      <w:r w:rsidRPr="005B76F8">
        <w:rPr>
          <w:color w:val="auto"/>
          <w:sz w:val="22"/>
          <w:szCs w:val="22"/>
        </w:rPr>
        <w:fldChar w:fldCharType="begin"/>
      </w:r>
      <w:r w:rsidRPr="005B76F8">
        <w:rPr>
          <w:color w:val="auto"/>
          <w:sz w:val="22"/>
          <w:szCs w:val="22"/>
        </w:rPr>
        <w:instrText xml:space="preserve"> SEQ Table \* ARABIC </w:instrText>
      </w:r>
      <w:r w:rsidRPr="005B76F8">
        <w:rPr>
          <w:color w:val="auto"/>
          <w:sz w:val="22"/>
          <w:szCs w:val="22"/>
        </w:rPr>
        <w:fldChar w:fldCharType="separate"/>
      </w:r>
      <w:r w:rsidR="00F82B53">
        <w:rPr>
          <w:noProof/>
          <w:color w:val="auto"/>
          <w:sz w:val="22"/>
          <w:szCs w:val="22"/>
        </w:rPr>
        <w:t>3</w:t>
      </w:r>
      <w:r w:rsidRPr="005B76F8">
        <w:rPr>
          <w:color w:val="auto"/>
          <w:sz w:val="22"/>
          <w:szCs w:val="22"/>
        </w:rPr>
        <w:fldChar w:fldCharType="end"/>
      </w:r>
      <w:r w:rsidRPr="005B76F8">
        <w:rPr>
          <w:color w:val="auto"/>
          <w:sz w:val="22"/>
          <w:szCs w:val="22"/>
        </w:rPr>
        <w:t>: EP Achievements</w:t>
      </w:r>
      <w:bookmarkEnd w:id="25"/>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3041"/>
      </w:tblGrid>
      <w:tr w:rsidR="000202F7" w:rsidRPr="005540B8" w14:paraId="6826ABE6" w14:textId="77777777" w:rsidTr="000202F7">
        <w:trPr>
          <w:trHeight w:val="680"/>
        </w:trPr>
        <w:tc>
          <w:tcPr>
            <w:tcW w:w="14000" w:type="dxa"/>
            <w:gridSpan w:val="2"/>
            <w:shd w:val="clear" w:color="auto" w:fill="1F4E79"/>
            <w:vAlign w:val="center"/>
          </w:tcPr>
          <w:p w14:paraId="6826ABE5" w14:textId="77777777" w:rsidR="000202F7" w:rsidRPr="005540B8" w:rsidRDefault="000202F7" w:rsidP="005540B8">
            <w:pPr>
              <w:spacing w:after="0" w:line="240" w:lineRule="auto"/>
              <w:jc w:val="center"/>
              <w:rPr>
                <w:b/>
                <w:color w:val="FFFFFF"/>
              </w:rPr>
            </w:pPr>
            <w:r>
              <w:rPr>
                <w:b/>
                <w:color w:val="FFFFFF"/>
              </w:rPr>
              <w:t>A</w:t>
            </w:r>
            <w:r w:rsidRPr="005540B8">
              <w:rPr>
                <w:b/>
                <w:color w:val="FFFFFF"/>
              </w:rPr>
              <w:t>chievements</w:t>
            </w:r>
          </w:p>
        </w:tc>
      </w:tr>
      <w:tr w:rsidR="000202F7" w:rsidRPr="005540B8" w14:paraId="6826ABEB" w14:textId="77777777" w:rsidTr="00635AAF">
        <w:trPr>
          <w:trHeight w:val="1077"/>
        </w:trPr>
        <w:tc>
          <w:tcPr>
            <w:tcW w:w="959" w:type="dxa"/>
            <w:vMerge w:val="restart"/>
            <w:shd w:val="clear" w:color="auto" w:fill="1F4E79"/>
            <w:vAlign w:val="center"/>
          </w:tcPr>
          <w:p w14:paraId="6826ABE7" w14:textId="77777777" w:rsidR="000202F7" w:rsidRPr="005540B8" w:rsidRDefault="000202F7" w:rsidP="00415C7A">
            <w:pPr>
              <w:spacing w:after="0" w:line="240" w:lineRule="auto"/>
              <w:jc w:val="center"/>
              <w:rPr>
                <w:b/>
                <w:color w:val="FFFFFF"/>
              </w:rPr>
            </w:pPr>
            <w:r w:rsidRPr="005540B8">
              <w:rPr>
                <w:b/>
                <w:color w:val="FFFFFF"/>
              </w:rPr>
              <w:t>C 1</w:t>
            </w:r>
          </w:p>
        </w:tc>
        <w:tc>
          <w:tcPr>
            <w:tcW w:w="13041" w:type="dxa"/>
            <w:shd w:val="clear" w:color="auto" w:fill="DBE5F1" w:themeFill="accent1" w:themeFillTint="33"/>
            <w:vAlign w:val="center"/>
          </w:tcPr>
          <w:p w14:paraId="6826ABEA" w14:textId="486EE579" w:rsidR="00634C77" w:rsidRPr="00634C77" w:rsidRDefault="000202F7" w:rsidP="00635AAF">
            <w:pPr>
              <w:spacing w:after="0" w:line="240" w:lineRule="auto"/>
            </w:pPr>
            <w:r w:rsidRPr="00634C77">
              <w:rPr>
                <w:b/>
              </w:rPr>
              <w:t xml:space="preserve">Development of highly detailed and illustrated multi-media set of school construction guidelines. </w:t>
            </w:r>
            <w:r w:rsidRPr="00634C77">
              <w:t>Guidelines were adopted by MoEC and provide a valuable resource for future expansion plans of the senior secondary sector. The C1 Complaints Handling System (CHS) was also transferred to MoEC for the effective future monitoring of school construction activities.</w:t>
            </w:r>
            <w:r w:rsidRPr="00634C77">
              <w:rPr>
                <w:vertAlign w:val="superscript"/>
              </w:rPr>
              <w:t>(a)</w:t>
            </w:r>
          </w:p>
        </w:tc>
      </w:tr>
      <w:tr w:rsidR="000202F7" w:rsidRPr="005540B8" w14:paraId="6826ABF0" w14:textId="77777777" w:rsidTr="00635AAF">
        <w:trPr>
          <w:trHeight w:val="1077"/>
        </w:trPr>
        <w:tc>
          <w:tcPr>
            <w:tcW w:w="959" w:type="dxa"/>
            <w:vMerge/>
            <w:shd w:val="clear" w:color="auto" w:fill="1F4E79"/>
            <w:vAlign w:val="center"/>
          </w:tcPr>
          <w:p w14:paraId="6826ABEC" w14:textId="77777777" w:rsidR="000202F7" w:rsidRPr="005540B8" w:rsidRDefault="000202F7" w:rsidP="005540B8">
            <w:pPr>
              <w:spacing w:after="0" w:line="240" w:lineRule="auto"/>
              <w:jc w:val="center"/>
              <w:rPr>
                <w:b/>
                <w:color w:val="FFFFFF"/>
              </w:rPr>
            </w:pPr>
          </w:p>
        </w:tc>
        <w:tc>
          <w:tcPr>
            <w:tcW w:w="13041" w:type="dxa"/>
            <w:shd w:val="clear" w:color="auto" w:fill="DBE5F1" w:themeFill="accent1" w:themeFillTint="33"/>
            <w:vAlign w:val="center"/>
          </w:tcPr>
          <w:p w14:paraId="6826ABEF" w14:textId="61662A9F" w:rsidR="00634C77" w:rsidRPr="00634C77" w:rsidRDefault="000202F7" w:rsidP="00635AAF">
            <w:pPr>
              <w:spacing w:after="0" w:line="240" w:lineRule="auto"/>
            </w:pPr>
            <w:r w:rsidRPr="00634C77">
              <w:rPr>
                <w:b/>
              </w:rPr>
              <w:t>Substantial improvements to MoEC systems for new school site selection.</w:t>
            </w:r>
            <w:r w:rsidR="00D477C8">
              <w:rPr>
                <w:b/>
              </w:rPr>
              <w:t xml:space="preserve"> </w:t>
            </w:r>
            <w:r w:rsidRPr="00634C77">
              <w:t>Improvements in database management and the development of more robust verification mechanisms provide a valuable means of addressing data discrepancies between central and district levels.</w:t>
            </w:r>
            <w:r w:rsidRPr="00634C77">
              <w:rPr>
                <w:vertAlign w:val="superscript"/>
              </w:rPr>
              <w:t>(b)</w:t>
            </w:r>
          </w:p>
        </w:tc>
      </w:tr>
      <w:tr w:rsidR="000202F7" w:rsidRPr="005540B8" w14:paraId="6826ABF5" w14:textId="77777777" w:rsidTr="00635AAF">
        <w:trPr>
          <w:trHeight w:val="1077"/>
        </w:trPr>
        <w:tc>
          <w:tcPr>
            <w:tcW w:w="959" w:type="dxa"/>
            <w:vMerge w:val="restart"/>
            <w:shd w:val="clear" w:color="auto" w:fill="1F4E79"/>
            <w:vAlign w:val="center"/>
          </w:tcPr>
          <w:p w14:paraId="6826ABF1" w14:textId="77777777" w:rsidR="000202F7" w:rsidRPr="005540B8" w:rsidRDefault="000202F7" w:rsidP="00415C7A">
            <w:pPr>
              <w:spacing w:after="0" w:line="240" w:lineRule="auto"/>
              <w:jc w:val="center"/>
              <w:rPr>
                <w:b/>
                <w:color w:val="FFFFFF"/>
              </w:rPr>
            </w:pPr>
            <w:r w:rsidRPr="005540B8">
              <w:rPr>
                <w:b/>
                <w:color w:val="FFFFFF"/>
              </w:rPr>
              <w:t>C2</w:t>
            </w:r>
          </w:p>
        </w:tc>
        <w:tc>
          <w:tcPr>
            <w:tcW w:w="13041" w:type="dxa"/>
            <w:shd w:val="clear" w:color="auto" w:fill="auto"/>
            <w:vAlign w:val="center"/>
          </w:tcPr>
          <w:p w14:paraId="6826ABF4" w14:textId="277E0389" w:rsidR="00634C77" w:rsidRPr="00634C77" w:rsidRDefault="000202F7" w:rsidP="00635AAF">
            <w:pPr>
              <w:spacing w:after="0" w:line="240" w:lineRule="auto"/>
              <w:rPr>
                <w:b/>
              </w:rPr>
            </w:pPr>
            <w:r w:rsidRPr="00634C77">
              <w:rPr>
                <w:b/>
              </w:rPr>
              <w:t xml:space="preserve">Approximately 630,000 members of school management teams </w:t>
            </w:r>
            <w:r w:rsidR="004040A0" w:rsidRPr="00634C77">
              <w:rPr>
                <w:b/>
              </w:rPr>
              <w:t xml:space="preserve">were </w:t>
            </w:r>
            <w:r w:rsidRPr="00634C77">
              <w:rPr>
                <w:b/>
              </w:rPr>
              <w:t>involved in 3-4 day</w:t>
            </w:r>
            <w:r w:rsidR="004040A0" w:rsidRPr="00634C77">
              <w:rPr>
                <w:b/>
              </w:rPr>
              <w:t xml:space="preserve"> training</w:t>
            </w:r>
            <w:r w:rsidRPr="00634C77">
              <w:rPr>
                <w:b/>
              </w:rPr>
              <w:t xml:space="preserve"> </w:t>
            </w:r>
            <w:r w:rsidR="00B4772F">
              <w:rPr>
                <w:b/>
              </w:rPr>
              <w:t xml:space="preserve">on </w:t>
            </w:r>
            <w:r w:rsidRPr="00634C77">
              <w:rPr>
                <w:b/>
              </w:rPr>
              <w:t>School Operational Funds management.</w:t>
            </w:r>
            <w:r w:rsidRPr="00634C77">
              <w:t xml:space="preserve"> The training was carried out in around 11,000 sites across Indonesia and saw the distribution of 670,000 resource packages.</w:t>
            </w:r>
            <w:r w:rsidRPr="00634C77">
              <w:rPr>
                <w:vertAlign w:val="superscript"/>
              </w:rPr>
              <w:t>(c)</w:t>
            </w:r>
          </w:p>
        </w:tc>
      </w:tr>
      <w:tr w:rsidR="000202F7" w:rsidRPr="005540B8" w14:paraId="6826ABFA" w14:textId="77777777" w:rsidTr="00635AAF">
        <w:trPr>
          <w:trHeight w:val="1077"/>
        </w:trPr>
        <w:tc>
          <w:tcPr>
            <w:tcW w:w="959" w:type="dxa"/>
            <w:vMerge/>
            <w:shd w:val="clear" w:color="auto" w:fill="1F4E79"/>
            <w:vAlign w:val="center"/>
          </w:tcPr>
          <w:p w14:paraId="6826ABF6" w14:textId="77777777" w:rsidR="000202F7" w:rsidRPr="005540B8" w:rsidRDefault="000202F7" w:rsidP="00415C7A">
            <w:pPr>
              <w:spacing w:after="0" w:line="240" w:lineRule="auto"/>
              <w:jc w:val="center"/>
              <w:rPr>
                <w:b/>
                <w:color w:val="FFFFFF"/>
              </w:rPr>
            </w:pPr>
          </w:p>
        </w:tc>
        <w:tc>
          <w:tcPr>
            <w:tcW w:w="13041" w:type="dxa"/>
            <w:shd w:val="clear" w:color="auto" w:fill="auto"/>
            <w:vAlign w:val="center"/>
          </w:tcPr>
          <w:p w14:paraId="6826ABF9" w14:textId="285A5638" w:rsidR="00634C77" w:rsidRPr="00634C77" w:rsidRDefault="000202F7" w:rsidP="00635AAF">
            <w:pPr>
              <w:spacing w:after="0" w:line="240" w:lineRule="auto"/>
              <w:rPr>
                <w:b/>
              </w:rPr>
            </w:pPr>
            <w:r w:rsidRPr="00634C77">
              <w:rPr>
                <w:b/>
              </w:rPr>
              <w:t>During 2015-2016</w:t>
            </w:r>
            <w:r w:rsidR="006218D3">
              <w:rPr>
                <w:b/>
              </w:rPr>
              <w:t>,</w:t>
            </w:r>
            <w:r w:rsidRPr="00634C77">
              <w:rPr>
                <w:b/>
              </w:rPr>
              <w:t xml:space="preserve"> MoEC (central) funded the replication of the ProDEP model in 39 additional districts a</w:t>
            </w:r>
            <w:r w:rsidR="003A65F7" w:rsidRPr="00634C77">
              <w:rPr>
                <w:b/>
              </w:rPr>
              <w:t>t an approximate value of AUD 15</w:t>
            </w:r>
            <w:r w:rsidRPr="00634C77">
              <w:rPr>
                <w:b/>
              </w:rPr>
              <w:t xml:space="preserve"> million and</w:t>
            </w:r>
            <w:r w:rsidRPr="00634C77">
              <w:t xml:space="preserve"> </w:t>
            </w:r>
            <w:r w:rsidRPr="00634C77">
              <w:rPr>
                <w:b/>
              </w:rPr>
              <w:t>a total of 374 districts financed the implementation of the Principal Preparation Program (PPP).</w:t>
            </w:r>
            <w:r w:rsidRPr="00634C77">
              <w:t xml:space="preserve"> Select modules from ProDEP were also adopted by MoEC for the 2016 ‘Learning Principal/Teacher/Supervisor’ professional development initiative.</w:t>
            </w:r>
            <w:r w:rsidRPr="00634C77">
              <w:rPr>
                <w:vertAlign w:val="superscript"/>
              </w:rPr>
              <w:t>(d)</w:t>
            </w:r>
          </w:p>
        </w:tc>
      </w:tr>
      <w:tr w:rsidR="000202F7" w:rsidRPr="005540B8" w14:paraId="6826ABFF" w14:textId="77777777" w:rsidTr="00635AAF">
        <w:trPr>
          <w:trHeight w:val="1077"/>
        </w:trPr>
        <w:tc>
          <w:tcPr>
            <w:tcW w:w="959" w:type="dxa"/>
            <w:vMerge/>
            <w:shd w:val="clear" w:color="auto" w:fill="1F4E79"/>
            <w:vAlign w:val="center"/>
          </w:tcPr>
          <w:p w14:paraId="6826ABFB" w14:textId="77777777" w:rsidR="000202F7" w:rsidRPr="005540B8" w:rsidRDefault="000202F7" w:rsidP="005540B8">
            <w:pPr>
              <w:spacing w:after="0" w:line="240" w:lineRule="auto"/>
              <w:jc w:val="center"/>
              <w:rPr>
                <w:b/>
                <w:color w:val="FFFFFF"/>
              </w:rPr>
            </w:pPr>
          </w:p>
        </w:tc>
        <w:tc>
          <w:tcPr>
            <w:tcW w:w="13041" w:type="dxa"/>
            <w:shd w:val="clear" w:color="auto" w:fill="auto"/>
            <w:vAlign w:val="center"/>
          </w:tcPr>
          <w:p w14:paraId="6826ABFE" w14:textId="2CAA65B5" w:rsidR="00634C77" w:rsidRPr="00634C77" w:rsidRDefault="000202F7" w:rsidP="00635AAF">
            <w:pPr>
              <w:pStyle w:val="Default"/>
              <w:rPr>
                <w:rFonts w:asciiTheme="minorHAnsi" w:hAnsiTheme="minorHAnsi" w:cstheme="minorHAnsi"/>
                <w:sz w:val="22"/>
                <w:szCs w:val="22"/>
              </w:rPr>
            </w:pPr>
            <w:r w:rsidRPr="00634C77">
              <w:rPr>
                <w:rFonts w:asciiTheme="minorHAnsi" w:hAnsiTheme="minorHAnsi" w:cstheme="minorHAnsi"/>
                <w:b/>
                <w:sz w:val="22"/>
                <w:szCs w:val="22"/>
              </w:rPr>
              <w:t xml:space="preserve">3,676 school and community </w:t>
            </w:r>
            <w:r w:rsidR="0078204B">
              <w:rPr>
                <w:rFonts w:asciiTheme="minorHAnsi" w:hAnsiTheme="minorHAnsi" w:cstheme="minorHAnsi"/>
                <w:b/>
                <w:sz w:val="22"/>
                <w:szCs w:val="22"/>
              </w:rPr>
              <w:t>representatives</w:t>
            </w:r>
            <w:r w:rsidR="0078204B" w:rsidRPr="00634C77">
              <w:rPr>
                <w:rFonts w:asciiTheme="minorHAnsi" w:hAnsiTheme="minorHAnsi" w:cstheme="minorHAnsi"/>
                <w:b/>
                <w:sz w:val="22"/>
                <w:szCs w:val="22"/>
              </w:rPr>
              <w:t xml:space="preserve"> </w:t>
            </w:r>
            <w:r w:rsidRPr="00634C77">
              <w:rPr>
                <w:rFonts w:asciiTheme="minorHAnsi" w:hAnsiTheme="minorHAnsi" w:cstheme="minorHAnsi"/>
                <w:b/>
                <w:sz w:val="22"/>
                <w:szCs w:val="22"/>
              </w:rPr>
              <w:t>from 749 schools participated in New School Induction Program (NSIP) workshops</w:t>
            </w:r>
            <w:r w:rsidRPr="00634C77">
              <w:rPr>
                <w:rFonts w:asciiTheme="minorHAnsi" w:hAnsiTheme="minorHAnsi" w:cstheme="minorHAnsi"/>
                <w:sz w:val="22"/>
                <w:szCs w:val="22"/>
              </w:rPr>
              <w:t>. Pre and post-test scores show</w:t>
            </w:r>
            <w:r w:rsidR="0078204B">
              <w:rPr>
                <w:rFonts w:asciiTheme="minorHAnsi" w:hAnsiTheme="minorHAnsi" w:cstheme="minorHAnsi"/>
                <w:sz w:val="22"/>
                <w:szCs w:val="22"/>
              </w:rPr>
              <w:t>ed</w:t>
            </w:r>
            <w:r w:rsidRPr="00634C77">
              <w:rPr>
                <w:rFonts w:asciiTheme="minorHAnsi" w:hAnsiTheme="minorHAnsi" w:cstheme="minorHAnsi"/>
                <w:sz w:val="22"/>
                <w:szCs w:val="22"/>
              </w:rPr>
              <w:t xml:space="preserve"> very significant</w:t>
            </w:r>
            <w:r w:rsidR="0078204B">
              <w:rPr>
                <w:rFonts w:asciiTheme="minorHAnsi" w:hAnsiTheme="minorHAnsi" w:cstheme="minorHAnsi"/>
                <w:sz w:val="22"/>
                <w:szCs w:val="22"/>
              </w:rPr>
              <w:t xml:space="preserve"> levels of</w:t>
            </w:r>
            <w:r w:rsidRPr="00634C77">
              <w:rPr>
                <w:rFonts w:asciiTheme="minorHAnsi" w:hAnsiTheme="minorHAnsi" w:cstheme="minorHAnsi"/>
                <w:sz w:val="22"/>
                <w:szCs w:val="22"/>
              </w:rPr>
              <w:t xml:space="preserve"> learning occurred in all workshops.</w:t>
            </w:r>
            <w:r w:rsidRPr="00634C77">
              <w:rPr>
                <w:rFonts w:asciiTheme="minorHAnsi" w:hAnsiTheme="minorHAnsi" w:cstheme="minorHAnsi"/>
                <w:sz w:val="22"/>
                <w:szCs w:val="22"/>
                <w:vertAlign w:val="superscript"/>
              </w:rPr>
              <w:t>(e)</w:t>
            </w:r>
          </w:p>
        </w:tc>
      </w:tr>
      <w:tr w:rsidR="000202F7" w:rsidRPr="005540B8" w14:paraId="6826AC04" w14:textId="77777777" w:rsidTr="00635AAF">
        <w:trPr>
          <w:trHeight w:val="1077"/>
        </w:trPr>
        <w:tc>
          <w:tcPr>
            <w:tcW w:w="959" w:type="dxa"/>
            <w:vMerge w:val="restart"/>
            <w:shd w:val="clear" w:color="auto" w:fill="1F4E79"/>
            <w:vAlign w:val="center"/>
          </w:tcPr>
          <w:p w14:paraId="6826AC00" w14:textId="77777777" w:rsidR="000202F7" w:rsidRPr="005540B8" w:rsidRDefault="000202F7" w:rsidP="00415C7A">
            <w:pPr>
              <w:spacing w:after="0" w:line="240" w:lineRule="auto"/>
              <w:jc w:val="center"/>
              <w:rPr>
                <w:b/>
                <w:color w:val="FFFFFF"/>
              </w:rPr>
            </w:pPr>
            <w:r w:rsidRPr="005540B8">
              <w:rPr>
                <w:b/>
                <w:color w:val="FFFFFF"/>
              </w:rPr>
              <w:t>C 3</w:t>
            </w:r>
          </w:p>
        </w:tc>
        <w:tc>
          <w:tcPr>
            <w:tcW w:w="13041" w:type="dxa"/>
            <w:shd w:val="clear" w:color="auto" w:fill="DBE5F1" w:themeFill="accent1" w:themeFillTint="33"/>
            <w:vAlign w:val="center"/>
          </w:tcPr>
          <w:p w14:paraId="6826AC03" w14:textId="200C8F8C" w:rsidR="00634C77" w:rsidRPr="00634C77" w:rsidRDefault="000202F7" w:rsidP="00635AAF">
            <w:pPr>
              <w:spacing w:after="0" w:line="240" w:lineRule="auto"/>
              <w:rPr>
                <w:b/>
              </w:rPr>
            </w:pPr>
            <w:r w:rsidRPr="00634C77">
              <w:rPr>
                <w:b/>
              </w:rPr>
              <w:t>93% of all targeted madrasah attained accreditation rankings of A or B.</w:t>
            </w:r>
            <w:r w:rsidRPr="00634C77">
              <w:t xml:space="preserve"> This substantially exceeded MoRA 2010-2014 Renstra targets for 50% of madrasah to be accredited at B level.</w:t>
            </w:r>
            <w:r w:rsidRPr="00634C77">
              <w:rPr>
                <w:vertAlign w:val="superscript"/>
              </w:rPr>
              <w:t>(f)</w:t>
            </w:r>
          </w:p>
        </w:tc>
      </w:tr>
      <w:tr w:rsidR="000202F7" w:rsidRPr="005540B8" w14:paraId="6826AC08" w14:textId="77777777" w:rsidTr="00635AAF">
        <w:trPr>
          <w:trHeight w:val="1077"/>
        </w:trPr>
        <w:tc>
          <w:tcPr>
            <w:tcW w:w="959" w:type="dxa"/>
            <w:vMerge/>
            <w:shd w:val="clear" w:color="auto" w:fill="1F4E79"/>
            <w:vAlign w:val="center"/>
          </w:tcPr>
          <w:p w14:paraId="6826AC05" w14:textId="77777777" w:rsidR="000202F7" w:rsidRPr="005540B8" w:rsidRDefault="000202F7" w:rsidP="005540B8">
            <w:pPr>
              <w:spacing w:after="0" w:line="240" w:lineRule="auto"/>
              <w:jc w:val="center"/>
              <w:rPr>
                <w:b/>
                <w:color w:val="FFFFFF"/>
              </w:rPr>
            </w:pPr>
          </w:p>
        </w:tc>
        <w:tc>
          <w:tcPr>
            <w:tcW w:w="13041" w:type="dxa"/>
            <w:shd w:val="clear" w:color="auto" w:fill="DBE5F1" w:themeFill="accent1" w:themeFillTint="33"/>
            <w:vAlign w:val="center"/>
          </w:tcPr>
          <w:p w14:paraId="6826AC07" w14:textId="47AC9CD4" w:rsidR="000202F7" w:rsidRPr="00634C77" w:rsidRDefault="000202F7" w:rsidP="00FA123C">
            <w:pPr>
              <w:spacing w:after="0" w:line="240" w:lineRule="auto"/>
            </w:pPr>
            <w:r w:rsidRPr="00634C77">
              <w:rPr>
                <w:b/>
              </w:rPr>
              <w:t xml:space="preserve">C3 sub-national implementing partners </w:t>
            </w:r>
            <w:r w:rsidR="00A37DC6" w:rsidRPr="00634C77">
              <w:rPr>
                <w:b/>
              </w:rPr>
              <w:t>delivered 11,456</w:t>
            </w:r>
            <w:r w:rsidRPr="00634C77">
              <w:rPr>
                <w:b/>
              </w:rPr>
              <w:t xml:space="preserve"> training sessions to targeted madrasah.</w:t>
            </w:r>
            <w:r w:rsidRPr="00634C77">
              <w:t xml:space="preserve"> These 1,500 madrasah received an additional 42,510 individual visits by C3 mentors to assist in preparation for accreditation.</w:t>
            </w:r>
            <w:r w:rsidRPr="00634C77">
              <w:rPr>
                <w:vertAlign w:val="superscript"/>
              </w:rPr>
              <w:t>(g)</w:t>
            </w:r>
          </w:p>
        </w:tc>
      </w:tr>
      <w:tr w:rsidR="000202F7" w:rsidRPr="005540B8" w14:paraId="6826AC0D" w14:textId="77777777" w:rsidTr="00635AAF">
        <w:trPr>
          <w:trHeight w:val="1474"/>
        </w:trPr>
        <w:tc>
          <w:tcPr>
            <w:tcW w:w="959" w:type="dxa"/>
            <w:vMerge/>
            <w:shd w:val="clear" w:color="auto" w:fill="1F4E79"/>
            <w:vAlign w:val="center"/>
          </w:tcPr>
          <w:p w14:paraId="6826AC09" w14:textId="77777777" w:rsidR="000202F7" w:rsidRPr="005540B8" w:rsidRDefault="000202F7" w:rsidP="005540B8">
            <w:pPr>
              <w:spacing w:after="0" w:line="240" w:lineRule="auto"/>
              <w:jc w:val="center"/>
              <w:rPr>
                <w:b/>
                <w:color w:val="FFFFFF"/>
              </w:rPr>
            </w:pPr>
          </w:p>
        </w:tc>
        <w:tc>
          <w:tcPr>
            <w:tcW w:w="13041" w:type="dxa"/>
            <w:shd w:val="clear" w:color="auto" w:fill="DBE5F1" w:themeFill="accent1" w:themeFillTint="33"/>
            <w:vAlign w:val="center"/>
          </w:tcPr>
          <w:p w14:paraId="6826AC0C" w14:textId="1CEBA994" w:rsidR="00634C77" w:rsidRPr="00634C77" w:rsidRDefault="000202F7" w:rsidP="00635AAF">
            <w:pPr>
              <w:spacing w:after="0" w:line="240" w:lineRule="auto"/>
              <w:rPr>
                <w:b/>
              </w:rPr>
            </w:pPr>
            <w:r w:rsidRPr="00634C77">
              <w:t>AUD 4 million in additional GoI funding support was generated for madrasah targeted for C3 assistance. Over AUD 1 million was generated from district government sources.</w:t>
            </w:r>
            <w:r w:rsidR="00D477C8">
              <w:t xml:space="preserve"> </w:t>
            </w:r>
            <w:r w:rsidRPr="00634C77">
              <w:t xml:space="preserve">A modified version of the C3 </w:t>
            </w:r>
            <w:r w:rsidR="0078204B" w:rsidRPr="00634C77">
              <w:t>accreditation</w:t>
            </w:r>
            <w:r w:rsidRPr="00634C77">
              <w:t xml:space="preserve"> model was also employed by MoRA for replication activities for 3,927 additional madrasah at a cost of approximately AUD 18 million. </w:t>
            </w:r>
            <w:r w:rsidRPr="00634C77">
              <w:rPr>
                <w:b/>
              </w:rPr>
              <w:t>Estimates for the total value of funds generated both by C3 activities or related to C3 activities was AUD 24,099,240, a figure equivalent to approximately two thirds of the value of the investment.</w:t>
            </w:r>
            <w:r w:rsidRPr="00634C77">
              <w:rPr>
                <w:vertAlign w:val="superscript"/>
              </w:rPr>
              <w:t>(h)</w:t>
            </w:r>
          </w:p>
        </w:tc>
      </w:tr>
      <w:tr w:rsidR="000202F7" w:rsidRPr="005540B8" w14:paraId="6826AC12" w14:textId="77777777" w:rsidTr="00635AAF">
        <w:trPr>
          <w:trHeight w:val="1304"/>
        </w:trPr>
        <w:tc>
          <w:tcPr>
            <w:tcW w:w="959" w:type="dxa"/>
            <w:vMerge w:val="restart"/>
            <w:shd w:val="clear" w:color="auto" w:fill="1F4E79"/>
            <w:vAlign w:val="center"/>
          </w:tcPr>
          <w:p w14:paraId="6826AC0E" w14:textId="77777777" w:rsidR="000202F7" w:rsidRPr="005540B8" w:rsidRDefault="000202F7" w:rsidP="00415C7A">
            <w:pPr>
              <w:spacing w:after="0" w:line="240" w:lineRule="auto"/>
              <w:jc w:val="center"/>
              <w:rPr>
                <w:b/>
                <w:color w:val="FFFFFF"/>
              </w:rPr>
            </w:pPr>
            <w:r w:rsidRPr="005540B8">
              <w:rPr>
                <w:b/>
                <w:color w:val="FFFFFF"/>
              </w:rPr>
              <w:t>C4</w:t>
            </w:r>
          </w:p>
        </w:tc>
        <w:tc>
          <w:tcPr>
            <w:tcW w:w="13041" w:type="dxa"/>
            <w:shd w:val="clear" w:color="auto" w:fill="auto"/>
            <w:vAlign w:val="center"/>
          </w:tcPr>
          <w:p w14:paraId="6826AC11" w14:textId="697F0895" w:rsidR="00634C77" w:rsidRPr="00634C77" w:rsidRDefault="00635AAF" w:rsidP="00635AAF">
            <w:pPr>
              <w:spacing w:after="0" w:line="240" w:lineRule="auto"/>
            </w:pPr>
            <w:r>
              <w:rPr>
                <w:b/>
              </w:rPr>
              <w:t>B</w:t>
            </w:r>
            <w:r w:rsidR="000202F7" w:rsidRPr="00634C77">
              <w:rPr>
                <w:b/>
              </w:rPr>
              <w:t>etween 2011 and June 2016</w:t>
            </w:r>
            <w:r w:rsidR="006218D3">
              <w:rPr>
                <w:b/>
              </w:rPr>
              <w:t>,</w:t>
            </w:r>
            <w:r w:rsidR="000202F7" w:rsidRPr="00634C77">
              <w:rPr>
                <w:b/>
              </w:rPr>
              <w:t xml:space="preserve"> ACDP held 277 events that involved a total of over 11,000 participants.</w:t>
            </w:r>
            <w:r w:rsidR="00943C32" w:rsidRPr="00943C32">
              <w:rPr>
                <w:vertAlign w:val="superscript"/>
              </w:rPr>
              <w:t>(i)</w:t>
            </w:r>
            <w:r w:rsidR="000202F7" w:rsidRPr="00943C32">
              <w:rPr>
                <w:vertAlign w:val="superscript"/>
              </w:rPr>
              <w:t xml:space="preserve"> </w:t>
            </w:r>
            <w:r w:rsidR="00BB5F7C">
              <w:t xml:space="preserve">This included 293 Echelon 1 and 795 Echelon 2 GoI senior officials. </w:t>
            </w:r>
            <w:r w:rsidR="000202F7" w:rsidRPr="00634C77">
              <w:t xml:space="preserve">Outreach activities included the innovative communication fora – </w:t>
            </w:r>
            <w:r w:rsidR="000202F7" w:rsidRPr="00634C77">
              <w:rPr>
                <w:i/>
              </w:rPr>
              <w:t>Kopi Darat</w:t>
            </w:r>
            <w:r w:rsidR="000202F7" w:rsidRPr="00634C77">
              <w:t xml:space="preserve"> and </w:t>
            </w:r>
            <w:r w:rsidR="000202F7" w:rsidRPr="00634C77">
              <w:rPr>
                <w:i/>
              </w:rPr>
              <w:t>Bidik Jitu</w:t>
            </w:r>
            <w:r w:rsidR="00943C32">
              <w:rPr>
                <w:i/>
                <w:vertAlign w:val="superscript"/>
              </w:rPr>
              <w:t>(j</w:t>
            </w:r>
            <w:r w:rsidR="000202F7" w:rsidRPr="00634C77">
              <w:rPr>
                <w:i/>
                <w:vertAlign w:val="superscript"/>
              </w:rPr>
              <w:t>)</w:t>
            </w:r>
            <w:r w:rsidR="000202F7" w:rsidRPr="00634C77">
              <w:t xml:space="preserve"> - to disseminate and advocate ACDP research outputs.</w:t>
            </w:r>
            <w:r w:rsidR="00BB5F7C">
              <w:t xml:space="preserve"> </w:t>
            </w:r>
          </w:p>
        </w:tc>
      </w:tr>
      <w:tr w:rsidR="000202F7" w:rsidRPr="005540B8" w14:paraId="6826AC17" w14:textId="77777777" w:rsidTr="00635AAF">
        <w:trPr>
          <w:trHeight w:val="1304"/>
        </w:trPr>
        <w:tc>
          <w:tcPr>
            <w:tcW w:w="959" w:type="dxa"/>
            <w:vMerge/>
            <w:shd w:val="clear" w:color="auto" w:fill="1F4E79"/>
            <w:vAlign w:val="center"/>
          </w:tcPr>
          <w:p w14:paraId="6826AC13" w14:textId="77777777" w:rsidR="000202F7" w:rsidRPr="005540B8" w:rsidRDefault="000202F7" w:rsidP="005540B8">
            <w:pPr>
              <w:spacing w:after="0" w:line="240" w:lineRule="auto"/>
              <w:jc w:val="center"/>
              <w:rPr>
                <w:b/>
                <w:color w:val="FFFFFF"/>
              </w:rPr>
            </w:pPr>
          </w:p>
        </w:tc>
        <w:tc>
          <w:tcPr>
            <w:tcW w:w="13041" w:type="dxa"/>
            <w:shd w:val="clear" w:color="auto" w:fill="auto"/>
            <w:vAlign w:val="center"/>
          </w:tcPr>
          <w:p w14:paraId="6826AC16" w14:textId="49792AA6" w:rsidR="00634C77" w:rsidRPr="00634C77" w:rsidRDefault="000202F7" w:rsidP="00635AAF">
            <w:pPr>
              <w:spacing w:after="0" w:line="240" w:lineRule="auto"/>
            </w:pPr>
            <w:r w:rsidRPr="00634C77">
              <w:rPr>
                <w:b/>
              </w:rPr>
              <w:t>Provision of rapid response support to PASKA</w:t>
            </w:r>
            <w:r w:rsidRPr="00634C77">
              <w:t xml:space="preserve"> (MoEC Centre for Policy Analysis and Synchronisation). Support consisted of seminars, collaborative development of policy papers/briefs, and support for development and dissemination of district reporting on education indicators.</w:t>
            </w:r>
          </w:p>
        </w:tc>
      </w:tr>
      <w:tr w:rsidR="000202F7" w:rsidRPr="005540B8" w14:paraId="6826AC1C" w14:textId="77777777" w:rsidTr="00635AAF">
        <w:trPr>
          <w:trHeight w:val="1417"/>
        </w:trPr>
        <w:tc>
          <w:tcPr>
            <w:tcW w:w="959" w:type="dxa"/>
            <w:shd w:val="clear" w:color="auto" w:fill="1F4E79"/>
            <w:vAlign w:val="center"/>
          </w:tcPr>
          <w:p w14:paraId="6826AC18" w14:textId="77777777" w:rsidR="000202F7" w:rsidRPr="005540B8" w:rsidRDefault="000202F7" w:rsidP="005540B8">
            <w:pPr>
              <w:spacing w:after="0" w:line="240" w:lineRule="auto"/>
              <w:jc w:val="center"/>
              <w:rPr>
                <w:b/>
                <w:color w:val="FFFFFF"/>
              </w:rPr>
            </w:pPr>
            <w:r>
              <w:rPr>
                <w:b/>
                <w:color w:val="FFFFFF"/>
              </w:rPr>
              <w:t>POM</w:t>
            </w:r>
          </w:p>
        </w:tc>
        <w:tc>
          <w:tcPr>
            <w:tcW w:w="13041" w:type="dxa"/>
            <w:shd w:val="clear" w:color="auto" w:fill="DBE5F1" w:themeFill="accent1" w:themeFillTint="33"/>
            <w:vAlign w:val="center"/>
          </w:tcPr>
          <w:p w14:paraId="6826AC1B" w14:textId="4865F912" w:rsidR="00634C77" w:rsidRPr="00634C77" w:rsidRDefault="000202F7" w:rsidP="00635AAF">
            <w:pPr>
              <w:spacing w:after="0" w:line="240" w:lineRule="auto"/>
            </w:pPr>
            <w:r w:rsidRPr="00634C77">
              <w:rPr>
                <w:b/>
              </w:rPr>
              <w:t xml:space="preserve">Demonstrable impact of EP Performance, Oversight and Monitoring (POM) facility on </w:t>
            </w:r>
            <w:r w:rsidR="00D359DD">
              <w:rPr>
                <w:b/>
              </w:rPr>
              <w:t>Implementing Partner processes that contributed</w:t>
            </w:r>
            <w:r w:rsidRPr="00634C77">
              <w:rPr>
                <w:b/>
              </w:rPr>
              <w:t xml:space="preserve"> to the improved effectiveness of EP spend.</w:t>
            </w:r>
            <w:r w:rsidRPr="00634C77">
              <w:t xml:space="preserve"> Notable </w:t>
            </w:r>
            <w:r w:rsidR="00C76DD6">
              <w:t>contributions</w:t>
            </w:r>
            <w:r w:rsidR="00C76DD6" w:rsidRPr="00634C77">
              <w:t xml:space="preserve"> </w:t>
            </w:r>
            <w:r w:rsidRPr="00634C77">
              <w:t xml:space="preserve">included improvements to new school site selection systems, the production of a ministerial regulation to strengthen the role of Madrasah Development </w:t>
            </w:r>
            <w:r w:rsidR="00DE7AD2" w:rsidRPr="00634C77">
              <w:t>Centres</w:t>
            </w:r>
            <w:r w:rsidRPr="00634C77">
              <w:t xml:space="preserve"> as drivers of quality improvement in the Islamic education system, and a more agile research and outreach agenda within the ACDP.</w:t>
            </w:r>
          </w:p>
        </w:tc>
      </w:tr>
    </w:tbl>
    <w:p w14:paraId="0B110E6B" w14:textId="77777777" w:rsidR="00635AAF" w:rsidRDefault="00635AAF" w:rsidP="00BE7FA1">
      <w:pPr>
        <w:pStyle w:val="NoSpacing"/>
        <w:rPr>
          <w:sz w:val="18"/>
          <w:szCs w:val="18"/>
        </w:rPr>
      </w:pPr>
    </w:p>
    <w:p w14:paraId="6826AC1D" w14:textId="77777777" w:rsidR="00EF100C" w:rsidRPr="00F42A98" w:rsidRDefault="003F59B5" w:rsidP="00BE7FA1">
      <w:pPr>
        <w:pStyle w:val="NoSpacing"/>
        <w:rPr>
          <w:sz w:val="18"/>
          <w:szCs w:val="18"/>
        </w:rPr>
      </w:pPr>
      <w:r w:rsidRPr="00F42A98">
        <w:rPr>
          <w:sz w:val="18"/>
          <w:szCs w:val="18"/>
        </w:rPr>
        <w:t>Notes:</w:t>
      </w:r>
    </w:p>
    <w:p w14:paraId="1C40E2BF" w14:textId="07E4059E" w:rsidR="00CF081F" w:rsidRPr="00F42A98" w:rsidRDefault="00EF100C" w:rsidP="006218D3">
      <w:pPr>
        <w:pStyle w:val="NoSpacing"/>
        <w:numPr>
          <w:ilvl w:val="0"/>
          <w:numId w:val="14"/>
        </w:numPr>
        <w:ind w:left="284" w:hanging="284"/>
        <w:rPr>
          <w:rFonts w:asciiTheme="minorHAnsi" w:hAnsiTheme="minorHAnsi" w:cstheme="minorHAnsi"/>
          <w:i/>
          <w:sz w:val="18"/>
          <w:szCs w:val="18"/>
        </w:rPr>
      </w:pPr>
      <w:r w:rsidRPr="00F42A98">
        <w:rPr>
          <w:rFonts w:asciiTheme="minorHAnsi" w:hAnsiTheme="minorHAnsi" w:cstheme="minorHAnsi"/>
          <w:sz w:val="18"/>
          <w:szCs w:val="18"/>
        </w:rPr>
        <w:t xml:space="preserve">POM (2016). </w:t>
      </w:r>
      <w:r w:rsidRPr="00F42A98">
        <w:rPr>
          <w:rFonts w:asciiTheme="minorHAnsi" w:hAnsiTheme="minorHAnsi" w:cstheme="minorHAnsi"/>
          <w:i/>
          <w:sz w:val="18"/>
          <w:szCs w:val="18"/>
        </w:rPr>
        <w:t>Annual Partnership Performance Re</w:t>
      </w:r>
      <w:r w:rsidR="007F5363">
        <w:rPr>
          <w:rFonts w:asciiTheme="minorHAnsi" w:hAnsiTheme="minorHAnsi" w:cstheme="minorHAnsi"/>
          <w:i/>
          <w:sz w:val="18"/>
          <w:szCs w:val="18"/>
        </w:rPr>
        <w:t>port 2015</w:t>
      </w:r>
      <w:r w:rsidR="00CF081F" w:rsidRPr="00F42A98">
        <w:rPr>
          <w:rFonts w:asciiTheme="minorHAnsi" w:hAnsiTheme="minorHAnsi" w:cstheme="minorHAnsi"/>
          <w:i/>
          <w:sz w:val="18"/>
          <w:szCs w:val="18"/>
        </w:rPr>
        <w:t>.</w:t>
      </w:r>
    </w:p>
    <w:p w14:paraId="39DBC185" w14:textId="51B82BE1" w:rsidR="00CF081F" w:rsidRPr="00F42A98" w:rsidRDefault="000202F7" w:rsidP="006218D3">
      <w:pPr>
        <w:pStyle w:val="NoSpacing"/>
        <w:numPr>
          <w:ilvl w:val="0"/>
          <w:numId w:val="14"/>
        </w:numPr>
        <w:ind w:left="284" w:hanging="284"/>
        <w:rPr>
          <w:rFonts w:asciiTheme="minorHAnsi" w:hAnsiTheme="minorHAnsi" w:cstheme="minorHAnsi"/>
          <w:i/>
          <w:sz w:val="18"/>
          <w:szCs w:val="18"/>
        </w:rPr>
      </w:pPr>
      <w:r w:rsidRPr="00F42A98">
        <w:rPr>
          <w:rFonts w:asciiTheme="minorHAnsi" w:hAnsiTheme="minorHAnsi" w:cstheme="minorHAnsi"/>
          <w:sz w:val="18"/>
          <w:szCs w:val="18"/>
        </w:rPr>
        <w:t xml:space="preserve">POM (2016). </w:t>
      </w:r>
      <w:r w:rsidRPr="00F42A98">
        <w:rPr>
          <w:rFonts w:asciiTheme="minorHAnsi" w:hAnsiTheme="minorHAnsi" w:cstheme="minorHAnsi"/>
          <w:i/>
          <w:sz w:val="18"/>
          <w:szCs w:val="18"/>
        </w:rPr>
        <w:t>Annual</w:t>
      </w:r>
      <w:r w:rsidR="00634C77" w:rsidRPr="00F42A98">
        <w:rPr>
          <w:rFonts w:asciiTheme="minorHAnsi" w:hAnsiTheme="minorHAnsi" w:cstheme="minorHAnsi"/>
          <w:i/>
          <w:sz w:val="18"/>
          <w:szCs w:val="18"/>
        </w:rPr>
        <w:t xml:space="preserve"> Partnership Performance </w:t>
      </w:r>
      <w:r w:rsidR="007F5363" w:rsidRPr="007F5363">
        <w:rPr>
          <w:rFonts w:asciiTheme="minorHAnsi" w:hAnsiTheme="minorHAnsi" w:cstheme="minorHAnsi"/>
          <w:i/>
          <w:sz w:val="18"/>
          <w:szCs w:val="18"/>
        </w:rPr>
        <w:t>Report 2015</w:t>
      </w:r>
      <w:r w:rsidR="00CF081F" w:rsidRPr="00F42A98">
        <w:rPr>
          <w:rFonts w:asciiTheme="minorHAnsi" w:hAnsiTheme="minorHAnsi" w:cstheme="minorHAnsi"/>
          <w:i/>
          <w:sz w:val="18"/>
          <w:szCs w:val="18"/>
        </w:rPr>
        <w:t>.</w:t>
      </w:r>
    </w:p>
    <w:p w14:paraId="072E98D0" w14:textId="3698D5BE" w:rsidR="00CF081F" w:rsidRPr="00F42A98" w:rsidRDefault="000202F7" w:rsidP="006218D3">
      <w:pPr>
        <w:pStyle w:val="NoSpacing"/>
        <w:numPr>
          <w:ilvl w:val="0"/>
          <w:numId w:val="14"/>
        </w:numPr>
        <w:ind w:left="284" w:hanging="284"/>
        <w:rPr>
          <w:rFonts w:asciiTheme="minorHAnsi" w:hAnsiTheme="minorHAnsi" w:cstheme="minorHAnsi"/>
          <w:i/>
          <w:sz w:val="18"/>
          <w:szCs w:val="18"/>
        </w:rPr>
      </w:pPr>
      <w:r w:rsidRPr="00F42A98">
        <w:rPr>
          <w:rFonts w:asciiTheme="minorHAnsi" w:hAnsiTheme="minorHAnsi" w:cstheme="minorHAnsi"/>
          <w:sz w:val="18"/>
          <w:szCs w:val="18"/>
        </w:rPr>
        <w:t xml:space="preserve">Shaeffer, S. (2013). </w:t>
      </w:r>
      <w:r w:rsidRPr="00F42A98">
        <w:rPr>
          <w:rFonts w:asciiTheme="minorHAnsi" w:hAnsiTheme="minorHAnsi" w:cstheme="minorHAnsi"/>
          <w:bCs/>
          <w:i/>
          <w:sz w:val="18"/>
          <w:szCs w:val="18"/>
        </w:rPr>
        <w:t xml:space="preserve">BOS Training: Its Implementation, Impact, and Implications for the Development </w:t>
      </w:r>
      <w:r w:rsidR="00634C77" w:rsidRPr="00F42A98">
        <w:rPr>
          <w:rFonts w:asciiTheme="minorHAnsi" w:hAnsiTheme="minorHAnsi" w:cstheme="minorHAnsi"/>
          <w:bCs/>
          <w:i/>
          <w:sz w:val="18"/>
          <w:szCs w:val="18"/>
        </w:rPr>
        <w:t>of Indonesia’s Education System</w:t>
      </w:r>
      <w:r w:rsidR="00CF081F" w:rsidRPr="00F42A98">
        <w:rPr>
          <w:rFonts w:asciiTheme="minorHAnsi" w:hAnsiTheme="minorHAnsi" w:cstheme="minorHAnsi"/>
          <w:bCs/>
          <w:i/>
          <w:sz w:val="18"/>
          <w:szCs w:val="18"/>
        </w:rPr>
        <w:t>.</w:t>
      </w:r>
    </w:p>
    <w:p w14:paraId="35896D97" w14:textId="21783A65" w:rsidR="00CF081F" w:rsidRPr="00F42A98" w:rsidRDefault="000202F7" w:rsidP="006218D3">
      <w:pPr>
        <w:pStyle w:val="NoSpacing"/>
        <w:numPr>
          <w:ilvl w:val="0"/>
          <w:numId w:val="14"/>
        </w:numPr>
        <w:ind w:left="284" w:hanging="284"/>
        <w:rPr>
          <w:rFonts w:asciiTheme="minorHAnsi" w:hAnsiTheme="minorHAnsi" w:cstheme="minorHAnsi"/>
          <w:i/>
          <w:sz w:val="18"/>
          <w:szCs w:val="18"/>
        </w:rPr>
      </w:pPr>
      <w:r w:rsidRPr="00F42A98">
        <w:rPr>
          <w:rFonts w:asciiTheme="minorHAnsi" w:hAnsiTheme="minorHAnsi" w:cstheme="minorHAnsi"/>
          <w:sz w:val="18"/>
          <w:szCs w:val="18"/>
        </w:rPr>
        <w:t xml:space="preserve">POM (2016). </w:t>
      </w:r>
      <w:r w:rsidRPr="00F42A98">
        <w:rPr>
          <w:rFonts w:asciiTheme="minorHAnsi" w:hAnsiTheme="minorHAnsi" w:cstheme="minorHAnsi"/>
          <w:i/>
          <w:sz w:val="18"/>
          <w:szCs w:val="18"/>
        </w:rPr>
        <w:t>Annual</w:t>
      </w:r>
      <w:r w:rsidR="00634C77" w:rsidRPr="00F42A98">
        <w:rPr>
          <w:rFonts w:asciiTheme="minorHAnsi" w:hAnsiTheme="minorHAnsi" w:cstheme="minorHAnsi"/>
          <w:i/>
          <w:sz w:val="18"/>
          <w:szCs w:val="18"/>
        </w:rPr>
        <w:t xml:space="preserve"> Partnership Performance </w:t>
      </w:r>
      <w:r w:rsidR="007F5363" w:rsidRPr="007F5363">
        <w:rPr>
          <w:rFonts w:asciiTheme="minorHAnsi" w:hAnsiTheme="minorHAnsi" w:cstheme="minorHAnsi"/>
          <w:i/>
          <w:sz w:val="18"/>
          <w:szCs w:val="18"/>
        </w:rPr>
        <w:t>Report 2015</w:t>
      </w:r>
      <w:r w:rsidR="00CF081F" w:rsidRPr="00F42A98">
        <w:rPr>
          <w:rFonts w:asciiTheme="minorHAnsi" w:hAnsiTheme="minorHAnsi" w:cstheme="minorHAnsi"/>
          <w:i/>
          <w:sz w:val="18"/>
          <w:szCs w:val="18"/>
        </w:rPr>
        <w:t>.</w:t>
      </w:r>
    </w:p>
    <w:p w14:paraId="118B2C50" w14:textId="38CA182D" w:rsidR="00CF081F" w:rsidRPr="00F42A98" w:rsidRDefault="000202F7" w:rsidP="006218D3">
      <w:pPr>
        <w:pStyle w:val="NoSpacing"/>
        <w:numPr>
          <w:ilvl w:val="0"/>
          <w:numId w:val="14"/>
        </w:numPr>
        <w:ind w:left="284" w:hanging="284"/>
        <w:rPr>
          <w:rFonts w:asciiTheme="minorHAnsi" w:hAnsiTheme="minorHAnsi" w:cstheme="minorHAnsi"/>
          <w:i/>
          <w:sz w:val="18"/>
          <w:szCs w:val="18"/>
        </w:rPr>
      </w:pPr>
      <w:r w:rsidRPr="00F42A98">
        <w:rPr>
          <w:rFonts w:asciiTheme="minorHAnsi" w:hAnsiTheme="minorHAnsi" w:cstheme="minorHAnsi"/>
          <w:sz w:val="18"/>
          <w:szCs w:val="18"/>
        </w:rPr>
        <w:t xml:space="preserve">SSQ (2016). </w:t>
      </w:r>
      <w:r w:rsidRPr="00F42A98">
        <w:rPr>
          <w:rFonts w:asciiTheme="minorHAnsi" w:hAnsiTheme="minorHAnsi" w:cstheme="minorHAnsi"/>
          <w:i/>
          <w:sz w:val="18"/>
          <w:szCs w:val="18"/>
        </w:rPr>
        <w:t xml:space="preserve">School Systems and </w:t>
      </w:r>
      <w:r w:rsidR="00634C77" w:rsidRPr="00F42A98">
        <w:rPr>
          <w:rFonts w:asciiTheme="minorHAnsi" w:hAnsiTheme="minorHAnsi" w:cstheme="minorHAnsi"/>
          <w:i/>
          <w:sz w:val="18"/>
          <w:szCs w:val="18"/>
        </w:rPr>
        <w:t>Quality: Annual Progress Report</w:t>
      </w:r>
      <w:r w:rsidR="00CF081F" w:rsidRPr="00F42A98">
        <w:rPr>
          <w:rFonts w:asciiTheme="minorHAnsi" w:hAnsiTheme="minorHAnsi" w:cstheme="minorHAnsi"/>
          <w:sz w:val="18"/>
          <w:szCs w:val="18"/>
        </w:rPr>
        <w:t>.</w:t>
      </w:r>
    </w:p>
    <w:p w14:paraId="28C231EA" w14:textId="091C1629" w:rsidR="00CF081F" w:rsidRPr="00F42A98" w:rsidRDefault="000202F7" w:rsidP="006218D3">
      <w:pPr>
        <w:pStyle w:val="NoSpacing"/>
        <w:numPr>
          <w:ilvl w:val="0"/>
          <w:numId w:val="14"/>
        </w:numPr>
        <w:ind w:left="284" w:hanging="284"/>
        <w:rPr>
          <w:rFonts w:asciiTheme="minorHAnsi" w:hAnsiTheme="minorHAnsi" w:cstheme="minorHAnsi"/>
          <w:i/>
          <w:sz w:val="18"/>
          <w:szCs w:val="18"/>
        </w:rPr>
      </w:pPr>
      <w:r w:rsidRPr="00F42A98">
        <w:rPr>
          <w:rFonts w:asciiTheme="minorHAnsi" w:hAnsiTheme="minorHAnsi" w:cstheme="minorHAnsi"/>
          <w:sz w:val="18"/>
          <w:szCs w:val="18"/>
        </w:rPr>
        <w:t xml:space="preserve">SSQ (2016). </w:t>
      </w:r>
      <w:r w:rsidRPr="00F42A98">
        <w:rPr>
          <w:rFonts w:asciiTheme="minorHAnsi" w:hAnsiTheme="minorHAnsi" w:cstheme="minorHAnsi"/>
          <w:i/>
          <w:sz w:val="18"/>
          <w:szCs w:val="18"/>
        </w:rPr>
        <w:t xml:space="preserve">School Systems and </w:t>
      </w:r>
      <w:r w:rsidR="00634C77" w:rsidRPr="00F42A98">
        <w:rPr>
          <w:rFonts w:asciiTheme="minorHAnsi" w:hAnsiTheme="minorHAnsi" w:cstheme="minorHAnsi"/>
          <w:i/>
          <w:sz w:val="18"/>
          <w:szCs w:val="18"/>
        </w:rPr>
        <w:t>Quality: Annual Progress Report</w:t>
      </w:r>
      <w:r w:rsidR="00CF081F" w:rsidRPr="00F42A98">
        <w:rPr>
          <w:rFonts w:asciiTheme="minorHAnsi" w:hAnsiTheme="minorHAnsi" w:cstheme="minorHAnsi"/>
          <w:i/>
          <w:sz w:val="18"/>
          <w:szCs w:val="18"/>
        </w:rPr>
        <w:t>.</w:t>
      </w:r>
    </w:p>
    <w:p w14:paraId="4A8CA0A9" w14:textId="1C64FE80" w:rsidR="00CF081F" w:rsidRPr="00F42A98" w:rsidRDefault="000202F7" w:rsidP="006218D3">
      <w:pPr>
        <w:pStyle w:val="NoSpacing"/>
        <w:numPr>
          <w:ilvl w:val="0"/>
          <w:numId w:val="14"/>
        </w:numPr>
        <w:ind w:left="284" w:hanging="284"/>
        <w:rPr>
          <w:rFonts w:asciiTheme="minorHAnsi" w:hAnsiTheme="minorHAnsi" w:cstheme="minorHAnsi"/>
          <w:i/>
          <w:sz w:val="18"/>
          <w:szCs w:val="18"/>
        </w:rPr>
      </w:pPr>
      <w:r w:rsidRPr="00F42A98">
        <w:rPr>
          <w:rFonts w:asciiTheme="minorHAnsi" w:hAnsiTheme="minorHAnsi" w:cstheme="minorHAnsi"/>
          <w:sz w:val="18"/>
          <w:szCs w:val="18"/>
        </w:rPr>
        <w:t xml:space="preserve">POM (2016). </w:t>
      </w:r>
      <w:r w:rsidRPr="00F42A98">
        <w:rPr>
          <w:rFonts w:asciiTheme="minorHAnsi" w:hAnsiTheme="minorHAnsi" w:cstheme="minorHAnsi"/>
          <w:i/>
          <w:sz w:val="18"/>
          <w:szCs w:val="18"/>
        </w:rPr>
        <w:t>Annual</w:t>
      </w:r>
      <w:r w:rsidR="00634C77" w:rsidRPr="00F42A98">
        <w:rPr>
          <w:rFonts w:asciiTheme="minorHAnsi" w:hAnsiTheme="minorHAnsi" w:cstheme="minorHAnsi"/>
          <w:i/>
          <w:sz w:val="18"/>
          <w:szCs w:val="18"/>
        </w:rPr>
        <w:t xml:space="preserve"> Partnership Performance </w:t>
      </w:r>
      <w:r w:rsidR="007F5363" w:rsidRPr="007F5363">
        <w:rPr>
          <w:rFonts w:asciiTheme="minorHAnsi" w:hAnsiTheme="minorHAnsi" w:cstheme="minorHAnsi"/>
          <w:i/>
          <w:sz w:val="18"/>
          <w:szCs w:val="18"/>
        </w:rPr>
        <w:t>Report 2015</w:t>
      </w:r>
      <w:r w:rsidR="00CF081F" w:rsidRPr="00F42A98">
        <w:rPr>
          <w:rFonts w:asciiTheme="minorHAnsi" w:hAnsiTheme="minorHAnsi" w:cstheme="minorHAnsi"/>
          <w:i/>
          <w:sz w:val="18"/>
          <w:szCs w:val="18"/>
        </w:rPr>
        <w:t>.</w:t>
      </w:r>
    </w:p>
    <w:p w14:paraId="0C66A771" w14:textId="2121AA99" w:rsidR="00CF081F" w:rsidRPr="00943C32" w:rsidRDefault="00943C32" w:rsidP="006218D3">
      <w:pPr>
        <w:pStyle w:val="NoSpacing"/>
        <w:numPr>
          <w:ilvl w:val="0"/>
          <w:numId w:val="14"/>
        </w:numPr>
        <w:ind w:left="284" w:hanging="284"/>
        <w:rPr>
          <w:rFonts w:asciiTheme="minorHAnsi" w:hAnsiTheme="minorHAnsi" w:cstheme="minorHAnsi"/>
          <w:i/>
          <w:sz w:val="18"/>
          <w:szCs w:val="18"/>
        </w:rPr>
      </w:pPr>
      <w:r w:rsidRPr="00943C32">
        <w:rPr>
          <w:rFonts w:asciiTheme="minorHAnsi" w:hAnsiTheme="minorHAnsi" w:cstheme="minorHAnsi"/>
          <w:sz w:val="18"/>
          <w:szCs w:val="18"/>
        </w:rPr>
        <w:t xml:space="preserve">POM (2016). </w:t>
      </w:r>
      <w:r w:rsidRPr="00943C32">
        <w:rPr>
          <w:rFonts w:asciiTheme="minorHAnsi" w:hAnsiTheme="minorHAnsi" w:cstheme="minorHAnsi"/>
          <w:i/>
          <w:sz w:val="18"/>
          <w:szCs w:val="18"/>
        </w:rPr>
        <w:t>Madrasah External Funding Study.</w:t>
      </w:r>
      <w:r w:rsidRPr="00943C32">
        <w:rPr>
          <w:rFonts w:asciiTheme="minorHAnsi" w:hAnsiTheme="minorHAnsi" w:cstheme="minorHAnsi"/>
          <w:sz w:val="18"/>
          <w:szCs w:val="18"/>
        </w:rPr>
        <w:t xml:space="preserve"> Annex.</w:t>
      </w:r>
    </w:p>
    <w:p w14:paraId="77C17DC4" w14:textId="698424C0" w:rsidR="00CF081F" w:rsidRPr="00F42A98" w:rsidRDefault="000202F7" w:rsidP="006218D3">
      <w:pPr>
        <w:pStyle w:val="NoSpacing"/>
        <w:numPr>
          <w:ilvl w:val="0"/>
          <w:numId w:val="14"/>
        </w:numPr>
        <w:ind w:left="284" w:hanging="284"/>
        <w:rPr>
          <w:rFonts w:asciiTheme="minorHAnsi" w:hAnsiTheme="minorHAnsi" w:cstheme="minorHAnsi"/>
          <w:i/>
          <w:sz w:val="18"/>
          <w:szCs w:val="18"/>
        </w:rPr>
      </w:pPr>
      <w:r w:rsidRPr="00F42A98">
        <w:rPr>
          <w:rFonts w:asciiTheme="minorHAnsi" w:hAnsiTheme="minorHAnsi" w:cstheme="minorHAnsi"/>
          <w:sz w:val="18"/>
          <w:szCs w:val="18"/>
        </w:rPr>
        <w:t xml:space="preserve">POM (2016). </w:t>
      </w:r>
      <w:r w:rsidRPr="00F42A98">
        <w:rPr>
          <w:rFonts w:asciiTheme="minorHAnsi" w:hAnsiTheme="minorHAnsi" w:cstheme="minorHAnsi"/>
          <w:i/>
          <w:sz w:val="18"/>
          <w:szCs w:val="18"/>
        </w:rPr>
        <w:t>Annual</w:t>
      </w:r>
      <w:r w:rsidR="00634C77" w:rsidRPr="00F42A98">
        <w:rPr>
          <w:rFonts w:asciiTheme="minorHAnsi" w:hAnsiTheme="minorHAnsi" w:cstheme="minorHAnsi"/>
          <w:i/>
          <w:sz w:val="18"/>
          <w:szCs w:val="18"/>
        </w:rPr>
        <w:t xml:space="preserve"> Partnership Performance </w:t>
      </w:r>
      <w:r w:rsidR="007F5363" w:rsidRPr="007F5363">
        <w:rPr>
          <w:rFonts w:asciiTheme="minorHAnsi" w:hAnsiTheme="minorHAnsi" w:cstheme="minorHAnsi"/>
          <w:i/>
          <w:sz w:val="18"/>
          <w:szCs w:val="18"/>
        </w:rPr>
        <w:t>Report 2015</w:t>
      </w:r>
      <w:r w:rsidR="00CF081F" w:rsidRPr="00F42A98">
        <w:rPr>
          <w:rFonts w:asciiTheme="minorHAnsi" w:hAnsiTheme="minorHAnsi" w:cstheme="minorHAnsi"/>
          <w:i/>
          <w:sz w:val="18"/>
          <w:szCs w:val="18"/>
        </w:rPr>
        <w:t>.</w:t>
      </w:r>
    </w:p>
    <w:p w14:paraId="6826AC1E" w14:textId="16F545FA" w:rsidR="003F59B5" w:rsidRPr="00943C32" w:rsidRDefault="00943C32" w:rsidP="00943C32">
      <w:pPr>
        <w:pStyle w:val="NoSpacing"/>
        <w:numPr>
          <w:ilvl w:val="0"/>
          <w:numId w:val="14"/>
        </w:numPr>
        <w:ind w:left="284" w:hanging="284"/>
        <w:rPr>
          <w:rFonts w:asciiTheme="minorHAnsi" w:hAnsiTheme="minorHAnsi" w:cstheme="minorHAnsi"/>
          <w:i/>
          <w:sz w:val="18"/>
          <w:szCs w:val="18"/>
        </w:rPr>
      </w:pPr>
      <w:r w:rsidRPr="00943C32">
        <w:rPr>
          <w:i/>
          <w:sz w:val="18"/>
          <w:szCs w:val="18"/>
        </w:rPr>
        <w:t>Kopi Darat</w:t>
      </w:r>
      <w:r>
        <w:rPr>
          <w:sz w:val="18"/>
          <w:szCs w:val="18"/>
        </w:rPr>
        <w:t xml:space="preserve"> resulted in o</w:t>
      </w:r>
      <w:r w:rsidR="003F59B5" w:rsidRPr="00F42A98">
        <w:rPr>
          <w:sz w:val="18"/>
          <w:szCs w:val="18"/>
        </w:rPr>
        <w:t>v</w:t>
      </w:r>
      <w:r w:rsidR="00634C77" w:rsidRPr="00F42A98">
        <w:rPr>
          <w:sz w:val="18"/>
          <w:szCs w:val="18"/>
        </w:rPr>
        <w:t>er 600 national media articles</w:t>
      </w:r>
      <w:r>
        <w:rPr>
          <w:sz w:val="18"/>
          <w:szCs w:val="18"/>
        </w:rPr>
        <w:t xml:space="preserve"> while </w:t>
      </w:r>
      <w:r w:rsidRPr="00943C32">
        <w:rPr>
          <w:i/>
          <w:sz w:val="18"/>
          <w:szCs w:val="18"/>
        </w:rPr>
        <w:t>Bidik Jitu</w:t>
      </w:r>
      <w:r>
        <w:rPr>
          <w:sz w:val="18"/>
          <w:szCs w:val="18"/>
        </w:rPr>
        <w:t xml:space="preserve"> reaches a</w:t>
      </w:r>
      <w:r w:rsidR="003F59B5" w:rsidRPr="00943C32">
        <w:rPr>
          <w:sz w:val="18"/>
          <w:szCs w:val="18"/>
        </w:rPr>
        <w:t xml:space="preserve">round 10 million listeners, around 6,000 live viewers, and around 50,000 likes on Facebook. </w:t>
      </w:r>
    </w:p>
    <w:p w14:paraId="6826AC20" w14:textId="77777777" w:rsidR="000A13DF" w:rsidRDefault="000A13DF" w:rsidP="000A13DF">
      <w:pPr>
        <w:rPr>
          <w:rFonts w:eastAsia="Times New Roman" w:cs="Arial"/>
          <w:lang w:val="en-AU" w:eastAsia="en-AU"/>
        </w:rPr>
        <w:sectPr w:rsidR="000A13DF" w:rsidSect="009B0783">
          <w:pgSz w:w="16838" w:h="11906" w:orient="landscape"/>
          <w:pgMar w:top="1440" w:right="1440" w:bottom="1440" w:left="1440" w:header="708" w:footer="708" w:gutter="0"/>
          <w:cols w:space="708"/>
          <w:docGrid w:linePitch="360"/>
        </w:sectPr>
      </w:pPr>
    </w:p>
    <w:p w14:paraId="6826AC21" w14:textId="77777777" w:rsidR="000A13DF" w:rsidRPr="004B2398" w:rsidRDefault="000A13DF" w:rsidP="00F300B3">
      <w:pPr>
        <w:pStyle w:val="Heading1"/>
      </w:pPr>
      <w:bookmarkStart w:id="26" w:name="_Toc473786292"/>
      <w:r w:rsidRPr="004B2398">
        <w:t>Performance</w:t>
      </w:r>
      <w:bookmarkEnd w:id="26"/>
      <w:r w:rsidR="00D00C09">
        <w:t xml:space="preserve"> </w:t>
      </w:r>
    </w:p>
    <w:p w14:paraId="6826AC22" w14:textId="77777777" w:rsidR="000A13DF" w:rsidRPr="005540B8" w:rsidRDefault="00051CFA" w:rsidP="00082D8B">
      <w:pPr>
        <w:pStyle w:val="Heading2"/>
      </w:pPr>
      <w:bookmarkStart w:id="27" w:name="_Toc473786293"/>
      <w:r w:rsidRPr="005540B8">
        <w:t>Introduction</w:t>
      </w:r>
      <w:bookmarkEnd w:id="27"/>
      <w:r w:rsidRPr="005540B8">
        <w:t xml:space="preserve"> </w:t>
      </w:r>
    </w:p>
    <w:p w14:paraId="6826AC23" w14:textId="77777777" w:rsidR="00051CFA" w:rsidRDefault="00051CFA" w:rsidP="00B502E4">
      <w:pPr>
        <w:jc w:val="both"/>
        <w:rPr>
          <w:lang w:val="en-AU"/>
        </w:rPr>
      </w:pPr>
      <w:r>
        <w:rPr>
          <w:lang w:val="en-AU"/>
        </w:rPr>
        <w:t xml:space="preserve">This </w:t>
      </w:r>
      <w:r w:rsidR="00B502E4">
        <w:rPr>
          <w:lang w:val="en-AU"/>
        </w:rPr>
        <w:t>chapter first provides an overview of the performance assessment frameworks designed and used on the EP</w:t>
      </w:r>
      <w:r w:rsidR="00067A93">
        <w:rPr>
          <w:lang w:val="en-AU"/>
        </w:rPr>
        <w:t xml:space="preserve">. It then </w:t>
      </w:r>
      <w:r>
        <w:rPr>
          <w:lang w:val="en-AU"/>
        </w:rPr>
        <w:t xml:space="preserve">examines the performance of </w:t>
      </w:r>
      <w:r w:rsidR="00B502E4">
        <w:rPr>
          <w:lang w:val="en-AU"/>
        </w:rPr>
        <w:t xml:space="preserve">the four </w:t>
      </w:r>
      <w:r>
        <w:rPr>
          <w:lang w:val="en-AU"/>
        </w:rPr>
        <w:t>individual components</w:t>
      </w:r>
      <w:r w:rsidR="00067A93">
        <w:rPr>
          <w:lang w:val="en-AU"/>
        </w:rPr>
        <w:t>, before considering</w:t>
      </w:r>
      <w:r w:rsidR="00B502E4">
        <w:rPr>
          <w:lang w:val="en-AU"/>
        </w:rPr>
        <w:t xml:space="preserve"> who benefitted from the EP and </w:t>
      </w:r>
      <w:r>
        <w:rPr>
          <w:lang w:val="en-AU"/>
        </w:rPr>
        <w:t xml:space="preserve">the extent to which the partnership influenced GoI expenditure. </w:t>
      </w:r>
    </w:p>
    <w:p w14:paraId="6826AC24" w14:textId="77777777" w:rsidR="00051CFA" w:rsidRPr="005540B8" w:rsidRDefault="00051CFA" w:rsidP="00082D8B">
      <w:pPr>
        <w:pStyle w:val="Heading2"/>
      </w:pPr>
      <w:bookmarkStart w:id="28" w:name="_Toc473786294"/>
      <w:r w:rsidRPr="005540B8">
        <w:t>Overview of EP performance assessment frameworks</w:t>
      </w:r>
      <w:bookmarkEnd w:id="28"/>
    </w:p>
    <w:p w14:paraId="6826AC25" w14:textId="77777777" w:rsidR="000A13DF" w:rsidRDefault="000A13DF" w:rsidP="000A13DF">
      <w:pPr>
        <w:jc w:val="both"/>
      </w:pPr>
      <w:r>
        <w:t xml:space="preserve">The design of the EP indicated that Australia’s assistance would be assessed (i) at the ESSP program level and (ii) at EP component level. </w:t>
      </w:r>
    </w:p>
    <w:p w14:paraId="6826AC26" w14:textId="77777777" w:rsidR="000A13DF" w:rsidRDefault="000A13DF" w:rsidP="000A13DF">
      <w:pPr>
        <w:pStyle w:val="Heading3"/>
        <w:ind w:left="709" w:hanging="709"/>
      </w:pPr>
      <w:bookmarkStart w:id="29" w:name="_Toc465171365"/>
      <w:bookmarkStart w:id="30" w:name="_Toc473786295"/>
      <w:r>
        <w:t>ESSP program-level assessment</w:t>
      </w:r>
      <w:bookmarkEnd w:id="29"/>
      <w:bookmarkEnd w:id="30"/>
    </w:p>
    <w:p w14:paraId="6826AC27" w14:textId="77777777" w:rsidR="000A13DF" w:rsidRDefault="000A13DF" w:rsidP="000A13DF">
      <w:pPr>
        <w:jc w:val="both"/>
      </w:pPr>
      <w:r>
        <w:t>GoA, the EU and GoI adopted a sub-set of the 120-target Renstra framework as the basis for tracking progress of the ESSP. This subset of indicators was called the ESSP Joint Results Framework (JRF). The JRF allowed tracking of progress and acted as the basis for the release of EU budget support. Performance against the JRF was reported annually in the ESSP Results Framework Report</w:t>
      </w:r>
      <w:r>
        <w:rPr>
          <w:rStyle w:val="FootnoteReference"/>
        </w:rPr>
        <w:footnoteReference w:id="8"/>
      </w:r>
      <w:r>
        <w:t xml:space="preserve"> which provided key performance benchmarks for assessment by the Governance Oversight Group (GOG)</w:t>
      </w:r>
      <w:r>
        <w:rPr>
          <w:rStyle w:val="EndnoteReference"/>
        </w:rPr>
        <w:endnoteReference w:id="13"/>
      </w:r>
      <w:r>
        <w:t xml:space="preserve">. </w:t>
      </w:r>
    </w:p>
    <w:p w14:paraId="6826AC28" w14:textId="77777777" w:rsidR="000A13DF" w:rsidRPr="00A00EA9" w:rsidRDefault="000A13DF" w:rsidP="000A13DF">
      <w:pPr>
        <w:jc w:val="both"/>
      </w:pPr>
      <w:r>
        <w:t>While GoA made an important contribution towards the realisation of targets contained within the JRF, investments made under the EP did not exclusively determine JRF outcomes. As such, outcomes listed in ESSP Joint Result Framework Reports do not provide an accurate reflection of the performance of specific investments made by GoA. For the purposes of this ICR, it is necessary to review EP performance against the framework specifically devised for this purpose.</w:t>
      </w:r>
    </w:p>
    <w:p w14:paraId="6826AC29" w14:textId="77777777" w:rsidR="000A13DF" w:rsidRDefault="000A13DF" w:rsidP="000A13DF">
      <w:pPr>
        <w:pStyle w:val="Heading3"/>
        <w:ind w:left="709" w:hanging="709"/>
      </w:pPr>
      <w:bookmarkStart w:id="31" w:name="_Toc465171366"/>
      <w:bookmarkStart w:id="32" w:name="_Toc473786296"/>
      <w:r w:rsidRPr="00212534">
        <w:t>EP</w:t>
      </w:r>
      <w:r>
        <w:t xml:space="preserve">-component </w:t>
      </w:r>
      <w:r w:rsidRPr="00212534">
        <w:t xml:space="preserve">level </w:t>
      </w:r>
      <w:r>
        <w:t>assessment</w:t>
      </w:r>
      <w:bookmarkEnd w:id="31"/>
      <w:bookmarkEnd w:id="32"/>
    </w:p>
    <w:p w14:paraId="6826AC2A" w14:textId="281CCF06" w:rsidR="000A13DF" w:rsidRDefault="000A13DF" w:rsidP="000A13DF">
      <w:pPr>
        <w:jc w:val="both"/>
      </w:pPr>
      <w:r>
        <w:t xml:space="preserve">An independent Performance Oversight and Monitoring (POM) </w:t>
      </w:r>
      <w:r w:rsidR="004F3FD7">
        <w:t xml:space="preserve">team </w:t>
      </w:r>
      <w:r>
        <w:t>was appointed to “provide rigorous monitoring of Australian fund flows, including by tracking program outputs and assessing the impact of each component to ensure that Australia’s AUD 500 million investment [in the EP] was protected and accountable”</w:t>
      </w:r>
      <w:r>
        <w:rPr>
          <w:rStyle w:val="EndnoteReference"/>
        </w:rPr>
        <w:endnoteReference w:id="14"/>
      </w:r>
      <w:r>
        <w:t xml:space="preserve">. </w:t>
      </w:r>
    </w:p>
    <w:p w14:paraId="6826AC2B" w14:textId="09F1DF46" w:rsidR="000A13DF" w:rsidRPr="00A00EA9" w:rsidRDefault="000A13DF" w:rsidP="000A13DF">
      <w:pPr>
        <w:jc w:val="both"/>
      </w:pPr>
      <w:r>
        <w:t xml:space="preserve">The </w:t>
      </w:r>
      <w:r w:rsidRPr="00A00EA9">
        <w:t xml:space="preserve">POM was mandated </w:t>
      </w:r>
      <w:r>
        <w:t>to</w:t>
      </w:r>
      <w:r w:rsidRPr="00A00EA9">
        <w:t xml:space="preserve"> </w:t>
      </w:r>
      <w:r>
        <w:t xml:space="preserve">establish a </w:t>
      </w:r>
      <w:r w:rsidRPr="00A00EA9">
        <w:t xml:space="preserve">comprehensive </w:t>
      </w:r>
      <w:r>
        <w:t xml:space="preserve">performance management system </w:t>
      </w:r>
      <w:r w:rsidRPr="00A00EA9">
        <w:t xml:space="preserve">that would </w:t>
      </w:r>
      <w:r w:rsidR="00276139">
        <w:t>i</w:t>
      </w:r>
      <w:r>
        <w:t>denti</w:t>
      </w:r>
      <w:r w:rsidRPr="00212534">
        <w:t>f</w:t>
      </w:r>
      <w:r w:rsidR="00276139">
        <w:t>y</w:t>
      </w:r>
      <w:r w:rsidRPr="00212534">
        <w:t xml:space="preserve"> </w:t>
      </w:r>
      <w:r>
        <w:t xml:space="preserve">the </w:t>
      </w:r>
      <w:r w:rsidRPr="00212534">
        <w:t>outputs and expected end of p</w:t>
      </w:r>
      <w:r>
        <w:t xml:space="preserve">artnership </w:t>
      </w:r>
      <w:r w:rsidRPr="00212534">
        <w:t xml:space="preserve">outcomes (EOPOs) to be delivered under each component. The EOPOs were defined as </w:t>
      </w:r>
      <w:r w:rsidRPr="00A00EA9">
        <w:t>‘the highest level of change over which the EP ha</w:t>
      </w:r>
      <w:r>
        <w:t>d significant influence’</w:t>
      </w:r>
      <w:r w:rsidRPr="00A00EA9">
        <w:rPr>
          <w:vertAlign w:val="superscript"/>
        </w:rPr>
        <w:endnoteReference w:id="15"/>
      </w:r>
      <w:r>
        <w:t xml:space="preserve"> and t</w:t>
      </w:r>
      <w:r w:rsidRPr="00A00EA9">
        <w:t>he</w:t>
      </w:r>
      <w:r>
        <w:t xml:space="preserve">ir attainment was causally linked to the attainment of a series of lower order End of Component </w:t>
      </w:r>
      <w:r w:rsidRPr="000B68D8">
        <w:t>Outcomes (EOCOs). Th</w:t>
      </w:r>
      <w:r w:rsidR="00276139">
        <w:t>is</w:t>
      </w:r>
      <w:r w:rsidRPr="000B68D8">
        <w:t xml:space="preserve"> model was known as the EP Logic Architecture (see </w:t>
      </w:r>
      <w:r w:rsidRPr="001B01E2">
        <w:t xml:space="preserve">Annex </w:t>
      </w:r>
      <w:r w:rsidR="000B68D8" w:rsidRPr="001B01E2">
        <w:t>I</w:t>
      </w:r>
      <w:r w:rsidRPr="000B68D8">
        <w:t>)</w:t>
      </w:r>
      <w:r w:rsidR="00276139">
        <w:t xml:space="preserve"> and it </w:t>
      </w:r>
      <w:r w:rsidRPr="000B68D8">
        <w:t>provided the framework against which performance was assessed</w:t>
      </w:r>
      <w:r>
        <w:t xml:space="preserve"> over the life of the EP. </w:t>
      </w:r>
    </w:p>
    <w:p w14:paraId="6826AC2C" w14:textId="77777777" w:rsidR="000A13DF" w:rsidRPr="00A00EA9" w:rsidRDefault="000A13DF" w:rsidP="000A13DF">
      <w:pPr>
        <w:jc w:val="both"/>
      </w:pPr>
      <w:r>
        <w:t>EP performance at all levels of the logic architecture was assessed quantitatively and qualitatively and analysis was based upon the internationally recognised OECD DAC criteria for evaluating development assistance</w:t>
      </w:r>
      <w:r w:rsidR="00B502E4">
        <w:rPr>
          <w:rStyle w:val="EndnoteReference"/>
        </w:rPr>
        <w:endnoteReference w:id="16"/>
      </w:r>
      <w:r>
        <w:t xml:space="preserve">. </w:t>
      </w:r>
      <w:r w:rsidRPr="006810F4">
        <w:t xml:space="preserve">Performance </w:t>
      </w:r>
      <w:r>
        <w:t xml:space="preserve">reports </w:t>
      </w:r>
      <w:r w:rsidRPr="006810F4">
        <w:t>w</w:t>
      </w:r>
      <w:r>
        <w:t>ere</w:t>
      </w:r>
      <w:r w:rsidRPr="006810F4">
        <w:t xml:space="preserve"> </w:t>
      </w:r>
      <w:r>
        <w:t xml:space="preserve">aggregated </w:t>
      </w:r>
      <w:r w:rsidRPr="006810F4">
        <w:t>annually in</w:t>
      </w:r>
      <w:r>
        <w:t>to</w:t>
      </w:r>
      <w:r w:rsidRPr="006810F4">
        <w:t xml:space="preserve"> EP </w:t>
      </w:r>
      <w:r w:rsidRPr="008459D5">
        <w:rPr>
          <w:i/>
        </w:rPr>
        <w:t>Annual Partnership Performance Reports</w:t>
      </w:r>
      <w:r>
        <w:rPr>
          <w:rStyle w:val="FootnoteReference"/>
        </w:rPr>
        <w:footnoteReference w:id="9"/>
      </w:r>
      <w:r>
        <w:t xml:space="preserve"> and presented to </w:t>
      </w:r>
      <w:r w:rsidR="007F5869">
        <w:t>the Embassy</w:t>
      </w:r>
      <w:r>
        <w:t xml:space="preserve"> and, through </w:t>
      </w:r>
      <w:r w:rsidR="007F5869">
        <w:t>the Embassy</w:t>
      </w:r>
      <w:r>
        <w:t>, to GoI and Implementing Partners.</w:t>
      </w:r>
    </w:p>
    <w:p w14:paraId="75472DC6" w14:textId="1F0F3EFF" w:rsidR="007F5363" w:rsidRDefault="000A13DF" w:rsidP="00F60F1A">
      <w:pPr>
        <w:jc w:val="both"/>
      </w:pPr>
      <w:r w:rsidRPr="00A00EA9">
        <w:t xml:space="preserve">The following subsections provide a summary of component performance </w:t>
      </w:r>
      <w:r w:rsidRPr="000B68D8">
        <w:t>against the DAC criteria. Ratings for each of the components for the years 2013-2015</w:t>
      </w:r>
      <w:r w:rsidR="00103894">
        <w:t xml:space="preserve"> – as determined in the </w:t>
      </w:r>
      <w:r w:rsidR="00103894" w:rsidRPr="00F42A98">
        <w:rPr>
          <w:i/>
        </w:rPr>
        <w:t>Annual Partnership Performance Report</w:t>
      </w:r>
      <w:r w:rsidR="00103894">
        <w:t xml:space="preserve"> of the time –</w:t>
      </w:r>
      <w:r w:rsidRPr="000B68D8">
        <w:t xml:space="preserve"> are attached as </w:t>
      </w:r>
      <w:r w:rsidRPr="001B01E2">
        <w:t xml:space="preserve">Annex </w:t>
      </w:r>
      <w:r w:rsidR="000B68D8" w:rsidRPr="001B01E2">
        <w:t>I</w:t>
      </w:r>
      <w:r w:rsidR="008B026D">
        <w:t>I</w:t>
      </w:r>
      <w:r w:rsidRPr="000B68D8">
        <w:t>.</w:t>
      </w:r>
      <w:r w:rsidR="00D00C09">
        <w:t xml:space="preserve"> </w:t>
      </w:r>
    </w:p>
    <w:p w14:paraId="6826AC2E" w14:textId="77777777" w:rsidR="0098119D" w:rsidRDefault="000A13DF" w:rsidP="00082D8B">
      <w:pPr>
        <w:pStyle w:val="Heading2"/>
      </w:pPr>
      <w:bookmarkStart w:id="33" w:name="_Toc473786297"/>
      <w:r w:rsidRPr="005540B8">
        <w:t>Component 1: School Construction</w:t>
      </w:r>
      <w:bookmarkEnd w:id="33"/>
      <w:r w:rsidR="00D00C09" w:rsidRPr="005540B8">
        <w:t xml:space="preserve"> </w:t>
      </w:r>
    </w:p>
    <w:p w14:paraId="6826AC2F" w14:textId="6FCDB8DD" w:rsidR="00535286" w:rsidRDefault="009B1F75" w:rsidP="00F60F1A">
      <w:pPr>
        <w:pStyle w:val="Heading3"/>
        <w:ind w:left="709" w:hanging="709"/>
      </w:pPr>
      <w:bookmarkStart w:id="34" w:name="_Toc473786298"/>
      <w:r>
        <w:t>Summary of p</w:t>
      </w:r>
      <w:r w:rsidR="00BE14D6">
        <w:t xml:space="preserve">erformance against </w:t>
      </w:r>
      <w:r w:rsidR="00535286">
        <w:t>DAC criteria</w:t>
      </w:r>
      <w:bookmarkEnd w:id="34"/>
    </w:p>
    <w:p w14:paraId="025F9657" w14:textId="421E2981" w:rsidR="004F24D6" w:rsidRPr="00012BDF" w:rsidRDefault="004F24D6" w:rsidP="004F24D6">
      <w:pPr>
        <w:pStyle w:val="ListParagraph"/>
        <w:numPr>
          <w:ilvl w:val="0"/>
          <w:numId w:val="25"/>
        </w:numPr>
        <w:spacing w:before="120" w:after="120" w:line="288" w:lineRule="auto"/>
        <w:ind w:left="714" w:hanging="357"/>
        <w:rPr>
          <w:lang w:val="en-AU"/>
        </w:rPr>
      </w:pPr>
      <w:r w:rsidRPr="00012BDF">
        <w:rPr>
          <w:lang w:val="en-AU"/>
        </w:rPr>
        <w:t xml:space="preserve">C1 experienced declining relevance against evolving GoI policy priorities and changes to the Australian embassy’s engagement strategy for the sector.  </w:t>
      </w:r>
    </w:p>
    <w:p w14:paraId="28172761" w14:textId="0347AF07" w:rsidR="004F24D6" w:rsidRPr="00012BDF" w:rsidRDefault="004F24D6" w:rsidP="004F24D6">
      <w:pPr>
        <w:pStyle w:val="ListParagraph"/>
        <w:numPr>
          <w:ilvl w:val="0"/>
          <w:numId w:val="25"/>
        </w:numPr>
        <w:spacing w:before="120" w:after="120" w:line="288" w:lineRule="auto"/>
        <w:ind w:left="714" w:hanging="357"/>
        <w:rPr>
          <w:lang w:val="en-AU"/>
        </w:rPr>
      </w:pPr>
      <w:r w:rsidRPr="00012BDF">
        <w:rPr>
          <w:lang w:val="en-AU"/>
        </w:rPr>
        <w:t xml:space="preserve">C1 achieved impressive levels of efficiency with continual improvement to systems for the identification and construction of new schools. </w:t>
      </w:r>
    </w:p>
    <w:p w14:paraId="1B4E76B1" w14:textId="0B60A8FA" w:rsidR="004F24D6" w:rsidRPr="00012BDF" w:rsidRDefault="004F24D6" w:rsidP="004F24D6">
      <w:pPr>
        <w:pStyle w:val="ListParagraph"/>
        <w:numPr>
          <w:ilvl w:val="0"/>
          <w:numId w:val="25"/>
        </w:numPr>
        <w:spacing w:before="120" w:after="120" w:line="288" w:lineRule="auto"/>
        <w:ind w:left="714" w:hanging="357"/>
        <w:rPr>
          <w:lang w:val="en-AU"/>
        </w:rPr>
      </w:pPr>
      <w:r w:rsidRPr="00012BDF">
        <w:rPr>
          <w:lang w:val="en-AU"/>
        </w:rPr>
        <w:t xml:space="preserve">C1 attained its EOPO but concerns over the capacity of districts to adequately resource schools may compromise overall impact. </w:t>
      </w:r>
    </w:p>
    <w:p w14:paraId="725B70B8" w14:textId="0FBEB333" w:rsidR="004F24D6" w:rsidRPr="00012BDF" w:rsidRDefault="004F24D6" w:rsidP="004F24D6">
      <w:pPr>
        <w:pStyle w:val="ListParagraph"/>
        <w:numPr>
          <w:ilvl w:val="0"/>
          <w:numId w:val="25"/>
        </w:numPr>
        <w:spacing w:before="120" w:after="120" w:line="288" w:lineRule="auto"/>
        <w:ind w:left="714" w:hanging="357"/>
        <w:rPr>
          <w:lang w:val="en-AU"/>
        </w:rPr>
      </w:pPr>
      <w:r w:rsidRPr="00012BDF">
        <w:rPr>
          <w:lang w:val="en-AU"/>
        </w:rPr>
        <w:t xml:space="preserve">C1 transferred a valuable set of tools and systems for ongoing GoI programs of school construction and expansion and the high quality of school construction will contribute to the sustainability of infrastructure.                                </w:t>
      </w:r>
    </w:p>
    <w:p w14:paraId="6826AC31" w14:textId="77777777" w:rsidR="00B32E58" w:rsidRPr="00B32E58" w:rsidRDefault="000A13DF" w:rsidP="00B4772F">
      <w:pPr>
        <w:pStyle w:val="Heading3"/>
        <w:ind w:left="709" w:hanging="709"/>
      </w:pPr>
      <w:bookmarkStart w:id="35" w:name="_Toc473786299"/>
      <w:r w:rsidRPr="0000583A">
        <w:t>Introduction</w:t>
      </w:r>
      <w:bookmarkEnd w:id="35"/>
      <w:r>
        <w:t xml:space="preserve"> </w:t>
      </w:r>
    </w:p>
    <w:p w14:paraId="6826AC32" w14:textId="51A3E14C" w:rsidR="000A13DF" w:rsidRPr="00851EC7" w:rsidRDefault="000A13DF" w:rsidP="000A13DF">
      <w:pPr>
        <w:jc w:val="both"/>
      </w:pPr>
      <w:r>
        <w:t xml:space="preserve">Through the EP, </w:t>
      </w:r>
      <w:r w:rsidR="000603B8">
        <w:t xml:space="preserve">the </w:t>
      </w:r>
      <w:r>
        <w:t>GoA</w:t>
      </w:r>
      <w:r w:rsidR="000603B8">
        <w:t xml:space="preserve"> sought to</w:t>
      </w:r>
      <w:r>
        <w:t xml:space="preserve"> support MoEC to</w:t>
      </w:r>
      <w:r w:rsidRPr="00851EC7">
        <w:t xml:space="preserve"> build up to 1,</w:t>
      </w:r>
      <w:r w:rsidR="00613CB8" w:rsidRPr="00851EC7">
        <w:t>15</w:t>
      </w:r>
      <w:r w:rsidR="00F82B53">
        <w:t>5</w:t>
      </w:r>
      <w:r w:rsidR="00166D9F">
        <w:rPr>
          <w:rStyle w:val="FootnoteReference"/>
        </w:rPr>
        <w:footnoteReference w:id="10"/>
      </w:r>
      <w:r w:rsidR="00613CB8" w:rsidRPr="00851EC7">
        <w:t xml:space="preserve"> </w:t>
      </w:r>
      <w:r w:rsidRPr="00851EC7">
        <w:t>new junior secondary schools (USBs) and one-roof junior secondary schools (SATAPs)</w:t>
      </w:r>
      <w:r>
        <w:t>,</w:t>
      </w:r>
      <w:r w:rsidRPr="00851EC7">
        <w:t xml:space="preserve"> </w:t>
      </w:r>
      <w:r>
        <w:t xml:space="preserve">with a view to </w:t>
      </w:r>
      <w:r w:rsidRPr="00851EC7">
        <w:t>creating up to 160,000 new student places between 2011 and 2016</w:t>
      </w:r>
      <w:r w:rsidRPr="002510D1">
        <w:rPr>
          <w:rStyle w:val="EndnoteReference"/>
        </w:rPr>
        <w:endnoteReference w:id="17"/>
      </w:r>
      <w:r w:rsidRPr="005540B8">
        <w:rPr>
          <w:rFonts w:cs="Calibri"/>
        </w:rPr>
        <w:t xml:space="preserve">. </w:t>
      </w:r>
      <w:r w:rsidRPr="00851EC7">
        <w:t>The resulting increase in available student pla</w:t>
      </w:r>
      <w:r w:rsidR="0022088B">
        <w:t xml:space="preserve">ces in participating districts </w:t>
      </w:r>
      <w:r>
        <w:t>was</w:t>
      </w:r>
      <w:r w:rsidRPr="00851EC7">
        <w:t xml:space="preserve"> expected to lead to an increase in enrolment in Junior Secondary Education (J</w:t>
      </w:r>
      <w:r w:rsidR="0022088B">
        <w:t>SE) in participating districts</w:t>
      </w:r>
      <w:r w:rsidR="00C647E0">
        <w:t xml:space="preserve"> (see Annex I)</w:t>
      </w:r>
      <w:r w:rsidRPr="00851EC7">
        <w:t>.</w:t>
      </w:r>
      <w:r>
        <w:t xml:space="preserve"> </w:t>
      </w:r>
      <w:r w:rsidRPr="00851EC7">
        <w:t xml:space="preserve">The supply of new JSE places </w:t>
      </w:r>
      <w:r>
        <w:t>was</w:t>
      </w:r>
      <w:r w:rsidRPr="00851EC7">
        <w:t xml:space="preserve"> expected to provide (prospective) learners with improved physical access to JSE. The closer proximity of schools to households </w:t>
      </w:r>
      <w:r>
        <w:t>was</w:t>
      </w:r>
      <w:r w:rsidRPr="00851EC7">
        <w:t xml:space="preserve"> also expected to reduce financial barriers to enrolment (costs of student transportation and/or lodging) and therefore enable continued and improved participation</w:t>
      </w:r>
      <w:r w:rsidRPr="005540B8">
        <w:rPr>
          <w:rFonts w:cs="Calibri"/>
          <w:vertAlign w:val="superscript"/>
        </w:rPr>
        <w:endnoteReference w:id="18"/>
      </w:r>
      <w:r w:rsidRPr="00851EC7">
        <w:t xml:space="preserve">. Within participating districts, the investment </w:t>
      </w:r>
      <w:r>
        <w:t>was</w:t>
      </w:r>
      <w:r w:rsidRPr="00851EC7">
        <w:t xml:space="preserve"> expected to have an impact on JSE enrolment and retention rates, and rates of transition of students from primary to junior secondary school. </w:t>
      </w:r>
    </w:p>
    <w:p w14:paraId="6826AC33" w14:textId="77777777" w:rsidR="000A13DF" w:rsidRPr="005540B8" w:rsidRDefault="000A13DF" w:rsidP="000A13DF">
      <w:pPr>
        <w:jc w:val="both"/>
        <w:rPr>
          <w:rFonts w:cs="Calibri"/>
        </w:rPr>
      </w:pPr>
      <w:r w:rsidRPr="00851EC7">
        <w:t xml:space="preserve">The GoA </w:t>
      </w:r>
      <w:r>
        <w:t>sought</w:t>
      </w:r>
      <w:r w:rsidRPr="00851EC7">
        <w:t xml:space="preserve"> to focus its EP investment on districts with low junior secondary enrolment rates</w:t>
      </w:r>
      <w:r w:rsidRPr="005540B8">
        <w:rPr>
          <w:rStyle w:val="FootnoteReference"/>
          <w:rFonts w:cs="Calibri"/>
        </w:rPr>
        <w:footnoteReference w:id="11"/>
      </w:r>
      <w:r w:rsidR="00276139">
        <w:t>. In do</w:t>
      </w:r>
      <w:r w:rsidRPr="00851EC7">
        <w:t xml:space="preserve">ing so, it </w:t>
      </w:r>
      <w:r>
        <w:t>aimed</w:t>
      </w:r>
      <w:r w:rsidRPr="00851EC7">
        <w:t xml:space="preserve"> to make a contribution to the GoI target of increasing the percentage of districts with a JSE Gross Enrolment Rate (GER) of 90% or greater, to 85% by 2014 from 75% in 2011</w:t>
      </w:r>
      <w:r w:rsidRPr="005540B8">
        <w:rPr>
          <w:rFonts w:cs="Calibri"/>
          <w:vertAlign w:val="superscript"/>
        </w:rPr>
        <w:endnoteReference w:id="19"/>
      </w:r>
      <w:r w:rsidRPr="005540B8">
        <w:rPr>
          <w:rFonts w:cs="Calibri"/>
        </w:rPr>
        <w:t xml:space="preserve">. </w:t>
      </w:r>
      <w:r>
        <w:t>It also expected</w:t>
      </w:r>
      <w:r w:rsidRPr="00851EC7">
        <w:t xml:space="preserve"> to assist </w:t>
      </w:r>
      <w:r>
        <w:t xml:space="preserve">GoI </w:t>
      </w:r>
      <w:r w:rsidRPr="00851EC7">
        <w:t xml:space="preserve">to deliver on its 2010-14 </w:t>
      </w:r>
      <w:r w:rsidRPr="00A4470E">
        <w:t xml:space="preserve">Renstra </w:t>
      </w:r>
      <w:r w:rsidRPr="00851EC7">
        <w:t>targets by improving access to nine years of basic education for boys and girls, and children with physical disabilities, in un-served and under-served areas of the country</w:t>
      </w:r>
      <w:r w:rsidRPr="005540B8">
        <w:rPr>
          <w:rFonts w:cs="Calibri"/>
          <w:vertAlign w:val="superscript"/>
        </w:rPr>
        <w:endnoteReference w:id="20"/>
      </w:r>
      <w:r w:rsidRPr="005540B8">
        <w:rPr>
          <w:rFonts w:cs="Calibri"/>
        </w:rPr>
        <w:t xml:space="preserve">. </w:t>
      </w:r>
    </w:p>
    <w:p w14:paraId="6826AC34" w14:textId="4A24C0F0" w:rsidR="000A13DF" w:rsidRDefault="000A13DF" w:rsidP="000A13DF">
      <w:pPr>
        <w:jc w:val="both"/>
      </w:pPr>
      <w:r>
        <w:t>C1 wa</w:t>
      </w:r>
      <w:r w:rsidRPr="00851EC7">
        <w:t>s delivered through a combination of technical assistance and budget support to MoEC</w:t>
      </w:r>
      <w:r>
        <w:t>.</w:t>
      </w:r>
      <w:r w:rsidRPr="006058E4">
        <w:t xml:space="preserve"> </w:t>
      </w:r>
      <w:r>
        <w:t xml:space="preserve">It represented the largest investment of the four components at a cost of </w:t>
      </w:r>
      <w:r w:rsidRPr="006058E4">
        <w:t xml:space="preserve">AUD </w:t>
      </w:r>
      <w:r w:rsidR="00A61FF7">
        <w:t>179.3</w:t>
      </w:r>
      <w:r w:rsidR="00D359DD">
        <w:t xml:space="preserve"> </w:t>
      </w:r>
      <w:r w:rsidRPr="006058E4">
        <w:t>million</w:t>
      </w:r>
      <w:r>
        <w:t xml:space="preserve">, or </w:t>
      </w:r>
      <w:r w:rsidR="00A61FF7">
        <w:t>49</w:t>
      </w:r>
      <w:r>
        <w:t xml:space="preserve">% of the EP’s </w:t>
      </w:r>
      <w:r w:rsidR="000603B8">
        <w:t xml:space="preserve">revised </w:t>
      </w:r>
      <w:r>
        <w:t xml:space="preserve">value. Delivery commenced in August 2011 and will conclude in January 2017. </w:t>
      </w:r>
      <w:r w:rsidR="00386840" w:rsidRPr="00386840">
        <w:t>C1 undertook routine internal</w:t>
      </w:r>
      <w:r w:rsidR="00C647E0">
        <w:rPr>
          <w:rStyle w:val="FootnoteReference"/>
        </w:rPr>
        <w:footnoteReference w:id="12"/>
      </w:r>
      <w:r w:rsidR="00386840" w:rsidRPr="00386840">
        <w:t xml:space="preserve"> and annual external assessments</w:t>
      </w:r>
      <w:r w:rsidR="00467C75">
        <w:rPr>
          <w:rStyle w:val="FootnoteReference"/>
        </w:rPr>
        <w:footnoteReference w:id="13"/>
      </w:r>
      <w:r w:rsidR="00386840" w:rsidRPr="00386840">
        <w:t xml:space="preserve"> of construction quality. POM undertook</w:t>
      </w:r>
      <w:r w:rsidR="000603B8">
        <w:t xml:space="preserve"> </w:t>
      </w:r>
      <w:r w:rsidR="00386840" w:rsidRPr="00386840">
        <w:t>evaluation</w:t>
      </w:r>
      <w:r w:rsidR="000603B8">
        <w:t xml:space="preserve"> studies</w:t>
      </w:r>
      <w:r w:rsidR="00386840" w:rsidRPr="00386840">
        <w:t xml:space="preserve"> in 2013 (baseline) and 2015 (endline).</w:t>
      </w:r>
    </w:p>
    <w:p w14:paraId="6826AC35" w14:textId="77777777" w:rsidR="0000583A" w:rsidRPr="0000583A" w:rsidRDefault="000A13DF" w:rsidP="0000583A">
      <w:pPr>
        <w:pStyle w:val="Heading3"/>
        <w:ind w:left="709" w:hanging="709"/>
      </w:pPr>
      <w:bookmarkStart w:id="36" w:name="_Toc473786300"/>
      <w:r w:rsidRPr="0000583A">
        <w:t>Relevance</w:t>
      </w:r>
      <w:bookmarkEnd w:id="36"/>
    </w:p>
    <w:p w14:paraId="6826AC36" w14:textId="32C80B3D" w:rsidR="000A13DF" w:rsidRDefault="00276139" w:rsidP="000A13DF">
      <w:pPr>
        <w:jc w:val="both"/>
      </w:pPr>
      <w:r w:rsidRPr="00276139">
        <w:t>Somewhat inevitably, over time</w:t>
      </w:r>
      <w:r>
        <w:t>,</w:t>
      </w:r>
      <w:r w:rsidRPr="00276139">
        <w:t xml:space="preserve"> the relevance of C1 declined for both governments as investments in school construction and other GoI access-related initiatives successfully reduced the percentage of children not enrolled in JSE. </w:t>
      </w:r>
      <w:r w:rsidR="000A13DF">
        <w:t>For GoA specifically</w:t>
      </w:r>
      <w:r w:rsidR="000A13DF" w:rsidRPr="00CC0AF8">
        <w:t xml:space="preserve">, </w:t>
      </w:r>
      <w:r w:rsidR="000A13DF">
        <w:t xml:space="preserve">the relevance of large, </w:t>
      </w:r>
      <w:r w:rsidR="000603B8">
        <w:t>WiPs</w:t>
      </w:r>
      <w:r w:rsidR="000A13DF" w:rsidRPr="00CC0AF8">
        <w:t xml:space="preserve">-based aid modalities </w:t>
      </w:r>
      <w:r w:rsidR="000A13DF">
        <w:t xml:space="preserve">also declined in the face of </w:t>
      </w:r>
      <w:r w:rsidR="00B679D2">
        <w:t>its desire to</w:t>
      </w:r>
      <w:r w:rsidR="000A13DF">
        <w:t xml:space="preserve"> move</w:t>
      </w:r>
      <w:r w:rsidR="00B679D2">
        <w:t xml:space="preserve"> its sectoral support</w:t>
      </w:r>
      <w:r w:rsidR="000A13DF">
        <w:t xml:space="preserve"> </w:t>
      </w:r>
      <w:r w:rsidR="000A13DF" w:rsidRPr="00CC0AF8">
        <w:t xml:space="preserve">towards more agile and technical assistance-based </w:t>
      </w:r>
      <w:r w:rsidR="000A13DF">
        <w:t xml:space="preserve">forms of </w:t>
      </w:r>
      <w:r w:rsidR="00B679D2">
        <w:t>assistance</w:t>
      </w:r>
      <w:r w:rsidR="000A13DF">
        <w:t>.</w:t>
      </w:r>
      <w:r w:rsidR="000A13DF" w:rsidRPr="00CC0AF8">
        <w:t xml:space="preserve"> </w:t>
      </w:r>
      <w:r w:rsidR="000A13DF">
        <w:t xml:space="preserve">At the operational level, C1’s </w:t>
      </w:r>
      <w:r w:rsidR="00C32090" w:rsidRPr="00C32090">
        <w:rPr>
          <w:i/>
        </w:rPr>
        <w:t>internal</w:t>
      </w:r>
      <w:r w:rsidR="00C32090">
        <w:t xml:space="preserve"> </w:t>
      </w:r>
      <w:r w:rsidR="000A13DF">
        <w:t>relevance</w:t>
      </w:r>
      <w:r w:rsidR="00B679D2">
        <w:t xml:space="preserve"> (i.e. its design)</w:t>
      </w:r>
      <w:r w:rsidR="000A13DF">
        <w:t xml:space="preserve"> was constrained by </w:t>
      </w:r>
      <w:r w:rsidR="000A13DF" w:rsidRPr="00CC0AF8">
        <w:t>commitments t</w:t>
      </w:r>
      <w:r w:rsidR="000A13DF">
        <w:t>hat restricted GoA investments t</w:t>
      </w:r>
      <w:r w:rsidR="000A13DF" w:rsidRPr="00CC0AF8">
        <w:t xml:space="preserve">o </w:t>
      </w:r>
      <w:r w:rsidR="00613CB8">
        <w:t>increasing the supply of schools</w:t>
      </w:r>
      <w:r w:rsidR="000A13DF" w:rsidRPr="00CC0AF8">
        <w:t xml:space="preserve"> as the </w:t>
      </w:r>
      <w:r w:rsidR="000A13DF">
        <w:t xml:space="preserve">sole </w:t>
      </w:r>
      <w:r w:rsidR="000A13DF" w:rsidRPr="00CC0AF8">
        <w:t xml:space="preserve">means of </w:t>
      </w:r>
      <w:r w:rsidR="000A13DF">
        <w:t>addressing</w:t>
      </w:r>
      <w:r w:rsidR="000A13DF" w:rsidRPr="00CC0AF8">
        <w:t xml:space="preserve"> JSE</w:t>
      </w:r>
      <w:r w:rsidR="000A13DF">
        <w:t xml:space="preserve"> access issues. These commitments</w:t>
      </w:r>
      <w:r w:rsidR="000A13DF" w:rsidRPr="00CC0AF8">
        <w:t xml:space="preserve"> impeded C1’s ability to adjust and diversify its </w:t>
      </w:r>
      <w:r w:rsidR="000A13DF">
        <w:t>range of activities as evidence became available that a combination of supply</w:t>
      </w:r>
      <w:r w:rsidR="00A86E92">
        <w:t>-side</w:t>
      </w:r>
      <w:r w:rsidR="000A13DF">
        <w:t xml:space="preserve"> </w:t>
      </w:r>
      <w:r w:rsidR="000A13DF" w:rsidRPr="006A3C6B">
        <w:rPr>
          <w:i/>
        </w:rPr>
        <w:t>and</w:t>
      </w:r>
      <w:r w:rsidR="000A13DF">
        <w:t xml:space="preserve"> demand</w:t>
      </w:r>
      <w:r w:rsidR="00A86E92">
        <w:t>-side</w:t>
      </w:r>
      <w:r w:rsidR="000A13DF">
        <w:t xml:space="preserve"> initiatives was a potentially more effective means of increasing access to JSE.</w:t>
      </w:r>
    </w:p>
    <w:p w14:paraId="6826AC37" w14:textId="77777777" w:rsidR="0000583A" w:rsidRPr="0000583A" w:rsidRDefault="000A13DF" w:rsidP="0000583A">
      <w:pPr>
        <w:pStyle w:val="Heading3"/>
        <w:ind w:left="709" w:hanging="709"/>
      </w:pPr>
      <w:bookmarkStart w:id="37" w:name="_Toc473786301"/>
      <w:r w:rsidRPr="0000583A">
        <w:t>Efficiency</w:t>
      </w:r>
      <w:bookmarkEnd w:id="37"/>
    </w:p>
    <w:p w14:paraId="6826AC38" w14:textId="60F08EE7" w:rsidR="000A13DF" w:rsidRDefault="000A13DF" w:rsidP="000A13DF">
      <w:pPr>
        <w:jc w:val="both"/>
      </w:pPr>
      <w:r w:rsidRPr="004714CA">
        <w:t xml:space="preserve">C1 built on </w:t>
      </w:r>
      <w:r>
        <w:t xml:space="preserve">well-established GoI school construction </w:t>
      </w:r>
      <w:r w:rsidRPr="004714CA">
        <w:t>systems</w:t>
      </w:r>
      <w:r>
        <w:t xml:space="preserve"> that were</w:t>
      </w:r>
      <w:r w:rsidRPr="004714CA">
        <w:t xml:space="preserve"> </w:t>
      </w:r>
      <w:r>
        <w:t>carried-over</w:t>
      </w:r>
      <w:r w:rsidRPr="004714CA">
        <w:t xml:space="preserve"> from </w:t>
      </w:r>
      <w:r w:rsidR="007F5869">
        <w:t>AusAID</w:t>
      </w:r>
      <w:r>
        <w:t xml:space="preserve">’s </w:t>
      </w:r>
      <w:r w:rsidRPr="004714CA">
        <w:t>AIBEP program (2005-2011)</w:t>
      </w:r>
      <w:r>
        <w:t xml:space="preserve">. </w:t>
      </w:r>
      <w:r w:rsidR="00481369">
        <w:t xml:space="preserve">EP </w:t>
      </w:r>
      <w:r>
        <w:t>Annual Partnership Performance Reports showed</w:t>
      </w:r>
      <w:r w:rsidRPr="004714CA">
        <w:t xml:space="preserve"> year</w:t>
      </w:r>
      <w:r>
        <w:t>-</w:t>
      </w:r>
      <w:r w:rsidRPr="004714CA">
        <w:t>on</w:t>
      </w:r>
      <w:r>
        <w:t>-</w:t>
      </w:r>
      <w:r w:rsidRPr="004714CA">
        <w:t xml:space="preserve">year improvements in </w:t>
      </w:r>
      <w:r>
        <w:t xml:space="preserve">the selection of school sites, the </w:t>
      </w:r>
      <w:r w:rsidRPr="004714CA">
        <w:t xml:space="preserve">monitoring </w:t>
      </w:r>
      <w:r>
        <w:t xml:space="preserve">of </w:t>
      </w:r>
      <w:r w:rsidRPr="004714CA">
        <w:t>school construction</w:t>
      </w:r>
      <w:r>
        <w:t>,</w:t>
      </w:r>
      <w:r w:rsidRPr="004714CA">
        <w:t xml:space="preserve"> </w:t>
      </w:r>
      <w:r>
        <w:t>and to systems designed for the prevention, detection,</w:t>
      </w:r>
      <w:r w:rsidRPr="004714CA">
        <w:t xml:space="preserve"> and </w:t>
      </w:r>
      <w:r>
        <w:t>management of</w:t>
      </w:r>
      <w:r w:rsidRPr="004714CA">
        <w:t xml:space="preserve"> fraud and non-compliance</w:t>
      </w:r>
      <w:r>
        <w:t xml:space="preserve"> issues</w:t>
      </w:r>
      <w:r>
        <w:rPr>
          <w:rStyle w:val="EndnoteReference"/>
        </w:rPr>
        <w:endnoteReference w:id="21"/>
      </w:r>
      <w:r>
        <w:t>. These improvements resulted in better quality schools being built in more appropriate locations, and reduced fiduciary risk</w:t>
      </w:r>
      <w:r w:rsidRPr="00511288">
        <w:t xml:space="preserve">. </w:t>
      </w:r>
      <w:r>
        <w:t>As</w:t>
      </w:r>
      <w:r w:rsidRPr="00511288">
        <w:t xml:space="preserve"> of </w:t>
      </w:r>
      <w:r w:rsidR="00780A26">
        <w:t>November</w:t>
      </w:r>
      <w:r w:rsidR="00780A26" w:rsidRPr="00511288">
        <w:t xml:space="preserve"> </w:t>
      </w:r>
      <w:r w:rsidR="00780A26">
        <w:t>4</w:t>
      </w:r>
      <w:r w:rsidR="00AE2785">
        <w:t>,</w:t>
      </w:r>
      <w:r w:rsidR="00780A26">
        <w:t xml:space="preserve"> </w:t>
      </w:r>
      <w:r w:rsidRPr="00511288">
        <w:t>2016</w:t>
      </w:r>
      <w:r w:rsidR="00177BC7">
        <w:rPr>
          <w:rStyle w:val="EndnoteReference"/>
        </w:rPr>
        <w:endnoteReference w:id="22"/>
      </w:r>
      <w:r w:rsidRPr="00511288">
        <w:t xml:space="preserve">, only </w:t>
      </w:r>
      <w:r w:rsidR="00780A26">
        <w:t>16</w:t>
      </w:r>
      <w:r w:rsidRPr="00511288">
        <w:t xml:space="preserve"> </w:t>
      </w:r>
      <w:r>
        <w:t>of the 1,15</w:t>
      </w:r>
      <w:r w:rsidR="00B51194">
        <w:t>5</w:t>
      </w:r>
      <w:r>
        <w:t xml:space="preserve"> schools </w:t>
      </w:r>
      <w:r w:rsidR="00AE2785">
        <w:t>remained in</w:t>
      </w:r>
      <w:r>
        <w:t xml:space="preserve">complete. </w:t>
      </w:r>
      <w:r w:rsidR="00780A26">
        <w:t>Of these, 13 from the final construction cycle were report</w:t>
      </w:r>
      <w:r w:rsidR="00BD5D1F">
        <w:t xml:space="preserve">ed to be over 95% complete. Of the three incomplete schools from earlier cycles, two had been handed over to district authorities and maintenance work on the final one was nearing completion. </w:t>
      </w:r>
      <w:r>
        <w:t xml:space="preserve">Given the substantial challenges involved in the construction of schools in remote parts of Indonesia, this was a </w:t>
      </w:r>
      <w:r w:rsidR="000E236D">
        <w:t xml:space="preserve">considerable achievement and a very </w:t>
      </w:r>
      <w:r>
        <w:t xml:space="preserve">strong outcome. </w:t>
      </w:r>
    </w:p>
    <w:p w14:paraId="6826AC39" w14:textId="77777777" w:rsidR="0000583A" w:rsidRPr="0000583A" w:rsidRDefault="000A13DF" w:rsidP="0000583A">
      <w:pPr>
        <w:pStyle w:val="Heading3"/>
        <w:ind w:left="709" w:hanging="709"/>
      </w:pPr>
      <w:bookmarkStart w:id="38" w:name="_Toc473786302"/>
      <w:r w:rsidRPr="0000583A">
        <w:t>Effectiveness</w:t>
      </w:r>
      <w:bookmarkEnd w:id="38"/>
    </w:p>
    <w:p w14:paraId="6826AC3A" w14:textId="77777777" w:rsidR="000A13DF" w:rsidRDefault="000A13DF" w:rsidP="000A13DF">
      <w:pPr>
        <w:jc w:val="both"/>
      </w:pPr>
      <w:r w:rsidRPr="001E7A04">
        <w:t xml:space="preserve">The </w:t>
      </w:r>
      <w:r w:rsidRPr="00C54988">
        <w:rPr>
          <w:i/>
        </w:rPr>
        <w:t>EOPO 1 Endline Evaluation Study</w:t>
      </w:r>
      <w:r w:rsidR="00481369">
        <w:t xml:space="preserve"> (2015)</w:t>
      </w:r>
      <w:r w:rsidRPr="001E7A04">
        <w:t xml:space="preserve"> indicated that C1 attained the EOPO of increasing enrolment rates in junior secondary education at the district level. </w:t>
      </w:r>
      <w:r>
        <w:t xml:space="preserve">The 1.6% increase in enrolment in districts supported by C1 represented </w:t>
      </w:r>
      <w:r w:rsidRPr="00CF0516">
        <w:rPr>
          <w:i/>
        </w:rPr>
        <w:t>new</w:t>
      </w:r>
      <w:r>
        <w:t xml:space="preserve"> </w:t>
      </w:r>
      <w:r w:rsidRPr="00CF0516">
        <w:rPr>
          <w:i/>
        </w:rPr>
        <w:t>students</w:t>
      </w:r>
      <w:r>
        <w:t xml:space="preserve"> brought into JSE as opposed to students transferring from existing schools</w:t>
      </w:r>
      <w:r>
        <w:rPr>
          <w:rStyle w:val="FootnoteReference"/>
        </w:rPr>
        <w:footnoteReference w:id="14"/>
      </w:r>
      <w:r>
        <w:t xml:space="preserve">. It is probable that improvements to school site </w:t>
      </w:r>
      <w:r w:rsidRPr="00163521">
        <w:t xml:space="preserve">selection </w:t>
      </w:r>
      <w:r>
        <w:t>processes that took effect from</w:t>
      </w:r>
      <w:r w:rsidRPr="00163521">
        <w:t xml:space="preserve"> the second year of the program </w:t>
      </w:r>
      <w:r>
        <w:t>will increase the impact of</w:t>
      </w:r>
      <w:r w:rsidRPr="00163521">
        <w:t xml:space="preserve"> new schools on district enrolment rates.</w:t>
      </w:r>
      <w:r>
        <w:t xml:space="preserve"> While C1 </w:t>
      </w:r>
      <w:r w:rsidR="000E236D">
        <w:t xml:space="preserve">has </w:t>
      </w:r>
      <w:r>
        <w:t xml:space="preserve">created almost 150,000 new school places, </w:t>
      </w:r>
      <w:r w:rsidRPr="00851EC7">
        <w:t xml:space="preserve">enrolment figures </w:t>
      </w:r>
      <w:r>
        <w:t xml:space="preserve">(i.e. places occupied) will not be available until 2019 </w:t>
      </w:r>
      <w:r w:rsidR="00481369">
        <w:t xml:space="preserve">by which time </w:t>
      </w:r>
      <w:r w:rsidRPr="00851EC7">
        <w:t xml:space="preserve">all schools </w:t>
      </w:r>
      <w:r w:rsidR="00481369">
        <w:t>will h</w:t>
      </w:r>
      <w:r w:rsidRPr="00851EC7">
        <w:t>ave been operating for a full three years</w:t>
      </w:r>
      <w:r>
        <w:rPr>
          <w:rStyle w:val="FootnoteReference"/>
        </w:rPr>
        <w:footnoteReference w:id="15"/>
      </w:r>
      <w:r>
        <w:t>.</w:t>
      </w:r>
    </w:p>
    <w:p w14:paraId="6826AC43" w14:textId="77777777" w:rsidR="0000583A" w:rsidRPr="0000583A" w:rsidRDefault="000A13DF" w:rsidP="0000583A">
      <w:pPr>
        <w:pStyle w:val="Heading3"/>
        <w:ind w:left="709" w:hanging="709"/>
      </w:pPr>
      <w:bookmarkStart w:id="39" w:name="_Toc473786303"/>
      <w:r w:rsidRPr="0000583A">
        <w:t>Impact</w:t>
      </w:r>
      <w:bookmarkEnd w:id="39"/>
      <w:r w:rsidR="0000583A" w:rsidRPr="0000583A">
        <w:t xml:space="preserve"> </w:t>
      </w:r>
    </w:p>
    <w:p w14:paraId="6826AC44" w14:textId="2654352D" w:rsidR="000A13DF" w:rsidRDefault="000A13DF" w:rsidP="000A13DF">
      <w:pPr>
        <w:spacing w:before="120" w:after="120"/>
        <w:jc w:val="both"/>
      </w:pPr>
      <w:r>
        <w:t xml:space="preserve">At the school level, </w:t>
      </w:r>
      <w:r w:rsidRPr="00851EC7">
        <w:t xml:space="preserve">EP-funded facilities </w:t>
      </w:r>
      <w:r>
        <w:t>were</w:t>
      </w:r>
      <w:r w:rsidRPr="00851EC7">
        <w:t xml:space="preserve"> regarded</w:t>
      </w:r>
      <w:r>
        <w:t xml:space="preserve"> by Indonesian stakeholders and by </w:t>
      </w:r>
      <w:r w:rsidR="004C58DC">
        <w:t>the Embassy</w:t>
      </w:r>
      <w:r>
        <w:t>’s independent assessor</w:t>
      </w:r>
      <w:r>
        <w:rPr>
          <w:rStyle w:val="FootnoteReference"/>
        </w:rPr>
        <w:footnoteReference w:id="16"/>
      </w:r>
      <w:r w:rsidRPr="00851EC7">
        <w:t xml:space="preserve"> as being of a high construction standard</w:t>
      </w:r>
      <w:r>
        <w:rPr>
          <w:rStyle w:val="EndnoteReference"/>
        </w:rPr>
        <w:endnoteReference w:id="23"/>
      </w:r>
      <w:r>
        <w:t>. This is important, as well-constructed schools are more likely to</w:t>
      </w:r>
      <w:r w:rsidRPr="00851EC7">
        <w:t xml:space="preserve"> </w:t>
      </w:r>
      <w:r>
        <w:t>remain functional for</w:t>
      </w:r>
      <w:r w:rsidRPr="00851EC7">
        <w:t xml:space="preserve"> their expected lifetime</w:t>
      </w:r>
      <w:r>
        <w:t>, thereby reducing</w:t>
      </w:r>
      <w:r w:rsidRPr="005540B8">
        <w:rPr>
          <w:rStyle w:val="FootnoteReference"/>
          <w:rFonts w:cs="Calibri"/>
        </w:rPr>
        <w:t xml:space="preserve"> </w:t>
      </w:r>
      <w:r>
        <w:t xml:space="preserve">the </w:t>
      </w:r>
      <w:r w:rsidRPr="00851EC7">
        <w:t xml:space="preserve">maintenance burden </w:t>
      </w:r>
      <w:r>
        <w:t xml:space="preserve">for </w:t>
      </w:r>
      <w:r w:rsidR="00481369">
        <w:t xml:space="preserve">communities, </w:t>
      </w:r>
      <w:r w:rsidRPr="00851EC7">
        <w:t>school</w:t>
      </w:r>
      <w:r>
        <w:t xml:space="preserve">s </w:t>
      </w:r>
      <w:r w:rsidRPr="00851EC7">
        <w:t>and district government</w:t>
      </w:r>
      <w:r>
        <w:t>s</w:t>
      </w:r>
      <w:r>
        <w:rPr>
          <w:rStyle w:val="FootnoteReference"/>
        </w:rPr>
        <w:footnoteReference w:id="17"/>
      </w:r>
      <w:r w:rsidRPr="00851EC7">
        <w:t xml:space="preserve">. </w:t>
      </w:r>
      <w:r>
        <w:t xml:space="preserve">This point does not, however, speak to other key issues that have a significant impact on education quality or student learning outcomes in those schools. Data from the </w:t>
      </w:r>
      <w:r w:rsidRPr="0046370C">
        <w:rPr>
          <w:i/>
        </w:rPr>
        <w:t>EOPO 1 Endline Evaluation Study</w:t>
      </w:r>
      <w:r>
        <w:t xml:space="preserve"> indicate that EP schools performed poorly against national figures for teacher expertise and experience, and exhibited staffing patterns typical of districts with chronic teacher distribution issues (i.e. low weekly workloads, high proportions of casual appointments). At a systems level,</w:t>
      </w:r>
      <w:r w:rsidRPr="00851EC7">
        <w:t xml:space="preserve"> </w:t>
      </w:r>
      <w:r>
        <w:t xml:space="preserve">enrolment data indicate that the EP </w:t>
      </w:r>
      <w:r w:rsidRPr="00851EC7">
        <w:t xml:space="preserve">may </w:t>
      </w:r>
      <w:r>
        <w:t>have contributed</w:t>
      </w:r>
      <w:r w:rsidRPr="00851EC7">
        <w:t xml:space="preserve"> to a proliferation of small schools, which could </w:t>
      </w:r>
      <w:r>
        <w:t>exacerbate</w:t>
      </w:r>
      <w:r w:rsidRPr="00851EC7">
        <w:t xml:space="preserve"> inefficiencies in the allocation of teaching and management resources and </w:t>
      </w:r>
      <w:r>
        <w:t>the</w:t>
      </w:r>
      <w:r w:rsidRPr="00851EC7">
        <w:t xml:space="preserve"> associated effect</w:t>
      </w:r>
      <w:r>
        <w:t>s</w:t>
      </w:r>
      <w:r w:rsidRPr="00851EC7">
        <w:t xml:space="preserve"> on the quality of services provided.</w:t>
      </w:r>
    </w:p>
    <w:p w14:paraId="6826AC45" w14:textId="77777777" w:rsidR="0000583A" w:rsidRPr="0000583A" w:rsidRDefault="000A13DF" w:rsidP="0000583A">
      <w:pPr>
        <w:pStyle w:val="Heading3"/>
        <w:ind w:left="709" w:hanging="709"/>
      </w:pPr>
      <w:bookmarkStart w:id="40" w:name="_Toc473786304"/>
      <w:r w:rsidRPr="0000583A">
        <w:t>Sustainability</w:t>
      </w:r>
      <w:bookmarkEnd w:id="40"/>
    </w:p>
    <w:p w14:paraId="6826AC46" w14:textId="77777777" w:rsidR="000A13DF" w:rsidRDefault="000A13DF" w:rsidP="000A13DF">
      <w:pPr>
        <w:spacing w:before="120" w:after="120"/>
        <w:jc w:val="both"/>
      </w:pPr>
      <w:r w:rsidRPr="00EF615C">
        <w:t>The community</w:t>
      </w:r>
      <w:r>
        <w:t>-based</w:t>
      </w:r>
      <w:r w:rsidRPr="00EF615C">
        <w:t xml:space="preserve"> construction model and good quality control mechanisms ensured a high degree of sustainability for the </w:t>
      </w:r>
      <w:r w:rsidR="00481369">
        <w:t>physical infrastructure</w:t>
      </w:r>
      <w:r>
        <w:t xml:space="preserve">. </w:t>
      </w:r>
      <w:r w:rsidR="00481369">
        <w:t>Moreover, d</w:t>
      </w:r>
      <w:r>
        <w:t xml:space="preserve">ata from GoI and the </w:t>
      </w:r>
      <w:r w:rsidRPr="0046370C">
        <w:rPr>
          <w:i/>
        </w:rPr>
        <w:t>EOPO 1 Endline Evaluation Study</w:t>
      </w:r>
      <w:r>
        <w:t xml:space="preserve"> show positive growth in student enrolments, although trends from the AIBEP school population indicate that this is likely to plateau after all three grades are fully operational</w:t>
      </w:r>
      <w:r w:rsidR="0001705F">
        <w:rPr>
          <w:rStyle w:val="EndnoteReference"/>
        </w:rPr>
        <w:endnoteReference w:id="24"/>
      </w:r>
      <w:r>
        <w:t xml:space="preserve">. MoEC </w:t>
      </w:r>
      <w:r w:rsidR="00481369">
        <w:t xml:space="preserve">has </w:t>
      </w:r>
      <w:r>
        <w:t>adopted</w:t>
      </w:r>
      <w:r w:rsidRPr="00EF615C">
        <w:t xml:space="preserve"> various C1 quality control systems, such as Field Monitors, </w:t>
      </w:r>
      <w:r>
        <w:t>visual</w:t>
      </w:r>
      <w:r w:rsidRPr="00EF615C">
        <w:t xml:space="preserve"> construction guideline manuals, and improved site selection systems.</w:t>
      </w:r>
      <w:r>
        <w:t xml:space="preserve"> The current focus</w:t>
      </w:r>
      <w:r w:rsidRPr="00CB10AD">
        <w:t xml:space="preserve"> </w:t>
      </w:r>
      <w:r>
        <w:t xml:space="preserve">on 12 years’ universal education </w:t>
      </w:r>
      <w:r w:rsidRPr="00CB10AD">
        <w:t>of</w:t>
      </w:r>
      <w:r>
        <w:t xml:space="preserve">fers an opportunity for even greater sustainability though the sharing of lessons and </w:t>
      </w:r>
      <w:r w:rsidRPr="00CB10AD">
        <w:t>utili</w:t>
      </w:r>
      <w:r>
        <w:t>s</w:t>
      </w:r>
      <w:r w:rsidRPr="00CB10AD">
        <w:t xml:space="preserve">ation of </w:t>
      </w:r>
      <w:r>
        <w:t xml:space="preserve">C1 tools and systems for </w:t>
      </w:r>
      <w:r w:rsidR="00C54988">
        <w:t>senior secondary education (</w:t>
      </w:r>
      <w:r>
        <w:t>SSE</w:t>
      </w:r>
      <w:r w:rsidR="00C54988">
        <w:t>)</w:t>
      </w:r>
      <w:r>
        <w:t xml:space="preserve"> expansion.</w:t>
      </w:r>
    </w:p>
    <w:p w14:paraId="13E7F066" w14:textId="6C3719D1" w:rsidR="00012BDF" w:rsidRDefault="00012BDF" w:rsidP="00012BDF">
      <w:pPr>
        <w:pStyle w:val="Heading3"/>
        <w:ind w:left="709" w:hanging="709"/>
      </w:pPr>
      <w:bookmarkStart w:id="41" w:name="_Toc473786305"/>
      <w:r>
        <w:t>Value for Money</w:t>
      </w:r>
      <w:bookmarkEnd w:id="41"/>
    </w:p>
    <w:p w14:paraId="0CA2852E" w14:textId="77777777" w:rsidR="00012BDF" w:rsidRDefault="00012BDF" w:rsidP="00012BDF">
      <w:pPr>
        <w:spacing w:before="120" w:after="120"/>
        <w:jc w:val="both"/>
      </w:pPr>
      <w:r>
        <w:t>The decision to deliver C1 though government systems was made for reasons of cost-consciousness. However, the anticipated economic benefit of the option was not realised due to under-capacity in the partner system which required a substantial reconfiguration of the C1 budget in 2012 to finance technical assistance support services. Ultimately, this reconfiguration provided strong value for money in that it greatly assisted in supporting the attainment of program outcomes.</w:t>
      </w:r>
    </w:p>
    <w:p w14:paraId="6826AC47" w14:textId="59DB7110" w:rsidR="00F96EEF" w:rsidRDefault="00012BDF" w:rsidP="00012BDF">
      <w:pPr>
        <w:spacing w:before="120" w:after="120"/>
        <w:jc w:val="both"/>
      </w:pPr>
      <w:r>
        <w:t>C1 promoted and achieved commendable levels of transparency and accountability for GA-financed activities in a field (i.e. that of infrastructure) that is vulnerable to the misuse of funding. Whilst effectiveness was somewhat limited (by excluding district governments from financing arrangements and thereby limiting ‘buy-in’ at this level), it was an appropriate compromise between GoA fiduciary responsibility and development ambition. Overall, C1 represented good value for money. Despite a reduction in the number of schools constructed, the investment in school infrastructure provided GoA with a strong tangible imprint on the Indonesian education sector.</w:t>
      </w:r>
    </w:p>
    <w:p w14:paraId="124B8F98" w14:textId="77777777" w:rsidR="00012BDF" w:rsidRDefault="00012BDF" w:rsidP="00012BDF">
      <w:pPr>
        <w:spacing w:before="120" w:after="120"/>
        <w:jc w:val="both"/>
      </w:pPr>
    </w:p>
    <w:p w14:paraId="6826AC48" w14:textId="77777777" w:rsidR="000A13DF" w:rsidRDefault="000A13DF" w:rsidP="00082D8B">
      <w:pPr>
        <w:pStyle w:val="Heading2"/>
      </w:pPr>
      <w:bookmarkStart w:id="42" w:name="_Toc473786306"/>
      <w:r w:rsidRPr="005540B8">
        <w:t>Component 2: School and District Management</w:t>
      </w:r>
      <w:bookmarkEnd w:id="42"/>
    </w:p>
    <w:p w14:paraId="6826AC49" w14:textId="18E232E9" w:rsidR="00BE14D6" w:rsidRDefault="009B1F75" w:rsidP="00B4772F">
      <w:pPr>
        <w:pStyle w:val="Heading3"/>
        <w:ind w:left="709" w:hanging="709"/>
      </w:pPr>
      <w:bookmarkStart w:id="43" w:name="_Toc473786307"/>
      <w:r>
        <w:t>Summary of p</w:t>
      </w:r>
      <w:r w:rsidR="00BE14D6">
        <w:t>erformance against DAC criteria</w:t>
      </w:r>
      <w:bookmarkEnd w:id="43"/>
    </w:p>
    <w:p w14:paraId="317D7AEB" w14:textId="08419C58" w:rsidR="004F24D6" w:rsidRPr="00012BDF" w:rsidRDefault="004F24D6" w:rsidP="004F24D6">
      <w:pPr>
        <w:pStyle w:val="ListParagraph"/>
        <w:numPr>
          <w:ilvl w:val="0"/>
          <w:numId w:val="25"/>
        </w:numPr>
        <w:spacing w:before="120" w:after="120" w:line="288" w:lineRule="auto"/>
        <w:ind w:left="714" w:hanging="357"/>
        <w:rPr>
          <w:lang w:val="en-AU"/>
        </w:rPr>
      </w:pPr>
      <w:r w:rsidRPr="00012BDF">
        <w:rPr>
          <w:lang w:val="en-AU"/>
        </w:rPr>
        <w:t>C2 was relevant to GoI policy commitments and the needs of end beneficiaries but the core activity (ProDEP) was over-ambitious in terms of time and resourcing available under the EP.</w:t>
      </w:r>
    </w:p>
    <w:p w14:paraId="5AC4A87F" w14:textId="77777777" w:rsidR="00012BDF" w:rsidRPr="00012BDF" w:rsidRDefault="00012BDF" w:rsidP="00012BDF">
      <w:pPr>
        <w:pStyle w:val="ListParagraph"/>
        <w:numPr>
          <w:ilvl w:val="0"/>
          <w:numId w:val="25"/>
        </w:numPr>
        <w:spacing w:before="120" w:after="120" w:line="288" w:lineRule="auto"/>
        <w:ind w:left="714" w:hanging="357"/>
        <w:rPr>
          <w:lang w:val="en-AU"/>
        </w:rPr>
      </w:pPr>
      <w:r w:rsidRPr="00012BDF">
        <w:rPr>
          <w:lang w:val="en-AU"/>
        </w:rPr>
        <w:t>C2 delivered satisfactory results against a revised performance assessment framework (efficiency) and was strongly regarded by end-users, but was unable to generate the critical mass required to effect change at a district level.</w:t>
      </w:r>
    </w:p>
    <w:p w14:paraId="35E158A5" w14:textId="18F59076" w:rsidR="004F24D6" w:rsidRPr="00012BDF" w:rsidRDefault="004F24D6" w:rsidP="004F24D6">
      <w:pPr>
        <w:pStyle w:val="ListParagraph"/>
        <w:numPr>
          <w:ilvl w:val="0"/>
          <w:numId w:val="25"/>
        </w:numPr>
        <w:spacing w:before="120" w:after="120" w:line="288" w:lineRule="auto"/>
        <w:ind w:left="714" w:hanging="357"/>
        <w:rPr>
          <w:lang w:val="en-AU"/>
        </w:rPr>
      </w:pPr>
      <w:r w:rsidRPr="00012BDF">
        <w:rPr>
          <w:lang w:val="en-AU"/>
        </w:rPr>
        <w:t>C2 was constrained by a number of considerable changes to the policy, political and institutional landscape of both governments, all of which limited ProDEP’s relevance, effectiveness and impact.</w:t>
      </w:r>
    </w:p>
    <w:p w14:paraId="2D7057DC" w14:textId="3CE442BB" w:rsidR="004F24D6" w:rsidRPr="00012BDF" w:rsidRDefault="004F24D6" w:rsidP="004F24D6">
      <w:pPr>
        <w:pStyle w:val="ListParagraph"/>
        <w:numPr>
          <w:ilvl w:val="0"/>
          <w:numId w:val="25"/>
        </w:numPr>
        <w:spacing w:before="120" w:after="120" w:line="288" w:lineRule="auto"/>
        <w:ind w:left="714" w:hanging="357"/>
        <w:rPr>
          <w:lang w:val="en-AU"/>
        </w:rPr>
      </w:pPr>
      <w:r w:rsidRPr="00012BDF">
        <w:rPr>
          <w:lang w:val="en-AU"/>
        </w:rPr>
        <w:t>C2 may generate long-term benefits but these will accrue from the continuation or adaptation of discrete elements of ProDEP, not via take-up of the integrated system developed with EP support</w:t>
      </w:r>
    </w:p>
    <w:p w14:paraId="6826AC4B" w14:textId="77777777" w:rsidR="003D468A" w:rsidRPr="003D468A" w:rsidRDefault="000A13DF" w:rsidP="00F60F1A">
      <w:pPr>
        <w:pStyle w:val="Heading3"/>
        <w:ind w:left="709" w:hanging="709"/>
      </w:pPr>
      <w:bookmarkStart w:id="44" w:name="_Toc473786308"/>
      <w:r w:rsidRPr="003D468A">
        <w:t>Introduction</w:t>
      </w:r>
      <w:bookmarkEnd w:id="44"/>
    </w:p>
    <w:p w14:paraId="6826AC4C" w14:textId="156959A3" w:rsidR="000A13DF" w:rsidRDefault="000A13DF" w:rsidP="000A13DF">
      <w:pPr>
        <w:contextualSpacing/>
        <w:jc w:val="both"/>
        <w:rPr>
          <w:lang w:val="en-AU"/>
        </w:rPr>
      </w:pPr>
      <w:r>
        <w:t>C</w:t>
      </w:r>
      <w:r w:rsidRPr="00D20962">
        <w:t xml:space="preserve">2 </w:t>
      </w:r>
      <w:r>
        <w:t xml:space="preserve">consisted of a series of investments in the domain of education staff professional development. It was the second largest component of the EP, accounting for </w:t>
      </w:r>
      <w:r w:rsidR="00364D40">
        <w:t>29</w:t>
      </w:r>
      <w:r>
        <w:t xml:space="preserve">% of the </w:t>
      </w:r>
      <w:r w:rsidR="00BB20CB">
        <w:t xml:space="preserve">revised </w:t>
      </w:r>
      <w:r>
        <w:t>value of the partnership investment (</w:t>
      </w:r>
      <w:r w:rsidRPr="00364D40">
        <w:t xml:space="preserve">AUD </w:t>
      </w:r>
      <w:r w:rsidR="00364D40" w:rsidRPr="00364D40">
        <w:rPr>
          <w:rFonts w:cs="Arial"/>
          <w:color w:val="000000"/>
          <w:kern w:val="24"/>
          <w:lang w:eastAsia="en-AU"/>
        </w:rPr>
        <w:t>106</w:t>
      </w:r>
      <w:r w:rsidR="00364D40">
        <w:rPr>
          <w:rFonts w:cs="Arial"/>
          <w:color w:val="000000"/>
          <w:kern w:val="24"/>
          <w:lang w:eastAsia="en-AU"/>
        </w:rPr>
        <w:t>.</w:t>
      </w:r>
      <w:r w:rsidR="00364D40" w:rsidRPr="00F42A98">
        <w:rPr>
          <w:rFonts w:cs="Arial"/>
          <w:color w:val="000000"/>
          <w:kern w:val="24"/>
          <w:lang w:eastAsia="en-AU"/>
        </w:rPr>
        <w:t>4</w:t>
      </w:r>
      <w:r>
        <w:t xml:space="preserve">million). In terms of the initial funding formula for this package of investments, the flagship program was </w:t>
      </w:r>
      <w:r w:rsidRPr="00DE1734">
        <w:rPr>
          <w:i/>
        </w:rPr>
        <w:t>Professional Development for Education Personnel</w:t>
      </w:r>
      <w:r>
        <w:t xml:space="preserve"> or ProDEP. ProDEP sought</w:t>
      </w:r>
      <w:r w:rsidRPr="00D20962">
        <w:t xml:space="preserve"> to improve the management of schools and </w:t>
      </w:r>
      <w:r>
        <w:t>madrasah</w:t>
      </w:r>
      <w:r w:rsidRPr="00D20962">
        <w:t xml:space="preserve"> in participating districts</w:t>
      </w:r>
      <w:r w:rsidRPr="00D20962">
        <w:rPr>
          <w:vertAlign w:val="superscript"/>
        </w:rPr>
        <w:t xml:space="preserve"> </w:t>
      </w:r>
      <w:r>
        <w:t xml:space="preserve">by supporting the establishment of a national system of professional development that would enable principals to apply their </w:t>
      </w:r>
      <w:r w:rsidRPr="004F0223">
        <w:t>impr</w:t>
      </w:r>
      <w:r>
        <w:t>oved professional competencies. In addition to the core program of continuous professional d</w:t>
      </w:r>
      <w:r w:rsidRPr="004F0223">
        <w:t xml:space="preserve">evelopment (CPD) </w:t>
      </w:r>
      <w:r>
        <w:t>for principals, ProDEP also included</w:t>
      </w:r>
      <w:r w:rsidRPr="004F0223">
        <w:t xml:space="preserve"> </w:t>
      </w:r>
      <w:r>
        <w:t>components on</w:t>
      </w:r>
      <w:r w:rsidRPr="004F0223">
        <w:t xml:space="preserve"> Supervisor Professional Development (SPD), Human Resource Management and Development (HRMD), Strategic Planning and Financial Management (SP&amp;FM), and the Principa</w:t>
      </w:r>
      <w:r>
        <w:t>l Preparation Program (PPP). An additional</w:t>
      </w:r>
      <w:r w:rsidRPr="004F0223">
        <w:t xml:space="preserve"> Principal Performa</w:t>
      </w:r>
      <w:r>
        <w:t xml:space="preserve">nce Improvement </w:t>
      </w:r>
      <w:r w:rsidRPr="005540B8">
        <w:rPr>
          <w:rFonts w:cs="Calibri"/>
        </w:rPr>
        <w:t>Program</w:t>
      </w:r>
      <w:r>
        <w:t xml:space="preserve"> (PPIP) </w:t>
      </w:r>
      <w:r w:rsidRPr="004F0223">
        <w:t>was piloted in 2015</w:t>
      </w:r>
      <w:r>
        <w:rPr>
          <w:rStyle w:val="FootnoteReference"/>
        </w:rPr>
        <w:footnoteReference w:id="18"/>
      </w:r>
      <w:r w:rsidRPr="004F0223">
        <w:t>.</w:t>
      </w:r>
    </w:p>
    <w:p w14:paraId="6826AC4D" w14:textId="77777777" w:rsidR="000A13DF" w:rsidRDefault="000A13DF" w:rsidP="000A13DF">
      <w:pPr>
        <w:contextualSpacing/>
        <w:jc w:val="both"/>
        <w:rPr>
          <w:lang w:val="en-AU"/>
        </w:rPr>
      </w:pPr>
    </w:p>
    <w:p w14:paraId="6826AC4E" w14:textId="0A024307" w:rsidR="000A13DF" w:rsidRDefault="000A13DF" w:rsidP="000A13DF">
      <w:pPr>
        <w:contextualSpacing/>
        <w:jc w:val="both"/>
        <w:rPr>
          <w:lang w:val="en-AU"/>
        </w:rPr>
      </w:pPr>
      <w:r>
        <w:rPr>
          <w:lang w:val="en-AU"/>
        </w:rPr>
        <w:t xml:space="preserve">From 2012 to 2014 </w:t>
      </w:r>
      <w:r w:rsidRPr="005540B8">
        <w:rPr>
          <w:rFonts w:cs="Calibri"/>
          <w:lang w:val="en-AU"/>
        </w:rPr>
        <w:t xml:space="preserve">C2, in </w:t>
      </w:r>
      <w:r>
        <w:t>collaboration</w:t>
      </w:r>
      <w:r w:rsidRPr="005540B8">
        <w:rPr>
          <w:rFonts w:cs="Calibri"/>
          <w:lang w:val="en-AU"/>
        </w:rPr>
        <w:t xml:space="preserve"> with C1, also implemented the New School Induction Program (NSIP). The NSIP was designed to support effective school-based management in </w:t>
      </w:r>
      <w:r w:rsidR="00BB20CB">
        <w:rPr>
          <w:rFonts w:cs="Calibri"/>
          <w:lang w:val="en-AU"/>
        </w:rPr>
        <w:t xml:space="preserve">newly built C1 </w:t>
      </w:r>
      <w:r w:rsidR="00DE7AD2" w:rsidRPr="005540B8">
        <w:rPr>
          <w:rFonts w:cs="Calibri"/>
          <w:lang w:val="en-AU"/>
        </w:rPr>
        <w:t>schools by</w:t>
      </w:r>
      <w:r w:rsidRPr="005540B8">
        <w:rPr>
          <w:rFonts w:cs="Calibri"/>
          <w:lang w:val="en-AU"/>
        </w:rPr>
        <w:t xml:space="preserve"> building the capacity of key stakeholder groups to manage and maintain assets, to handle School Operational Grants (</w:t>
      </w:r>
      <w:r w:rsidRPr="005540B8">
        <w:rPr>
          <w:rFonts w:cs="Calibri"/>
          <w:i/>
          <w:lang w:val="en-AU"/>
        </w:rPr>
        <w:t>Bantuan Operasional Sekolah</w:t>
      </w:r>
      <w:r w:rsidRPr="005540B8">
        <w:rPr>
          <w:rFonts w:cs="Calibri"/>
          <w:lang w:val="en-AU"/>
        </w:rPr>
        <w:t xml:space="preserve"> or BOS funds), to practice school accounting, and to work with the community</w:t>
      </w:r>
      <w:r w:rsidRPr="005540B8">
        <w:rPr>
          <w:rFonts w:cs="Calibri"/>
          <w:vertAlign w:val="superscript"/>
          <w:lang w:val="en-AU"/>
        </w:rPr>
        <w:footnoteReference w:id="19"/>
      </w:r>
      <w:r w:rsidRPr="005540B8">
        <w:rPr>
          <w:rFonts w:cs="Calibri"/>
          <w:lang w:val="en-AU"/>
        </w:rPr>
        <w:t xml:space="preserve">. </w:t>
      </w:r>
      <w:r>
        <w:rPr>
          <w:lang w:val="en-AU"/>
        </w:rPr>
        <w:t>I</w:t>
      </w:r>
      <w:r w:rsidRPr="00CB10AD">
        <w:rPr>
          <w:lang w:val="en-AU"/>
        </w:rPr>
        <w:t>n</w:t>
      </w:r>
      <w:r>
        <w:rPr>
          <w:lang w:val="en-AU"/>
        </w:rPr>
        <w:t xml:space="preserve"> 2011, </w:t>
      </w:r>
      <w:r w:rsidRPr="005540B8">
        <w:rPr>
          <w:rFonts w:cs="Calibri"/>
          <w:lang w:val="en-AU"/>
        </w:rPr>
        <w:t>C2 also oversaw a</w:t>
      </w:r>
      <w:r w:rsidRPr="00CB10AD">
        <w:rPr>
          <w:lang w:val="en-AU"/>
        </w:rPr>
        <w:t xml:space="preserve"> one-off training</w:t>
      </w:r>
      <w:r>
        <w:rPr>
          <w:lang w:val="en-AU"/>
        </w:rPr>
        <w:t xml:space="preserve"> for approximately 650,000 members of</w:t>
      </w:r>
      <w:r w:rsidRPr="00CB10AD">
        <w:rPr>
          <w:lang w:val="en-AU"/>
        </w:rPr>
        <w:t xml:space="preserve"> </w:t>
      </w:r>
      <w:r>
        <w:rPr>
          <w:lang w:val="en-AU"/>
        </w:rPr>
        <w:t>school management teams in</w:t>
      </w:r>
      <w:r w:rsidRPr="00CB10AD">
        <w:rPr>
          <w:lang w:val="en-AU"/>
        </w:rPr>
        <w:t xml:space="preserve"> the use of BOS funds</w:t>
      </w:r>
      <w:r>
        <w:rPr>
          <w:lang w:val="en-AU"/>
        </w:rPr>
        <w:t>.</w:t>
      </w:r>
    </w:p>
    <w:p w14:paraId="6826AC4F" w14:textId="77777777" w:rsidR="003D468A" w:rsidRPr="003D468A" w:rsidRDefault="000A13DF" w:rsidP="003D468A">
      <w:pPr>
        <w:pStyle w:val="Heading3"/>
        <w:ind w:left="709" w:hanging="709"/>
      </w:pPr>
      <w:bookmarkStart w:id="45" w:name="_Toc473786309"/>
      <w:r w:rsidRPr="003D468A">
        <w:t>Relevance</w:t>
      </w:r>
      <w:bookmarkEnd w:id="45"/>
    </w:p>
    <w:p w14:paraId="6826AC50" w14:textId="25BF3279" w:rsidR="000A13DF" w:rsidRDefault="000A13DF" w:rsidP="000A13DF">
      <w:pPr>
        <w:contextualSpacing/>
        <w:jc w:val="both"/>
      </w:pPr>
      <w:r w:rsidRPr="005540B8">
        <w:rPr>
          <w:rFonts w:cs="Calibri"/>
        </w:rPr>
        <w:t xml:space="preserve">C2 investments were </w:t>
      </w:r>
      <w:r w:rsidR="00BB20CB">
        <w:rPr>
          <w:rFonts w:cs="Calibri"/>
        </w:rPr>
        <w:t xml:space="preserve">conceived </w:t>
      </w:r>
      <w:r w:rsidR="00D11CD4" w:rsidRPr="005540B8">
        <w:rPr>
          <w:rFonts w:cs="Calibri"/>
        </w:rPr>
        <w:t xml:space="preserve">firmly </w:t>
      </w:r>
      <w:r w:rsidRPr="005540B8">
        <w:rPr>
          <w:rFonts w:cs="Calibri"/>
        </w:rPr>
        <w:t>in line with MoEC policy</w:t>
      </w:r>
      <w:r>
        <w:rPr>
          <w:rStyle w:val="FootnoteReference"/>
        </w:rPr>
        <w:footnoteReference w:id="20"/>
      </w:r>
      <w:r w:rsidRPr="005540B8">
        <w:rPr>
          <w:rFonts w:cs="Calibri"/>
        </w:rPr>
        <w:t xml:space="preserve"> and were supported by a strong body of international evidence regarding the importance of school management </w:t>
      </w:r>
      <w:r w:rsidR="00613CB8" w:rsidRPr="005540B8">
        <w:rPr>
          <w:rFonts w:cs="Calibri"/>
        </w:rPr>
        <w:t xml:space="preserve">and leadership </w:t>
      </w:r>
      <w:r w:rsidRPr="005540B8">
        <w:rPr>
          <w:rFonts w:cs="Calibri"/>
        </w:rPr>
        <w:t>as a driver of education quality improvement</w:t>
      </w:r>
      <w:r w:rsidR="0001705F" w:rsidRPr="005540B8">
        <w:rPr>
          <w:rStyle w:val="EndnoteReference"/>
          <w:rFonts w:cs="Calibri"/>
        </w:rPr>
        <w:endnoteReference w:id="25"/>
      </w:r>
      <w:r w:rsidRPr="005540B8">
        <w:rPr>
          <w:rFonts w:cs="Calibri"/>
        </w:rPr>
        <w:t>. In the case of ProDEP, however, evolving political and policy priorities, delays to the implementation of the Grant Agreement (GA), and disruptions caused by ministerial restructuring</w:t>
      </w:r>
      <w:r w:rsidR="00483758" w:rsidRPr="005540B8">
        <w:rPr>
          <w:rFonts w:cs="Calibri"/>
        </w:rPr>
        <w:t xml:space="preserve"> following </w:t>
      </w:r>
      <w:r w:rsidRPr="005540B8">
        <w:rPr>
          <w:rFonts w:cs="Calibri"/>
        </w:rPr>
        <w:t xml:space="preserve">the 2014 Indonesian election saw MoEC’s commitment to the initiative wane. For DFAT, the aspirations of ProDEP remained in line with the ambitions outlined in the </w:t>
      </w:r>
      <w:r w:rsidRPr="005540B8">
        <w:rPr>
          <w:rFonts w:cs="Calibri"/>
          <w:i/>
        </w:rPr>
        <w:t>Strategy for Australia’s aid investment in education 2015 – 2020</w:t>
      </w:r>
      <w:r w:rsidR="00DB390D">
        <w:rPr>
          <w:rStyle w:val="EndnoteReference"/>
          <w:rFonts w:cs="Calibri"/>
          <w:i/>
        </w:rPr>
        <w:endnoteReference w:id="26"/>
      </w:r>
      <w:r w:rsidR="00DB390D">
        <w:rPr>
          <w:rFonts w:cs="Calibri"/>
        </w:rPr>
        <w:t>.</w:t>
      </w:r>
      <w:r w:rsidRPr="005540B8">
        <w:rPr>
          <w:rFonts w:cs="Calibri"/>
        </w:rPr>
        <w:t xml:space="preserve"> However, from 2014 onwards, the Working in Partner Systems (WiPS) modality used to deliver financial support to ProDEP was increasingly at odds with DFAT’s commitment to a new, more agile TA-led aid paradigm. </w:t>
      </w:r>
      <w:r w:rsidR="00DE7AD2" w:rsidRPr="00BD2ED8">
        <w:rPr>
          <w:rFonts w:cs="Calibri"/>
        </w:rPr>
        <w:t xml:space="preserve">Delays to the commencement of GA-funded activities inevitably </w:t>
      </w:r>
      <w:r w:rsidR="00DE7AD2" w:rsidRPr="005540B8">
        <w:rPr>
          <w:rFonts w:cs="Calibri"/>
        </w:rPr>
        <w:t>drew a cautionary response from GoA, for who</w:t>
      </w:r>
      <w:r w:rsidR="00DE7AD2">
        <w:rPr>
          <w:rFonts w:cs="Calibri"/>
        </w:rPr>
        <w:t>m the future viability of ProDEP</w:t>
      </w:r>
      <w:r w:rsidR="00DE7AD2" w:rsidRPr="005540B8">
        <w:rPr>
          <w:rFonts w:cs="Calibri"/>
        </w:rPr>
        <w:t xml:space="preserve"> was compromised by limited measurable outputs and the absence of a clear financing strategy beyond the timeframe of the EP.</w:t>
      </w:r>
      <w:r w:rsidR="00DE7AD2">
        <w:rPr>
          <w:rFonts w:cs="Calibri"/>
        </w:rPr>
        <w:t xml:space="preserve"> </w:t>
      </w:r>
      <w:r w:rsidR="0006657B">
        <w:rPr>
          <w:rFonts w:cs="Calibri"/>
        </w:rPr>
        <w:t xml:space="preserve">The latter issue was compromised by the low relevance of ProDEP for district governments (who receive approximately two thirds of the Indonesian education budget). </w:t>
      </w:r>
    </w:p>
    <w:p w14:paraId="6826AC51" w14:textId="77777777" w:rsidR="003D468A" w:rsidRPr="003D468A" w:rsidRDefault="000A13DF" w:rsidP="003D468A">
      <w:pPr>
        <w:pStyle w:val="Heading3"/>
        <w:ind w:left="709" w:hanging="709"/>
      </w:pPr>
      <w:bookmarkStart w:id="46" w:name="_Toc473786310"/>
      <w:r w:rsidRPr="003D468A">
        <w:t>Efficiency</w:t>
      </w:r>
      <w:bookmarkEnd w:id="46"/>
    </w:p>
    <w:p w14:paraId="6826AC52" w14:textId="79B38E00" w:rsidR="000A13DF" w:rsidRDefault="00C32090" w:rsidP="000A13DF">
      <w:pPr>
        <w:jc w:val="both"/>
      </w:pPr>
      <w:r>
        <w:t>Th</w:t>
      </w:r>
      <w:r w:rsidR="000A13DF">
        <w:t xml:space="preserve">e </w:t>
      </w:r>
      <w:r>
        <w:t xml:space="preserve">BOS training and NSIP </w:t>
      </w:r>
      <w:r w:rsidR="000A13DF">
        <w:t xml:space="preserve">elements of C2 </w:t>
      </w:r>
      <w:r>
        <w:t>exhibited strong efficiency, most likely because they a</w:t>
      </w:r>
      <w:r w:rsidR="000A13DF">
        <w:t>dopted previously tested models and were rolled out as one-shot training</w:t>
      </w:r>
      <w:r w:rsidR="00BD2ED8" w:rsidRPr="00BD2ED8">
        <w:t xml:space="preserve"> activities that conformed strongly to standard GoI practices</w:t>
      </w:r>
      <w:r w:rsidR="000A13DF">
        <w:t>. The flagship ProDEP program, by contrast, generated limited outputs, at least when considered in light of the targets set in the 2013 GA</w:t>
      </w:r>
      <w:r w:rsidR="00803E6A">
        <w:t xml:space="preserve"> (see </w:t>
      </w:r>
      <w:r w:rsidR="00761383">
        <w:t>Table 2</w:t>
      </w:r>
      <w:r w:rsidR="00803E6A">
        <w:t>)</w:t>
      </w:r>
      <w:r w:rsidR="000A13DF">
        <w:t>. The GA for ProDEP was not signed until mid-2013, two years after the EP commence</w:t>
      </w:r>
      <w:r w:rsidR="00CD74C2">
        <w:t>d</w:t>
      </w:r>
      <w:r w:rsidR="000A13DF">
        <w:t>. Roll-out of the program was then delayed until October 2014</w:t>
      </w:r>
      <w:r w:rsidR="000A13DF" w:rsidRPr="00A94B4B">
        <w:t xml:space="preserve"> </w:t>
      </w:r>
      <w:r w:rsidR="000A13DF">
        <w:t xml:space="preserve">because the nominated training entities were assigned </w:t>
      </w:r>
      <w:r w:rsidR="00803E6A">
        <w:t xml:space="preserve">by MoEC </w:t>
      </w:r>
      <w:r w:rsidR="000A13DF">
        <w:t xml:space="preserve">to assist in the implementation of a </w:t>
      </w:r>
      <w:r w:rsidR="00483758" w:rsidRPr="00483758">
        <w:t>new national curriculum</w:t>
      </w:r>
      <w:r w:rsidR="00CD74C2">
        <w:t>.</w:t>
      </w:r>
      <w:r w:rsidR="00761383">
        <w:t xml:space="preserve"> </w:t>
      </w:r>
      <w:r w:rsidR="000A13DF">
        <w:t xml:space="preserve">Implementation in 2015 was delayed by restructuring activity within MoEC. Notwithstanding the effect of the challenging operating environment, ProDEP trained 3,587 supervisors and 17,775 principals by the end of the EP, approximately 89% and 82% </w:t>
      </w:r>
      <w:r w:rsidR="00D477C8">
        <w:t xml:space="preserve">respectively </w:t>
      </w:r>
      <w:r w:rsidR="000A13DF">
        <w:t xml:space="preserve">of the </w:t>
      </w:r>
      <w:r w:rsidR="000A13DF" w:rsidRPr="00F72994">
        <w:rPr>
          <w:i/>
        </w:rPr>
        <w:t>revised</w:t>
      </w:r>
      <w:r w:rsidR="000A13DF">
        <w:t xml:space="preserve"> targets set by GoI and DFAT in</w:t>
      </w:r>
      <w:r w:rsidR="00F72994">
        <w:t xml:space="preserve"> late</w:t>
      </w:r>
      <w:r w:rsidR="000A13DF">
        <w:t xml:space="preserve"> 2015</w:t>
      </w:r>
      <w:r w:rsidR="0006657B">
        <w:t>.</w:t>
      </w:r>
      <w:r w:rsidR="000A13DF" w:rsidRPr="004C6945">
        <w:t xml:space="preserve"> </w:t>
      </w:r>
      <w:r w:rsidR="000A13DF">
        <w:t>Contrary to original expectations, no GA-financed implementation occurred in 2016.</w:t>
      </w:r>
    </w:p>
    <w:p w14:paraId="6826AC53" w14:textId="77777777" w:rsidR="003D468A" w:rsidRPr="003D468A" w:rsidRDefault="000A13DF" w:rsidP="003D468A">
      <w:pPr>
        <w:pStyle w:val="Heading3"/>
        <w:ind w:left="709" w:hanging="709"/>
      </w:pPr>
      <w:bookmarkStart w:id="47" w:name="_Toc473786311"/>
      <w:r w:rsidRPr="003D468A">
        <w:t>Effectiveness</w:t>
      </w:r>
      <w:bookmarkEnd w:id="47"/>
    </w:p>
    <w:p w14:paraId="6826AC54" w14:textId="74E3CDD8" w:rsidR="000A13DF" w:rsidRDefault="00677523" w:rsidP="000A13DF">
      <w:pPr>
        <w:contextualSpacing/>
        <w:jc w:val="both"/>
      </w:pPr>
      <w:r w:rsidRPr="00677523">
        <w:t>Following budget revisions in 2014</w:t>
      </w:r>
      <w:r w:rsidR="00BD2ED8">
        <w:t>,</w:t>
      </w:r>
      <w:r w:rsidRPr="00677523">
        <w:t xml:space="preserve"> the intended midline/endline evaluation study for C2 was not undertaken. As such, </w:t>
      </w:r>
      <w:r w:rsidR="000A13DF">
        <w:t>the extent to which improve</w:t>
      </w:r>
      <w:r w:rsidR="00006A84">
        <w:t xml:space="preserve">ment in education officials’ </w:t>
      </w:r>
      <w:r w:rsidR="000A13DF">
        <w:t xml:space="preserve">professional competencies </w:t>
      </w:r>
      <w:r w:rsidR="00F72994">
        <w:t>contributed</w:t>
      </w:r>
      <w:r w:rsidR="000A13DF">
        <w:t xml:space="preserve"> to improvements in school/madrasah management </w:t>
      </w:r>
      <w:r w:rsidR="00006A84">
        <w:t>is</w:t>
      </w:r>
      <w:r w:rsidR="000A13DF">
        <w:t xml:space="preserve"> largely unknown. </w:t>
      </w:r>
      <w:r w:rsidR="00BD2ED8">
        <w:t xml:space="preserve">Even so, it is recognised </w:t>
      </w:r>
      <w:r w:rsidR="000A13DF">
        <w:t>that</w:t>
      </w:r>
      <w:r w:rsidR="00BD2ED8">
        <w:t>,</w:t>
      </w:r>
      <w:r w:rsidR="000A13DF">
        <w:t xml:space="preserve"> while insufficient numbers of principals were trained to create the expected changes at district-level</w:t>
      </w:r>
      <w:r w:rsidR="009537C0">
        <w:t xml:space="preserve"> (see Annex I)</w:t>
      </w:r>
      <w:r w:rsidR="00F72994">
        <w:t>,</w:t>
      </w:r>
      <w:r w:rsidR="009537C0">
        <w:t xml:space="preserve"> </w:t>
      </w:r>
      <w:r w:rsidR="000A13DF" w:rsidRPr="005540B8">
        <w:rPr>
          <w:rFonts w:cs="Calibri"/>
        </w:rPr>
        <w:t xml:space="preserve">the </w:t>
      </w:r>
      <w:r w:rsidR="000A13DF" w:rsidRPr="005540B8">
        <w:rPr>
          <w:rFonts w:cs="Calibri"/>
          <w:i/>
        </w:rPr>
        <w:t>technical foundations</w:t>
      </w:r>
      <w:r w:rsidR="000A13DF" w:rsidRPr="005540B8">
        <w:rPr>
          <w:rFonts w:cs="Calibri"/>
        </w:rPr>
        <w:t xml:space="preserve"> of the ProDEP model are such that it </w:t>
      </w:r>
      <w:r w:rsidR="000A13DF" w:rsidRPr="005540B8">
        <w:rPr>
          <w:rFonts w:cs="Calibri"/>
          <w:i/>
        </w:rPr>
        <w:t>could</w:t>
      </w:r>
      <w:r w:rsidR="000A13DF" w:rsidRPr="005540B8">
        <w:rPr>
          <w:rFonts w:cs="Calibri"/>
        </w:rPr>
        <w:t xml:space="preserve"> make a significant contribution to the improved performance of principals and ultimately to the quality of school and madrasah management</w:t>
      </w:r>
      <w:r w:rsidR="000A13DF" w:rsidRPr="00450C46">
        <w:rPr>
          <w:rStyle w:val="EndnoteReference"/>
        </w:rPr>
        <w:endnoteReference w:id="27"/>
      </w:r>
      <w:r w:rsidR="000A13DF" w:rsidRPr="005540B8">
        <w:rPr>
          <w:rFonts w:cs="Calibri"/>
        </w:rPr>
        <w:t>.</w:t>
      </w:r>
      <w:r w:rsidR="000A13DF">
        <w:t xml:space="preserve"> </w:t>
      </w:r>
      <w:r w:rsidR="006A1BF6">
        <w:t>The results of the</w:t>
      </w:r>
      <w:r w:rsidR="00F72994">
        <w:t xml:space="preserve"> ProDEP Performance Assessment Framework (PAF) survey </w:t>
      </w:r>
      <w:r w:rsidR="00F076F8">
        <w:t>conducted in 2015</w:t>
      </w:r>
      <w:r w:rsidR="006A1BF6">
        <w:t xml:space="preserve"> indicated as much, with 84% of principals stating that they frequently conducted a range of activities related to ProDEP learning units undertaken in late 2014</w:t>
      </w:r>
      <w:r w:rsidR="006A1BF6">
        <w:rPr>
          <w:rStyle w:val="FootnoteReference"/>
        </w:rPr>
        <w:footnoteReference w:id="21"/>
      </w:r>
      <w:r w:rsidR="006A1BF6">
        <w:t>.</w:t>
      </w:r>
      <w:r w:rsidR="00F076F8">
        <w:t xml:space="preserve"> </w:t>
      </w:r>
      <w:r w:rsidR="000A13DF">
        <w:t>There</w:t>
      </w:r>
      <w:r w:rsidR="000A13DF" w:rsidRPr="005540B8">
        <w:rPr>
          <w:rFonts w:cs="Calibri"/>
        </w:rPr>
        <w:t xml:space="preserve"> were signs in the latter half of the EP that ProDEP was seen as something worthy of continued investment: in 2015-16 </w:t>
      </w:r>
      <w:r w:rsidR="000A13DF">
        <w:t xml:space="preserve">MoEC financed the </w:t>
      </w:r>
      <w:r w:rsidR="006501A7">
        <w:t>‘</w:t>
      </w:r>
      <w:r w:rsidR="000A13DF">
        <w:t>replication</w:t>
      </w:r>
      <w:r w:rsidR="006501A7">
        <w:t>’</w:t>
      </w:r>
      <w:r w:rsidR="000A13DF">
        <w:t xml:space="preserve"> of ProDEP in 39 non-participating districts.</w:t>
      </w:r>
      <w:r w:rsidR="000A13DF" w:rsidRPr="005540B8">
        <w:rPr>
          <w:rFonts w:cs="Calibri"/>
        </w:rPr>
        <w:t xml:space="preserve"> However, this </w:t>
      </w:r>
      <w:r w:rsidR="000A13DF">
        <w:t xml:space="preserve">positive response must be counter-balanced by the probable effects of ProDEP’s declining relevance to key MoEC personnel. While elements of ProDEP have gained traction (see </w:t>
      </w:r>
      <w:r w:rsidR="00803E6A">
        <w:t>Section 4.4.</w:t>
      </w:r>
      <w:r w:rsidR="009B1F75">
        <w:t>4</w:t>
      </w:r>
      <w:r w:rsidR="000A13DF">
        <w:t>), it appears unlikely that ProDEP will be sustained as an integrated, coherent system for tailored and continuous professional development, giving rise to significant question marks about the EP’s contribution to any subsequent changes to the quality of school/madrasah management in Indonesia after 2016.</w:t>
      </w:r>
    </w:p>
    <w:p w14:paraId="6826AC55" w14:textId="12AD9A03" w:rsidR="003D468A" w:rsidRPr="003D468A" w:rsidRDefault="000A13DF" w:rsidP="003D468A">
      <w:pPr>
        <w:pStyle w:val="Heading3"/>
        <w:ind w:left="709" w:hanging="709"/>
      </w:pPr>
      <w:bookmarkStart w:id="48" w:name="_Toc473786312"/>
      <w:r w:rsidRPr="003D468A">
        <w:t>Impact</w:t>
      </w:r>
      <w:bookmarkEnd w:id="48"/>
    </w:p>
    <w:p w14:paraId="6826AC56" w14:textId="1DBF4A1B" w:rsidR="000A13DF" w:rsidRDefault="000A13DF" w:rsidP="000A13DF">
      <w:pPr>
        <w:contextualSpacing/>
        <w:jc w:val="both"/>
      </w:pPr>
      <w:r>
        <w:rPr>
          <w:bCs/>
        </w:rPr>
        <w:t xml:space="preserve">As it stands, it is more probable that </w:t>
      </w:r>
      <w:r w:rsidRPr="002462A8">
        <w:rPr>
          <w:bCs/>
          <w:i/>
        </w:rPr>
        <w:t>elements</w:t>
      </w:r>
      <w:r>
        <w:rPr>
          <w:bCs/>
        </w:rPr>
        <w:t xml:space="preserve"> of ProDEP, and not the system itself, will generate long-term benefits. </w:t>
      </w:r>
      <w:r>
        <w:t xml:space="preserve">Despite the short implementation period </w:t>
      </w:r>
      <w:r w:rsidR="009537C0">
        <w:t xml:space="preserve">– </w:t>
      </w:r>
      <w:r>
        <w:t xml:space="preserve">a total </w:t>
      </w:r>
      <w:r w:rsidR="006118C3">
        <w:t xml:space="preserve">of </w:t>
      </w:r>
      <w:r>
        <w:t>10 months from 2014 to 2015</w:t>
      </w:r>
      <w:r w:rsidR="009537C0">
        <w:t xml:space="preserve"> – </w:t>
      </w:r>
      <w:r>
        <w:t>the program exhibited some short</w:t>
      </w:r>
      <w:r w:rsidR="00803E6A">
        <w:t>-</w:t>
      </w:r>
      <w:r>
        <w:t>term impact within MoEC. The Directorate General for Teacher and Education Personnel has signalled an intention to adopt the ProDEP On-Line Learning (OLL) delivery mechanism for a new principal CPD program that will additionally utilise an unspecified number of ProDEP modules</w:t>
      </w:r>
      <w:r>
        <w:rPr>
          <w:rStyle w:val="FootnoteReference"/>
        </w:rPr>
        <w:footnoteReference w:id="22"/>
      </w:r>
      <w:r>
        <w:t xml:space="preserve">. For MoRA, ProDEP had only very limited impact. Targets for the participation of MoRA personnel in ProDEP were not met in 2014 and 2015 </w:t>
      </w:r>
      <w:r w:rsidRPr="00A421F5">
        <w:t xml:space="preserve">and </w:t>
      </w:r>
      <w:r w:rsidRPr="00A421F5">
        <w:rPr>
          <w:bCs/>
        </w:rPr>
        <w:t>the ministry has signalled its intention to proceed with its own model of CPD for principals in the Islamic education sector.</w:t>
      </w:r>
      <w:r>
        <w:rPr>
          <w:bCs/>
        </w:rPr>
        <w:t xml:space="preserve"> </w:t>
      </w:r>
      <w:r>
        <w:t>There is no evidence to date of districts allocating funds for the financing of ProDEP</w:t>
      </w:r>
      <w:r w:rsidR="00C90BE4">
        <w:t xml:space="preserve"> (CPD and SPD)</w:t>
      </w:r>
      <w:r>
        <w:t>, either through co-financing arrangements with the central ministry or independently.</w:t>
      </w:r>
    </w:p>
    <w:p w14:paraId="6826AC57" w14:textId="77777777" w:rsidR="003D468A" w:rsidRPr="003D468A" w:rsidRDefault="000A13DF" w:rsidP="003D468A">
      <w:pPr>
        <w:pStyle w:val="Heading3"/>
        <w:ind w:left="709" w:hanging="709"/>
      </w:pPr>
      <w:bookmarkStart w:id="49" w:name="_Toc473786313"/>
      <w:r w:rsidRPr="003D468A">
        <w:t>Sustainabi</w:t>
      </w:r>
      <w:r w:rsidR="003D468A" w:rsidRPr="003D468A">
        <w:t>lity</w:t>
      </w:r>
      <w:bookmarkEnd w:id="49"/>
    </w:p>
    <w:p w14:paraId="6826AC58" w14:textId="4B1B3436" w:rsidR="000A13DF" w:rsidRDefault="000A13DF" w:rsidP="000A13DF">
      <w:pPr>
        <w:contextualSpacing/>
        <w:jc w:val="both"/>
      </w:pPr>
      <w:r>
        <w:t>Despite MoEC’s support for the extension of ProDEP activities beyond the EP (</w:t>
      </w:r>
      <w:r w:rsidR="00803E6A">
        <w:t>e.g. see the</w:t>
      </w:r>
      <w:r>
        <w:t xml:space="preserve"> replication in </w:t>
      </w:r>
      <w:r w:rsidR="003D468A">
        <w:t>39</w:t>
      </w:r>
      <w:r>
        <w:t xml:space="preserve"> districts in 2015-16)</w:t>
      </w:r>
      <w:r w:rsidR="009B1F75">
        <w:t>,</w:t>
      </w:r>
      <w:r>
        <w:t xml:space="preserve"> GoA investments in ProDEP are unlikely to produce sustainable outcomes due to the absence of a clear financing strategy. MoEC officials have stated that district-level financing is crucial for the future implementation of ProDEP. Districts, by contrast, view ProDEP as a donor/nationally funded program, with key district level stakeholders (</w:t>
      </w:r>
      <w:r w:rsidR="006118C3">
        <w:t>e.g.</w:t>
      </w:r>
      <w:r>
        <w:t xml:space="preserve"> Heads of District Education Offices) having little to no direct involvement in its implementation.</w:t>
      </w:r>
      <w:r w:rsidR="00386840">
        <w:t xml:space="preserve"> This apparent design oversight, which was</w:t>
      </w:r>
      <w:r w:rsidR="00BD2ED8">
        <w:t xml:space="preserve"> recognised at an early stage, sh</w:t>
      </w:r>
      <w:r w:rsidR="00386840">
        <w:t>ould have been proactively managed during implementation.</w:t>
      </w:r>
    </w:p>
    <w:p w14:paraId="236A8AE6" w14:textId="36D6F797" w:rsidR="00DB4F15" w:rsidRDefault="00DB4F15" w:rsidP="00DB4F15">
      <w:pPr>
        <w:pStyle w:val="Heading3"/>
        <w:ind w:left="709" w:hanging="709"/>
      </w:pPr>
      <w:bookmarkStart w:id="50" w:name="_Toc473786314"/>
      <w:r>
        <w:t>Value for Money</w:t>
      </w:r>
      <w:bookmarkEnd w:id="50"/>
    </w:p>
    <w:p w14:paraId="6BF4F138" w14:textId="11E67D7D" w:rsidR="00DB4F15" w:rsidRDefault="00DB4F15" w:rsidP="00DB4F15">
      <w:pPr>
        <w:contextualSpacing/>
        <w:jc w:val="both"/>
      </w:pPr>
      <w:r>
        <w:t>The value proposition of C2, or more specifically ProDEP, declined over the course of the EP. Initially valued at AUD 134 million, the final value of the ProDEP Grant Agreement (GA) was AUD 38 million, of which only AUD 31 million was spent. With this reduction to the value of the GA, the economy of operating through government systems was lost as the cost of technical assistance services to support the development of ProDEP rose in both real and proportional terms.</w:t>
      </w:r>
    </w:p>
    <w:p w14:paraId="2ED6D0A7" w14:textId="77777777" w:rsidR="00DB4F15" w:rsidRDefault="00DB4F15" w:rsidP="00DB4F15">
      <w:pPr>
        <w:contextualSpacing/>
        <w:jc w:val="both"/>
      </w:pPr>
    </w:p>
    <w:p w14:paraId="6826AC5A" w14:textId="752197FF" w:rsidR="00B07521" w:rsidRDefault="00DB4F15" w:rsidP="00DB4F15">
      <w:pPr>
        <w:contextualSpacing/>
        <w:jc w:val="both"/>
      </w:pPr>
      <w:r>
        <w:t>Reductions to the ProDEP GA did satisfy other VFM criteria related to the appropriate management of financial risk. However, the scale of reductions to the GA ultimately compromised the ability of the activity to generate sufficient impact to ensure the sustainability of the investment. The VFM realised by C2 primarily resided in the array of innovative strategies and technical products that were developed to support the strengthening of principal and educational personnel competencies.</w:t>
      </w:r>
    </w:p>
    <w:p w14:paraId="6826AC65" w14:textId="6B95C1D0" w:rsidR="000A13DF" w:rsidRDefault="000A13DF" w:rsidP="00082D8B">
      <w:pPr>
        <w:pStyle w:val="Heading2"/>
      </w:pPr>
      <w:bookmarkStart w:id="51" w:name="_Toc468197773"/>
      <w:bookmarkStart w:id="52" w:name="_Toc468197911"/>
      <w:bookmarkStart w:id="53" w:name="_Toc468197774"/>
      <w:bookmarkStart w:id="54" w:name="_Toc468197912"/>
      <w:bookmarkStart w:id="55" w:name="_Toc473786315"/>
      <w:bookmarkEnd w:id="51"/>
      <w:bookmarkEnd w:id="52"/>
      <w:bookmarkEnd w:id="53"/>
      <w:bookmarkEnd w:id="54"/>
      <w:r w:rsidRPr="005540B8">
        <w:t>Component 3: Islamic School Accreditation</w:t>
      </w:r>
      <w:bookmarkEnd w:id="55"/>
    </w:p>
    <w:p w14:paraId="6826AC66" w14:textId="77777777" w:rsidR="0069422E" w:rsidRDefault="0069422E" w:rsidP="0069422E">
      <w:pPr>
        <w:pStyle w:val="Heading3"/>
        <w:ind w:left="709" w:hanging="709"/>
      </w:pPr>
      <w:bookmarkStart w:id="56" w:name="_Toc473786316"/>
      <w:r>
        <w:t>S</w:t>
      </w:r>
      <w:r w:rsidRPr="00E80498">
        <w:t>ummary</w:t>
      </w:r>
      <w:r w:rsidR="00F86435">
        <w:t xml:space="preserve"> of performance against DAC criteria</w:t>
      </w:r>
      <w:bookmarkEnd w:id="56"/>
    </w:p>
    <w:p w14:paraId="0F2494D7" w14:textId="02FE6A90" w:rsidR="004F24D6" w:rsidRPr="004F24D6" w:rsidRDefault="004F24D6" w:rsidP="004F24D6">
      <w:pPr>
        <w:pStyle w:val="ListParagraph"/>
        <w:numPr>
          <w:ilvl w:val="0"/>
          <w:numId w:val="25"/>
        </w:numPr>
        <w:spacing w:before="120" w:after="120" w:line="288" w:lineRule="auto"/>
        <w:ind w:left="714" w:hanging="357"/>
        <w:rPr>
          <w:lang w:val="en-AU"/>
        </w:rPr>
      </w:pPr>
      <w:r w:rsidRPr="004F24D6">
        <w:rPr>
          <w:lang w:val="en-AU"/>
        </w:rPr>
        <w:t>C3 remained highly relevant within the EP and demonstrated the advantages of smaller, strategic investments.</w:t>
      </w:r>
    </w:p>
    <w:p w14:paraId="096EADF0" w14:textId="530F0654" w:rsidR="004F24D6" w:rsidRPr="004F24D6" w:rsidRDefault="004F24D6" w:rsidP="004F24D6">
      <w:pPr>
        <w:pStyle w:val="ListParagraph"/>
        <w:numPr>
          <w:ilvl w:val="0"/>
          <w:numId w:val="25"/>
        </w:numPr>
        <w:spacing w:before="120" w:after="120" w:line="288" w:lineRule="auto"/>
        <w:ind w:left="714" w:hanging="357"/>
        <w:rPr>
          <w:lang w:val="en-AU"/>
        </w:rPr>
      </w:pPr>
      <w:r w:rsidRPr="004F24D6">
        <w:rPr>
          <w:lang w:val="en-AU"/>
        </w:rPr>
        <w:t>C3 exhibited strong efficiency in the delivery of services that led directly to the accreditation of madrasah.</w:t>
      </w:r>
    </w:p>
    <w:p w14:paraId="76137BA5" w14:textId="0550F6C8" w:rsidR="004F24D6" w:rsidRPr="004F24D6" w:rsidRDefault="004F24D6" w:rsidP="004F24D6">
      <w:pPr>
        <w:pStyle w:val="ListParagraph"/>
        <w:numPr>
          <w:ilvl w:val="0"/>
          <w:numId w:val="25"/>
        </w:numPr>
        <w:spacing w:before="120" w:after="120" w:line="288" w:lineRule="auto"/>
        <w:ind w:left="714" w:hanging="357"/>
        <w:rPr>
          <w:lang w:val="en-AU"/>
        </w:rPr>
      </w:pPr>
      <w:r w:rsidRPr="004F24D6">
        <w:rPr>
          <w:lang w:val="en-AU"/>
        </w:rPr>
        <w:t>C3 reflected the value of establishing a presence at a sub-national level in order to attain goals related to the strengthening of systems at the district level (effectiveness and impact).</w:t>
      </w:r>
    </w:p>
    <w:p w14:paraId="691C90CF" w14:textId="0E180EEF" w:rsidR="004F24D6" w:rsidRPr="004F24D6" w:rsidRDefault="004F24D6" w:rsidP="004F24D6">
      <w:pPr>
        <w:pStyle w:val="ListParagraph"/>
        <w:numPr>
          <w:ilvl w:val="0"/>
          <w:numId w:val="25"/>
        </w:numPr>
        <w:spacing w:before="120" w:after="120" w:line="288" w:lineRule="auto"/>
        <w:ind w:left="714" w:hanging="357"/>
        <w:rPr>
          <w:lang w:val="en-AU"/>
        </w:rPr>
      </w:pPr>
      <w:r w:rsidRPr="004F24D6">
        <w:rPr>
          <w:lang w:val="en-AU"/>
        </w:rPr>
        <w:t>C3 displayed evidence that it was strengthening systems that will support improvements to the quality of madrasah service provision over the longer term (sustainability)</w:t>
      </w:r>
    </w:p>
    <w:p w14:paraId="6826AC68" w14:textId="77777777" w:rsidR="003D468A" w:rsidRPr="003D468A" w:rsidRDefault="000A13DF" w:rsidP="003D468A">
      <w:pPr>
        <w:pStyle w:val="Heading3"/>
        <w:ind w:left="709" w:hanging="709"/>
      </w:pPr>
      <w:bookmarkStart w:id="57" w:name="_Toc473786317"/>
      <w:r w:rsidRPr="003D468A">
        <w:t>Introduction</w:t>
      </w:r>
      <w:bookmarkEnd w:id="57"/>
    </w:p>
    <w:p w14:paraId="6826AC69" w14:textId="6DAECB43" w:rsidR="000A13DF" w:rsidRDefault="000A13DF" w:rsidP="000A13DF">
      <w:pPr>
        <w:jc w:val="both"/>
      </w:pPr>
      <w:r>
        <w:t>C</w:t>
      </w:r>
      <w:r w:rsidRPr="003944AC">
        <w:t>3</w:t>
      </w:r>
      <w:r>
        <w:t xml:space="preserve"> was designed to support MoRA to meet </w:t>
      </w:r>
      <w:r w:rsidR="00803E6A">
        <w:t xml:space="preserve">its </w:t>
      </w:r>
      <w:r>
        <w:t xml:space="preserve">2010-2014 </w:t>
      </w:r>
      <w:r w:rsidRPr="006118C3">
        <w:rPr>
          <w:i/>
        </w:rPr>
        <w:t>Renstra</w:t>
      </w:r>
      <w:r>
        <w:t xml:space="preserve"> targets for the accreditation of madrasah and to support the development of madrasah quality improvement systems more generally. The program represented an ongoing commitment </w:t>
      </w:r>
      <w:r w:rsidR="00D433DF">
        <w:t xml:space="preserve">by GoA </w:t>
      </w:r>
      <w:r>
        <w:t xml:space="preserve">to Indonesia’s Islamic education sector that had commenced under </w:t>
      </w:r>
      <w:r w:rsidR="005F523C">
        <w:t>AusAID</w:t>
      </w:r>
      <w:r>
        <w:t>’s earlier Learning Assistance Program for Islamic Schools (LAPIS).</w:t>
      </w:r>
    </w:p>
    <w:p w14:paraId="6826AC6A" w14:textId="6FC94194" w:rsidR="000A13DF" w:rsidRPr="00226D58" w:rsidRDefault="000A13DF" w:rsidP="000A13DF">
      <w:pPr>
        <w:jc w:val="both"/>
        <w:rPr>
          <w:b/>
        </w:rPr>
      </w:pPr>
      <w:r>
        <w:t xml:space="preserve">C3 was distinct from C1 and C2 in that it was located outside of the main counterpart ministry of MoEC, was delivered as a project by a Managing Contractor, and targeted assistance to the private education sector. It was also a comparatively small part of the EP investment, with the </w:t>
      </w:r>
      <w:r w:rsidRPr="003944AC">
        <w:t xml:space="preserve">AUD </w:t>
      </w:r>
      <w:r w:rsidR="00364D40">
        <w:t>3</w:t>
      </w:r>
      <w:r w:rsidR="00364D40" w:rsidRPr="003944AC">
        <w:t xml:space="preserve">7 </w:t>
      </w:r>
      <w:r w:rsidRPr="003944AC">
        <w:t>million</w:t>
      </w:r>
      <w:r>
        <w:t xml:space="preserve"> investment representing only</w:t>
      </w:r>
      <w:r w:rsidRPr="003944AC">
        <w:t xml:space="preserve"> </w:t>
      </w:r>
      <w:r w:rsidR="00364D40">
        <w:t>ten</w:t>
      </w:r>
      <w:r w:rsidR="00364D40" w:rsidRPr="003944AC">
        <w:t xml:space="preserve"> </w:t>
      </w:r>
      <w:r w:rsidRPr="003944AC">
        <w:t xml:space="preserve">percent of </w:t>
      </w:r>
      <w:r>
        <w:t>the</w:t>
      </w:r>
      <w:r w:rsidR="00D433DF">
        <w:t xml:space="preserve"> revised</w:t>
      </w:r>
      <w:r>
        <w:t xml:space="preserve"> </w:t>
      </w:r>
      <w:r w:rsidRPr="003944AC">
        <w:t xml:space="preserve">EP </w:t>
      </w:r>
      <w:r>
        <w:t>budget (see Table 1)</w:t>
      </w:r>
      <w:r w:rsidRPr="003944AC">
        <w:t>.</w:t>
      </w:r>
      <w:r>
        <w:rPr>
          <w:i/>
        </w:rPr>
        <w:t xml:space="preserve"> </w:t>
      </w:r>
      <w:r>
        <w:t>C3 provided conditional block grants of AUD 10,000 to 1,500 primary and junior secondary private madrasah for the purposes of preparing them for institutional accreditation. C3 was housed in the central MoRA ministry, but operated through a network of Sub-National Implementation Partners (SNIPs) in targeted provinces.</w:t>
      </w:r>
    </w:p>
    <w:p w14:paraId="6826AC6B" w14:textId="77777777" w:rsidR="00CD1A86" w:rsidRPr="00CD1A86" w:rsidRDefault="000A13DF" w:rsidP="00CD1A86">
      <w:pPr>
        <w:pStyle w:val="Heading3"/>
        <w:ind w:left="709" w:hanging="709"/>
      </w:pPr>
      <w:bookmarkStart w:id="58" w:name="_Toc473786318"/>
      <w:r w:rsidRPr="00CD1A86">
        <w:t>Relevance</w:t>
      </w:r>
      <w:bookmarkEnd w:id="58"/>
    </w:p>
    <w:p w14:paraId="6826AC6C" w14:textId="1341F2F1" w:rsidR="000A13DF" w:rsidRDefault="007E6C26" w:rsidP="00012BDF">
      <w:pPr>
        <w:widowControl w:val="0"/>
        <w:jc w:val="both"/>
      </w:pPr>
      <w:r>
        <w:t xml:space="preserve">The EP </w:t>
      </w:r>
      <w:r w:rsidR="000A13DF">
        <w:t>i</w:t>
      </w:r>
      <w:r w:rsidR="000A13DF" w:rsidRPr="003944AC">
        <w:t xml:space="preserve">nvestment in the madrasah sector </w:t>
      </w:r>
      <w:r>
        <w:t>was</w:t>
      </w:r>
      <w:r w:rsidRPr="003944AC">
        <w:t xml:space="preserve"> </w:t>
      </w:r>
      <w:r w:rsidR="000A13DF">
        <w:t>well-</w:t>
      </w:r>
      <w:r w:rsidR="000A13DF" w:rsidRPr="003944AC">
        <w:t>aligned with Mo</w:t>
      </w:r>
      <w:r w:rsidR="000A13DF">
        <w:t>RA</w:t>
      </w:r>
      <w:r>
        <w:t>’s</w:t>
      </w:r>
      <w:r w:rsidR="000A13DF">
        <w:t xml:space="preserve"> </w:t>
      </w:r>
      <w:r w:rsidR="000A13DF" w:rsidRPr="005D4A17">
        <w:rPr>
          <w:i/>
        </w:rPr>
        <w:t>Renstra</w:t>
      </w:r>
      <w:r w:rsidR="000A13DF">
        <w:t xml:space="preserve"> </w:t>
      </w:r>
      <w:r>
        <w:t xml:space="preserve">ambition </w:t>
      </w:r>
      <w:r w:rsidR="000A13DF">
        <w:t>to boost the accreditation of private madrasah</w:t>
      </w:r>
      <w:r w:rsidR="000A13DF" w:rsidRPr="003944AC">
        <w:t>.</w:t>
      </w:r>
      <w:r w:rsidR="00F67592">
        <w:t xml:space="preserve"> AusAID</w:t>
      </w:r>
      <w:r w:rsidR="000A13DF">
        <w:t>’s decision to continue with investments in the private Islamic education sector was likewise highly relevant to equity and poverty alleviation development agendas, as private madrasah account for a significant percentage</w:t>
      </w:r>
      <w:r w:rsidR="000A13DF">
        <w:rPr>
          <w:rStyle w:val="FootnoteReference"/>
        </w:rPr>
        <w:footnoteReference w:id="23"/>
      </w:r>
      <w:r w:rsidR="000A13DF">
        <w:t xml:space="preserve"> of Indonesian students enrolled at the primary and junior secondary levels and frequently provide services in remote and underserved areas. The relevance of the </w:t>
      </w:r>
      <w:r>
        <w:t xml:space="preserve">investment </w:t>
      </w:r>
      <w:r w:rsidR="000A13DF">
        <w:t xml:space="preserve">remained strong for the duration of the EP, partly due to </w:t>
      </w:r>
      <w:r w:rsidR="00F67592">
        <w:t>the Embassy’s</w:t>
      </w:r>
      <w:r w:rsidR="000A13DF">
        <w:t xml:space="preserve"> confidence in </w:t>
      </w:r>
      <w:r w:rsidR="00D433DF">
        <w:t xml:space="preserve">the comparatively small fiduciary risk associated with a </w:t>
      </w:r>
      <w:r w:rsidR="000A13DF">
        <w:t>direct delivery modality and the</w:t>
      </w:r>
      <w:r w:rsidR="00D433DF">
        <w:t xml:space="preserve"> visibility and</w:t>
      </w:r>
      <w:r w:rsidR="000A13DF">
        <w:t xml:space="preserve"> political good-will generated by investments in the Islamic education sub-sector.</w:t>
      </w:r>
    </w:p>
    <w:p w14:paraId="6826AC6D" w14:textId="77777777" w:rsidR="00CD1A86" w:rsidRDefault="000A13DF" w:rsidP="00012BDF">
      <w:pPr>
        <w:pStyle w:val="Heading3"/>
        <w:keepNext w:val="0"/>
        <w:widowControl w:val="0"/>
        <w:ind w:left="709" w:hanging="709"/>
      </w:pPr>
      <w:bookmarkStart w:id="59" w:name="_Toc473786319"/>
      <w:r w:rsidRPr="00CD1A86">
        <w:t>Efficiency</w:t>
      </w:r>
      <w:bookmarkEnd w:id="59"/>
    </w:p>
    <w:p w14:paraId="6826AC6E" w14:textId="71AECFC4" w:rsidR="000A13DF" w:rsidRPr="003944AC" w:rsidRDefault="000A13DF" w:rsidP="00012BDF">
      <w:pPr>
        <w:widowControl w:val="0"/>
        <w:jc w:val="both"/>
      </w:pPr>
      <w:r w:rsidRPr="003944AC">
        <w:t xml:space="preserve">C3 </w:t>
      </w:r>
      <w:r>
        <w:t>exhibited strong efficiency for the duration of the EP</w:t>
      </w:r>
      <w:r w:rsidRPr="003944AC">
        <w:t xml:space="preserve">. Targets for madrasah accreditation were met in a timely fashion and performance against indicators </w:t>
      </w:r>
      <w:r>
        <w:t>established in the 2013 Performance M</w:t>
      </w:r>
      <w:r w:rsidR="005D4A17">
        <w:t>ilestone</w:t>
      </w:r>
      <w:r>
        <w:t xml:space="preserve"> Framework (PMF) </w:t>
      </w:r>
      <w:r w:rsidRPr="003944AC">
        <w:t>was strong</w:t>
      </w:r>
      <w:r w:rsidR="00D433DF">
        <w:t xml:space="preserve"> (see Table 2)</w:t>
      </w:r>
      <w:r w:rsidRPr="003944AC">
        <w:t xml:space="preserve">. </w:t>
      </w:r>
      <w:r>
        <w:t xml:space="preserve">The allocation of block grants proceeded smoothly and the acquittal of grants by recipient madrasah was carefully monitored by the Managing Contractor in accordance with guidelines. The initial </w:t>
      </w:r>
      <w:r w:rsidR="00AB615D">
        <w:t>reluctance</w:t>
      </w:r>
      <w:r>
        <w:t xml:space="preserve"> of C3 to strengthen MoRA systems to support madrasah quality improvement beyond the end of the partnership was addressed from 2014 onwards </w:t>
      </w:r>
      <w:r w:rsidR="00BB0E78">
        <w:t xml:space="preserve">via a reallocation of project resources towards policy reform activities </w:t>
      </w:r>
      <w:r>
        <w:t xml:space="preserve">and reflected a good level of responsiveness to performance monitoring information. </w:t>
      </w:r>
    </w:p>
    <w:p w14:paraId="6826AC6F" w14:textId="77777777" w:rsidR="00CD1A86" w:rsidRPr="002C164F" w:rsidRDefault="000A13DF" w:rsidP="002C164F">
      <w:pPr>
        <w:pStyle w:val="Heading3"/>
        <w:ind w:left="709" w:hanging="709"/>
      </w:pPr>
      <w:bookmarkStart w:id="60" w:name="_Toc473786320"/>
      <w:r w:rsidRPr="002C164F">
        <w:t>Effectiveness</w:t>
      </w:r>
      <w:bookmarkEnd w:id="60"/>
    </w:p>
    <w:p w14:paraId="6826AC70" w14:textId="6FA07AF5" w:rsidR="000A13DF" w:rsidRPr="003944AC" w:rsidRDefault="000A13DF" w:rsidP="000A13DF">
      <w:pPr>
        <w:jc w:val="both"/>
      </w:pPr>
      <w:r>
        <w:t>C3’s accreditation-focused support to 1,500 madrasah was unlikely to generate district</w:t>
      </w:r>
      <w:r w:rsidR="007E6C26">
        <w:t>-</w:t>
      </w:r>
      <w:r>
        <w:t>level impact due to the small footprint of the program both nationally and within targeted districts themselves</w:t>
      </w:r>
      <w:r w:rsidR="00D433DF">
        <w:rPr>
          <w:rStyle w:val="FootnoteReference"/>
        </w:rPr>
        <w:footnoteReference w:id="24"/>
      </w:r>
      <w:r>
        <w:t xml:space="preserve">. In the final two years of the program, however, significant measures were taken to mitigate this limitation. Most notably, C3 supported </w:t>
      </w:r>
      <w:r w:rsidRPr="003944AC">
        <w:t xml:space="preserve">MoRA </w:t>
      </w:r>
      <w:r>
        <w:t>in the</w:t>
      </w:r>
      <w:r w:rsidRPr="003944AC">
        <w:t xml:space="preserve"> draft</w:t>
      </w:r>
      <w:r>
        <w:t>ing</w:t>
      </w:r>
      <w:r w:rsidRPr="003944AC">
        <w:t xml:space="preserve"> </w:t>
      </w:r>
      <w:r>
        <w:t>of a</w:t>
      </w:r>
      <w:r w:rsidRPr="003944AC">
        <w:t xml:space="preserve"> regulation </w:t>
      </w:r>
      <w:r w:rsidR="00CF1BB8">
        <w:t xml:space="preserve">to expand and strengthen the role of </w:t>
      </w:r>
      <w:r w:rsidRPr="003944AC">
        <w:t xml:space="preserve">provincial-level </w:t>
      </w:r>
      <w:r w:rsidR="00CF1BB8" w:rsidRPr="002757F1">
        <w:t xml:space="preserve">Madrasah Development </w:t>
      </w:r>
      <w:r w:rsidR="00DE7AD2" w:rsidRPr="002757F1">
        <w:t>Centres</w:t>
      </w:r>
      <w:r w:rsidR="009D4DBF" w:rsidRPr="002757F1">
        <w:t xml:space="preserve"> (MDCs)</w:t>
      </w:r>
      <w:r w:rsidR="00CF1BB8" w:rsidRPr="002757F1">
        <w:t>.</w:t>
      </w:r>
      <w:r>
        <w:t xml:space="preserve"> C3’s engagement of th</w:t>
      </w:r>
      <w:r w:rsidR="00CF1BB8">
        <w:t xml:space="preserve">ese agencies </w:t>
      </w:r>
      <w:r>
        <w:t xml:space="preserve">as </w:t>
      </w:r>
      <w:r w:rsidR="00CF1BB8">
        <w:t xml:space="preserve">Implementing Partners </w:t>
      </w:r>
      <w:r>
        <w:t>for the final two cycles of the</w:t>
      </w:r>
      <w:r w:rsidR="00CF1BB8">
        <w:t xml:space="preserve"> madrasah</w:t>
      </w:r>
      <w:r>
        <w:t xml:space="preserve"> accredi</w:t>
      </w:r>
      <w:r w:rsidR="00CF1BB8">
        <w:t>tation</w:t>
      </w:r>
      <w:r>
        <w:t xml:space="preserve"> </w:t>
      </w:r>
      <w:r w:rsidR="009D4DBF">
        <w:t>was an astute move that greatly strengthened sub-national systems. The new regulation provided MDCs with routine funding for the first time, enabling them to provide ongoing support for quality improvement activities in the madrasah sector.</w:t>
      </w:r>
    </w:p>
    <w:p w14:paraId="6826AC71" w14:textId="77777777" w:rsidR="00CD1A86" w:rsidRPr="002C164F" w:rsidRDefault="000A13DF" w:rsidP="002C164F">
      <w:pPr>
        <w:pStyle w:val="Heading3"/>
        <w:ind w:left="709" w:hanging="709"/>
      </w:pPr>
      <w:bookmarkStart w:id="61" w:name="_Toc473786321"/>
      <w:r w:rsidRPr="002C164F">
        <w:t>Impact</w:t>
      </w:r>
      <w:bookmarkEnd w:id="61"/>
    </w:p>
    <w:p w14:paraId="6826AC72" w14:textId="7D9445C1" w:rsidR="000A13DF" w:rsidRDefault="000A13DF" w:rsidP="005D24E2">
      <w:pPr>
        <w:jc w:val="both"/>
      </w:pPr>
      <w:r w:rsidRPr="003944AC">
        <w:t xml:space="preserve">Steady </w:t>
      </w:r>
      <w:r w:rsidR="00BD2ED8">
        <w:t xml:space="preserve">annual </w:t>
      </w:r>
      <w:r w:rsidRPr="003944AC">
        <w:t xml:space="preserve">improvement in </w:t>
      </w:r>
      <w:r>
        <w:t xml:space="preserve">the performance of C3 against the DAC criterion for </w:t>
      </w:r>
      <w:r w:rsidRPr="002757F1">
        <w:rPr>
          <w:i/>
        </w:rPr>
        <w:t>Impact</w:t>
      </w:r>
      <w:r w:rsidRPr="003944AC">
        <w:t xml:space="preserve"> reflected </w:t>
      </w:r>
      <w:r>
        <w:t>an increasing degree of</w:t>
      </w:r>
      <w:r w:rsidRPr="003944AC">
        <w:t xml:space="preserve"> MoRA buy-in</w:t>
      </w:r>
      <w:r>
        <w:t xml:space="preserve"> for C3 activities and the uptake of C3 models by non-minist</w:t>
      </w:r>
      <w:r w:rsidR="00677523">
        <w:t>ry</w:t>
      </w:r>
      <w:r>
        <w:t xml:space="preserve"> actors</w:t>
      </w:r>
      <w:r w:rsidR="00847451">
        <w:t xml:space="preserve">, such as </w:t>
      </w:r>
      <w:r w:rsidR="003B5468" w:rsidRPr="003B5468">
        <w:t xml:space="preserve">the Al-Maarif </w:t>
      </w:r>
      <w:r w:rsidR="006B4704">
        <w:t>F</w:t>
      </w:r>
      <w:r w:rsidR="003B5468" w:rsidRPr="003B5468">
        <w:t>oundation.</w:t>
      </w:r>
      <w:r>
        <w:t xml:space="preserve"> In 2014 and 2015, MoRA financed a modified </w:t>
      </w:r>
      <w:r w:rsidRPr="003944AC">
        <w:t xml:space="preserve">replication </w:t>
      </w:r>
      <w:r>
        <w:t>of the C3 accreditation model for an additional 3,153 madrasah nationwide. The Al-Maarif Foundation of Central Java employed C3 modules for quality improvement activities in an additional 2,000 madrasah. Although the uptake of C3 materials or quality improvement approaches was typically partial in nature, it nonetheless significantly expanded the impact of the program beyond the relatively small number of institutions targeted for direct assistance.</w:t>
      </w:r>
    </w:p>
    <w:p w14:paraId="6826AC73" w14:textId="43F3DEFB" w:rsidR="000A13DF" w:rsidRPr="003944AC" w:rsidRDefault="000A13DF" w:rsidP="000A13DF">
      <w:pPr>
        <w:jc w:val="both"/>
      </w:pPr>
      <w:r>
        <w:t>C3 additionally demonstrated considerable success in the identification and generation of alternative</w:t>
      </w:r>
      <w:r w:rsidRPr="003944AC">
        <w:t xml:space="preserve"> </w:t>
      </w:r>
      <w:r>
        <w:t>funding for madrasah quality improvement</w:t>
      </w:r>
      <w:r w:rsidR="000970E8">
        <w:t>.</w:t>
      </w:r>
      <w:r w:rsidR="009D4DBF">
        <w:t xml:space="preserve"> </w:t>
      </w:r>
      <w:r w:rsidR="000970E8">
        <w:t>AUD 1,282,000</w:t>
      </w:r>
      <w:r w:rsidR="009D4DBF">
        <w:t xml:space="preserve"> was generated from community and private sector</w:t>
      </w:r>
      <w:r w:rsidR="000970E8">
        <w:t xml:space="preserve"> sources</w:t>
      </w:r>
      <w:r w:rsidR="000D0891">
        <w:t xml:space="preserve"> for C3-assisted madrasah. </w:t>
      </w:r>
      <w:r w:rsidR="000970E8">
        <w:t xml:space="preserve">MoRA (central) </w:t>
      </w:r>
      <w:r w:rsidR="000D0891">
        <w:t xml:space="preserve">contributed AUD 2,945,455 along with a further </w:t>
      </w:r>
      <w:r w:rsidR="000970E8">
        <w:t>AUD 1,091,505 in district government funding</w:t>
      </w:r>
      <w:r w:rsidR="000D0891">
        <w:t xml:space="preserve">. In total, over AUD 6 million was generated to support quality improvement in madrasah targeted by C3. </w:t>
      </w:r>
    </w:p>
    <w:p w14:paraId="6826AC74" w14:textId="77777777" w:rsidR="00CD1A86" w:rsidRPr="002C164F" w:rsidRDefault="000A13DF" w:rsidP="002C164F">
      <w:pPr>
        <w:pStyle w:val="Heading3"/>
        <w:ind w:left="709" w:hanging="709"/>
      </w:pPr>
      <w:bookmarkStart w:id="62" w:name="_Toc473786322"/>
      <w:r w:rsidRPr="002C164F">
        <w:t>Sustainability</w:t>
      </w:r>
      <w:bookmarkEnd w:id="62"/>
    </w:p>
    <w:p w14:paraId="6826AC75" w14:textId="625CDD24" w:rsidR="0069422E" w:rsidRDefault="000A13DF" w:rsidP="00FA6A35">
      <w:pPr>
        <w:jc w:val="both"/>
      </w:pPr>
      <w:r w:rsidRPr="003944AC">
        <w:t>C3</w:t>
      </w:r>
      <w:r w:rsidR="00F44476">
        <w:t xml:space="preserve">’s sustainability performance was subject to critical comment </w:t>
      </w:r>
      <w:r w:rsidR="00DE7AD2">
        <w:t>in POM’s</w:t>
      </w:r>
      <w:r w:rsidR="00F44476">
        <w:t xml:space="preserve"> initial APPRs </w:t>
      </w:r>
      <w:r w:rsidRPr="003944AC">
        <w:t>due to the traditional ‘project’ design of the intervention</w:t>
      </w:r>
      <w:r w:rsidR="007E6C26">
        <w:t xml:space="preserve"> </w:t>
      </w:r>
      <w:r w:rsidR="007E6C26" w:rsidRPr="003B5468">
        <w:t xml:space="preserve">(see </w:t>
      </w:r>
      <w:r w:rsidR="005D4A17" w:rsidRPr="003B5468">
        <w:t>Annex II</w:t>
      </w:r>
      <w:r w:rsidR="007E6C26" w:rsidRPr="003B5468">
        <w:t>)</w:t>
      </w:r>
      <w:r w:rsidRPr="003B5468">
        <w:t>.</w:t>
      </w:r>
      <w:r w:rsidRPr="003944AC">
        <w:t xml:space="preserve"> </w:t>
      </w:r>
      <w:r>
        <w:t xml:space="preserve">The block grant model employed by the EP was too expensive for MoRA to finance and was </w:t>
      </w:r>
      <w:r w:rsidR="00F44476">
        <w:t xml:space="preserve">generally </w:t>
      </w:r>
      <w:r>
        <w:t xml:space="preserve">regarded as too comprehensive for the sector’s needs. From 2014 onwards, MoRA’s commitment to replication activities and support for the improvement of sub-national systems for madrasah quality improvement significantly boosted the likelihood that C3 investments would be carried forward beyond the end of the EP. </w:t>
      </w:r>
      <w:r w:rsidR="000D0891">
        <w:t xml:space="preserve">In 2014-15 MoRA committed approximately AUD 17 million for a modified program of C3 replication </w:t>
      </w:r>
      <w:r w:rsidR="00224652">
        <w:t>in over 3,000</w:t>
      </w:r>
      <w:r w:rsidR="000D0891">
        <w:t xml:space="preserve"> madrasah. </w:t>
      </w:r>
      <w:r>
        <w:t xml:space="preserve">Nonetheless, </w:t>
      </w:r>
      <w:r w:rsidR="00224652">
        <w:t xml:space="preserve">by the time of component closure in December 2015 </w:t>
      </w:r>
      <w:r>
        <w:t>key figures within MoRA ha</w:t>
      </w:r>
      <w:r w:rsidR="00224652">
        <w:t>d</w:t>
      </w:r>
      <w:r>
        <w:t xml:space="preserve"> not committed to proposed sustainability agendas, most notably that which was presented in the 2015 DFAT-commissioned </w:t>
      </w:r>
      <w:r w:rsidRPr="001B0069">
        <w:rPr>
          <w:i/>
        </w:rPr>
        <w:t>Strategy to Develop a Continuous Program Madrasah Quality Improvement: The Grand Design.</w:t>
      </w:r>
      <w:r>
        <w:t xml:space="preserve"> </w:t>
      </w:r>
    </w:p>
    <w:p w14:paraId="2261E52E" w14:textId="77777777" w:rsidR="00DB4F15" w:rsidRDefault="00DB4F15" w:rsidP="00DB4F15">
      <w:pPr>
        <w:jc w:val="both"/>
      </w:pPr>
      <w:r>
        <w:t xml:space="preserve">An AUD 10 million reduction in the C3 budget early in the life of the EP did not affect the capacity of Implementing Partners to meet accreditation targets. The adjusted budget was well-proportioned to enable the Implementing Partner to carry out activities at a high level of efficiency, whilst also stimulating the GoI partner (MoRA) to direct significant levels of internal funding to support the expansion of those activities. </w:t>
      </w:r>
    </w:p>
    <w:p w14:paraId="20A1CDE9" w14:textId="28DD830B" w:rsidR="00DB4F15" w:rsidRDefault="00DB4F15" w:rsidP="00DB4F15">
      <w:pPr>
        <w:pStyle w:val="Heading3"/>
        <w:ind w:left="709" w:hanging="709"/>
      </w:pPr>
      <w:bookmarkStart w:id="63" w:name="_Toc473786323"/>
      <w:r w:rsidRPr="00DB4F15">
        <w:t>Value for Money</w:t>
      </w:r>
      <w:bookmarkEnd w:id="63"/>
    </w:p>
    <w:p w14:paraId="7A651FF5" w14:textId="77777777" w:rsidR="00DB4F15" w:rsidRDefault="00DB4F15" w:rsidP="00DB4F15">
      <w:pPr>
        <w:jc w:val="both"/>
      </w:pPr>
      <w:r>
        <w:t>The manner in which MoRA opted to simplify C3 modules and reduce grant sums for replication activities does speak to a certain inefficiency in the development of technical products that are not considered ‘fit for purpose’ by the partner institution. Likewise, analysis of program impact indicated that Block Grant expenditure on madrasah infrastructure may have been more effective if exclusively directed towards training support.</w:t>
      </w:r>
    </w:p>
    <w:p w14:paraId="6826AC76" w14:textId="40DB6650" w:rsidR="00FA6A35" w:rsidRDefault="00DB4F15" w:rsidP="00DB4F15">
      <w:pPr>
        <w:jc w:val="both"/>
      </w:pPr>
      <w:r>
        <w:t>The C3 investment placed a relatively low burden upon DFAT’s own limited managerial resources. Stakeholders were aided by a comparatively stable policy environment in MoRA, but more so by a delivery modality that removed the risks inherent in financing activities through GoI systems.</w:t>
      </w:r>
    </w:p>
    <w:p w14:paraId="54F90E84" w14:textId="77777777" w:rsidR="00DB4F15" w:rsidRPr="00FA6A35" w:rsidRDefault="00DB4F15" w:rsidP="00DB4F15">
      <w:pPr>
        <w:jc w:val="both"/>
      </w:pPr>
    </w:p>
    <w:p w14:paraId="6826AC77" w14:textId="77777777" w:rsidR="000A13DF" w:rsidRDefault="000A13DF" w:rsidP="00082D8B">
      <w:pPr>
        <w:pStyle w:val="Heading2"/>
      </w:pPr>
      <w:bookmarkStart w:id="64" w:name="_Toc473786324"/>
      <w:r w:rsidRPr="005540B8">
        <w:t>Component 4: Analytical Capacity and Development Partnership</w:t>
      </w:r>
      <w:bookmarkEnd w:id="64"/>
    </w:p>
    <w:p w14:paraId="6826AC78" w14:textId="243A20AD" w:rsidR="0069422E" w:rsidRDefault="0069422E" w:rsidP="0069422E">
      <w:pPr>
        <w:pStyle w:val="Heading3"/>
        <w:ind w:left="709" w:hanging="709"/>
      </w:pPr>
      <w:bookmarkStart w:id="65" w:name="_Toc473786325"/>
      <w:r>
        <w:t xml:space="preserve">Summary </w:t>
      </w:r>
      <w:r w:rsidR="00F86435">
        <w:t xml:space="preserve">of performance against DAC </w:t>
      </w:r>
      <w:r w:rsidR="003A31AA">
        <w:t>criteria</w:t>
      </w:r>
      <w:bookmarkEnd w:id="65"/>
    </w:p>
    <w:p w14:paraId="190034FD" w14:textId="4C870B8E" w:rsidR="004F24D6" w:rsidRPr="004F24D6" w:rsidRDefault="004F24D6" w:rsidP="004F24D6">
      <w:pPr>
        <w:pStyle w:val="ListParagraph"/>
        <w:numPr>
          <w:ilvl w:val="0"/>
          <w:numId w:val="25"/>
        </w:numPr>
        <w:spacing w:before="120" w:after="120" w:line="288" w:lineRule="auto"/>
        <w:ind w:left="714" w:hanging="357"/>
        <w:rPr>
          <w:lang w:val="en-AU"/>
        </w:rPr>
      </w:pPr>
      <w:r w:rsidRPr="004F24D6">
        <w:rPr>
          <w:lang w:val="en-AU"/>
        </w:rPr>
        <w:t>C4 was relevant to GoI needs and aligned with DFAT’s development policies and priorities.</w:t>
      </w:r>
    </w:p>
    <w:p w14:paraId="37FD93AB" w14:textId="08EB409B" w:rsidR="004F24D6" w:rsidRPr="004F24D6" w:rsidRDefault="004F24D6" w:rsidP="004F24D6">
      <w:pPr>
        <w:pStyle w:val="ListParagraph"/>
        <w:numPr>
          <w:ilvl w:val="0"/>
          <w:numId w:val="25"/>
        </w:numPr>
        <w:spacing w:before="120" w:after="120" w:line="288" w:lineRule="auto"/>
        <w:ind w:left="714" w:hanging="357"/>
        <w:rPr>
          <w:lang w:val="en-AU"/>
        </w:rPr>
      </w:pPr>
      <w:r w:rsidRPr="004F24D6">
        <w:rPr>
          <w:lang w:val="en-AU"/>
        </w:rPr>
        <w:t>C4 performance was constrained by persistent concerns about the efficiency of its operations.</w:t>
      </w:r>
    </w:p>
    <w:p w14:paraId="1616E516" w14:textId="3A9D923A" w:rsidR="004F24D6" w:rsidRPr="004F24D6" w:rsidRDefault="004F24D6" w:rsidP="004F24D6">
      <w:pPr>
        <w:pStyle w:val="ListParagraph"/>
        <w:numPr>
          <w:ilvl w:val="0"/>
          <w:numId w:val="25"/>
        </w:numPr>
        <w:spacing w:before="120" w:after="120" w:line="288" w:lineRule="auto"/>
        <w:ind w:left="714" w:hanging="357"/>
        <w:rPr>
          <w:lang w:val="en-AU"/>
        </w:rPr>
      </w:pPr>
      <w:r w:rsidRPr="004F24D6">
        <w:rPr>
          <w:lang w:val="en-AU"/>
        </w:rPr>
        <w:t>C4 delivered a handful of tangible policy results at national and provincial level, in part because of its evolving operating style and ambitions from 2014-15 (impact).</w:t>
      </w:r>
    </w:p>
    <w:p w14:paraId="05087858" w14:textId="17D7B917" w:rsidR="004F24D6" w:rsidRPr="004F24D6" w:rsidRDefault="004F24D6" w:rsidP="004F24D6">
      <w:pPr>
        <w:pStyle w:val="ListParagraph"/>
        <w:numPr>
          <w:ilvl w:val="0"/>
          <w:numId w:val="25"/>
        </w:numPr>
        <w:spacing w:before="120" w:after="120" w:line="288" w:lineRule="auto"/>
        <w:ind w:left="714" w:hanging="357"/>
        <w:rPr>
          <w:lang w:val="en-AU"/>
        </w:rPr>
      </w:pPr>
      <w:r w:rsidRPr="004F24D6">
        <w:rPr>
          <w:lang w:val="en-AU"/>
        </w:rPr>
        <w:t>C4 might have delivered additional systemic benefits should its long-term intent</w:t>
      </w:r>
      <w:r w:rsidR="000E0AFF">
        <w:rPr>
          <w:lang w:val="en-AU"/>
        </w:rPr>
        <w:t xml:space="preserve"> </w:t>
      </w:r>
      <w:r w:rsidR="000E0AFF">
        <w:t>and legacy have been determined</w:t>
      </w:r>
      <w:r w:rsidR="000E0AFF">
        <w:rPr>
          <w:lang w:val="en-AU"/>
        </w:rPr>
        <w:t>.</w:t>
      </w:r>
    </w:p>
    <w:p w14:paraId="6826AC7A" w14:textId="77777777" w:rsidR="002C164F" w:rsidRPr="002C164F" w:rsidRDefault="000A13DF" w:rsidP="002C164F">
      <w:pPr>
        <w:pStyle w:val="Heading3"/>
        <w:ind w:left="709" w:hanging="709"/>
      </w:pPr>
      <w:bookmarkStart w:id="66" w:name="_Toc473786326"/>
      <w:r w:rsidRPr="002C164F">
        <w:t>Introduction</w:t>
      </w:r>
      <w:bookmarkEnd w:id="66"/>
    </w:p>
    <w:p w14:paraId="6826AC7B" w14:textId="77777777" w:rsidR="000A13DF" w:rsidRPr="00550207" w:rsidRDefault="00C30127" w:rsidP="005D24E2">
      <w:pPr>
        <w:jc w:val="both"/>
      </w:pPr>
      <w:r>
        <w:t>C4</w:t>
      </w:r>
      <w:r w:rsidR="000A13DF">
        <w:t xml:space="preserve"> </w:t>
      </w:r>
      <w:r w:rsidR="00BD2ED8">
        <w:t>sought</w:t>
      </w:r>
      <w:r w:rsidR="000A13DF">
        <w:t xml:space="preserve"> to </w:t>
      </w:r>
      <w:r w:rsidR="000A13DF">
        <w:rPr>
          <w:bCs/>
          <w:iCs/>
        </w:rPr>
        <w:t xml:space="preserve">promote the use of evidence in </w:t>
      </w:r>
      <w:r w:rsidR="000A13DF">
        <w:t>the development and implementation of education sector policies, plans and budgets</w:t>
      </w:r>
      <w:r w:rsidR="000A13DF">
        <w:rPr>
          <w:bCs/>
          <w:iCs/>
        </w:rPr>
        <w:t>.</w:t>
      </w:r>
      <w:r w:rsidR="000A13DF">
        <w:t xml:space="preserve"> It does so through the activities of the Analytical and Capacity Development Partnership (ACDP): a facility that seeks to “promote education sector-wide policy research and dialogue”</w:t>
      </w:r>
      <w:r w:rsidR="000A13DF">
        <w:rPr>
          <w:vertAlign w:val="superscript"/>
        </w:rPr>
        <w:endnoteReference w:id="28"/>
      </w:r>
      <w:r w:rsidR="000A13DF">
        <w:t xml:space="preserve">. </w:t>
      </w:r>
      <w:r w:rsidR="000A13DF">
        <w:rPr>
          <w:bCs/>
          <w:iCs/>
        </w:rPr>
        <w:t xml:space="preserve">The ACDP responds to requests made by relevant GoI ministries, most </w:t>
      </w:r>
      <w:r w:rsidR="000A13DF" w:rsidRPr="00550207">
        <w:rPr>
          <w:bCs/>
          <w:iCs/>
        </w:rPr>
        <w:t>notably Bappenas, MoEC and MoRA. It does so through</w:t>
      </w:r>
      <w:r w:rsidR="000A13DF" w:rsidRPr="00550207">
        <w:t xml:space="preserve"> two types of activities</w:t>
      </w:r>
      <w:r w:rsidR="000A13DF" w:rsidRPr="00550207">
        <w:rPr>
          <w:vertAlign w:val="superscript"/>
        </w:rPr>
        <w:endnoteReference w:id="29"/>
      </w:r>
      <w:r w:rsidR="000A13DF" w:rsidRPr="00550207">
        <w:t>:</w:t>
      </w:r>
    </w:p>
    <w:p w14:paraId="6826AC7C" w14:textId="3C44F30D" w:rsidR="000A13DF" w:rsidRPr="00550207" w:rsidRDefault="000A13DF" w:rsidP="002C7568">
      <w:pPr>
        <w:pStyle w:val="ListParagraph"/>
        <w:numPr>
          <w:ilvl w:val="0"/>
          <w:numId w:val="4"/>
        </w:numPr>
        <w:spacing w:after="160" w:line="259" w:lineRule="auto"/>
        <w:jc w:val="both"/>
      </w:pPr>
      <w:r w:rsidRPr="00550207">
        <w:t>The delivery of demand-driven research and technical support, e.g. technical studies, reviews and assessments</w:t>
      </w:r>
      <w:r w:rsidRPr="00550207">
        <w:rPr>
          <w:vertAlign w:val="superscript"/>
        </w:rPr>
        <w:footnoteReference w:id="25"/>
      </w:r>
      <w:r w:rsidRPr="00550207">
        <w:t>; technical papers and briefs</w:t>
      </w:r>
      <w:r w:rsidRPr="00550207">
        <w:rPr>
          <w:vertAlign w:val="superscript"/>
        </w:rPr>
        <w:footnoteReference w:id="26"/>
      </w:r>
      <w:r w:rsidRPr="00550207">
        <w:t>; and training</w:t>
      </w:r>
      <w:r w:rsidRPr="00550207">
        <w:rPr>
          <w:vertAlign w:val="superscript"/>
        </w:rPr>
        <w:footnoteReference w:id="27"/>
      </w:r>
      <w:r w:rsidRPr="00550207">
        <w:t>.</w:t>
      </w:r>
    </w:p>
    <w:p w14:paraId="6826AC7D" w14:textId="77777777" w:rsidR="000A13DF" w:rsidRPr="00550207" w:rsidRDefault="000A13DF" w:rsidP="002C7568">
      <w:pPr>
        <w:pStyle w:val="ListParagraph"/>
        <w:numPr>
          <w:ilvl w:val="0"/>
          <w:numId w:val="4"/>
        </w:numPr>
        <w:spacing w:after="160" w:line="259" w:lineRule="auto"/>
        <w:jc w:val="both"/>
      </w:pPr>
      <w:r w:rsidRPr="00550207">
        <w:t>The organisation of technical meetings, focus group discussions and workshops at the request of GoI stakeholders</w:t>
      </w:r>
      <w:r w:rsidRPr="00550207">
        <w:rPr>
          <w:vertAlign w:val="superscript"/>
        </w:rPr>
        <w:footnoteReference w:id="28"/>
      </w:r>
      <w:r w:rsidRPr="00550207">
        <w:t>.</w:t>
      </w:r>
    </w:p>
    <w:p w14:paraId="6826AC7E" w14:textId="27CA5332" w:rsidR="000A13DF" w:rsidRPr="005540B8" w:rsidRDefault="000A13DF" w:rsidP="005D24E2">
      <w:pPr>
        <w:jc w:val="both"/>
        <w:rPr>
          <w:rFonts w:cs="Calibri"/>
        </w:rPr>
      </w:pPr>
      <w:r w:rsidRPr="005540B8">
        <w:rPr>
          <w:rFonts w:cs="Calibri"/>
        </w:rPr>
        <w:t>Participating decision-makers are expected to utilise ACDP analytical work in relevant policy, planning and budgeting processes and then incorporate ACDP evidence in relevant education sector policies, regulation, plans and budgets</w:t>
      </w:r>
      <w:r w:rsidR="00C54988">
        <w:rPr>
          <w:rFonts w:cs="Calibri"/>
        </w:rPr>
        <w:t>.</w:t>
      </w:r>
      <w:r w:rsidR="00D477C8">
        <w:rPr>
          <w:rFonts w:cs="Calibri"/>
        </w:rPr>
        <w:t xml:space="preserve"> </w:t>
      </w:r>
    </w:p>
    <w:p w14:paraId="6826AC7F" w14:textId="4FF61708" w:rsidR="000A13DF" w:rsidRPr="00746498" w:rsidRDefault="000A13DF" w:rsidP="005D24E2">
      <w:pPr>
        <w:jc w:val="both"/>
      </w:pPr>
      <w:r w:rsidRPr="00746498">
        <w:t xml:space="preserve">At a cost of AUD 20 million for the 78-month period from January 2011 to June 2017, </w:t>
      </w:r>
      <w:r w:rsidR="00F67592">
        <w:t>the Embassy’</w:t>
      </w:r>
      <w:r w:rsidRPr="00746498">
        <w:t xml:space="preserve">s amended contribution to </w:t>
      </w:r>
      <w:r>
        <w:t>C4 of the EP</w:t>
      </w:r>
      <w:r w:rsidRPr="00746498">
        <w:t xml:space="preserve"> accounted for just over 5% of the EP</w:t>
      </w:r>
      <w:r w:rsidR="003A31AA">
        <w:t xml:space="preserve"> </w:t>
      </w:r>
      <w:r w:rsidRPr="00746498">
        <w:t>budget (2015</w:t>
      </w:r>
      <w:r w:rsidR="00A45D1C">
        <w:t xml:space="preserve"> – see Table 1</w:t>
      </w:r>
      <w:r w:rsidRPr="00746498">
        <w:t>)</w:t>
      </w:r>
      <w:r w:rsidR="003A31AA">
        <w:rPr>
          <w:rStyle w:val="FootnoteReference"/>
        </w:rPr>
        <w:footnoteReference w:id="29"/>
      </w:r>
      <w:r w:rsidRPr="00746498">
        <w:t xml:space="preserve">. </w:t>
      </w:r>
      <w:r>
        <w:t xml:space="preserve">In addition to </w:t>
      </w:r>
      <w:r w:rsidRPr="00746498">
        <w:t xml:space="preserve">POM’s routine performance oversight and its iterative evaluation of ACDP in 2014-16, ACDP was subject to an EC and DFAT-financed Mid-Term Review in October 2014 and an EC-financed Results-orientated Monitoring (ROM) mission in September 2016. </w:t>
      </w:r>
    </w:p>
    <w:p w14:paraId="6826AC80" w14:textId="77777777" w:rsidR="002C164F" w:rsidRPr="002C164F" w:rsidRDefault="000A13DF" w:rsidP="002C164F">
      <w:pPr>
        <w:pStyle w:val="Heading3"/>
        <w:ind w:left="709" w:hanging="709"/>
      </w:pPr>
      <w:bookmarkStart w:id="67" w:name="_Toc473786327"/>
      <w:r w:rsidRPr="002C164F">
        <w:t>Relevance</w:t>
      </w:r>
      <w:bookmarkEnd w:id="67"/>
    </w:p>
    <w:p w14:paraId="6826AC81" w14:textId="6CF1F79D" w:rsidR="000A13DF" w:rsidRPr="004F24D6" w:rsidRDefault="000A13DF" w:rsidP="005D24E2">
      <w:pPr>
        <w:jc w:val="both"/>
      </w:pPr>
      <w:r w:rsidRPr="005540B8">
        <w:rPr>
          <w:rFonts w:cs="Calibri"/>
          <w:lang w:val="en-AU"/>
        </w:rPr>
        <w:t xml:space="preserve">C4 </w:t>
      </w:r>
      <w:r w:rsidR="00490528" w:rsidRPr="005540B8">
        <w:rPr>
          <w:rFonts w:cs="Calibri"/>
          <w:lang w:val="en-AU"/>
        </w:rPr>
        <w:t xml:space="preserve">displayed </w:t>
      </w:r>
      <w:r w:rsidRPr="005540B8">
        <w:rPr>
          <w:rFonts w:cs="Calibri"/>
          <w:lang w:val="en-AU"/>
        </w:rPr>
        <w:t xml:space="preserve">high external relevance for both governments. The notion of evidence-informed policy and planning remained in </w:t>
      </w:r>
      <w:r w:rsidRPr="005540B8">
        <w:rPr>
          <w:rFonts w:cs="Calibri"/>
          <w:szCs w:val="24"/>
          <w:lang w:val="en-AU" w:eastAsia="en-AU"/>
        </w:rPr>
        <w:t xml:space="preserve">line with GoI policy needs and </w:t>
      </w:r>
      <w:r w:rsidR="00490528" w:rsidRPr="005540B8">
        <w:rPr>
          <w:rFonts w:cs="Calibri"/>
          <w:szCs w:val="24"/>
          <w:lang w:val="en-AU" w:eastAsia="en-AU"/>
        </w:rPr>
        <w:t xml:space="preserve">was </w:t>
      </w:r>
      <w:r w:rsidRPr="005540B8">
        <w:rPr>
          <w:rFonts w:cs="Calibri"/>
          <w:szCs w:val="24"/>
          <w:lang w:val="en-AU" w:eastAsia="en-AU"/>
        </w:rPr>
        <w:t xml:space="preserve">consistent with DFAT’s growing interest in supporting Knowledge-to-Policy </w:t>
      </w:r>
      <w:r w:rsidR="00893C72">
        <w:rPr>
          <w:rFonts w:cs="Calibri"/>
          <w:szCs w:val="24"/>
          <w:lang w:val="en-AU" w:eastAsia="en-AU"/>
        </w:rPr>
        <w:t xml:space="preserve">(K2P) </w:t>
      </w:r>
      <w:r w:rsidRPr="005540B8">
        <w:rPr>
          <w:rFonts w:cs="Calibri"/>
          <w:szCs w:val="24"/>
          <w:lang w:val="en-AU" w:eastAsia="en-AU"/>
        </w:rPr>
        <w:t>measures. C4’s</w:t>
      </w:r>
      <w:r w:rsidRPr="00746498">
        <w:t xml:space="preserve"> relevance grew from 2011 to 2016 </w:t>
      </w:r>
      <w:r w:rsidRPr="00746498">
        <w:rPr>
          <w:i/>
        </w:rPr>
        <w:t>because</w:t>
      </w:r>
      <w:r w:rsidRPr="00746498">
        <w:t xml:space="preserve"> of the changes to the political, institutional and policy environments within which it operated. </w:t>
      </w:r>
      <w:r w:rsidR="00490528">
        <w:t xml:space="preserve">For example, </w:t>
      </w:r>
      <w:r w:rsidRPr="00746498">
        <w:t xml:space="preserve">Indonesia’s Minister of Education in 2015-16, who was seen by many as a champion of evidence-informed decision-making, regarded ACDP as an important supplier of policy-relevant research and analysis. For DFAT, ACDP was increasingly </w:t>
      </w:r>
      <w:r w:rsidRPr="004F24D6">
        <w:t xml:space="preserve">regarded as a vehicle to improve political access, to generate political capital, and to support the emergence of evidence-informed policy and programs in the Indonesian education sector. </w:t>
      </w:r>
    </w:p>
    <w:p w14:paraId="6D888342" w14:textId="36F3F118" w:rsidR="00162B12" w:rsidRPr="00245A83" w:rsidRDefault="001803E2" w:rsidP="00245A83">
      <w:pPr>
        <w:jc w:val="both"/>
      </w:pPr>
      <w:r w:rsidRPr="004F24D6">
        <w:t xml:space="preserve">The internal relevance of the ACDP was constrained by a design that was primarily focused on the production of knowledge. Activities to support the dissemination of </w:t>
      </w:r>
      <w:r w:rsidR="004931BC" w:rsidRPr="004F24D6">
        <w:t>this knowledge</w:t>
      </w:r>
      <w:r w:rsidRPr="004F24D6">
        <w:t xml:space="preserve"> or advocacy for key findings were not prescribed as Secretariat functions</w:t>
      </w:r>
      <w:r w:rsidR="00DC1274" w:rsidRPr="004F24D6">
        <w:t>.</w:t>
      </w:r>
      <w:r w:rsidRPr="004F24D6">
        <w:t xml:space="preserve"> </w:t>
      </w:r>
      <w:r w:rsidR="00DC1274" w:rsidRPr="004F24D6">
        <w:t xml:space="preserve">From </w:t>
      </w:r>
      <w:r w:rsidR="00162B12" w:rsidRPr="004F24D6">
        <w:t>2014, th</w:t>
      </w:r>
      <w:r w:rsidRPr="004F24D6">
        <w:t>is</w:t>
      </w:r>
      <w:r w:rsidR="00162B12" w:rsidRPr="004F24D6">
        <w:t xml:space="preserve"> </w:t>
      </w:r>
      <w:r w:rsidR="00DC1274" w:rsidRPr="004F24D6">
        <w:t xml:space="preserve">internal relevance improved as the </w:t>
      </w:r>
      <w:r w:rsidR="00162B12" w:rsidRPr="004F24D6">
        <w:t xml:space="preserve">Secretariat sought to add greater value by moving beyond a role centred largely on knowledge production (see Sections 4.6.4 and 4.6.5, below). </w:t>
      </w:r>
    </w:p>
    <w:p w14:paraId="19B52458" w14:textId="77777777" w:rsidR="00162B12" w:rsidRPr="00746498" w:rsidRDefault="00162B12" w:rsidP="005D24E2">
      <w:pPr>
        <w:jc w:val="both"/>
      </w:pPr>
    </w:p>
    <w:p w14:paraId="6826AC82" w14:textId="7BBA7471" w:rsidR="002C164F" w:rsidRPr="002C164F" w:rsidRDefault="000A13DF" w:rsidP="002C164F">
      <w:pPr>
        <w:pStyle w:val="Heading3"/>
        <w:ind w:left="709" w:hanging="709"/>
      </w:pPr>
      <w:bookmarkStart w:id="68" w:name="_Toc473786328"/>
      <w:r w:rsidRPr="002C164F">
        <w:t>Efficiency</w:t>
      </w:r>
      <w:bookmarkEnd w:id="68"/>
    </w:p>
    <w:p w14:paraId="6826AC83" w14:textId="77777777" w:rsidR="000A13DF" w:rsidRPr="00746498" w:rsidRDefault="000A13DF" w:rsidP="00EB5D85">
      <w:pPr>
        <w:jc w:val="both"/>
        <w:rPr>
          <w:bCs/>
        </w:rPr>
      </w:pPr>
      <w:r w:rsidRPr="005540B8">
        <w:rPr>
          <w:rFonts w:cs="Calibri"/>
          <w:szCs w:val="24"/>
          <w:lang w:val="en-AU" w:eastAsia="en-AU"/>
        </w:rPr>
        <w:t xml:space="preserve">The </w:t>
      </w:r>
      <w:r w:rsidRPr="00BD25B0">
        <w:rPr>
          <w:bCs/>
        </w:rPr>
        <w:t xml:space="preserve">ACDP </w:t>
      </w:r>
      <w:r w:rsidRPr="00746498">
        <w:rPr>
          <w:bCs/>
        </w:rPr>
        <w:t>made a conscious effort from 2014</w:t>
      </w:r>
      <w:r w:rsidR="00490528">
        <w:rPr>
          <w:bCs/>
        </w:rPr>
        <w:t>-</w:t>
      </w:r>
      <w:r w:rsidRPr="00746498">
        <w:rPr>
          <w:bCs/>
        </w:rPr>
        <w:t xml:space="preserve">15 to diversify its product offering from the large-scale studies that characterised much of its first three years of operation. Nonetheless, </w:t>
      </w:r>
      <w:r w:rsidRPr="005540B8">
        <w:rPr>
          <w:rFonts w:cs="Calibri"/>
          <w:szCs w:val="24"/>
          <w:lang w:val="en-AU" w:eastAsia="en-AU"/>
        </w:rPr>
        <w:t xml:space="preserve">concern about the efficiency of ACDP’s operations and the </w:t>
      </w:r>
      <w:r w:rsidRPr="00746498">
        <w:rPr>
          <w:rFonts w:eastAsia="Times New Roman" w:cs="Calibri"/>
          <w:lang w:val="en-AU"/>
        </w:rPr>
        <w:t>associated impacts on the utility of its deliverables</w:t>
      </w:r>
      <w:r w:rsidRPr="00746498">
        <w:t xml:space="preserve"> </w:t>
      </w:r>
      <w:r w:rsidRPr="005540B8">
        <w:rPr>
          <w:rFonts w:cs="Calibri"/>
          <w:szCs w:val="24"/>
          <w:lang w:val="en-AU" w:eastAsia="en-AU"/>
        </w:rPr>
        <w:t>persisted for much of its lifetime</w:t>
      </w:r>
      <w:r w:rsidRPr="005540B8">
        <w:rPr>
          <w:rStyle w:val="EndnoteReference"/>
          <w:rFonts w:cs="Calibri"/>
          <w:szCs w:val="24"/>
          <w:lang w:val="en-AU" w:eastAsia="en-AU"/>
        </w:rPr>
        <w:endnoteReference w:id="30"/>
      </w:r>
      <w:r w:rsidRPr="00746498">
        <w:t>. These problems were compounded in 2014</w:t>
      </w:r>
      <w:r>
        <w:t>-</w:t>
      </w:r>
      <w:r w:rsidRPr="00746498">
        <w:t xml:space="preserve">15 by </w:t>
      </w:r>
      <w:r w:rsidRPr="00746498">
        <w:rPr>
          <w:bCs/>
        </w:rPr>
        <w:t xml:space="preserve">the turnover of key staff within GoI and the protracted </w:t>
      </w:r>
      <w:r>
        <w:rPr>
          <w:bCs/>
        </w:rPr>
        <w:t xml:space="preserve">nature of </w:t>
      </w:r>
      <w:r w:rsidRPr="00746498">
        <w:rPr>
          <w:bCs/>
        </w:rPr>
        <w:t xml:space="preserve">discussions </w:t>
      </w:r>
      <w:r>
        <w:rPr>
          <w:bCs/>
        </w:rPr>
        <w:t xml:space="preserve">concerning </w:t>
      </w:r>
      <w:r w:rsidRPr="00746498">
        <w:rPr>
          <w:bCs/>
        </w:rPr>
        <w:t xml:space="preserve">an extension of DFAT and EC support to </w:t>
      </w:r>
      <w:r>
        <w:rPr>
          <w:bCs/>
        </w:rPr>
        <w:t xml:space="preserve">the </w:t>
      </w:r>
      <w:r w:rsidRPr="00746498">
        <w:rPr>
          <w:bCs/>
        </w:rPr>
        <w:t>ACDP into 2016-17</w:t>
      </w:r>
      <w:r>
        <w:rPr>
          <w:bCs/>
        </w:rPr>
        <w:t>.</w:t>
      </w:r>
      <w:r w:rsidRPr="00746498">
        <w:rPr>
          <w:bCs/>
        </w:rPr>
        <w:t xml:space="preserve"> </w:t>
      </w:r>
      <w:r>
        <w:rPr>
          <w:bCs/>
        </w:rPr>
        <w:t xml:space="preserve">This </w:t>
      </w:r>
      <w:r w:rsidRPr="00746498">
        <w:rPr>
          <w:bCs/>
        </w:rPr>
        <w:t xml:space="preserve">ultimately delayed </w:t>
      </w:r>
      <w:r>
        <w:rPr>
          <w:bCs/>
        </w:rPr>
        <w:t xml:space="preserve">the </w:t>
      </w:r>
      <w:r w:rsidRPr="00746498">
        <w:rPr>
          <w:bCs/>
        </w:rPr>
        <w:t>approval of ACDP’s workplan for 2015 and prevented the ADB from awarding contracts in timely order</w:t>
      </w:r>
      <w:r>
        <w:rPr>
          <w:rStyle w:val="EndnoteReference"/>
          <w:bCs/>
        </w:rPr>
        <w:endnoteReference w:id="31"/>
      </w:r>
      <w:r w:rsidR="00550207">
        <w:rPr>
          <w:bCs/>
        </w:rPr>
        <w:t>.</w:t>
      </w:r>
    </w:p>
    <w:p w14:paraId="6826AC84" w14:textId="77777777" w:rsidR="002C164F" w:rsidRDefault="000A13DF" w:rsidP="00EB5D85">
      <w:pPr>
        <w:pStyle w:val="Heading3"/>
        <w:ind w:left="709" w:hanging="709"/>
        <w:jc w:val="both"/>
      </w:pPr>
      <w:bookmarkStart w:id="69" w:name="_Toc473786329"/>
      <w:r w:rsidRPr="002C164F">
        <w:t>Effectivene</w:t>
      </w:r>
      <w:r w:rsidR="002C164F" w:rsidRPr="002C164F">
        <w:t>s</w:t>
      </w:r>
      <w:r w:rsidRPr="002C164F">
        <w:t>s</w:t>
      </w:r>
      <w:bookmarkEnd w:id="69"/>
    </w:p>
    <w:p w14:paraId="6826AC85" w14:textId="7BB813AD" w:rsidR="00F96EEF" w:rsidRPr="00F96EEF" w:rsidRDefault="00F96EEF" w:rsidP="00EB5D85">
      <w:pPr>
        <w:jc w:val="both"/>
        <w:rPr>
          <w:lang w:val="en-AU"/>
        </w:rPr>
      </w:pPr>
      <w:r>
        <w:rPr>
          <w:lang w:val="en-AU"/>
        </w:rPr>
        <w:t>A</w:t>
      </w:r>
      <w:r w:rsidRPr="00F96EEF">
        <w:rPr>
          <w:lang w:val="en-AU"/>
        </w:rPr>
        <w:t xml:space="preserve">ttendant to the early onset of concerns about the ACDP’s efficiency were worries about the lack of consensus or clarity about the ACDP’s objectives. These focused on the extent to which the ACDP should be an evidence </w:t>
      </w:r>
      <w:r w:rsidRPr="00FE037D">
        <w:rPr>
          <w:i/>
          <w:lang w:val="en-AU"/>
        </w:rPr>
        <w:t>provider</w:t>
      </w:r>
      <w:r w:rsidRPr="00F96EEF">
        <w:rPr>
          <w:lang w:val="en-AU"/>
        </w:rPr>
        <w:t xml:space="preserve"> as compared to being a </w:t>
      </w:r>
      <w:r w:rsidRPr="00FE037D">
        <w:rPr>
          <w:i/>
          <w:lang w:val="en-AU"/>
        </w:rPr>
        <w:t>facilitator</w:t>
      </w:r>
      <w:r w:rsidRPr="00F96EEF">
        <w:rPr>
          <w:lang w:val="en-AU"/>
        </w:rPr>
        <w:t xml:space="preserve"> of evidence-informed decision-making. From 2014-15 the ACDP exhibited flexibility and diversity in terms of its activities and product offerings, and improved its communication and dissemination of research findings. This evolution in operating style paid dividends. POM’s iterative evaluation of 2014-16 found high levels of uptake and use on two of the five sampled </w:t>
      </w:r>
      <w:r w:rsidR="00DE7AD2" w:rsidRPr="00F96EEF">
        <w:rPr>
          <w:lang w:val="en-AU"/>
        </w:rPr>
        <w:t>studies,</w:t>
      </w:r>
      <w:r w:rsidRPr="00F96EEF">
        <w:rPr>
          <w:lang w:val="en-AU"/>
        </w:rPr>
        <w:t xml:space="preserve"> with signs of emerging uptake in at least one other case</w:t>
      </w:r>
      <w:r w:rsidR="00EE7D0D">
        <w:rPr>
          <w:rStyle w:val="FootnoteReference"/>
          <w:lang w:val="en-AU"/>
        </w:rPr>
        <w:footnoteReference w:id="30"/>
      </w:r>
      <w:r w:rsidRPr="00F96EEF">
        <w:rPr>
          <w:lang w:val="en-AU"/>
        </w:rPr>
        <w:t xml:space="preserve">. In </w:t>
      </w:r>
      <w:r w:rsidR="00162B12">
        <w:rPr>
          <w:lang w:val="en-AU"/>
        </w:rPr>
        <w:t>the two</w:t>
      </w:r>
      <w:r w:rsidRPr="00F96EEF">
        <w:rPr>
          <w:lang w:val="en-AU"/>
        </w:rPr>
        <w:t xml:space="preserve"> most successful cases</w:t>
      </w:r>
      <w:r w:rsidR="00CC411E">
        <w:rPr>
          <w:lang w:val="en-AU"/>
        </w:rPr>
        <w:t>,</w:t>
      </w:r>
      <w:r w:rsidRPr="00F96EEF">
        <w:rPr>
          <w:lang w:val="en-AU"/>
        </w:rPr>
        <w:t xml:space="preserve"> the ACDP actively supported so-called </w:t>
      </w:r>
      <w:r w:rsidR="00100C20">
        <w:rPr>
          <w:lang w:val="en-AU"/>
        </w:rPr>
        <w:t>Knowledge-to-</w:t>
      </w:r>
      <w:r w:rsidRPr="00F96EEF">
        <w:rPr>
          <w:lang w:val="en-AU"/>
        </w:rPr>
        <w:t>Policy processes. By contrast, the evaluation also found an association between instances of less evidence uptake and ‘detached’ study design and implementation.</w:t>
      </w:r>
    </w:p>
    <w:p w14:paraId="6826AC86" w14:textId="7031C78F" w:rsidR="002C164F" w:rsidRPr="002C164F" w:rsidRDefault="000A13DF" w:rsidP="00F60F1A">
      <w:pPr>
        <w:pStyle w:val="Heading3"/>
        <w:ind w:left="709" w:hanging="709"/>
        <w:jc w:val="both"/>
      </w:pPr>
      <w:bookmarkStart w:id="70" w:name="_Toc473786330"/>
      <w:r w:rsidRPr="00F60F1A">
        <w:t>Impact</w:t>
      </w:r>
      <w:bookmarkEnd w:id="70"/>
    </w:p>
    <w:p w14:paraId="6826AC87" w14:textId="77777777" w:rsidR="000A13DF" w:rsidRPr="005540B8" w:rsidRDefault="000A13DF" w:rsidP="005D24E2">
      <w:pPr>
        <w:jc w:val="both"/>
        <w:rPr>
          <w:color w:val="000000"/>
        </w:rPr>
      </w:pPr>
      <w:r w:rsidRPr="005540B8">
        <w:rPr>
          <w:color w:val="000000"/>
        </w:rPr>
        <w:t xml:space="preserve">With the ACDP’s effectiveness improving over time so did the prospects for impact. </w:t>
      </w:r>
      <w:r w:rsidR="00D462BE" w:rsidRPr="005540B8">
        <w:rPr>
          <w:color w:val="000000"/>
        </w:rPr>
        <w:t>For</w:t>
      </w:r>
      <w:r w:rsidRPr="005540B8">
        <w:rPr>
          <w:color w:val="000000"/>
        </w:rPr>
        <w:t xml:space="preserve"> example, critical evidence contained in </w:t>
      </w:r>
      <w:r w:rsidR="005D24E2" w:rsidRPr="005540B8">
        <w:rPr>
          <w:color w:val="000000"/>
        </w:rPr>
        <w:t>the</w:t>
      </w:r>
      <w:r w:rsidRPr="005540B8">
        <w:rPr>
          <w:color w:val="000000"/>
        </w:rPr>
        <w:t xml:space="preserve"> </w:t>
      </w:r>
      <w:r>
        <w:rPr>
          <w:i/>
        </w:rPr>
        <w:t>Madrasah Financing Study</w:t>
      </w:r>
      <w:r w:rsidRPr="005540B8">
        <w:rPr>
          <w:i/>
          <w:color w:val="000000"/>
        </w:rPr>
        <w:t xml:space="preserve"> </w:t>
      </w:r>
      <w:r w:rsidR="005D24E2" w:rsidRPr="005540B8">
        <w:rPr>
          <w:i/>
          <w:color w:val="000000"/>
        </w:rPr>
        <w:t xml:space="preserve">(2011-12) </w:t>
      </w:r>
      <w:r w:rsidRPr="005540B8">
        <w:rPr>
          <w:color w:val="000000"/>
        </w:rPr>
        <w:t>could help to create space for informed discussion about the need for improved Madrasah financing models, not least with the rejuvenation of interest in the issue from 2015</w:t>
      </w:r>
      <w:r w:rsidR="00490528" w:rsidRPr="005540B8">
        <w:rPr>
          <w:color w:val="000000"/>
        </w:rPr>
        <w:t>-</w:t>
      </w:r>
      <w:r w:rsidRPr="005540B8">
        <w:rPr>
          <w:color w:val="000000"/>
        </w:rPr>
        <w:t xml:space="preserve">16. Equally the return on the USD 819,450 invested in the </w:t>
      </w:r>
      <w:r w:rsidRPr="005540B8">
        <w:rPr>
          <w:bCs/>
          <w:i/>
          <w:color w:val="000000"/>
        </w:rPr>
        <w:t>Support to Centre for Assessment (Puspendik)</w:t>
      </w:r>
      <w:r w:rsidRPr="005540B8">
        <w:rPr>
          <w:bCs/>
          <w:color w:val="000000"/>
        </w:rPr>
        <w:t xml:space="preserve"> (ACDP 029) </w:t>
      </w:r>
      <w:r w:rsidRPr="005540B8">
        <w:rPr>
          <w:color w:val="000000"/>
        </w:rPr>
        <w:t>could be significant should MoEC introduce improved assessment frameworks which improve student learning outcomes.</w:t>
      </w:r>
      <w:r w:rsidR="007D7121" w:rsidRPr="005540B8">
        <w:rPr>
          <w:color w:val="000000"/>
        </w:rPr>
        <w:t xml:space="preserve"> </w:t>
      </w:r>
      <w:r w:rsidR="00D462BE" w:rsidRPr="005540B8">
        <w:rPr>
          <w:color w:val="000000"/>
        </w:rPr>
        <w:t>Overall</w:t>
      </w:r>
      <w:r w:rsidRPr="005540B8">
        <w:rPr>
          <w:color w:val="000000"/>
        </w:rPr>
        <w:t>, should research processes reflect prevailing interests, incentives and motivations and should evidence be provided at the right time, in the right format, and to the right people, there remains tremendous potential for ACDP activities to deliver long-term benefits</w:t>
      </w:r>
      <w:r w:rsidRPr="005540B8">
        <w:rPr>
          <w:rStyle w:val="EndnoteReference"/>
          <w:color w:val="000000"/>
        </w:rPr>
        <w:endnoteReference w:id="32"/>
      </w:r>
      <w:r w:rsidRPr="005540B8">
        <w:rPr>
          <w:color w:val="000000"/>
        </w:rPr>
        <w:t xml:space="preserve">. </w:t>
      </w:r>
    </w:p>
    <w:p w14:paraId="6826AC88" w14:textId="77777777" w:rsidR="002C164F" w:rsidRPr="002C164F" w:rsidRDefault="000A13DF" w:rsidP="002C164F">
      <w:pPr>
        <w:pStyle w:val="Heading3"/>
        <w:ind w:left="709" w:hanging="709"/>
      </w:pPr>
      <w:bookmarkStart w:id="71" w:name="_Toc473786331"/>
      <w:r w:rsidRPr="002C164F">
        <w:t>Sustainability</w:t>
      </w:r>
      <w:bookmarkEnd w:id="71"/>
    </w:p>
    <w:p w14:paraId="6826AC89" w14:textId="1E0EDF3F" w:rsidR="000A13DF" w:rsidRDefault="00490528" w:rsidP="005D24E2">
      <w:pPr>
        <w:jc w:val="both"/>
        <w:rPr>
          <w:szCs w:val="24"/>
          <w:lang w:val="en-AU" w:eastAsia="en-AU"/>
        </w:rPr>
      </w:pPr>
      <w:r w:rsidRPr="00746498">
        <w:rPr>
          <w:szCs w:val="24"/>
          <w:lang w:val="en-AU" w:eastAsia="en-AU"/>
        </w:rPr>
        <w:t xml:space="preserve">As </w:t>
      </w:r>
      <w:r w:rsidR="00360852">
        <w:rPr>
          <w:szCs w:val="24"/>
          <w:lang w:val="en-AU" w:eastAsia="en-AU"/>
        </w:rPr>
        <w:t xml:space="preserve">has been </w:t>
      </w:r>
      <w:r w:rsidRPr="00746498">
        <w:rPr>
          <w:szCs w:val="24"/>
          <w:lang w:val="en-AU" w:eastAsia="en-AU"/>
        </w:rPr>
        <w:t xml:space="preserve">noted </w:t>
      </w:r>
      <w:r w:rsidR="00AB5BDA">
        <w:rPr>
          <w:szCs w:val="24"/>
          <w:lang w:val="en-AU" w:eastAsia="en-AU"/>
        </w:rPr>
        <w:t xml:space="preserve">in POM’s APPRs </w:t>
      </w:r>
      <w:r w:rsidRPr="00746498">
        <w:rPr>
          <w:szCs w:val="24"/>
          <w:lang w:val="en-AU" w:eastAsia="en-AU"/>
        </w:rPr>
        <w:t xml:space="preserve">since 2014, there is no clear indication of what, if any, institutional benefits </w:t>
      </w:r>
      <w:r>
        <w:rPr>
          <w:szCs w:val="24"/>
          <w:lang w:val="en-AU" w:eastAsia="en-AU"/>
        </w:rPr>
        <w:t xml:space="preserve">the </w:t>
      </w:r>
      <w:r w:rsidRPr="00746498">
        <w:rPr>
          <w:szCs w:val="24"/>
          <w:lang w:val="en-AU" w:eastAsia="en-AU"/>
        </w:rPr>
        <w:t xml:space="preserve">ACDP wishes to sustain and how that may be achieved during the remaining phase of operations to June 2017. </w:t>
      </w:r>
      <w:r w:rsidR="000A13DF" w:rsidRPr="00746498">
        <w:rPr>
          <w:szCs w:val="24"/>
          <w:lang w:val="en-AU" w:eastAsia="en-AU"/>
        </w:rPr>
        <w:t xml:space="preserve">Whilst institutional sustainability was not foreseen within the design of </w:t>
      </w:r>
      <w:r w:rsidR="000A13DF">
        <w:rPr>
          <w:szCs w:val="24"/>
          <w:lang w:val="en-AU" w:eastAsia="en-AU"/>
        </w:rPr>
        <w:t xml:space="preserve">the </w:t>
      </w:r>
      <w:r w:rsidR="000A13DF" w:rsidRPr="00746498">
        <w:rPr>
          <w:szCs w:val="24"/>
          <w:lang w:val="en-AU" w:eastAsia="en-AU"/>
        </w:rPr>
        <w:t xml:space="preserve">ACDP, the lack of clarity </w:t>
      </w:r>
      <w:r w:rsidR="000A13DF" w:rsidRPr="00746498">
        <w:t>about</w:t>
      </w:r>
      <w:r w:rsidR="000A13DF" w:rsidRPr="00746498">
        <w:rPr>
          <w:szCs w:val="24"/>
          <w:lang w:val="en-AU" w:eastAsia="en-AU"/>
        </w:rPr>
        <w:t xml:space="preserve"> any expected institutional legacy represents a missed opportunity to generate a better return on the USD 40-45</w:t>
      </w:r>
      <w:r w:rsidR="000A13DF">
        <w:rPr>
          <w:szCs w:val="24"/>
          <w:lang w:val="en-AU" w:eastAsia="en-AU"/>
        </w:rPr>
        <w:t xml:space="preserve"> million</w:t>
      </w:r>
      <w:r w:rsidR="000A13DF" w:rsidRPr="00746498">
        <w:rPr>
          <w:szCs w:val="24"/>
          <w:lang w:val="en-AU" w:eastAsia="en-AU"/>
        </w:rPr>
        <w:t xml:space="preserve"> investment</w:t>
      </w:r>
      <w:r w:rsidR="000A13DF" w:rsidRPr="005540B8">
        <w:rPr>
          <w:rFonts w:ascii="Times New Roman" w:hAnsi="Times New Roman" w:cs="Calibri"/>
          <w:color w:val="000000"/>
          <w:vertAlign w:val="superscript"/>
        </w:rPr>
        <w:footnoteReference w:id="31"/>
      </w:r>
      <w:r w:rsidR="000A13DF" w:rsidRPr="00746498">
        <w:rPr>
          <w:szCs w:val="24"/>
          <w:lang w:val="en-AU" w:eastAsia="en-AU"/>
        </w:rPr>
        <w:t xml:space="preserve">. While sustained benefits </w:t>
      </w:r>
      <w:r w:rsidR="000A13DF" w:rsidRPr="00746498">
        <w:rPr>
          <w:i/>
          <w:szCs w:val="24"/>
          <w:lang w:val="en-AU" w:eastAsia="en-AU"/>
        </w:rPr>
        <w:t>may</w:t>
      </w:r>
      <w:r w:rsidR="000A13DF" w:rsidRPr="00746498">
        <w:rPr>
          <w:szCs w:val="24"/>
          <w:lang w:val="en-AU" w:eastAsia="en-AU"/>
        </w:rPr>
        <w:t xml:space="preserve"> accrue there is a sense in some quarters that the prospects for institutional change have rather been left to chance and, should that be the case, opportunities may have been missed. </w:t>
      </w:r>
    </w:p>
    <w:p w14:paraId="2C840708" w14:textId="4F14C973" w:rsidR="00DB4F15" w:rsidRPr="00DB4F15" w:rsidRDefault="00DB4F15" w:rsidP="00DB4F15">
      <w:pPr>
        <w:pStyle w:val="Heading3"/>
        <w:ind w:left="709" w:hanging="709"/>
      </w:pPr>
      <w:bookmarkStart w:id="72" w:name="_Toc473786332"/>
      <w:r w:rsidRPr="00DB4F15">
        <w:t>Value for Money</w:t>
      </w:r>
      <w:bookmarkEnd w:id="72"/>
    </w:p>
    <w:p w14:paraId="1752FAA8" w14:textId="74F4694C" w:rsidR="00DB4F15" w:rsidRPr="00DB4F15" w:rsidRDefault="00DB4F15" w:rsidP="00DB4F15">
      <w:pPr>
        <w:jc w:val="both"/>
        <w:rPr>
          <w:szCs w:val="24"/>
          <w:lang w:val="en-AU" w:eastAsia="en-AU"/>
        </w:rPr>
      </w:pPr>
      <w:r w:rsidRPr="00DB4F15">
        <w:rPr>
          <w:szCs w:val="24"/>
          <w:lang w:val="en-AU" w:eastAsia="en-AU"/>
        </w:rPr>
        <w:t>The nature of the C4 investment and the absence of dedicated VFM analysis renders it difficult to form a clear assessment of ACDP’s VFM proposition. Policy influence is a notoriously difficult development objective to quantify.</w:t>
      </w:r>
    </w:p>
    <w:p w14:paraId="2F3CDE03" w14:textId="5F787C4C" w:rsidR="00DB4F15" w:rsidRPr="00DB4F15" w:rsidRDefault="00DB4F15" w:rsidP="00DB4F15">
      <w:pPr>
        <w:jc w:val="both"/>
        <w:rPr>
          <w:szCs w:val="24"/>
          <w:lang w:val="en-AU" w:eastAsia="en-AU"/>
        </w:rPr>
      </w:pPr>
      <w:r w:rsidRPr="00DB4F15">
        <w:rPr>
          <w:szCs w:val="24"/>
          <w:lang w:val="en-AU" w:eastAsia="en-AU"/>
        </w:rPr>
        <w:t xml:space="preserve">As such, the value proposition of the ACDP is better assessed in terms of its efficiency rather than effectiveness. In this regard, C4 was the exception to the EP rule, as it was the efficiency of the program that was most frequently criticised. The primary reason for this was the lengthy procurement process for the commissioning of studies. </w:t>
      </w:r>
    </w:p>
    <w:p w14:paraId="4CD748E1" w14:textId="4D1DEEF5" w:rsidR="00CC411E" w:rsidRDefault="00DB4F15" w:rsidP="00DB4F15">
      <w:pPr>
        <w:jc w:val="both"/>
        <w:rPr>
          <w:szCs w:val="24"/>
          <w:lang w:val="en-AU" w:eastAsia="en-AU"/>
        </w:rPr>
      </w:pPr>
      <w:r w:rsidRPr="00DB4F15">
        <w:rPr>
          <w:szCs w:val="24"/>
          <w:lang w:val="en-AU" w:eastAsia="en-AU"/>
        </w:rPr>
        <w:t>The management of the ACDP by a multilateral partner seemingly curtailed the extent to which DFAT was able to steer activities along a path that better satisfied VFM principals. While the facility made up ground in the final third of its lifetime and recorded some impressive ‘outputs’ in terms of the communication of findings and instances of policy engagement with key stakeholders, no clear consensus was ever arrived at in terms of how best to capture the return on the DFAT, EU and GoI investment in ACDP and to assess the extent to which it met associated expectations.</w:t>
      </w:r>
    </w:p>
    <w:p w14:paraId="6826AC8A" w14:textId="77777777" w:rsidR="00051CFA" w:rsidRPr="005540B8" w:rsidRDefault="00051CFA" w:rsidP="00082D8B">
      <w:pPr>
        <w:pStyle w:val="Heading2"/>
        <w:rPr>
          <w:color w:val="2F5496"/>
        </w:rPr>
      </w:pPr>
      <w:bookmarkStart w:id="73" w:name="_Toc473786333"/>
      <w:r>
        <w:t>Cross-component issues</w:t>
      </w:r>
      <w:bookmarkEnd w:id="73"/>
      <w:r w:rsidR="00D00C09" w:rsidRPr="005540B8">
        <w:rPr>
          <w:color w:val="2F5496"/>
        </w:rPr>
        <w:t xml:space="preserve"> </w:t>
      </w:r>
    </w:p>
    <w:p w14:paraId="6826AC8B" w14:textId="367A0011" w:rsidR="00A44EC0" w:rsidRPr="001B01E2" w:rsidRDefault="001B6DBF" w:rsidP="001B01E2">
      <w:pPr>
        <w:jc w:val="both"/>
        <w:rPr>
          <w:lang w:val="en-AU"/>
        </w:rPr>
      </w:pPr>
      <w:r>
        <w:rPr>
          <w:lang w:val="en-AU"/>
        </w:rPr>
        <w:t xml:space="preserve">While </w:t>
      </w:r>
      <w:r w:rsidR="00EB46B5">
        <w:rPr>
          <w:lang w:val="en-AU"/>
        </w:rPr>
        <w:t xml:space="preserve">designed, contracted </w:t>
      </w:r>
      <w:r w:rsidR="00966777">
        <w:rPr>
          <w:lang w:val="en-AU"/>
        </w:rPr>
        <w:t>and managed as four distinct</w:t>
      </w:r>
      <w:r w:rsidR="00C914F5">
        <w:rPr>
          <w:lang w:val="en-AU"/>
        </w:rPr>
        <w:t xml:space="preserve"> components</w:t>
      </w:r>
      <w:r w:rsidR="00966777">
        <w:rPr>
          <w:lang w:val="en-AU"/>
        </w:rPr>
        <w:t xml:space="preserve">, the EP was conceived as Australia’s </w:t>
      </w:r>
      <w:r w:rsidR="00EB46B5">
        <w:rPr>
          <w:lang w:val="en-AU"/>
        </w:rPr>
        <w:t xml:space="preserve">unified </w:t>
      </w:r>
      <w:r w:rsidR="00966777">
        <w:rPr>
          <w:lang w:val="en-AU"/>
        </w:rPr>
        <w:t xml:space="preserve">contribution to the Education Sector Support Program. As such, it is appropriate to step </w:t>
      </w:r>
      <w:r w:rsidR="00A44EC0" w:rsidRPr="001B01E2">
        <w:rPr>
          <w:lang w:val="en-AU"/>
        </w:rPr>
        <w:t xml:space="preserve">back from </w:t>
      </w:r>
      <w:r>
        <w:rPr>
          <w:lang w:val="en-AU"/>
        </w:rPr>
        <w:t xml:space="preserve">the </w:t>
      </w:r>
      <w:r w:rsidR="00EB46B5">
        <w:rPr>
          <w:lang w:val="en-AU"/>
        </w:rPr>
        <w:t>component</w:t>
      </w:r>
      <w:r w:rsidR="00490528">
        <w:rPr>
          <w:lang w:val="en-AU"/>
        </w:rPr>
        <w:t>-</w:t>
      </w:r>
      <w:r>
        <w:rPr>
          <w:lang w:val="en-AU"/>
        </w:rPr>
        <w:t>level stories</w:t>
      </w:r>
      <w:r w:rsidR="00966777">
        <w:rPr>
          <w:lang w:val="en-AU"/>
        </w:rPr>
        <w:t xml:space="preserve"> to consider if </w:t>
      </w:r>
      <w:r>
        <w:rPr>
          <w:lang w:val="en-AU"/>
        </w:rPr>
        <w:t>the EP</w:t>
      </w:r>
      <w:r w:rsidR="00C55F92">
        <w:rPr>
          <w:lang w:val="en-AU"/>
        </w:rPr>
        <w:t>,</w:t>
      </w:r>
      <w:r>
        <w:rPr>
          <w:lang w:val="en-AU"/>
        </w:rPr>
        <w:t xml:space="preserve"> as a whole</w:t>
      </w:r>
      <w:r w:rsidR="00C55F92">
        <w:rPr>
          <w:lang w:val="en-AU"/>
        </w:rPr>
        <w:t>,</w:t>
      </w:r>
      <w:r>
        <w:rPr>
          <w:lang w:val="en-AU"/>
        </w:rPr>
        <w:t xml:space="preserve"> reach</w:t>
      </w:r>
      <w:r w:rsidR="00966777">
        <w:rPr>
          <w:lang w:val="en-AU"/>
        </w:rPr>
        <w:t>ed</w:t>
      </w:r>
      <w:r>
        <w:rPr>
          <w:lang w:val="en-AU"/>
        </w:rPr>
        <w:t xml:space="preserve"> those it ultimately sought to support</w:t>
      </w:r>
      <w:r w:rsidR="00966777">
        <w:rPr>
          <w:lang w:val="en-AU"/>
        </w:rPr>
        <w:t xml:space="preserve"> a</w:t>
      </w:r>
      <w:r>
        <w:rPr>
          <w:lang w:val="en-AU"/>
        </w:rPr>
        <w:t xml:space="preserve">nd </w:t>
      </w:r>
      <w:r w:rsidR="00966777">
        <w:rPr>
          <w:lang w:val="en-AU"/>
        </w:rPr>
        <w:t>the</w:t>
      </w:r>
      <w:r>
        <w:rPr>
          <w:lang w:val="en-AU"/>
        </w:rPr>
        <w:t xml:space="preserve"> extent </w:t>
      </w:r>
      <w:r w:rsidR="00966777">
        <w:rPr>
          <w:lang w:val="en-AU"/>
        </w:rPr>
        <w:t>to which</w:t>
      </w:r>
      <w:r>
        <w:rPr>
          <w:lang w:val="en-AU"/>
        </w:rPr>
        <w:t xml:space="preserve"> Australia’s investment ‘leverage</w:t>
      </w:r>
      <w:r w:rsidR="00966777">
        <w:rPr>
          <w:lang w:val="en-AU"/>
        </w:rPr>
        <w:t>d</w:t>
      </w:r>
      <w:r>
        <w:rPr>
          <w:lang w:val="en-AU"/>
        </w:rPr>
        <w:t>’ investment from GoI sources</w:t>
      </w:r>
      <w:r w:rsidR="00966777">
        <w:rPr>
          <w:lang w:val="en-AU"/>
        </w:rPr>
        <w:t>.</w:t>
      </w:r>
    </w:p>
    <w:p w14:paraId="6826AC8C" w14:textId="77777777" w:rsidR="00051CFA" w:rsidRPr="00C807A9" w:rsidRDefault="00A44EC0" w:rsidP="00F60F1A">
      <w:pPr>
        <w:pStyle w:val="Heading3"/>
        <w:ind w:left="709" w:hanging="709"/>
      </w:pPr>
      <w:bookmarkStart w:id="74" w:name="_Toc465171372"/>
      <w:bookmarkStart w:id="75" w:name="_Toc473786334"/>
      <w:r>
        <w:t>T</w:t>
      </w:r>
      <w:r w:rsidR="00051CFA">
        <w:t>he EP’s beneficiaries</w:t>
      </w:r>
      <w:bookmarkEnd w:id="74"/>
      <w:bookmarkEnd w:id="75"/>
      <w:r w:rsidR="00051CFA" w:rsidRPr="00C807A9">
        <w:t xml:space="preserve"> </w:t>
      </w:r>
    </w:p>
    <w:p w14:paraId="6826AC8D" w14:textId="6A467197" w:rsidR="004618FD" w:rsidRPr="004618FD" w:rsidRDefault="004618FD" w:rsidP="004618FD">
      <w:pPr>
        <w:jc w:val="both"/>
        <w:rPr>
          <w:lang w:val="en-AU"/>
        </w:rPr>
      </w:pPr>
      <w:r w:rsidRPr="004618FD">
        <w:rPr>
          <w:bCs/>
        </w:rPr>
        <w:t xml:space="preserve">The EP was foremost designed as a strategy to reduce poverty and improve equity. The design of the partnership also specified a range of activities to be undertaken </w:t>
      </w:r>
      <w:r w:rsidR="004E2651">
        <w:rPr>
          <w:bCs/>
        </w:rPr>
        <w:t>to</w:t>
      </w:r>
      <w:r w:rsidRPr="004618FD">
        <w:rPr>
          <w:bCs/>
        </w:rPr>
        <w:t xml:space="preserve"> support</w:t>
      </w:r>
      <w:r w:rsidR="004E2651">
        <w:rPr>
          <w:bCs/>
        </w:rPr>
        <w:t xml:space="preserve"> GoA</w:t>
      </w:r>
      <w:r w:rsidRPr="004618FD">
        <w:rPr>
          <w:bCs/>
        </w:rPr>
        <w:t xml:space="preserve"> social inclusion </w:t>
      </w:r>
      <w:r w:rsidR="004E2651">
        <w:rPr>
          <w:bCs/>
        </w:rPr>
        <w:t>agendas</w:t>
      </w:r>
      <w:r w:rsidRPr="004618FD">
        <w:rPr>
          <w:bCs/>
        </w:rPr>
        <w:t xml:space="preserve">. Positioned as ‘cross-cutting themes’, gender equity and disability support initiatives were </w:t>
      </w:r>
      <w:r w:rsidR="004E2651">
        <w:rPr>
          <w:bCs/>
        </w:rPr>
        <w:t xml:space="preserve">designed to be </w:t>
      </w:r>
      <w:r w:rsidRPr="004618FD">
        <w:rPr>
          <w:bCs/>
        </w:rPr>
        <w:t>component specific</w:t>
      </w:r>
      <w:r w:rsidR="004E2651">
        <w:rPr>
          <w:bCs/>
        </w:rPr>
        <w:t xml:space="preserve">. MoEC school designs utilised in C1 were modified to include </w:t>
      </w:r>
      <w:r w:rsidRPr="004618FD">
        <w:rPr>
          <w:bCs/>
        </w:rPr>
        <w:t xml:space="preserve">infrastructure facilities for </w:t>
      </w:r>
      <w:r w:rsidR="00726E4A">
        <w:rPr>
          <w:bCs/>
        </w:rPr>
        <w:t>children with disabilities,</w:t>
      </w:r>
      <w:r w:rsidRPr="004618FD">
        <w:rPr>
          <w:bCs/>
        </w:rPr>
        <w:t xml:space="preserve"> </w:t>
      </w:r>
      <w:r w:rsidR="004E2651">
        <w:rPr>
          <w:bCs/>
        </w:rPr>
        <w:t>such as ramps and disabled toilets. Social inclusion modules were developed for C2 and C3 training</w:t>
      </w:r>
      <w:r w:rsidR="00AA59E6">
        <w:rPr>
          <w:bCs/>
        </w:rPr>
        <w:t xml:space="preserve"> </w:t>
      </w:r>
      <w:r w:rsidR="00A91923">
        <w:rPr>
          <w:bCs/>
        </w:rPr>
        <w:t>materials</w:t>
      </w:r>
      <w:r w:rsidR="004E2651">
        <w:rPr>
          <w:bCs/>
        </w:rPr>
        <w:t xml:space="preserve">, and </w:t>
      </w:r>
      <w:r w:rsidRPr="004618FD">
        <w:rPr>
          <w:bCs/>
        </w:rPr>
        <w:t xml:space="preserve">gender equity requirements </w:t>
      </w:r>
      <w:r w:rsidR="004E2651">
        <w:rPr>
          <w:bCs/>
        </w:rPr>
        <w:t xml:space="preserve">were a feature of selection processes for </w:t>
      </w:r>
      <w:r w:rsidRPr="004618FD">
        <w:rPr>
          <w:bCs/>
        </w:rPr>
        <w:t>training activities.</w:t>
      </w:r>
      <w:r w:rsidR="008862BF">
        <w:rPr>
          <w:bCs/>
        </w:rPr>
        <w:t xml:space="preserve"> </w:t>
      </w:r>
      <w:r w:rsidRPr="004618FD">
        <w:rPr>
          <w:bCs/>
        </w:rPr>
        <w:t>However, the absence of a robust social inclusion framework and</w:t>
      </w:r>
      <w:r w:rsidR="008D4D27">
        <w:rPr>
          <w:bCs/>
        </w:rPr>
        <w:t xml:space="preserve"> specialist staff to assist in the mainstreaming of social inclusion agendas weakened the overall impact of individual component activities.</w:t>
      </w:r>
    </w:p>
    <w:p w14:paraId="6826AC8F" w14:textId="13189B01" w:rsidR="00B30862" w:rsidRPr="004618FD" w:rsidRDefault="008862BF" w:rsidP="004618FD">
      <w:pPr>
        <w:jc w:val="both"/>
        <w:rPr>
          <w:bCs/>
        </w:rPr>
      </w:pPr>
      <w:r>
        <w:rPr>
          <w:bCs/>
        </w:rPr>
        <w:t>F</w:t>
      </w:r>
      <w:r w:rsidR="004618FD" w:rsidRPr="004618FD">
        <w:rPr>
          <w:bCs/>
        </w:rPr>
        <w:t>rom 2014 onwards, as DFAT released a series of policies that moved gender and disability from the position of ‘cross-cutting themes’ to a core feature of all relevant aid activities, the Embassy</w:t>
      </w:r>
      <w:r w:rsidR="0022088B">
        <w:rPr>
          <w:bCs/>
        </w:rPr>
        <w:t xml:space="preserve"> sought to respond</w:t>
      </w:r>
      <w:r w:rsidR="004618FD" w:rsidRPr="004618FD">
        <w:rPr>
          <w:bCs/>
        </w:rPr>
        <w:t xml:space="preserve"> </w:t>
      </w:r>
      <w:r>
        <w:rPr>
          <w:bCs/>
        </w:rPr>
        <w:t>appropriately</w:t>
      </w:r>
      <w:r w:rsidR="00B30862">
        <w:rPr>
          <w:bCs/>
        </w:rPr>
        <w:t>.</w:t>
      </w:r>
      <w:r w:rsidR="00476535" w:rsidRPr="00476535">
        <w:rPr>
          <w:bCs/>
        </w:rPr>
        <w:t xml:space="preserve"> </w:t>
      </w:r>
      <w:r w:rsidR="00476535">
        <w:rPr>
          <w:bCs/>
        </w:rPr>
        <w:t xml:space="preserve">A social inclusion advisor was appointed in 2015 to oversee a range of </w:t>
      </w:r>
      <w:r w:rsidR="00476535" w:rsidRPr="00B83331">
        <w:rPr>
          <w:bCs/>
          <w:i/>
        </w:rPr>
        <w:t>ad hoc</w:t>
      </w:r>
      <w:r w:rsidR="00476535">
        <w:rPr>
          <w:bCs/>
        </w:rPr>
        <w:t xml:space="preserve"> initiatives across </w:t>
      </w:r>
      <w:r w:rsidR="00726E4A">
        <w:rPr>
          <w:bCs/>
        </w:rPr>
        <w:t>Components 1-3</w:t>
      </w:r>
      <w:r w:rsidR="0022088B">
        <w:rPr>
          <w:bCs/>
        </w:rPr>
        <w:t>.</w:t>
      </w:r>
      <w:r w:rsidR="00476535">
        <w:rPr>
          <w:bCs/>
        </w:rPr>
        <w:t xml:space="preserve"> </w:t>
      </w:r>
      <w:r w:rsidR="0022088B">
        <w:rPr>
          <w:bCs/>
        </w:rPr>
        <w:t>The gender balance for</w:t>
      </w:r>
      <w:r w:rsidR="00B30862">
        <w:rPr>
          <w:bCs/>
        </w:rPr>
        <w:t xml:space="preserve"> training activities</w:t>
      </w:r>
      <w:r w:rsidR="0022088B">
        <w:rPr>
          <w:bCs/>
        </w:rPr>
        <w:t xml:space="preserve"> in the final cycle of C3</w:t>
      </w:r>
      <w:r w:rsidR="00B30862">
        <w:rPr>
          <w:bCs/>
        </w:rPr>
        <w:t xml:space="preserve"> </w:t>
      </w:r>
      <w:r w:rsidR="0022088B">
        <w:rPr>
          <w:bCs/>
        </w:rPr>
        <w:t xml:space="preserve">improved to a </w:t>
      </w:r>
      <w:r w:rsidR="00B30862">
        <w:rPr>
          <w:bCs/>
        </w:rPr>
        <w:t>ratio of</w:t>
      </w:r>
      <w:r w:rsidR="008C2DF5">
        <w:rPr>
          <w:bCs/>
        </w:rPr>
        <w:t xml:space="preserve"> 54% female and 46% male</w:t>
      </w:r>
      <w:r w:rsidR="0022088B">
        <w:rPr>
          <w:bCs/>
        </w:rPr>
        <w:t>, as opposed to a component average of 65% male and 35% female</w:t>
      </w:r>
      <w:r w:rsidR="00177BC7">
        <w:rPr>
          <w:rStyle w:val="EndnoteReference"/>
          <w:bCs/>
        </w:rPr>
        <w:endnoteReference w:id="33"/>
      </w:r>
      <w:r w:rsidR="0022088B">
        <w:rPr>
          <w:bCs/>
        </w:rPr>
        <w:t>.</w:t>
      </w:r>
      <w:r w:rsidR="00B30862">
        <w:rPr>
          <w:bCs/>
        </w:rPr>
        <w:t xml:space="preserve"> </w:t>
      </w:r>
      <w:r w:rsidR="00AA59E6">
        <w:rPr>
          <w:bCs/>
        </w:rPr>
        <w:t xml:space="preserve">C1 </w:t>
      </w:r>
      <w:r w:rsidR="0022088B">
        <w:rPr>
          <w:bCs/>
        </w:rPr>
        <w:t>developed</w:t>
      </w:r>
      <w:r w:rsidR="00AA59E6">
        <w:rPr>
          <w:bCs/>
        </w:rPr>
        <w:t xml:space="preserve"> a detailed technical memo</w:t>
      </w:r>
      <w:r w:rsidR="00726E4A">
        <w:rPr>
          <w:bCs/>
        </w:rPr>
        <w:t>randum</w:t>
      </w:r>
      <w:r w:rsidR="00AA59E6">
        <w:rPr>
          <w:bCs/>
        </w:rPr>
        <w:t xml:space="preserve"> to construction guidelines that clearly illustrated the design elements of ramps, toilets and grab bars for disabled persons</w:t>
      </w:r>
      <w:r w:rsidR="00177BC7">
        <w:rPr>
          <w:rStyle w:val="EndnoteReference"/>
          <w:bCs/>
        </w:rPr>
        <w:endnoteReference w:id="34"/>
      </w:r>
      <w:r w:rsidR="0022088B">
        <w:rPr>
          <w:bCs/>
        </w:rPr>
        <w:t xml:space="preserve">, and </w:t>
      </w:r>
      <w:r w:rsidR="00771041">
        <w:rPr>
          <w:bCs/>
        </w:rPr>
        <w:t>a pilot program for inclusive education in madrasah was implemented in five provinces</w:t>
      </w:r>
      <w:r w:rsidR="00473E53">
        <w:rPr>
          <w:rStyle w:val="EndnoteReference"/>
          <w:bCs/>
        </w:rPr>
        <w:endnoteReference w:id="35"/>
      </w:r>
      <w:r w:rsidR="0022088B">
        <w:rPr>
          <w:bCs/>
        </w:rPr>
        <w:t xml:space="preserve">. </w:t>
      </w:r>
    </w:p>
    <w:p w14:paraId="6826AC90" w14:textId="5FD7D58C" w:rsidR="004618FD" w:rsidRPr="004618FD" w:rsidRDefault="004618FD" w:rsidP="004618FD">
      <w:pPr>
        <w:jc w:val="both"/>
        <w:rPr>
          <w:lang w:val="en-AU"/>
        </w:rPr>
      </w:pPr>
      <w:r w:rsidRPr="004618FD">
        <w:rPr>
          <w:lang w:val="en-AU"/>
        </w:rPr>
        <w:t>As a strategy to address poverty and improve equity, the EP consistently provided benefits to the ultimate end-users of services, albeit with a reduction in the overall number of those ultimate beneficiaries. The program was generally effective in reaching school children in underserved and remote areas, with enrolment rates increasing most sharply f</w:t>
      </w:r>
      <w:r w:rsidR="00B31398">
        <w:rPr>
          <w:lang w:val="en-AU"/>
        </w:rPr>
        <w:t>or students from poor families.</w:t>
      </w:r>
      <w:r w:rsidRPr="004618FD">
        <w:rPr>
          <w:lang w:val="en-AU"/>
        </w:rPr>
        <w:t xml:space="preserve"> The C2 mode of professional development was highly regarded by those school principals and other educational staff that participated in activities, and BOS training rolled-put under C2 reached an impressive 650,000 people. Selection processes for the identification of private madrasah for Block Grant support under C3 were well-designed to ensure that the neediest eligible institutions were provided with assistance.</w:t>
      </w:r>
    </w:p>
    <w:p w14:paraId="6826AC91" w14:textId="1BF6F15A" w:rsidR="004618FD" w:rsidRPr="00C807A9" w:rsidRDefault="004618FD" w:rsidP="00051CFA">
      <w:pPr>
        <w:jc w:val="both"/>
        <w:rPr>
          <w:lang w:val="en-AU"/>
        </w:rPr>
      </w:pPr>
      <w:r w:rsidRPr="004618FD">
        <w:rPr>
          <w:lang w:val="en-AU"/>
        </w:rPr>
        <w:t>The EP was less effective at building the capacity of district-level stakeholders. School construction effectively limited the role of district education offices to that of a signatory. The implementation of C2 activities was similarly coordinated and funded from the centre and implemented via</w:t>
      </w:r>
      <w:r w:rsidRPr="004618FD">
        <w:t xml:space="preserve"> </w:t>
      </w:r>
      <w:r w:rsidRPr="004618FD">
        <w:rPr>
          <w:lang w:val="en-AU"/>
        </w:rPr>
        <w:t>deconcentrated rather than decentralised agencies</w:t>
      </w:r>
      <w:r w:rsidRPr="004618FD">
        <w:rPr>
          <w:vertAlign w:val="superscript"/>
          <w:lang w:val="en-AU"/>
        </w:rPr>
        <w:footnoteReference w:id="32"/>
      </w:r>
      <w:r w:rsidRPr="004618FD">
        <w:rPr>
          <w:lang w:val="en-AU"/>
        </w:rPr>
        <w:t>. This approach reduced the fiduciary and delivery risks from a GoA perspective but the trade-off was that construction and training activities had little impact upon the planning or usage of district education budgets that account for two thirds of annual sector expenditure. As such, the key role</w:t>
      </w:r>
      <w:r w:rsidR="00473E53">
        <w:rPr>
          <w:rStyle w:val="EndnoteReference"/>
          <w:lang w:val="en-AU"/>
        </w:rPr>
        <w:endnoteReference w:id="36"/>
      </w:r>
      <w:r w:rsidR="00473E53">
        <w:rPr>
          <w:lang w:val="en-AU"/>
        </w:rPr>
        <w:t xml:space="preserve"> </w:t>
      </w:r>
      <w:r w:rsidRPr="004618FD">
        <w:rPr>
          <w:lang w:val="en-AU"/>
        </w:rPr>
        <w:t>that the EP envisaged for provincial and district stakeholders was not realised.</w:t>
      </w:r>
    </w:p>
    <w:p w14:paraId="6826AC92" w14:textId="77777777" w:rsidR="00051CFA" w:rsidRPr="00C807A9" w:rsidRDefault="00A44EC0" w:rsidP="00F60F1A">
      <w:pPr>
        <w:pStyle w:val="Heading3"/>
        <w:ind w:left="709" w:hanging="709"/>
      </w:pPr>
      <w:bookmarkStart w:id="76" w:name="_Toc465171373"/>
      <w:bookmarkStart w:id="77" w:name="_Toc473786335"/>
      <w:r>
        <w:t>The</w:t>
      </w:r>
      <w:r w:rsidR="00051CFA">
        <w:t xml:space="preserve"> EP’s influence o</w:t>
      </w:r>
      <w:r w:rsidR="005D24E2">
        <w:t>n</w:t>
      </w:r>
      <w:r w:rsidR="00051CFA">
        <w:t xml:space="preserve"> GoI expenditure</w:t>
      </w:r>
      <w:bookmarkEnd w:id="76"/>
      <w:bookmarkEnd w:id="77"/>
      <w:r w:rsidR="00051CFA" w:rsidRPr="00C807A9">
        <w:t xml:space="preserve"> </w:t>
      </w:r>
    </w:p>
    <w:p w14:paraId="6826AC93" w14:textId="762845E1" w:rsidR="00051CFA" w:rsidRPr="00C807A9" w:rsidRDefault="00051CFA" w:rsidP="00051CFA">
      <w:pPr>
        <w:jc w:val="both"/>
      </w:pPr>
      <w:r w:rsidRPr="00C807A9">
        <w:t>The Indonesian government is constitutionally mandated to allocate a minimum of 20% of the national budget to education. This allocation is made at two levels: funds allocated to the central level (MoEC, MoRA, other ministries and institutions</w:t>
      </w:r>
      <w:r w:rsidR="00CC411E">
        <w:t>:</w:t>
      </w:r>
      <w:r w:rsidRPr="00C807A9">
        <w:t xml:space="preserve"> 35%) and funds allocated to the district level (6</w:t>
      </w:r>
      <w:r w:rsidR="002757F1">
        <w:t>5</w:t>
      </w:r>
      <w:r w:rsidR="00CC411E">
        <w:t>%</w:t>
      </w:r>
      <w:r w:rsidRPr="00C807A9">
        <w:t>)</w:t>
      </w:r>
      <w:r w:rsidR="005F523C">
        <w:rPr>
          <w:rStyle w:val="EndnoteReference"/>
        </w:rPr>
        <w:endnoteReference w:id="37"/>
      </w:r>
      <w:r w:rsidRPr="00C807A9">
        <w:t>. MoRA is a centralised ministry, hence all allocations for the support of Islamic education are part of the central spend</w:t>
      </w:r>
      <w:r w:rsidRPr="00C807A9">
        <w:rPr>
          <w:vertAlign w:val="superscript"/>
        </w:rPr>
        <w:footnoteReference w:id="33"/>
      </w:r>
      <w:r w:rsidRPr="00C807A9">
        <w:t>.</w:t>
      </w:r>
    </w:p>
    <w:p w14:paraId="6826AC94" w14:textId="77777777" w:rsidR="00051CFA" w:rsidRPr="00C807A9" w:rsidRDefault="00051CFA" w:rsidP="00051CFA">
      <w:pPr>
        <w:jc w:val="both"/>
      </w:pPr>
      <w:r w:rsidRPr="00C807A9">
        <w:t xml:space="preserve">By design, EP influence over GoI spend was strongest at central level. Grant agreements for C1 and C2 were between GoA and GoI’s MoF. Technical support units for C1, C2, and C3 were located within central ministries and membership of governance bodies was limited to senior ministry officials. The influence over GoI spend at this level may be assessed in terms of tangible influence (i.e. the unlocking of new or additional GoI/external funds) and intangible influence (e.g. technical improvements that may result in the improved efficiency of GoI spend). </w:t>
      </w:r>
    </w:p>
    <w:p w14:paraId="6826AC95" w14:textId="77777777" w:rsidR="00051CFA" w:rsidRDefault="00051CFA" w:rsidP="00051CFA">
      <w:pPr>
        <w:jc w:val="both"/>
      </w:pPr>
      <w:r w:rsidRPr="00C807A9">
        <w:t xml:space="preserve">In the case of the former, MoEC spent approximately AUD 15 million of its own budget to support ProDEP replication activities in 29 districts in 2015 and 2016, a sum that was roughly 50% of the </w:t>
      </w:r>
      <w:r w:rsidR="00A45D1C">
        <w:t xml:space="preserve">revised </w:t>
      </w:r>
      <w:r w:rsidRPr="00C807A9">
        <w:t>G</w:t>
      </w:r>
      <w:r w:rsidR="007F5421">
        <w:t>A</w:t>
      </w:r>
      <w:r w:rsidRPr="00C807A9">
        <w:t xml:space="preserve"> figure. </w:t>
      </w:r>
      <w:r w:rsidR="00D00C09" w:rsidRPr="00D00C09">
        <w:t>Over 2013-2016, MoRA allocated AUD 17.1 million to support non-target</w:t>
      </w:r>
      <w:r w:rsidR="00D00C09">
        <w:t>ed</w:t>
      </w:r>
      <w:r w:rsidR="00D00C09" w:rsidRPr="00D00C09">
        <w:t xml:space="preserve"> madrasah </w:t>
      </w:r>
      <w:r w:rsidR="00D00C09">
        <w:t xml:space="preserve">using the </w:t>
      </w:r>
      <w:r w:rsidR="00490528">
        <w:t>‘</w:t>
      </w:r>
      <w:r w:rsidR="00D00C09" w:rsidRPr="00D00C09">
        <w:t>C3 model</w:t>
      </w:r>
      <w:r w:rsidR="00490528">
        <w:t>’</w:t>
      </w:r>
      <w:r w:rsidR="00D00C09">
        <w:t xml:space="preserve">, equivalent to </w:t>
      </w:r>
      <w:r w:rsidR="00D00C09" w:rsidRPr="00D00C09">
        <w:t>4</w:t>
      </w:r>
      <w:r w:rsidR="00A45D1C">
        <w:t>7</w:t>
      </w:r>
      <w:r w:rsidR="00D00C09" w:rsidRPr="00D00C09">
        <w:t xml:space="preserve">% of the </w:t>
      </w:r>
      <w:r w:rsidR="00D00C09">
        <w:t xml:space="preserve">revised </w:t>
      </w:r>
      <w:r w:rsidR="00D00C09" w:rsidRPr="00D00C09">
        <w:t>GoA investment in C3</w:t>
      </w:r>
      <w:r w:rsidR="00D00C09">
        <w:t xml:space="preserve">. </w:t>
      </w:r>
      <w:r w:rsidRPr="00C807A9">
        <w:t xml:space="preserve">Matching funding was not forthcoming for C1 as the purpose of the GA in this case was to enable the reallocation of school construction funds to other MoEC priorities. </w:t>
      </w:r>
    </w:p>
    <w:p w14:paraId="6826AC96" w14:textId="045DF59A" w:rsidR="00EB46B5" w:rsidRDefault="00C90BE4" w:rsidP="00051CFA">
      <w:pPr>
        <w:jc w:val="both"/>
      </w:pPr>
      <w:r w:rsidRPr="00C90BE4">
        <w:t xml:space="preserve">In the case of the latter, </w:t>
      </w:r>
      <w:r>
        <w:t>C1</w:t>
      </w:r>
      <w:r w:rsidRPr="00C90BE4">
        <w:t xml:space="preserve"> support to MoEC improved processes for site selection</w:t>
      </w:r>
      <w:r>
        <w:t xml:space="preserve"> and </w:t>
      </w:r>
      <w:r w:rsidR="008B599C">
        <w:t xml:space="preserve">construction </w:t>
      </w:r>
      <w:r w:rsidRPr="00C90BE4">
        <w:t xml:space="preserve">quality assurance and </w:t>
      </w:r>
      <w:r w:rsidR="008B599C">
        <w:t xml:space="preserve">can </w:t>
      </w:r>
      <w:r w:rsidRPr="00C90BE4">
        <w:t xml:space="preserve">thus improve </w:t>
      </w:r>
      <w:r w:rsidR="008B599C">
        <w:t xml:space="preserve">spend </w:t>
      </w:r>
      <w:r w:rsidRPr="00C90BE4">
        <w:t>efficiency</w:t>
      </w:r>
      <w:r w:rsidR="008B599C">
        <w:t xml:space="preserve">. And </w:t>
      </w:r>
      <w:r w:rsidRPr="00C90BE4">
        <w:t>the greatest gains could be made from the Embassy’s investment in C4, particularly should ACDP evidence be used to influence policy and ultimately trigger behavioural change that ushers in new budgetary commitments or improvements to the delivery of current GoI expenditure.</w:t>
      </w:r>
      <w:r w:rsidR="003A65F7">
        <w:t xml:space="preserve"> Ultimately, the types of behavioural change stimulated by EP activities and the influence of technical products upon partners systems </w:t>
      </w:r>
      <w:r w:rsidR="00DD52D9">
        <w:t>are</w:t>
      </w:r>
      <w:r w:rsidR="000641A8">
        <w:t xml:space="preserve"> often</w:t>
      </w:r>
      <w:r w:rsidR="003A65F7">
        <w:t xml:space="preserve"> ‘slow burners’ that resist </w:t>
      </w:r>
      <w:r w:rsidR="00DD52D9">
        <w:t>short-term assessment.</w:t>
      </w:r>
      <w:r w:rsidR="000641A8">
        <w:t xml:space="preserve"> C4 investments may be cases in point. </w:t>
      </w:r>
    </w:p>
    <w:p w14:paraId="15C4F9CB" w14:textId="77777777" w:rsidR="00FA14CE" w:rsidRDefault="00FA14CE">
      <w:pPr>
        <w:spacing w:after="0" w:line="240" w:lineRule="auto"/>
        <w:rPr>
          <w:rFonts w:eastAsia="Times New Roman" w:cs="Calibri"/>
          <w:b/>
          <w:bCs/>
          <w:color w:val="003880"/>
          <w:kern w:val="32"/>
          <w:sz w:val="28"/>
          <w:szCs w:val="28"/>
          <w:lang w:val="en-AU"/>
        </w:rPr>
      </w:pPr>
      <w:bookmarkStart w:id="78" w:name="_Toc473786336"/>
      <w:r>
        <w:br w:type="page"/>
      </w:r>
    </w:p>
    <w:p w14:paraId="6826AC98" w14:textId="30A71B09" w:rsidR="006B109C" w:rsidRPr="00C914F5" w:rsidRDefault="00E80498" w:rsidP="00D462BE">
      <w:pPr>
        <w:pStyle w:val="Heading1"/>
      </w:pPr>
      <w:r>
        <w:t>Analysis</w:t>
      </w:r>
      <w:bookmarkEnd w:id="78"/>
    </w:p>
    <w:p w14:paraId="6826AC99" w14:textId="77777777" w:rsidR="006B109C" w:rsidRPr="005540B8" w:rsidRDefault="006B109C" w:rsidP="00082D8B">
      <w:pPr>
        <w:pStyle w:val="Heading2"/>
      </w:pPr>
      <w:bookmarkStart w:id="79" w:name="_Toc473786337"/>
      <w:r w:rsidRPr="005540B8">
        <w:t>Introduction</w:t>
      </w:r>
      <w:bookmarkEnd w:id="79"/>
      <w:r w:rsidR="00D00C09" w:rsidRPr="005540B8">
        <w:t xml:space="preserve"> </w:t>
      </w:r>
    </w:p>
    <w:p w14:paraId="6826AC9A" w14:textId="77777777" w:rsidR="00AA54D3" w:rsidRDefault="00104222" w:rsidP="00672EC6">
      <w:pPr>
        <w:jc w:val="both"/>
      </w:pPr>
      <w:r>
        <w:t xml:space="preserve">Section </w:t>
      </w:r>
      <w:r w:rsidR="006B109C">
        <w:t xml:space="preserve">4 </w:t>
      </w:r>
      <w:r w:rsidR="00672BCC">
        <w:t xml:space="preserve">described the performance of </w:t>
      </w:r>
      <w:r w:rsidR="00397475">
        <w:t>C</w:t>
      </w:r>
      <w:r w:rsidR="006B109C">
        <w:t>omponent</w:t>
      </w:r>
      <w:r w:rsidR="00397475">
        <w:t>s 1-4</w:t>
      </w:r>
      <w:r w:rsidR="006B109C">
        <w:t xml:space="preserve"> with respect to the OECD DAC criteria for evaluating development assistance. In </w:t>
      </w:r>
      <w:r w:rsidR="003E701A">
        <w:t>this</w:t>
      </w:r>
      <w:r w:rsidR="006B109C">
        <w:t xml:space="preserve"> section, </w:t>
      </w:r>
      <w:r w:rsidR="00672BCC">
        <w:t xml:space="preserve">the performance story is </w:t>
      </w:r>
      <w:r w:rsidR="00F300B3">
        <w:t xml:space="preserve">examined </w:t>
      </w:r>
      <w:r w:rsidR="00AA54D3">
        <w:t>with respect to:</w:t>
      </w:r>
    </w:p>
    <w:p w14:paraId="6826AC9B" w14:textId="77777777" w:rsidR="00AA54D3" w:rsidRDefault="00AA54D3" w:rsidP="002C7568">
      <w:pPr>
        <w:pStyle w:val="ListParagraph"/>
        <w:numPr>
          <w:ilvl w:val="0"/>
          <w:numId w:val="5"/>
        </w:numPr>
        <w:spacing w:after="160" w:line="259" w:lineRule="auto"/>
        <w:jc w:val="both"/>
      </w:pPr>
      <w:r>
        <w:t xml:space="preserve">the </w:t>
      </w:r>
      <w:r w:rsidR="00672BCC">
        <w:t xml:space="preserve">EP’s </w:t>
      </w:r>
      <w:r>
        <w:t>governance arrangements;</w:t>
      </w:r>
    </w:p>
    <w:p w14:paraId="6826AC9C" w14:textId="77777777" w:rsidR="00E13FCB" w:rsidRDefault="00E13FCB" w:rsidP="002C7568">
      <w:pPr>
        <w:pStyle w:val="ListParagraph"/>
        <w:numPr>
          <w:ilvl w:val="0"/>
          <w:numId w:val="5"/>
        </w:numPr>
        <w:spacing w:after="160" w:line="259" w:lineRule="auto"/>
        <w:jc w:val="both"/>
      </w:pPr>
      <w:r>
        <w:t xml:space="preserve">the </w:t>
      </w:r>
      <w:r w:rsidR="00672BCC">
        <w:t xml:space="preserve">EP’s </w:t>
      </w:r>
      <w:r>
        <w:t>management arrangements;</w:t>
      </w:r>
      <w:r w:rsidR="00672BCC">
        <w:t xml:space="preserve"> </w:t>
      </w:r>
    </w:p>
    <w:p w14:paraId="6826AC9D" w14:textId="77777777" w:rsidR="00E72E11" w:rsidRDefault="005C01CD" w:rsidP="002C7568">
      <w:pPr>
        <w:pStyle w:val="ListParagraph"/>
        <w:numPr>
          <w:ilvl w:val="0"/>
          <w:numId w:val="5"/>
        </w:numPr>
        <w:spacing w:after="160" w:line="259" w:lineRule="auto"/>
        <w:jc w:val="both"/>
      </w:pPr>
      <w:r>
        <w:t xml:space="preserve">the EP’s </w:t>
      </w:r>
      <w:r w:rsidR="00672BCC">
        <w:t>synergies</w:t>
      </w:r>
      <w:r w:rsidR="00E13FCB">
        <w:t xml:space="preserve"> with other initiatives; and</w:t>
      </w:r>
      <w:r w:rsidR="00E72E11">
        <w:t xml:space="preserve"> </w:t>
      </w:r>
    </w:p>
    <w:p w14:paraId="6826AC9E" w14:textId="77777777" w:rsidR="006B109C" w:rsidRDefault="00672BCC" w:rsidP="002C7568">
      <w:pPr>
        <w:pStyle w:val="ListParagraph"/>
        <w:numPr>
          <w:ilvl w:val="0"/>
          <w:numId w:val="5"/>
        </w:numPr>
        <w:spacing w:after="160" w:line="259" w:lineRule="auto"/>
        <w:jc w:val="both"/>
      </w:pPr>
      <w:r>
        <w:t>t</w:t>
      </w:r>
      <w:r w:rsidR="00E13FCB">
        <w:t xml:space="preserve">he EP’s </w:t>
      </w:r>
      <w:r w:rsidR="00AA54D3">
        <w:t>value for money</w:t>
      </w:r>
      <w:r w:rsidR="00E13FCB">
        <w:t xml:space="preserve"> proposition</w:t>
      </w:r>
      <w:r w:rsidR="00AA54D3">
        <w:t>.</w:t>
      </w:r>
      <w:r w:rsidR="006B109C">
        <w:t xml:space="preserve"> </w:t>
      </w:r>
    </w:p>
    <w:p w14:paraId="6826ACA0" w14:textId="77777777" w:rsidR="00031203" w:rsidRPr="005540B8" w:rsidRDefault="00F300B3" w:rsidP="00082D8B">
      <w:pPr>
        <w:pStyle w:val="Heading2"/>
      </w:pPr>
      <w:bookmarkStart w:id="80" w:name="_Toc473786338"/>
      <w:r w:rsidRPr="005540B8">
        <w:t>Governance</w:t>
      </w:r>
      <w:r w:rsidR="009C7BAB" w:rsidRPr="005540B8">
        <w:t xml:space="preserve"> arrangements</w:t>
      </w:r>
      <w:bookmarkEnd w:id="80"/>
      <w:r w:rsidRPr="005540B8">
        <w:t xml:space="preserve"> </w:t>
      </w:r>
    </w:p>
    <w:p w14:paraId="6826ACA1" w14:textId="1D97FA00" w:rsidR="003E73B7" w:rsidRPr="00173CB5" w:rsidRDefault="003E73B7" w:rsidP="00672EC6">
      <w:pPr>
        <w:jc w:val="both"/>
        <w:rPr>
          <w:bCs/>
        </w:rPr>
      </w:pPr>
      <w:r>
        <w:rPr>
          <w:bCs/>
        </w:rPr>
        <w:t>T</w:t>
      </w:r>
      <w:r w:rsidRPr="00173CB5">
        <w:rPr>
          <w:bCs/>
        </w:rPr>
        <w:t>he EP design proposed an</w:t>
      </w:r>
      <w:r>
        <w:rPr>
          <w:bCs/>
        </w:rPr>
        <w:t xml:space="preserve"> elaborate governance structure</w:t>
      </w:r>
      <w:r w:rsidRPr="00173CB5">
        <w:rPr>
          <w:bCs/>
        </w:rPr>
        <w:t xml:space="preserve"> with </w:t>
      </w:r>
      <w:r>
        <w:rPr>
          <w:bCs/>
        </w:rPr>
        <w:t xml:space="preserve">five oversight groups: </w:t>
      </w:r>
      <w:r w:rsidRPr="00173CB5">
        <w:rPr>
          <w:bCs/>
        </w:rPr>
        <w:t>four TOGs and a G</w:t>
      </w:r>
      <w:r>
        <w:rPr>
          <w:bCs/>
        </w:rPr>
        <w:t>O</w:t>
      </w:r>
      <w:r w:rsidRPr="00173CB5">
        <w:rPr>
          <w:bCs/>
        </w:rPr>
        <w:t xml:space="preserve">G </w:t>
      </w:r>
      <w:r>
        <w:rPr>
          <w:bCs/>
        </w:rPr>
        <w:t>as the peak body</w:t>
      </w:r>
      <w:r w:rsidRPr="00173CB5">
        <w:rPr>
          <w:bCs/>
        </w:rPr>
        <w:t>. Over time it became apparent that the quarterly schedule for TOG meetings may have been unrealistic and unwarranted, especially given the multiple demands placed upon key post-holders</w:t>
      </w:r>
      <w:r>
        <w:rPr>
          <w:bCs/>
        </w:rPr>
        <w:t>, the frequent engagement and dialogue between EP managers and their GoI counterparts,</w:t>
      </w:r>
      <w:r w:rsidRPr="00173CB5">
        <w:rPr>
          <w:bCs/>
        </w:rPr>
        <w:t xml:space="preserve"> and the reality that Australia’s financial contribution, though significant in financial terms, constituted </w:t>
      </w:r>
      <w:r w:rsidR="00B703E2">
        <w:rPr>
          <w:bCs/>
        </w:rPr>
        <w:t xml:space="preserve">only </w:t>
      </w:r>
      <w:r w:rsidRPr="00173CB5">
        <w:rPr>
          <w:bCs/>
        </w:rPr>
        <w:t>around 0.</w:t>
      </w:r>
      <w:r>
        <w:rPr>
          <w:bCs/>
        </w:rPr>
        <w:t>2%</w:t>
      </w:r>
      <w:r>
        <w:rPr>
          <w:rStyle w:val="EndnoteReference"/>
          <w:bCs/>
        </w:rPr>
        <w:endnoteReference w:id="38"/>
      </w:r>
      <w:r w:rsidRPr="00173CB5">
        <w:rPr>
          <w:bCs/>
        </w:rPr>
        <w:t xml:space="preserve"> of Indonesia’s national education budget. The result was that</w:t>
      </w:r>
      <w:r>
        <w:rPr>
          <w:bCs/>
        </w:rPr>
        <w:t xml:space="preserve"> </w:t>
      </w:r>
      <w:r w:rsidR="00525865">
        <w:rPr>
          <w:bCs/>
        </w:rPr>
        <w:t xml:space="preserve">only </w:t>
      </w:r>
      <w:r w:rsidR="00672BCC">
        <w:rPr>
          <w:bCs/>
        </w:rPr>
        <w:t>about</w:t>
      </w:r>
      <w:r>
        <w:rPr>
          <w:bCs/>
        </w:rPr>
        <w:t xml:space="preserve"> </w:t>
      </w:r>
      <w:r w:rsidR="00525865">
        <w:rPr>
          <w:bCs/>
        </w:rPr>
        <w:t xml:space="preserve">30% of TOG meetings were held with </w:t>
      </w:r>
      <w:r>
        <w:rPr>
          <w:bCs/>
        </w:rPr>
        <w:t xml:space="preserve">the </w:t>
      </w:r>
      <w:r w:rsidRPr="00173CB5">
        <w:rPr>
          <w:bCs/>
        </w:rPr>
        <w:t xml:space="preserve">frequency </w:t>
      </w:r>
      <w:r>
        <w:rPr>
          <w:bCs/>
        </w:rPr>
        <w:t xml:space="preserve">of meetings </w:t>
      </w:r>
      <w:r w:rsidRPr="00173CB5">
        <w:rPr>
          <w:bCs/>
        </w:rPr>
        <w:t>tail</w:t>
      </w:r>
      <w:r w:rsidR="00525865">
        <w:rPr>
          <w:bCs/>
        </w:rPr>
        <w:t>ing</w:t>
      </w:r>
      <w:r w:rsidRPr="00173CB5">
        <w:rPr>
          <w:bCs/>
        </w:rPr>
        <w:t xml:space="preserve"> off as the EP neared its end</w:t>
      </w:r>
      <w:r w:rsidR="00525865">
        <w:rPr>
          <w:bCs/>
        </w:rPr>
        <w:t xml:space="preserve">. As such, </w:t>
      </w:r>
      <w:r w:rsidRPr="00173CB5">
        <w:rPr>
          <w:bCs/>
        </w:rPr>
        <w:t>joint governance aspirations were only partially met</w:t>
      </w:r>
      <w:r w:rsidR="009B4E5F">
        <w:rPr>
          <w:bCs/>
        </w:rPr>
        <w:t xml:space="preserve">, </w:t>
      </w:r>
      <w:r w:rsidRPr="00173CB5">
        <w:rPr>
          <w:bCs/>
        </w:rPr>
        <w:t>reinforc</w:t>
      </w:r>
      <w:r w:rsidR="001F170B">
        <w:rPr>
          <w:bCs/>
        </w:rPr>
        <w:t>ing</w:t>
      </w:r>
      <w:r w:rsidRPr="00173CB5">
        <w:rPr>
          <w:bCs/>
        </w:rPr>
        <w:t xml:space="preserve"> the perception that </w:t>
      </w:r>
      <w:r w:rsidR="00F67592">
        <w:rPr>
          <w:bCs/>
        </w:rPr>
        <w:t>the Embassy</w:t>
      </w:r>
      <w:r w:rsidRPr="00173CB5">
        <w:rPr>
          <w:bCs/>
        </w:rPr>
        <w:t xml:space="preserve"> retained </w:t>
      </w:r>
      <w:r w:rsidR="006501A7">
        <w:rPr>
          <w:bCs/>
        </w:rPr>
        <w:t xml:space="preserve">full management control of the </w:t>
      </w:r>
      <w:r w:rsidRPr="00173CB5">
        <w:rPr>
          <w:bCs/>
        </w:rPr>
        <w:t xml:space="preserve">partnership, with GoI </w:t>
      </w:r>
      <w:r w:rsidR="00525865">
        <w:rPr>
          <w:bCs/>
        </w:rPr>
        <w:t xml:space="preserve">responsible for </w:t>
      </w:r>
      <w:r w:rsidRPr="00173CB5">
        <w:rPr>
          <w:bCs/>
        </w:rPr>
        <w:t>a blend of institutional and implementing functions.</w:t>
      </w:r>
    </w:p>
    <w:p w14:paraId="6826ACA2" w14:textId="660235F3" w:rsidR="003E73B7" w:rsidRDefault="003E73B7" w:rsidP="00672EC6">
      <w:pPr>
        <w:jc w:val="both"/>
        <w:rPr>
          <w:bCs/>
          <w:lang w:val="en-AU"/>
        </w:rPr>
      </w:pPr>
      <w:r>
        <w:rPr>
          <w:bCs/>
          <w:lang w:val="en-AU"/>
        </w:rPr>
        <w:t xml:space="preserve">All the same, </w:t>
      </w:r>
      <w:r w:rsidRPr="00687661">
        <w:rPr>
          <w:bCs/>
          <w:lang w:val="en-AU"/>
        </w:rPr>
        <w:t xml:space="preserve">it </w:t>
      </w:r>
      <w:r w:rsidR="00525865">
        <w:rPr>
          <w:bCs/>
          <w:lang w:val="en-AU"/>
        </w:rPr>
        <w:t>was</w:t>
      </w:r>
      <w:r w:rsidRPr="00687661">
        <w:rPr>
          <w:bCs/>
          <w:lang w:val="en-AU"/>
        </w:rPr>
        <w:t xml:space="preserve"> apparent that AusAID and DFAT leadership teams sought to apply direction to the EP that was appropriate to the prevailing aid climate</w:t>
      </w:r>
      <w:r>
        <w:rPr>
          <w:bCs/>
          <w:lang w:val="en-AU"/>
        </w:rPr>
        <w:t xml:space="preserve"> </w:t>
      </w:r>
      <w:r w:rsidRPr="00687661">
        <w:rPr>
          <w:bCs/>
          <w:lang w:val="en-AU"/>
        </w:rPr>
        <w:t xml:space="preserve">in Canberra. It is also apparent that Australian leadership sought to engage their </w:t>
      </w:r>
      <w:r w:rsidR="00516E57">
        <w:rPr>
          <w:bCs/>
          <w:lang w:val="en-AU"/>
        </w:rPr>
        <w:t xml:space="preserve">Indonesian </w:t>
      </w:r>
      <w:r w:rsidRPr="00687661">
        <w:rPr>
          <w:bCs/>
          <w:lang w:val="en-AU"/>
        </w:rPr>
        <w:t xml:space="preserve">counterparts </w:t>
      </w:r>
      <w:r w:rsidR="00E72E11">
        <w:rPr>
          <w:bCs/>
          <w:lang w:val="en-AU"/>
        </w:rPr>
        <w:t>and vice versa</w:t>
      </w:r>
      <w:r>
        <w:rPr>
          <w:bCs/>
          <w:lang w:val="en-AU"/>
        </w:rPr>
        <w:t>.</w:t>
      </w:r>
      <w:r w:rsidRPr="00687661">
        <w:rPr>
          <w:bCs/>
          <w:lang w:val="en-AU"/>
        </w:rPr>
        <w:t xml:space="preserve"> </w:t>
      </w:r>
      <w:r>
        <w:rPr>
          <w:bCs/>
          <w:lang w:val="en-AU"/>
        </w:rPr>
        <w:t xml:space="preserve">The need for </w:t>
      </w:r>
      <w:r w:rsidR="007E72F2">
        <w:rPr>
          <w:bCs/>
          <w:lang w:val="en-AU"/>
        </w:rPr>
        <w:t xml:space="preserve">open and </w:t>
      </w:r>
      <w:r>
        <w:rPr>
          <w:bCs/>
          <w:lang w:val="en-AU"/>
        </w:rPr>
        <w:t>transpare</w:t>
      </w:r>
      <w:r w:rsidR="007E72F2">
        <w:rPr>
          <w:bCs/>
          <w:lang w:val="en-AU"/>
        </w:rPr>
        <w:t>nt</w:t>
      </w:r>
      <w:r>
        <w:rPr>
          <w:bCs/>
          <w:lang w:val="en-AU"/>
        </w:rPr>
        <w:t xml:space="preserve"> dialogue was most prevalent </w:t>
      </w:r>
      <w:r w:rsidRPr="00687661">
        <w:rPr>
          <w:bCs/>
          <w:lang w:val="en-AU"/>
        </w:rPr>
        <w:t xml:space="preserve">in 2014-15 as both institutional and implementing partners sought to interpret </w:t>
      </w:r>
      <w:r>
        <w:rPr>
          <w:bCs/>
          <w:lang w:val="en-AU"/>
        </w:rPr>
        <w:t xml:space="preserve">Australia’s </w:t>
      </w:r>
      <w:r w:rsidRPr="00687661">
        <w:rPr>
          <w:bCs/>
          <w:lang w:val="en-AU"/>
        </w:rPr>
        <w:t xml:space="preserve">new aid policy and </w:t>
      </w:r>
      <w:r w:rsidR="00525865" w:rsidRPr="00525865">
        <w:rPr>
          <w:bCs/>
          <w:lang w:val="en-AU"/>
        </w:rPr>
        <w:t>adapt to shifting domestic priorities.</w:t>
      </w:r>
      <w:r w:rsidRPr="00687661">
        <w:rPr>
          <w:bCs/>
          <w:lang w:val="en-AU"/>
        </w:rPr>
        <w:t xml:space="preserve"> Institutional partners were tasked with the difficult job of interpreting new policies and undertaking institutional restructuring</w:t>
      </w:r>
      <w:r w:rsidR="00C66C09">
        <w:rPr>
          <w:bCs/>
          <w:lang w:val="en-AU"/>
        </w:rPr>
        <w:t>;</w:t>
      </w:r>
      <w:r w:rsidRPr="00687661">
        <w:rPr>
          <w:bCs/>
          <w:lang w:val="en-AU"/>
        </w:rPr>
        <w:t xml:space="preserve"> implementing partners were tasked with making relevant adjustments to activities and ways of working</w:t>
      </w:r>
      <w:r w:rsidR="00C66C09">
        <w:rPr>
          <w:bCs/>
          <w:lang w:val="en-AU"/>
        </w:rPr>
        <w:t>;</w:t>
      </w:r>
      <w:r w:rsidRPr="00687661">
        <w:rPr>
          <w:bCs/>
          <w:lang w:val="en-AU"/>
        </w:rPr>
        <w:t xml:space="preserve"> and all parties were required to respond to the general sense of uncertainty about expectations and intentions. It could be argued that </w:t>
      </w:r>
      <w:r>
        <w:rPr>
          <w:bCs/>
          <w:lang w:val="en-AU"/>
        </w:rPr>
        <w:t xml:space="preserve">the </w:t>
      </w:r>
      <w:r w:rsidRPr="00687661">
        <w:rPr>
          <w:bCs/>
          <w:lang w:val="en-AU"/>
        </w:rPr>
        <w:t xml:space="preserve">partnership approach and </w:t>
      </w:r>
      <w:r>
        <w:rPr>
          <w:bCs/>
          <w:lang w:val="en-AU"/>
        </w:rPr>
        <w:t xml:space="preserve">the </w:t>
      </w:r>
      <w:r w:rsidRPr="00687661">
        <w:rPr>
          <w:bCs/>
          <w:lang w:val="en-AU"/>
        </w:rPr>
        <w:t>strong formal governance system designed fo</w:t>
      </w:r>
      <w:r>
        <w:rPr>
          <w:bCs/>
          <w:lang w:val="en-AU"/>
        </w:rPr>
        <w:t xml:space="preserve">r the EP was tailor-made for </w:t>
      </w:r>
      <w:r w:rsidR="009C7BAB">
        <w:rPr>
          <w:bCs/>
          <w:lang w:val="en-AU"/>
        </w:rPr>
        <w:t xml:space="preserve">such a turbulent </w:t>
      </w:r>
      <w:r w:rsidR="00516E57">
        <w:rPr>
          <w:bCs/>
          <w:lang w:val="en-AU"/>
        </w:rPr>
        <w:t>period</w:t>
      </w:r>
      <w:r w:rsidRPr="00687661">
        <w:rPr>
          <w:bCs/>
          <w:lang w:val="en-AU"/>
        </w:rPr>
        <w:t>. I</w:t>
      </w:r>
      <w:r>
        <w:rPr>
          <w:bCs/>
          <w:lang w:val="en-AU"/>
        </w:rPr>
        <w:t>ronically, however, the time for maximum inter-government engagement coincided with the period in which there was a downturn in the frequency of formal governance meetings</w:t>
      </w:r>
      <w:r w:rsidR="007E72F2">
        <w:rPr>
          <w:bCs/>
          <w:lang w:val="en-AU"/>
        </w:rPr>
        <w:t>,</w:t>
      </w:r>
      <w:r>
        <w:rPr>
          <w:bCs/>
          <w:lang w:val="en-AU"/>
        </w:rPr>
        <w:t xml:space="preserve"> eroding the platform for </w:t>
      </w:r>
      <w:r w:rsidR="009C7BAB">
        <w:rPr>
          <w:bCs/>
          <w:lang w:val="en-AU"/>
        </w:rPr>
        <w:t xml:space="preserve">raising and </w:t>
      </w:r>
      <w:r>
        <w:rPr>
          <w:bCs/>
          <w:lang w:val="en-AU"/>
        </w:rPr>
        <w:t>resolving key strategic matters.</w:t>
      </w:r>
    </w:p>
    <w:p w14:paraId="6826ACA3" w14:textId="77777777" w:rsidR="00E13FCB" w:rsidRDefault="00E13FCB" w:rsidP="00082D8B">
      <w:pPr>
        <w:pStyle w:val="Heading2"/>
      </w:pPr>
      <w:bookmarkStart w:id="81" w:name="_Toc473786339"/>
      <w:r w:rsidRPr="005540B8">
        <w:t>Management</w:t>
      </w:r>
      <w:r w:rsidR="009C7BAB" w:rsidRPr="005540B8">
        <w:t xml:space="preserve"> arrangements</w:t>
      </w:r>
      <w:bookmarkEnd w:id="81"/>
    </w:p>
    <w:p w14:paraId="6826ACA4" w14:textId="77777777" w:rsidR="003E73B7" w:rsidRPr="00F82989" w:rsidRDefault="003E73B7" w:rsidP="00F60F1A">
      <w:pPr>
        <w:pStyle w:val="Heading3"/>
        <w:ind w:left="709" w:hanging="709"/>
      </w:pPr>
      <w:bookmarkStart w:id="82" w:name="_Toc465171378"/>
      <w:bookmarkStart w:id="83" w:name="_Toc473786340"/>
      <w:r w:rsidRPr="004D4A96">
        <w:t>Results</w:t>
      </w:r>
      <w:r>
        <w:t>-based management</w:t>
      </w:r>
      <w:bookmarkEnd w:id="82"/>
      <w:bookmarkEnd w:id="83"/>
    </w:p>
    <w:p w14:paraId="6826ACA5" w14:textId="1F9C89B8" w:rsidR="003E73B7" w:rsidRDefault="003E73B7" w:rsidP="00672EC6">
      <w:pPr>
        <w:jc w:val="both"/>
        <w:rPr>
          <w:bCs/>
        </w:rPr>
      </w:pPr>
      <w:r w:rsidRPr="00F42F83">
        <w:rPr>
          <w:bCs/>
        </w:rPr>
        <w:t>Whil</w:t>
      </w:r>
      <w:r>
        <w:rPr>
          <w:bCs/>
        </w:rPr>
        <w:t>st</w:t>
      </w:r>
      <w:r w:rsidRPr="00F42F83">
        <w:rPr>
          <w:bCs/>
        </w:rPr>
        <w:t xml:space="preserve"> </w:t>
      </w:r>
      <w:r w:rsidR="00FE569C">
        <w:rPr>
          <w:bCs/>
        </w:rPr>
        <w:t xml:space="preserve">a clearly </w:t>
      </w:r>
      <w:r>
        <w:rPr>
          <w:bCs/>
        </w:rPr>
        <w:t xml:space="preserve">defined logic architecture was </w:t>
      </w:r>
      <w:r w:rsidRPr="00F42F83">
        <w:rPr>
          <w:bCs/>
        </w:rPr>
        <w:t xml:space="preserve">agreed </w:t>
      </w:r>
      <w:r w:rsidR="006817D8">
        <w:rPr>
          <w:bCs/>
        </w:rPr>
        <w:t xml:space="preserve">to </w:t>
      </w:r>
      <w:r w:rsidR="00C66C09">
        <w:rPr>
          <w:bCs/>
        </w:rPr>
        <w:t xml:space="preserve">in </w:t>
      </w:r>
      <w:r w:rsidR="007E72F2">
        <w:rPr>
          <w:bCs/>
        </w:rPr>
        <w:t>2011-12</w:t>
      </w:r>
      <w:r w:rsidRPr="00F42F83">
        <w:rPr>
          <w:bCs/>
        </w:rPr>
        <w:t xml:space="preserve"> </w:t>
      </w:r>
      <w:r w:rsidR="007E72F2">
        <w:rPr>
          <w:bCs/>
        </w:rPr>
        <w:t>(see Annex</w:t>
      </w:r>
      <w:r w:rsidR="004706EC">
        <w:rPr>
          <w:bCs/>
        </w:rPr>
        <w:t xml:space="preserve"> </w:t>
      </w:r>
      <w:r w:rsidR="008B026D">
        <w:rPr>
          <w:bCs/>
        </w:rPr>
        <w:t>I</w:t>
      </w:r>
      <w:r w:rsidR="007E72F2">
        <w:rPr>
          <w:bCs/>
        </w:rPr>
        <w:t xml:space="preserve">) </w:t>
      </w:r>
      <w:r w:rsidR="006817D8" w:rsidRPr="006817D8">
        <w:rPr>
          <w:bCs/>
        </w:rPr>
        <w:t>along with a clear set of performance targets in 2014</w:t>
      </w:r>
      <w:r>
        <w:rPr>
          <w:rStyle w:val="FootnoteReference"/>
          <w:bCs/>
        </w:rPr>
        <w:footnoteReference w:id="34"/>
      </w:r>
      <w:r w:rsidRPr="00F42F83">
        <w:rPr>
          <w:bCs/>
        </w:rPr>
        <w:t xml:space="preserve">, these did not necessarily </w:t>
      </w:r>
      <w:r>
        <w:rPr>
          <w:bCs/>
        </w:rPr>
        <w:t>engender</w:t>
      </w:r>
      <w:r w:rsidRPr="00F42F83">
        <w:rPr>
          <w:bCs/>
        </w:rPr>
        <w:t xml:space="preserve"> a </w:t>
      </w:r>
      <w:r w:rsidR="00E53C94">
        <w:rPr>
          <w:bCs/>
        </w:rPr>
        <w:t>culture of results-based management, particularly insofar as the EP’s high-level aspirations were concerned</w:t>
      </w:r>
      <w:r>
        <w:rPr>
          <w:bCs/>
        </w:rPr>
        <w:t xml:space="preserve">. </w:t>
      </w:r>
      <w:r w:rsidR="00E53C94">
        <w:rPr>
          <w:bCs/>
        </w:rPr>
        <w:t>Rather</w:t>
      </w:r>
      <w:r w:rsidR="00360852">
        <w:rPr>
          <w:bCs/>
        </w:rPr>
        <w:t>,</w:t>
      </w:r>
      <w:r w:rsidR="00E53C94">
        <w:rPr>
          <w:bCs/>
        </w:rPr>
        <w:t xml:space="preserve"> </w:t>
      </w:r>
      <w:r w:rsidR="006817D8">
        <w:rPr>
          <w:bCs/>
        </w:rPr>
        <w:t xml:space="preserve">EP management </w:t>
      </w:r>
      <w:r w:rsidRPr="00C30199">
        <w:rPr>
          <w:bCs/>
        </w:rPr>
        <w:t xml:space="preserve">placed considerable emphasis on the timely delivery of contracted deliverables. </w:t>
      </w:r>
      <w:r>
        <w:rPr>
          <w:bCs/>
        </w:rPr>
        <w:t>M</w:t>
      </w:r>
      <w:r w:rsidRPr="00C30199">
        <w:rPr>
          <w:bCs/>
        </w:rPr>
        <w:t xml:space="preserve">anagement decisions were </w:t>
      </w:r>
      <w:r>
        <w:rPr>
          <w:bCs/>
        </w:rPr>
        <w:t xml:space="preserve">therefore </w:t>
      </w:r>
      <w:r w:rsidRPr="00C30199">
        <w:rPr>
          <w:bCs/>
        </w:rPr>
        <w:t>typically driven by prescriptive commitments to the attainment of quantifiable output-level targets over and above the pursuit of systemic change</w:t>
      </w:r>
      <w:r>
        <w:rPr>
          <w:bCs/>
        </w:rPr>
        <w:t xml:space="preserve"> or the likely accrual of sustained benefits</w:t>
      </w:r>
      <w:r w:rsidRPr="00C30199">
        <w:rPr>
          <w:bCs/>
        </w:rPr>
        <w:t xml:space="preserve">. </w:t>
      </w:r>
      <w:r>
        <w:rPr>
          <w:bCs/>
        </w:rPr>
        <w:t xml:space="preserve">This </w:t>
      </w:r>
      <w:r w:rsidRPr="00C30199">
        <w:rPr>
          <w:bCs/>
        </w:rPr>
        <w:t xml:space="preserve">culture of transactional management </w:t>
      </w:r>
      <w:r w:rsidRPr="00134CA4">
        <w:rPr>
          <w:bCs/>
        </w:rPr>
        <w:t>allowed for efficient delivery</w:t>
      </w:r>
      <w:r>
        <w:rPr>
          <w:bCs/>
        </w:rPr>
        <w:t xml:space="preserve"> across much of the partnership</w:t>
      </w:r>
      <w:r w:rsidRPr="00134CA4">
        <w:rPr>
          <w:bCs/>
        </w:rPr>
        <w:t xml:space="preserve">, enabled funds to be spent with minimal loss and allowed the partnership to attain </w:t>
      </w:r>
      <w:r>
        <w:rPr>
          <w:bCs/>
        </w:rPr>
        <w:t>highly</w:t>
      </w:r>
      <w:r w:rsidRPr="00134CA4">
        <w:rPr>
          <w:bCs/>
        </w:rPr>
        <w:t xml:space="preserve"> </w:t>
      </w:r>
      <w:r>
        <w:rPr>
          <w:bCs/>
        </w:rPr>
        <w:t xml:space="preserve">creditable </w:t>
      </w:r>
      <w:r w:rsidRPr="00134CA4">
        <w:rPr>
          <w:bCs/>
        </w:rPr>
        <w:t xml:space="preserve">results in terms of schools built, madrasah accredited, persons trained, etc. (see </w:t>
      </w:r>
      <w:r>
        <w:rPr>
          <w:bCs/>
        </w:rPr>
        <w:t xml:space="preserve">Sections </w:t>
      </w:r>
      <w:r w:rsidRPr="00134CA4">
        <w:rPr>
          <w:bCs/>
        </w:rPr>
        <w:t>3</w:t>
      </w:r>
      <w:r>
        <w:rPr>
          <w:bCs/>
        </w:rPr>
        <w:t xml:space="preserve"> and 4</w:t>
      </w:r>
      <w:r w:rsidRPr="00134CA4">
        <w:rPr>
          <w:bCs/>
        </w:rPr>
        <w:t xml:space="preserve">). </w:t>
      </w:r>
    </w:p>
    <w:p w14:paraId="6826ACA6" w14:textId="77777777" w:rsidR="003E73B7" w:rsidRDefault="003E73B7" w:rsidP="00672EC6">
      <w:pPr>
        <w:jc w:val="both"/>
        <w:rPr>
          <w:bCs/>
        </w:rPr>
      </w:pPr>
      <w:r>
        <w:rPr>
          <w:bCs/>
        </w:rPr>
        <w:t xml:space="preserve">This </w:t>
      </w:r>
      <w:r w:rsidRPr="00565A58">
        <w:rPr>
          <w:bCs/>
        </w:rPr>
        <w:t>transactional orientation</w:t>
      </w:r>
      <w:r>
        <w:rPr>
          <w:bCs/>
        </w:rPr>
        <w:t xml:space="preserve">, which is strongly justified from an accountability perspective, </w:t>
      </w:r>
      <w:r w:rsidRPr="00565A58">
        <w:rPr>
          <w:bCs/>
        </w:rPr>
        <w:t>came at the expense of a focus on higher results, namely system strengthening</w:t>
      </w:r>
      <w:r>
        <w:rPr>
          <w:bCs/>
        </w:rPr>
        <w:t xml:space="preserve"> and systemic change.</w:t>
      </w:r>
      <w:r w:rsidRPr="00565A58">
        <w:rPr>
          <w:bCs/>
        </w:rPr>
        <w:t xml:space="preserve"> </w:t>
      </w:r>
      <w:r>
        <w:rPr>
          <w:bCs/>
        </w:rPr>
        <w:t xml:space="preserve">The rigid nature of the EP design allied to a propensity to focus on fiduciary risk, contract management, and compliance </w:t>
      </w:r>
      <w:r w:rsidRPr="00F42F83">
        <w:rPr>
          <w:bCs/>
        </w:rPr>
        <w:t xml:space="preserve">meant that </w:t>
      </w:r>
      <w:r>
        <w:rPr>
          <w:bCs/>
        </w:rPr>
        <w:t xml:space="preserve">EP management and governance </w:t>
      </w:r>
      <w:r w:rsidRPr="00F42F83">
        <w:rPr>
          <w:bCs/>
        </w:rPr>
        <w:t xml:space="preserve">did not always demonstrate the </w:t>
      </w:r>
      <w:r w:rsidR="006817D8">
        <w:rPr>
          <w:bCs/>
        </w:rPr>
        <w:t>required</w:t>
      </w:r>
      <w:r w:rsidRPr="00F42F83">
        <w:rPr>
          <w:bCs/>
        </w:rPr>
        <w:t xml:space="preserve"> levels of flexibility, innovation and adaptability required to proactively pursue</w:t>
      </w:r>
      <w:r>
        <w:rPr>
          <w:bCs/>
        </w:rPr>
        <w:t xml:space="preserve"> the EOPOs </w:t>
      </w:r>
      <w:r w:rsidRPr="00F42F83">
        <w:rPr>
          <w:bCs/>
        </w:rPr>
        <w:t>and t</w:t>
      </w:r>
      <w:r>
        <w:rPr>
          <w:bCs/>
        </w:rPr>
        <w:t>he creation of lasting benefit.</w:t>
      </w:r>
    </w:p>
    <w:p w14:paraId="6826ACA7" w14:textId="77777777" w:rsidR="002B554F" w:rsidRPr="00F82989" w:rsidRDefault="002B554F" w:rsidP="00F60F1A">
      <w:pPr>
        <w:pStyle w:val="Heading3"/>
        <w:ind w:left="709" w:hanging="709"/>
      </w:pPr>
      <w:bookmarkStart w:id="84" w:name="_Toc464984151"/>
      <w:bookmarkStart w:id="85" w:name="_Toc465171379"/>
      <w:bookmarkStart w:id="86" w:name="_Toc473786341"/>
      <w:bookmarkEnd w:id="84"/>
      <w:r w:rsidRPr="004D4A96">
        <w:t>Performance management</w:t>
      </w:r>
      <w:bookmarkEnd w:id="85"/>
      <w:bookmarkEnd w:id="86"/>
    </w:p>
    <w:p w14:paraId="6826ACA8" w14:textId="77777777" w:rsidR="006B109C" w:rsidRDefault="002B554F" w:rsidP="00672EC6">
      <w:pPr>
        <w:jc w:val="both"/>
        <w:rPr>
          <w:bCs/>
        </w:rPr>
      </w:pPr>
      <w:r w:rsidRPr="009348B5">
        <w:t xml:space="preserve">With the EP being Australia’s largest ever bilateral aid program and with aid effectiveness and rising aid budgets being key features of the aid environment at the time of design in 2010, it was </w:t>
      </w:r>
      <w:r>
        <w:t>both prudent</w:t>
      </w:r>
      <w:r w:rsidRPr="009348B5">
        <w:t xml:space="preserve"> and progressive for AusAID</w:t>
      </w:r>
      <w:r w:rsidR="007F5869">
        <w:t xml:space="preserve"> </w:t>
      </w:r>
      <w:r w:rsidRPr="009348B5">
        <w:t xml:space="preserve">to appoint a quasi-independent body (i.e. POM) to establish and oversee a performance management system for the </w:t>
      </w:r>
      <w:r>
        <w:t>partnership.</w:t>
      </w:r>
      <w:r w:rsidRPr="009348B5">
        <w:t xml:space="preserve"> </w:t>
      </w:r>
      <w:bookmarkStart w:id="87" w:name="_Toc464984152"/>
      <w:bookmarkStart w:id="88" w:name="_Toc464984153"/>
      <w:bookmarkStart w:id="89" w:name="_Toc464984154"/>
      <w:bookmarkStart w:id="90" w:name="_Toc464984155"/>
      <w:bookmarkStart w:id="91" w:name="_Toc464984156"/>
      <w:bookmarkStart w:id="92" w:name="_Toc464984157"/>
      <w:bookmarkStart w:id="93" w:name="_Toc464984158"/>
      <w:bookmarkStart w:id="94" w:name="_Toc464984159"/>
      <w:bookmarkStart w:id="95" w:name="_Toc464984160"/>
      <w:bookmarkStart w:id="96" w:name="_Toc464984161"/>
      <w:bookmarkEnd w:id="87"/>
      <w:bookmarkEnd w:id="88"/>
      <w:bookmarkEnd w:id="89"/>
      <w:bookmarkEnd w:id="90"/>
      <w:bookmarkEnd w:id="91"/>
      <w:bookmarkEnd w:id="92"/>
      <w:bookmarkEnd w:id="93"/>
      <w:bookmarkEnd w:id="94"/>
      <w:bookmarkEnd w:id="95"/>
      <w:bookmarkEnd w:id="96"/>
      <w:r w:rsidR="006B109C">
        <w:rPr>
          <w:bCs/>
        </w:rPr>
        <w:t xml:space="preserve">The creation of POM </w:t>
      </w:r>
      <w:r>
        <w:rPr>
          <w:bCs/>
        </w:rPr>
        <w:t xml:space="preserve">and the establishment of </w:t>
      </w:r>
      <w:r w:rsidR="006B109C">
        <w:rPr>
          <w:bCs/>
        </w:rPr>
        <w:t>the TOGs and the GOG</w:t>
      </w:r>
      <w:r>
        <w:rPr>
          <w:bCs/>
        </w:rPr>
        <w:t>, therefore</w:t>
      </w:r>
      <w:r w:rsidR="00363BC9">
        <w:rPr>
          <w:bCs/>
        </w:rPr>
        <w:t>,</w:t>
      </w:r>
      <w:r>
        <w:rPr>
          <w:bCs/>
        </w:rPr>
        <w:t xml:space="preserve"> provided the </w:t>
      </w:r>
      <w:r w:rsidR="006B109C">
        <w:rPr>
          <w:bCs/>
        </w:rPr>
        <w:t xml:space="preserve">enabling environment for </w:t>
      </w:r>
      <w:r w:rsidR="006B109C" w:rsidRPr="008C43E8">
        <w:rPr>
          <w:bCs/>
        </w:rPr>
        <w:t>evidence-based decision-making</w:t>
      </w:r>
      <w:r w:rsidR="006B109C" w:rsidRPr="00CF05BA">
        <w:rPr>
          <w:bCs/>
        </w:rPr>
        <w:t xml:space="preserve">, or more realistically, </w:t>
      </w:r>
      <w:r w:rsidR="006B109C">
        <w:rPr>
          <w:bCs/>
        </w:rPr>
        <w:t xml:space="preserve">for </w:t>
      </w:r>
      <w:r w:rsidR="006B109C" w:rsidRPr="00CF05BA">
        <w:rPr>
          <w:bCs/>
        </w:rPr>
        <w:t>evidence-</w:t>
      </w:r>
      <w:r w:rsidR="006B109C" w:rsidRPr="00CF05BA">
        <w:rPr>
          <w:bCs/>
          <w:i/>
        </w:rPr>
        <w:t>informed</w:t>
      </w:r>
      <w:r w:rsidR="006B109C" w:rsidRPr="00CF05BA">
        <w:rPr>
          <w:bCs/>
        </w:rPr>
        <w:t xml:space="preserve"> decision-making</w:t>
      </w:r>
      <w:r w:rsidR="006B109C">
        <w:rPr>
          <w:bCs/>
        </w:rPr>
        <w:t xml:space="preserve"> </w:t>
      </w:r>
      <w:r w:rsidR="006B109C" w:rsidRPr="00CF05BA">
        <w:rPr>
          <w:bCs/>
        </w:rPr>
        <w:t>to occur</w:t>
      </w:r>
      <w:r w:rsidR="006B109C" w:rsidRPr="004604D1">
        <w:rPr>
          <w:bCs/>
        </w:rPr>
        <w:t xml:space="preserve"> </w:t>
      </w:r>
      <w:r w:rsidR="006B109C">
        <w:rPr>
          <w:bCs/>
        </w:rPr>
        <w:t>within the EP</w:t>
      </w:r>
      <w:r w:rsidR="00126D62">
        <w:rPr>
          <w:bCs/>
        </w:rPr>
        <w:t>.</w:t>
      </w:r>
      <w:r w:rsidR="00D00C09">
        <w:rPr>
          <w:bCs/>
        </w:rPr>
        <w:t xml:space="preserve"> </w:t>
      </w:r>
      <w:r w:rsidR="006B109C">
        <w:rPr>
          <w:bCs/>
        </w:rPr>
        <w:t>Moreover, the establishment of these bodies was a clear signal that decisions were to be taken in a transparent and collegiate way</w:t>
      </w:r>
      <w:r w:rsidR="006B109C" w:rsidRPr="006A02B9">
        <w:rPr>
          <w:bCs/>
        </w:rPr>
        <w:t xml:space="preserve"> </w:t>
      </w:r>
      <w:r w:rsidR="006B109C">
        <w:rPr>
          <w:bCs/>
        </w:rPr>
        <w:t xml:space="preserve">and be </w:t>
      </w:r>
      <w:r w:rsidR="00E53C94">
        <w:rPr>
          <w:bCs/>
        </w:rPr>
        <w:t>informed by</w:t>
      </w:r>
      <w:r w:rsidR="006B109C">
        <w:rPr>
          <w:bCs/>
        </w:rPr>
        <w:t xml:space="preserve"> credible performance evidence.</w:t>
      </w:r>
      <w:r w:rsidR="00D00C09">
        <w:rPr>
          <w:bCs/>
        </w:rPr>
        <w:t xml:space="preserve"> </w:t>
      </w:r>
    </w:p>
    <w:p w14:paraId="6826ACA9" w14:textId="77777777" w:rsidR="006B109C" w:rsidRPr="00FA5BAC" w:rsidRDefault="006817D8" w:rsidP="00672EC6">
      <w:pPr>
        <w:jc w:val="both"/>
        <w:rPr>
          <w:bCs/>
        </w:rPr>
      </w:pPr>
      <w:r>
        <w:rPr>
          <w:bCs/>
        </w:rPr>
        <w:t>T</w:t>
      </w:r>
      <w:r w:rsidR="006B109C">
        <w:rPr>
          <w:bCs/>
        </w:rPr>
        <w:t>he extent to which evidence</w:t>
      </w:r>
      <w:r w:rsidR="006B109C" w:rsidRPr="003A6CF4">
        <w:rPr>
          <w:bCs/>
        </w:rPr>
        <w:t xml:space="preserve"> was used to </w:t>
      </w:r>
      <w:r w:rsidR="006B109C">
        <w:rPr>
          <w:bCs/>
        </w:rPr>
        <w:t xml:space="preserve">inform decision-making varied </w:t>
      </w:r>
      <w:r w:rsidR="006B109C" w:rsidRPr="003A6CF4">
        <w:rPr>
          <w:bCs/>
        </w:rPr>
        <w:t>b</w:t>
      </w:r>
      <w:r w:rsidR="006B109C">
        <w:rPr>
          <w:bCs/>
        </w:rPr>
        <w:t xml:space="preserve">etween the two institutional partners, between components and between </w:t>
      </w:r>
      <w:r w:rsidR="00A3543B">
        <w:rPr>
          <w:bCs/>
        </w:rPr>
        <w:t xml:space="preserve">the </w:t>
      </w:r>
      <w:r w:rsidR="006B109C">
        <w:rPr>
          <w:bCs/>
        </w:rPr>
        <w:t>different levels of program implementation</w:t>
      </w:r>
      <w:r w:rsidR="006B109C" w:rsidRPr="00965C17">
        <w:rPr>
          <w:bCs/>
        </w:rPr>
        <w:t xml:space="preserve">. </w:t>
      </w:r>
      <w:r w:rsidR="006B109C">
        <w:rPr>
          <w:bCs/>
        </w:rPr>
        <w:t>Where positive examples exist, they were generally accompanied by t</w:t>
      </w:r>
      <w:r w:rsidR="006B109C" w:rsidRPr="00965C17">
        <w:rPr>
          <w:bCs/>
        </w:rPr>
        <w:t xml:space="preserve">he </w:t>
      </w:r>
      <w:r w:rsidR="0047019D">
        <w:rPr>
          <w:bCs/>
        </w:rPr>
        <w:t xml:space="preserve">timely provision of credible evidence, </w:t>
      </w:r>
      <w:r w:rsidR="006B109C" w:rsidRPr="00965C17">
        <w:rPr>
          <w:bCs/>
        </w:rPr>
        <w:t xml:space="preserve">the presence of </w:t>
      </w:r>
      <w:r w:rsidR="00E53C94">
        <w:rPr>
          <w:bCs/>
        </w:rPr>
        <w:t xml:space="preserve">a </w:t>
      </w:r>
      <w:r w:rsidR="006B109C">
        <w:rPr>
          <w:bCs/>
        </w:rPr>
        <w:t xml:space="preserve">trusted </w:t>
      </w:r>
      <w:r w:rsidR="006B109C" w:rsidRPr="00965C17">
        <w:rPr>
          <w:bCs/>
        </w:rPr>
        <w:t xml:space="preserve">relationship between </w:t>
      </w:r>
      <w:r w:rsidR="006B109C">
        <w:rPr>
          <w:bCs/>
        </w:rPr>
        <w:t>the evidence provider and the decision-maker</w:t>
      </w:r>
      <w:r w:rsidR="0047019D">
        <w:rPr>
          <w:bCs/>
        </w:rPr>
        <w:t>,</w:t>
      </w:r>
      <w:r w:rsidR="006B109C">
        <w:rPr>
          <w:bCs/>
        </w:rPr>
        <w:t xml:space="preserve"> </w:t>
      </w:r>
      <w:r w:rsidR="006B109C" w:rsidRPr="00965C17">
        <w:rPr>
          <w:bCs/>
        </w:rPr>
        <w:t xml:space="preserve">and an appetite to improve </w:t>
      </w:r>
      <w:r w:rsidR="006B109C">
        <w:rPr>
          <w:bCs/>
        </w:rPr>
        <w:t>EP performance</w:t>
      </w:r>
      <w:r w:rsidR="006B109C" w:rsidRPr="00965C17">
        <w:rPr>
          <w:bCs/>
        </w:rPr>
        <w:t>.</w:t>
      </w:r>
      <w:r w:rsidR="006B109C">
        <w:rPr>
          <w:bCs/>
        </w:rPr>
        <w:t xml:space="preserve"> More broadly,</w:t>
      </w:r>
      <w:r w:rsidR="006B109C" w:rsidRPr="001A694F">
        <w:rPr>
          <w:bCs/>
        </w:rPr>
        <w:t xml:space="preserve"> </w:t>
      </w:r>
      <w:r w:rsidR="00D00C09">
        <w:rPr>
          <w:bCs/>
        </w:rPr>
        <w:t>the Embassy</w:t>
      </w:r>
      <w:r w:rsidR="006B109C" w:rsidRPr="0007094D">
        <w:rPr>
          <w:bCs/>
        </w:rPr>
        <w:t xml:space="preserve"> </w:t>
      </w:r>
      <w:r w:rsidR="006B109C">
        <w:rPr>
          <w:bCs/>
        </w:rPr>
        <w:t xml:space="preserve">was effective in </w:t>
      </w:r>
      <w:r w:rsidR="006B109C" w:rsidRPr="0007094D">
        <w:rPr>
          <w:bCs/>
        </w:rPr>
        <w:t>app</w:t>
      </w:r>
      <w:r w:rsidR="006B109C" w:rsidRPr="00FA5BAC">
        <w:rPr>
          <w:bCs/>
        </w:rPr>
        <w:t>l</w:t>
      </w:r>
      <w:r w:rsidR="006B109C">
        <w:rPr>
          <w:bCs/>
        </w:rPr>
        <w:t>ying evidence</w:t>
      </w:r>
      <w:r w:rsidR="006B109C" w:rsidRPr="00FA5BAC">
        <w:rPr>
          <w:bCs/>
        </w:rPr>
        <w:t xml:space="preserve"> from past experience, </w:t>
      </w:r>
      <w:r w:rsidR="006B109C">
        <w:rPr>
          <w:bCs/>
        </w:rPr>
        <w:t>drawing</w:t>
      </w:r>
      <w:r w:rsidR="006B109C" w:rsidRPr="00FA5BAC">
        <w:rPr>
          <w:bCs/>
        </w:rPr>
        <w:t xml:space="preserve"> on a base of evidence from AIBEP and LAPIS and thereby avoiding methods and approaches that had not been successful in the past. For example, revisions to site selection in C1 drew on a body of evidence from AIBEP </w:t>
      </w:r>
      <w:r w:rsidRPr="006817D8">
        <w:rPr>
          <w:bCs/>
        </w:rPr>
        <w:t>regarding</w:t>
      </w:r>
      <w:r>
        <w:rPr>
          <w:bCs/>
        </w:rPr>
        <w:t xml:space="preserve"> weaknesses in existing systems</w:t>
      </w:r>
      <w:r w:rsidR="006B109C">
        <w:rPr>
          <w:bCs/>
        </w:rPr>
        <w:t>; a</w:t>
      </w:r>
      <w:r w:rsidR="006B109C" w:rsidRPr="00FA5BAC">
        <w:rPr>
          <w:bCs/>
        </w:rPr>
        <w:t>ccreditation activities piloted under LAPIS</w:t>
      </w:r>
      <w:r w:rsidR="006B109C">
        <w:rPr>
          <w:bCs/>
        </w:rPr>
        <w:t xml:space="preserve"> informed the design and implementation of C3;</w:t>
      </w:r>
      <w:r w:rsidR="006B109C" w:rsidRPr="00FA5BAC">
        <w:rPr>
          <w:bCs/>
        </w:rPr>
        <w:t xml:space="preserve"> and AIBEP’s whole school and whole</w:t>
      </w:r>
      <w:r w:rsidR="006B109C">
        <w:rPr>
          <w:bCs/>
        </w:rPr>
        <w:t>-of-</w:t>
      </w:r>
      <w:r w:rsidR="006B109C" w:rsidRPr="00FA5BAC">
        <w:rPr>
          <w:bCs/>
        </w:rPr>
        <w:t>district development programs inform</w:t>
      </w:r>
      <w:r w:rsidR="006B109C">
        <w:rPr>
          <w:bCs/>
        </w:rPr>
        <w:t>ed</w:t>
      </w:r>
      <w:r w:rsidR="006B109C" w:rsidRPr="00FA5BAC">
        <w:rPr>
          <w:bCs/>
        </w:rPr>
        <w:t xml:space="preserve"> both ProDEP and NSIP. </w:t>
      </w:r>
    </w:p>
    <w:p w14:paraId="6826ACAA" w14:textId="77777777" w:rsidR="00814EF3" w:rsidRDefault="00126D62" w:rsidP="00672EC6">
      <w:pPr>
        <w:jc w:val="both"/>
        <w:rPr>
          <w:bCs/>
        </w:rPr>
      </w:pPr>
      <w:r>
        <w:rPr>
          <w:bCs/>
        </w:rPr>
        <w:t>Nonetheless, while the EP performance management system, coupled with the presence of POM, the TOGs and the GOG, offered a platform and framework for evidence-informed decision</w:t>
      </w:r>
      <w:r w:rsidR="002B554F">
        <w:rPr>
          <w:bCs/>
        </w:rPr>
        <w:t>s</w:t>
      </w:r>
      <w:r>
        <w:rPr>
          <w:bCs/>
        </w:rPr>
        <w:t xml:space="preserve"> to be taken, key opportunities were missed. </w:t>
      </w:r>
      <w:r w:rsidR="00E53C94">
        <w:rPr>
          <w:bCs/>
        </w:rPr>
        <w:t xml:space="preserve">For example, well-documented risks associated with the </w:t>
      </w:r>
      <w:r w:rsidR="00360852">
        <w:rPr>
          <w:bCs/>
        </w:rPr>
        <w:t>C2 investment went</w:t>
      </w:r>
      <w:r w:rsidR="00E53C94">
        <w:rPr>
          <w:bCs/>
        </w:rPr>
        <w:t xml:space="preserve"> somewhat unheeded</w:t>
      </w:r>
      <w:r w:rsidR="006817D8">
        <w:rPr>
          <w:bCs/>
        </w:rPr>
        <w:t>. C</w:t>
      </w:r>
      <w:r w:rsidR="004C2D0D">
        <w:rPr>
          <w:bCs/>
        </w:rPr>
        <w:t xml:space="preserve">oncerns </w:t>
      </w:r>
      <w:r w:rsidR="009C7BAB">
        <w:rPr>
          <w:bCs/>
        </w:rPr>
        <w:t xml:space="preserve">that were </w:t>
      </w:r>
      <w:r w:rsidR="00A3543B">
        <w:rPr>
          <w:bCs/>
        </w:rPr>
        <w:t xml:space="preserve">consistently raised </w:t>
      </w:r>
      <w:r w:rsidR="004C2D0D">
        <w:rPr>
          <w:bCs/>
        </w:rPr>
        <w:t xml:space="preserve">about the efficiency of ACDP’s operations and the lack of clarity about its objectives </w:t>
      </w:r>
      <w:r w:rsidR="00E53C94">
        <w:rPr>
          <w:bCs/>
        </w:rPr>
        <w:t>remained largely unaddressed for much of the EP’s lifetime</w:t>
      </w:r>
      <w:r w:rsidR="00573D46">
        <w:rPr>
          <w:bCs/>
        </w:rPr>
        <w:t xml:space="preserve">. </w:t>
      </w:r>
    </w:p>
    <w:p w14:paraId="6826ACAB" w14:textId="5268E440" w:rsidR="008D7FBE" w:rsidRDefault="004706EC" w:rsidP="00672EC6">
      <w:pPr>
        <w:jc w:val="both"/>
        <w:rPr>
          <w:bCs/>
        </w:rPr>
      </w:pPr>
      <w:r>
        <w:rPr>
          <w:bCs/>
        </w:rPr>
        <w:t xml:space="preserve">In </w:t>
      </w:r>
      <w:r w:rsidR="00573D46" w:rsidRPr="00573D46">
        <w:rPr>
          <w:bCs/>
        </w:rPr>
        <w:t xml:space="preserve">addition, the </w:t>
      </w:r>
      <w:r w:rsidR="006B109C" w:rsidRPr="00397475">
        <w:rPr>
          <w:bCs/>
        </w:rPr>
        <w:t>timeliness of decision-making</w:t>
      </w:r>
      <w:r w:rsidR="006B109C" w:rsidRPr="00573D46">
        <w:rPr>
          <w:bCs/>
        </w:rPr>
        <w:t xml:space="preserve"> – evidence-</w:t>
      </w:r>
      <w:r w:rsidR="00360852">
        <w:rPr>
          <w:bCs/>
        </w:rPr>
        <w:t>i</w:t>
      </w:r>
      <w:r w:rsidR="006B109C" w:rsidRPr="00573D46">
        <w:rPr>
          <w:bCs/>
        </w:rPr>
        <w:t>nformed or otherwise – is possibly equally as</w:t>
      </w:r>
      <w:r w:rsidR="006B109C" w:rsidRPr="00965C17">
        <w:rPr>
          <w:bCs/>
        </w:rPr>
        <w:t xml:space="preserve"> important</w:t>
      </w:r>
      <w:r w:rsidR="006B109C">
        <w:rPr>
          <w:bCs/>
        </w:rPr>
        <w:t xml:space="preserve"> as the need for </w:t>
      </w:r>
      <w:r w:rsidR="00CC49F2">
        <w:rPr>
          <w:bCs/>
        </w:rPr>
        <w:t xml:space="preserve">credible </w:t>
      </w:r>
      <w:r w:rsidR="006B109C">
        <w:rPr>
          <w:bCs/>
        </w:rPr>
        <w:t>evidence to inform decision-making processes</w:t>
      </w:r>
      <w:r w:rsidR="006B109C" w:rsidRPr="00965C17">
        <w:rPr>
          <w:bCs/>
        </w:rPr>
        <w:t xml:space="preserve">. For example, </w:t>
      </w:r>
      <w:r w:rsidR="00D00C09">
        <w:rPr>
          <w:bCs/>
        </w:rPr>
        <w:t>the Embassy’</w:t>
      </w:r>
      <w:r w:rsidR="006B109C" w:rsidRPr="00965C17">
        <w:rPr>
          <w:bCs/>
        </w:rPr>
        <w:t xml:space="preserve">s decision </w:t>
      </w:r>
      <w:r w:rsidR="002B71DA">
        <w:rPr>
          <w:bCs/>
        </w:rPr>
        <w:t>in 201</w:t>
      </w:r>
      <w:r w:rsidR="00677523">
        <w:rPr>
          <w:bCs/>
        </w:rPr>
        <w:t>4</w:t>
      </w:r>
      <w:r w:rsidR="002B71DA">
        <w:rPr>
          <w:bCs/>
        </w:rPr>
        <w:t xml:space="preserve"> </w:t>
      </w:r>
      <w:r w:rsidR="006B109C" w:rsidRPr="00965C17">
        <w:rPr>
          <w:bCs/>
        </w:rPr>
        <w:t xml:space="preserve">to broaden C3’s focus was correct, as was its </w:t>
      </w:r>
      <w:r w:rsidR="006B109C" w:rsidRPr="004F457A">
        <w:rPr>
          <w:bCs/>
        </w:rPr>
        <w:t>decision in late 2015 to reverse</w:t>
      </w:r>
      <w:r w:rsidR="006B109C" w:rsidRPr="00965C17">
        <w:rPr>
          <w:bCs/>
        </w:rPr>
        <w:t xml:space="preserve"> its earlier position </w:t>
      </w:r>
      <w:r w:rsidR="006B109C">
        <w:rPr>
          <w:bCs/>
        </w:rPr>
        <w:t xml:space="preserve">to end support </w:t>
      </w:r>
      <w:r w:rsidR="006B109C" w:rsidRPr="00965C17">
        <w:rPr>
          <w:bCs/>
        </w:rPr>
        <w:t>to the construction of Cycle 4 schools in June 2016</w:t>
      </w:r>
      <w:r w:rsidR="006B109C">
        <w:rPr>
          <w:bCs/>
        </w:rPr>
        <w:t xml:space="preserve">. </w:t>
      </w:r>
      <w:r w:rsidR="006B109C" w:rsidRPr="00965C17">
        <w:rPr>
          <w:bCs/>
        </w:rPr>
        <w:t>However, the decisions could have been taken earlier</w:t>
      </w:r>
      <w:r w:rsidR="006B109C">
        <w:rPr>
          <w:bCs/>
        </w:rPr>
        <w:t xml:space="preserve"> to everyone’s benefit. Certainly funding decisions, made in response to GoA aid program budget cuts, should have been </w:t>
      </w:r>
      <w:r w:rsidR="008F57DF">
        <w:rPr>
          <w:bCs/>
        </w:rPr>
        <w:t xml:space="preserve">communicated earlier </w:t>
      </w:r>
      <w:r w:rsidR="006B109C">
        <w:rPr>
          <w:bCs/>
        </w:rPr>
        <w:t>to limit their effect on GoI</w:t>
      </w:r>
      <w:r w:rsidR="00441671">
        <w:rPr>
          <w:rStyle w:val="FootnoteReference"/>
          <w:bCs/>
        </w:rPr>
        <w:footnoteReference w:id="35"/>
      </w:r>
      <w:r w:rsidR="006B109C">
        <w:rPr>
          <w:bCs/>
        </w:rPr>
        <w:t xml:space="preserve">. </w:t>
      </w:r>
    </w:p>
    <w:p w14:paraId="6826ACAC" w14:textId="77777777" w:rsidR="006B109C" w:rsidRPr="00F60F1A" w:rsidRDefault="006B109C" w:rsidP="00F60F1A">
      <w:pPr>
        <w:pStyle w:val="Heading3"/>
        <w:ind w:left="709" w:hanging="709"/>
      </w:pPr>
      <w:bookmarkStart w:id="97" w:name="_Toc464984163"/>
      <w:bookmarkStart w:id="98" w:name="_Toc464988866"/>
      <w:bookmarkStart w:id="99" w:name="_Toc464988949"/>
      <w:bookmarkStart w:id="100" w:name="_Toc464989056"/>
      <w:bookmarkStart w:id="101" w:name="_Toc464989303"/>
      <w:bookmarkStart w:id="102" w:name="_Toc464984164"/>
      <w:bookmarkStart w:id="103" w:name="_Toc464988867"/>
      <w:bookmarkStart w:id="104" w:name="_Toc464988950"/>
      <w:bookmarkStart w:id="105" w:name="_Toc464989057"/>
      <w:bookmarkStart w:id="106" w:name="_Toc464989304"/>
      <w:bookmarkStart w:id="107" w:name="_Toc464984165"/>
      <w:bookmarkStart w:id="108" w:name="_Toc464988868"/>
      <w:bookmarkStart w:id="109" w:name="_Toc464988951"/>
      <w:bookmarkStart w:id="110" w:name="_Toc464989058"/>
      <w:bookmarkStart w:id="111" w:name="_Toc464989305"/>
      <w:bookmarkStart w:id="112" w:name="_Toc464984166"/>
      <w:bookmarkStart w:id="113" w:name="_Toc464988869"/>
      <w:bookmarkStart w:id="114" w:name="_Toc464988952"/>
      <w:bookmarkStart w:id="115" w:name="_Toc464989059"/>
      <w:bookmarkStart w:id="116" w:name="_Toc464989306"/>
      <w:bookmarkStart w:id="117" w:name="_Toc464988870"/>
      <w:bookmarkStart w:id="118" w:name="_Toc464988953"/>
      <w:bookmarkStart w:id="119" w:name="_Toc464989060"/>
      <w:bookmarkStart w:id="120" w:name="_Toc464989307"/>
      <w:bookmarkStart w:id="121" w:name="_Toc464988871"/>
      <w:bookmarkStart w:id="122" w:name="_Toc464988954"/>
      <w:bookmarkStart w:id="123" w:name="_Toc464989061"/>
      <w:bookmarkStart w:id="124" w:name="_Toc464989308"/>
      <w:bookmarkStart w:id="125" w:name="_Toc464988872"/>
      <w:bookmarkStart w:id="126" w:name="_Toc464988955"/>
      <w:bookmarkStart w:id="127" w:name="_Toc464989062"/>
      <w:bookmarkStart w:id="128" w:name="_Toc464989309"/>
      <w:bookmarkStart w:id="129" w:name="_Toc464988873"/>
      <w:bookmarkStart w:id="130" w:name="_Toc464988956"/>
      <w:bookmarkStart w:id="131" w:name="_Toc464989063"/>
      <w:bookmarkStart w:id="132" w:name="_Toc464989310"/>
      <w:bookmarkStart w:id="133" w:name="_Toc465171380"/>
      <w:bookmarkStart w:id="134" w:name="_Toc47378634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397475">
        <w:t>Risk management</w:t>
      </w:r>
      <w:bookmarkEnd w:id="133"/>
      <w:bookmarkEnd w:id="134"/>
    </w:p>
    <w:p w14:paraId="6826ACAD" w14:textId="77777777" w:rsidR="006B109C" w:rsidRDefault="006B109C" w:rsidP="00672EC6">
      <w:pPr>
        <w:jc w:val="both"/>
        <w:rPr>
          <w:bCs/>
        </w:rPr>
      </w:pPr>
      <w:r>
        <w:rPr>
          <w:bCs/>
        </w:rPr>
        <w:t>T</w:t>
      </w:r>
      <w:r w:rsidRPr="00B52C13">
        <w:rPr>
          <w:bCs/>
        </w:rPr>
        <w:t>he EP utilised requisite</w:t>
      </w:r>
      <w:r>
        <w:rPr>
          <w:bCs/>
        </w:rPr>
        <w:t xml:space="preserve"> risk tracking systems and managed and mitigated fraud and corruption-related threats in an appropriate manner</w:t>
      </w:r>
      <w:r>
        <w:rPr>
          <w:rStyle w:val="FootnoteReference"/>
          <w:bCs/>
        </w:rPr>
        <w:footnoteReference w:id="36"/>
      </w:r>
      <w:r>
        <w:rPr>
          <w:bCs/>
        </w:rPr>
        <w:t xml:space="preserve">. In line with fiduciary expectations at design stage, a </w:t>
      </w:r>
      <w:r w:rsidR="004915BC">
        <w:rPr>
          <w:bCs/>
        </w:rPr>
        <w:t xml:space="preserve">comprehensive </w:t>
      </w:r>
      <w:r>
        <w:rPr>
          <w:bCs/>
        </w:rPr>
        <w:t xml:space="preserve">program of EP financial audits and compliance reviews were commissioned, with emphasis placed </w:t>
      </w:r>
      <w:r w:rsidRPr="00376268">
        <w:rPr>
          <w:bCs/>
        </w:rPr>
        <w:t xml:space="preserve">on those Australian funds that </w:t>
      </w:r>
      <w:r>
        <w:rPr>
          <w:bCs/>
        </w:rPr>
        <w:t>were</w:t>
      </w:r>
      <w:r w:rsidRPr="00376268">
        <w:rPr>
          <w:bCs/>
        </w:rPr>
        <w:t xml:space="preserve"> managed through partner government systems (</w:t>
      </w:r>
      <w:r w:rsidR="004915BC">
        <w:rPr>
          <w:bCs/>
        </w:rPr>
        <w:t xml:space="preserve">i.e. </w:t>
      </w:r>
      <w:r w:rsidRPr="00376268">
        <w:rPr>
          <w:bCs/>
        </w:rPr>
        <w:t xml:space="preserve">the </w:t>
      </w:r>
      <w:r>
        <w:rPr>
          <w:bCs/>
        </w:rPr>
        <w:t xml:space="preserve">WiPS </w:t>
      </w:r>
      <w:r w:rsidRPr="00376268">
        <w:rPr>
          <w:bCs/>
        </w:rPr>
        <w:t>approach).</w:t>
      </w:r>
      <w:r>
        <w:rPr>
          <w:bCs/>
        </w:rPr>
        <w:t xml:space="preserve"> With the </w:t>
      </w:r>
      <w:r w:rsidRPr="0026307C">
        <w:rPr>
          <w:bCs/>
        </w:rPr>
        <w:t>reformulation of GoA’s overseas aid framework</w:t>
      </w:r>
      <w:r>
        <w:rPr>
          <w:bCs/>
        </w:rPr>
        <w:t xml:space="preserve"> in 2014, </w:t>
      </w:r>
      <w:r w:rsidRPr="0026307C">
        <w:rPr>
          <w:bCs/>
        </w:rPr>
        <w:t xml:space="preserve">WiPS-based </w:t>
      </w:r>
      <w:r>
        <w:rPr>
          <w:bCs/>
        </w:rPr>
        <w:t>expenditure was</w:t>
      </w:r>
      <w:r w:rsidRPr="0026307C">
        <w:rPr>
          <w:bCs/>
        </w:rPr>
        <w:t xml:space="preserve"> subjected to intensified risk analysis</w:t>
      </w:r>
      <w:r>
        <w:rPr>
          <w:rStyle w:val="FootnoteReference"/>
        </w:rPr>
        <w:footnoteReference w:id="37"/>
      </w:r>
      <w:r w:rsidR="00465531">
        <w:rPr>
          <w:bCs/>
        </w:rPr>
        <w:t>, reflecting the greater degree of risk consciousness during the latter half of the partnership</w:t>
      </w:r>
      <w:r w:rsidRPr="0026307C">
        <w:rPr>
          <w:bCs/>
        </w:rPr>
        <w:t xml:space="preserve">. </w:t>
      </w:r>
      <w:r w:rsidRPr="00757EF2">
        <w:rPr>
          <w:bCs/>
        </w:rPr>
        <w:t xml:space="preserve">To that extent, DFAT’s </w:t>
      </w:r>
      <w:r>
        <w:rPr>
          <w:bCs/>
        </w:rPr>
        <w:t xml:space="preserve">appointment of a short-term Procurement Advisor (who reported directly to DFAT) and its </w:t>
      </w:r>
      <w:r w:rsidRPr="00757EF2">
        <w:rPr>
          <w:bCs/>
        </w:rPr>
        <w:t>conscious efforts in 2015 to scale back its financial commitment</w:t>
      </w:r>
      <w:r>
        <w:rPr>
          <w:bCs/>
        </w:rPr>
        <w:t xml:space="preserve"> to C1 and C2</w:t>
      </w:r>
      <w:r w:rsidRPr="00757EF2">
        <w:rPr>
          <w:bCs/>
        </w:rPr>
        <w:t xml:space="preserve"> – in terms of value and duration – were consistent with </w:t>
      </w:r>
      <w:r>
        <w:rPr>
          <w:bCs/>
        </w:rPr>
        <w:t>the direction provided in its</w:t>
      </w:r>
      <w:r w:rsidRPr="00757EF2">
        <w:rPr>
          <w:bCs/>
        </w:rPr>
        <w:t xml:space="preserve"> revised aid framework. </w:t>
      </w:r>
    </w:p>
    <w:p w14:paraId="6826ACAE" w14:textId="7DDC8BA2" w:rsidR="006B109C" w:rsidRDefault="006B109C" w:rsidP="00672EC6">
      <w:pPr>
        <w:jc w:val="both"/>
        <w:rPr>
          <w:bCs/>
        </w:rPr>
      </w:pPr>
      <w:r w:rsidRPr="00495A18">
        <w:rPr>
          <w:bCs/>
        </w:rPr>
        <w:t>In total</w:t>
      </w:r>
      <w:r w:rsidR="00FE569C" w:rsidRPr="00100C20">
        <w:rPr>
          <w:bCs/>
        </w:rPr>
        <w:t>, 1</w:t>
      </w:r>
      <w:r w:rsidR="00495A18" w:rsidRPr="00F60F1A">
        <w:rPr>
          <w:bCs/>
        </w:rPr>
        <w:t>0</w:t>
      </w:r>
      <w:r w:rsidR="00FE569C" w:rsidRPr="00100C20">
        <w:rPr>
          <w:bCs/>
        </w:rPr>
        <w:t>7</w:t>
      </w:r>
      <w:r w:rsidR="0000583A" w:rsidRPr="00495A18">
        <w:rPr>
          <w:rStyle w:val="FootnoteReference"/>
          <w:bCs/>
        </w:rPr>
        <w:footnoteReference w:id="38"/>
      </w:r>
      <w:r w:rsidR="00FE569C" w:rsidRPr="00495A18">
        <w:rPr>
          <w:bCs/>
        </w:rPr>
        <w:t xml:space="preserve"> </w:t>
      </w:r>
      <w:r w:rsidRPr="00100C20">
        <w:rPr>
          <w:bCs/>
        </w:rPr>
        <w:t xml:space="preserve">Suspicion of Fraud reports </w:t>
      </w:r>
      <w:r w:rsidRPr="00A12C82">
        <w:rPr>
          <w:bCs/>
        </w:rPr>
        <w:t>(SFRs)</w:t>
      </w:r>
      <w:r w:rsidR="00360852" w:rsidRPr="00A12C82">
        <w:rPr>
          <w:bCs/>
        </w:rPr>
        <w:t>, which</w:t>
      </w:r>
      <w:r w:rsidR="00360852">
        <w:rPr>
          <w:bCs/>
        </w:rPr>
        <w:t xml:space="preserve"> </w:t>
      </w:r>
      <w:r>
        <w:rPr>
          <w:bCs/>
        </w:rPr>
        <w:t xml:space="preserve">were submitted to </w:t>
      </w:r>
      <w:r w:rsidR="00D00C09">
        <w:rPr>
          <w:bCs/>
        </w:rPr>
        <w:t>the Embassy</w:t>
      </w:r>
      <w:r w:rsidR="00FE569C">
        <w:rPr>
          <w:bCs/>
        </w:rPr>
        <w:t xml:space="preserve"> and </w:t>
      </w:r>
      <w:r w:rsidR="000B4351">
        <w:rPr>
          <w:bCs/>
        </w:rPr>
        <w:t xml:space="preserve">duly </w:t>
      </w:r>
      <w:r w:rsidR="00FE569C">
        <w:rPr>
          <w:bCs/>
        </w:rPr>
        <w:t>forwarded t</w:t>
      </w:r>
      <w:r>
        <w:rPr>
          <w:bCs/>
        </w:rPr>
        <w:t>o Canberra</w:t>
      </w:r>
      <w:r w:rsidR="00360852">
        <w:rPr>
          <w:bCs/>
        </w:rPr>
        <w:t xml:space="preserve">, </w:t>
      </w:r>
      <w:r w:rsidR="00FE569C">
        <w:rPr>
          <w:bCs/>
        </w:rPr>
        <w:t>were considered serious enough to merit further action by th</w:t>
      </w:r>
      <w:r>
        <w:rPr>
          <w:bCs/>
        </w:rPr>
        <w:t xml:space="preserve">e appropriate authorities in </w:t>
      </w:r>
      <w:r w:rsidR="00FE569C">
        <w:rPr>
          <w:bCs/>
        </w:rPr>
        <w:t>Canberra</w:t>
      </w:r>
      <w:r>
        <w:rPr>
          <w:bCs/>
        </w:rPr>
        <w:t>.</w:t>
      </w:r>
      <w:r w:rsidR="008B599C">
        <w:rPr>
          <w:bCs/>
        </w:rPr>
        <w:t xml:space="preserve"> Whilst this is a substantial number of cases, it </w:t>
      </w:r>
      <w:r w:rsidR="006817D8">
        <w:rPr>
          <w:bCs/>
        </w:rPr>
        <w:t>was</w:t>
      </w:r>
      <w:r w:rsidR="008B599C">
        <w:rPr>
          <w:bCs/>
        </w:rPr>
        <w:t xml:space="preserve"> not unexpected given the decision to channel funds through partner government systems and the inherent fiduciary risks associated with, for example, community-based construction models.</w:t>
      </w:r>
      <w:r w:rsidR="0000583A">
        <w:rPr>
          <w:bCs/>
        </w:rPr>
        <w:t xml:space="preserve"> </w:t>
      </w:r>
      <w:r>
        <w:rPr>
          <w:bCs/>
        </w:rPr>
        <w:t xml:space="preserve">In essence, </w:t>
      </w:r>
      <w:r w:rsidRPr="008F41AE">
        <w:rPr>
          <w:bCs/>
        </w:rPr>
        <w:t>the assumption of the original WiPS Assessment – that working in government systems po</w:t>
      </w:r>
      <w:r>
        <w:rPr>
          <w:bCs/>
        </w:rPr>
        <w:t xml:space="preserve">ses greater fiduciary risk than </w:t>
      </w:r>
      <w:r w:rsidRPr="008F41AE">
        <w:rPr>
          <w:bCs/>
        </w:rPr>
        <w:t>expenditure through Managing Contractors – held true</w:t>
      </w:r>
      <w:r>
        <w:rPr>
          <w:bCs/>
        </w:rPr>
        <w:t xml:space="preserve"> and the risk management processes and approach adopted by </w:t>
      </w:r>
      <w:r w:rsidR="00D00C09">
        <w:rPr>
          <w:bCs/>
        </w:rPr>
        <w:t>the Embassy</w:t>
      </w:r>
      <w:r>
        <w:rPr>
          <w:bCs/>
        </w:rPr>
        <w:t xml:space="preserve"> were </w:t>
      </w:r>
      <w:r w:rsidR="00D406F8">
        <w:rPr>
          <w:bCs/>
        </w:rPr>
        <w:t xml:space="preserve">therefore </w:t>
      </w:r>
      <w:r>
        <w:rPr>
          <w:bCs/>
        </w:rPr>
        <w:t>appropriate and justified</w:t>
      </w:r>
      <w:r w:rsidRPr="008F41AE">
        <w:rPr>
          <w:bCs/>
        </w:rPr>
        <w:t>.</w:t>
      </w:r>
      <w:r w:rsidR="00D00C09">
        <w:rPr>
          <w:bCs/>
        </w:rPr>
        <w:t xml:space="preserve"> </w:t>
      </w:r>
    </w:p>
    <w:p w14:paraId="6826ACAF" w14:textId="2196E998" w:rsidR="006B109C" w:rsidRDefault="00EE2192" w:rsidP="00672EC6">
      <w:pPr>
        <w:jc w:val="both"/>
        <w:rPr>
          <w:bCs/>
        </w:rPr>
      </w:pPr>
      <w:r>
        <w:rPr>
          <w:bCs/>
        </w:rPr>
        <w:t xml:space="preserve"> </w:t>
      </w:r>
    </w:p>
    <w:p w14:paraId="6826ACB0" w14:textId="77777777" w:rsidR="00672BCC" w:rsidRPr="005540B8" w:rsidRDefault="00672BCC" w:rsidP="00082D8B">
      <w:pPr>
        <w:pStyle w:val="Heading2"/>
      </w:pPr>
      <w:bookmarkStart w:id="135" w:name="_Toc464984170"/>
      <w:bookmarkStart w:id="136" w:name="_Toc464988876"/>
      <w:bookmarkStart w:id="137" w:name="_Toc464988959"/>
      <w:bookmarkStart w:id="138" w:name="_Toc464989066"/>
      <w:bookmarkStart w:id="139" w:name="_Toc464989313"/>
      <w:bookmarkStart w:id="140" w:name="_Toc464984171"/>
      <w:bookmarkStart w:id="141" w:name="_Toc464988877"/>
      <w:bookmarkStart w:id="142" w:name="_Toc464988960"/>
      <w:bookmarkStart w:id="143" w:name="_Toc464989067"/>
      <w:bookmarkStart w:id="144" w:name="_Toc464989314"/>
      <w:bookmarkStart w:id="145" w:name="_Toc464984172"/>
      <w:bookmarkStart w:id="146" w:name="_Toc464988878"/>
      <w:bookmarkStart w:id="147" w:name="_Toc464988961"/>
      <w:bookmarkStart w:id="148" w:name="_Toc464989068"/>
      <w:bookmarkStart w:id="149" w:name="_Toc464989315"/>
      <w:bookmarkStart w:id="150" w:name="_Toc464984173"/>
      <w:bookmarkStart w:id="151" w:name="_Toc464988879"/>
      <w:bookmarkStart w:id="152" w:name="_Toc464988962"/>
      <w:bookmarkStart w:id="153" w:name="_Toc464989069"/>
      <w:bookmarkStart w:id="154" w:name="_Toc464989316"/>
      <w:bookmarkStart w:id="155" w:name="_Toc464984174"/>
      <w:bookmarkStart w:id="156" w:name="_Toc464988880"/>
      <w:bookmarkStart w:id="157" w:name="_Toc464988963"/>
      <w:bookmarkStart w:id="158" w:name="_Toc464989070"/>
      <w:bookmarkStart w:id="159" w:name="_Toc464989317"/>
      <w:bookmarkStart w:id="160" w:name="_Toc464984175"/>
      <w:bookmarkStart w:id="161" w:name="_Toc464988881"/>
      <w:bookmarkStart w:id="162" w:name="_Toc464988964"/>
      <w:bookmarkStart w:id="163" w:name="_Toc464989071"/>
      <w:bookmarkStart w:id="164" w:name="_Toc464989318"/>
      <w:bookmarkStart w:id="165" w:name="_Toc464984176"/>
      <w:bookmarkStart w:id="166" w:name="_Toc464988882"/>
      <w:bookmarkStart w:id="167" w:name="_Toc464988965"/>
      <w:bookmarkStart w:id="168" w:name="_Toc464989072"/>
      <w:bookmarkStart w:id="169" w:name="_Toc464989319"/>
      <w:bookmarkStart w:id="170" w:name="_Toc464984181"/>
      <w:bookmarkStart w:id="171" w:name="_Toc464988887"/>
      <w:bookmarkStart w:id="172" w:name="_Toc464989077"/>
      <w:bookmarkStart w:id="173" w:name="_Toc464989324"/>
      <w:bookmarkStart w:id="174" w:name="_Toc47378634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5540B8">
        <w:t>Synergies with other initiatives</w:t>
      </w:r>
      <w:bookmarkEnd w:id="174"/>
    </w:p>
    <w:p w14:paraId="6826ACB1" w14:textId="77777777" w:rsidR="006B109C" w:rsidRDefault="006B109C" w:rsidP="00672EC6">
      <w:pPr>
        <w:pStyle w:val="Heading3"/>
        <w:spacing w:before="0" w:after="160" w:line="259" w:lineRule="auto"/>
        <w:ind w:left="709" w:hanging="709"/>
      </w:pPr>
      <w:bookmarkStart w:id="175" w:name="_Toc465171382"/>
      <w:bookmarkStart w:id="176" w:name="_Toc473786344"/>
      <w:r>
        <w:t>Coherence</w:t>
      </w:r>
      <w:bookmarkEnd w:id="175"/>
      <w:bookmarkEnd w:id="176"/>
    </w:p>
    <w:p w14:paraId="6826ACB2" w14:textId="77777777" w:rsidR="006B109C" w:rsidRDefault="00672BCC" w:rsidP="00672EC6">
      <w:pPr>
        <w:jc w:val="both"/>
        <w:rPr>
          <w:lang w:val="en-AU"/>
        </w:rPr>
      </w:pPr>
      <w:r>
        <w:rPr>
          <w:lang w:val="en-AU"/>
        </w:rPr>
        <w:t>The EP</w:t>
      </w:r>
      <w:r w:rsidR="00E80498">
        <w:rPr>
          <w:lang w:val="en-AU"/>
        </w:rPr>
        <w:t xml:space="preserve"> component</w:t>
      </w:r>
      <w:r>
        <w:rPr>
          <w:lang w:val="en-AU"/>
        </w:rPr>
        <w:t xml:space="preserve"> investments </w:t>
      </w:r>
      <w:r w:rsidR="00E80498">
        <w:rPr>
          <w:lang w:val="en-AU"/>
        </w:rPr>
        <w:t xml:space="preserve">only </w:t>
      </w:r>
      <w:r>
        <w:rPr>
          <w:lang w:val="en-AU"/>
        </w:rPr>
        <w:t>worked together to a degree</w:t>
      </w:r>
      <w:r w:rsidR="009C7BAB">
        <w:rPr>
          <w:lang w:val="en-AU"/>
        </w:rPr>
        <w:t xml:space="preserve">, perhaps signalling a lack of clarity or consensus as to the extent to which the EP represented a basket of complementary and mutually-reinforcing investments vis-à-vis a portfolio of </w:t>
      </w:r>
      <w:r w:rsidR="00465531">
        <w:rPr>
          <w:lang w:val="en-AU"/>
        </w:rPr>
        <w:t>separate</w:t>
      </w:r>
      <w:r w:rsidR="009C7BAB">
        <w:rPr>
          <w:lang w:val="en-AU"/>
        </w:rPr>
        <w:t xml:space="preserve"> initiatives packaged and managed under the umbrella of </w:t>
      </w:r>
      <w:r w:rsidR="00465531">
        <w:rPr>
          <w:lang w:val="en-AU"/>
        </w:rPr>
        <w:t>‘</w:t>
      </w:r>
      <w:r w:rsidR="009C7BAB">
        <w:rPr>
          <w:lang w:val="en-AU"/>
        </w:rPr>
        <w:t>the EP</w:t>
      </w:r>
      <w:r w:rsidR="00465531">
        <w:rPr>
          <w:lang w:val="en-AU"/>
        </w:rPr>
        <w:t>’</w:t>
      </w:r>
      <w:r w:rsidR="009C7BAB">
        <w:rPr>
          <w:lang w:val="en-AU"/>
        </w:rPr>
        <w:t>.</w:t>
      </w:r>
      <w:r w:rsidR="00E8456D">
        <w:rPr>
          <w:lang w:val="en-AU"/>
        </w:rPr>
        <w:t xml:space="preserve"> Nonetheless, certain measures were taken to improve coherence.</w:t>
      </w:r>
      <w:r w:rsidR="009C7BAB">
        <w:rPr>
          <w:lang w:val="en-AU"/>
        </w:rPr>
        <w:t xml:space="preserve"> For example, t</w:t>
      </w:r>
      <w:r w:rsidR="006B109C" w:rsidRPr="004C2A76">
        <w:rPr>
          <w:lang w:val="en-AU"/>
        </w:rPr>
        <w:t>he C1 school construction model predated the EP by five years</w:t>
      </w:r>
      <w:r w:rsidR="009C7BAB">
        <w:rPr>
          <w:lang w:val="en-AU"/>
        </w:rPr>
        <w:t xml:space="preserve"> and, a</w:t>
      </w:r>
      <w:r w:rsidR="006B109C" w:rsidRPr="004C2A76">
        <w:rPr>
          <w:lang w:val="en-AU"/>
        </w:rPr>
        <w:t xml:space="preserve">s such, it was not </w:t>
      </w:r>
      <w:r w:rsidR="006B109C">
        <w:rPr>
          <w:lang w:val="en-AU"/>
        </w:rPr>
        <w:t xml:space="preserve">intrinsically </w:t>
      </w:r>
      <w:r w:rsidR="006B109C" w:rsidRPr="004C2A76">
        <w:rPr>
          <w:lang w:val="en-AU"/>
        </w:rPr>
        <w:t xml:space="preserve">designed to work with other components. </w:t>
      </w:r>
      <w:r w:rsidR="006B109C">
        <w:rPr>
          <w:lang w:val="en-AU"/>
        </w:rPr>
        <w:t xml:space="preserve">Even so, </w:t>
      </w:r>
      <w:r w:rsidR="00C30127">
        <w:rPr>
          <w:lang w:val="en-AU"/>
        </w:rPr>
        <w:t>C</w:t>
      </w:r>
      <w:r w:rsidR="006B109C" w:rsidRPr="004C2A76">
        <w:rPr>
          <w:lang w:val="en-AU"/>
        </w:rPr>
        <w:t xml:space="preserve">2 </w:t>
      </w:r>
      <w:r w:rsidR="006B109C">
        <w:rPr>
          <w:lang w:val="en-AU"/>
        </w:rPr>
        <w:t xml:space="preserve">implemented two dedicated activities that added value </w:t>
      </w:r>
      <w:r w:rsidR="006B109C" w:rsidRPr="004C2A76">
        <w:rPr>
          <w:lang w:val="en-AU"/>
        </w:rPr>
        <w:t xml:space="preserve">to the school construction program in the </w:t>
      </w:r>
      <w:r w:rsidR="006B109C">
        <w:rPr>
          <w:lang w:val="en-AU"/>
        </w:rPr>
        <w:t>short to medium-term</w:t>
      </w:r>
      <w:r w:rsidR="006B109C" w:rsidRPr="004C2A76">
        <w:rPr>
          <w:lang w:val="en-AU"/>
        </w:rPr>
        <w:t xml:space="preserve">. The first of these was </w:t>
      </w:r>
      <w:r w:rsidR="006B109C">
        <w:rPr>
          <w:lang w:val="en-AU"/>
        </w:rPr>
        <w:t xml:space="preserve">the </w:t>
      </w:r>
      <w:r w:rsidR="006B109C" w:rsidRPr="004C2A76">
        <w:rPr>
          <w:lang w:val="en-AU"/>
        </w:rPr>
        <w:t xml:space="preserve">AUD13 million NSIP </w:t>
      </w:r>
      <w:r w:rsidR="006B109C">
        <w:rPr>
          <w:lang w:val="en-AU"/>
        </w:rPr>
        <w:t>for</w:t>
      </w:r>
      <w:r w:rsidR="006B109C" w:rsidRPr="004C2A76">
        <w:rPr>
          <w:lang w:val="en-AU"/>
        </w:rPr>
        <w:t xml:space="preserve"> schools constructed in the first </w:t>
      </w:r>
      <w:r w:rsidR="006B109C">
        <w:rPr>
          <w:lang w:val="en-AU"/>
        </w:rPr>
        <w:t xml:space="preserve">two </w:t>
      </w:r>
      <w:r w:rsidR="006B109C" w:rsidRPr="004C2A76">
        <w:rPr>
          <w:lang w:val="en-AU"/>
        </w:rPr>
        <w:t>cycle</w:t>
      </w:r>
      <w:r w:rsidR="006B109C">
        <w:rPr>
          <w:lang w:val="en-AU"/>
        </w:rPr>
        <w:t>s</w:t>
      </w:r>
      <w:r w:rsidR="006B109C" w:rsidRPr="004C2A76">
        <w:rPr>
          <w:lang w:val="en-AU"/>
        </w:rPr>
        <w:t xml:space="preserve"> of C1</w:t>
      </w:r>
      <w:r w:rsidR="006B109C">
        <w:rPr>
          <w:lang w:val="en-AU"/>
        </w:rPr>
        <w:t xml:space="preserve"> (with the expectation that GoI would fund and deliver for cycles three and four)</w:t>
      </w:r>
      <w:r w:rsidR="006B109C" w:rsidRPr="004C2A76">
        <w:rPr>
          <w:lang w:val="en-AU"/>
        </w:rPr>
        <w:t>. In 2013</w:t>
      </w:r>
      <w:r w:rsidR="006B109C">
        <w:rPr>
          <w:lang w:val="en-AU"/>
        </w:rPr>
        <w:t>,</w:t>
      </w:r>
      <w:r w:rsidR="006B109C" w:rsidRPr="004C2A76">
        <w:rPr>
          <w:lang w:val="en-AU"/>
        </w:rPr>
        <w:t xml:space="preserve"> C2 also provided training to 88 districts with low GER in order to strengthen their capacity to identify needs and successfully forward proposals for new school construction</w:t>
      </w:r>
      <w:r w:rsidR="00DD5677">
        <w:rPr>
          <w:rStyle w:val="EndnoteReference"/>
          <w:lang w:val="en-AU"/>
        </w:rPr>
        <w:endnoteReference w:id="39"/>
      </w:r>
      <w:r w:rsidR="00DD5677">
        <w:rPr>
          <w:lang w:val="en-AU"/>
        </w:rPr>
        <w:t xml:space="preserve"> </w:t>
      </w:r>
      <w:r w:rsidR="006B109C">
        <w:rPr>
          <w:rStyle w:val="FootnoteReference"/>
          <w:lang w:val="en-AU"/>
        </w:rPr>
        <w:footnoteReference w:id="39"/>
      </w:r>
      <w:r w:rsidR="006B109C" w:rsidRPr="004C2A76">
        <w:rPr>
          <w:lang w:val="en-AU"/>
        </w:rPr>
        <w:t>.</w:t>
      </w:r>
      <w:r w:rsidR="00D00C09">
        <w:rPr>
          <w:lang w:val="en-AU"/>
        </w:rPr>
        <w:t xml:space="preserve"> </w:t>
      </w:r>
    </w:p>
    <w:p w14:paraId="6826ACB3" w14:textId="77777777" w:rsidR="006B109C" w:rsidRDefault="006B109C" w:rsidP="00672EC6">
      <w:pPr>
        <w:jc w:val="both"/>
        <w:rPr>
          <w:lang w:val="en-AU"/>
        </w:rPr>
      </w:pPr>
      <w:r w:rsidRPr="002F0973">
        <w:rPr>
          <w:lang w:val="en-AU"/>
        </w:rPr>
        <w:t xml:space="preserve">The design of ProDEP as an initiative that </w:t>
      </w:r>
      <w:r w:rsidR="00503F06">
        <w:rPr>
          <w:lang w:val="en-AU"/>
        </w:rPr>
        <w:t>sought to</w:t>
      </w:r>
      <w:r w:rsidR="00503F06" w:rsidRPr="002F0973">
        <w:rPr>
          <w:lang w:val="en-AU"/>
        </w:rPr>
        <w:t xml:space="preserve"> </w:t>
      </w:r>
      <w:r w:rsidRPr="002F0973">
        <w:rPr>
          <w:lang w:val="en-AU"/>
        </w:rPr>
        <w:t>bridge the MoEC and MoRA education systems was an ambitious undertaking. While MoRA staff were successfully drawn into ProDEP, the</w:t>
      </w:r>
      <w:r w:rsidR="006817D8">
        <w:rPr>
          <w:lang w:val="en-AU"/>
        </w:rPr>
        <w:t xml:space="preserve"> </w:t>
      </w:r>
      <w:r w:rsidRPr="002F0973">
        <w:rPr>
          <w:lang w:val="en-AU"/>
        </w:rPr>
        <w:t xml:space="preserve">target of a 15% participation rate in ProDEP activities was </w:t>
      </w:r>
      <w:r w:rsidR="00573D46">
        <w:rPr>
          <w:lang w:val="en-AU"/>
        </w:rPr>
        <w:t xml:space="preserve">not </w:t>
      </w:r>
      <w:r w:rsidRPr="002F0973">
        <w:rPr>
          <w:lang w:val="en-AU"/>
        </w:rPr>
        <w:t>met. Ultimately, the fact that MoRA opted for the formulation of its own professional development agenda suggest</w:t>
      </w:r>
      <w:r>
        <w:rPr>
          <w:lang w:val="en-AU"/>
        </w:rPr>
        <w:t>s</w:t>
      </w:r>
      <w:r w:rsidRPr="002F0973">
        <w:rPr>
          <w:lang w:val="en-AU"/>
        </w:rPr>
        <w:t xml:space="preserve"> that the</w:t>
      </w:r>
      <w:r>
        <w:rPr>
          <w:lang w:val="en-AU"/>
        </w:rPr>
        <w:t xml:space="preserve"> design</w:t>
      </w:r>
      <w:r w:rsidRPr="002F0973">
        <w:rPr>
          <w:lang w:val="en-AU"/>
        </w:rPr>
        <w:t xml:space="preserve"> required a far more rigorous assessment of the </w:t>
      </w:r>
      <w:r>
        <w:rPr>
          <w:lang w:val="en-AU"/>
        </w:rPr>
        <w:t>political-institutional</w:t>
      </w:r>
      <w:r w:rsidRPr="002F0973">
        <w:rPr>
          <w:lang w:val="en-AU"/>
        </w:rPr>
        <w:t xml:space="preserve"> constraints to cooperation between the two ministries.</w:t>
      </w:r>
      <w:r w:rsidR="00E8456D">
        <w:rPr>
          <w:lang w:val="en-AU"/>
        </w:rPr>
        <w:t xml:space="preserve"> </w:t>
      </w:r>
    </w:p>
    <w:p w14:paraId="6826ACB4" w14:textId="77777777" w:rsidR="006B109C" w:rsidRDefault="006B109C" w:rsidP="00672EC6">
      <w:pPr>
        <w:pStyle w:val="Heading3"/>
        <w:spacing w:before="0" w:after="160" w:line="259" w:lineRule="auto"/>
        <w:ind w:left="709" w:hanging="709"/>
      </w:pPr>
      <w:bookmarkStart w:id="177" w:name="_Toc465171383"/>
      <w:bookmarkStart w:id="178" w:name="_Toc473786345"/>
      <w:r>
        <w:t>Coordination</w:t>
      </w:r>
      <w:bookmarkEnd w:id="177"/>
      <w:bookmarkEnd w:id="178"/>
      <w:r>
        <w:t xml:space="preserve"> </w:t>
      </w:r>
    </w:p>
    <w:p w14:paraId="6826ACB5" w14:textId="5B02AC36" w:rsidR="00EC22DA" w:rsidRPr="00310FDE" w:rsidRDefault="00EC22DA" w:rsidP="00672EC6">
      <w:pPr>
        <w:jc w:val="both"/>
      </w:pPr>
      <w:r>
        <w:t xml:space="preserve">While the managers and implementers of the EP maintained </w:t>
      </w:r>
      <w:r w:rsidRPr="00E80498">
        <w:rPr>
          <w:i/>
        </w:rPr>
        <w:t>informal</w:t>
      </w:r>
      <w:r>
        <w:t xml:space="preserve"> dialogue with </w:t>
      </w:r>
      <w:r w:rsidR="00E8456D">
        <w:t xml:space="preserve">individual personnel in </w:t>
      </w:r>
      <w:r>
        <w:t>relevant donor-financed programs</w:t>
      </w:r>
      <w:r w:rsidRPr="003C42A6">
        <w:rPr>
          <w:rStyle w:val="FootnoteReference"/>
          <w:lang w:val="en-AU"/>
        </w:rPr>
        <w:footnoteReference w:id="40"/>
      </w:r>
      <w:r>
        <w:t xml:space="preserve">, </w:t>
      </w:r>
      <w:r w:rsidR="00E8456D">
        <w:t xml:space="preserve">greater </w:t>
      </w:r>
      <w:r>
        <w:t>conscious effort was made to identify and</w:t>
      </w:r>
      <w:r w:rsidR="00E8456D">
        <w:t>, where possible, c</w:t>
      </w:r>
      <w:r>
        <w:t xml:space="preserve">oordinate with relevant GoI initiatives. </w:t>
      </w:r>
      <w:r w:rsidR="00E8456D">
        <w:t xml:space="preserve">The effort generated mixed success. For example, the EP’s investment in school construction coincided with </w:t>
      </w:r>
      <w:r>
        <w:t>GoI’s</w:t>
      </w:r>
      <w:r w:rsidR="00E8456D">
        <w:t xml:space="preserve"> investment in its</w:t>
      </w:r>
      <w:r>
        <w:t xml:space="preserve"> student assistance cash transfer scheme -</w:t>
      </w:r>
      <w:r w:rsidR="00E8456D">
        <w:t xml:space="preserve"> the</w:t>
      </w:r>
      <w:r>
        <w:t xml:space="preserve"> </w:t>
      </w:r>
      <w:r w:rsidRPr="00EC22DA">
        <w:rPr>
          <w:i/>
        </w:rPr>
        <w:t>Bantuan Siswa Miskin</w:t>
      </w:r>
      <w:r>
        <w:t xml:space="preserve"> (BSM)</w:t>
      </w:r>
      <w:r w:rsidRPr="00397475">
        <w:rPr>
          <w:vertAlign w:val="superscript"/>
        </w:rPr>
        <w:footnoteReference w:id="41"/>
      </w:r>
      <w:r>
        <w:t xml:space="preserve">. As a demand-side initiative, the BSM scheme </w:t>
      </w:r>
      <w:r w:rsidR="00733978">
        <w:t>represented a</w:t>
      </w:r>
      <w:r>
        <w:t xml:space="preserve"> means of addressing barriers to junior secondary participation that are resistant to supply-side solutions (e.g. school construction). </w:t>
      </w:r>
      <w:r w:rsidRPr="00524A71">
        <w:t xml:space="preserve">However, any form of coordination between C1 and </w:t>
      </w:r>
      <w:r w:rsidR="00E8456D">
        <w:t>BSM</w:t>
      </w:r>
      <w:r w:rsidRPr="00524A71">
        <w:t xml:space="preserve"> </w:t>
      </w:r>
      <w:r>
        <w:t>(including the possible reallocation of funds from school construction to improving the effectiveness of BSM) was impract</w:t>
      </w:r>
      <w:r w:rsidRPr="00524A71">
        <w:t xml:space="preserve">ical </w:t>
      </w:r>
      <w:r>
        <w:t>given the high level political commitment to EP school construction targets</w:t>
      </w:r>
      <w:r w:rsidR="005F4AA2">
        <w:t xml:space="preserve"> and a model that ‘signed over’ schools to </w:t>
      </w:r>
      <w:r w:rsidR="00D2062D">
        <w:t>d</w:t>
      </w:r>
      <w:r w:rsidR="005F4AA2">
        <w:t>istricts at a point prior to actual student enrolment when questions of student eligibility for BSM support commence.</w:t>
      </w:r>
    </w:p>
    <w:p w14:paraId="6826ACB6" w14:textId="77777777" w:rsidR="006B109C" w:rsidRDefault="00CE1B88" w:rsidP="00672EC6">
      <w:pPr>
        <w:jc w:val="both"/>
      </w:pPr>
      <w:r>
        <w:t>T</w:t>
      </w:r>
      <w:r w:rsidR="00E8456D">
        <w:t xml:space="preserve">he flexibility of </w:t>
      </w:r>
      <w:r w:rsidR="006B109C" w:rsidRPr="00016B2D">
        <w:t>C3</w:t>
      </w:r>
      <w:r w:rsidR="000F740D">
        <w:t xml:space="preserve">’s delivery modality allowed </w:t>
      </w:r>
      <w:r w:rsidR="009852AF">
        <w:t xml:space="preserve">component stakeholders </w:t>
      </w:r>
      <w:r w:rsidR="000F740D">
        <w:t xml:space="preserve">to both </w:t>
      </w:r>
      <w:r w:rsidR="009852AF">
        <w:t xml:space="preserve">better </w:t>
      </w:r>
      <w:r w:rsidR="000F740D">
        <w:t>respond to</w:t>
      </w:r>
      <w:r w:rsidR="009852AF">
        <w:t xml:space="preserve"> opportunities in the political-institutional landscape</w:t>
      </w:r>
      <w:r w:rsidR="000F740D">
        <w:t xml:space="preserve"> and to ‘work with the grain’</w:t>
      </w:r>
      <w:r w:rsidR="009852AF">
        <w:t xml:space="preserve"> where this might improve the chances of higher-order objectives being realised</w:t>
      </w:r>
      <w:r w:rsidR="000F740D">
        <w:t>. For instance, C</w:t>
      </w:r>
      <w:r w:rsidR="009852AF">
        <w:t>3</w:t>
      </w:r>
      <w:r w:rsidR="000F740D">
        <w:t xml:space="preserve"> </w:t>
      </w:r>
      <w:r w:rsidR="006B109C" w:rsidRPr="00016B2D">
        <w:t xml:space="preserve">was </w:t>
      </w:r>
      <w:r w:rsidR="006B109C">
        <w:t>very</w:t>
      </w:r>
      <w:r w:rsidR="006B109C" w:rsidRPr="00016B2D">
        <w:t xml:space="preserve"> successful in establishing a strategic working relationship with the National </w:t>
      </w:r>
      <w:r w:rsidR="006B109C" w:rsidRPr="009A0FF5">
        <w:t xml:space="preserve">Accreditation Agency (BAN-S/M). School-madrasah accreditation is a significant GoI investment in school quality that provides periodic assessment of institutional compliance with National Education Standards. The dividends derived from the C3-BAN-S/M relationship </w:t>
      </w:r>
      <w:r w:rsidR="006B109C">
        <w:t xml:space="preserve">– specifically, the attention granted by BAN-S/M to the assessment of C3-supported madrasah – </w:t>
      </w:r>
      <w:r w:rsidR="006B109C" w:rsidRPr="009A0FF5">
        <w:t>were a credit to the ability of component managers to ‘work politically’. Significant in this respect was the investment in time</w:t>
      </w:r>
      <w:r w:rsidR="006B109C">
        <w:t xml:space="preserve"> and resources at the provincial level, an outcome that is attributable to a design that included the presence of sub-national implementation partners in each of the component target provinces.</w:t>
      </w:r>
    </w:p>
    <w:p w14:paraId="6826ACB7" w14:textId="0048883D" w:rsidR="006B109C" w:rsidRPr="005540B8" w:rsidRDefault="00DB4F15" w:rsidP="00082D8B">
      <w:pPr>
        <w:pStyle w:val="Heading2"/>
      </w:pPr>
      <w:bookmarkStart w:id="179" w:name="_Toc464984185"/>
      <w:bookmarkStart w:id="180" w:name="_Toc464988891"/>
      <w:bookmarkStart w:id="181" w:name="_Toc464988974"/>
      <w:bookmarkStart w:id="182" w:name="_Toc464989081"/>
      <w:bookmarkStart w:id="183" w:name="_Toc464989328"/>
      <w:bookmarkStart w:id="184" w:name="_Toc464984186"/>
      <w:bookmarkStart w:id="185" w:name="_Toc464988892"/>
      <w:bookmarkStart w:id="186" w:name="_Toc464988975"/>
      <w:bookmarkStart w:id="187" w:name="_Toc464989082"/>
      <w:bookmarkStart w:id="188" w:name="_Toc464989329"/>
      <w:bookmarkStart w:id="189" w:name="_Toc464984187"/>
      <w:bookmarkStart w:id="190" w:name="_Toc464988893"/>
      <w:bookmarkStart w:id="191" w:name="_Toc464988976"/>
      <w:bookmarkStart w:id="192" w:name="_Toc464989083"/>
      <w:bookmarkStart w:id="193" w:name="_Toc464989330"/>
      <w:bookmarkStart w:id="194" w:name="_Toc473786346"/>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t xml:space="preserve">Overall </w:t>
      </w:r>
      <w:r w:rsidR="00C8750F" w:rsidRPr="005540B8">
        <w:t xml:space="preserve">Value for </w:t>
      </w:r>
      <w:r>
        <w:t>M</w:t>
      </w:r>
      <w:r w:rsidR="00C8750F" w:rsidRPr="005540B8">
        <w:t>oney</w:t>
      </w:r>
      <w:bookmarkEnd w:id="194"/>
    </w:p>
    <w:p w14:paraId="6826ACB8" w14:textId="0E02B0C4" w:rsidR="00AE5573" w:rsidRDefault="009B4E5F" w:rsidP="00672EC6">
      <w:pPr>
        <w:jc w:val="both"/>
      </w:pPr>
      <w:r>
        <w:t>The pursuit of</w:t>
      </w:r>
      <w:r w:rsidRPr="00AA73F9">
        <w:t xml:space="preserve"> </w:t>
      </w:r>
      <w:r w:rsidR="00AA73F9" w:rsidRPr="00AA73F9">
        <w:t xml:space="preserve">value for money is a </w:t>
      </w:r>
      <w:r>
        <w:t>key element</w:t>
      </w:r>
      <w:r w:rsidR="00AA73F9" w:rsidRPr="00AA73F9">
        <w:t xml:space="preserve"> of DFAT’s strategic objectives. </w:t>
      </w:r>
      <w:r w:rsidR="00AA73F9">
        <w:t xml:space="preserve">As a consequence, </w:t>
      </w:r>
      <w:r w:rsidR="00076F0C">
        <w:t>in 2014</w:t>
      </w:r>
      <w:r w:rsidR="00360852">
        <w:t>,</w:t>
      </w:r>
      <w:r w:rsidR="00076F0C">
        <w:t xml:space="preserve"> </w:t>
      </w:r>
      <w:r w:rsidR="00AA73F9" w:rsidRPr="00AA73F9">
        <w:t>DFAT developed eight Value for Money Principles</w:t>
      </w:r>
      <w:r w:rsidR="00553289">
        <w:rPr>
          <w:rStyle w:val="EndnoteReference"/>
        </w:rPr>
        <w:endnoteReference w:id="40"/>
      </w:r>
      <w:r w:rsidR="00AA73F9" w:rsidRPr="00AA73F9">
        <w:t xml:space="preserve"> to guide decision making and maximise the impact of its investments</w:t>
      </w:r>
      <w:r w:rsidR="00076F0C">
        <w:t xml:space="preserve"> (although the</w:t>
      </w:r>
      <w:r w:rsidR="00076F0C" w:rsidRPr="00553289">
        <w:t xml:space="preserve"> emergence of VFM as a cross-cutting issue was first recognised by the E</w:t>
      </w:r>
      <w:r w:rsidR="00076F0C">
        <w:t xml:space="preserve">P in </w:t>
      </w:r>
      <w:r w:rsidR="00076F0C" w:rsidRPr="00553289">
        <w:t>2012</w:t>
      </w:r>
      <w:r w:rsidR="00076F0C">
        <w:rPr>
          <w:rStyle w:val="FootnoteReference"/>
        </w:rPr>
        <w:footnoteReference w:id="42"/>
      </w:r>
      <w:r w:rsidR="00076F0C">
        <w:t>)</w:t>
      </w:r>
      <w:r w:rsidR="00AA73F9" w:rsidRPr="00AA73F9">
        <w:t xml:space="preserve">. </w:t>
      </w:r>
      <w:r w:rsidR="007848A1">
        <w:t>Th</w:t>
      </w:r>
      <w:r w:rsidR="001967DF">
        <w:t xml:space="preserve">e eight principles </w:t>
      </w:r>
      <w:r w:rsidR="007848A1">
        <w:t xml:space="preserve">are grouped into the </w:t>
      </w:r>
      <w:r w:rsidR="00893C72">
        <w:t>‘</w:t>
      </w:r>
      <w:r w:rsidR="007848A1">
        <w:t>4Es</w:t>
      </w:r>
      <w:r w:rsidR="00893C72">
        <w:t>’</w:t>
      </w:r>
      <w:r w:rsidR="007848A1">
        <w:t>: Economy, Efficiency, Effectiveness and Ethics</w:t>
      </w:r>
      <w:r w:rsidR="00076F0C">
        <w:t xml:space="preserve">. </w:t>
      </w:r>
      <w:r w:rsidR="00B771FE">
        <w:t>A detailed analysis against each of the eight principles is provided in Annex I</w:t>
      </w:r>
      <w:r w:rsidR="00F06E0F">
        <w:t>II</w:t>
      </w:r>
      <w:r w:rsidR="00B771FE">
        <w:t xml:space="preserve">. </w:t>
      </w:r>
    </w:p>
    <w:p w14:paraId="6826ACB9" w14:textId="52D96D8B" w:rsidR="00B83A90" w:rsidRDefault="00893C72" w:rsidP="00672EC6">
      <w:pPr>
        <w:jc w:val="both"/>
      </w:pPr>
      <w:r>
        <w:t>Th</w:t>
      </w:r>
      <w:r w:rsidR="00AE5573">
        <w:t xml:space="preserve">e </w:t>
      </w:r>
      <w:r>
        <w:t xml:space="preserve">analysis </w:t>
      </w:r>
      <w:r w:rsidR="00AE5573">
        <w:t xml:space="preserve">in the annex </w:t>
      </w:r>
      <w:r>
        <w:t xml:space="preserve">reinforces much of the commentary made earlier in this report. </w:t>
      </w:r>
      <w:r w:rsidR="00AE5573" w:rsidRPr="00AE5573">
        <w:t>On balance, the EP represented satisfactory value for money for the Australian tax-payer</w:t>
      </w:r>
      <w:r w:rsidR="00AE5573">
        <w:t>. In particular</w:t>
      </w:r>
      <w:r w:rsidR="009B4E5F">
        <w:t>,</w:t>
      </w:r>
      <w:r w:rsidR="00AE5573">
        <w:t xml:space="preserve"> the EP performed well with respect to the DFAT VFM principles relating to </w:t>
      </w:r>
      <w:r w:rsidR="00AE5573" w:rsidRPr="00AE5573">
        <w:t>Economy and Efficiency</w:t>
      </w:r>
      <w:r w:rsidR="00B83A90">
        <w:t>, but less so with respect to Effectiveness and Ethics</w:t>
      </w:r>
      <w:r w:rsidR="00AE5573">
        <w:t>.</w:t>
      </w:r>
      <w:r w:rsidR="00D477C8">
        <w:t xml:space="preserve"> </w:t>
      </w:r>
    </w:p>
    <w:p w14:paraId="6826ACBA" w14:textId="259203B9" w:rsidR="00B83A90" w:rsidRDefault="00AE5573" w:rsidP="00672EC6">
      <w:pPr>
        <w:jc w:val="both"/>
        <w:rPr>
          <w:bCs/>
        </w:rPr>
      </w:pPr>
      <w:r>
        <w:t xml:space="preserve">DFAT and its implementing partners scrutinized programming costs on a regular basis and adhered to DFAT’s Adviser Remuneration Framework (ARF) and ADB’s procurement </w:t>
      </w:r>
      <w:r w:rsidR="00B83A90">
        <w:t>gui</w:t>
      </w:r>
      <w:r>
        <w:t>delines as appropriate</w:t>
      </w:r>
      <w:r w:rsidR="00B83A90">
        <w:t xml:space="preserve"> (</w:t>
      </w:r>
      <w:r w:rsidR="00B83A90" w:rsidRPr="000B330B">
        <w:rPr>
          <w:i/>
        </w:rPr>
        <w:t>VFM Principle #1: Cost consciousness</w:t>
      </w:r>
      <w:r w:rsidR="00B83A90">
        <w:t>)</w:t>
      </w:r>
      <w:r>
        <w:t>.</w:t>
      </w:r>
      <w:r w:rsidR="00B83A90" w:rsidRPr="00B83A90">
        <w:rPr>
          <w:bCs/>
        </w:rPr>
        <w:t xml:space="preserve"> </w:t>
      </w:r>
      <w:r w:rsidR="00B83A90">
        <w:rPr>
          <w:bCs/>
        </w:rPr>
        <w:t>DFAT employed and encouraged competitive processes for the selection of contractors and service providers, with the exception of the direct appointment of the ADB to manage C4 (</w:t>
      </w:r>
      <w:r w:rsidR="00B83A90" w:rsidRPr="003D294D">
        <w:rPr>
          <w:bCs/>
          <w:i/>
        </w:rPr>
        <w:t>VFM Principle #2: Encouraging competition</w:t>
      </w:r>
      <w:r w:rsidR="00B83A90">
        <w:rPr>
          <w:bCs/>
        </w:rPr>
        <w:t xml:space="preserve">). The EP </w:t>
      </w:r>
      <w:r w:rsidR="00465531">
        <w:rPr>
          <w:bCs/>
        </w:rPr>
        <w:t>design created a</w:t>
      </w:r>
      <w:r w:rsidR="005041BF">
        <w:rPr>
          <w:bCs/>
        </w:rPr>
        <w:t xml:space="preserve"> strong </w:t>
      </w:r>
      <w:r w:rsidR="009852AF">
        <w:rPr>
          <w:bCs/>
        </w:rPr>
        <w:t xml:space="preserve">environment for </w:t>
      </w:r>
      <w:r w:rsidR="009852AF" w:rsidRPr="00CF05BA">
        <w:rPr>
          <w:bCs/>
        </w:rPr>
        <w:t>evidence-</w:t>
      </w:r>
      <w:r w:rsidR="009852AF" w:rsidRPr="00CF05BA">
        <w:rPr>
          <w:bCs/>
          <w:i/>
        </w:rPr>
        <w:t>informed</w:t>
      </w:r>
      <w:r w:rsidR="009852AF" w:rsidRPr="00CF05BA">
        <w:rPr>
          <w:bCs/>
        </w:rPr>
        <w:t xml:space="preserve"> decision-making</w:t>
      </w:r>
      <w:r w:rsidR="009852AF">
        <w:rPr>
          <w:bCs/>
        </w:rPr>
        <w:t xml:space="preserve"> </w:t>
      </w:r>
      <w:r w:rsidR="009852AF" w:rsidRPr="00CF05BA">
        <w:rPr>
          <w:bCs/>
        </w:rPr>
        <w:t>to occur</w:t>
      </w:r>
      <w:r w:rsidR="009852AF" w:rsidRPr="004604D1">
        <w:rPr>
          <w:bCs/>
        </w:rPr>
        <w:t xml:space="preserve"> </w:t>
      </w:r>
      <w:r w:rsidR="00E6255F">
        <w:rPr>
          <w:bCs/>
        </w:rPr>
        <w:t xml:space="preserve">although </w:t>
      </w:r>
      <w:r w:rsidR="00B83A90">
        <w:rPr>
          <w:bCs/>
        </w:rPr>
        <w:t>some key opportunities were missed</w:t>
      </w:r>
      <w:r w:rsidR="003D294D" w:rsidRPr="00715627">
        <w:rPr>
          <w:bCs/>
        </w:rPr>
        <w:t xml:space="preserve"> (</w:t>
      </w:r>
      <w:r w:rsidR="003D294D" w:rsidRPr="00715627">
        <w:rPr>
          <w:bCs/>
          <w:i/>
        </w:rPr>
        <w:t>VFM Principle #3: Evidence-based decision-making</w:t>
      </w:r>
      <w:r w:rsidR="003D294D" w:rsidRPr="00715627">
        <w:rPr>
          <w:bCs/>
        </w:rPr>
        <w:t>)</w:t>
      </w:r>
      <w:r w:rsidR="00B83A90">
        <w:rPr>
          <w:bCs/>
        </w:rPr>
        <w:t xml:space="preserve">. </w:t>
      </w:r>
      <w:r w:rsidR="00186351" w:rsidRPr="00186351">
        <w:rPr>
          <w:bCs/>
        </w:rPr>
        <w:t>O</w:t>
      </w:r>
      <w:r w:rsidR="009852AF" w:rsidRPr="00186351">
        <w:rPr>
          <w:bCs/>
        </w:rPr>
        <w:t xml:space="preserve">rganisational systems </w:t>
      </w:r>
      <w:r w:rsidR="00186351" w:rsidRPr="00186351">
        <w:rPr>
          <w:bCs/>
        </w:rPr>
        <w:t>were</w:t>
      </w:r>
      <w:r w:rsidR="009852AF" w:rsidRPr="00186351">
        <w:rPr>
          <w:bCs/>
        </w:rPr>
        <w:t xml:space="preserve"> proportional to </w:t>
      </w:r>
      <w:r w:rsidR="00186351">
        <w:rPr>
          <w:bCs/>
        </w:rPr>
        <w:t xml:space="preserve">capacity and need, and were </w:t>
      </w:r>
      <w:r w:rsidR="009852AF" w:rsidRPr="00186351">
        <w:rPr>
          <w:bCs/>
        </w:rPr>
        <w:t>calibrated to maximise efficiency</w:t>
      </w:r>
      <w:r w:rsidR="00186351" w:rsidRPr="00186351">
        <w:rPr>
          <w:bCs/>
        </w:rPr>
        <w:t xml:space="preserve"> </w:t>
      </w:r>
      <w:r w:rsidR="00186351">
        <w:rPr>
          <w:bCs/>
        </w:rPr>
        <w:t>(</w:t>
      </w:r>
      <w:r w:rsidR="00186351" w:rsidRPr="00186351">
        <w:rPr>
          <w:bCs/>
          <w:i/>
        </w:rPr>
        <w:t>VFM Principle #4: Proportionality</w:t>
      </w:r>
      <w:r w:rsidR="00186351">
        <w:rPr>
          <w:bCs/>
        </w:rPr>
        <w:t xml:space="preserve">). </w:t>
      </w:r>
    </w:p>
    <w:p w14:paraId="6826ACBB" w14:textId="77777777" w:rsidR="008C4F66" w:rsidRDefault="005041BF" w:rsidP="00672EC6">
      <w:pPr>
        <w:jc w:val="both"/>
        <w:rPr>
          <w:bCs/>
        </w:rPr>
      </w:pPr>
      <w:r>
        <w:t xml:space="preserve">Whilst performance and risk were both assessed </w:t>
      </w:r>
      <w:r w:rsidR="002D0500">
        <w:t>effectively</w:t>
      </w:r>
      <w:r>
        <w:t xml:space="preserve">, their management was conservative </w:t>
      </w:r>
      <w:r w:rsidR="00EB5A56" w:rsidRPr="00715627">
        <w:t>(</w:t>
      </w:r>
      <w:r w:rsidR="00EB5A56" w:rsidRPr="00715627">
        <w:rPr>
          <w:i/>
        </w:rPr>
        <w:t>VFM Principle #5</w:t>
      </w:r>
      <w:r w:rsidR="00B771FE">
        <w:rPr>
          <w:i/>
        </w:rPr>
        <w:t>:</w:t>
      </w:r>
      <w:r w:rsidR="00B771FE" w:rsidRPr="00B771FE">
        <w:t xml:space="preserve"> </w:t>
      </w:r>
      <w:r w:rsidR="00B771FE" w:rsidRPr="00B771FE">
        <w:rPr>
          <w:i/>
        </w:rPr>
        <w:t>Performance and risk management</w:t>
      </w:r>
      <w:r w:rsidR="002D0500">
        <w:rPr>
          <w:i/>
        </w:rPr>
        <w:t>)</w:t>
      </w:r>
      <w:r w:rsidR="00EB5A56" w:rsidRPr="00715627">
        <w:rPr>
          <w:i/>
        </w:rPr>
        <w:t>.</w:t>
      </w:r>
      <w:r>
        <w:rPr>
          <w:i/>
        </w:rPr>
        <w:t xml:space="preserve"> </w:t>
      </w:r>
      <w:r w:rsidRPr="005041BF">
        <w:t>Similarly</w:t>
      </w:r>
      <w:r>
        <w:rPr>
          <w:i/>
        </w:rPr>
        <w:t xml:space="preserve">, </w:t>
      </w:r>
      <w:r w:rsidRPr="00CB7B00">
        <w:t xml:space="preserve">transactional management </w:t>
      </w:r>
      <w:r>
        <w:t xml:space="preserve">was prioritised </w:t>
      </w:r>
      <w:r w:rsidRPr="00CB7B00">
        <w:t>over strategic or transformation</w:t>
      </w:r>
      <w:r>
        <w:t>al</w:t>
      </w:r>
      <w:r w:rsidRPr="00CB7B00">
        <w:t xml:space="preserve"> </w:t>
      </w:r>
      <w:r w:rsidRPr="00715627">
        <w:t xml:space="preserve">engagement </w:t>
      </w:r>
      <w:r w:rsidR="00CB7B00" w:rsidRPr="00CB7B00">
        <w:t>(</w:t>
      </w:r>
      <w:r w:rsidR="00CB7B00" w:rsidRPr="00CB7B00">
        <w:rPr>
          <w:i/>
        </w:rPr>
        <w:t>VFM Principle #6: Results focus</w:t>
      </w:r>
      <w:r w:rsidR="00CB7B00" w:rsidRPr="00CB7B00">
        <w:t xml:space="preserve">), </w:t>
      </w:r>
      <w:r>
        <w:t>and the programm</w:t>
      </w:r>
      <w:r w:rsidR="00E17816">
        <w:rPr>
          <w:bCs/>
        </w:rPr>
        <w:t>atic design of the EP did not lend itself to experimenta</w:t>
      </w:r>
      <w:r>
        <w:rPr>
          <w:bCs/>
        </w:rPr>
        <w:t>tion and i</w:t>
      </w:r>
      <w:r w:rsidR="00E17816">
        <w:rPr>
          <w:bCs/>
        </w:rPr>
        <w:t>nnovati</w:t>
      </w:r>
      <w:r>
        <w:rPr>
          <w:bCs/>
        </w:rPr>
        <w:t>on (</w:t>
      </w:r>
      <w:r w:rsidR="00E17816" w:rsidRPr="002C3B01">
        <w:rPr>
          <w:i/>
        </w:rPr>
        <w:t>VFM Principle #7: Experimentation and innovation</w:t>
      </w:r>
      <w:r w:rsidR="00E17816" w:rsidRPr="002C3B01">
        <w:rPr>
          <w:bCs/>
        </w:rPr>
        <w:t>)</w:t>
      </w:r>
      <w:r w:rsidR="00E17816">
        <w:rPr>
          <w:bCs/>
        </w:rPr>
        <w:t xml:space="preserve">. </w:t>
      </w:r>
      <w:r>
        <w:rPr>
          <w:bCs/>
        </w:rPr>
        <w:t xml:space="preserve">The comprehensive formal governance structure promoted </w:t>
      </w:r>
      <w:r w:rsidR="00E17816" w:rsidRPr="00E17816">
        <w:rPr>
          <w:bCs/>
        </w:rPr>
        <w:t>accountability and transparency (</w:t>
      </w:r>
      <w:r w:rsidR="00E17816" w:rsidRPr="00E17816">
        <w:rPr>
          <w:bCs/>
          <w:i/>
        </w:rPr>
        <w:t xml:space="preserve">VFM </w:t>
      </w:r>
      <w:r w:rsidR="00E17816" w:rsidRPr="00715627">
        <w:rPr>
          <w:bCs/>
          <w:i/>
        </w:rPr>
        <w:t>Principle #8</w:t>
      </w:r>
      <w:r w:rsidR="00E17816" w:rsidRPr="00715627">
        <w:rPr>
          <w:bCs/>
        </w:rPr>
        <w:t>)</w:t>
      </w:r>
      <w:r w:rsidR="002D0500">
        <w:rPr>
          <w:bCs/>
        </w:rPr>
        <w:t xml:space="preserve">, but, </w:t>
      </w:r>
      <w:r w:rsidR="00F623E8" w:rsidRPr="00715627">
        <w:rPr>
          <w:bCs/>
        </w:rPr>
        <w:t>over time</w:t>
      </w:r>
      <w:r w:rsidR="002D0500">
        <w:rPr>
          <w:bCs/>
        </w:rPr>
        <w:t>,</w:t>
      </w:r>
      <w:r w:rsidR="00F623E8" w:rsidRPr="00715627">
        <w:rPr>
          <w:bCs/>
        </w:rPr>
        <w:t xml:space="preserve"> the role and importance of the TOG and GOG structures declined</w:t>
      </w:r>
      <w:r w:rsidR="002D0500">
        <w:rPr>
          <w:bCs/>
        </w:rPr>
        <w:t xml:space="preserve"> and, with them, the concept of ‘</w:t>
      </w:r>
      <w:r w:rsidR="00F623E8" w:rsidRPr="00173CB5">
        <w:rPr>
          <w:bCs/>
        </w:rPr>
        <w:t>partnership</w:t>
      </w:r>
      <w:r w:rsidR="002D0500">
        <w:rPr>
          <w:bCs/>
        </w:rPr>
        <w:t>’</w:t>
      </w:r>
      <w:r w:rsidR="00F623E8">
        <w:rPr>
          <w:bCs/>
        </w:rPr>
        <w:t>.</w:t>
      </w:r>
    </w:p>
    <w:p w14:paraId="6826ACBC" w14:textId="77777777" w:rsidR="008C4F66" w:rsidRDefault="008C4F66">
      <w:pPr>
        <w:spacing w:after="0" w:line="240" w:lineRule="auto"/>
        <w:rPr>
          <w:bCs/>
        </w:rPr>
      </w:pPr>
      <w:r>
        <w:rPr>
          <w:bCs/>
        </w:rPr>
        <w:br w:type="page"/>
      </w:r>
    </w:p>
    <w:p w14:paraId="6826ACBD" w14:textId="01BE2CFE" w:rsidR="00746498" w:rsidRDefault="00746498" w:rsidP="00F300B3">
      <w:pPr>
        <w:pStyle w:val="Heading1"/>
      </w:pPr>
      <w:bookmarkStart w:id="195" w:name="_Toc473786347"/>
      <w:r w:rsidRPr="00711B52">
        <w:t>Conclusions</w:t>
      </w:r>
      <w:bookmarkEnd w:id="195"/>
    </w:p>
    <w:p w14:paraId="1C6778C1" w14:textId="758FFFAF" w:rsidR="00082D8B" w:rsidRPr="00082D8B" w:rsidRDefault="00082D8B" w:rsidP="00082D8B">
      <w:pPr>
        <w:pStyle w:val="Heading2"/>
      </w:pPr>
      <w:bookmarkStart w:id="196" w:name="_Toc473786348"/>
      <w:r w:rsidRPr="00082D8B">
        <w:t>Performance against DAC criteria</w:t>
      </w:r>
      <w:bookmarkEnd w:id="196"/>
    </w:p>
    <w:p w14:paraId="6826ACBE" w14:textId="03E1896B" w:rsidR="002C454D" w:rsidRPr="002C454D" w:rsidRDefault="002C454D" w:rsidP="00FA14CE">
      <w:pPr>
        <w:pStyle w:val="ListParagraph"/>
        <w:numPr>
          <w:ilvl w:val="0"/>
          <w:numId w:val="8"/>
        </w:numPr>
        <w:ind w:left="432"/>
        <w:contextualSpacing w:val="0"/>
        <w:jc w:val="both"/>
        <w:rPr>
          <w:rFonts w:asciiTheme="minorHAnsi" w:eastAsiaTheme="minorHAnsi" w:hAnsiTheme="minorHAnsi" w:cstheme="minorHAnsi"/>
        </w:rPr>
      </w:pPr>
      <w:r w:rsidRPr="002C454D">
        <w:rPr>
          <w:rFonts w:asciiTheme="minorHAnsi" w:eastAsiaTheme="minorHAnsi" w:hAnsiTheme="minorHAnsi" w:cstheme="minorHAnsi"/>
          <w:b/>
        </w:rPr>
        <w:t xml:space="preserve">The EP investment was highly relevant; it was well suited to the needs and policy commitments of the Indonesian education sector. </w:t>
      </w:r>
      <w:r w:rsidRPr="002C454D">
        <w:rPr>
          <w:rFonts w:asciiTheme="minorHAnsi" w:eastAsiaTheme="minorHAnsi" w:hAnsiTheme="minorHAnsi" w:cstheme="minorHAnsi"/>
        </w:rPr>
        <w:t>The objectives that informed the design of the EP</w:t>
      </w:r>
      <w:r w:rsidR="009B4E5F">
        <w:rPr>
          <w:rFonts w:asciiTheme="minorHAnsi" w:eastAsiaTheme="minorHAnsi" w:hAnsiTheme="minorHAnsi" w:cstheme="minorHAnsi"/>
        </w:rPr>
        <w:t xml:space="preserve"> – </w:t>
      </w:r>
      <w:r w:rsidRPr="002C454D">
        <w:rPr>
          <w:rFonts w:asciiTheme="minorHAnsi" w:eastAsiaTheme="minorHAnsi" w:hAnsiTheme="minorHAnsi" w:cstheme="minorHAnsi"/>
        </w:rPr>
        <w:t>improved access to basic education in underserved and/or remote areas, improved service delivery, and more evidence-informed policy</w:t>
      </w:r>
      <w:r w:rsidR="009B4E5F">
        <w:rPr>
          <w:rFonts w:asciiTheme="minorHAnsi" w:eastAsiaTheme="minorHAnsi" w:hAnsiTheme="minorHAnsi" w:cstheme="minorHAnsi"/>
        </w:rPr>
        <w:t xml:space="preserve"> –</w:t>
      </w:r>
      <w:r w:rsidRPr="002C454D">
        <w:rPr>
          <w:rFonts w:asciiTheme="minorHAnsi" w:eastAsiaTheme="minorHAnsi" w:hAnsiTheme="minorHAnsi" w:cstheme="minorHAnsi"/>
        </w:rPr>
        <w:t xml:space="preserve"> remained aligned with the policies and priorities of the two governments and the needs of beneficiaries. </w:t>
      </w:r>
    </w:p>
    <w:p w14:paraId="6826ACC0" w14:textId="1966466E" w:rsidR="00BE4CFB" w:rsidRDefault="002C454D" w:rsidP="00FA14CE">
      <w:pPr>
        <w:pStyle w:val="ListParagraph"/>
        <w:numPr>
          <w:ilvl w:val="0"/>
          <w:numId w:val="8"/>
        </w:numPr>
        <w:ind w:left="432"/>
        <w:contextualSpacing w:val="0"/>
        <w:jc w:val="both"/>
        <w:rPr>
          <w:rFonts w:asciiTheme="minorHAnsi" w:hAnsiTheme="minorHAnsi" w:cstheme="minorHAnsi"/>
        </w:rPr>
      </w:pPr>
      <w:r w:rsidRPr="002C454D">
        <w:rPr>
          <w:rFonts w:asciiTheme="minorHAnsi" w:hAnsiTheme="minorHAnsi" w:cstheme="minorHAnsi"/>
          <w:b/>
        </w:rPr>
        <w:t xml:space="preserve">The EP was implemented with increasing efficiency; Implementing Partners performed well with respect to revised </w:t>
      </w:r>
      <w:r w:rsidRPr="00E4039D">
        <w:rPr>
          <w:rFonts w:asciiTheme="minorHAnsi" w:hAnsiTheme="minorHAnsi" w:cstheme="minorHAnsi"/>
          <w:b/>
          <w:u w:val="single"/>
        </w:rPr>
        <w:t>output</w:t>
      </w:r>
      <w:r w:rsidRPr="002C454D">
        <w:rPr>
          <w:rFonts w:asciiTheme="minorHAnsi" w:hAnsiTheme="minorHAnsi" w:cstheme="minorHAnsi"/>
          <w:b/>
        </w:rPr>
        <w:t xml:space="preserve"> targets. </w:t>
      </w:r>
      <w:r w:rsidRPr="002C454D">
        <w:rPr>
          <w:rFonts w:asciiTheme="minorHAnsi" w:hAnsiTheme="minorHAnsi" w:cstheme="minorHAnsi"/>
        </w:rPr>
        <w:t>A results-based management approach ensured that Implementing Partners prioritised the delivery of contracted deliverables. Internal systems for the monitoring of progress and spending were strong. Implementing Partners were generally responsive to program oversight and management recommendations in relation to matters of investment efficiency.</w:t>
      </w:r>
    </w:p>
    <w:p w14:paraId="6826ACC2" w14:textId="7A4C3CEB" w:rsidR="00BE4CFB" w:rsidRPr="008C4F66" w:rsidRDefault="002C454D" w:rsidP="00FA14CE">
      <w:pPr>
        <w:pStyle w:val="ListParagraph"/>
        <w:numPr>
          <w:ilvl w:val="0"/>
          <w:numId w:val="8"/>
        </w:numPr>
        <w:spacing w:before="240"/>
        <w:ind w:left="432"/>
        <w:contextualSpacing w:val="0"/>
        <w:jc w:val="both"/>
        <w:rPr>
          <w:rFonts w:asciiTheme="minorHAnsi" w:hAnsiTheme="minorHAnsi" w:cstheme="minorHAnsi"/>
          <w:b/>
        </w:rPr>
      </w:pPr>
      <w:r w:rsidRPr="002C454D">
        <w:rPr>
          <w:rFonts w:asciiTheme="minorHAnsi" w:hAnsiTheme="minorHAnsi" w:cstheme="minorHAnsi"/>
          <w:b/>
        </w:rPr>
        <w:t xml:space="preserve">The EP was effective with respect to the attainment of </w:t>
      </w:r>
      <w:r w:rsidR="005E20B3">
        <w:rPr>
          <w:rFonts w:asciiTheme="minorHAnsi" w:hAnsiTheme="minorHAnsi" w:cstheme="minorHAnsi"/>
          <w:b/>
        </w:rPr>
        <w:t xml:space="preserve">higher order </w:t>
      </w:r>
      <w:r w:rsidR="005E20B3" w:rsidRPr="00626483">
        <w:rPr>
          <w:rFonts w:asciiTheme="minorHAnsi" w:hAnsiTheme="minorHAnsi" w:cstheme="minorHAnsi"/>
          <w:b/>
          <w:u w:val="single"/>
        </w:rPr>
        <w:t>outcomes</w:t>
      </w:r>
      <w:r w:rsidR="005E20B3">
        <w:rPr>
          <w:rFonts w:asciiTheme="minorHAnsi" w:hAnsiTheme="minorHAnsi" w:cstheme="minorHAnsi"/>
          <w:b/>
        </w:rPr>
        <w:t>,</w:t>
      </w:r>
      <w:r w:rsidR="00626483">
        <w:rPr>
          <w:rFonts w:asciiTheme="minorHAnsi" w:hAnsiTheme="minorHAnsi" w:cstheme="minorHAnsi"/>
          <w:b/>
        </w:rPr>
        <w:t xml:space="preserve"> </w:t>
      </w:r>
      <w:r w:rsidR="00C30127">
        <w:rPr>
          <w:rFonts w:asciiTheme="minorHAnsi" w:hAnsiTheme="minorHAnsi" w:cstheme="minorHAnsi"/>
          <w:b/>
        </w:rPr>
        <w:t>with the exception of C</w:t>
      </w:r>
      <w:r w:rsidRPr="002C454D">
        <w:rPr>
          <w:rFonts w:asciiTheme="minorHAnsi" w:hAnsiTheme="minorHAnsi" w:cstheme="minorHAnsi"/>
          <w:b/>
        </w:rPr>
        <w:t xml:space="preserve">2. </w:t>
      </w:r>
      <w:r w:rsidRPr="002C454D">
        <w:rPr>
          <w:rFonts w:asciiTheme="minorHAnsi" w:hAnsiTheme="minorHAnsi" w:cstheme="minorHAnsi"/>
        </w:rPr>
        <w:t xml:space="preserve">Delays to the commencement of </w:t>
      </w:r>
      <w:r w:rsidR="009B4E5F">
        <w:rPr>
          <w:rFonts w:asciiTheme="minorHAnsi" w:hAnsiTheme="minorHAnsi" w:cstheme="minorHAnsi"/>
        </w:rPr>
        <w:t>GA-financed C2 activities</w:t>
      </w:r>
      <w:r w:rsidRPr="002C454D">
        <w:rPr>
          <w:rFonts w:asciiTheme="minorHAnsi" w:hAnsiTheme="minorHAnsi" w:cstheme="minorHAnsi"/>
        </w:rPr>
        <w:t xml:space="preserve"> meant that insufficient numbers of personnel were trained to generate the anticipated effects across participating districts. By contrast, school construction activities had a positive impact upon JSE</w:t>
      </w:r>
      <w:r w:rsidR="009B4E5F">
        <w:rPr>
          <w:rFonts w:asciiTheme="minorHAnsi" w:hAnsiTheme="minorHAnsi" w:cstheme="minorHAnsi"/>
        </w:rPr>
        <w:t xml:space="preserve"> </w:t>
      </w:r>
      <w:r w:rsidRPr="002C454D">
        <w:rPr>
          <w:rFonts w:asciiTheme="minorHAnsi" w:hAnsiTheme="minorHAnsi" w:cstheme="minorHAnsi"/>
        </w:rPr>
        <w:t xml:space="preserve">enrolment rates in participating districts, madrasah service provision in targeted districts </w:t>
      </w:r>
      <w:r w:rsidR="00D14218">
        <w:rPr>
          <w:rFonts w:asciiTheme="minorHAnsi" w:hAnsiTheme="minorHAnsi" w:cstheme="minorHAnsi"/>
        </w:rPr>
        <w:t xml:space="preserve">has </w:t>
      </w:r>
      <w:r w:rsidRPr="002C454D">
        <w:rPr>
          <w:rFonts w:asciiTheme="minorHAnsi" w:hAnsiTheme="minorHAnsi" w:cstheme="minorHAnsi"/>
        </w:rPr>
        <w:t>improved</w:t>
      </w:r>
      <w:r w:rsidR="006A3C6B">
        <w:rPr>
          <w:rFonts w:asciiTheme="minorHAnsi" w:hAnsiTheme="minorHAnsi" w:cstheme="minorHAnsi"/>
        </w:rPr>
        <w:t xml:space="preserve"> both</w:t>
      </w:r>
      <w:r w:rsidRPr="002C454D">
        <w:rPr>
          <w:rFonts w:asciiTheme="minorHAnsi" w:hAnsiTheme="minorHAnsi" w:cstheme="minorHAnsi"/>
        </w:rPr>
        <w:t xml:space="preserve"> directly (institutional accreditation) and indirectly (strengthening of oversight mechanisms), and ACDP evidence </w:t>
      </w:r>
      <w:r w:rsidR="00D14218">
        <w:rPr>
          <w:rFonts w:asciiTheme="minorHAnsi" w:hAnsiTheme="minorHAnsi" w:cstheme="minorHAnsi"/>
        </w:rPr>
        <w:t>has</w:t>
      </w:r>
      <w:r w:rsidR="00D14218" w:rsidRPr="002C454D">
        <w:rPr>
          <w:rFonts w:asciiTheme="minorHAnsi" w:hAnsiTheme="minorHAnsi" w:cstheme="minorHAnsi"/>
        </w:rPr>
        <w:t xml:space="preserve"> </w:t>
      </w:r>
      <w:r w:rsidRPr="002C454D">
        <w:rPr>
          <w:rFonts w:asciiTheme="minorHAnsi" w:hAnsiTheme="minorHAnsi" w:cstheme="minorHAnsi"/>
        </w:rPr>
        <w:t xml:space="preserve">been incorporated into several policy documents at national and provincial level. </w:t>
      </w:r>
    </w:p>
    <w:p w14:paraId="6826ACC4" w14:textId="77777777" w:rsidR="00BE4CFB" w:rsidRDefault="002C454D" w:rsidP="00FA14CE">
      <w:pPr>
        <w:pStyle w:val="ListParagraph"/>
        <w:numPr>
          <w:ilvl w:val="0"/>
          <w:numId w:val="8"/>
        </w:numPr>
        <w:ind w:left="432"/>
        <w:contextualSpacing w:val="0"/>
        <w:jc w:val="both"/>
        <w:rPr>
          <w:rFonts w:asciiTheme="minorHAnsi" w:hAnsiTheme="minorHAnsi" w:cstheme="minorHAnsi"/>
        </w:rPr>
      </w:pPr>
      <w:r w:rsidRPr="008C4F66">
        <w:rPr>
          <w:rFonts w:asciiTheme="minorHAnsi" w:hAnsiTheme="minorHAnsi" w:cstheme="minorHAnsi"/>
          <w:b/>
        </w:rPr>
        <w:t xml:space="preserve">The long-term impact of the EP largely accrued to the direct beneficiaries of the investment. </w:t>
      </w:r>
      <w:r w:rsidRPr="008C4F66">
        <w:rPr>
          <w:rFonts w:asciiTheme="minorHAnsi" w:hAnsiTheme="minorHAnsi" w:cstheme="minorHAnsi"/>
        </w:rPr>
        <w:t xml:space="preserve">The EP has or will generate positive long-term effects for the </w:t>
      </w:r>
      <w:r w:rsidRPr="008C4F66">
        <w:rPr>
          <w:rFonts w:asciiTheme="minorHAnsi" w:hAnsiTheme="minorHAnsi" w:cstheme="minorHAnsi"/>
          <w:i/>
        </w:rPr>
        <w:t xml:space="preserve">individual stakeholders </w:t>
      </w:r>
      <w:r w:rsidRPr="008C4F66">
        <w:rPr>
          <w:rFonts w:asciiTheme="minorHAnsi" w:hAnsiTheme="minorHAnsi" w:cstheme="minorHAnsi"/>
        </w:rPr>
        <w:t xml:space="preserve">who have secured direct benefit from the investments: the transferees and new enrolees who may ultimately complete JSE and transition to SSE; the principals trained in 2014-16 who may continue to apply the new skills and knowledge; the 1,500 targeted madrasah with improved service quality and capacity; and the decision-makers who may make use of evidence provided by ACDP. Nonetheless, on the balance of available evidence the EP did not amass sufficient change at an </w:t>
      </w:r>
      <w:r w:rsidRPr="008C4F66">
        <w:rPr>
          <w:rFonts w:asciiTheme="minorHAnsi" w:hAnsiTheme="minorHAnsi" w:cstheme="minorHAnsi"/>
          <w:i/>
        </w:rPr>
        <w:t>institutional level</w:t>
      </w:r>
      <w:r w:rsidRPr="008C4F66">
        <w:rPr>
          <w:rFonts w:asciiTheme="minorHAnsi" w:hAnsiTheme="minorHAnsi" w:cstheme="minorHAnsi"/>
        </w:rPr>
        <w:t xml:space="preserve"> to support scaling up beyond those beneficiaries.</w:t>
      </w:r>
    </w:p>
    <w:p w14:paraId="6826ACC6" w14:textId="1CBFA74A" w:rsidR="00BE4CFB" w:rsidRPr="008C4F66" w:rsidRDefault="002C454D" w:rsidP="00FA14CE">
      <w:pPr>
        <w:pStyle w:val="ListParagraph"/>
        <w:numPr>
          <w:ilvl w:val="0"/>
          <w:numId w:val="8"/>
        </w:numPr>
        <w:ind w:left="432"/>
        <w:contextualSpacing w:val="0"/>
        <w:jc w:val="both"/>
        <w:rPr>
          <w:rFonts w:asciiTheme="minorHAnsi" w:hAnsiTheme="minorHAnsi" w:cstheme="minorHAnsi"/>
        </w:rPr>
      </w:pPr>
      <w:r w:rsidRPr="008C4F66">
        <w:rPr>
          <w:rFonts w:asciiTheme="minorHAnsi" w:hAnsiTheme="minorHAnsi" w:cstheme="minorHAnsi"/>
          <w:b/>
        </w:rPr>
        <w:t xml:space="preserve">There is limited evidence that the necessary frameworks and commitments are in place to sustain EP systems after the completion of DFAT funding. </w:t>
      </w:r>
      <w:r w:rsidRPr="008C4F66">
        <w:rPr>
          <w:rFonts w:asciiTheme="minorHAnsi" w:hAnsiTheme="minorHAnsi" w:cstheme="minorHAnsi"/>
        </w:rPr>
        <w:t xml:space="preserve">The EP was successful in terms of the development and transfer of various </w:t>
      </w:r>
      <w:r w:rsidRPr="008C4F66">
        <w:rPr>
          <w:rFonts w:asciiTheme="minorHAnsi" w:hAnsiTheme="minorHAnsi" w:cstheme="minorHAnsi"/>
          <w:i/>
        </w:rPr>
        <w:t>technical</w:t>
      </w:r>
      <w:r w:rsidRPr="008C4F66">
        <w:rPr>
          <w:rFonts w:asciiTheme="minorHAnsi" w:hAnsiTheme="minorHAnsi" w:cstheme="minorHAnsi"/>
        </w:rPr>
        <w:t xml:space="preserve"> </w:t>
      </w:r>
      <w:r w:rsidRPr="008C4F66">
        <w:rPr>
          <w:rFonts w:asciiTheme="minorHAnsi" w:hAnsiTheme="minorHAnsi" w:cstheme="minorHAnsi"/>
          <w:i/>
        </w:rPr>
        <w:t>products</w:t>
      </w:r>
      <w:r w:rsidRPr="008C4F66">
        <w:rPr>
          <w:rFonts w:asciiTheme="minorHAnsi" w:hAnsiTheme="minorHAnsi" w:cstheme="minorHAnsi"/>
        </w:rPr>
        <w:t xml:space="preserve"> that will sustain benefits for partners. Nonetheless, to date there is only limite</w:t>
      </w:r>
      <w:r w:rsidR="00626483">
        <w:rPr>
          <w:rFonts w:asciiTheme="minorHAnsi" w:hAnsiTheme="minorHAnsi" w:cstheme="minorHAnsi"/>
        </w:rPr>
        <w:t>d evidence of partners adopting</w:t>
      </w:r>
      <w:r w:rsidRPr="008C4F66">
        <w:rPr>
          <w:rFonts w:asciiTheme="minorHAnsi" w:hAnsiTheme="minorHAnsi" w:cstheme="minorHAnsi"/>
        </w:rPr>
        <w:t xml:space="preserve"> and financing the systems</w:t>
      </w:r>
      <w:r w:rsidR="00D14218">
        <w:rPr>
          <w:rFonts w:asciiTheme="minorHAnsi" w:hAnsiTheme="minorHAnsi" w:cstheme="minorHAnsi"/>
        </w:rPr>
        <w:t xml:space="preserve"> </w:t>
      </w:r>
      <w:r w:rsidRPr="008C4F66">
        <w:rPr>
          <w:rFonts w:asciiTheme="minorHAnsi" w:hAnsiTheme="minorHAnsi" w:cstheme="minorHAnsi"/>
        </w:rPr>
        <w:t xml:space="preserve">implemented in and developed by the EP. </w:t>
      </w:r>
    </w:p>
    <w:p w14:paraId="6826ACC7" w14:textId="4D0F8B17" w:rsidR="002C454D" w:rsidRPr="00082D8B" w:rsidRDefault="00082D8B" w:rsidP="00082D8B">
      <w:pPr>
        <w:pStyle w:val="Heading2"/>
      </w:pPr>
      <w:bookmarkStart w:id="197" w:name="_Toc473786349"/>
      <w:r w:rsidRPr="00082D8B">
        <w:t>Performance against key design attributes</w:t>
      </w:r>
      <w:bookmarkEnd w:id="197"/>
    </w:p>
    <w:p w14:paraId="6826ACC8" w14:textId="1B90168F" w:rsidR="00BE4CFB" w:rsidRPr="008C4F66" w:rsidRDefault="002C454D" w:rsidP="00FA14CE">
      <w:pPr>
        <w:pStyle w:val="ListParagraph"/>
        <w:numPr>
          <w:ilvl w:val="0"/>
          <w:numId w:val="9"/>
        </w:numPr>
        <w:ind w:left="432"/>
        <w:contextualSpacing w:val="0"/>
        <w:jc w:val="both"/>
      </w:pPr>
      <w:r w:rsidRPr="008C4F66">
        <w:rPr>
          <w:rFonts w:eastAsia="Times New Roman" w:cstheme="minorHAnsi"/>
          <w:b/>
          <w:lang w:val="en-US"/>
        </w:rPr>
        <w:t xml:space="preserve">EP investments were most efficient where activities operated within the </w:t>
      </w:r>
      <w:r w:rsidR="00D14218">
        <w:rPr>
          <w:rFonts w:eastAsia="Times New Roman" w:cstheme="minorHAnsi"/>
          <w:b/>
          <w:lang w:val="en-US"/>
        </w:rPr>
        <w:t>realities of</w:t>
      </w:r>
      <w:r w:rsidR="005F0A1F">
        <w:rPr>
          <w:rFonts w:eastAsia="Times New Roman" w:cstheme="minorHAnsi"/>
          <w:b/>
          <w:lang w:val="en-US"/>
        </w:rPr>
        <w:t xml:space="preserve"> partner systems</w:t>
      </w:r>
      <w:r w:rsidRPr="008C4F66">
        <w:rPr>
          <w:rFonts w:eastAsia="Times New Roman" w:cstheme="minorHAnsi"/>
          <w:b/>
          <w:lang w:val="en-US"/>
        </w:rPr>
        <w:t xml:space="preserve">. </w:t>
      </w:r>
      <w:r w:rsidRPr="008C4F66">
        <w:rPr>
          <w:rFonts w:eastAsia="Times New Roman" w:cstheme="minorHAnsi"/>
          <w:lang w:val="en-US"/>
        </w:rPr>
        <w:t>Greatest traction was secured where investments sought to work ‘with the grain’</w:t>
      </w:r>
      <w:r w:rsidR="00AE2D78">
        <w:rPr>
          <w:rFonts w:eastAsia="Times New Roman" w:cstheme="minorHAnsi"/>
          <w:lang w:val="en-US"/>
        </w:rPr>
        <w:t xml:space="preserve"> and</w:t>
      </w:r>
      <w:r w:rsidR="00D14218">
        <w:rPr>
          <w:rFonts w:eastAsia="Times New Roman" w:cstheme="minorHAnsi"/>
          <w:lang w:val="en-US"/>
        </w:rPr>
        <w:t xml:space="preserve"> </w:t>
      </w:r>
      <w:r w:rsidRPr="008C4F66">
        <w:rPr>
          <w:rFonts w:eastAsia="Times New Roman" w:cstheme="minorHAnsi"/>
          <w:lang w:val="en-US"/>
        </w:rPr>
        <w:t>respond to emerging political and policy interests.</w:t>
      </w:r>
      <w:r w:rsidR="00D477C8">
        <w:rPr>
          <w:rFonts w:eastAsia="Times New Roman" w:cstheme="minorHAnsi"/>
          <w:lang w:val="en-US"/>
        </w:rPr>
        <w:t xml:space="preserve"> </w:t>
      </w:r>
      <w:r w:rsidR="00851FE8">
        <w:rPr>
          <w:rFonts w:eastAsia="Times New Roman" w:cstheme="minorHAnsi"/>
          <w:lang w:val="en-US"/>
        </w:rPr>
        <w:t xml:space="preserve">Activities that sought to reshape the system, </w:t>
      </w:r>
      <w:r w:rsidRPr="008C4F66">
        <w:rPr>
          <w:rFonts w:eastAsia="Times New Roman" w:cstheme="minorHAnsi"/>
          <w:lang w:val="en-US"/>
        </w:rPr>
        <w:t xml:space="preserve">such as the development of a national system of professional development, combined management of primary and junior secondary schools, or activities that sought the integration of secular and Islamic education systems, produced </w:t>
      </w:r>
      <w:r w:rsidR="00AE2D78">
        <w:rPr>
          <w:rFonts w:eastAsia="Times New Roman" w:cstheme="minorHAnsi"/>
          <w:lang w:val="en-US"/>
        </w:rPr>
        <w:t xml:space="preserve">more </w:t>
      </w:r>
      <w:r w:rsidRPr="008C4F66">
        <w:rPr>
          <w:rFonts w:eastAsia="Times New Roman" w:cstheme="minorHAnsi"/>
          <w:lang w:val="en-US"/>
        </w:rPr>
        <w:t>marginal returns.</w:t>
      </w:r>
    </w:p>
    <w:p w14:paraId="6826ACCA" w14:textId="738BED1F" w:rsidR="002C454D" w:rsidRDefault="002C454D" w:rsidP="00FA14CE">
      <w:pPr>
        <w:pStyle w:val="ListParagraph"/>
        <w:numPr>
          <w:ilvl w:val="0"/>
          <w:numId w:val="9"/>
        </w:numPr>
        <w:ind w:left="432"/>
        <w:contextualSpacing w:val="0"/>
        <w:jc w:val="both"/>
        <w:rPr>
          <w:rFonts w:asciiTheme="minorHAnsi" w:hAnsiTheme="minorHAnsi" w:cstheme="minorHAnsi"/>
        </w:rPr>
      </w:pPr>
      <w:r w:rsidRPr="008C4F66">
        <w:rPr>
          <w:rFonts w:asciiTheme="minorHAnsi" w:hAnsiTheme="minorHAnsi" w:cstheme="minorHAnsi"/>
          <w:b/>
        </w:rPr>
        <w:t>The EP successfully targeted poorer beneficiaries, but the lack of an explicit strategy to address gender and disability-related issues compromised its social inclusion credentials.</w:t>
      </w:r>
      <w:r w:rsidRPr="008C4F66">
        <w:rPr>
          <w:rFonts w:asciiTheme="minorHAnsi" w:hAnsiTheme="minorHAnsi" w:cstheme="minorHAnsi"/>
        </w:rPr>
        <w:t xml:space="preserve"> The appointment of a Social Inclusion Advisor to support Components 1-3 led to the implementation of a number of well received social inclusion activities. However, in line with GoA policy, the partnership would have benefited from a more explicit social inclusion mandate and associated strategy to which all components and managers were expected to contribute, thereby improving the ‘social inclusion dividend’ from the investment.</w:t>
      </w:r>
    </w:p>
    <w:p w14:paraId="6826ACCC" w14:textId="33518EAC" w:rsidR="002C454D" w:rsidRPr="008C4F66" w:rsidRDefault="002C454D" w:rsidP="00FA14CE">
      <w:pPr>
        <w:pStyle w:val="ListParagraph"/>
        <w:numPr>
          <w:ilvl w:val="0"/>
          <w:numId w:val="9"/>
        </w:numPr>
        <w:ind w:left="432"/>
        <w:contextualSpacing w:val="0"/>
        <w:jc w:val="both"/>
        <w:rPr>
          <w:rFonts w:asciiTheme="minorHAnsi" w:hAnsiTheme="minorHAnsi" w:cstheme="minorHAnsi"/>
        </w:rPr>
      </w:pPr>
      <w:r w:rsidRPr="008C4F66">
        <w:rPr>
          <w:rFonts w:asciiTheme="minorHAnsi" w:hAnsiTheme="minorHAnsi" w:cstheme="minorHAnsi"/>
          <w:b/>
        </w:rPr>
        <w:t xml:space="preserve">Contrary to design objectives to strengthen capacity at the sub-national level, the EP typically worked </w:t>
      </w:r>
      <w:r w:rsidRPr="008C4F66">
        <w:rPr>
          <w:rFonts w:asciiTheme="minorHAnsi" w:hAnsiTheme="minorHAnsi" w:cstheme="minorHAnsi"/>
          <w:b/>
          <w:i/>
        </w:rPr>
        <w:t>in</w:t>
      </w:r>
      <w:r w:rsidRPr="008C4F66">
        <w:rPr>
          <w:rFonts w:asciiTheme="minorHAnsi" w:hAnsiTheme="minorHAnsi" w:cstheme="minorHAnsi"/>
          <w:b/>
        </w:rPr>
        <w:t xml:space="preserve"> districts, rather than </w:t>
      </w:r>
      <w:r w:rsidRPr="008C4F66">
        <w:rPr>
          <w:rFonts w:asciiTheme="minorHAnsi" w:hAnsiTheme="minorHAnsi" w:cstheme="minorHAnsi"/>
          <w:b/>
          <w:i/>
        </w:rPr>
        <w:t>with</w:t>
      </w:r>
      <w:r w:rsidRPr="008C4F66">
        <w:rPr>
          <w:rFonts w:asciiTheme="minorHAnsi" w:hAnsiTheme="minorHAnsi" w:cstheme="minorHAnsi"/>
          <w:b/>
        </w:rPr>
        <w:t xml:space="preserve"> districts.</w:t>
      </w:r>
      <w:r w:rsidR="00E4039D">
        <w:rPr>
          <w:rFonts w:asciiTheme="minorHAnsi" w:hAnsiTheme="minorHAnsi" w:cstheme="minorHAnsi"/>
          <w:b/>
        </w:rPr>
        <w:t xml:space="preserve"> </w:t>
      </w:r>
      <w:r w:rsidR="00E4039D" w:rsidRPr="00E4039D">
        <w:rPr>
          <w:rFonts w:asciiTheme="minorHAnsi" w:hAnsiTheme="minorHAnsi" w:cstheme="minorHAnsi"/>
        </w:rPr>
        <w:t xml:space="preserve">The EP </w:t>
      </w:r>
      <w:r w:rsidR="00E4039D">
        <w:rPr>
          <w:rFonts w:asciiTheme="minorHAnsi" w:hAnsiTheme="minorHAnsi" w:cstheme="minorHAnsi"/>
        </w:rPr>
        <w:t xml:space="preserve">design </w:t>
      </w:r>
      <w:r w:rsidR="00FC6F1F">
        <w:rPr>
          <w:rFonts w:asciiTheme="minorHAnsi" w:hAnsiTheme="minorHAnsi" w:cstheme="minorHAnsi"/>
        </w:rPr>
        <w:t>reflected a scenario that</w:t>
      </w:r>
      <w:r w:rsidR="00E4039D" w:rsidRPr="00E4039D">
        <w:rPr>
          <w:rFonts w:asciiTheme="minorHAnsi" w:hAnsiTheme="minorHAnsi" w:cstheme="minorHAnsi"/>
        </w:rPr>
        <w:t xml:space="preserve"> has been termed ‘the missing middle’</w:t>
      </w:r>
      <w:r w:rsidR="00E4039D">
        <w:rPr>
          <w:rFonts w:asciiTheme="minorHAnsi" w:hAnsiTheme="minorHAnsi" w:cstheme="minorHAnsi"/>
        </w:rPr>
        <w:t xml:space="preserve"> in GoA education aid programs</w:t>
      </w:r>
      <w:r w:rsidR="00E4039D" w:rsidRPr="00E4039D">
        <w:rPr>
          <w:rFonts w:asciiTheme="minorHAnsi" w:hAnsiTheme="minorHAnsi" w:cstheme="minorHAnsi"/>
        </w:rPr>
        <w:t xml:space="preserve"> – a focus on engagement at central and school level but an absence of engagement at the district government level.</w:t>
      </w:r>
      <w:r w:rsidR="00E4039D">
        <w:rPr>
          <w:rFonts w:asciiTheme="minorHAnsi" w:hAnsiTheme="minorHAnsi" w:cstheme="minorHAnsi"/>
          <w:b/>
        </w:rPr>
        <w:t xml:space="preserve"> </w:t>
      </w:r>
      <w:r w:rsidR="00E4039D">
        <w:rPr>
          <w:rFonts w:asciiTheme="minorHAnsi" w:hAnsiTheme="minorHAnsi" w:cstheme="minorHAnsi"/>
        </w:rPr>
        <w:t>This</w:t>
      </w:r>
      <w:r w:rsidRPr="008C4F66">
        <w:rPr>
          <w:rFonts w:asciiTheme="minorHAnsi" w:hAnsiTheme="minorHAnsi" w:cstheme="minorHAnsi"/>
        </w:rPr>
        <w:t xml:space="preserve"> was contrary to the realities of decentralised decision-making in much of Indonesia’s education system. </w:t>
      </w:r>
      <w:r w:rsidRPr="008C4F66">
        <w:rPr>
          <w:rFonts w:asciiTheme="minorHAnsi" w:eastAsia="Times New Roman" w:hAnsiTheme="minorHAnsi" w:cstheme="minorHAnsi"/>
          <w:lang w:val="en-US"/>
        </w:rPr>
        <w:t xml:space="preserve">The EP provided infrastructure and support services </w:t>
      </w:r>
      <w:r w:rsidRPr="008C4F66">
        <w:rPr>
          <w:rFonts w:asciiTheme="minorHAnsi" w:eastAsia="Times New Roman" w:hAnsiTheme="minorHAnsi" w:cstheme="minorHAnsi"/>
          <w:i/>
          <w:lang w:val="en-US"/>
        </w:rPr>
        <w:t>to</w:t>
      </w:r>
      <w:r w:rsidRPr="008C4F66">
        <w:rPr>
          <w:rFonts w:asciiTheme="minorHAnsi" w:eastAsia="Times New Roman" w:hAnsiTheme="minorHAnsi" w:cstheme="minorHAnsi"/>
          <w:lang w:val="en-US"/>
        </w:rPr>
        <w:t xml:space="preserve"> districts, irrespective of whether this represented the best solution available or the potential long-term implications. </w:t>
      </w:r>
      <w:r w:rsidRPr="008C4F66">
        <w:rPr>
          <w:rFonts w:asciiTheme="minorHAnsi" w:hAnsiTheme="minorHAnsi" w:cstheme="minorHAnsi"/>
        </w:rPr>
        <w:t xml:space="preserve"> </w:t>
      </w:r>
    </w:p>
    <w:p w14:paraId="1AACE0BE" w14:textId="5085A26F" w:rsidR="00082D8B" w:rsidRDefault="00082D8B" w:rsidP="00082D8B">
      <w:pPr>
        <w:pStyle w:val="Heading2"/>
      </w:pPr>
      <w:bookmarkStart w:id="198" w:name="_Toc473786350"/>
      <w:r w:rsidRPr="00082D8B">
        <w:t>Management and Governance</w:t>
      </w:r>
      <w:bookmarkEnd w:id="198"/>
    </w:p>
    <w:p w14:paraId="6826ACDC" w14:textId="2176BF61" w:rsidR="002C454D" w:rsidRDefault="002C454D" w:rsidP="00FA14CE">
      <w:pPr>
        <w:pStyle w:val="ListParagraph"/>
        <w:numPr>
          <w:ilvl w:val="0"/>
          <w:numId w:val="10"/>
        </w:numPr>
        <w:ind w:left="432"/>
        <w:contextualSpacing w:val="0"/>
        <w:jc w:val="both"/>
        <w:rPr>
          <w:rFonts w:asciiTheme="minorHAnsi" w:hAnsiTheme="minorHAnsi" w:cstheme="minorHAnsi"/>
        </w:rPr>
      </w:pPr>
      <w:r w:rsidRPr="00F934AA">
        <w:rPr>
          <w:rFonts w:asciiTheme="minorHAnsi" w:hAnsiTheme="minorHAnsi" w:cstheme="minorHAnsi"/>
          <w:b/>
        </w:rPr>
        <w:t xml:space="preserve">GoA – AusAID, then DFAT – managed the EP appropriately and in line with the prevailing aid climate. </w:t>
      </w:r>
      <w:r w:rsidRPr="00F934AA">
        <w:rPr>
          <w:rFonts w:asciiTheme="minorHAnsi" w:hAnsiTheme="minorHAnsi" w:cstheme="minorHAnsi"/>
        </w:rPr>
        <w:t>The EP was designed (2010) and implemented for three years (2011</w:t>
      </w:r>
      <w:r w:rsidR="00D14218">
        <w:rPr>
          <w:rFonts w:asciiTheme="minorHAnsi" w:hAnsiTheme="minorHAnsi" w:cstheme="minorHAnsi"/>
        </w:rPr>
        <w:t>-</w:t>
      </w:r>
      <w:r w:rsidRPr="00F934AA">
        <w:rPr>
          <w:rFonts w:asciiTheme="minorHAnsi" w:hAnsiTheme="minorHAnsi" w:cstheme="minorHAnsi"/>
        </w:rPr>
        <w:t>13) in an aid climate that was characterised by increasing budgets and a commitment to aid and development effectiveness. In 2014</w:t>
      </w:r>
      <w:r w:rsidR="00D14218">
        <w:rPr>
          <w:rFonts w:asciiTheme="minorHAnsi" w:hAnsiTheme="minorHAnsi" w:cstheme="minorHAnsi"/>
        </w:rPr>
        <w:t>-</w:t>
      </w:r>
      <w:r w:rsidRPr="00F934AA">
        <w:rPr>
          <w:rFonts w:asciiTheme="minorHAnsi" w:hAnsiTheme="minorHAnsi" w:cstheme="minorHAnsi"/>
        </w:rPr>
        <w:t xml:space="preserve">15, EP management correctly identified the expected and actual changes to GoA’s policy and institutional priorities. The decisions to increase scrutiny of WiPS-based expenditure, to reduce Australia’s financial commitment to C1 and C2, and to cancel EPOS were correct and defensible. </w:t>
      </w:r>
    </w:p>
    <w:p w14:paraId="6826ACDE" w14:textId="2BAD58A0" w:rsidR="00C86957" w:rsidRDefault="00AE2D78" w:rsidP="00FA14CE">
      <w:pPr>
        <w:pStyle w:val="ListParagraph"/>
        <w:numPr>
          <w:ilvl w:val="0"/>
          <w:numId w:val="10"/>
        </w:numPr>
        <w:ind w:left="432"/>
        <w:contextualSpacing w:val="0"/>
        <w:jc w:val="both"/>
        <w:rPr>
          <w:rFonts w:asciiTheme="minorHAnsi" w:hAnsiTheme="minorHAnsi" w:cstheme="minorHAnsi"/>
        </w:rPr>
      </w:pPr>
      <w:r>
        <w:rPr>
          <w:rFonts w:asciiTheme="minorHAnsi" w:hAnsiTheme="minorHAnsi" w:cstheme="minorHAnsi"/>
          <w:b/>
        </w:rPr>
        <w:t>T</w:t>
      </w:r>
      <w:r w:rsidR="00C86957" w:rsidRPr="00C86957">
        <w:rPr>
          <w:rFonts w:asciiTheme="minorHAnsi" w:hAnsiTheme="minorHAnsi" w:cstheme="minorHAnsi"/>
          <w:b/>
        </w:rPr>
        <w:t>he comprehensive governance framework developed for the EP</w:t>
      </w:r>
      <w:r>
        <w:rPr>
          <w:rFonts w:asciiTheme="minorHAnsi" w:hAnsiTheme="minorHAnsi" w:cstheme="minorHAnsi"/>
          <w:b/>
        </w:rPr>
        <w:t xml:space="preserve"> did not operate as anticipated</w:t>
      </w:r>
      <w:r w:rsidR="00C86957" w:rsidRPr="00C86957">
        <w:rPr>
          <w:rFonts w:asciiTheme="minorHAnsi" w:hAnsiTheme="minorHAnsi" w:cstheme="minorHAnsi"/>
          <w:b/>
        </w:rPr>
        <w:t>.</w:t>
      </w:r>
      <w:r w:rsidR="00C86957" w:rsidRPr="00C86957">
        <w:rPr>
          <w:rFonts w:asciiTheme="minorHAnsi" w:hAnsiTheme="minorHAnsi" w:cstheme="minorHAnsi"/>
        </w:rPr>
        <w:t xml:space="preserve"> Critical program-related risks were granted insufficient attention at a governance level to allow for their mitigation. For example, risks to the sustainability of ProDEP (e.g. in terms of its affordability and future financing options) and long-standing concerns about the efficiency and sustainability of DFAT’s investment in ACDP called for governance as well as management intervention but these issues remained unresolved.</w:t>
      </w:r>
    </w:p>
    <w:p w14:paraId="6826ACE0" w14:textId="6418F00E" w:rsidR="00C86957" w:rsidRPr="00C86957" w:rsidRDefault="00C86957" w:rsidP="00FA14CE">
      <w:pPr>
        <w:pStyle w:val="ListParagraph"/>
        <w:numPr>
          <w:ilvl w:val="0"/>
          <w:numId w:val="10"/>
        </w:numPr>
        <w:ind w:left="432"/>
        <w:contextualSpacing w:val="0"/>
        <w:jc w:val="both"/>
        <w:rPr>
          <w:rFonts w:asciiTheme="minorHAnsi" w:hAnsiTheme="minorHAnsi" w:cstheme="minorHAnsi"/>
          <w:lang w:val="en-AU"/>
        </w:rPr>
      </w:pPr>
      <w:r w:rsidRPr="00C86957">
        <w:rPr>
          <w:rFonts w:asciiTheme="minorHAnsi" w:hAnsiTheme="minorHAnsi" w:cstheme="minorHAnsi"/>
          <w:b/>
          <w:lang w:val="en-US"/>
        </w:rPr>
        <w:t>The design of the EP recognized the importance of performance management to the success of the investment</w:t>
      </w:r>
      <w:r w:rsidR="00626483">
        <w:rPr>
          <w:rFonts w:asciiTheme="minorHAnsi" w:hAnsiTheme="minorHAnsi" w:cstheme="minorHAnsi"/>
          <w:b/>
          <w:lang w:val="en-US"/>
        </w:rPr>
        <w:t>.</w:t>
      </w:r>
      <w:r w:rsidRPr="00C86957">
        <w:rPr>
          <w:rFonts w:asciiTheme="minorHAnsi" w:hAnsiTheme="minorHAnsi" w:cstheme="minorHAnsi"/>
          <w:b/>
          <w:lang w:val="en-US"/>
        </w:rPr>
        <w:t xml:space="preserve"> </w:t>
      </w:r>
      <w:r w:rsidRPr="00C86957">
        <w:rPr>
          <w:rFonts w:asciiTheme="minorHAnsi" w:hAnsiTheme="minorHAnsi" w:cstheme="minorHAnsi"/>
          <w:lang w:val="en-US"/>
        </w:rPr>
        <w:t xml:space="preserve">Once established, the POM model and the associated EP Performance Management System allowed for timely information and advice relating to program performance </w:t>
      </w:r>
      <w:r w:rsidR="00626483">
        <w:rPr>
          <w:rFonts w:asciiTheme="minorHAnsi" w:hAnsiTheme="minorHAnsi" w:cstheme="minorHAnsi"/>
          <w:lang w:val="en-US"/>
        </w:rPr>
        <w:t>to be provided to EP managers. However, the absence of a mechanism for such advice to be presented at a senior governance level</w:t>
      </w:r>
      <w:r w:rsidRPr="00C86957">
        <w:rPr>
          <w:rFonts w:asciiTheme="minorHAnsi" w:hAnsiTheme="minorHAnsi" w:cstheme="minorHAnsi"/>
          <w:lang w:val="en-US"/>
        </w:rPr>
        <w:t xml:space="preserve"> </w:t>
      </w:r>
      <w:r w:rsidR="00626483">
        <w:rPr>
          <w:rFonts w:asciiTheme="minorHAnsi" w:hAnsiTheme="minorHAnsi" w:cstheme="minorHAnsi"/>
          <w:lang w:val="en-US"/>
        </w:rPr>
        <w:t xml:space="preserve">limited the </w:t>
      </w:r>
      <w:r w:rsidR="00495A18">
        <w:rPr>
          <w:rFonts w:asciiTheme="minorHAnsi" w:hAnsiTheme="minorHAnsi" w:cstheme="minorHAnsi"/>
          <w:lang w:val="en-US"/>
        </w:rPr>
        <w:t xml:space="preserve">utilization </w:t>
      </w:r>
      <w:r w:rsidR="00626483">
        <w:rPr>
          <w:rFonts w:asciiTheme="minorHAnsi" w:hAnsiTheme="minorHAnsi" w:cstheme="minorHAnsi"/>
          <w:lang w:val="en-US"/>
        </w:rPr>
        <w:t>of recommendations</w:t>
      </w:r>
    </w:p>
    <w:p w14:paraId="6826ACE2" w14:textId="39A1E082" w:rsidR="007F49EA" w:rsidRDefault="002C454D" w:rsidP="00FA14CE">
      <w:pPr>
        <w:pStyle w:val="ListParagraph"/>
        <w:numPr>
          <w:ilvl w:val="0"/>
          <w:numId w:val="10"/>
        </w:numPr>
        <w:ind w:left="432"/>
        <w:contextualSpacing w:val="0"/>
        <w:jc w:val="both"/>
        <w:rPr>
          <w:rFonts w:eastAsia="Times New Roman" w:cstheme="minorHAnsi"/>
          <w:lang w:val="en-US"/>
        </w:rPr>
      </w:pPr>
      <w:r w:rsidRPr="00F934AA">
        <w:rPr>
          <w:rFonts w:eastAsia="Times New Roman" w:cstheme="minorHAnsi"/>
          <w:b/>
          <w:lang w:val="en-US"/>
        </w:rPr>
        <w:t xml:space="preserve">Australia’s revised AUD 368.8m investment in the EP represented satisfactory value for money for both governments. </w:t>
      </w:r>
      <w:r w:rsidRPr="00F934AA">
        <w:rPr>
          <w:rFonts w:eastAsia="Times New Roman" w:cstheme="minorHAnsi"/>
          <w:lang w:val="en-US"/>
        </w:rPr>
        <w:t>Whilst most End of Partnership Outcomes were achieved, concerns about the prospects for long-term impact and sustainability necessarily limit the EP’s VFM proposition, at least in developmental terms. In relation to DFAT’s published Value for Money Principles, the EP performed well with respect to Economy and Efficiency, but less so with respect to Effectiveness and Ethics.</w:t>
      </w:r>
    </w:p>
    <w:p w14:paraId="6826ACE3" w14:textId="77777777" w:rsidR="00746498" w:rsidRPr="007F49EA" w:rsidRDefault="007F49EA" w:rsidP="007F49EA">
      <w:pPr>
        <w:spacing w:after="0" w:line="240" w:lineRule="auto"/>
        <w:rPr>
          <w:rFonts w:eastAsia="Times New Roman" w:cstheme="minorHAnsi"/>
          <w:lang w:val="en-US"/>
        </w:rPr>
      </w:pPr>
      <w:r>
        <w:rPr>
          <w:rFonts w:eastAsia="Times New Roman" w:cstheme="minorHAnsi"/>
          <w:lang w:val="en-US"/>
        </w:rPr>
        <w:br w:type="page"/>
      </w:r>
    </w:p>
    <w:p w14:paraId="6826ACE4" w14:textId="3F3CCC82" w:rsidR="00746498" w:rsidRPr="00715627" w:rsidRDefault="00746498" w:rsidP="00814EF3">
      <w:pPr>
        <w:pStyle w:val="Heading1"/>
        <w:spacing w:before="0" w:after="160" w:line="259" w:lineRule="auto"/>
      </w:pPr>
      <w:bookmarkStart w:id="199" w:name="_Toc473786351"/>
      <w:r w:rsidRPr="00715627">
        <w:t>Lessons</w:t>
      </w:r>
      <w:r w:rsidR="00ED73DD">
        <w:t>: Looking Forward</w:t>
      </w:r>
      <w:bookmarkEnd w:id="199"/>
    </w:p>
    <w:p w14:paraId="6826ACE5" w14:textId="77777777" w:rsidR="007F49EA" w:rsidRPr="00ED73DD" w:rsidRDefault="009E0CB3" w:rsidP="00082D8B">
      <w:pPr>
        <w:keepNext/>
        <w:jc w:val="both"/>
        <w:rPr>
          <w:b/>
        </w:rPr>
      </w:pPr>
      <w:r w:rsidRPr="00ED73DD">
        <w:rPr>
          <w:b/>
        </w:rPr>
        <w:t>Working Politically</w:t>
      </w:r>
    </w:p>
    <w:p w14:paraId="6826ACE6" w14:textId="6CF15A7F" w:rsidR="007F49EA" w:rsidRPr="007F49EA" w:rsidRDefault="007F49EA" w:rsidP="00082D8B">
      <w:pPr>
        <w:jc w:val="both"/>
        <w:rPr>
          <w:b/>
        </w:rPr>
      </w:pPr>
      <w:r w:rsidRPr="007F49EA">
        <w:rPr>
          <w:rFonts w:cstheme="minorHAnsi"/>
        </w:rPr>
        <w:t xml:space="preserve">A commitment to think and to work politically for the fulfilment of both development and foreign policy-related objectives requires the clear articulation of what ‘working politically’ means in practice, coupled with experienced personnel to provide leadership, management and strategic engagement throughout the life </w:t>
      </w:r>
      <w:r w:rsidRPr="005F0A1F">
        <w:rPr>
          <w:rFonts w:cstheme="minorHAnsi"/>
        </w:rPr>
        <w:t xml:space="preserve">of an investment. In the Indonesian education sector, </w:t>
      </w:r>
      <w:r w:rsidR="008C0B2B">
        <w:rPr>
          <w:rFonts w:cstheme="minorHAnsi"/>
        </w:rPr>
        <w:t xml:space="preserve">in particular, </w:t>
      </w:r>
      <w:r w:rsidR="00100C20">
        <w:rPr>
          <w:rFonts w:cstheme="minorHAnsi"/>
        </w:rPr>
        <w:t xml:space="preserve">this means a clear understanding of </w:t>
      </w:r>
      <w:r w:rsidRPr="005F0A1F">
        <w:rPr>
          <w:rFonts w:cstheme="minorHAnsi"/>
        </w:rPr>
        <w:t>ambitions in relation to activities at the central and district levels, and the appraisal of opportunities and constraints.</w:t>
      </w:r>
      <w:r w:rsidRPr="00ED73DD">
        <w:rPr>
          <w:rFonts w:cstheme="minorHAnsi"/>
          <w:i/>
        </w:rPr>
        <w:t xml:space="preserve"> </w:t>
      </w:r>
    </w:p>
    <w:p w14:paraId="6826ACE7" w14:textId="77777777" w:rsidR="009E0CB3" w:rsidRPr="007F49EA" w:rsidRDefault="009E0CB3" w:rsidP="00082D8B">
      <w:pPr>
        <w:keepNext/>
        <w:jc w:val="both"/>
        <w:rPr>
          <w:b/>
        </w:rPr>
      </w:pPr>
      <w:r w:rsidRPr="007F49EA">
        <w:rPr>
          <w:b/>
        </w:rPr>
        <w:t>Influencing Policy</w:t>
      </w:r>
    </w:p>
    <w:p w14:paraId="6826ACE8" w14:textId="77777777" w:rsidR="007F49EA" w:rsidRPr="007F49EA" w:rsidRDefault="007F49EA" w:rsidP="00082D8B">
      <w:pPr>
        <w:jc w:val="both"/>
      </w:pPr>
      <w:r w:rsidRPr="007F49EA">
        <w:rPr>
          <w:rFonts w:cstheme="minorHAnsi"/>
        </w:rPr>
        <w:t xml:space="preserve">The extent to which donors may influence policy decisions that support development outcomes may be strengthened by strategic consideration of where financing options reside. </w:t>
      </w:r>
      <w:r w:rsidRPr="005F0A1F">
        <w:rPr>
          <w:rFonts w:cstheme="minorHAnsi"/>
        </w:rPr>
        <w:t>New initiatives may benefit from an appropriate balance of engagement with functional government units that offer the flexibility to develop and trial new initiatives, and engagement with structural government units that control the budgetary resources for implementation</w:t>
      </w:r>
      <w:r w:rsidRPr="005F0A1F">
        <w:rPr>
          <w:rFonts w:cstheme="minorHAnsi"/>
          <w:b/>
        </w:rPr>
        <w:t>.</w:t>
      </w:r>
      <w:r w:rsidRPr="007F49EA">
        <w:rPr>
          <w:rFonts w:cstheme="minorHAnsi"/>
        </w:rPr>
        <w:t xml:space="preserve"> </w:t>
      </w:r>
    </w:p>
    <w:p w14:paraId="6826ACE9" w14:textId="77777777" w:rsidR="009E0CB3" w:rsidRPr="007F49EA" w:rsidRDefault="009E0CB3" w:rsidP="00082D8B">
      <w:pPr>
        <w:keepNext/>
        <w:jc w:val="both"/>
        <w:rPr>
          <w:b/>
        </w:rPr>
      </w:pPr>
      <w:r w:rsidRPr="007F49EA">
        <w:rPr>
          <w:b/>
        </w:rPr>
        <w:t>Welcoming Risk</w:t>
      </w:r>
    </w:p>
    <w:p w14:paraId="6826ACEA" w14:textId="342DBA6F" w:rsidR="007F49EA" w:rsidRDefault="007F49EA" w:rsidP="00082D8B">
      <w:pPr>
        <w:jc w:val="both"/>
        <w:rPr>
          <w:rFonts w:cstheme="minorHAnsi"/>
          <w:b/>
        </w:rPr>
      </w:pPr>
      <w:r w:rsidRPr="007F49EA">
        <w:rPr>
          <w:rFonts w:cstheme="minorHAnsi"/>
        </w:rPr>
        <w:t xml:space="preserve">Risk management frameworks must address challenges in the implementation of programs (i.e. operational issues) as well as challenges to the design of investments (i.e. substantial changes in the political-institutional context or key indicators). The size of the EP investment enabled managers to respond to contextual changes by revising key indicator targets downwards whilst remaining within the </w:t>
      </w:r>
      <w:r w:rsidR="00C35269" w:rsidRPr="007F49EA">
        <w:rPr>
          <w:rFonts w:cstheme="minorHAnsi"/>
        </w:rPr>
        <w:t>parameters</w:t>
      </w:r>
      <w:r w:rsidRPr="007F49EA">
        <w:rPr>
          <w:rFonts w:cstheme="minorHAnsi"/>
        </w:rPr>
        <w:t xml:space="preserve"> of the original program design. </w:t>
      </w:r>
      <w:r w:rsidRPr="005F0A1F">
        <w:rPr>
          <w:rFonts w:cstheme="minorHAnsi"/>
        </w:rPr>
        <w:t>Such a response may not be feasible for smaller investments that operate closer to the threshold required to stimulate GoI buy-in and create sufficient development impact.</w:t>
      </w:r>
    </w:p>
    <w:p w14:paraId="6826ACEB" w14:textId="77777777" w:rsidR="009E0CB3" w:rsidRPr="007F49EA" w:rsidRDefault="00EE2192" w:rsidP="00082D8B">
      <w:pPr>
        <w:keepNext/>
        <w:jc w:val="both"/>
        <w:rPr>
          <w:b/>
        </w:rPr>
      </w:pPr>
      <w:r w:rsidRPr="007F49EA">
        <w:rPr>
          <w:b/>
        </w:rPr>
        <w:t xml:space="preserve">Targeting </w:t>
      </w:r>
      <w:r w:rsidR="00814EF3" w:rsidRPr="007F49EA">
        <w:rPr>
          <w:b/>
        </w:rPr>
        <w:t>B</w:t>
      </w:r>
      <w:r w:rsidRPr="007F49EA">
        <w:rPr>
          <w:b/>
        </w:rPr>
        <w:t>eneficiaries</w:t>
      </w:r>
      <w:r w:rsidR="009E0CB3" w:rsidRPr="007F49EA">
        <w:rPr>
          <w:b/>
        </w:rPr>
        <w:t xml:space="preserve"> </w:t>
      </w:r>
    </w:p>
    <w:p w14:paraId="6826ACEC" w14:textId="10A75A0F" w:rsidR="009E0CB3" w:rsidRPr="007F49EA" w:rsidRDefault="009E0CB3" w:rsidP="00082D8B">
      <w:pPr>
        <w:jc w:val="both"/>
      </w:pPr>
      <w:r w:rsidRPr="007F49EA">
        <w:t>Social inclusion-related dividends do not occur by chance. For optimal results</w:t>
      </w:r>
      <w:r w:rsidR="008C0B2B">
        <w:t>,</w:t>
      </w:r>
      <w:r w:rsidRPr="007F49EA">
        <w:t xml:space="preserve"> a social inclusion strategy </w:t>
      </w:r>
      <w:r w:rsidR="00683DB0">
        <w:t xml:space="preserve">should be an integral element of program design that is sufficiently </w:t>
      </w:r>
      <w:r w:rsidR="00DE7AD2">
        <w:t>flexible</w:t>
      </w:r>
      <w:r w:rsidR="00683DB0">
        <w:t xml:space="preserve"> for adaptation to a range of contexts. DFAT’s current twin-track approach offers opportunities for both gender and disability work that the EP struggled to realise.</w:t>
      </w:r>
    </w:p>
    <w:p w14:paraId="6826ACED" w14:textId="5955F2AA" w:rsidR="009E0CB3" w:rsidRPr="007F49EA" w:rsidRDefault="009E0CB3" w:rsidP="00082D8B">
      <w:pPr>
        <w:keepNext/>
        <w:jc w:val="both"/>
        <w:rPr>
          <w:b/>
        </w:rPr>
      </w:pPr>
      <w:r w:rsidRPr="007F49EA">
        <w:rPr>
          <w:b/>
        </w:rPr>
        <w:t xml:space="preserve">Resourcing </w:t>
      </w:r>
      <w:r w:rsidR="00C35269">
        <w:rPr>
          <w:b/>
        </w:rPr>
        <w:t>A</w:t>
      </w:r>
      <w:r w:rsidRPr="007F49EA">
        <w:rPr>
          <w:b/>
        </w:rPr>
        <w:t>ppropriately</w:t>
      </w:r>
    </w:p>
    <w:p w14:paraId="6826ACEE" w14:textId="514B4264" w:rsidR="007F49EA" w:rsidRPr="007F49EA" w:rsidRDefault="007F49EA" w:rsidP="00082D8B">
      <w:pPr>
        <w:jc w:val="both"/>
        <w:rPr>
          <w:b/>
        </w:rPr>
      </w:pPr>
      <w:r w:rsidRPr="007F49EA">
        <w:t>Operating successfully in the new aid paradigm requires an abundance of skills that few teams</w:t>
      </w:r>
      <w:r w:rsidR="00C35269">
        <w:t xml:space="preserve">, </w:t>
      </w:r>
      <w:r w:rsidRPr="007F49EA">
        <w:t>let alone individuals</w:t>
      </w:r>
      <w:r w:rsidR="00C35269">
        <w:t>,</w:t>
      </w:r>
      <w:r w:rsidRPr="007F49EA">
        <w:t xml:space="preserve"> possess. Development teams need to satisfy compliance and accountability demands whilst engaging in high level dialogue with technicians, bureaucrats and politicians</w:t>
      </w:r>
      <w:r w:rsidRPr="005F0A1F">
        <w:t>. Staffing profiles suited to the delivery of programs delivered in a traditional donor-recipient environment must evolve to meet both the demands and expectations implied by a more ‘mature’ aid relationship.</w:t>
      </w:r>
    </w:p>
    <w:p w14:paraId="6826ACF1" w14:textId="77777777" w:rsidR="009E0CB3" w:rsidRPr="007F49EA" w:rsidRDefault="009E0CB3" w:rsidP="00082D8B">
      <w:pPr>
        <w:keepNext/>
        <w:jc w:val="both"/>
        <w:rPr>
          <w:b/>
        </w:rPr>
      </w:pPr>
      <w:r w:rsidRPr="007F49EA">
        <w:rPr>
          <w:b/>
        </w:rPr>
        <w:t>Choosing Partners</w:t>
      </w:r>
    </w:p>
    <w:p w14:paraId="6826ACF2" w14:textId="1C6A90AC" w:rsidR="007F49EA" w:rsidRDefault="007F49EA" w:rsidP="00082D8B">
      <w:pPr>
        <w:jc w:val="both"/>
        <w:rPr>
          <w:rFonts w:cstheme="minorHAnsi"/>
        </w:rPr>
      </w:pPr>
      <w:r w:rsidRPr="007F49EA">
        <w:rPr>
          <w:rFonts w:cstheme="minorHAnsi"/>
        </w:rPr>
        <w:t xml:space="preserve">Different types of implementing partner </w:t>
      </w:r>
      <w:r w:rsidR="00C35269">
        <w:rPr>
          <w:rFonts w:cstheme="minorHAnsi"/>
        </w:rPr>
        <w:t xml:space="preserve">(e.g. multilaterals, managing contractors, NGOs) </w:t>
      </w:r>
      <w:r w:rsidRPr="007F49EA">
        <w:rPr>
          <w:rFonts w:cstheme="minorHAnsi"/>
        </w:rPr>
        <w:t>will offer donors and their partners different value propositions.</w:t>
      </w:r>
      <w:r w:rsidR="00ED73DD" w:rsidRPr="00ED73DD">
        <w:rPr>
          <w:b/>
          <w:noProof/>
          <w:color w:val="000000"/>
        </w:rPr>
        <w:t xml:space="preserve"> </w:t>
      </w:r>
      <w:r w:rsidRPr="007F49EA">
        <w:rPr>
          <w:rFonts w:cstheme="minorHAnsi"/>
        </w:rPr>
        <w:t xml:space="preserve">As such, thought must always be given to what is expected of a partner; if the parties’ interests, motivations and incentives are duly aligned; how the implementing partner might best be managed; and what is needed (e.g. in terms of personnel) to satisfactorily manage the contract and relationship. </w:t>
      </w:r>
    </w:p>
    <w:p w14:paraId="0362AD95" w14:textId="2020C555" w:rsidR="00683DB0" w:rsidRPr="00683DB0" w:rsidRDefault="00683DB0" w:rsidP="00082D8B">
      <w:pPr>
        <w:keepNext/>
        <w:jc w:val="both"/>
        <w:rPr>
          <w:rFonts w:cstheme="minorHAnsi"/>
          <w:b/>
        </w:rPr>
      </w:pPr>
      <w:r w:rsidRPr="00683DB0">
        <w:rPr>
          <w:rFonts w:cstheme="minorHAnsi"/>
          <w:b/>
        </w:rPr>
        <w:t>Designing and Adapting to meet Existing Capacity</w:t>
      </w:r>
    </w:p>
    <w:p w14:paraId="4E7CADB5" w14:textId="50DD32AA" w:rsidR="00683DB0" w:rsidRDefault="00683DB0" w:rsidP="00082D8B">
      <w:pPr>
        <w:jc w:val="both"/>
        <w:rPr>
          <w:rFonts w:cstheme="minorHAnsi"/>
          <w:i/>
        </w:rPr>
      </w:pPr>
      <w:r>
        <w:rPr>
          <w:rFonts w:cstheme="minorHAnsi"/>
        </w:rPr>
        <w:t>The various technical products developed and delivered under the EP were of a very high quality and based on international best-practices. However, the f</w:t>
      </w:r>
      <w:r w:rsidR="00FC6F1F">
        <w:rPr>
          <w:rFonts w:cstheme="minorHAnsi"/>
        </w:rPr>
        <w:t>ragment</w:t>
      </w:r>
      <w:r w:rsidR="008C0B2B">
        <w:rPr>
          <w:rFonts w:cstheme="minorHAnsi"/>
        </w:rPr>
        <w:t>ed</w:t>
      </w:r>
      <w:r w:rsidR="00FC6F1F">
        <w:rPr>
          <w:rFonts w:cstheme="minorHAnsi"/>
        </w:rPr>
        <w:t xml:space="preserve"> nature of GoI</w:t>
      </w:r>
      <w:r>
        <w:rPr>
          <w:rFonts w:cstheme="minorHAnsi"/>
        </w:rPr>
        <w:t xml:space="preserve"> take-up for </w:t>
      </w:r>
      <w:r w:rsidR="00FC6F1F">
        <w:rPr>
          <w:rFonts w:cstheme="minorHAnsi"/>
        </w:rPr>
        <w:t xml:space="preserve">many of those </w:t>
      </w:r>
      <w:r>
        <w:rPr>
          <w:rFonts w:cstheme="minorHAnsi"/>
        </w:rPr>
        <w:t xml:space="preserve">products </w:t>
      </w:r>
      <w:r w:rsidR="00FC6F1F">
        <w:rPr>
          <w:rFonts w:cstheme="minorHAnsi"/>
        </w:rPr>
        <w:t>(e.g. training modules) suggests</w:t>
      </w:r>
      <w:r>
        <w:rPr>
          <w:rFonts w:cstheme="minorHAnsi"/>
        </w:rPr>
        <w:t xml:space="preserve"> that </w:t>
      </w:r>
      <w:r w:rsidR="00FC6F1F">
        <w:rPr>
          <w:rFonts w:cstheme="minorHAnsi"/>
        </w:rPr>
        <w:t xml:space="preserve">they may have been </w:t>
      </w:r>
      <w:r>
        <w:rPr>
          <w:rFonts w:cstheme="minorHAnsi"/>
        </w:rPr>
        <w:t>over-engineered for Indonesian needs and/or the capacity of recipient systems.</w:t>
      </w:r>
      <w:r w:rsidR="00D477C8">
        <w:rPr>
          <w:rFonts w:cstheme="minorHAnsi"/>
        </w:rPr>
        <w:t xml:space="preserve"> </w:t>
      </w:r>
    </w:p>
    <w:p w14:paraId="6826ACF3" w14:textId="4F3EDFFA" w:rsidR="00C86957" w:rsidRDefault="00C35269" w:rsidP="00C86957">
      <w:pPr>
        <w:jc w:val="both"/>
        <w:rPr>
          <w:rFonts w:eastAsia="Times New Roman" w:cstheme="minorHAnsi"/>
          <w:b/>
          <w:lang w:val="en-US"/>
        </w:rPr>
      </w:pPr>
      <w:r>
        <w:rPr>
          <w:rFonts w:eastAsia="Times New Roman" w:cstheme="minorHAnsi"/>
          <w:b/>
          <w:lang w:val="en-US"/>
        </w:rPr>
        <w:t>Maximizing</w:t>
      </w:r>
      <w:r w:rsidR="00C86957">
        <w:rPr>
          <w:rFonts w:eastAsia="Times New Roman" w:cstheme="minorHAnsi"/>
          <w:b/>
          <w:lang w:val="en-US"/>
        </w:rPr>
        <w:t xml:space="preserve"> the Use of Performance Information</w:t>
      </w:r>
    </w:p>
    <w:p w14:paraId="6826ACF4" w14:textId="4325FAAD" w:rsidR="00C86957" w:rsidRPr="00C86957" w:rsidRDefault="00C86957" w:rsidP="00082D8B">
      <w:pPr>
        <w:jc w:val="both"/>
        <w:rPr>
          <w:rFonts w:eastAsia="Times New Roman" w:cstheme="minorHAnsi"/>
          <w:lang w:val="en-US"/>
        </w:rPr>
      </w:pPr>
      <w:r>
        <w:rPr>
          <w:rFonts w:eastAsia="Times New Roman" w:cstheme="minorHAnsi"/>
          <w:lang w:val="en-US"/>
        </w:rPr>
        <w:t>The use of an independent, full-time Performance Oversight and Monitoring (POM) team was a progressive, proportionate response to the demand for performance data to inform decision-making. The impact of the POM upon the management of the EP justified its cost (</w:t>
      </w:r>
      <w:r w:rsidR="008C0B2B">
        <w:rPr>
          <w:rFonts w:eastAsia="Times New Roman" w:cstheme="minorHAnsi"/>
          <w:lang w:val="en-US"/>
        </w:rPr>
        <w:t xml:space="preserve">less than </w:t>
      </w:r>
      <w:r>
        <w:rPr>
          <w:rFonts w:eastAsia="Times New Roman" w:cstheme="minorHAnsi"/>
          <w:lang w:val="en-US"/>
        </w:rPr>
        <w:t xml:space="preserve">5% of the </w:t>
      </w:r>
      <w:r w:rsidR="008C0B2B">
        <w:rPr>
          <w:rFonts w:eastAsia="Times New Roman" w:cstheme="minorHAnsi"/>
          <w:lang w:val="en-US"/>
        </w:rPr>
        <w:t xml:space="preserve">revised </w:t>
      </w:r>
      <w:r>
        <w:rPr>
          <w:rFonts w:eastAsia="Times New Roman" w:cstheme="minorHAnsi"/>
          <w:lang w:val="en-US"/>
        </w:rPr>
        <w:t xml:space="preserve">EP budget) and the model can be adapted for further use, particularly on large-value, complex development initiatives. </w:t>
      </w:r>
    </w:p>
    <w:p w14:paraId="6826ACF5" w14:textId="77777777" w:rsidR="00814EF3" w:rsidRPr="007F49EA" w:rsidRDefault="00814EF3" w:rsidP="007F49EA">
      <w:pPr>
        <w:keepNext/>
        <w:jc w:val="both"/>
        <w:rPr>
          <w:b/>
        </w:rPr>
      </w:pPr>
      <w:r w:rsidRPr="007F49EA">
        <w:rPr>
          <w:b/>
        </w:rPr>
        <w:t>Value for Money</w:t>
      </w:r>
    </w:p>
    <w:p w14:paraId="6826ACF6" w14:textId="43B5DC4E" w:rsidR="00286ABC" w:rsidRDefault="007F49EA" w:rsidP="00082D8B">
      <w:pPr>
        <w:jc w:val="both"/>
        <w:rPr>
          <w:rFonts w:cstheme="minorHAnsi"/>
        </w:rPr>
      </w:pPr>
      <w:r w:rsidRPr="007F49EA">
        <w:rPr>
          <w:rFonts w:cstheme="minorHAnsi"/>
        </w:rPr>
        <w:t>Greatest VFM dividends are generated where investments are managed to deliver optimal effectiveness, impact and sustainability. As such, while a commitment to improving economy (or cost) and efficiency</w:t>
      </w:r>
      <w:r w:rsidRPr="00032585">
        <w:rPr>
          <w:rFonts w:cstheme="minorHAnsi"/>
        </w:rPr>
        <w:t xml:space="preserve"> is consistent with GoA policy and should not be devalued, managers must maintain the right balance of effort and attention between the different ‘Es’ and manage to an investment’s potential.</w:t>
      </w:r>
    </w:p>
    <w:p w14:paraId="32D17534" w14:textId="77777777" w:rsidR="00286ABC" w:rsidRDefault="00286ABC">
      <w:pPr>
        <w:spacing w:after="0" w:line="240" w:lineRule="auto"/>
        <w:rPr>
          <w:rFonts w:cstheme="minorHAnsi"/>
        </w:rPr>
      </w:pPr>
      <w:r>
        <w:rPr>
          <w:rFonts w:cstheme="minorHAnsi"/>
        </w:rPr>
        <w:br w:type="page"/>
      </w:r>
    </w:p>
    <w:p w14:paraId="4E7402E1" w14:textId="261DD8EB" w:rsidR="00286ABC" w:rsidRPr="00711B52" w:rsidRDefault="00286ABC" w:rsidP="00286ABC">
      <w:pPr>
        <w:pStyle w:val="Heading1"/>
      </w:pPr>
      <w:bookmarkStart w:id="200" w:name="_Toc473786352"/>
      <w:r>
        <w:t>Recommendations</w:t>
      </w:r>
      <w:bookmarkEnd w:id="200"/>
      <w:r>
        <w:t xml:space="preserve"> </w:t>
      </w:r>
    </w:p>
    <w:p w14:paraId="00A0F1EE" w14:textId="77777777" w:rsidR="00286ABC" w:rsidRPr="00BC313D" w:rsidRDefault="00286ABC" w:rsidP="00FA14CE">
      <w:pPr>
        <w:pStyle w:val="m-2838640035844025451msolistparagraph"/>
        <w:numPr>
          <w:ilvl w:val="0"/>
          <w:numId w:val="33"/>
        </w:numPr>
        <w:spacing w:before="120" w:beforeAutospacing="0" w:after="120" w:afterAutospacing="0"/>
        <w:ind w:left="450" w:hanging="450"/>
        <w:jc w:val="both"/>
        <w:rPr>
          <w:rFonts w:ascii="Calibri" w:hAnsi="Calibri"/>
          <w:sz w:val="22"/>
          <w:szCs w:val="22"/>
          <w:lang w:val="en-GB"/>
        </w:rPr>
      </w:pPr>
      <w:r w:rsidRPr="00BC313D">
        <w:rPr>
          <w:rFonts w:ascii="Calibri" w:hAnsi="Calibri"/>
          <w:sz w:val="22"/>
          <w:szCs w:val="22"/>
          <w:lang w:val="en-GB"/>
        </w:rPr>
        <w:t xml:space="preserve">DFAT should retain focus on the higher order outcomes of their investments. Whilst robust management at output level is important, management should promote flexibility and imagination during implementation in order to maintain relevance and to maximise the chances of securing higher level achievements. </w:t>
      </w:r>
    </w:p>
    <w:p w14:paraId="396DDD27" w14:textId="77777777" w:rsidR="00286ABC" w:rsidRPr="00BC313D" w:rsidRDefault="00286ABC" w:rsidP="00FA14CE">
      <w:pPr>
        <w:pStyle w:val="m-2838640035844025451msolistparagraph"/>
        <w:numPr>
          <w:ilvl w:val="0"/>
          <w:numId w:val="33"/>
        </w:numPr>
        <w:spacing w:before="120" w:beforeAutospacing="0" w:after="120" w:afterAutospacing="0"/>
        <w:ind w:left="450" w:hanging="450"/>
        <w:jc w:val="both"/>
        <w:rPr>
          <w:rFonts w:ascii="Calibri" w:hAnsi="Calibri"/>
          <w:sz w:val="22"/>
          <w:szCs w:val="22"/>
          <w:lang w:val="en-GB"/>
        </w:rPr>
      </w:pPr>
      <w:r w:rsidRPr="00BC313D">
        <w:rPr>
          <w:rFonts w:ascii="Calibri" w:hAnsi="Calibri"/>
          <w:sz w:val="22"/>
          <w:szCs w:val="22"/>
          <w:lang w:val="en-GB"/>
        </w:rPr>
        <w:t xml:space="preserve">DFAT should resource its staffing in line with the demands of the new aid environment and upskill current staff in broader development skills such as public diplomacy, strategic engagement and private sector development. </w:t>
      </w:r>
    </w:p>
    <w:p w14:paraId="46C9E2A8" w14:textId="77777777" w:rsidR="00286ABC" w:rsidRPr="00BC313D" w:rsidRDefault="00286ABC" w:rsidP="00FA14CE">
      <w:pPr>
        <w:pStyle w:val="m-2838640035844025451msolistparagraph"/>
        <w:numPr>
          <w:ilvl w:val="0"/>
          <w:numId w:val="33"/>
        </w:numPr>
        <w:spacing w:before="120" w:beforeAutospacing="0" w:after="120" w:afterAutospacing="0"/>
        <w:ind w:left="450" w:hanging="450"/>
        <w:jc w:val="both"/>
        <w:rPr>
          <w:rFonts w:ascii="Calibri" w:hAnsi="Calibri"/>
          <w:sz w:val="22"/>
          <w:szCs w:val="22"/>
          <w:lang w:val="en-GB"/>
        </w:rPr>
      </w:pPr>
      <w:r w:rsidRPr="00BC313D">
        <w:rPr>
          <w:rFonts w:ascii="Calibri" w:hAnsi="Calibri"/>
          <w:sz w:val="22"/>
          <w:szCs w:val="22"/>
          <w:lang w:val="en-GB"/>
        </w:rPr>
        <w:t xml:space="preserve">DFAT should capitalise upon the broader range of development skills on offer in their less traditional partners (the private sector and non-government actors) and, in so doing,  promote a more holistic and innovative approach to managing development.  </w:t>
      </w:r>
    </w:p>
    <w:p w14:paraId="4A0922E5" w14:textId="77777777" w:rsidR="00286ABC" w:rsidRPr="00BC313D" w:rsidRDefault="00286ABC" w:rsidP="00FA14CE">
      <w:pPr>
        <w:pStyle w:val="m-2838640035844025451msolistparagraph"/>
        <w:numPr>
          <w:ilvl w:val="0"/>
          <w:numId w:val="33"/>
        </w:numPr>
        <w:spacing w:before="120" w:beforeAutospacing="0" w:after="120" w:afterAutospacing="0"/>
        <w:ind w:left="450" w:hanging="450"/>
        <w:jc w:val="both"/>
        <w:rPr>
          <w:rFonts w:ascii="Calibri" w:hAnsi="Calibri"/>
          <w:sz w:val="22"/>
          <w:szCs w:val="22"/>
          <w:lang w:val="en-GB"/>
        </w:rPr>
      </w:pPr>
      <w:r w:rsidRPr="00BC313D">
        <w:rPr>
          <w:rFonts w:ascii="Calibri" w:hAnsi="Calibri"/>
          <w:sz w:val="22"/>
          <w:szCs w:val="22"/>
        </w:rPr>
        <w:t xml:space="preserve">DFAT should ensure that its risk management practices place sufficient attention on the opportunities and constraints posed by changes in the political-institutional environment within which programs are implemented such that the impact, relevance and sustainability of Australian investments can be maximised. </w:t>
      </w:r>
    </w:p>
    <w:p w14:paraId="348BC034" w14:textId="77777777" w:rsidR="00286ABC" w:rsidRPr="00BC313D" w:rsidRDefault="00286ABC" w:rsidP="00FA14CE">
      <w:pPr>
        <w:pStyle w:val="m-2838640035844025451msolistparagraph"/>
        <w:numPr>
          <w:ilvl w:val="0"/>
          <w:numId w:val="33"/>
        </w:numPr>
        <w:spacing w:before="120" w:beforeAutospacing="0" w:after="120" w:afterAutospacing="0"/>
        <w:ind w:left="450" w:hanging="450"/>
        <w:jc w:val="both"/>
        <w:rPr>
          <w:rFonts w:asciiTheme="minorHAnsi" w:hAnsiTheme="minorHAnsi" w:cstheme="minorHAnsi"/>
          <w:sz w:val="22"/>
          <w:szCs w:val="22"/>
        </w:rPr>
      </w:pPr>
      <w:r w:rsidRPr="00BC313D">
        <w:rPr>
          <w:rFonts w:ascii="Calibri" w:hAnsi="Calibri"/>
          <w:sz w:val="22"/>
          <w:szCs w:val="22"/>
          <w:lang w:val="en-GB"/>
        </w:rPr>
        <w:t xml:space="preserve">DFAT should consider reviewing and, where required, updating the governance arrangements to its aid programs to better reflect the maturing of government-to-government relationships, to take advantage of regular performance information, and to promote responsive and adaptive management. </w:t>
      </w:r>
    </w:p>
    <w:p w14:paraId="640B4136" w14:textId="7059554B" w:rsidR="00286ABC" w:rsidRPr="00BC313D" w:rsidRDefault="00286ABC" w:rsidP="00FA14CE">
      <w:pPr>
        <w:pStyle w:val="m-2838640035844025451msolistparagraph"/>
        <w:numPr>
          <w:ilvl w:val="0"/>
          <w:numId w:val="33"/>
        </w:numPr>
        <w:spacing w:before="120" w:beforeAutospacing="0" w:after="120" w:afterAutospacing="0"/>
        <w:ind w:left="450" w:hanging="450"/>
        <w:jc w:val="both"/>
        <w:rPr>
          <w:rFonts w:asciiTheme="minorHAnsi" w:hAnsiTheme="minorHAnsi" w:cstheme="minorHAnsi"/>
          <w:sz w:val="22"/>
          <w:szCs w:val="22"/>
        </w:rPr>
      </w:pPr>
      <w:r w:rsidRPr="00BC313D">
        <w:rPr>
          <w:rFonts w:ascii="Calibri" w:hAnsi="Calibri"/>
          <w:sz w:val="22"/>
          <w:szCs w:val="22"/>
          <w:lang w:val="en-GB"/>
        </w:rPr>
        <w:t>DFAT should manage their investments to secure benefits for less advantaged or marginalised groups in line with stated policy. Where an investment (or activity) does not have an explicit social inclusion focus, the relevant partner should be required to justify that exclusion.</w:t>
      </w:r>
    </w:p>
    <w:p w14:paraId="6826ACFB" w14:textId="2545CE6E" w:rsidR="00CF4D20" w:rsidRDefault="00CF4D20">
      <w:pPr>
        <w:spacing w:after="0" w:line="240" w:lineRule="auto"/>
      </w:pPr>
      <w:r>
        <w:br w:type="page"/>
      </w:r>
    </w:p>
    <w:p w14:paraId="020D1E51" w14:textId="77777777" w:rsidR="00F300B3" w:rsidRPr="00851EC7" w:rsidRDefault="00F300B3" w:rsidP="00F300B3"/>
    <w:p w14:paraId="6826ACFC" w14:textId="77777777" w:rsidR="00F300B3" w:rsidRPr="00851EC7" w:rsidRDefault="00F300B3" w:rsidP="00F300B3">
      <w:pPr>
        <w:sectPr w:rsidR="00F300B3" w:rsidRPr="00851EC7" w:rsidSect="00CF4D20">
          <w:pgSz w:w="11909" w:h="16834" w:code="9"/>
          <w:pgMar w:top="1440" w:right="994" w:bottom="1440" w:left="1440" w:header="432" w:footer="720" w:gutter="0"/>
          <w:cols w:space="720"/>
          <w:docGrid w:linePitch="360"/>
        </w:sectPr>
      </w:pPr>
    </w:p>
    <w:p w14:paraId="6826ACFD" w14:textId="77777777" w:rsidR="00F300B3" w:rsidRPr="00851EC7" w:rsidRDefault="00006A84" w:rsidP="00F300B3">
      <w:pPr>
        <w:pStyle w:val="DividerStyle"/>
      </w:pPr>
      <w:r>
        <w:rPr>
          <w:noProof/>
          <w:lang w:eastAsia="en-AU"/>
        </w:rPr>
        <w:drawing>
          <wp:anchor distT="0" distB="0" distL="114300" distR="114300" simplePos="0" relativeHeight="251655168" behindDoc="0" locked="1" layoutInCell="0" allowOverlap="1" wp14:anchorId="6826ADEA" wp14:editId="4B97EF2D">
            <wp:simplePos x="0" y="0"/>
            <wp:positionH relativeFrom="column">
              <wp:posOffset>-714375</wp:posOffset>
            </wp:positionH>
            <wp:positionV relativeFrom="page">
              <wp:posOffset>9959340</wp:posOffset>
            </wp:positionV>
            <wp:extent cx="7086600" cy="4019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192" behindDoc="0" locked="1" layoutInCell="0" allowOverlap="1" wp14:anchorId="6826ADEC" wp14:editId="1EBF6F89">
            <wp:simplePos x="0" y="0"/>
            <wp:positionH relativeFrom="column">
              <wp:posOffset>3299460</wp:posOffset>
            </wp:positionH>
            <wp:positionV relativeFrom="page">
              <wp:posOffset>4949825</wp:posOffset>
            </wp:positionV>
            <wp:extent cx="3721100" cy="219075"/>
            <wp:effectExtent l="0" t="0" r="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3120" behindDoc="1" locked="1" layoutInCell="1" allowOverlap="1" wp14:anchorId="6826ADEE" wp14:editId="31269A9C">
                <wp:simplePos x="0" y="0"/>
                <wp:positionH relativeFrom="column">
                  <wp:posOffset>-914400</wp:posOffset>
                </wp:positionH>
                <wp:positionV relativeFrom="page">
                  <wp:posOffset>0</wp:posOffset>
                </wp:positionV>
                <wp:extent cx="7790180" cy="10713085"/>
                <wp:effectExtent l="0" t="0" r="127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180" cy="10713085"/>
                        </a:xfrm>
                        <a:prstGeom prst="rect">
                          <a:avLst/>
                        </a:prstGeom>
                        <a:solidFill>
                          <a:srgbClr val="68BAD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6EA55" id="Rectangle 37" o:spid="_x0000_s1026" style="position:absolute;margin-left:-1in;margin-top:0;width:613.4pt;height:84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" fillcolor="#68bad6" stroked="f" strokeweight="2pt">
                <v:path arrowok="t"/>
                <w10:wrap anchory="page"/>
                <w10:anchorlock/>
              </v:rect>
            </w:pict>
          </mc:Fallback>
        </mc:AlternateContent>
      </w:r>
    </w:p>
    <w:p w14:paraId="6826ACFE" w14:textId="77777777" w:rsidR="00F300B3" w:rsidRPr="00851EC7" w:rsidRDefault="00F300B3" w:rsidP="00F300B3">
      <w:pPr>
        <w:pStyle w:val="DividerStyle"/>
      </w:pPr>
    </w:p>
    <w:p w14:paraId="6826ACFF" w14:textId="77777777" w:rsidR="00F300B3" w:rsidRPr="00851EC7" w:rsidRDefault="00F300B3" w:rsidP="00F300B3">
      <w:pPr>
        <w:pStyle w:val="DividerStyle"/>
      </w:pPr>
    </w:p>
    <w:p w14:paraId="6826AD00" w14:textId="77777777" w:rsidR="00F300B3" w:rsidRPr="00851EC7" w:rsidRDefault="00F300B3" w:rsidP="00F300B3">
      <w:pPr>
        <w:pStyle w:val="DividerStyle"/>
      </w:pPr>
    </w:p>
    <w:p w14:paraId="6826AD01" w14:textId="77777777" w:rsidR="00F300B3" w:rsidRPr="00851EC7" w:rsidRDefault="00F300B3" w:rsidP="00F300B3">
      <w:pPr>
        <w:pStyle w:val="DividerStyle"/>
      </w:pPr>
    </w:p>
    <w:p w14:paraId="6826AD02" w14:textId="77777777" w:rsidR="00F300B3" w:rsidRDefault="00F300B3" w:rsidP="00F300B3">
      <w:pPr>
        <w:pStyle w:val="DividerStyle"/>
      </w:pPr>
    </w:p>
    <w:p w14:paraId="6826AD03" w14:textId="77777777" w:rsidR="00F300B3" w:rsidRPr="00851EC7" w:rsidRDefault="00F300B3" w:rsidP="00F300B3">
      <w:pPr>
        <w:pStyle w:val="DividerStyle"/>
      </w:pPr>
    </w:p>
    <w:p w14:paraId="6826AD04" w14:textId="77777777" w:rsidR="00F300B3" w:rsidRPr="00851EC7" w:rsidRDefault="00F300B3" w:rsidP="00F300B3">
      <w:pPr>
        <w:pStyle w:val="DividerStyle"/>
      </w:pPr>
    </w:p>
    <w:p w14:paraId="6826AD05" w14:textId="77777777" w:rsidR="00F300B3" w:rsidRPr="00851EC7" w:rsidRDefault="00F300B3" w:rsidP="00F300B3">
      <w:pPr>
        <w:pStyle w:val="DividerStyle"/>
      </w:pPr>
    </w:p>
    <w:p w14:paraId="6826AD06" w14:textId="77777777" w:rsidR="00F300B3" w:rsidRPr="00851EC7" w:rsidRDefault="00F300B3" w:rsidP="00F300B3">
      <w:pPr>
        <w:pStyle w:val="DividerStyle"/>
      </w:pPr>
    </w:p>
    <w:p w14:paraId="6826AD07" w14:textId="77777777" w:rsidR="00F300B3" w:rsidRPr="00851EC7" w:rsidRDefault="00F300B3" w:rsidP="00F300B3">
      <w:pPr>
        <w:pStyle w:val="DividerStyle"/>
      </w:pPr>
    </w:p>
    <w:p w14:paraId="6826AD08" w14:textId="77777777" w:rsidR="00F300B3" w:rsidRPr="00851EC7" w:rsidRDefault="00F300B3" w:rsidP="00F300B3">
      <w:pPr>
        <w:pStyle w:val="DividerStyle"/>
        <w:rPr>
          <w:szCs w:val="20"/>
        </w:rPr>
      </w:pPr>
      <w:r w:rsidRPr="00851EC7">
        <w:t>Annexes</w:t>
      </w:r>
    </w:p>
    <w:p w14:paraId="6826AD09" w14:textId="77777777" w:rsidR="00F300B3" w:rsidRPr="00851EC7" w:rsidRDefault="00F300B3" w:rsidP="00F300B3">
      <w:pPr>
        <w:sectPr w:rsidR="00F300B3" w:rsidRPr="00851EC7" w:rsidSect="00D462BE">
          <w:headerReference w:type="default" r:id="rId19"/>
          <w:type w:val="oddPage"/>
          <w:pgSz w:w="11907" w:h="16839" w:code="9"/>
          <w:pgMar w:top="1712" w:right="1440" w:bottom="1440" w:left="1440" w:header="720" w:footer="720" w:gutter="0"/>
          <w:cols w:space="720"/>
          <w:docGrid w:linePitch="360"/>
        </w:sectPr>
      </w:pPr>
    </w:p>
    <w:p w14:paraId="6826AD0A" w14:textId="3CAFF58B" w:rsidR="00F300B3" w:rsidRPr="003B7087" w:rsidRDefault="000B68D8" w:rsidP="00DD4E1B">
      <w:pPr>
        <w:jc w:val="center"/>
      </w:pPr>
      <w:bookmarkStart w:id="201" w:name="_Toc379548513"/>
      <w:bookmarkStart w:id="202" w:name="_Toc448156331"/>
      <w:r>
        <w:rPr>
          <w:b/>
          <w:sz w:val="28"/>
          <w:szCs w:val="28"/>
        </w:rPr>
        <w:t xml:space="preserve">Annex </w:t>
      </w:r>
      <w:r w:rsidR="00525F41">
        <w:rPr>
          <w:b/>
          <w:sz w:val="28"/>
          <w:szCs w:val="28"/>
        </w:rPr>
        <w:t>I</w:t>
      </w:r>
      <w:r>
        <w:rPr>
          <w:b/>
          <w:sz w:val="28"/>
          <w:szCs w:val="28"/>
        </w:rPr>
        <w:t xml:space="preserve">: </w:t>
      </w:r>
      <w:r w:rsidR="00F300B3" w:rsidRPr="00715627">
        <w:rPr>
          <w:b/>
          <w:sz w:val="28"/>
          <w:szCs w:val="28"/>
        </w:rPr>
        <w:t>EP Logic Architecture</w:t>
      </w:r>
      <w:bookmarkEnd w:id="201"/>
      <w:bookmarkEnd w:id="202"/>
      <w:r w:rsidR="00FE569C">
        <w:rPr>
          <w:b/>
          <w:sz w:val="28"/>
          <w:szCs w:val="28"/>
        </w:rPr>
        <w:t xml:space="preserve"> (updated March 2014 version)</w:t>
      </w:r>
    </w:p>
    <w:p w14:paraId="6826AD0B" w14:textId="77777777" w:rsidR="00F300B3" w:rsidRPr="00851EC7" w:rsidRDefault="00006A84" w:rsidP="00F300B3">
      <w:pPr>
        <w:jc w:val="center"/>
      </w:pPr>
      <w:r>
        <w:rPr>
          <w:noProof/>
          <w:lang w:val="en-AU" w:eastAsia="en-AU"/>
        </w:rPr>
        <w:drawing>
          <wp:inline distT="0" distB="0" distL="0" distR="0" wp14:anchorId="6826ADF0" wp14:editId="6826ADF1">
            <wp:extent cx="7439025" cy="5238750"/>
            <wp:effectExtent l="0" t="0" r="9525"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39025" cy="5238750"/>
                    </a:xfrm>
                    <a:prstGeom prst="rect">
                      <a:avLst/>
                    </a:prstGeom>
                    <a:noFill/>
                    <a:ln>
                      <a:noFill/>
                    </a:ln>
                  </pic:spPr>
                </pic:pic>
              </a:graphicData>
            </a:graphic>
          </wp:inline>
        </w:drawing>
      </w:r>
      <w:r w:rsidR="00F300B3" w:rsidRPr="00851EC7">
        <w:br w:type="page"/>
      </w:r>
    </w:p>
    <w:p w14:paraId="6826AD0C" w14:textId="77777777" w:rsidR="007E7D36" w:rsidRDefault="007E7D36" w:rsidP="00F300B3">
      <w:pPr>
        <w:rPr>
          <w:b/>
          <w:sz w:val="28"/>
          <w:szCs w:val="28"/>
        </w:rPr>
        <w:sectPr w:rsidR="007E7D36" w:rsidSect="00F9621D">
          <w:pgSz w:w="16838" w:h="11906" w:orient="landscape"/>
          <w:pgMar w:top="1440" w:right="1440" w:bottom="1440" w:left="1440" w:header="709" w:footer="709" w:gutter="0"/>
          <w:cols w:space="708"/>
          <w:docGrid w:linePitch="360"/>
        </w:sectPr>
      </w:pPr>
      <w:bookmarkStart w:id="203" w:name="_Toc448156332"/>
    </w:p>
    <w:p w14:paraId="6826AD0D" w14:textId="456BA7FE" w:rsidR="000B68D8" w:rsidRPr="007B5FF8" w:rsidRDefault="000B68D8" w:rsidP="00DD4E1B">
      <w:pPr>
        <w:jc w:val="center"/>
        <w:rPr>
          <w:b/>
          <w:sz w:val="28"/>
          <w:szCs w:val="28"/>
        </w:rPr>
      </w:pPr>
      <w:r w:rsidRPr="007B5FF8">
        <w:rPr>
          <w:b/>
          <w:sz w:val="28"/>
          <w:szCs w:val="28"/>
        </w:rPr>
        <w:t>Annex I</w:t>
      </w:r>
      <w:r w:rsidR="00525F41">
        <w:rPr>
          <w:b/>
          <w:sz w:val="28"/>
          <w:szCs w:val="28"/>
        </w:rPr>
        <w:t>I</w:t>
      </w:r>
      <w:r w:rsidRPr="007B5FF8">
        <w:rPr>
          <w:b/>
          <w:sz w:val="28"/>
          <w:szCs w:val="28"/>
        </w:rPr>
        <w:t xml:space="preserve">: </w:t>
      </w:r>
      <w:r>
        <w:rPr>
          <w:b/>
          <w:sz w:val="28"/>
          <w:szCs w:val="28"/>
        </w:rPr>
        <w:t>EP Component APPR Ratings</w:t>
      </w:r>
    </w:p>
    <w:p w14:paraId="6826AD0E" w14:textId="77777777" w:rsidR="00B80383" w:rsidRDefault="00B80383" w:rsidP="00B80383">
      <w:pPr>
        <w:keepNext/>
        <w:spacing w:before="120" w:after="120" w:line="276" w:lineRule="auto"/>
        <w:ind w:left="86" w:right="43"/>
        <w:jc w:val="center"/>
        <w:rPr>
          <w:rFonts w:eastAsia="Times New Roman" w:cs="Calibri"/>
          <w:b/>
          <w:bCs/>
          <w:iCs/>
          <w:lang w:val="en-AU"/>
        </w:rPr>
      </w:pPr>
    </w:p>
    <w:p w14:paraId="6826AD0F" w14:textId="77777777" w:rsidR="00C1455E" w:rsidRPr="00B80383" w:rsidRDefault="00C1455E" w:rsidP="00B80383">
      <w:pPr>
        <w:keepNext/>
        <w:spacing w:before="120" w:after="120" w:line="276" w:lineRule="auto"/>
        <w:ind w:left="86" w:right="43"/>
        <w:jc w:val="center"/>
        <w:rPr>
          <w:rFonts w:eastAsia="Times New Roman" w:cs="Calibri"/>
          <w:b/>
          <w:bCs/>
          <w:iCs/>
          <w:lang w:val="en-AU"/>
        </w:rPr>
      </w:pPr>
      <w:r>
        <w:rPr>
          <w:b/>
          <w:sz w:val="28"/>
          <w:szCs w:val="28"/>
        </w:rPr>
        <w:t xml:space="preserve">Ratings by Year </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788"/>
        <w:gridCol w:w="762"/>
        <w:gridCol w:w="791"/>
        <w:gridCol w:w="757"/>
        <w:gridCol w:w="778"/>
        <w:gridCol w:w="858"/>
        <w:gridCol w:w="807"/>
        <w:gridCol w:w="760"/>
        <w:gridCol w:w="765"/>
        <w:gridCol w:w="791"/>
        <w:gridCol w:w="763"/>
        <w:gridCol w:w="782"/>
        <w:gridCol w:w="892"/>
        <w:gridCol w:w="892"/>
        <w:gridCol w:w="889"/>
      </w:tblGrid>
      <w:tr w:rsidR="003B2AF3" w:rsidRPr="005540B8" w14:paraId="6826AD16" w14:textId="77777777" w:rsidTr="005540B8">
        <w:trPr>
          <w:trHeight w:val="593"/>
          <w:jc w:val="center"/>
        </w:trPr>
        <w:tc>
          <w:tcPr>
            <w:tcW w:w="1087" w:type="dxa"/>
            <w:vMerge w:val="restart"/>
            <w:tcBorders>
              <w:right w:val="single" w:sz="18" w:space="0" w:color="auto"/>
            </w:tcBorders>
            <w:shd w:val="clear" w:color="auto" w:fill="1F4E79"/>
            <w:vAlign w:val="center"/>
          </w:tcPr>
          <w:p w14:paraId="6826AD10" w14:textId="77777777" w:rsidR="00B80383" w:rsidRPr="005540B8" w:rsidRDefault="00B80383" w:rsidP="005540B8">
            <w:pPr>
              <w:spacing w:before="120" w:after="120" w:line="276" w:lineRule="auto"/>
              <w:jc w:val="center"/>
              <w:rPr>
                <w:rFonts w:eastAsia="Times New Roman" w:cs="Calibri"/>
                <w:b/>
                <w:color w:val="FFFFFF"/>
                <w:lang w:val="en-AU"/>
              </w:rPr>
            </w:pPr>
            <w:r w:rsidRPr="005540B8">
              <w:rPr>
                <w:rFonts w:eastAsia="Times New Roman" w:cs="Calibri"/>
                <w:b/>
                <w:color w:val="FFFFFF"/>
                <w:lang w:val="en-AU"/>
              </w:rPr>
              <w:t>DAC Criterion</w:t>
            </w:r>
          </w:p>
        </w:tc>
        <w:tc>
          <w:tcPr>
            <w:tcW w:w="1551" w:type="dxa"/>
            <w:gridSpan w:val="3"/>
            <w:tcBorders>
              <w:top w:val="single" w:sz="8" w:space="0" w:color="auto"/>
              <w:left w:val="single" w:sz="18" w:space="0" w:color="auto"/>
              <w:bottom w:val="single" w:sz="8" w:space="0" w:color="auto"/>
              <w:right w:val="single" w:sz="18" w:space="0" w:color="auto"/>
            </w:tcBorders>
            <w:shd w:val="clear" w:color="auto" w:fill="1F4E79"/>
            <w:vAlign w:val="center"/>
          </w:tcPr>
          <w:p w14:paraId="6826AD11" w14:textId="77777777" w:rsidR="00B80383" w:rsidRPr="005540B8" w:rsidRDefault="00B80383" w:rsidP="005540B8">
            <w:pPr>
              <w:spacing w:before="120" w:after="120" w:line="276" w:lineRule="auto"/>
              <w:jc w:val="center"/>
              <w:rPr>
                <w:rFonts w:eastAsia="Times New Roman" w:cs="Calibri"/>
                <w:b/>
                <w:color w:val="FFFFFF"/>
                <w:lang w:val="en-AU"/>
              </w:rPr>
            </w:pPr>
            <w:r w:rsidRPr="005540B8">
              <w:rPr>
                <w:rFonts w:eastAsia="Times New Roman" w:cs="Calibri"/>
                <w:b/>
                <w:color w:val="FFFFFF"/>
                <w:lang w:val="en-AU"/>
              </w:rPr>
              <w:t>C1 Score</w:t>
            </w:r>
          </w:p>
        </w:tc>
        <w:tc>
          <w:tcPr>
            <w:tcW w:w="1587" w:type="dxa"/>
            <w:gridSpan w:val="3"/>
            <w:tcBorders>
              <w:top w:val="single" w:sz="8" w:space="0" w:color="auto"/>
              <w:left w:val="single" w:sz="18" w:space="0" w:color="auto"/>
              <w:bottom w:val="single" w:sz="8" w:space="0" w:color="auto"/>
              <w:right w:val="single" w:sz="18" w:space="0" w:color="auto"/>
            </w:tcBorders>
            <w:shd w:val="clear" w:color="auto" w:fill="1F4E79"/>
            <w:vAlign w:val="center"/>
          </w:tcPr>
          <w:p w14:paraId="6826AD12" w14:textId="77777777" w:rsidR="00B80383" w:rsidRPr="005540B8" w:rsidRDefault="00B80383" w:rsidP="005540B8">
            <w:pPr>
              <w:spacing w:before="120" w:after="120" w:line="276" w:lineRule="auto"/>
              <w:jc w:val="center"/>
              <w:rPr>
                <w:rFonts w:eastAsia="Times New Roman" w:cs="Calibri"/>
                <w:b/>
                <w:color w:val="FFFFFF"/>
                <w:lang w:val="en-AU"/>
              </w:rPr>
            </w:pPr>
            <w:r w:rsidRPr="005540B8">
              <w:rPr>
                <w:rFonts w:eastAsia="Times New Roman" w:cs="Calibri"/>
                <w:b/>
                <w:color w:val="FFFFFF"/>
                <w:lang w:val="en-AU"/>
              </w:rPr>
              <w:t>C2 Score</w:t>
            </w:r>
          </w:p>
        </w:tc>
        <w:tc>
          <w:tcPr>
            <w:tcW w:w="1546" w:type="dxa"/>
            <w:gridSpan w:val="3"/>
            <w:tcBorders>
              <w:top w:val="single" w:sz="8" w:space="0" w:color="auto"/>
              <w:left w:val="single" w:sz="18" w:space="0" w:color="auto"/>
              <w:bottom w:val="single" w:sz="8" w:space="0" w:color="auto"/>
              <w:right w:val="single" w:sz="18" w:space="0" w:color="auto"/>
            </w:tcBorders>
            <w:shd w:val="clear" w:color="auto" w:fill="1F4E79"/>
            <w:vAlign w:val="center"/>
          </w:tcPr>
          <w:p w14:paraId="6826AD13" w14:textId="77777777" w:rsidR="00B80383" w:rsidRPr="005540B8" w:rsidRDefault="00B80383" w:rsidP="005540B8">
            <w:pPr>
              <w:spacing w:before="120" w:after="120" w:line="276" w:lineRule="auto"/>
              <w:jc w:val="center"/>
              <w:rPr>
                <w:rFonts w:eastAsia="Times New Roman" w:cs="Calibri"/>
                <w:b/>
                <w:color w:val="FFFFFF"/>
                <w:lang w:val="en-AU"/>
              </w:rPr>
            </w:pPr>
            <w:r w:rsidRPr="005540B8">
              <w:rPr>
                <w:rFonts w:eastAsia="Times New Roman" w:cs="Calibri"/>
                <w:b/>
                <w:color w:val="FFFFFF"/>
                <w:lang w:val="en-AU"/>
              </w:rPr>
              <w:t>C3 Score</w:t>
            </w:r>
          </w:p>
        </w:tc>
        <w:tc>
          <w:tcPr>
            <w:tcW w:w="1548" w:type="dxa"/>
            <w:gridSpan w:val="3"/>
            <w:tcBorders>
              <w:top w:val="single" w:sz="8" w:space="0" w:color="auto"/>
              <w:left w:val="single" w:sz="18" w:space="0" w:color="auto"/>
              <w:bottom w:val="single" w:sz="8" w:space="0" w:color="auto"/>
              <w:right w:val="single" w:sz="18" w:space="0" w:color="auto"/>
            </w:tcBorders>
            <w:shd w:val="clear" w:color="auto" w:fill="1F4E79"/>
            <w:vAlign w:val="center"/>
          </w:tcPr>
          <w:p w14:paraId="6826AD14" w14:textId="77777777" w:rsidR="00B80383" w:rsidRPr="005540B8" w:rsidRDefault="00B80383" w:rsidP="005540B8">
            <w:pPr>
              <w:spacing w:before="120" w:after="120" w:line="276" w:lineRule="auto"/>
              <w:jc w:val="center"/>
              <w:rPr>
                <w:rFonts w:eastAsia="Times New Roman" w:cs="Calibri"/>
                <w:b/>
                <w:color w:val="FFFFFF"/>
                <w:lang w:val="en-AU"/>
              </w:rPr>
            </w:pPr>
            <w:r w:rsidRPr="005540B8">
              <w:rPr>
                <w:rFonts w:eastAsia="Times New Roman" w:cs="Calibri"/>
                <w:b/>
                <w:color w:val="FFFFFF"/>
                <w:lang w:val="en-AU"/>
              </w:rPr>
              <w:t>C4 Score</w:t>
            </w:r>
          </w:p>
        </w:tc>
        <w:tc>
          <w:tcPr>
            <w:tcW w:w="1771" w:type="dxa"/>
            <w:gridSpan w:val="3"/>
            <w:tcBorders>
              <w:left w:val="single" w:sz="18" w:space="0" w:color="auto"/>
            </w:tcBorders>
            <w:shd w:val="clear" w:color="auto" w:fill="1F4E79"/>
            <w:vAlign w:val="center"/>
          </w:tcPr>
          <w:p w14:paraId="6826AD15" w14:textId="77777777" w:rsidR="00B80383" w:rsidRPr="005540B8" w:rsidRDefault="00B80383" w:rsidP="005540B8">
            <w:pPr>
              <w:spacing w:before="120" w:after="120" w:line="276" w:lineRule="auto"/>
              <w:jc w:val="center"/>
              <w:rPr>
                <w:rFonts w:eastAsia="Times New Roman" w:cs="Calibri"/>
                <w:b/>
                <w:color w:val="FFFFFF"/>
                <w:lang w:val="en-AU"/>
              </w:rPr>
            </w:pPr>
            <w:r w:rsidRPr="005540B8">
              <w:rPr>
                <w:rFonts w:eastAsia="Times New Roman" w:cs="Calibri"/>
                <w:b/>
                <w:color w:val="FFFFFF"/>
                <w:lang w:val="en-AU"/>
              </w:rPr>
              <w:t>Mean EP Score</w:t>
            </w:r>
          </w:p>
        </w:tc>
      </w:tr>
      <w:tr w:rsidR="003B2AF3" w:rsidRPr="005540B8" w14:paraId="6826AD27" w14:textId="77777777" w:rsidTr="005540B8">
        <w:trPr>
          <w:trHeight w:val="593"/>
          <w:jc w:val="center"/>
        </w:trPr>
        <w:tc>
          <w:tcPr>
            <w:tcW w:w="1087" w:type="dxa"/>
            <w:vMerge/>
            <w:tcBorders>
              <w:bottom w:val="single" w:sz="4" w:space="0" w:color="auto"/>
              <w:right w:val="single" w:sz="18" w:space="0" w:color="auto"/>
            </w:tcBorders>
            <w:shd w:val="clear" w:color="auto" w:fill="1F4E79"/>
            <w:vAlign w:val="center"/>
          </w:tcPr>
          <w:p w14:paraId="6826AD17" w14:textId="77777777" w:rsidR="00B80383" w:rsidRPr="005540B8" w:rsidRDefault="00B80383" w:rsidP="005540B8">
            <w:pPr>
              <w:spacing w:after="0" w:line="276" w:lineRule="auto"/>
              <w:jc w:val="center"/>
              <w:rPr>
                <w:rFonts w:eastAsia="Times New Roman" w:cs="Calibri"/>
                <w:b/>
                <w:color w:val="FFFFFF"/>
                <w:lang w:val="en-AU"/>
              </w:rPr>
            </w:pPr>
          </w:p>
        </w:tc>
        <w:tc>
          <w:tcPr>
            <w:tcW w:w="522" w:type="dxa"/>
            <w:tcBorders>
              <w:top w:val="single" w:sz="8" w:space="0" w:color="auto"/>
              <w:left w:val="single" w:sz="18" w:space="0" w:color="auto"/>
              <w:bottom w:val="single" w:sz="4" w:space="0" w:color="auto"/>
              <w:right w:val="single" w:sz="8" w:space="0" w:color="auto"/>
            </w:tcBorders>
            <w:shd w:val="clear" w:color="auto" w:fill="1F4E79"/>
            <w:vAlign w:val="center"/>
          </w:tcPr>
          <w:p w14:paraId="6826AD18"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2013</w:t>
            </w:r>
          </w:p>
        </w:tc>
        <w:tc>
          <w:tcPr>
            <w:tcW w:w="505" w:type="dxa"/>
            <w:tcBorders>
              <w:top w:val="single" w:sz="8" w:space="0" w:color="auto"/>
              <w:left w:val="single" w:sz="8" w:space="0" w:color="auto"/>
              <w:bottom w:val="single" w:sz="4" w:space="0" w:color="auto"/>
              <w:right w:val="single" w:sz="8" w:space="0" w:color="auto"/>
            </w:tcBorders>
            <w:shd w:val="clear" w:color="auto" w:fill="1F4E79"/>
            <w:vAlign w:val="center"/>
          </w:tcPr>
          <w:p w14:paraId="6826AD19"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2014</w:t>
            </w:r>
          </w:p>
        </w:tc>
        <w:tc>
          <w:tcPr>
            <w:tcW w:w="524" w:type="dxa"/>
            <w:tcBorders>
              <w:top w:val="single" w:sz="8" w:space="0" w:color="auto"/>
              <w:left w:val="single" w:sz="8" w:space="0" w:color="auto"/>
              <w:bottom w:val="single" w:sz="4" w:space="0" w:color="auto"/>
              <w:right w:val="single" w:sz="18" w:space="0" w:color="auto"/>
            </w:tcBorders>
            <w:shd w:val="clear" w:color="auto" w:fill="1F4E79"/>
            <w:vAlign w:val="center"/>
          </w:tcPr>
          <w:p w14:paraId="6826AD1A"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2015</w:t>
            </w:r>
          </w:p>
        </w:tc>
        <w:tc>
          <w:tcPr>
            <w:tcW w:w="502" w:type="dxa"/>
            <w:tcBorders>
              <w:top w:val="single" w:sz="8" w:space="0" w:color="auto"/>
              <w:left w:val="single" w:sz="18" w:space="0" w:color="auto"/>
              <w:bottom w:val="single" w:sz="4" w:space="0" w:color="auto"/>
              <w:right w:val="single" w:sz="8" w:space="0" w:color="auto"/>
            </w:tcBorders>
            <w:shd w:val="clear" w:color="auto" w:fill="1F4E79"/>
            <w:vAlign w:val="center"/>
          </w:tcPr>
          <w:p w14:paraId="6826AD1B"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2013</w:t>
            </w:r>
          </w:p>
        </w:tc>
        <w:tc>
          <w:tcPr>
            <w:tcW w:w="516" w:type="dxa"/>
            <w:tcBorders>
              <w:top w:val="single" w:sz="8" w:space="0" w:color="auto"/>
              <w:left w:val="single" w:sz="8" w:space="0" w:color="auto"/>
              <w:bottom w:val="single" w:sz="4" w:space="0" w:color="auto"/>
              <w:right w:val="single" w:sz="8" w:space="0" w:color="auto"/>
            </w:tcBorders>
            <w:shd w:val="clear" w:color="auto" w:fill="1F4E79"/>
            <w:vAlign w:val="center"/>
          </w:tcPr>
          <w:p w14:paraId="6826AD1C"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2014</w:t>
            </w:r>
          </w:p>
        </w:tc>
        <w:tc>
          <w:tcPr>
            <w:tcW w:w="569" w:type="dxa"/>
            <w:tcBorders>
              <w:top w:val="single" w:sz="8" w:space="0" w:color="auto"/>
              <w:left w:val="single" w:sz="8" w:space="0" w:color="auto"/>
              <w:bottom w:val="single" w:sz="4" w:space="0" w:color="auto"/>
              <w:right w:val="single" w:sz="18" w:space="0" w:color="auto"/>
            </w:tcBorders>
            <w:shd w:val="clear" w:color="auto" w:fill="1F4E79"/>
            <w:vAlign w:val="center"/>
          </w:tcPr>
          <w:p w14:paraId="6826AD1D"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2015</w:t>
            </w:r>
          </w:p>
        </w:tc>
        <w:tc>
          <w:tcPr>
            <w:tcW w:w="535" w:type="dxa"/>
            <w:tcBorders>
              <w:top w:val="single" w:sz="8" w:space="0" w:color="auto"/>
              <w:left w:val="single" w:sz="18" w:space="0" w:color="auto"/>
              <w:bottom w:val="single" w:sz="4" w:space="0" w:color="auto"/>
              <w:right w:val="single" w:sz="8" w:space="0" w:color="auto"/>
            </w:tcBorders>
            <w:shd w:val="clear" w:color="auto" w:fill="1F4E79"/>
            <w:vAlign w:val="center"/>
          </w:tcPr>
          <w:p w14:paraId="6826AD1E"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2013</w:t>
            </w:r>
          </w:p>
        </w:tc>
        <w:tc>
          <w:tcPr>
            <w:tcW w:w="504" w:type="dxa"/>
            <w:tcBorders>
              <w:top w:val="single" w:sz="8" w:space="0" w:color="auto"/>
              <w:left w:val="single" w:sz="8" w:space="0" w:color="auto"/>
              <w:bottom w:val="single" w:sz="4" w:space="0" w:color="auto"/>
              <w:right w:val="single" w:sz="8" w:space="0" w:color="auto"/>
            </w:tcBorders>
            <w:shd w:val="clear" w:color="auto" w:fill="1F4E79"/>
            <w:vAlign w:val="center"/>
          </w:tcPr>
          <w:p w14:paraId="6826AD1F"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2014</w:t>
            </w:r>
          </w:p>
        </w:tc>
        <w:tc>
          <w:tcPr>
            <w:tcW w:w="507" w:type="dxa"/>
            <w:tcBorders>
              <w:top w:val="single" w:sz="8" w:space="0" w:color="auto"/>
              <w:left w:val="single" w:sz="8" w:space="0" w:color="auto"/>
              <w:bottom w:val="single" w:sz="4" w:space="0" w:color="auto"/>
              <w:right w:val="single" w:sz="18" w:space="0" w:color="auto"/>
            </w:tcBorders>
            <w:shd w:val="clear" w:color="auto" w:fill="1F4E79"/>
            <w:vAlign w:val="center"/>
          </w:tcPr>
          <w:p w14:paraId="6826AD20"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2015</w:t>
            </w:r>
          </w:p>
        </w:tc>
        <w:tc>
          <w:tcPr>
            <w:tcW w:w="524" w:type="dxa"/>
            <w:tcBorders>
              <w:top w:val="single" w:sz="8" w:space="0" w:color="auto"/>
              <w:left w:val="single" w:sz="18" w:space="0" w:color="auto"/>
              <w:bottom w:val="single" w:sz="4" w:space="0" w:color="auto"/>
              <w:right w:val="single" w:sz="8" w:space="0" w:color="auto"/>
            </w:tcBorders>
            <w:shd w:val="clear" w:color="auto" w:fill="1F4E79"/>
            <w:vAlign w:val="center"/>
          </w:tcPr>
          <w:p w14:paraId="6826AD21"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2013</w:t>
            </w:r>
          </w:p>
        </w:tc>
        <w:tc>
          <w:tcPr>
            <w:tcW w:w="506" w:type="dxa"/>
            <w:tcBorders>
              <w:top w:val="single" w:sz="8" w:space="0" w:color="auto"/>
              <w:left w:val="single" w:sz="8" w:space="0" w:color="auto"/>
              <w:bottom w:val="single" w:sz="4" w:space="0" w:color="auto"/>
              <w:right w:val="single" w:sz="4" w:space="0" w:color="auto"/>
            </w:tcBorders>
            <w:shd w:val="clear" w:color="auto" w:fill="1F4E79"/>
            <w:vAlign w:val="center"/>
          </w:tcPr>
          <w:p w14:paraId="6826AD22"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2014</w:t>
            </w:r>
          </w:p>
        </w:tc>
        <w:tc>
          <w:tcPr>
            <w:tcW w:w="518" w:type="dxa"/>
            <w:tcBorders>
              <w:left w:val="single" w:sz="4" w:space="0" w:color="auto"/>
              <w:bottom w:val="single" w:sz="4" w:space="0" w:color="auto"/>
              <w:right w:val="single" w:sz="18" w:space="0" w:color="auto"/>
            </w:tcBorders>
            <w:shd w:val="clear" w:color="auto" w:fill="1F4E79"/>
            <w:vAlign w:val="center"/>
          </w:tcPr>
          <w:p w14:paraId="6826AD23"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2015</w:t>
            </w:r>
          </w:p>
        </w:tc>
        <w:tc>
          <w:tcPr>
            <w:tcW w:w="591" w:type="dxa"/>
            <w:tcBorders>
              <w:left w:val="single" w:sz="18" w:space="0" w:color="auto"/>
              <w:bottom w:val="single" w:sz="4" w:space="0" w:color="auto"/>
            </w:tcBorders>
            <w:shd w:val="clear" w:color="auto" w:fill="1F4E79"/>
            <w:vAlign w:val="center"/>
          </w:tcPr>
          <w:p w14:paraId="6826AD24"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2013</w:t>
            </w:r>
          </w:p>
        </w:tc>
        <w:tc>
          <w:tcPr>
            <w:tcW w:w="591" w:type="dxa"/>
            <w:tcBorders>
              <w:bottom w:val="single" w:sz="4" w:space="0" w:color="auto"/>
            </w:tcBorders>
            <w:shd w:val="clear" w:color="auto" w:fill="1F4E79"/>
            <w:vAlign w:val="center"/>
          </w:tcPr>
          <w:p w14:paraId="6826AD25"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2014</w:t>
            </w:r>
          </w:p>
        </w:tc>
        <w:tc>
          <w:tcPr>
            <w:tcW w:w="589" w:type="dxa"/>
            <w:tcBorders>
              <w:bottom w:val="single" w:sz="4" w:space="0" w:color="auto"/>
            </w:tcBorders>
            <w:shd w:val="clear" w:color="auto" w:fill="1F4E79"/>
            <w:vAlign w:val="center"/>
          </w:tcPr>
          <w:p w14:paraId="6826AD26" w14:textId="77777777" w:rsidR="00B80383" w:rsidRPr="005540B8" w:rsidRDefault="00B80383" w:rsidP="005540B8">
            <w:pPr>
              <w:spacing w:after="0" w:line="276" w:lineRule="auto"/>
              <w:jc w:val="center"/>
              <w:rPr>
                <w:rFonts w:eastAsia="Times New Roman" w:cs="Calibri"/>
                <w:b/>
                <w:color w:val="FFFFFF"/>
                <w:lang w:val="en-AU"/>
              </w:rPr>
            </w:pPr>
            <w:r w:rsidRPr="005540B8">
              <w:rPr>
                <w:rFonts w:eastAsia="Times New Roman" w:cs="Calibri"/>
                <w:b/>
                <w:color w:val="FFFFFF"/>
                <w:lang w:val="en-AU"/>
              </w:rPr>
              <w:t>2015</w:t>
            </w:r>
          </w:p>
        </w:tc>
      </w:tr>
      <w:tr w:rsidR="003B2AF3" w:rsidRPr="005540B8" w14:paraId="6826AD38" w14:textId="77777777" w:rsidTr="005540B8">
        <w:trPr>
          <w:trHeight w:val="850"/>
          <w:jc w:val="center"/>
        </w:trPr>
        <w:tc>
          <w:tcPr>
            <w:tcW w:w="1087" w:type="dxa"/>
            <w:tcBorders>
              <w:top w:val="single" w:sz="4" w:space="0" w:color="auto"/>
              <w:right w:val="single" w:sz="18" w:space="0" w:color="auto"/>
            </w:tcBorders>
            <w:shd w:val="clear" w:color="auto" w:fill="auto"/>
            <w:vAlign w:val="center"/>
          </w:tcPr>
          <w:p w14:paraId="6826AD28" w14:textId="77777777" w:rsidR="00B80383" w:rsidRPr="005540B8" w:rsidRDefault="00B80383" w:rsidP="005540B8">
            <w:pPr>
              <w:spacing w:before="60" w:after="60" w:line="276" w:lineRule="auto"/>
              <w:jc w:val="both"/>
              <w:rPr>
                <w:rFonts w:eastAsia="Times New Roman" w:cs="Calibri"/>
                <w:b/>
                <w:sz w:val="20"/>
                <w:szCs w:val="20"/>
                <w:lang w:val="en-AU"/>
              </w:rPr>
            </w:pPr>
            <w:r w:rsidRPr="005540B8">
              <w:rPr>
                <w:rFonts w:eastAsia="Times New Roman" w:cs="Calibri"/>
                <w:b/>
                <w:sz w:val="20"/>
                <w:szCs w:val="20"/>
                <w:lang w:val="en-AU"/>
              </w:rPr>
              <w:t>Relevance</w:t>
            </w:r>
          </w:p>
        </w:tc>
        <w:tc>
          <w:tcPr>
            <w:tcW w:w="522" w:type="dxa"/>
            <w:tcBorders>
              <w:top w:val="single" w:sz="4" w:space="0" w:color="auto"/>
              <w:left w:val="single" w:sz="18" w:space="0" w:color="auto"/>
              <w:bottom w:val="single" w:sz="8" w:space="0" w:color="auto"/>
              <w:right w:val="single" w:sz="8" w:space="0" w:color="auto"/>
            </w:tcBorders>
            <w:shd w:val="clear" w:color="auto" w:fill="FFFF00"/>
            <w:vAlign w:val="center"/>
          </w:tcPr>
          <w:p w14:paraId="6826AD29"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05" w:type="dxa"/>
            <w:tcBorders>
              <w:top w:val="single" w:sz="4" w:space="0" w:color="auto"/>
              <w:left w:val="single" w:sz="8" w:space="0" w:color="auto"/>
              <w:bottom w:val="single" w:sz="8" w:space="0" w:color="auto"/>
              <w:right w:val="single" w:sz="8" w:space="0" w:color="auto"/>
            </w:tcBorders>
            <w:shd w:val="clear" w:color="auto" w:fill="FFC000"/>
            <w:vAlign w:val="center"/>
          </w:tcPr>
          <w:p w14:paraId="6826AD2A"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24" w:type="dxa"/>
            <w:tcBorders>
              <w:top w:val="single" w:sz="4" w:space="0" w:color="auto"/>
              <w:left w:val="single" w:sz="8" w:space="0" w:color="auto"/>
              <w:bottom w:val="single" w:sz="8" w:space="0" w:color="auto"/>
              <w:right w:val="single" w:sz="18" w:space="0" w:color="auto"/>
            </w:tcBorders>
            <w:shd w:val="clear" w:color="auto" w:fill="FFC000"/>
            <w:vAlign w:val="center"/>
          </w:tcPr>
          <w:p w14:paraId="6826AD2B"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02" w:type="dxa"/>
            <w:tcBorders>
              <w:top w:val="single" w:sz="4" w:space="0" w:color="auto"/>
              <w:left w:val="single" w:sz="18" w:space="0" w:color="auto"/>
              <w:bottom w:val="single" w:sz="8" w:space="0" w:color="auto"/>
              <w:right w:val="single" w:sz="8" w:space="0" w:color="auto"/>
            </w:tcBorders>
            <w:shd w:val="clear" w:color="auto" w:fill="92D050"/>
            <w:vAlign w:val="center"/>
          </w:tcPr>
          <w:p w14:paraId="6826AD2C"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16" w:type="dxa"/>
            <w:tcBorders>
              <w:top w:val="single" w:sz="4" w:space="0" w:color="auto"/>
              <w:left w:val="single" w:sz="8" w:space="0" w:color="auto"/>
              <w:bottom w:val="single" w:sz="8" w:space="0" w:color="auto"/>
              <w:right w:val="single" w:sz="8" w:space="0" w:color="auto"/>
            </w:tcBorders>
            <w:shd w:val="clear" w:color="auto" w:fill="92D050"/>
            <w:vAlign w:val="center"/>
          </w:tcPr>
          <w:p w14:paraId="6826AD2D"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69" w:type="dxa"/>
            <w:tcBorders>
              <w:top w:val="single" w:sz="4" w:space="0" w:color="auto"/>
              <w:left w:val="single" w:sz="8" w:space="0" w:color="auto"/>
              <w:bottom w:val="single" w:sz="8" w:space="0" w:color="auto"/>
              <w:right w:val="single" w:sz="18" w:space="0" w:color="auto"/>
            </w:tcBorders>
            <w:shd w:val="clear" w:color="auto" w:fill="FFFF00"/>
            <w:vAlign w:val="center"/>
          </w:tcPr>
          <w:p w14:paraId="6826AD2E"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35" w:type="dxa"/>
            <w:tcBorders>
              <w:top w:val="single" w:sz="4" w:space="0" w:color="auto"/>
              <w:left w:val="single" w:sz="18" w:space="0" w:color="auto"/>
              <w:bottom w:val="single" w:sz="8" w:space="0" w:color="auto"/>
              <w:right w:val="single" w:sz="8" w:space="0" w:color="auto"/>
            </w:tcBorders>
            <w:shd w:val="clear" w:color="auto" w:fill="FFFF00"/>
            <w:vAlign w:val="center"/>
          </w:tcPr>
          <w:p w14:paraId="6826AD2F"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04" w:type="dxa"/>
            <w:tcBorders>
              <w:top w:val="single" w:sz="4" w:space="0" w:color="auto"/>
              <w:left w:val="single" w:sz="8" w:space="0" w:color="auto"/>
              <w:bottom w:val="single" w:sz="8" w:space="0" w:color="auto"/>
              <w:right w:val="single" w:sz="8" w:space="0" w:color="auto"/>
            </w:tcBorders>
            <w:shd w:val="clear" w:color="auto" w:fill="92D050"/>
            <w:vAlign w:val="center"/>
          </w:tcPr>
          <w:p w14:paraId="6826AD30" w14:textId="77777777" w:rsidR="00B80383" w:rsidRPr="005540B8" w:rsidRDefault="00B80383" w:rsidP="005540B8">
            <w:pPr>
              <w:spacing w:before="120" w:after="12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07" w:type="dxa"/>
            <w:tcBorders>
              <w:top w:val="single" w:sz="4" w:space="0" w:color="auto"/>
              <w:left w:val="single" w:sz="8" w:space="0" w:color="auto"/>
              <w:bottom w:val="single" w:sz="8" w:space="0" w:color="auto"/>
              <w:right w:val="single" w:sz="18" w:space="0" w:color="auto"/>
            </w:tcBorders>
            <w:shd w:val="clear" w:color="auto" w:fill="00B050"/>
            <w:vAlign w:val="center"/>
          </w:tcPr>
          <w:p w14:paraId="6826AD31"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6</w:t>
            </w:r>
          </w:p>
        </w:tc>
        <w:tc>
          <w:tcPr>
            <w:tcW w:w="524" w:type="dxa"/>
            <w:tcBorders>
              <w:top w:val="single" w:sz="4" w:space="0" w:color="auto"/>
              <w:left w:val="single" w:sz="18" w:space="0" w:color="auto"/>
              <w:bottom w:val="single" w:sz="8" w:space="0" w:color="auto"/>
              <w:right w:val="single" w:sz="8" w:space="0" w:color="auto"/>
            </w:tcBorders>
            <w:shd w:val="clear" w:color="auto" w:fill="FFFF00"/>
            <w:vAlign w:val="center"/>
          </w:tcPr>
          <w:p w14:paraId="6826AD32"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06" w:type="dxa"/>
            <w:tcBorders>
              <w:top w:val="single" w:sz="4" w:space="0" w:color="auto"/>
              <w:left w:val="single" w:sz="8" w:space="0" w:color="auto"/>
              <w:bottom w:val="single" w:sz="8" w:space="0" w:color="auto"/>
              <w:right w:val="single" w:sz="4" w:space="0" w:color="auto"/>
            </w:tcBorders>
            <w:shd w:val="clear" w:color="auto" w:fill="FFFF00"/>
            <w:vAlign w:val="center"/>
          </w:tcPr>
          <w:p w14:paraId="6826AD33"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18" w:type="dxa"/>
            <w:tcBorders>
              <w:top w:val="single" w:sz="4" w:space="0" w:color="auto"/>
              <w:left w:val="single" w:sz="4" w:space="0" w:color="auto"/>
              <w:bottom w:val="single" w:sz="4" w:space="0" w:color="auto"/>
              <w:right w:val="single" w:sz="18" w:space="0" w:color="auto"/>
            </w:tcBorders>
            <w:shd w:val="clear" w:color="auto" w:fill="92D050"/>
            <w:vAlign w:val="center"/>
          </w:tcPr>
          <w:p w14:paraId="6826AD34"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91" w:type="dxa"/>
            <w:tcBorders>
              <w:top w:val="single" w:sz="4" w:space="0" w:color="auto"/>
              <w:left w:val="single" w:sz="18" w:space="0" w:color="auto"/>
            </w:tcBorders>
            <w:shd w:val="clear" w:color="auto" w:fill="DEEAF6"/>
            <w:vAlign w:val="center"/>
          </w:tcPr>
          <w:p w14:paraId="6826AD35"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4.25</w:t>
            </w:r>
          </w:p>
        </w:tc>
        <w:tc>
          <w:tcPr>
            <w:tcW w:w="591" w:type="dxa"/>
            <w:tcBorders>
              <w:top w:val="single" w:sz="4" w:space="0" w:color="auto"/>
            </w:tcBorders>
            <w:shd w:val="clear" w:color="auto" w:fill="DEEAF6"/>
            <w:vAlign w:val="center"/>
          </w:tcPr>
          <w:p w14:paraId="6826AD36"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4.25</w:t>
            </w:r>
          </w:p>
        </w:tc>
        <w:tc>
          <w:tcPr>
            <w:tcW w:w="589" w:type="dxa"/>
            <w:tcBorders>
              <w:top w:val="single" w:sz="4" w:space="0" w:color="auto"/>
            </w:tcBorders>
            <w:shd w:val="clear" w:color="auto" w:fill="DEEAF6"/>
            <w:vAlign w:val="center"/>
          </w:tcPr>
          <w:p w14:paraId="6826AD37"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4.50</w:t>
            </w:r>
          </w:p>
        </w:tc>
      </w:tr>
      <w:tr w:rsidR="003B2AF3" w:rsidRPr="005540B8" w14:paraId="6826AD49" w14:textId="77777777" w:rsidTr="005540B8">
        <w:trPr>
          <w:trHeight w:val="850"/>
          <w:jc w:val="center"/>
        </w:trPr>
        <w:tc>
          <w:tcPr>
            <w:tcW w:w="1087" w:type="dxa"/>
            <w:tcBorders>
              <w:right w:val="single" w:sz="18" w:space="0" w:color="auto"/>
            </w:tcBorders>
            <w:shd w:val="clear" w:color="auto" w:fill="auto"/>
            <w:vAlign w:val="center"/>
          </w:tcPr>
          <w:p w14:paraId="6826AD39" w14:textId="77777777" w:rsidR="00B80383" w:rsidRPr="005540B8" w:rsidRDefault="00B80383" w:rsidP="005540B8">
            <w:pPr>
              <w:spacing w:before="60" w:after="60" w:line="276" w:lineRule="auto"/>
              <w:jc w:val="both"/>
              <w:rPr>
                <w:rFonts w:eastAsia="Times New Roman" w:cs="Calibri"/>
                <w:b/>
                <w:sz w:val="20"/>
                <w:szCs w:val="20"/>
                <w:lang w:val="en-AU"/>
              </w:rPr>
            </w:pPr>
            <w:r w:rsidRPr="005540B8">
              <w:rPr>
                <w:rFonts w:eastAsia="Times New Roman" w:cs="Calibri"/>
                <w:b/>
                <w:sz w:val="20"/>
                <w:szCs w:val="20"/>
                <w:lang w:val="en-AU"/>
              </w:rPr>
              <w:t>Efficiency</w:t>
            </w:r>
          </w:p>
        </w:tc>
        <w:tc>
          <w:tcPr>
            <w:tcW w:w="522" w:type="dxa"/>
            <w:tcBorders>
              <w:top w:val="single" w:sz="8" w:space="0" w:color="auto"/>
              <w:left w:val="single" w:sz="18" w:space="0" w:color="auto"/>
              <w:bottom w:val="single" w:sz="8" w:space="0" w:color="auto"/>
              <w:right w:val="single" w:sz="8" w:space="0" w:color="auto"/>
            </w:tcBorders>
            <w:shd w:val="clear" w:color="auto" w:fill="92D050"/>
            <w:vAlign w:val="center"/>
          </w:tcPr>
          <w:p w14:paraId="6826AD3A"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05" w:type="dxa"/>
            <w:tcBorders>
              <w:top w:val="single" w:sz="8" w:space="0" w:color="auto"/>
              <w:left w:val="single" w:sz="8" w:space="0" w:color="auto"/>
              <w:bottom w:val="single" w:sz="8" w:space="0" w:color="auto"/>
              <w:right w:val="single" w:sz="8" w:space="0" w:color="auto"/>
            </w:tcBorders>
            <w:shd w:val="clear" w:color="auto" w:fill="00B050"/>
            <w:vAlign w:val="center"/>
          </w:tcPr>
          <w:p w14:paraId="6826AD3B"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6</w:t>
            </w:r>
          </w:p>
        </w:tc>
        <w:tc>
          <w:tcPr>
            <w:tcW w:w="524" w:type="dxa"/>
            <w:tcBorders>
              <w:top w:val="single" w:sz="8" w:space="0" w:color="auto"/>
              <w:left w:val="single" w:sz="8" w:space="0" w:color="auto"/>
              <w:bottom w:val="single" w:sz="8" w:space="0" w:color="auto"/>
              <w:right w:val="single" w:sz="18" w:space="0" w:color="auto"/>
            </w:tcBorders>
            <w:shd w:val="clear" w:color="auto" w:fill="92D050"/>
            <w:vAlign w:val="center"/>
          </w:tcPr>
          <w:p w14:paraId="6826AD3C"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02" w:type="dxa"/>
            <w:tcBorders>
              <w:top w:val="single" w:sz="8" w:space="0" w:color="auto"/>
              <w:left w:val="single" w:sz="18" w:space="0" w:color="auto"/>
              <w:bottom w:val="single" w:sz="8" w:space="0" w:color="auto"/>
              <w:right w:val="single" w:sz="8" w:space="0" w:color="auto"/>
            </w:tcBorders>
            <w:shd w:val="clear" w:color="auto" w:fill="FFC000"/>
            <w:vAlign w:val="center"/>
          </w:tcPr>
          <w:p w14:paraId="6826AD3D"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16" w:type="dxa"/>
            <w:tcBorders>
              <w:top w:val="single" w:sz="8" w:space="0" w:color="auto"/>
              <w:left w:val="single" w:sz="8" w:space="0" w:color="auto"/>
              <w:bottom w:val="single" w:sz="8" w:space="0" w:color="auto"/>
              <w:right w:val="single" w:sz="8" w:space="0" w:color="auto"/>
            </w:tcBorders>
            <w:shd w:val="clear" w:color="auto" w:fill="92D050"/>
            <w:vAlign w:val="center"/>
          </w:tcPr>
          <w:p w14:paraId="6826AD3E"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69" w:type="dxa"/>
            <w:tcBorders>
              <w:top w:val="single" w:sz="8" w:space="0" w:color="auto"/>
              <w:left w:val="single" w:sz="8" w:space="0" w:color="auto"/>
              <w:bottom w:val="single" w:sz="8" w:space="0" w:color="auto"/>
              <w:right w:val="single" w:sz="18" w:space="0" w:color="auto"/>
            </w:tcBorders>
            <w:shd w:val="clear" w:color="auto" w:fill="FFC000"/>
            <w:vAlign w:val="center"/>
          </w:tcPr>
          <w:p w14:paraId="6826AD3F"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35" w:type="dxa"/>
            <w:tcBorders>
              <w:top w:val="single" w:sz="8" w:space="0" w:color="auto"/>
              <w:left w:val="single" w:sz="18" w:space="0" w:color="auto"/>
              <w:bottom w:val="single" w:sz="8" w:space="0" w:color="auto"/>
              <w:right w:val="single" w:sz="8" w:space="0" w:color="auto"/>
            </w:tcBorders>
            <w:shd w:val="clear" w:color="auto" w:fill="92D050"/>
            <w:vAlign w:val="center"/>
          </w:tcPr>
          <w:p w14:paraId="6826AD40"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04" w:type="dxa"/>
            <w:tcBorders>
              <w:top w:val="single" w:sz="8" w:space="0" w:color="auto"/>
              <w:left w:val="single" w:sz="8" w:space="0" w:color="auto"/>
              <w:bottom w:val="single" w:sz="8" w:space="0" w:color="auto"/>
              <w:right w:val="single" w:sz="8" w:space="0" w:color="auto"/>
            </w:tcBorders>
            <w:shd w:val="clear" w:color="auto" w:fill="FFFF00"/>
            <w:vAlign w:val="center"/>
          </w:tcPr>
          <w:p w14:paraId="6826AD41" w14:textId="77777777" w:rsidR="00B80383" w:rsidRPr="005540B8" w:rsidRDefault="00B80383" w:rsidP="005540B8">
            <w:pPr>
              <w:spacing w:before="120" w:after="12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07" w:type="dxa"/>
            <w:tcBorders>
              <w:top w:val="single" w:sz="8" w:space="0" w:color="auto"/>
              <w:left w:val="single" w:sz="8" w:space="0" w:color="auto"/>
              <w:bottom w:val="single" w:sz="8" w:space="0" w:color="auto"/>
              <w:right w:val="single" w:sz="18" w:space="0" w:color="auto"/>
            </w:tcBorders>
            <w:shd w:val="clear" w:color="auto" w:fill="92D050"/>
            <w:vAlign w:val="center"/>
          </w:tcPr>
          <w:p w14:paraId="6826AD42"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24" w:type="dxa"/>
            <w:tcBorders>
              <w:top w:val="single" w:sz="8" w:space="0" w:color="auto"/>
              <w:left w:val="single" w:sz="18" w:space="0" w:color="auto"/>
              <w:bottom w:val="single" w:sz="8" w:space="0" w:color="auto"/>
              <w:right w:val="single" w:sz="8" w:space="0" w:color="auto"/>
            </w:tcBorders>
            <w:shd w:val="clear" w:color="auto" w:fill="FFC000"/>
            <w:vAlign w:val="center"/>
          </w:tcPr>
          <w:p w14:paraId="6826AD43"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06" w:type="dxa"/>
            <w:tcBorders>
              <w:top w:val="single" w:sz="8" w:space="0" w:color="auto"/>
              <w:left w:val="single" w:sz="8" w:space="0" w:color="auto"/>
              <w:bottom w:val="single" w:sz="8" w:space="0" w:color="auto"/>
              <w:right w:val="single" w:sz="4" w:space="0" w:color="auto"/>
            </w:tcBorders>
            <w:shd w:val="clear" w:color="auto" w:fill="FFC000"/>
            <w:vAlign w:val="center"/>
          </w:tcPr>
          <w:p w14:paraId="6826AD44"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18" w:type="dxa"/>
            <w:tcBorders>
              <w:left w:val="single" w:sz="4" w:space="0" w:color="auto"/>
              <w:right w:val="single" w:sz="18" w:space="0" w:color="auto"/>
            </w:tcBorders>
            <w:shd w:val="clear" w:color="auto" w:fill="FFC000"/>
            <w:vAlign w:val="center"/>
          </w:tcPr>
          <w:p w14:paraId="6826AD45"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91" w:type="dxa"/>
            <w:tcBorders>
              <w:left w:val="single" w:sz="18" w:space="0" w:color="auto"/>
            </w:tcBorders>
            <w:shd w:val="clear" w:color="auto" w:fill="DEEAF6"/>
            <w:vAlign w:val="center"/>
          </w:tcPr>
          <w:p w14:paraId="6826AD46"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4.00</w:t>
            </w:r>
          </w:p>
        </w:tc>
        <w:tc>
          <w:tcPr>
            <w:tcW w:w="591" w:type="dxa"/>
            <w:shd w:val="clear" w:color="auto" w:fill="DEEAF6"/>
            <w:vAlign w:val="center"/>
          </w:tcPr>
          <w:p w14:paraId="6826AD47"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4.50</w:t>
            </w:r>
          </w:p>
        </w:tc>
        <w:tc>
          <w:tcPr>
            <w:tcW w:w="589" w:type="dxa"/>
            <w:shd w:val="clear" w:color="auto" w:fill="DEEAF6"/>
            <w:vAlign w:val="center"/>
          </w:tcPr>
          <w:p w14:paraId="6826AD48"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4.00</w:t>
            </w:r>
          </w:p>
        </w:tc>
      </w:tr>
      <w:tr w:rsidR="003B2AF3" w:rsidRPr="005540B8" w14:paraId="6826AD5A" w14:textId="77777777" w:rsidTr="005540B8">
        <w:trPr>
          <w:trHeight w:val="850"/>
          <w:jc w:val="center"/>
        </w:trPr>
        <w:tc>
          <w:tcPr>
            <w:tcW w:w="1087" w:type="dxa"/>
            <w:tcBorders>
              <w:right w:val="single" w:sz="18" w:space="0" w:color="auto"/>
            </w:tcBorders>
            <w:shd w:val="clear" w:color="auto" w:fill="auto"/>
            <w:vAlign w:val="center"/>
          </w:tcPr>
          <w:p w14:paraId="6826AD4A" w14:textId="77777777" w:rsidR="00B80383" w:rsidRPr="005540B8" w:rsidRDefault="00B80383" w:rsidP="005540B8">
            <w:pPr>
              <w:spacing w:before="60" w:after="60" w:line="276" w:lineRule="auto"/>
              <w:jc w:val="both"/>
              <w:rPr>
                <w:rFonts w:eastAsia="Times New Roman" w:cs="Calibri"/>
                <w:b/>
                <w:sz w:val="20"/>
                <w:szCs w:val="20"/>
                <w:lang w:val="en-AU"/>
              </w:rPr>
            </w:pPr>
            <w:r w:rsidRPr="005540B8">
              <w:rPr>
                <w:rFonts w:eastAsia="Times New Roman" w:cs="Calibri"/>
                <w:b/>
                <w:sz w:val="20"/>
                <w:szCs w:val="20"/>
                <w:lang w:val="en-AU"/>
              </w:rPr>
              <w:t>Effectiveness</w:t>
            </w:r>
          </w:p>
        </w:tc>
        <w:tc>
          <w:tcPr>
            <w:tcW w:w="522" w:type="dxa"/>
            <w:tcBorders>
              <w:top w:val="single" w:sz="8" w:space="0" w:color="auto"/>
              <w:left w:val="single" w:sz="18" w:space="0" w:color="auto"/>
              <w:bottom w:val="single" w:sz="8" w:space="0" w:color="auto"/>
              <w:right w:val="single" w:sz="8" w:space="0" w:color="auto"/>
            </w:tcBorders>
            <w:shd w:val="clear" w:color="auto" w:fill="FFC000"/>
            <w:vAlign w:val="center"/>
          </w:tcPr>
          <w:p w14:paraId="6826AD4B"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05" w:type="dxa"/>
            <w:tcBorders>
              <w:top w:val="single" w:sz="8" w:space="0" w:color="auto"/>
              <w:left w:val="single" w:sz="8" w:space="0" w:color="auto"/>
              <w:bottom w:val="single" w:sz="8" w:space="0" w:color="auto"/>
              <w:right w:val="single" w:sz="8" w:space="0" w:color="auto"/>
            </w:tcBorders>
            <w:shd w:val="clear" w:color="auto" w:fill="FFFF00"/>
            <w:vAlign w:val="center"/>
          </w:tcPr>
          <w:p w14:paraId="6826AD4C"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24" w:type="dxa"/>
            <w:tcBorders>
              <w:top w:val="single" w:sz="8" w:space="0" w:color="auto"/>
              <w:left w:val="single" w:sz="8" w:space="0" w:color="auto"/>
              <w:bottom w:val="single" w:sz="8" w:space="0" w:color="auto"/>
              <w:right w:val="single" w:sz="18" w:space="0" w:color="auto"/>
            </w:tcBorders>
            <w:shd w:val="clear" w:color="auto" w:fill="92D050"/>
            <w:vAlign w:val="center"/>
          </w:tcPr>
          <w:p w14:paraId="6826AD4D"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02" w:type="dxa"/>
            <w:tcBorders>
              <w:top w:val="single" w:sz="8" w:space="0" w:color="auto"/>
              <w:left w:val="single" w:sz="18" w:space="0" w:color="auto"/>
              <w:bottom w:val="single" w:sz="8" w:space="0" w:color="auto"/>
              <w:right w:val="single" w:sz="8" w:space="0" w:color="auto"/>
            </w:tcBorders>
            <w:shd w:val="clear" w:color="auto" w:fill="FFFFFF"/>
            <w:vAlign w:val="center"/>
          </w:tcPr>
          <w:p w14:paraId="6826AD4E"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TE</w:t>
            </w:r>
          </w:p>
        </w:tc>
        <w:tc>
          <w:tcPr>
            <w:tcW w:w="516" w:type="dxa"/>
            <w:tcBorders>
              <w:top w:val="single" w:sz="8" w:space="0" w:color="auto"/>
              <w:left w:val="single" w:sz="8" w:space="0" w:color="auto"/>
              <w:bottom w:val="single" w:sz="8" w:space="0" w:color="auto"/>
              <w:right w:val="single" w:sz="8" w:space="0" w:color="auto"/>
            </w:tcBorders>
            <w:shd w:val="clear" w:color="auto" w:fill="FFC000"/>
            <w:vAlign w:val="center"/>
          </w:tcPr>
          <w:p w14:paraId="6826AD4F"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69" w:type="dxa"/>
            <w:tcBorders>
              <w:top w:val="single" w:sz="8" w:space="0" w:color="auto"/>
              <w:left w:val="single" w:sz="8" w:space="0" w:color="auto"/>
              <w:bottom w:val="single" w:sz="8" w:space="0" w:color="auto"/>
              <w:right w:val="single" w:sz="18" w:space="0" w:color="auto"/>
            </w:tcBorders>
            <w:shd w:val="clear" w:color="auto" w:fill="FFC000"/>
            <w:vAlign w:val="center"/>
          </w:tcPr>
          <w:p w14:paraId="6826AD50"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35" w:type="dxa"/>
            <w:tcBorders>
              <w:top w:val="single" w:sz="8" w:space="0" w:color="auto"/>
              <w:left w:val="single" w:sz="18" w:space="0" w:color="auto"/>
              <w:bottom w:val="single" w:sz="8" w:space="0" w:color="auto"/>
              <w:right w:val="single" w:sz="8" w:space="0" w:color="auto"/>
            </w:tcBorders>
            <w:shd w:val="clear" w:color="auto" w:fill="FFFF00"/>
            <w:vAlign w:val="center"/>
          </w:tcPr>
          <w:p w14:paraId="6826AD51"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04" w:type="dxa"/>
            <w:tcBorders>
              <w:top w:val="single" w:sz="8" w:space="0" w:color="auto"/>
              <w:left w:val="single" w:sz="8" w:space="0" w:color="auto"/>
              <w:bottom w:val="single" w:sz="8" w:space="0" w:color="auto"/>
              <w:right w:val="single" w:sz="8" w:space="0" w:color="auto"/>
            </w:tcBorders>
            <w:shd w:val="clear" w:color="auto" w:fill="FFFF00"/>
            <w:vAlign w:val="center"/>
          </w:tcPr>
          <w:p w14:paraId="6826AD52" w14:textId="77777777" w:rsidR="00B80383" w:rsidRPr="005540B8" w:rsidRDefault="00B80383" w:rsidP="005540B8">
            <w:pPr>
              <w:spacing w:before="120" w:after="12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07" w:type="dxa"/>
            <w:tcBorders>
              <w:top w:val="single" w:sz="8" w:space="0" w:color="auto"/>
              <w:left w:val="single" w:sz="8" w:space="0" w:color="auto"/>
              <w:bottom w:val="single" w:sz="8" w:space="0" w:color="auto"/>
              <w:right w:val="single" w:sz="18" w:space="0" w:color="auto"/>
            </w:tcBorders>
            <w:shd w:val="clear" w:color="auto" w:fill="92D050"/>
            <w:vAlign w:val="center"/>
          </w:tcPr>
          <w:p w14:paraId="6826AD53"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24" w:type="dxa"/>
            <w:tcBorders>
              <w:top w:val="single" w:sz="8" w:space="0" w:color="auto"/>
              <w:left w:val="single" w:sz="18" w:space="0" w:color="auto"/>
              <w:bottom w:val="single" w:sz="8" w:space="0" w:color="auto"/>
              <w:right w:val="single" w:sz="8" w:space="0" w:color="auto"/>
            </w:tcBorders>
            <w:shd w:val="clear" w:color="auto" w:fill="FFFF00"/>
            <w:vAlign w:val="center"/>
          </w:tcPr>
          <w:p w14:paraId="6826AD54"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06" w:type="dxa"/>
            <w:tcBorders>
              <w:top w:val="single" w:sz="8" w:space="0" w:color="auto"/>
              <w:left w:val="single" w:sz="8" w:space="0" w:color="auto"/>
              <w:bottom w:val="single" w:sz="8" w:space="0" w:color="auto"/>
              <w:right w:val="single" w:sz="4" w:space="0" w:color="auto"/>
            </w:tcBorders>
            <w:shd w:val="clear" w:color="auto" w:fill="FFFF00"/>
            <w:vAlign w:val="center"/>
          </w:tcPr>
          <w:p w14:paraId="6826AD55"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18" w:type="dxa"/>
            <w:tcBorders>
              <w:left w:val="single" w:sz="4" w:space="0" w:color="auto"/>
              <w:right w:val="single" w:sz="18" w:space="0" w:color="auto"/>
            </w:tcBorders>
            <w:shd w:val="clear" w:color="auto" w:fill="92D050"/>
            <w:vAlign w:val="center"/>
          </w:tcPr>
          <w:p w14:paraId="6826AD56"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91" w:type="dxa"/>
            <w:tcBorders>
              <w:left w:val="single" w:sz="18" w:space="0" w:color="auto"/>
            </w:tcBorders>
            <w:shd w:val="clear" w:color="auto" w:fill="DEEAF6"/>
            <w:vAlign w:val="center"/>
          </w:tcPr>
          <w:p w14:paraId="6826AD57"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3.66</w:t>
            </w:r>
          </w:p>
        </w:tc>
        <w:tc>
          <w:tcPr>
            <w:tcW w:w="591" w:type="dxa"/>
            <w:shd w:val="clear" w:color="auto" w:fill="DEEAF6"/>
            <w:vAlign w:val="center"/>
          </w:tcPr>
          <w:p w14:paraId="6826AD58"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3.75</w:t>
            </w:r>
          </w:p>
        </w:tc>
        <w:tc>
          <w:tcPr>
            <w:tcW w:w="589" w:type="dxa"/>
            <w:shd w:val="clear" w:color="auto" w:fill="DEEAF6"/>
            <w:vAlign w:val="center"/>
          </w:tcPr>
          <w:p w14:paraId="6826AD59"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4.50</w:t>
            </w:r>
          </w:p>
        </w:tc>
      </w:tr>
      <w:tr w:rsidR="003B2AF3" w:rsidRPr="005540B8" w14:paraId="6826AD6B" w14:textId="77777777" w:rsidTr="005540B8">
        <w:trPr>
          <w:trHeight w:val="850"/>
          <w:jc w:val="center"/>
        </w:trPr>
        <w:tc>
          <w:tcPr>
            <w:tcW w:w="1087" w:type="dxa"/>
            <w:tcBorders>
              <w:right w:val="single" w:sz="18" w:space="0" w:color="auto"/>
            </w:tcBorders>
            <w:shd w:val="clear" w:color="auto" w:fill="auto"/>
            <w:vAlign w:val="center"/>
          </w:tcPr>
          <w:p w14:paraId="6826AD5B" w14:textId="77777777" w:rsidR="00B80383" w:rsidRPr="005540B8" w:rsidRDefault="00B80383" w:rsidP="005540B8">
            <w:pPr>
              <w:spacing w:before="60" w:after="60" w:line="276" w:lineRule="auto"/>
              <w:jc w:val="both"/>
              <w:rPr>
                <w:rFonts w:eastAsia="Times New Roman" w:cs="Calibri"/>
                <w:b/>
                <w:sz w:val="20"/>
                <w:szCs w:val="20"/>
                <w:lang w:val="en-AU"/>
              </w:rPr>
            </w:pPr>
            <w:r w:rsidRPr="005540B8">
              <w:rPr>
                <w:rFonts w:eastAsia="Times New Roman" w:cs="Calibri"/>
                <w:b/>
                <w:sz w:val="20"/>
                <w:szCs w:val="20"/>
                <w:lang w:val="en-AU"/>
              </w:rPr>
              <w:t>Impact</w:t>
            </w:r>
          </w:p>
        </w:tc>
        <w:tc>
          <w:tcPr>
            <w:tcW w:w="522" w:type="dxa"/>
            <w:tcBorders>
              <w:top w:val="single" w:sz="8" w:space="0" w:color="auto"/>
              <w:left w:val="single" w:sz="18" w:space="0" w:color="auto"/>
              <w:bottom w:val="single" w:sz="8" w:space="0" w:color="auto"/>
              <w:right w:val="single" w:sz="8" w:space="0" w:color="auto"/>
            </w:tcBorders>
            <w:shd w:val="clear" w:color="auto" w:fill="FFFFFF"/>
            <w:vAlign w:val="center"/>
          </w:tcPr>
          <w:p w14:paraId="6826AD5C"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TE</w:t>
            </w:r>
          </w:p>
        </w:tc>
        <w:tc>
          <w:tcPr>
            <w:tcW w:w="505" w:type="dxa"/>
            <w:tcBorders>
              <w:top w:val="single" w:sz="8" w:space="0" w:color="auto"/>
              <w:left w:val="single" w:sz="8" w:space="0" w:color="auto"/>
              <w:bottom w:val="single" w:sz="8" w:space="0" w:color="auto"/>
              <w:right w:val="single" w:sz="8" w:space="0" w:color="auto"/>
            </w:tcBorders>
            <w:shd w:val="clear" w:color="auto" w:fill="FFFF00"/>
            <w:vAlign w:val="center"/>
          </w:tcPr>
          <w:p w14:paraId="6826AD5D"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24" w:type="dxa"/>
            <w:tcBorders>
              <w:top w:val="single" w:sz="8" w:space="0" w:color="auto"/>
              <w:left w:val="single" w:sz="8" w:space="0" w:color="auto"/>
              <w:bottom w:val="single" w:sz="8" w:space="0" w:color="auto"/>
              <w:right w:val="single" w:sz="18" w:space="0" w:color="auto"/>
            </w:tcBorders>
            <w:shd w:val="clear" w:color="auto" w:fill="FFFF00"/>
            <w:vAlign w:val="center"/>
          </w:tcPr>
          <w:p w14:paraId="6826AD5E"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02" w:type="dxa"/>
            <w:tcBorders>
              <w:top w:val="single" w:sz="8" w:space="0" w:color="auto"/>
              <w:left w:val="single" w:sz="18" w:space="0" w:color="auto"/>
              <w:bottom w:val="single" w:sz="8" w:space="0" w:color="auto"/>
              <w:right w:val="single" w:sz="8" w:space="0" w:color="auto"/>
            </w:tcBorders>
            <w:shd w:val="clear" w:color="auto" w:fill="FFFFFF"/>
            <w:vAlign w:val="center"/>
          </w:tcPr>
          <w:p w14:paraId="6826AD5F"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TE</w:t>
            </w:r>
          </w:p>
        </w:tc>
        <w:tc>
          <w:tcPr>
            <w:tcW w:w="516" w:type="dxa"/>
            <w:tcBorders>
              <w:top w:val="single" w:sz="8" w:space="0" w:color="auto"/>
              <w:left w:val="single" w:sz="8" w:space="0" w:color="auto"/>
              <w:bottom w:val="single" w:sz="8" w:space="0" w:color="auto"/>
              <w:right w:val="single" w:sz="8" w:space="0" w:color="auto"/>
            </w:tcBorders>
            <w:shd w:val="clear" w:color="auto" w:fill="FFFF00"/>
            <w:vAlign w:val="center"/>
          </w:tcPr>
          <w:p w14:paraId="6826AD60"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69" w:type="dxa"/>
            <w:tcBorders>
              <w:top w:val="single" w:sz="8" w:space="0" w:color="auto"/>
              <w:left w:val="single" w:sz="8" w:space="0" w:color="auto"/>
              <w:bottom w:val="single" w:sz="8" w:space="0" w:color="auto"/>
              <w:right w:val="single" w:sz="18" w:space="0" w:color="auto"/>
            </w:tcBorders>
            <w:shd w:val="clear" w:color="auto" w:fill="FFC000"/>
            <w:vAlign w:val="center"/>
          </w:tcPr>
          <w:p w14:paraId="6826AD61"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35" w:type="dxa"/>
            <w:tcBorders>
              <w:top w:val="single" w:sz="8" w:space="0" w:color="auto"/>
              <w:left w:val="single" w:sz="18" w:space="0" w:color="auto"/>
              <w:bottom w:val="single" w:sz="8" w:space="0" w:color="auto"/>
              <w:right w:val="single" w:sz="8" w:space="0" w:color="auto"/>
            </w:tcBorders>
            <w:shd w:val="clear" w:color="auto" w:fill="FFFFFF"/>
            <w:vAlign w:val="center"/>
          </w:tcPr>
          <w:p w14:paraId="6826AD62"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TE</w:t>
            </w:r>
          </w:p>
        </w:tc>
        <w:tc>
          <w:tcPr>
            <w:tcW w:w="504" w:type="dxa"/>
            <w:tcBorders>
              <w:top w:val="single" w:sz="8" w:space="0" w:color="auto"/>
              <w:left w:val="single" w:sz="8" w:space="0" w:color="auto"/>
              <w:bottom w:val="single" w:sz="8" w:space="0" w:color="auto"/>
              <w:right w:val="single" w:sz="8" w:space="0" w:color="auto"/>
            </w:tcBorders>
            <w:shd w:val="clear" w:color="auto" w:fill="FFC000"/>
            <w:vAlign w:val="center"/>
          </w:tcPr>
          <w:p w14:paraId="6826AD63" w14:textId="77777777" w:rsidR="00B80383" w:rsidRPr="005540B8" w:rsidRDefault="00B80383" w:rsidP="005540B8">
            <w:pPr>
              <w:spacing w:before="120" w:after="12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07" w:type="dxa"/>
            <w:tcBorders>
              <w:top w:val="single" w:sz="8" w:space="0" w:color="auto"/>
              <w:left w:val="single" w:sz="8" w:space="0" w:color="auto"/>
              <w:bottom w:val="single" w:sz="8" w:space="0" w:color="auto"/>
              <w:right w:val="single" w:sz="18" w:space="0" w:color="auto"/>
            </w:tcBorders>
            <w:shd w:val="clear" w:color="auto" w:fill="FFFF00"/>
            <w:vAlign w:val="center"/>
          </w:tcPr>
          <w:p w14:paraId="6826AD64"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24" w:type="dxa"/>
            <w:tcBorders>
              <w:top w:val="single" w:sz="8" w:space="0" w:color="auto"/>
              <w:left w:val="single" w:sz="18" w:space="0" w:color="auto"/>
              <w:bottom w:val="single" w:sz="8" w:space="0" w:color="auto"/>
              <w:right w:val="single" w:sz="8" w:space="0" w:color="auto"/>
            </w:tcBorders>
            <w:shd w:val="clear" w:color="auto" w:fill="FFFFFF"/>
            <w:vAlign w:val="center"/>
          </w:tcPr>
          <w:p w14:paraId="6826AD65"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TE</w:t>
            </w:r>
          </w:p>
        </w:tc>
        <w:tc>
          <w:tcPr>
            <w:tcW w:w="506" w:type="dxa"/>
            <w:tcBorders>
              <w:top w:val="single" w:sz="8" w:space="0" w:color="auto"/>
              <w:left w:val="single" w:sz="8" w:space="0" w:color="auto"/>
              <w:bottom w:val="single" w:sz="8" w:space="0" w:color="auto"/>
              <w:right w:val="single" w:sz="4" w:space="0" w:color="auto"/>
            </w:tcBorders>
            <w:shd w:val="clear" w:color="auto" w:fill="FFC000"/>
            <w:vAlign w:val="center"/>
          </w:tcPr>
          <w:p w14:paraId="6826AD66" w14:textId="77777777" w:rsidR="00B80383" w:rsidRPr="005540B8" w:rsidRDefault="00B80383" w:rsidP="005540B8">
            <w:pPr>
              <w:spacing w:before="60" w:after="60" w:line="276" w:lineRule="auto"/>
              <w:jc w:val="center"/>
              <w:rPr>
                <w:rFonts w:eastAsia="Times New Roman" w:cs="Calibri"/>
                <w:sz w:val="20"/>
                <w:szCs w:val="20"/>
                <w:highlight w:val="yellow"/>
                <w:lang w:val="en-AU"/>
              </w:rPr>
            </w:pPr>
            <w:r w:rsidRPr="005540B8">
              <w:rPr>
                <w:rFonts w:eastAsia="Times New Roman" w:cs="Calibri"/>
                <w:sz w:val="20"/>
                <w:szCs w:val="20"/>
                <w:lang w:val="en-AU"/>
              </w:rPr>
              <w:t>3</w:t>
            </w:r>
          </w:p>
        </w:tc>
        <w:tc>
          <w:tcPr>
            <w:tcW w:w="518" w:type="dxa"/>
            <w:tcBorders>
              <w:left w:val="single" w:sz="4" w:space="0" w:color="auto"/>
              <w:right w:val="single" w:sz="18" w:space="0" w:color="auto"/>
            </w:tcBorders>
            <w:shd w:val="clear" w:color="auto" w:fill="FFFF00"/>
            <w:vAlign w:val="center"/>
          </w:tcPr>
          <w:p w14:paraId="6826AD67"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91" w:type="dxa"/>
            <w:tcBorders>
              <w:left w:val="single" w:sz="18" w:space="0" w:color="auto"/>
            </w:tcBorders>
            <w:shd w:val="clear" w:color="auto" w:fill="DEEAF6"/>
            <w:vAlign w:val="center"/>
          </w:tcPr>
          <w:p w14:paraId="6826AD68"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TE</w:t>
            </w:r>
          </w:p>
        </w:tc>
        <w:tc>
          <w:tcPr>
            <w:tcW w:w="591" w:type="dxa"/>
            <w:shd w:val="clear" w:color="auto" w:fill="DEEAF6"/>
            <w:vAlign w:val="center"/>
          </w:tcPr>
          <w:p w14:paraId="6826AD69"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3.50</w:t>
            </w:r>
          </w:p>
        </w:tc>
        <w:tc>
          <w:tcPr>
            <w:tcW w:w="589" w:type="dxa"/>
            <w:shd w:val="clear" w:color="auto" w:fill="DEEAF6"/>
            <w:vAlign w:val="center"/>
          </w:tcPr>
          <w:p w14:paraId="6826AD6A"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3.75</w:t>
            </w:r>
          </w:p>
        </w:tc>
      </w:tr>
      <w:tr w:rsidR="003B2AF3" w:rsidRPr="005540B8" w14:paraId="6826AD7C" w14:textId="77777777" w:rsidTr="005540B8">
        <w:trPr>
          <w:trHeight w:val="850"/>
          <w:jc w:val="center"/>
        </w:trPr>
        <w:tc>
          <w:tcPr>
            <w:tcW w:w="1087" w:type="dxa"/>
            <w:tcBorders>
              <w:right w:val="single" w:sz="18" w:space="0" w:color="auto"/>
            </w:tcBorders>
            <w:shd w:val="clear" w:color="auto" w:fill="auto"/>
            <w:vAlign w:val="center"/>
          </w:tcPr>
          <w:p w14:paraId="6826AD6C" w14:textId="77777777" w:rsidR="00B80383" w:rsidRPr="005540B8" w:rsidRDefault="00B80383" w:rsidP="005540B8">
            <w:pPr>
              <w:spacing w:before="60" w:after="60" w:line="276" w:lineRule="auto"/>
              <w:jc w:val="both"/>
              <w:rPr>
                <w:rFonts w:eastAsia="Times New Roman" w:cs="Calibri"/>
                <w:b/>
                <w:sz w:val="20"/>
                <w:szCs w:val="20"/>
                <w:lang w:val="en-AU"/>
              </w:rPr>
            </w:pPr>
            <w:r w:rsidRPr="005540B8">
              <w:rPr>
                <w:rFonts w:eastAsia="Times New Roman" w:cs="Calibri"/>
                <w:b/>
                <w:sz w:val="20"/>
                <w:szCs w:val="20"/>
                <w:lang w:val="en-AU"/>
              </w:rPr>
              <w:t>Sustain.</w:t>
            </w:r>
          </w:p>
        </w:tc>
        <w:tc>
          <w:tcPr>
            <w:tcW w:w="522" w:type="dxa"/>
            <w:tcBorders>
              <w:top w:val="single" w:sz="8" w:space="0" w:color="auto"/>
              <w:left w:val="single" w:sz="18" w:space="0" w:color="auto"/>
              <w:bottom w:val="single" w:sz="8" w:space="0" w:color="auto"/>
              <w:right w:val="single" w:sz="8" w:space="0" w:color="auto"/>
            </w:tcBorders>
            <w:shd w:val="clear" w:color="auto" w:fill="FFFF00"/>
            <w:vAlign w:val="center"/>
          </w:tcPr>
          <w:p w14:paraId="6826AD6D"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05" w:type="dxa"/>
            <w:tcBorders>
              <w:top w:val="single" w:sz="8" w:space="0" w:color="auto"/>
              <w:left w:val="single" w:sz="8" w:space="0" w:color="auto"/>
              <w:bottom w:val="single" w:sz="8" w:space="0" w:color="auto"/>
              <w:right w:val="single" w:sz="8" w:space="0" w:color="auto"/>
            </w:tcBorders>
            <w:shd w:val="clear" w:color="auto" w:fill="FFFF00"/>
            <w:vAlign w:val="center"/>
          </w:tcPr>
          <w:p w14:paraId="6826AD6E"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24" w:type="dxa"/>
            <w:tcBorders>
              <w:top w:val="single" w:sz="8" w:space="0" w:color="auto"/>
              <w:left w:val="single" w:sz="8" w:space="0" w:color="auto"/>
              <w:bottom w:val="single" w:sz="8" w:space="0" w:color="auto"/>
              <w:right w:val="single" w:sz="18" w:space="0" w:color="auto"/>
            </w:tcBorders>
            <w:shd w:val="clear" w:color="auto" w:fill="92D050"/>
            <w:vAlign w:val="center"/>
          </w:tcPr>
          <w:p w14:paraId="6826AD6F"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5</w:t>
            </w:r>
          </w:p>
        </w:tc>
        <w:tc>
          <w:tcPr>
            <w:tcW w:w="502" w:type="dxa"/>
            <w:tcBorders>
              <w:top w:val="single" w:sz="8" w:space="0" w:color="auto"/>
              <w:left w:val="single" w:sz="18" w:space="0" w:color="auto"/>
              <w:bottom w:val="single" w:sz="8" w:space="0" w:color="auto"/>
              <w:right w:val="single" w:sz="8" w:space="0" w:color="auto"/>
            </w:tcBorders>
            <w:shd w:val="clear" w:color="auto" w:fill="FFC000"/>
            <w:vAlign w:val="center"/>
          </w:tcPr>
          <w:p w14:paraId="6826AD70"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16" w:type="dxa"/>
            <w:tcBorders>
              <w:top w:val="single" w:sz="8" w:space="0" w:color="auto"/>
              <w:left w:val="single" w:sz="8" w:space="0" w:color="auto"/>
              <w:bottom w:val="single" w:sz="8" w:space="0" w:color="auto"/>
              <w:right w:val="single" w:sz="8" w:space="0" w:color="auto"/>
            </w:tcBorders>
            <w:shd w:val="clear" w:color="auto" w:fill="FFFF00"/>
            <w:vAlign w:val="center"/>
          </w:tcPr>
          <w:p w14:paraId="6826AD71"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69" w:type="dxa"/>
            <w:tcBorders>
              <w:top w:val="single" w:sz="8" w:space="0" w:color="auto"/>
              <w:left w:val="single" w:sz="8" w:space="0" w:color="auto"/>
              <w:bottom w:val="single" w:sz="8" w:space="0" w:color="auto"/>
              <w:right w:val="single" w:sz="18" w:space="0" w:color="auto"/>
            </w:tcBorders>
            <w:shd w:val="clear" w:color="auto" w:fill="FFFF00"/>
            <w:vAlign w:val="center"/>
          </w:tcPr>
          <w:p w14:paraId="6826AD72"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35" w:type="dxa"/>
            <w:tcBorders>
              <w:top w:val="single" w:sz="8" w:space="0" w:color="auto"/>
              <w:left w:val="single" w:sz="18" w:space="0" w:color="auto"/>
              <w:bottom w:val="single" w:sz="8" w:space="0" w:color="auto"/>
              <w:right w:val="single" w:sz="8" w:space="0" w:color="auto"/>
            </w:tcBorders>
            <w:shd w:val="clear" w:color="auto" w:fill="FF0000"/>
            <w:vAlign w:val="center"/>
          </w:tcPr>
          <w:p w14:paraId="6826AD73"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2</w:t>
            </w:r>
          </w:p>
        </w:tc>
        <w:tc>
          <w:tcPr>
            <w:tcW w:w="504" w:type="dxa"/>
            <w:tcBorders>
              <w:top w:val="single" w:sz="8" w:space="0" w:color="auto"/>
              <w:left w:val="single" w:sz="8" w:space="0" w:color="auto"/>
              <w:bottom w:val="single" w:sz="8" w:space="0" w:color="auto"/>
              <w:right w:val="single" w:sz="8" w:space="0" w:color="auto"/>
            </w:tcBorders>
            <w:shd w:val="clear" w:color="auto" w:fill="FFC000"/>
            <w:vAlign w:val="center"/>
          </w:tcPr>
          <w:p w14:paraId="6826AD74" w14:textId="77777777" w:rsidR="00B80383" w:rsidRPr="005540B8" w:rsidRDefault="00B80383" w:rsidP="005540B8">
            <w:pPr>
              <w:spacing w:before="120" w:after="120" w:line="276" w:lineRule="auto"/>
              <w:jc w:val="center"/>
              <w:rPr>
                <w:rFonts w:eastAsia="Times New Roman" w:cs="Calibri"/>
                <w:sz w:val="20"/>
                <w:szCs w:val="20"/>
                <w:lang w:val="en-AU"/>
              </w:rPr>
            </w:pPr>
            <w:r w:rsidRPr="005540B8">
              <w:rPr>
                <w:rFonts w:eastAsia="Times New Roman" w:cs="Calibri"/>
                <w:sz w:val="20"/>
                <w:szCs w:val="20"/>
                <w:lang w:val="en-AU"/>
              </w:rPr>
              <w:t>3</w:t>
            </w:r>
          </w:p>
        </w:tc>
        <w:tc>
          <w:tcPr>
            <w:tcW w:w="507" w:type="dxa"/>
            <w:tcBorders>
              <w:top w:val="single" w:sz="8" w:space="0" w:color="auto"/>
              <w:left w:val="single" w:sz="8" w:space="0" w:color="auto"/>
              <w:bottom w:val="single" w:sz="8" w:space="0" w:color="auto"/>
              <w:right w:val="single" w:sz="18" w:space="0" w:color="auto"/>
            </w:tcBorders>
            <w:shd w:val="clear" w:color="auto" w:fill="FFFF00"/>
            <w:vAlign w:val="center"/>
          </w:tcPr>
          <w:p w14:paraId="6826AD75"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24" w:type="dxa"/>
            <w:tcBorders>
              <w:top w:val="single" w:sz="8" w:space="0" w:color="auto"/>
              <w:left w:val="single" w:sz="18" w:space="0" w:color="auto"/>
              <w:bottom w:val="single" w:sz="8" w:space="0" w:color="auto"/>
              <w:right w:val="single" w:sz="8" w:space="0" w:color="auto"/>
            </w:tcBorders>
            <w:shd w:val="clear" w:color="auto" w:fill="FFFF00"/>
            <w:vAlign w:val="center"/>
          </w:tcPr>
          <w:p w14:paraId="6826AD76"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4</w:t>
            </w:r>
          </w:p>
        </w:tc>
        <w:tc>
          <w:tcPr>
            <w:tcW w:w="506" w:type="dxa"/>
            <w:tcBorders>
              <w:top w:val="single" w:sz="8" w:space="0" w:color="auto"/>
              <w:left w:val="single" w:sz="8" w:space="0" w:color="auto"/>
              <w:bottom w:val="single" w:sz="8" w:space="0" w:color="auto"/>
              <w:right w:val="single" w:sz="4" w:space="0" w:color="auto"/>
            </w:tcBorders>
            <w:shd w:val="clear" w:color="auto" w:fill="FF0000"/>
            <w:vAlign w:val="center"/>
          </w:tcPr>
          <w:p w14:paraId="6826AD77"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2</w:t>
            </w:r>
          </w:p>
        </w:tc>
        <w:tc>
          <w:tcPr>
            <w:tcW w:w="518" w:type="dxa"/>
            <w:tcBorders>
              <w:left w:val="single" w:sz="4" w:space="0" w:color="auto"/>
              <w:right w:val="single" w:sz="18" w:space="0" w:color="auto"/>
            </w:tcBorders>
            <w:shd w:val="clear" w:color="auto" w:fill="FF0000"/>
            <w:vAlign w:val="center"/>
          </w:tcPr>
          <w:p w14:paraId="6826AD78" w14:textId="77777777" w:rsidR="00B80383" w:rsidRPr="005540B8" w:rsidRDefault="00B80383" w:rsidP="005540B8">
            <w:pPr>
              <w:spacing w:before="60" w:after="60" w:line="276" w:lineRule="auto"/>
              <w:jc w:val="center"/>
              <w:rPr>
                <w:rFonts w:eastAsia="Times New Roman" w:cs="Calibri"/>
                <w:sz w:val="20"/>
                <w:szCs w:val="20"/>
                <w:lang w:val="en-AU"/>
              </w:rPr>
            </w:pPr>
            <w:r w:rsidRPr="005540B8">
              <w:rPr>
                <w:rFonts w:eastAsia="Times New Roman" w:cs="Calibri"/>
                <w:sz w:val="20"/>
                <w:szCs w:val="20"/>
                <w:lang w:val="en-AU"/>
              </w:rPr>
              <w:t>2</w:t>
            </w:r>
          </w:p>
        </w:tc>
        <w:tc>
          <w:tcPr>
            <w:tcW w:w="591" w:type="dxa"/>
            <w:tcBorders>
              <w:left w:val="single" w:sz="18" w:space="0" w:color="auto"/>
            </w:tcBorders>
            <w:shd w:val="clear" w:color="auto" w:fill="DEEAF6"/>
            <w:vAlign w:val="center"/>
          </w:tcPr>
          <w:p w14:paraId="6826AD79"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3.25</w:t>
            </w:r>
          </w:p>
        </w:tc>
        <w:tc>
          <w:tcPr>
            <w:tcW w:w="591" w:type="dxa"/>
            <w:shd w:val="clear" w:color="auto" w:fill="DEEAF6"/>
            <w:vAlign w:val="center"/>
          </w:tcPr>
          <w:p w14:paraId="6826AD7A"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3.25</w:t>
            </w:r>
          </w:p>
        </w:tc>
        <w:tc>
          <w:tcPr>
            <w:tcW w:w="589" w:type="dxa"/>
            <w:shd w:val="clear" w:color="auto" w:fill="DEEAF6"/>
            <w:vAlign w:val="center"/>
          </w:tcPr>
          <w:p w14:paraId="6826AD7B" w14:textId="77777777" w:rsidR="00B80383" w:rsidRPr="005540B8" w:rsidRDefault="00B80383" w:rsidP="005540B8">
            <w:pPr>
              <w:spacing w:before="60" w:after="60" w:line="276" w:lineRule="auto"/>
              <w:jc w:val="center"/>
              <w:rPr>
                <w:rFonts w:eastAsia="Times New Roman" w:cs="Calibri"/>
                <w:b/>
                <w:sz w:val="20"/>
                <w:szCs w:val="20"/>
                <w:lang w:val="en-AU"/>
              </w:rPr>
            </w:pPr>
            <w:r w:rsidRPr="005540B8">
              <w:rPr>
                <w:rFonts w:eastAsia="Times New Roman" w:cs="Calibri"/>
                <w:b/>
                <w:sz w:val="20"/>
                <w:szCs w:val="20"/>
                <w:lang w:val="en-AU"/>
              </w:rPr>
              <w:t>3.75</w:t>
            </w:r>
          </w:p>
        </w:tc>
      </w:tr>
    </w:tbl>
    <w:p w14:paraId="6826AD7D" w14:textId="77777777" w:rsidR="000B68D8" w:rsidRPr="007234DA" w:rsidRDefault="00B80383" w:rsidP="007234DA">
      <w:pPr>
        <w:jc w:val="center"/>
        <w:rPr>
          <w:i/>
          <w:sz w:val="18"/>
          <w:szCs w:val="18"/>
        </w:rPr>
      </w:pPr>
      <w:r w:rsidRPr="00B80383">
        <w:rPr>
          <w:rFonts w:eastAsia="Times New Roman" w:cs="Calibri"/>
          <w:lang w:val="en-AU"/>
        </w:rPr>
        <w:br/>
      </w:r>
      <w:r w:rsidR="00C46BED" w:rsidRPr="007234DA">
        <w:rPr>
          <w:i/>
          <w:sz w:val="18"/>
          <w:szCs w:val="18"/>
        </w:rPr>
        <w:t>Source: EP Annual Partnership Perfor</w:t>
      </w:r>
      <w:r w:rsidR="0001705F">
        <w:rPr>
          <w:i/>
          <w:sz w:val="18"/>
          <w:szCs w:val="18"/>
        </w:rPr>
        <w:t>mance</w:t>
      </w:r>
      <w:r w:rsidR="00C46BED" w:rsidRPr="007234DA">
        <w:rPr>
          <w:i/>
          <w:sz w:val="18"/>
          <w:szCs w:val="18"/>
        </w:rPr>
        <w:t xml:space="preserve"> Reports for 2013-15</w:t>
      </w:r>
      <w:r w:rsidR="000B68D8" w:rsidRPr="007234DA">
        <w:rPr>
          <w:i/>
          <w:sz w:val="18"/>
          <w:szCs w:val="18"/>
        </w:rPr>
        <w:br w:type="page"/>
      </w:r>
    </w:p>
    <w:p w14:paraId="6826AD7E" w14:textId="77777777" w:rsidR="00C1455E" w:rsidRDefault="00C1455E" w:rsidP="0001705F">
      <w:pPr>
        <w:jc w:val="center"/>
        <w:rPr>
          <w:b/>
          <w:sz w:val="28"/>
          <w:szCs w:val="28"/>
        </w:rPr>
      </w:pPr>
      <w:r w:rsidRPr="00C1455E">
        <w:rPr>
          <w:b/>
          <w:sz w:val="28"/>
          <w:szCs w:val="28"/>
        </w:rPr>
        <w:t>Rating Scale</w:t>
      </w:r>
    </w:p>
    <w:tbl>
      <w:tblPr>
        <w:tblW w:w="0" w:type="auto"/>
        <w:jc w:val="center"/>
        <w:tblCellMar>
          <w:left w:w="0" w:type="dxa"/>
          <w:right w:w="0" w:type="dxa"/>
        </w:tblCellMar>
        <w:tblLook w:val="04A0" w:firstRow="1" w:lastRow="0" w:firstColumn="1" w:lastColumn="0" w:noHBand="0" w:noVBand="1"/>
      </w:tblPr>
      <w:tblGrid>
        <w:gridCol w:w="3887"/>
        <w:gridCol w:w="4232"/>
      </w:tblGrid>
      <w:tr w:rsidR="00C1455E" w:rsidRPr="005540B8" w14:paraId="6826AD80" w14:textId="77777777" w:rsidTr="00AF35C7">
        <w:trPr>
          <w:trHeight w:val="850"/>
          <w:jc w:val="center"/>
        </w:trPr>
        <w:tc>
          <w:tcPr>
            <w:tcW w:w="8119" w:type="dxa"/>
            <w:gridSpan w:val="2"/>
            <w:tcBorders>
              <w:top w:val="single" w:sz="8" w:space="0" w:color="auto"/>
              <w:left w:val="single" w:sz="8" w:space="0" w:color="auto"/>
              <w:bottom w:val="single" w:sz="8" w:space="0" w:color="auto"/>
              <w:right w:val="single" w:sz="8" w:space="0" w:color="auto"/>
            </w:tcBorders>
            <w:shd w:val="clear" w:color="auto" w:fill="365F91"/>
            <w:tcMar>
              <w:top w:w="0" w:type="dxa"/>
              <w:left w:w="108" w:type="dxa"/>
              <w:bottom w:w="0" w:type="dxa"/>
              <w:right w:w="108" w:type="dxa"/>
            </w:tcMar>
            <w:vAlign w:val="center"/>
            <w:hideMark/>
          </w:tcPr>
          <w:p w14:paraId="6826AD7F" w14:textId="77777777" w:rsidR="00C1455E" w:rsidRPr="00C1455E" w:rsidRDefault="00C1455E" w:rsidP="00C1455E">
            <w:pPr>
              <w:spacing w:before="60" w:after="60" w:line="276" w:lineRule="auto"/>
              <w:jc w:val="center"/>
              <w:rPr>
                <w:rFonts w:eastAsia="Times New Roman" w:cs="Calibri"/>
                <w:b/>
                <w:bCs/>
                <w:color w:val="FFFFFF"/>
                <w:sz w:val="24"/>
                <w:szCs w:val="24"/>
                <w:lang w:val="en-AU"/>
              </w:rPr>
            </w:pPr>
            <w:r w:rsidRPr="00C1455E">
              <w:rPr>
                <w:rFonts w:eastAsia="Times New Roman" w:cs="Calibri"/>
                <w:b/>
                <w:bCs/>
                <w:color w:val="FFFFFF"/>
                <w:sz w:val="24"/>
                <w:szCs w:val="24"/>
                <w:lang w:val="en-AU"/>
              </w:rPr>
              <w:t>Rating scale</w:t>
            </w:r>
          </w:p>
        </w:tc>
      </w:tr>
      <w:tr w:rsidR="00C1455E" w:rsidRPr="005540B8" w14:paraId="6826AD83" w14:textId="77777777" w:rsidTr="00C1455E">
        <w:trPr>
          <w:trHeight w:val="1020"/>
          <w:jc w:val="center"/>
        </w:trPr>
        <w:tc>
          <w:tcPr>
            <w:tcW w:w="3887"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826AD81" w14:textId="77777777" w:rsidR="00C1455E" w:rsidRPr="00C1455E" w:rsidRDefault="00C1455E" w:rsidP="00C1455E">
            <w:pPr>
              <w:spacing w:before="60" w:after="60" w:line="276" w:lineRule="auto"/>
              <w:jc w:val="center"/>
              <w:rPr>
                <w:rFonts w:eastAsia="Times New Roman" w:cs="Calibri"/>
                <w:lang w:val="en-AU"/>
              </w:rPr>
            </w:pPr>
            <w:r w:rsidRPr="00C1455E">
              <w:rPr>
                <w:rFonts w:eastAsia="Times New Roman" w:cs="Calibri"/>
                <w:lang w:val="en-AU"/>
              </w:rPr>
              <w:t>Less than satisfactory</w:t>
            </w:r>
          </w:p>
        </w:tc>
        <w:tc>
          <w:tcPr>
            <w:tcW w:w="4232" w:type="dxa"/>
            <w:tcBorders>
              <w:top w:val="nil"/>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14:paraId="6826AD82" w14:textId="77777777" w:rsidR="00C1455E" w:rsidRPr="00C1455E" w:rsidRDefault="00C1455E" w:rsidP="00C1455E">
            <w:pPr>
              <w:spacing w:before="60" w:after="60" w:line="276" w:lineRule="auto"/>
              <w:jc w:val="center"/>
              <w:rPr>
                <w:rFonts w:eastAsia="Times New Roman" w:cs="Calibri"/>
                <w:lang w:val="en-AU"/>
              </w:rPr>
            </w:pPr>
            <w:r w:rsidRPr="00C1455E">
              <w:rPr>
                <w:rFonts w:eastAsia="Times New Roman" w:cs="Calibri"/>
                <w:lang w:val="en-AU"/>
              </w:rPr>
              <w:t>Satisfactory</w:t>
            </w:r>
          </w:p>
        </w:tc>
      </w:tr>
      <w:tr w:rsidR="00C1455E" w:rsidRPr="005540B8" w14:paraId="6826AD86" w14:textId="77777777" w:rsidTr="00C1455E">
        <w:trPr>
          <w:trHeight w:val="1020"/>
          <w:jc w:val="center"/>
        </w:trPr>
        <w:tc>
          <w:tcPr>
            <w:tcW w:w="3887" w:type="dxa"/>
            <w:tcBorders>
              <w:top w:val="nil"/>
              <w:left w:val="single" w:sz="8" w:space="0" w:color="auto"/>
              <w:bottom w:val="single" w:sz="8" w:space="0" w:color="auto"/>
              <w:right w:val="single" w:sz="8" w:space="0" w:color="auto"/>
            </w:tcBorders>
            <w:shd w:val="clear" w:color="auto" w:fill="C00000"/>
            <w:tcMar>
              <w:top w:w="0" w:type="dxa"/>
              <w:left w:w="108" w:type="dxa"/>
              <w:bottom w:w="0" w:type="dxa"/>
              <w:right w:w="108" w:type="dxa"/>
            </w:tcMar>
            <w:vAlign w:val="center"/>
            <w:hideMark/>
          </w:tcPr>
          <w:p w14:paraId="6826AD84" w14:textId="77777777" w:rsidR="00C1455E" w:rsidRPr="00C1455E" w:rsidRDefault="00C1455E" w:rsidP="00C1455E">
            <w:pPr>
              <w:spacing w:before="60" w:after="60" w:line="276" w:lineRule="auto"/>
              <w:jc w:val="center"/>
              <w:rPr>
                <w:rFonts w:eastAsia="Times New Roman" w:cs="Calibri"/>
                <w:lang w:val="en-AU"/>
              </w:rPr>
            </w:pPr>
            <w:r w:rsidRPr="00C1455E">
              <w:rPr>
                <w:rFonts w:eastAsia="Times New Roman" w:cs="Calibri"/>
                <w:lang w:val="en-AU"/>
              </w:rPr>
              <w:t>1: Very poor; does not satisfy criteria in any major area</w:t>
            </w:r>
          </w:p>
        </w:tc>
        <w:tc>
          <w:tcPr>
            <w:tcW w:w="423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6826AD85" w14:textId="77777777" w:rsidR="00C1455E" w:rsidRPr="00C1455E" w:rsidRDefault="00C1455E" w:rsidP="00C1455E">
            <w:pPr>
              <w:spacing w:before="60" w:after="60" w:line="276" w:lineRule="auto"/>
              <w:jc w:val="center"/>
              <w:rPr>
                <w:rFonts w:eastAsia="Times New Roman" w:cs="Calibri"/>
                <w:lang w:val="en-AU"/>
              </w:rPr>
            </w:pPr>
            <w:r w:rsidRPr="00C1455E">
              <w:rPr>
                <w:rFonts w:eastAsia="Times New Roman" w:cs="Calibri"/>
                <w:lang w:val="en-AU"/>
              </w:rPr>
              <w:t>4: Adequate; on balance satisfies criteria; does not fail in any major area</w:t>
            </w:r>
          </w:p>
        </w:tc>
      </w:tr>
      <w:tr w:rsidR="00C1455E" w:rsidRPr="005540B8" w14:paraId="6826AD89" w14:textId="77777777" w:rsidTr="00C1455E">
        <w:trPr>
          <w:trHeight w:val="1020"/>
          <w:jc w:val="center"/>
        </w:trPr>
        <w:tc>
          <w:tcPr>
            <w:tcW w:w="3887"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vAlign w:val="center"/>
            <w:hideMark/>
          </w:tcPr>
          <w:p w14:paraId="6826AD87" w14:textId="77777777" w:rsidR="00C1455E" w:rsidRPr="00C1455E" w:rsidRDefault="00C1455E" w:rsidP="00C1455E">
            <w:pPr>
              <w:spacing w:before="60" w:after="60" w:line="276" w:lineRule="auto"/>
              <w:jc w:val="center"/>
              <w:rPr>
                <w:rFonts w:eastAsia="Times New Roman" w:cs="Calibri"/>
                <w:lang w:val="en-AU"/>
              </w:rPr>
            </w:pPr>
            <w:r w:rsidRPr="00C1455E">
              <w:rPr>
                <w:rFonts w:eastAsia="Times New Roman" w:cs="Calibri"/>
                <w:lang w:val="en-AU"/>
              </w:rPr>
              <w:t>2: Poor; does not satisfy criteria in several major areas</w:t>
            </w:r>
          </w:p>
        </w:tc>
        <w:tc>
          <w:tcPr>
            <w:tcW w:w="4232"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6826AD88" w14:textId="77777777" w:rsidR="00C1455E" w:rsidRPr="00C1455E" w:rsidRDefault="00C1455E" w:rsidP="00C1455E">
            <w:pPr>
              <w:spacing w:before="60" w:after="60" w:line="276" w:lineRule="auto"/>
              <w:jc w:val="center"/>
              <w:rPr>
                <w:rFonts w:eastAsia="Times New Roman" w:cs="Calibri"/>
                <w:lang w:val="en-AU"/>
              </w:rPr>
            </w:pPr>
            <w:r w:rsidRPr="00C1455E">
              <w:rPr>
                <w:rFonts w:eastAsia="Times New Roman" w:cs="Calibri"/>
                <w:lang w:val="en-AU"/>
              </w:rPr>
              <w:t>5: Good; satisfies criteria in almost all areas</w:t>
            </w:r>
          </w:p>
        </w:tc>
      </w:tr>
      <w:tr w:rsidR="00C1455E" w:rsidRPr="005540B8" w14:paraId="6826AD8C" w14:textId="77777777" w:rsidTr="00C1455E">
        <w:trPr>
          <w:trHeight w:val="1020"/>
          <w:jc w:val="center"/>
        </w:trPr>
        <w:tc>
          <w:tcPr>
            <w:tcW w:w="3887"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6826AD8A" w14:textId="77777777" w:rsidR="00C1455E" w:rsidRPr="00C1455E" w:rsidRDefault="00C1455E" w:rsidP="00C1455E">
            <w:pPr>
              <w:spacing w:before="60" w:after="60" w:line="276" w:lineRule="auto"/>
              <w:jc w:val="center"/>
              <w:rPr>
                <w:rFonts w:eastAsia="Times New Roman" w:cs="Calibri"/>
                <w:lang w:val="en-AU"/>
              </w:rPr>
            </w:pPr>
            <w:r w:rsidRPr="00C1455E">
              <w:rPr>
                <w:rFonts w:eastAsia="Times New Roman" w:cs="Calibri"/>
                <w:lang w:val="en-AU"/>
              </w:rPr>
              <w:t>3: Less than adequate; on balance does not satisfy criteria and/or fails in at least one major area</w:t>
            </w:r>
          </w:p>
        </w:tc>
        <w:tc>
          <w:tcPr>
            <w:tcW w:w="4232"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14:paraId="6826AD8B" w14:textId="77777777" w:rsidR="00C1455E" w:rsidRPr="00C1455E" w:rsidRDefault="00C1455E" w:rsidP="00C1455E">
            <w:pPr>
              <w:spacing w:before="60" w:after="60" w:line="276" w:lineRule="auto"/>
              <w:jc w:val="center"/>
              <w:rPr>
                <w:rFonts w:eastAsia="Times New Roman" w:cs="Calibri"/>
                <w:lang w:val="en-AU"/>
              </w:rPr>
            </w:pPr>
            <w:r w:rsidRPr="00C1455E">
              <w:rPr>
                <w:rFonts w:eastAsia="Times New Roman" w:cs="Calibri"/>
                <w:lang w:val="en-AU"/>
              </w:rPr>
              <w:t>6: Very good; satisfies criteria in all areas</w:t>
            </w:r>
          </w:p>
        </w:tc>
      </w:tr>
      <w:tr w:rsidR="00C1455E" w:rsidRPr="005540B8" w14:paraId="6826AD8E" w14:textId="77777777" w:rsidTr="00C1455E">
        <w:trPr>
          <w:trHeight w:val="1020"/>
          <w:jc w:val="center"/>
        </w:trPr>
        <w:tc>
          <w:tcPr>
            <w:tcW w:w="81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26AD8D" w14:textId="05A1E726" w:rsidR="00C1455E" w:rsidRPr="00C1455E" w:rsidRDefault="00C1455E" w:rsidP="00C1455E">
            <w:pPr>
              <w:spacing w:before="60" w:after="60" w:line="276" w:lineRule="auto"/>
              <w:jc w:val="center"/>
              <w:rPr>
                <w:rFonts w:eastAsia="Times New Roman" w:cs="Calibri"/>
                <w:lang w:val="en-AU"/>
              </w:rPr>
            </w:pPr>
            <w:r w:rsidRPr="00C1455E">
              <w:rPr>
                <w:rFonts w:eastAsia="Times New Roman" w:cs="Calibri"/>
                <w:lang w:val="en-AU"/>
              </w:rPr>
              <w:t>TE: Too early to rate</w:t>
            </w:r>
            <w:r w:rsidR="00CF4D20">
              <w:rPr>
                <w:rStyle w:val="EndnoteReference"/>
                <w:rFonts w:eastAsia="Times New Roman" w:cs="Calibri"/>
                <w:lang w:val="en-AU"/>
              </w:rPr>
              <w:endnoteReference w:id="41"/>
            </w:r>
          </w:p>
        </w:tc>
      </w:tr>
    </w:tbl>
    <w:p w14:paraId="6826AD8F" w14:textId="77777777" w:rsidR="00C1455E" w:rsidRPr="00C1455E" w:rsidRDefault="00C1455E" w:rsidP="00C1455E">
      <w:pPr>
        <w:spacing w:before="120" w:after="120" w:line="276" w:lineRule="auto"/>
        <w:jc w:val="both"/>
        <w:rPr>
          <w:rFonts w:eastAsia="Times New Roman" w:cs="Calibri"/>
          <w:lang w:val="en-AU"/>
        </w:rPr>
      </w:pPr>
    </w:p>
    <w:p w14:paraId="6826AD90" w14:textId="77777777" w:rsidR="00B80383" w:rsidRDefault="00B80383" w:rsidP="00F300B3">
      <w:pPr>
        <w:rPr>
          <w:b/>
          <w:sz w:val="28"/>
          <w:szCs w:val="28"/>
        </w:rPr>
        <w:sectPr w:rsidR="00B80383" w:rsidSect="00B80383">
          <w:pgSz w:w="16838" w:h="11906" w:orient="landscape"/>
          <w:pgMar w:top="1440" w:right="1440" w:bottom="1440" w:left="1440" w:header="709" w:footer="709" w:gutter="0"/>
          <w:cols w:space="708"/>
          <w:docGrid w:linePitch="360"/>
        </w:sectPr>
      </w:pPr>
    </w:p>
    <w:p w14:paraId="6826AD91" w14:textId="20092C1D" w:rsidR="00F300B3" w:rsidRPr="00715627" w:rsidRDefault="00F300B3" w:rsidP="00F300B3">
      <w:pPr>
        <w:rPr>
          <w:b/>
          <w:sz w:val="28"/>
          <w:szCs w:val="28"/>
        </w:rPr>
      </w:pPr>
      <w:r w:rsidRPr="00715627">
        <w:rPr>
          <w:b/>
          <w:sz w:val="28"/>
          <w:szCs w:val="28"/>
        </w:rPr>
        <w:t>Annex I</w:t>
      </w:r>
      <w:r w:rsidR="00F06E0F">
        <w:rPr>
          <w:b/>
          <w:sz w:val="28"/>
          <w:szCs w:val="28"/>
        </w:rPr>
        <w:t>II</w:t>
      </w:r>
      <w:r w:rsidRPr="00715627">
        <w:rPr>
          <w:b/>
          <w:sz w:val="28"/>
          <w:szCs w:val="28"/>
        </w:rPr>
        <w:t xml:space="preserve">: </w:t>
      </w:r>
      <w:bookmarkEnd w:id="203"/>
      <w:r w:rsidRPr="00715627">
        <w:rPr>
          <w:b/>
          <w:sz w:val="28"/>
          <w:szCs w:val="28"/>
        </w:rPr>
        <w:t xml:space="preserve">Assessment </w:t>
      </w:r>
      <w:r w:rsidR="007E7CA0">
        <w:rPr>
          <w:b/>
          <w:sz w:val="28"/>
          <w:szCs w:val="28"/>
        </w:rPr>
        <w:t xml:space="preserve">of the EP </w:t>
      </w:r>
      <w:r w:rsidRPr="00715627">
        <w:rPr>
          <w:b/>
          <w:sz w:val="28"/>
          <w:szCs w:val="28"/>
        </w:rPr>
        <w:t>against DFAT’s eight VFM principles</w:t>
      </w:r>
      <w:r w:rsidR="006B0647">
        <w:rPr>
          <w:rStyle w:val="EndnoteReference"/>
          <w:b/>
          <w:sz w:val="28"/>
          <w:szCs w:val="28"/>
        </w:rPr>
        <w:endnoteReference w:id="42"/>
      </w:r>
    </w:p>
    <w:p w14:paraId="6826AD92" w14:textId="77777777" w:rsidR="00F300B3" w:rsidRPr="00715627" w:rsidRDefault="00F300B3" w:rsidP="00715627">
      <w:pPr>
        <w:rPr>
          <w:b/>
          <w:szCs w:val="24"/>
        </w:rPr>
      </w:pPr>
      <w:r w:rsidRPr="00715627">
        <w:rPr>
          <w:b/>
          <w:sz w:val="24"/>
          <w:szCs w:val="24"/>
        </w:rPr>
        <w:t>VFM Principle #1: Cost consciousness</w:t>
      </w:r>
    </w:p>
    <w:p w14:paraId="6826AD93" w14:textId="77777777" w:rsidR="00F300B3" w:rsidRPr="00E36C1D" w:rsidRDefault="00F300B3" w:rsidP="00F300B3">
      <w:pPr>
        <w:spacing w:line="276" w:lineRule="auto"/>
        <w:jc w:val="both"/>
        <w:rPr>
          <w:i/>
        </w:rPr>
      </w:pPr>
      <w:r w:rsidRPr="00E36C1D">
        <w:rPr>
          <w:i/>
        </w:rPr>
        <w:t xml:space="preserve">Definition: </w:t>
      </w:r>
      <w:r>
        <w:rPr>
          <w:i/>
        </w:rPr>
        <w:t>re</w:t>
      </w:r>
      <w:r w:rsidRPr="00E36C1D">
        <w:rPr>
          <w:i/>
        </w:rPr>
        <w:t>quires DFAT to seek reasonable opportunities to reduce costs at every level of operations and to scrutinise programing costs to ensure the most cost-effective options are pursued.</w:t>
      </w:r>
    </w:p>
    <w:p w14:paraId="6826AD94" w14:textId="77777777" w:rsidR="00F300B3" w:rsidRDefault="00F300B3" w:rsidP="00F300B3">
      <w:pPr>
        <w:spacing w:line="276" w:lineRule="auto"/>
        <w:jc w:val="both"/>
      </w:pPr>
      <w:r>
        <w:t xml:space="preserve">DFAT and its implementing partners scrutinized programming costs on a regular basis (e.g. on submission of monthly invoices and quarterly and annual reports and work plans). </w:t>
      </w:r>
      <w:r w:rsidRPr="00E36C1D">
        <w:t>ACDP’s MTR</w:t>
      </w:r>
      <w:r>
        <w:rPr>
          <w:rStyle w:val="EndnoteReference"/>
        </w:rPr>
        <w:endnoteReference w:id="43"/>
      </w:r>
      <w:r w:rsidR="006501A7">
        <w:t xml:space="preserve"> of October 2014 scored ACDP a ‘</w:t>
      </w:r>
      <w:r>
        <w:t>Green</w:t>
      </w:r>
      <w:r w:rsidR="006501A7">
        <w:t>’</w:t>
      </w:r>
      <w:r>
        <w:rPr>
          <w:rStyle w:val="FootnoteReference"/>
        </w:rPr>
        <w:footnoteReference w:id="43"/>
      </w:r>
      <w:r>
        <w:t xml:space="preserve"> in terms of its monitoring, controlling and accurate forecasting of program costs</w:t>
      </w:r>
      <w:r>
        <w:rPr>
          <w:rStyle w:val="EndnoteReference"/>
        </w:rPr>
        <w:endnoteReference w:id="44"/>
      </w:r>
      <w:r>
        <w:t xml:space="preserve">, concluding that </w:t>
      </w:r>
      <w:r w:rsidRPr="00AA0FFA">
        <w:t>“the ACDP secretariat and the ADB is operating in a cost-conscious manner</w:t>
      </w:r>
      <w:r>
        <w:t>”</w:t>
      </w:r>
      <w:r>
        <w:rPr>
          <w:rStyle w:val="EndnoteReference"/>
        </w:rPr>
        <w:endnoteReference w:id="45"/>
      </w:r>
      <w:r w:rsidRPr="00AA0FFA">
        <w:t>.</w:t>
      </w:r>
      <w:r>
        <w:t xml:space="preserve"> Where possible, DFAT and its partners also actively sought to reduce costs during implementation (e.g. through scrutiny of procurement proposals; consideration of alternative delivery options; adherence to the Adviser Remuneration Framework - ARF). To that extent, the EP was conscious of cost. Nevertheless, the capping of unit costs had some adverse effects. For example, the sharp decline in the value of the AUD in 2014/15 created several instances where implementing partners were unable to attract international expertise within the bounds of the ARF. Even in the case of the ADB-managed ACDP (which issued USD contracts), the MTR noted that “i</w:t>
      </w:r>
      <w:r w:rsidRPr="00525583">
        <w:rPr>
          <w:bCs/>
        </w:rPr>
        <w:t>n some instances, ACDP has not been able to meet the fee rates demanded by international experts</w:t>
      </w:r>
      <w:r>
        <w:rPr>
          <w:bCs/>
        </w:rPr>
        <w:t>”</w:t>
      </w:r>
      <w:r w:rsidRPr="00836F0B">
        <w:rPr>
          <w:rStyle w:val="EndnoteReference"/>
        </w:rPr>
        <w:t xml:space="preserve"> </w:t>
      </w:r>
      <w:r>
        <w:rPr>
          <w:rStyle w:val="EndnoteReference"/>
        </w:rPr>
        <w:endnoteReference w:id="46"/>
      </w:r>
      <w:r w:rsidRPr="00525583">
        <w:rPr>
          <w:bCs/>
        </w:rPr>
        <w:t xml:space="preserve">. </w:t>
      </w:r>
      <w:r>
        <w:rPr>
          <w:bCs/>
        </w:rPr>
        <w:t xml:space="preserve">Both cases serve as a reminder that cost-consciousness does not, in itself, create VFM dividends. </w:t>
      </w:r>
    </w:p>
    <w:p w14:paraId="6826AD95" w14:textId="5FDB6838" w:rsidR="00F300B3" w:rsidRDefault="00F300B3" w:rsidP="00F300B3">
      <w:pPr>
        <w:spacing w:after="240" w:line="276" w:lineRule="auto"/>
        <w:jc w:val="both"/>
      </w:pPr>
      <w:r>
        <w:t>The relatively inflexible</w:t>
      </w:r>
      <w:r w:rsidR="0098551C">
        <w:t xml:space="preserve">, </w:t>
      </w:r>
      <w:r>
        <w:t>delivery mechanisms that were selected at design stage served to limit opportunities to pursue more cost-effective delivery options</w:t>
      </w:r>
      <w:r w:rsidR="00AC5F2A">
        <w:t>,</w:t>
      </w:r>
      <w:r>
        <w:t xml:space="preserve"> options that are often present in a facility modality. Moreover, it is unclear if explicit attention was given to estimating – quantifying and/or monetarising – benefits in relation to costs at planning stage, e.g. to see how much it was worth investing in particular areas or to determine if there might be more cost-effective means to achieve particular outcomes. Indeed, the gradual reduction in the number of schools to be built in C1 – from “around 2000”</w:t>
      </w:r>
      <w:r>
        <w:rPr>
          <w:rStyle w:val="EndnoteReference"/>
        </w:rPr>
        <w:endnoteReference w:id="47"/>
      </w:r>
      <w:r>
        <w:t xml:space="preserve"> at </w:t>
      </w:r>
      <w:r w:rsidRPr="009F298F">
        <w:t>design stage</w:t>
      </w:r>
      <w:r>
        <w:t xml:space="preserve"> to 1,15</w:t>
      </w:r>
      <w:r w:rsidR="00452251">
        <w:t>5</w:t>
      </w:r>
      <w:r>
        <w:t xml:space="preserve"> by 2015-16 – suggests questionable quality assurance at the point of design, e.g. in terms of projecting inevitable unit cost inflation. As such and by way of example, since the ultimate objective of C1 was to increase enrolment (rather than to create new school places) there may well have been a more cost-effective way of reaching the objective.</w:t>
      </w:r>
    </w:p>
    <w:p w14:paraId="6826AD96" w14:textId="77777777" w:rsidR="00F300B3" w:rsidRPr="00715627" w:rsidRDefault="00F300B3" w:rsidP="00715627">
      <w:pPr>
        <w:rPr>
          <w:b/>
          <w:szCs w:val="24"/>
        </w:rPr>
      </w:pPr>
      <w:r w:rsidRPr="00715627">
        <w:rPr>
          <w:b/>
          <w:sz w:val="24"/>
          <w:szCs w:val="24"/>
        </w:rPr>
        <w:t>VFM Principle #2: Encouraging competition</w:t>
      </w:r>
    </w:p>
    <w:p w14:paraId="6826AD97" w14:textId="77777777" w:rsidR="00F300B3" w:rsidRPr="008959E2" w:rsidRDefault="00F300B3" w:rsidP="00F300B3">
      <w:pPr>
        <w:spacing w:line="276" w:lineRule="auto"/>
        <w:jc w:val="both"/>
        <w:rPr>
          <w:i/>
        </w:rPr>
      </w:pPr>
      <w:r w:rsidRPr="008959E2">
        <w:rPr>
          <w:i/>
        </w:rPr>
        <w:t>Definition: requires DFAT to compare competing methods and partners and to select the option that offers the optimal mix of costs and benefits.</w:t>
      </w:r>
    </w:p>
    <w:p w14:paraId="6826AD98" w14:textId="44FEAE6B" w:rsidR="00F300B3" w:rsidRDefault="00F300B3" w:rsidP="00F300B3">
      <w:pPr>
        <w:spacing w:after="240" w:line="276" w:lineRule="auto"/>
        <w:jc w:val="both"/>
        <w:rPr>
          <w:bCs/>
        </w:rPr>
      </w:pPr>
      <w:r>
        <w:rPr>
          <w:bCs/>
        </w:rPr>
        <w:t>DFAT employed competitive processes for the selection of Managing Contractors to act as Implementing Partners for SSQ (C1-3), POM and EPOS, and encouraged competition in the selection of contractors for activities funded under grant agreements. The exception to this rule was the direct appointment of the ADB for the management of C4</w:t>
      </w:r>
      <w:r>
        <w:rPr>
          <w:rStyle w:val="FootnoteReference"/>
          <w:bCs/>
        </w:rPr>
        <w:footnoteReference w:id="44"/>
      </w:r>
      <w:r>
        <w:rPr>
          <w:bCs/>
        </w:rPr>
        <w:t xml:space="preserve">. In spite of the advantages offered by the ADB for this role, the direct appointment of a multilateral agency as an implementing partner proved restrictive. DFAT, as the </w:t>
      </w:r>
      <w:r w:rsidRPr="0088142F">
        <w:rPr>
          <w:bCs/>
          <w:i/>
        </w:rPr>
        <w:t>de facto</w:t>
      </w:r>
      <w:r>
        <w:rPr>
          <w:bCs/>
        </w:rPr>
        <w:t xml:space="preserve"> manager of the EP, was comfortable providing explicit direction to Implementing Partners selected through competitive tender arrangements but was less effective in securing remedial action from the multilateral partner (e.g. </w:t>
      </w:r>
      <w:r w:rsidR="00725E9B">
        <w:rPr>
          <w:bCs/>
        </w:rPr>
        <w:t>t</w:t>
      </w:r>
      <w:r>
        <w:rPr>
          <w:bCs/>
        </w:rPr>
        <w:t xml:space="preserve">he protracted concerns about ADB’s procurement mechanisms and the </w:t>
      </w:r>
      <w:r w:rsidR="00066FA2">
        <w:rPr>
          <w:bCs/>
        </w:rPr>
        <w:t xml:space="preserve">long </w:t>
      </w:r>
      <w:r>
        <w:rPr>
          <w:bCs/>
        </w:rPr>
        <w:t>delay in appointing an M&amp;E Specialist to the ACDP).</w:t>
      </w:r>
      <w:r w:rsidR="00D00C09">
        <w:rPr>
          <w:bCs/>
        </w:rPr>
        <w:t xml:space="preserve"> </w:t>
      </w:r>
    </w:p>
    <w:p w14:paraId="6826AD99" w14:textId="77777777" w:rsidR="00F300B3" w:rsidRDefault="00F300B3" w:rsidP="00F300B3">
      <w:pPr>
        <w:spacing w:line="276" w:lineRule="auto"/>
        <w:jc w:val="both"/>
        <w:rPr>
          <w:bCs/>
        </w:rPr>
      </w:pPr>
      <w:r>
        <w:rPr>
          <w:bCs/>
        </w:rPr>
        <w:t>Governed as they were by the Commonwealth Procurement Rules (CPR), the Managing Contractors</w:t>
      </w:r>
      <w:r w:rsidRPr="006359A0">
        <w:rPr>
          <w:bCs/>
        </w:rPr>
        <w:t xml:space="preserve"> </w:t>
      </w:r>
      <w:r>
        <w:rPr>
          <w:bCs/>
        </w:rPr>
        <w:t xml:space="preserve">routinely </w:t>
      </w:r>
      <w:r w:rsidRPr="006359A0">
        <w:rPr>
          <w:bCs/>
        </w:rPr>
        <w:t>consider</w:t>
      </w:r>
      <w:r>
        <w:rPr>
          <w:bCs/>
        </w:rPr>
        <w:t>ed</w:t>
      </w:r>
      <w:r w:rsidRPr="006359A0">
        <w:rPr>
          <w:bCs/>
        </w:rPr>
        <w:t xml:space="preserve"> and compare</w:t>
      </w:r>
      <w:r>
        <w:rPr>
          <w:bCs/>
        </w:rPr>
        <w:t>d</w:t>
      </w:r>
      <w:r w:rsidRPr="006359A0">
        <w:rPr>
          <w:bCs/>
        </w:rPr>
        <w:t xml:space="preserve"> </w:t>
      </w:r>
      <w:r>
        <w:rPr>
          <w:bCs/>
        </w:rPr>
        <w:t xml:space="preserve">delivery options and service providers. They appear to have used the </w:t>
      </w:r>
      <w:r w:rsidRPr="006359A0">
        <w:rPr>
          <w:bCs/>
        </w:rPr>
        <w:t xml:space="preserve">ARF </w:t>
      </w:r>
      <w:r>
        <w:rPr>
          <w:bCs/>
        </w:rPr>
        <w:t>a</w:t>
      </w:r>
      <w:r w:rsidRPr="006359A0">
        <w:rPr>
          <w:bCs/>
        </w:rPr>
        <w:t>ppropriately</w:t>
      </w:r>
      <w:r>
        <w:rPr>
          <w:bCs/>
        </w:rPr>
        <w:t>, with the necessary submission of procurement proposals offering DFAT the opportunity to ensure that costs and benefits had been considered and the optimal mix selected</w:t>
      </w:r>
      <w:r w:rsidRPr="006359A0">
        <w:rPr>
          <w:bCs/>
        </w:rPr>
        <w:t xml:space="preserve">. </w:t>
      </w:r>
      <w:r>
        <w:rPr>
          <w:bCs/>
        </w:rPr>
        <w:t xml:space="preserve">The ADB, which was not bound by the CPR, adhered to ADB </w:t>
      </w:r>
      <w:r w:rsidRPr="005D3598">
        <w:rPr>
          <w:bCs/>
        </w:rPr>
        <w:t xml:space="preserve">policies and procedures for selecting, contracting and monitoring of consultants as specified in </w:t>
      </w:r>
      <w:r w:rsidRPr="00DE2A04">
        <w:rPr>
          <w:bCs/>
          <w:i/>
        </w:rPr>
        <w:t>The Guidelines on the Use of Consultants by the Asian Development Bank and Its Borrowers</w:t>
      </w:r>
      <w:r>
        <w:rPr>
          <w:bCs/>
        </w:rPr>
        <w:t xml:space="preserve"> (2010). Even so, the MTR of ACDP in October 2014 pointed to </w:t>
      </w:r>
      <w:r w:rsidRPr="00845E69">
        <w:rPr>
          <w:bCs/>
        </w:rPr>
        <w:t>a “poor procurement mechanism [that did] not generate healthy competition”</w:t>
      </w:r>
      <w:r>
        <w:rPr>
          <w:rStyle w:val="FootnoteReference"/>
          <w:bCs/>
        </w:rPr>
        <w:footnoteReference w:id="45"/>
      </w:r>
      <w:r>
        <w:rPr>
          <w:bCs/>
        </w:rPr>
        <w:t xml:space="preserve"> and went on to express concern about timely delivery</w:t>
      </w:r>
      <w:r>
        <w:rPr>
          <w:rStyle w:val="FootnoteReference"/>
          <w:bCs/>
        </w:rPr>
        <w:footnoteReference w:id="46"/>
      </w:r>
      <w:r>
        <w:rPr>
          <w:bCs/>
        </w:rPr>
        <w:t xml:space="preserve">. The ADB subsequently ‘refreshed’ the composition of the shortlisted consortia for the </w:t>
      </w:r>
      <w:r w:rsidRPr="005D3598">
        <w:rPr>
          <w:bCs/>
        </w:rPr>
        <w:t>Indefinite Delivery Contracts</w:t>
      </w:r>
      <w:r>
        <w:rPr>
          <w:bCs/>
        </w:rPr>
        <w:t xml:space="preserve"> and sought to identify more agile ways to procure individual consultants. </w:t>
      </w:r>
    </w:p>
    <w:p w14:paraId="6826AD9A" w14:textId="77777777" w:rsidR="00F300B3" w:rsidRDefault="00F300B3" w:rsidP="00F300B3">
      <w:pPr>
        <w:spacing w:line="276" w:lineRule="auto"/>
        <w:jc w:val="both"/>
        <w:rPr>
          <w:bCs/>
        </w:rPr>
      </w:pPr>
      <w:r>
        <w:rPr>
          <w:bCs/>
        </w:rPr>
        <w:t xml:space="preserve">Where expenditure was governed by the Grant Agreements, procurement was guided by </w:t>
      </w:r>
      <w:r w:rsidRPr="00900510">
        <w:rPr>
          <w:bCs/>
        </w:rPr>
        <w:t>agreed procedure</w:t>
      </w:r>
      <w:r>
        <w:rPr>
          <w:bCs/>
        </w:rPr>
        <w:t>s</w:t>
      </w:r>
      <w:r w:rsidRPr="00900510">
        <w:rPr>
          <w:bCs/>
        </w:rPr>
        <w:t xml:space="preserve"> </w:t>
      </w:r>
      <w:r w:rsidRPr="00CF05BA">
        <w:rPr>
          <w:bCs/>
        </w:rPr>
        <w:t>man</w:t>
      </w:r>
      <w:r>
        <w:rPr>
          <w:bCs/>
        </w:rPr>
        <w:t xml:space="preserve">uals that emphasised the use of value for money procurement principles and adherence to competitive procurement processes. Performance was </w:t>
      </w:r>
      <w:r w:rsidRPr="00CF05BA">
        <w:rPr>
          <w:bCs/>
        </w:rPr>
        <w:t xml:space="preserve">subjected to independent </w:t>
      </w:r>
      <w:r>
        <w:rPr>
          <w:bCs/>
        </w:rPr>
        <w:t>financial audit and c</w:t>
      </w:r>
      <w:r w:rsidRPr="00CF05BA">
        <w:rPr>
          <w:bCs/>
        </w:rPr>
        <w:t xml:space="preserve">ompliance </w:t>
      </w:r>
      <w:r>
        <w:rPr>
          <w:bCs/>
        </w:rPr>
        <w:t>r</w:t>
      </w:r>
      <w:r w:rsidRPr="00CF05BA">
        <w:rPr>
          <w:bCs/>
        </w:rPr>
        <w:t xml:space="preserve">eview </w:t>
      </w:r>
      <w:r w:rsidRPr="006F42EC">
        <w:rPr>
          <w:bCs/>
        </w:rPr>
        <w:t xml:space="preserve">in accordance with the standards issued by the International Auditing and Assurance Board (IAASB) and the Indonesian Institute of Certified Public Accountants (IICPA). </w:t>
      </w:r>
      <w:r w:rsidRPr="00CF05BA">
        <w:rPr>
          <w:bCs/>
        </w:rPr>
        <w:t>With respect to C1, the audits found</w:t>
      </w:r>
      <w:r>
        <w:rPr>
          <w:bCs/>
        </w:rPr>
        <w:t xml:space="preserve"> that applying competitive principles in remote locations was challenging given the paucity of recognised suppliers</w:t>
      </w:r>
      <w:r w:rsidRPr="00CF05BA">
        <w:rPr>
          <w:bCs/>
        </w:rPr>
        <w:t>. With regards to procurement in C2, the 2014 audits found</w:t>
      </w:r>
      <w:r>
        <w:rPr>
          <w:bCs/>
        </w:rPr>
        <w:t xml:space="preserve"> that, although improvements could be made with respect to effective procurement practices, the majority of Eligible Entities applied</w:t>
      </w:r>
      <w:r w:rsidRPr="006B1F10">
        <w:t xml:space="preserve"> </w:t>
      </w:r>
      <w:r>
        <w:t>the p</w:t>
      </w:r>
      <w:r>
        <w:rPr>
          <w:bCs/>
        </w:rPr>
        <w:t xml:space="preserve">rinciple </w:t>
      </w:r>
      <w:r w:rsidRPr="006B1F10">
        <w:rPr>
          <w:bCs/>
        </w:rPr>
        <w:t>of competitiveness</w:t>
      </w:r>
      <w:r>
        <w:rPr>
          <w:bCs/>
        </w:rPr>
        <w:t>.</w:t>
      </w:r>
      <w:r w:rsidR="00D00C09">
        <w:rPr>
          <w:bCs/>
        </w:rPr>
        <w:t xml:space="preserve"> </w:t>
      </w:r>
    </w:p>
    <w:p w14:paraId="6826AD9B" w14:textId="77777777" w:rsidR="00F300B3" w:rsidRPr="00715627" w:rsidRDefault="00F300B3" w:rsidP="00715627">
      <w:pPr>
        <w:rPr>
          <w:b/>
          <w:szCs w:val="24"/>
        </w:rPr>
      </w:pPr>
      <w:r w:rsidRPr="00715627">
        <w:rPr>
          <w:b/>
          <w:sz w:val="24"/>
          <w:szCs w:val="24"/>
        </w:rPr>
        <w:t>VFM Principle #3: Evidence-based decision-making</w:t>
      </w:r>
    </w:p>
    <w:p w14:paraId="6826AD9C" w14:textId="77777777" w:rsidR="00F300B3" w:rsidRPr="008959E2" w:rsidRDefault="00F300B3" w:rsidP="00F300B3">
      <w:pPr>
        <w:spacing w:line="276" w:lineRule="auto"/>
        <w:jc w:val="both"/>
        <w:rPr>
          <w:i/>
        </w:rPr>
      </w:pPr>
      <w:r w:rsidRPr="008959E2">
        <w:rPr>
          <w:i/>
        </w:rPr>
        <w:t>Definition: requires systematic, structured and rational approaches to decision making, framed around logical arguments informed by accurate analysis</w:t>
      </w:r>
      <w:r>
        <w:rPr>
          <w:i/>
        </w:rPr>
        <w:t>.</w:t>
      </w:r>
    </w:p>
    <w:p w14:paraId="6826AD9D" w14:textId="77777777" w:rsidR="00F300B3" w:rsidRDefault="00F300B3" w:rsidP="00F300B3">
      <w:pPr>
        <w:spacing w:after="240" w:line="276" w:lineRule="auto"/>
        <w:jc w:val="both"/>
        <w:rPr>
          <w:bCs/>
        </w:rPr>
      </w:pPr>
      <w:r>
        <w:rPr>
          <w:bCs/>
        </w:rPr>
        <w:t xml:space="preserve">The creation of POM, the TOGs and the GOG offered an enabling environment for </w:t>
      </w:r>
      <w:r w:rsidRPr="008C43E8">
        <w:rPr>
          <w:bCs/>
        </w:rPr>
        <w:t>evidence-based decision-making</w:t>
      </w:r>
      <w:r w:rsidRPr="00CF05BA">
        <w:rPr>
          <w:bCs/>
        </w:rPr>
        <w:t xml:space="preserve">, or more realistically, </w:t>
      </w:r>
      <w:r>
        <w:rPr>
          <w:bCs/>
        </w:rPr>
        <w:t xml:space="preserve">for </w:t>
      </w:r>
      <w:r w:rsidRPr="00CF05BA">
        <w:rPr>
          <w:bCs/>
        </w:rPr>
        <w:t>evidence-</w:t>
      </w:r>
      <w:r w:rsidRPr="00CF05BA">
        <w:rPr>
          <w:bCs/>
          <w:i/>
        </w:rPr>
        <w:t>informed</w:t>
      </w:r>
      <w:r w:rsidRPr="00CF05BA">
        <w:rPr>
          <w:bCs/>
        </w:rPr>
        <w:t xml:space="preserve"> decision-making</w:t>
      </w:r>
      <w:r>
        <w:rPr>
          <w:bCs/>
        </w:rPr>
        <w:t xml:space="preserve"> </w:t>
      </w:r>
      <w:r w:rsidRPr="00CF05BA">
        <w:rPr>
          <w:bCs/>
        </w:rPr>
        <w:t>to occur</w:t>
      </w:r>
      <w:r w:rsidRPr="004604D1">
        <w:rPr>
          <w:bCs/>
        </w:rPr>
        <w:t xml:space="preserve"> </w:t>
      </w:r>
      <w:r>
        <w:rPr>
          <w:bCs/>
        </w:rPr>
        <w:t>within the EP.</w:t>
      </w:r>
      <w:r w:rsidR="00D00C09">
        <w:rPr>
          <w:bCs/>
        </w:rPr>
        <w:t xml:space="preserve"> </w:t>
      </w:r>
      <w:r>
        <w:rPr>
          <w:bCs/>
        </w:rPr>
        <w:t>Moreover, the establishment of these bodies was a clear signal that decisions were to be taken in a transparent and collegiate way</w:t>
      </w:r>
      <w:r w:rsidRPr="006A02B9">
        <w:rPr>
          <w:bCs/>
        </w:rPr>
        <w:t xml:space="preserve"> </w:t>
      </w:r>
      <w:r>
        <w:rPr>
          <w:bCs/>
        </w:rPr>
        <w:t>and be based on the accumulation of credible performance evidence</w:t>
      </w:r>
      <w:r w:rsidR="00725E9B">
        <w:rPr>
          <w:bCs/>
        </w:rPr>
        <w:t>.</w:t>
      </w:r>
      <w:r>
        <w:rPr>
          <w:bCs/>
        </w:rPr>
        <w:t xml:space="preserve"> (also see </w:t>
      </w:r>
      <w:r w:rsidR="00725E9B">
        <w:rPr>
          <w:bCs/>
        </w:rPr>
        <w:t>VFM Principle #5</w:t>
      </w:r>
      <w:r>
        <w:rPr>
          <w:bCs/>
        </w:rPr>
        <w:t>, below).</w:t>
      </w:r>
      <w:r w:rsidR="00D00C09">
        <w:rPr>
          <w:bCs/>
        </w:rPr>
        <w:t xml:space="preserve"> </w:t>
      </w:r>
    </w:p>
    <w:p w14:paraId="6826AD9E" w14:textId="77777777" w:rsidR="00F300B3" w:rsidRPr="00FA5BAC" w:rsidRDefault="00F300B3" w:rsidP="00F300B3">
      <w:pPr>
        <w:spacing w:after="240" w:line="276" w:lineRule="auto"/>
        <w:jc w:val="both"/>
        <w:rPr>
          <w:bCs/>
        </w:rPr>
      </w:pPr>
      <w:r>
        <w:rPr>
          <w:bCs/>
        </w:rPr>
        <w:t>Perhaps</w:t>
      </w:r>
      <w:r w:rsidRPr="003A6CF4">
        <w:rPr>
          <w:bCs/>
        </w:rPr>
        <w:t xml:space="preserve"> inevitably</w:t>
      </w:r>
      <w:r>
        <w:rPr>
          <w:bCs/>
        </w:rPr>
        <w:t>, the extent to which evidence</w:t>
      </w:r>
      <w:r w:rsidRPr="003A6CF4">
        <w:rPr>
          <w:bCs/>
        </w:rPr>
        <w:t xml:space="preserve"> was used to </w:t>
      </w:r>
      <w:r>
        <w:rPr>
          <w:bCs/>
        </w:rPr>
        <w:t xml:space="preserve">inform decision-making varied </w:t>
      </w:r>
      <w:r w:rsidRPr="003A6CF4">
        <w:rPr>
          <w:bCs/>
        </w:rPr>
        <w:t>b</w:t>
      </w:r>
      <w:r>
        <w:rPr>
          <w:bCs/>
        </w:rPr>
        <w:t>etween the two institutional partners, between components and between different levels of program implementation</w:t>
      </w:r>
      <w:r w:rsidRPr="00965C17">
        <w:rPr>
          <w:bCs/>
        </w:rPr>
        <w:t xml:space="preserve">. </w:t>
      </w:r>
      <w:r>
        <w:rPr>
          <w:bCs/>
        </w:rPr>
        <w:t>Where positive examples exist, they were generally accompanied by t</w:t>
      </w:r>
      <w:r w:rsidRPr="00965C17">
        <w:rPr>
          <w:bCs/>
        </w:rPr>
        <w:t xml:space="preserve">he </w:t>
      </w:r>
      <w:r>
        <w:rPr>
          <w:bCs/>
        </w:rPr>
        <w:t xml:space="preserve">timely provision of credible evidence, </w:t>
      </w:r>
      <w:r w:rsidRPr="00965C17">
        <w:rPr>
          <w:bCs/>
        </w:rPr>
        <w:t xml:space="preserve">the presence of </w:t>
      </w:r>
      <w:r>
        <w:rPr>
          <w:bCs/>
        </w:rPr>
        <w:t xml:space="preserve">trusted </w:t>
      </w:r>
      <w:r w:rsidRPr="00965C17">
        <w:rPr>
          <w:bCs/>
        </w:rPr>
        <w:t xml:space="preserve">relationship between </w:t>
      </w:r>
      <w:r>
        <w:rPr>
          <w:bCs/>
        </w:rPr>
        <w:t xml:space="preserve">the evidence provider and the decision-maker, </w:t>
      </w:r>
      <w:r w:rsidRPr="00965C17">
        <w:rPr>
          <w:bCs/>
        </w:rPr>
        <w:t xml:space="preserve">and an appetite to improve </w:t>
      </w:r>
      <w:r>
        <w:rPr>
          <w:bCs/>
        </w:rPr>
        <w:t>EP performance</w:t>
      </w:r>
      <w:r w:rsidRPr="00965C17">
        <w:rPr>
          <w:bCs/>
        </w:rPr>
        <w:t>.</w:t>
      </w:r>
      <w:r>
        <w:rPr>
          <w:bCs/>
        </w:rPr>
        <w:t xml:space="preserve"> </w:t>
      </w:r>
      <w:r w:rsidRPr="00965C17">
        <w:rPr>
          <w:bCs/>
        </w:rPr>
        <w:t>In the</w:t>
      </w:r>
      <w:r>
        <w:rPr>
          <w:bCs/>
        </w:rPr>
        <w:t xml:space="preserve"> case of C1, for example, </w:t>
      </w:r>
      <w:r w:rsidRPr="00965C17">
        <w:rPr>
          <w:bCs/>
        </w:rPr>
        <w:t xml:space="preserve">partners took informed decisions </w:t>
      </w:r>
      <w:r>
        <w:rPr>
          <w:bCs/>
        </w:rPr>
        <w:t xml:space="preserve">about school site selection and </w:t>
      </w:r>
      <w:r w:rsidRPr="00965C17">
        <w:rPr>
          <w:bCs/>
        </w:rPr>
        <w:t>t</w:t>
      </w:r>
      <w:r>
        <w:rPr>
          <w:bCs/>
        </w:rPr>
        <w:t xml:space="preserve">he Complaints Handling System </w:t>
      </w:r>
      <w:r w:rsidRPr="00965C17">
        <w:rPr>
          <w:bCs/>
        </w:rPr>
        <w:t>which ultimately contrib</w:t>
      </w:r>
      <w:r>
        <w:rPr>
          <w:bCs/>
        </w:rPr>
        <w:t xml:space="preserve">uted to continuous improvement and </w:t>
      </w:r>
      <w:r w:rsidR="00725E9B">
        <w:rPr>
          <w:bCs/>
        </w:rPr>
        <w:t>organisational learning</w:t>
      </w:r>
      <w:r>
        <w:rPr>
          <w:bCs/>
        </w:rPr>
        <w:t>. Equally, C3’s better targeting of unaccredited madrasah from Cycle 2 reflected improved understanding of the superior value addition it could offer should it focus its energy on madrasah</w:t>
      </w:r>
      <w:r w:rsidRPr="004C2D0D">
        <w:rPr>
          <w:bCs/>
        </w:rPr>
        <w:t xml:space="preserve"> </w:t>
      </w:r>
      <w:r>
        <w:rPr>
          <w:bCs/>
        </w:rPr>
        <w:t>previously overlooked by BAN-S/M</w:t>
      </w:r>
      <w:r w:rsidRPr="00965C17">
        <w:rPr>
          <w:bCs/>
        </w:rPr>
        <w:t xml:space="preserve">. </w:t>
      </w:r>
      <w:r>
        <w:rPr>
          <w:bCs/>
        </w:rPr>
        <w:t>More broadly,</w:t>
      </w:r>
      <w:r w:rsidRPr="001A694F">
        <w:rPr>
          <w:bCs/>
        </w:rPr>
        <w:t xml:space="preserve"> </w:t>
      </w:r>
      <w:r w:rsidRPr="0007094D">
        <w:rPr>
          <w:bCs/>
        </w:rPr>
        <w:t xml:space="preserve">DFAT </w:t>
      </w:r>
      <w:r>
        <w:rPr>
          <w:bCs/>
        </w:rPr>
        <w:t xml:space="preserve">was effective in </w:t>
      </w:r>
      <w:r w:rsidRPr="0007094D">
        <w:rPr>
          <w:bCs/>
        </w:rPr>
        <w:t>app</w:t>
      </w:r>
      <w:r w:rsidRPr="00FA5BAC">
        <w:rPr>
          <w:bCs/>
        </w:rPr>
        <w:t>l</w:t>
      </w:r>
      <w:r>
        <w:rPr>
          <w:bCs/>
        </w:rPr>
        <w:t>ying evidence</w:t>
      </w:r>
      <w:r w:rsidRPr="00FA5BAC">
        <w:rPr>
          <w:bCs/>
        </w:rPr>
        <w:t xml:space="preserve"> from past experience, </w:t>
      </w:r>
      <w:r>
        <w:rPr>
          <w:bCs/>
        </w:rPr>
        <w:t>drawing</w:t>
      </w:r>
      <w:r w:rsidRPr="00FA5BAC">
        <w:rPr>
          <w:bCs/>
        </w:rPr>
        <w:t xml:space="preserve"> on a base of evidence from AIBEP and LAPIS and thereby avoiding methods and approaches that had not been successful in the past. For example, revisions to site selection in C1 drew on a body of evidence from AIBEP on the need for more accurate new school planning</w:t>
      </w:r>
      <w:r>
        <w:rPr>
          <w:bCs/>
        </w:rPr>
        <w:t>; a</w:t>
      </w:r>
      <w:r w:rsidRPr="00FA5BAC">
        <w:rPr>
          <w:bCs/>
        </w:rPr>
        <w:t>ccreditation activities piloted under LAPIS</w:t>
      </w:r>
      <w:r>
        <w:rPr>
          <w:bCs/>
        </w:rPr>
        <w:t xml:space="preserve"> informed the design and implementation of C3;</w:t>
      </w:r>
      <w:r w:rsidRPr="00FA5BAC">
        <w:rPr>
          <w:bCs/>
        </w:rPr>
        <w:t xml:space="preserve"> and AIBEP’s whole school and whole</w:t>
      </w:r>
      <w:r>
        <w:rPr>
          <w:bCs/>
        </w:rPr>
        <w:t>-of-</w:t>
      </w:r>
      <w:r w:rsidRPr="00FA5BAC">
        <w:rPr>
          <w:bCs/>
        </w:rPr>
        <w:t>district development programs inform</w:t>
      </w:r>
      <w:r>
        <w:rPr>
          <w:bCs/>
        </w:rPr>
        <w:t>ed</w:t>
      </w:r>
      <w:r w:rsidRPr="00FA5BAC">
        <w:rPr>
          <w:bCs/>
        </w:rPr>
        <w:t xml:space="preserve"> both ProDEP and NSIP. </w:t>
      </w:r>
    </w:p>
    <w:p w14:paraId="6826AD9F" w14:textId="77777777" w:rsidR="00F300B3" w:rsidRDefault="00F300B3" w:rsidP="00F300B3">
      <w:pPr>
        <w:spacing w:line="276" w:lineRule="auto"/>
        <w:jc w:val="both"/>
        <w:rPr>
          <w:bCs/>
        </w:rPr>
      </w:pPr>
      <w:r>
        <w:rPr>
          <w:bCs/>
        </w:rPr>
        <w:t xml:space="preserve">Nonetheless, while the EP performance management system, coupled with the presence of POM, the TOGs and the GOG, offered a platform and framework for evidence-informed decision to be taken, key opportunities were missed. The concerns about the efficiency of ACDP’s operations and the lack of clarity about its objectives – identified in the APPRs of 2013 and 2014 and the ACDP MTR of 2014 – persisted for much of 2014/15. </w:t>
      </w:r>
      <w:r w:rsidR="00C54779">
        <w:rPr>
          <w:bCs/>
        </w:rPr>
        <w:t>E</w:t>
      </w:r>
      <w:r>
        <w:rPr>
          <w:bCs/>
        </w:rPr>
        <w:t xml:space="preserve">vidence-informed decisions which improve the efficiency or delivery of investments, though laudable, are somewhat inconsequential so long as more strategic issues pertaining to the ongoing relevance and probable impact and sustainability of investments are insufficiently addressed. The failure to address the risks associated with C2 investment that were first raised in 2013 (and which were subsequently realised) is a case in point. </w:t>
      </w:r>
    </w:p>
    <w:p w14:paraId="6826ADA0" w14:textId="77777777" w:rsidR="00F300B3" w:rsidRDefault="00AC5F2A" w:rsidP="00F300B3">
      <w:pPr>
        <w:spacing w:line="276" w:lineRule="auto"/>
        <w:jc w:val="both"/>
        <w:rPr>
          <w:bCs/>
        </w:rPr>
      </w:pPr>
      <w:r>
        <w:rPr>
          <w:bCs/>
        </w:rPr>
        <w:t>This</w:t>
      </w:r>
      <w:r w:rsidR="00F300B3">
        <w:rPr>
          <w:bCs/>
        </w:rPr>
        <w:t xml:space="preserve"> gives rise to a final observation: w</w:t>
      </w:r>
      <w:r w:rsidR="00F300B3" w:rsidRPr="00965C17">
        <w:rPr>
          <w:bCs/>
        </w:rPr>
        <w:t xml:space="preserve">hile </w:t>
      </w:r>
      <w:r w:rsidR="00F300B3">
        <w:rPr>
          <w:bCs/>
        </w:rPr>
        <w:t xml:space="preserve">it is important that </w:t>
      </w:r>
      <w:r w:rsidR="00F300B3" w:rsidRPr="004F457A">
        <w:rPr>
          <w:bCs/>
        </w:rPr>
        <w:t xml:space="preserve">evidence </w:t>
      </w:r>
      <w:r w:rsidR="00F300B3">
        <w:rPr>
          <w:bCs/>
        </w:rPr>
        <w:t>is utilise</w:t>
      </w:r>
      <w:r w:rsidR="00F300B3" w:rsidRPr="00965C17">
        <w:rPr>
          <w:bCs/>
        </w:rPr>
        <w:t xml:space="preserve">d to inform program management, the </w:t>
      </w:r>
      <w:r w:rsidR="00F300B3" w:rsidRPr="00F61C87">
        <w:rPr>
          <w:bCs/>
          <w:i/>
        </w:rPr>
        <w:t>timeliness</w:t>
      </w:r>
      <w:r w:rsidR="00F300B3" w:rsidRPr="00DE2A04">
        <w:rPr>
          <w:bCs/>
          <w:i/>
        </w:rPr>
        <w:t xml:space="preserve"> of decision</w:t>
      </w:r>
      <w:r w:rsidR="00F300B3">
        <w:rPr>
          <w:bCs/>
          <w:i/>
        </w:rPr>
        <w:t>-making</w:t>
      </w:r>
      <w:r w:rsidR="00F300B3">
        <w:rPr>
          <w:bCs/>
        </w:rPr>
        <w:t xml:space="preserve"> </w:t>
      </w:r>
      <w:r w:rsidR="00F300B3" w:rsidRPr="00965C17">
        <w:rPr>
          <w:bCs/>
        </w:rPr>
        <w:t>is</w:t>
      </w:r>
      <w:r w:rsidR="00F300B3">
        <w:rPr>
          <w:bCs/>
        </w:rPr>
        <w:t xml:space="preserve"> possibly</w:t>
      </w:r>
      <w:r w:rsidR="00F300B3" w:rsidRPr="00965C17">
        <w:rPr>
          <w:bCs/>
        </w:rPr>
        <w:t xml:space="preserve"> equally as important</w:t>
      </w:r>
      <w:r w:rsidR="00F300B3">
        <w:rPr>
          <w:bCs/>
        </w:rPr>
        <w:t xml:space="preserve"> as the need for credible evidence to inform decision-making processes</w:t>
      </w:r>
      <w:r w:rsidR="00F300B3" w:rsidRPr="00965C17">
        <w:rPr>
          <w:bCs/>
        </w:rPr>
        <w:t xml:space="preserve">. For example, DFAT’s decision to broaden C3’s focus was correct, as was its </w:t>
      </w:r>
      <w:r w:rsidR="00F300B3" w:rsidRPr="004F457A">
        <w:rPr>
          <w:bCs/>
        </w:rPr>
        <w:t>decision in late 2015 to reverse</w:t>
      </w:r>
      <w:r w:rsidR="00F300B3" w:rsidRPr="00965C17">
        <w:rPr>
          <w:bCs/>
        </w:rPr>
        <w:t xml:space="preserve"> its earlier position </w:t>
      </w:r>
      <w:r w:rsidR="00F300B3">
        <w:rPr>
          <w:bCs/>
        </w:rPr>
        <w:t xml:space="preserve">to end support </w:t>
      </w:r>
      <w:r w:rsidR="00F300B3" w:rsidRPr="00965C17">
        <w:rPr>
          <w:bCs/>
        </w:rPr>
        <w:t>to the construction of Cycle 4 schools in June 2016</w:t>
      </w:r>
      <w:r w:rsidR="00F300B3">
        <w:rPr>
          <w:bCs/>
        </w:rPr>
        <w:t xml:space="preserve">. </w:t>
      </w:r>
      <w:r w:rsidR="00F300B3" w:rsidRPr="00965C17">
        <w:rPr>
          <w:bCs/>
        </w:rPr>
        <w:t>However, the decisions could have been taken earlier</w:t>
      </w:r>
      <w:r w:rsidR="00F300B3">
        <w:rPr>
          <w:bCs/>
        </w:rPr>
        <w:t xml:space="preserve"> to everyone’s benefit. Certainly funding decisions, made in response to GoA aid program budget cuts, should have been prioritised to limit their effect on GoI. </w:t>
      </w:r>
    </w:p>
    <w:p w14:paraId="6826ADA1" w14:textId="77777777" w:rsidR="00F300B3" w:rsidRPr="00715627" w:rsidRDefault="00F300B3" w:rsidP="00715627">
      <w:pPr>
        <w:rPr>
          <w:b/>
          <w:szCs w:val="24"/>
        </w:rPr>
      </w:pPr>
      <w:r w:rsidRPr="00715627">
        <w:rPr>
          <w:b/>
          <w:sz w:val="24"/>
          <w:szCs w:val="24"/>
        </w:rPr>
        <w:t>VFM Principle #4: Proportionality</w:t>
      </w:r>
    </w:p>
    <w:p w14:paraId="6826ADA2" w14:textId="77777777" w:rsidR="00F300B3" w:rsidRPr="00C448F8" w:rsidRDefault="00F300B3" w:rsidP="00F300B3">
      <w:pPr>
        <w:spacing w:line="276" w:lineRule="auto"/>
        <w:jc w:val="both"/>
        <w:rPr>
          <w:i/>
        </w:rPr>
      </w:pPr>
      <w:r w:rsidRPr="00C448F8">
        <w:rPr>
          <w:i/>
        </w:rPr>
        <w:t>Definition</w:t>
      </w:r>
      <w:r>
        <w:rPr>
          <w:i/>
        </w:rPr>
        <w:t xml:space="preserve">: </w:t>
      </w:r>
      <w:r w:rsidRPr="00C448F8">
        <w:rPr>
          <w:i/>
        </w:rPr>
        <w:t>requires that organisational systems are proportional to the capacity and need to manage results and/or deliver better outcomes and be calibrated to maximise efficiency.</w:t>
      </w:r>
    </w:p>
    <w:p w14:paraId="6826ADA3" w14:textId="77777777" w:rsidR="00F300B3" w:rsidRDefault="00F300B3" w:rsidP="00F300B3">
      <w:pPr>
        <w:spacing w:line="276" w:lineRule="auto"/>
        <w:jc w:val="both"/>
        <w:rPr>
          <w:bCs/>
        </w:rPr>
      </w:pPr>
      <w:r w:rsidRPr="000C6C98">
        <w:rPr>
          <w:bCs/>
        </w:rPr>
        <w:t>No significant inefficiencies and duplicat</w:t>
      </w:r>
      <w:r>
        <w:rPr>
          <w:bCs/>
        </w:rPr>
        <w:t>ion were evident during the EP</w:t>
      </w:r>
      <w:r w:rsidRPr="000C6C98">
        <w:rPr>
          <w:bCs/>
        </w:rPr>
        <w:t xml:space="preserve">, and the decision to disband EPOS in June 2015 </w:t>
      </w:r>
      <w:r>
        <w:rPr>
          <w:bCs/>
        </w:rPr>
        <w:t>so as to</w:t>
      </w:r>
      <w:r w:rsidRPr="000C6C98">
        <w:rPr>
          <w:bCs/>
        </w:rPr>
        <w:t xml:space="preserve"> bring external communications and public outreach ‘back in house’ (i.e. within the Embassy) was </w:t>
      </w:r>
      <w:r>
        <w:rPr>
          <w:bCs/>
        </w:rPr>
        <w:t>both consistent with DFAT’s policy thrust and justifiable from a VFM perspective</w:t>
      </w:r>
      <w:r w:rsidRPr="000C6C98">
        <w:rPr>
          <w:bCs/>
        </w:rPr>
        <w:t>. DFAT’s business processes, policies and systems were implemented with a sound understanding of transaction costs, and, insofar as the Implementing Partners were concerned, organi</w:t>
      </w:r>
      <w:r>
        <w:rPr>
          <w:bCs/>
        </w:rPr>
        <w:t>s</w:t>
      </w:r>
      <w:r w:rsidRPr="000C6C98">
        <w:rPr>
          <w:bCs/>
        </w:rPr>
        <w:t xml:space="preserve">ational systems </w:t>
      </w:r>
      <w:r>
        <w:rPr>
          <w:bCs/>
        </w:rPr>
        <w:t xml:space="preserve">and resourcing levels </w:t>
      </w:r>
      <w:r w:rsidRPr="000C6C98">
        <w:rPr>
          <w:bCs/>
        </w:rPr>
        <w:t xml:space="preserve">were proportional to the </w:t>
      </w:r>
      <w:r>
        <w:rPr>
          <w:bCs/>
        </w:rPr>
        <w:t>work to be delivered.</w:t>
      </w:r>
      <w:r w:rsidRPr="000C6C98">
        <w:rPr>
          <w:bCs/>
        </w:rPr>
        <w:t xml:space="preserve"> </w:t>
      </w:r>
    </w:p>
    <w:p w14:paraId="6826ADA4" w14:textId="5069389B" w:rsidR="00F300B3" w:rsidRDefault="00F300B3" w:rsidP="00F300B3">
      <w:pPr>
        <w:spacing w:line="276" w:lineRule="auto"/>
        <w:jc w:val="both"/>
      </w:pPr>
      <w:r>
        <w:rPr>
          <w:bCs/>
        </w:rPr>
        <w:t>DFAT responded well to the institutional and policy changes occurring from 2014 onwards that saw the Basic Education Unit provided with considerably fewer resources to manage the EP</w:t>
      </w:r>
      <w:r>
        <w:rPr>
          <w:rStyle w:val="FootnoteReference"/>
          <w:bCs/>
        </w:rPr>
        <w:footnoteReference w:id="47"/>
      </w:r>
      <w:r>
        <w:rPr>
          <w:bCs/>
        </w:rPr>
        <w:t xml:space="preserve">. Whilst the reduction in resourcing profile was made in preparation for the management of a smaller Forward Program, the much smaller team was still required to manage the EP for a period of around eighteen months. Following the </w:t>
      </w:r>
      <w:r w:rsidR="002634F3">
        <w:rPr>
          <w:bCs/>
        </w:rPr>
        <w:t>integration</w:t>
      </w:r>
      <w:r>
        <w:rPr>
          <w:bCs/>
        </w:rPr>
        <w:t xml:space="preserve"> of AusAID in late 201</w:t>
      </w:r>
      <w:r w:rsidR="002634F3">
        <w:rPr>
          <w:bCs/>
        </w:rPr>
        <w:t>3</w:t>
      </w:r>
      <w:r>
        <w:rPr>
          <w:bCs/>
        </w:rPr>
        <w:t xml:space="preserve">, the </w:t>
      </w:r>
      <w:r>
        <w:t xml:space="preserve">changes to the staffing profile saw much of the </w:t>
      </w:r>
      <w:r w:rsidRPr="00C52E65">
        <w:t xml:space="preserve">EP’s institutional memory and technical expertise </w:t>
      </w:r>
      <w:r>
        <w:t xml:space="preserve">residing </w:t>
      </w:r>
      <w:r w:rsidRPr="00C52E65">
        <w:t>within Implementing Partners</w:t>
      </w:r>
      <w:r>
        <w:t xml:space="preserve">. </w:t>
      </w:r>
      <w:r w:rsidR="007F5869">
        <w:t>DFAT’s</w:t>
      </w:r>
      <w:r w:rsidRPr="005758D5">
        <w:t xml:space="preserve"> judicious use of </w:t>
      </w:r>
      <w:r>
        <w:t>Implementing Partners</w:t>
      </w:r>
      <w:r w:rsidRPr="005758D5">
        <w:t xml:space="preserve"> to </w:t>
      </w:r>
      <w:r>
        <w:t>appoint</w:t>
      </w:r>
      <w:r w:rsidRPr="005758D5">
        <w:t xml:space="preserve"> short-term or intermittent advisors </w:t>
      </w:r>
      <w:r>
        <w:t>in 2015 produced timely input on matters that spoke strongly to the maximization of existing EP investments and the promotion of a collegial whole</w:t>
      </w:r>
      <w:r w:rsidR="00066FA2">
        <w:t>-</w:t>
      </w:r>
      <w:r>
        <w:t>of</w:t>
      </w:r>
      <w:r w:rsidR="00066FA2">
        <w:t>-</w:t>
      </w:r>
      <w:r>
        <w:t xml:space="preserve">program approach. </w:t>
      </w:r>
    </w:p>
    <w:p w14:paraId="6826ADA5" w14:textId="77777777" w:rsidR="00F300B3" w:rsidRPr="00715627" w:rsidRDefault="00F300B3" w:rsidP="00715627">
      <w:pPr>
        <w:rPr>
          <w:b/>
          <w:szCs w:val="24"/>
        </w:rPr>
      </w:pPr>
      <w:r w:rsidRPr="00715627">
        <w:rPr>
          <w:b/>
          <w:sz w:val="24"/>
          <w:szCs w:val="24"/>
        </w:rPr>
        <w:t>VFM Principle #5: Performance and risk management</w:t>
      </w:r>
    </w:p>
    <w:p w14:paraId="6826ADA6" w14:textId="77777777" w:rsidR="00F300B3" w:rsidRPr="00FC2CE7" w:rsidRDefault="00F300B3" w:rsidP="00F300B3">
      <w:pPr>
        <w:spacing w:after="240" w:line="276" w:lineRule="auto"/>
        <w:jc w:val="both"/>
        <w:rPr>
          <w:b/>
          <w:i/>
        </w:rPr>
      </w:pPr>
      <w:r w:rsidRPr="00FC2CE7">
        <w:rPr>
          <w:b/>
          <w:i/>
        </w:rPr>
        <w:t>Performance management</w:t>
      </w:r>
    </w:p>
    <w:p w14:paraId="6826ADA7" w14:textId="77777777" w:rsidR="00F300B3" w:rsidRDefault="00F300B3" w:rsidP="00F300B3">
      <w:pPr>
        <w:spacing w:after="240" w:line="276" w:lineRule="auto"/>
        <w:jc w:val="both"/>
        <w:rPr>
          <w:i/>
        </w:rPr>
      </w:pPr>
      <w:r w:rsidRPr="00FC2CE7">
        <w:rPr>
          <w:i/>
        </w:rPr>
        <w:t>Definition</w:t>
      </w:r>
      <w:r>
        <w:rPr>
          <w:i/>
        </w:rPr>
        <w:t xml:space="preserve">: </w:t>
      </w:r>
      <w:r w:rsidRPr="00FC2CE7">
        <w:rPr>
          <w:i/>
        </w:rPr>
        <w:t>requires that contracts, other investments and programs be continuously reviewed for quality to ensure that they are meeting their objectives and delivering maximum impact</w:t>
      </w:r>
      <w:r>
        <w:rPr>
          <w:i/>
        </w:rPr>
        <w:t>.</w:t>
      </w:r>
    </w:p>
    <w:p w14:paraId="6826ADA8" w14:textId="77777777" w:rsidR="00F300B3" w:rsidRDefault="00F300B3" w:rsidP="00F300B3">
      <w:pPr>
        <w:spacing w:after="240" w:line="276" w:lineRule="auto"/>
        <w:jc w:val="both"/>
      </w:pPr>
      <w:r w:rsidRPr="009348B5">
        <w:t xml:space="preserve">With the EP being Australia’s largest ever bilateral aid program and with aid effectiveness and rising aid budgets being key features of the aid environment at the time of design in 2010, it was </w:t>
      </w:r>
      <w:r>
        <w:t>both prudent</w:t>
      </w:r>
      <w:r w:rsidRPr="009348B5">
        <w:t xml:space="preserve"> and progressive for AusAID (as it was then) to appoint a quasi-independent body (i.e. POM) to establish and oversee a performance management system for the </w:t>
      </w:r>
      <w:r>
        <w:t>partnership.</w:t>
      </w:r>
      <w:r w:rsidRPr="009348B5">
        <w:t xml:space="preserve"> </w:t>
      </w:r>
      <w:r>
        <w:t xml:space="preserve">The EP generated a considerable amount of information concerning its performance to which institutional partners had access. POM collected that information, merged it with its own data and synthesised, analysed and presented it in a form that was accessible and usable, most notably in a series of </w:t>
      </w:r>
      <w:r w:rsidRPr="00104222">
        <w:rPr>
          <w:i/>
        </w:rPr>
        <w:t>Annual Partnership Performance Reports</w:t>
      </w:r>
      <w:r>
        <w:rPr>
          <w:i/>
        </w:rPr>
        <w:t xml:space="preserve"> </w:t>
      </w:r>
      <w:r w:rsidRPr="00104222">
        <w:t xml:space="preserve">that captured an assessment of performance to date and presented practical recommendations </w:t>
      </w:r>
      <w:r>
        <w:t xml:space="preserve">that, if implemented, could help </w:t>
      </w:r>
      <w:r w:rsidRPr="00104222">
        <w:t>deliver maximum impact</w:t>
      </w:r>
      <w:r>
        <w:t>. In so doing, the EP’s performance management system, of which POM was a part, provided opportunity to support the decision-making processes of the EP management. Even so, the potential to instigate measures that could make incremental improvements to EP performance</w:t>
      </w:r>
      <w:r w:rsidRPr="009348B5">
        <w:t xml:space="preserve"> </w:t>
      </w:r>
      <w:r>
        <w:t xml:space="preserve">was somewhat underexploited, with opportunities to improve the EP’s value proposition sometimes missed (see Section </w:t>
      </w:r>
      <w:r w:rsidR="00725E9B">
        <w:t>VFM Principle #3</w:t>
      </w:r>
      <w:r>
        <w:t xml:space="preserve">, above). </w:t>
      </w:r>
    </w:p>
    <w:p w14:paraId="6826ADA9" w14:textId="77777777" w:rsidR="00F300B3" w:rsidRPr="00342061" w:rsidRDefault="00F300B3" w:rsidP="00F300B3">
      <w:pPr>
        <w:spacing w:line="276" w:lineRule="auto"/>
        <w:jc w:val="both"/>
        <w:rPr>
          <w:b/>
          <w:bCs/>
        </w:rPr>
      </w:pPr>
      <w:r w:rsidRPr="00342061">
        <w:rPr>
          <w:b/>
          <w:bCs/>
          <w:i/>
        </w:rPr>
        <w:t>Risk management</w:t>
      </w:r>
    </w:p>
    <w:p w14:paraId="6826ADAA" w14:textId="77777777" w:rsidR="00F300B3" w:rsidRPr="00342061" w:rsidRDefault="00F300B3" w:rsidP="00F300B3">
      <w:pPr>
        <w:spacing w:after="240" w:line="276" w:lineRule="auto"/>
        <w:jc w:val="both"/>
        <w:rPr>
          <w:i/>
        </w:rPr>
      </w:pPr>
      <w:r w:rsidRPr="00342061">
        <w:rPr>
          <w:i/>
        </w:rPr>
        <w:t xml:space="preserve">Definition: requires that comprehensive integrity risk systems are </w:t>
      </w:r>
      <w:r>
        <w:rPr>
          <w:i/>
        </w:rPr>
        <w:t>established</w:t>
      </w:r>
      <w:r w:rsidRPr="00342061">
        <w:rPr>
          <w:i/>
        </w:rPr>
        <w:t xml:space="preserve"> to prevent fraud and corruption </w:t>
      </w:r>
      <w:r>
        <w:rPr>
          <w:i/>
        </w:rPr>
        <w:t xml:space="preserve">and that </w:t>
      </w:r>
      <w:r w:rsidRPr="00342061">
        <w:rPr>
          <w:i/>
        </w:rPr>
        <w:t>consideration of risk be coupled with risk appetite, recognising that effective investments require decision makers to engage with risk in order to maximise results.</w:t>
      </w:r>
    </w:p>
    <w:p w14:paraId="6826ADAB" w14:textId="77777777" w:rsidR="00F300B3" w:rsidRDefault="00F300B3" w:rsidP="00F300B3">
      <w:pPr>
        <w:spacing w:line="276" w:lineRule="auto"/>
        <w:jc w:val="both"/>
        <w:rPr>
          <w:bCs/>
        </w:rPr>
      </w:pPr>
      <w:r>
        <w:rPr>
          <w:bCs/>
        </w:rPr>
        <w:t>T</w:t>
      </w:r>
      <w:r w:rsidRPr="00B52C13">
        <w:rPr>
          <w:bCs/>
        </w:rPr>
        <w:t>he EP utilised requisite</w:t>
      </w:r>
      <w:r>
        <w:rPr>
          <w:bCs/>
        </w:rPr>
        <w:t xml:space="preserve"> risk tracking systems and managed and mitigated fraud and corruption-related threats in an appropriate manner</w:t>
      </w:r>
      <w:r>
        <w:rPr>
          <w:rStyle w:val="FootnoteReference"/>
          <w:bCs/>
        </w:rPr>
        <w:footnoteReference w:id="48"/>
      </w:r>
      <w:r>
        <w:rPr>
          <w:bCs/>
        </w:rPr>
        <w:t xml:space="preserve">. In line with fiduciary expectations at design stage, a comprehensive program of EP financial audits and compliance reviews were commissioned, with emphasis placed </w:t>
      </w:r>
      <w:r w:rsidRPr="00376268">
        <w:rPr>
          <w:bCs/>
        </w:rPr>
        <w:t xml:space="preserve">on those Australian funds that </w:t>
      </w:r>
      <w:r>
        <w:rPr>
          <w:bCs/>
        </w:rPr>
        <w:t>were</w:t>
      </w:r>
      <w:r w:rsidRPr="00376268">
        <w:rPr>
          <w:bCs/>
        </w:rPr>
        <w:t xml:space="preserve"> managed through partner government systems (</w:t>
      </w:r>
      <w:r>
        <w:rPr>
          <w:bCs/>
        </w:rPr>
        <w:t xml:space="preserve">i.e. </w:t>
      </w:r>
      <w:r w:rsidRPr="00376268">
        <w:rPr>
          <w:bCs/>
        </w:rPr>
        <w:t xml:space="preserve">the </w:t>
      </w:r>
      <w:r>
        <w:rPr>
          <w:bCs/>
        </w:rPr>
        <w:t>WiPS</w:t>
      </w:r>
      <w:r w:rsidR="00030436">
        <w:rPr>
          <w:bCs/>
        </w:rPr>
        <w:t xml:space="preserve"> </w:t>
      </w:r>
      <w:r w:rsidRPr="00376268">
        <w:rPr>
          <w:bCs/>
        </w:rPr>
        <w:t>approach).</w:t>
      </w:r>
      <w:r>
        <w:rPr>
          <w:bCs/>
        </w:rPr>
        <w:t xml:space="preserve"> With the </w:t>
      </w:r>
      <w:r w:rsidRPr="0026307C">
        <w:rPr>
          <w:bCs/>
        </w:rPr>
        <w:t>reformulation of GoA’s overseas aid framework</w:t>
      </w:r>
      <w:r>
        <w:rPr>
          <w:bCs/>
        </w:rPr>
        <w:t xml:space="preserve"> in 2014, </w:t>
      </w:r>
      <w:r w:rsidRPr="0026307C">
        <w:rPr>
          <w:bCs/>
        </w:rPr>
        <w:t xml:space="preserve">WiPS-based </w:t>
      </w:r>
      <w:r>
        <w:rPr>
          <w:bCs/>
        </w:rPr>
        <w:t>expenditure was</w:t>
      </w:r>
      <w:r w:rsidRPr="0026307C">
        <w:rPr>
          <w:bCs/>
        </w:rPr>
        <w:t xml:space="preserve"> subjected to intensified risk analysis</w:t>
      </w:r>
      <w:r>
        <w:rPr>
          <w:rStyle w:val="FootnoteReference"/>
        </w:rPr>
        <w:footnoteReference w:id="49"/>
      </w:r>
      <w:r w:rsidR="00030436">
        <w:rPr>
          <w:bCs/>
        </w:rPr>
        <w:t xml:space="preserve">, reflecting the </w:t>
      </w:r>
      <w:r w:rsidR="00AC5F2A">
        <w:rPr>
          <w:bCs/>
        </w:rPr>
        <w:t xml:space="preserve">reduced appetite for risk </w:t>
      </w:r>
      <w:r w:rsidR="00030436">
        <w:rPr>
          <w:bCs/>
        </w:rPr>
        <w:t>during the latter half o</w:t>
      </w:r>
      <w:r w:rsidR="00465531">
        <w:rPr>
          <w:bCs/>
        </w:rPr>
        <w:t>f</w:t>
      </w:r>
      <w:r w:rsidR="00030436">
        <w:rPr>
          <w:bCs/>
        </w:rPr>
        <w:t xml:space="preserve"> the partnership</w:t>
      </w:r>
      <w:r w:rsidRPr="0026307C">
        <w:rPr>
          <w:bCs/>
        </w:rPr>
        <w:t xml:space="preserve">. </w:t>
      </w:r>
      <w:r w:rsidRPr="00757EF2">
        <w:rPr>
          <w:bCs/>
        </w:rPr>
        <w:t xml:space="preserve">To that extent, DFAT’s </w:t>
      </w:r>
      <w:r>
        <w:rPr>
          <w:bCs/>
        </w:rPr>
        <w:t xml:space="preserve">appointment of a short-term Procurement Advisor (who reported directly to DFAT) and its </w:t>
      </w:r>
      <w:r w:rsidRPr="00757EF2">
        <w:rPr>
          <w:bCs/>
        </w:rPr>
        <w:t>conscious efforts in 2015 to scale back its financial commitment</w:t>
      </w:r>
      <w:r>
        <w:rPr>
          <w:bCs/>
        </w:rPr>
        <w:t xml:space="preserve"> to C1 and C2</w:t>
      </w:r>
      <w:r w:rsidRPr="00757EF2">
        <w:rPr>
          <w:bCs/>
        </w:rPr>
        <w:t xml:space="preserve"> – in terms of value and duration – were consistent with </w:t>
      </w:r>
      <w:r>
        <w:rPr>
          <w:bCs/>
        </w:rPr>
        <w:t>the direction provided in its</w:t>
      </w:r>
      <w:r w:rsidRPr="00757EF2">
        <w:rPr>
          <w:bCs/>
        </w:rPr>
        <w:t xml:space="preserve"> revised aid framework. </w:t>
      </w:r>
    </w:p>
    <w:p w14:paraId="6826ADAC" w14:textId="230E8D86" w:rsidR="00F300B3" w:rsidRDefault="009F298F" w:rsidP="00F300B3">
      <w:pPr>
        <w:spacing w:line="276" w:lineRule="auto"/>
        <w:jc w:val="both"/>
        <w:rPr>
          <w:bCs/>
        </w:rPr>
      </w:pPr>
      <w:r w:rsidRPr="009F298F">
        <w:rPr>
          <w:bCs/>
        </w:rPr>
        <w:t>In total, 1</w:t>
      </w:r>
      <w:r w:rsidR="00495A18">
        <w:rPr>
          <w:bCs/>
        </w:rPr>
        <w:t>0</w:t>
      </w:r>
      <w:r w:rsidRPr="009F298F">
        <w:rPr>
          <w:bCs/>
        </w:rPr>
        <w:t xml:space="preserve">7 Suspicion of Fraud reports (SFRs), which were submitted to the Embassy and were forwarded to Canberra, were considered serious enough to merit further action by authorities in Canberra. </w:t>
      </w:r>
      <w:r w:rsidR="00F300B3">
        <w:rPr>
          <w:bCs/>
        </w:rPr>
        <w:t xml:space="preserve">In essence, </w:t>
      </w:r>
      <w:r w:rsidR="00F300B3" w:rsidRPr="008F41AE">
        <w:rPr>
          <w:bCs/>
        </w:rPr>
        <w:t>the assumption of the original WiPS Assessment – that working in government systems po</w:t>
      </w:r>
      <w:r w:rsidR="00F300B3">
        <w:rPr>
          <w:bCs/>
        </w:rPr>
        <w:t xml:space="preserve">ses greater fiduciary risk than </w:t>
      </w:r>
      <w:r w:rsidR="00F300B3" w:rsidRPr="008F41AE">
        <w:rPr>
          <w:bCs/>
        </w:rPr>
        <w:t>expenditure through Managing Contractors – held true</w:t>
      </w:r>
      <w:r w:rsidR="00F300B3">
        <w:rPr>
          <w:bCs/>
        </w:rPr>
        <w:t xml:space="preserve"> and the risk management processes and approach adopted by DFAT were appropriate and justified</w:t>
      </w:r>
      <w:r w:rsidR="00F300B3" w:rsidRPr="008F41AE">
        <w:rPr>
          <w:bCs/>
        </w:rPr>
        <w:t>.</w:t>
      </w:r>
      <w:r w:rsidR="00D00C09">
        <w:rPr>
          <w:bCs/>
        </w:rPr>
        <w:t xml:space="preserve"> </w:t>
      </w:r>
    </w:p>
    <w:p w14:paraId="6826ADAD" w14:textId="77777777" w:rsidR="00F300B3" w:rsidRDefault="00F300B3" w:rsidP="00F300B3">
      <w:pPr>
        <w:spacing w:line="276" w:lineRule="auto"/>
        <w:jc w:val="both"/>
        <w:rPr>
          <w:bCs/>
        </w:rPr>
      </w:pPr>
      <w:r w:rsidRPr="00C30199">
        <w:rPr>
          <w:bCs/>
        </w:rPr>
        <w:t>While robust approaches to risk management were implemented at an operational level, there is less evidence that development-oriented risks</w:t>
      </w:r>
      <w:r>
        <w:rPr>
          <w:bCs/>
        </w:rPr>
        <w:t xml:space="preserve"> were </w:t>
      </w:r>
      <w:r w:rsidRPr="00C30199">
        <w:rPr>
          <w:bCs/>
        </w:rPr>
        <w:t>mitigated</w:t>
      </w:r>
      <w:r>
        <w:rPr>
          <w:bCs/>
        </w:rPr>
        <w:t xml:space="preserve"> against and managed by the EP managers</w:t>
      </w:r>
      <w:r w:rsidRPr="00C30199">
        <w:rPr>
          <w:bCs/>
        </w:rPr>
        <w:t>.</w:t>
      </w:r>
      <w:r>
        <w:rPr>
          <w:bCs/>
        </w:rPr>
        <w:t xml:space="preserve"> This is unsurprising in that DFAT’s accountability requirements require staff to focus on – prioritise – matters pertaining to </w:t>
      </w:r>
      <w:r w:rsidRPr="00BD6BF2">
        <w:rPr>
          <w:bCs/>
        </w:rPr>
        <w:t xml:space="preserve">contract management, </w:t>
      </w:r>
      <w:r>
        <w:rPr>
          <w:bCs/>
        </w:rPr>
        <w:t xml:space="preserve">fiduciary </w:t>
      </w:r>
      <w:r w:rsidRPr="00BD6BF2">
        <w:rPr>
          <w:bCs/>
        </w:rPr>
        <w:t>risk and compliance</w:t>
      </w:r>
      <w:r>
        <w:rPr>
          <w:bCs/>
        </w:rPr>
        <w:t xml:space="preserve">. As such, insufficient attention was paid to the management of risks (and opportunities) that arose </w:t>
      </w:r>
      <w:r w:rsidR="00592F17">
        <w:rPr>
          <w:bCs/>
        </w:rPr>
        <w:t xml:space="preserve">due to </w:t>
      </w:r>
      <w:r>
        <w:rPr>
          <w:bCs/>
        </w:rPr>
        <w:t>the evolving political and institutional landscape of the Indonesia</w:t>
      </w:r>
      <w:r w:rsidR="00592F17">
        <w:rPr>
          <w:bCs/>
        </w:rPr>
        <w:t>n education system</w:t>
      </w:r>
      <w:r>
        <w:rPr>
          <w:bCs/>
        </w:rPr>
        <w:t xml:space="preserve"> </w:t>
      </w:r>
      <w:r w:rsidR="00592F17">
        <w:rPr>
          <w:bCs/>
        </w:rPr>
        <w:t xml:space="preserve">and, as a consequence, how these could impact the </w:t>
      </w:r>
      <w:r>
        <w:rPr>
          <w:bCs/>
        </w:rPr>
        <w:t>higher-order development ambitions</w:t>
      </w:r>
      <w:r w:rsidR="00592F17">
        <w:rPr>
          <w:bCs/>
        </w:rPr>
        <w:t xml:space="preserve"> of the EP</w:t>
      </w:r>
      <w:r>
        <w:rPr>
          <w:bCs/>
        </w:rPr>
        <w:t>.</w:t>
      </w:r>
    </w:p>
    <w:p w14:paraId="6826ADAE" w14:textId="77777777" w:rsidR="00F300B3" w:rsidRPr="00715627" w:rsidRDefault="00F300B3" w:rsidP="00715627">
      <w:pPr>
        <w:rPr>
          <w:b/>
          <w:szCs w:val="24"/>
        </w:rPr>
      </w:pPr>
      <w:r w:rsidRPr="00715627">
        <w:rPr>
          <w:b/>
          <w:sz w:val="24"/>
          <w:szCs w:val="24"/>
        </w:rPr>
        <w:t>VFM Principle #6: Results focus</w:t>
      </w:r>
    </w:p>
    <w:p w14:paraId="6826ADAF" w14:textId="77777777" w:rsidR="00F300B3" w:rsidRPr="005768A2" w:rsidRDefault="00F300B3" w:rsidP="00F300B3">
      <w:pPr>
        <w:spacing w:after="240" w:line="276" w:lineRule="auto"/>
        <w:jc w:val="both"/>
        <w:rPr>
          <w:i/>
        </w:rPr>
      </w:pPr>
      <w:r w:rsidRPr="005768A2">
        <w:rPr>
          <w:i/>
        </w:rPr>
        <w:t xml:space="preserve">Definition: requires that clearly identified objectives and performance targets are established to facilitate a strong results orientation. </w:t>
      </w:r>
    </w:p>
    <w:p w14:paraId="6826ADB0" w14:textId="0926AADF" w:rsidR="00F300B3" w:rsidRDefault="00F300B3" w:rsidP="00F300B3">
      <w:pPr>
        <w:spacing w:line="276" w:lineRule="auto"/>
        <w:jc w:val="both"/>
        <w:rPr>
          <w:bCs/>
        </w:rPr>
      </w:pPr>
      <w:r w:rsidRPr="00F42F83">
        <w:rPr>
          <w:bCs/>
        </w:rPr>
        <w:t>Whil</w:t>
      </w:r>
      <w:r>
        <w:rPr>
          <w:bCs/>
        </w:rPr>
        <w:t>st</w:t>
      </w:r>
      <w:r w:rsidRPr="00F42F83">
        <w:rPr>
          <w:bCs/>
        </w:rPr>
        <w:t xml:space="preserve"> </w:t>
      </w:r>
      <w:r>
        <w:rPr>
          <w:bCs/>
        </w:rPr>
        <w:t xml:space="preserve">a </w:t>
      </w:r>
      <w:r w:rsidRPr="00F42F83">
        <w:rPr>
          <w:bCs/>
        </w:rPr>
        <w:t>clearly</w:t>
      </w:r>
      <w:r>
        <w:rPr>
          <w:bCs/>
        </w:rPr>
        <w:t xml:space="preserve">-defined logic architecture was </w:t>
      </w:r>
      <w:r w:rsidRPr="00F42F83">
        <w:rPr>
          <w:bCs/>
        </w:rPr>
        <w:t>agreed in Year One and performance targets emerged in Year Three</w:t>
      </w:r>
      <w:r>
        <w:rPr>
          <w:rStyle w:val="FootnoteReference"/>
          <w:bCs/>
        </w:rPr>
        <w:footnoteReference w:id="50"/>
      </w:r>
      <w:r w:rsidRPr="00F42F83">
        <w:rPr>
          <w:bCs/>
        </w:rPr>
        <w:t xml:space="preserve">, these did not necessarily </w:t>
      </w:r>
      <w:r>
        <w:rPr>
          <w:bCs/>
        </w:rPr>
        <w:t>engender</w:t>
      </w:r>
      <w:r w:rsidRPr="00F42F83">
        <w:rPr>
          <w:bCs/>
        </w:rPr>
        <w:t xml:space="preserve"> a strong results orientation</w:t>
      </w:r>
      <w:r>
        <w:rPr>
          <w:bCs/>
        </w:rPr>
        <w:t xml:space="preserve">. </w:t>
      </w:r>
      <w:r w:rsidRPr="00C30199">
        <w:rPr>
          <w:bCs/>
        </w:rPr>
        <w:t xml:space="preserve">From the outset, DFAT’s Basic Education Unit placed considerable emphasis on the timely delivery of contracted deliverables. </w:t>
      </w:r>
      <w:r>
        <w:rPr>
          <w:bCs/>
        </w:rPr>
        <w:t>M</w:t>
      </w:r>
      <w:r w:rsidRPr="00C30199">
        <w:rPr>
          <w:bCs/>
        </w:rPr>
        <w:t xml:space="preserve">anagement decisions were </w:t>
      </w:r>
      <w:r>
        <w:rPr>
          <w:bCs/>
        </w:rPr>
        <w:t xml:space="preserve">therefore </w:t>
      </w:r>
      <w:r w:rsidRPr="00C30199">
        <w:rPr>
          <w:bCs/>
        </w:rPr>
        <w:t>typically driven by prescriptive commitments to the attainment of quantifiable output-level targets over and above the pursuit of systemic change</w:t>
      </w:r>
      <w:r>
        <w:rPr>
          <w:bCs/>
        </w:rPr>
        <w:t xml:space="preserve"> or the likely accrual of sustained benefits</w:t>
      </w:r>
      <w:r w:rsidRPr="00C30199">
        <w:rPr>
          <w:bCs/>
        </w:rPr>
        <w:t xml:space="preserve">. </w:t>
      </w:r>
      <w:r>
        <w:rPr>
          <w:bCs/>
        </w:rPr>
        <w:t xml:space="preserve">This </w:t>
      </w:r>
      <w:r w:rsidRPr="00C30199">
        <w:rPr>
          <w:bCs/>
        </w:rPr>
        <w:t xml:space="preserve">culture of transactional management persisted for much of the EP </w:t>
      </w:r>
      <w:r>
        <w:rPr>
          <w:bCs/>
        </w:rPr>
        <w:t xml:space="preserve">and </w:t>
      </w:r>
      <w:r w:rsidRPr="00134CA4">
        <w:rPr>
          <w:bCs/>
        </w:rPr>
        <w:t>allowed for efficient delivery</w:t>
      </w:r>
      <w:r>
        <w:rPr>
          <w:bCs/>
        </w:rPr>
        <w:t xml:space="preserve"> across much of the partnership</w:t>
      </w:r>
      <w:r w:rsidRPr="00134CA4">
        <w:rPr>
          <w:bCs/>
        </w:rPr>
        <w:t xml:space="preserve">, enabled funds to be spent with minimal loss and allowed the partnership to attain </w:t>
      </w:r>
      <w:r>
        <w:rPr>
          <w:bCs/>
        </w:rPr>
        <w:t>highly</w:t>
      </w:r>
      <w:r w:rsidRPr="00134CA4">
        <w:rPr>
          <w:bCs/>
        </w:rPr>
        <w:t xml:space="preserve"> </w:t>
      </w:r>
      <w:r>
        <w:rPr>
          <w:bCs/>
        </w:rPr>
        <w:t xml:space="preserve">creditable </w:t>
      </w:r>
      <w:r w:rsidRPr="00134CA4">
        <w:rPr>
          <w:bCs/>
        </w:rPr>
        <w:t xml:space="preserve">results in terms of schools built, madrasah accredited, persons trained, etc. </w:t>
      </w:r>
    </w:p>
    <w:p w14:paraId="6826ADB1" w14:textId="77777777" w:rsidR="00F300B3" w:rsidRDefault="00F300B3" w:rsidP="00F300B3">
      <w:pPr>
        <w:spacing w:line="276" w:lineRule="auto"/>
        <w:jc w:val="both"/>
        <w:rPr>
          <w:bCs/>
        </w:rPr>
      </w:pPr>
      <w:r>
        <w:rPr>
          <w:bCs/>
        </w:rPr>
        <w:t xml:space="preserve">This </w:t>
      </w:r>
      <w:r w:rsidRPr="00565A58">
        <w:rPr>
          <w:bCs/>
        </w:rPr>
        <w:t>transactional orientation</w:t>
      </w:r>
      <w:r>
        <w:rPr>
          <w:bCs/>
        </w:rPr>
        <w:t xml:space="preserve">, which is strongly justified from an accountability perspective, </w:t>
      </w:r>
      <w:r w:rsidRPr="00565A58">
        <w:rPr>
          <w:bCs/>
        </w:rPr>
        <w:t>came at the expense of a focus on higher results, namely system strengthening</w:t>
      </w:r>
      <w:r>
        <w:rPr>
          <w:bCs/>
        </w:rPr>
        <w:t xml:space="preserve"> and systemic change.</w:t>
      </w:r>
      <w:r w:rsidRPr="00565A58">
        <w:rPr>
          <w:bCs/>
        </w:rPr>
        <w:t xml:space="preserve"> </w:t>
      </w:r>
      <w:r>
        <w:rPr>
          <w:bCs/>
        </w:rPr>
        <w:t xml:space="preserve">The rigid nature of the EP design allied to a propensity to focus on fiduciary risk, contract management, and compliance </w:t>
      </w:r>
      <w:r w:rsidRPr="00F42F83">
        <w:rPr>
          <w:bCs/>
        </w:rPr>
        <w:t xml:space="preserve">meant that </w:t>
      </w:r>
      <w:r>
        <w:rPr>
          <w:bCs/>
        </w:rPr>
        <w:t xml:space="preserve">EP management and governance </w:t>
      </w:r>
      <w:r w:rsidRPr="00F42F83">
        <w:rPr>
          <w:bCs/>
        </w:rPr>
        <w:t>did not always demonstrate the appropriate levels of flexibility, innovation and adaptability required to proactively pursue</w:t>
      </w:r>
      <w:r>
        <w:rPr>
          <w:bCs/>
        </w:rPr>
        <w:t xml:space="preserve"> the EOPOs </w:t>
      </w:r>
      <w:r w:rsidRPr="00F42F83">
        <w:rPr>
          <w:bCs/>
        </w:rPr>
        <w:t>and t</w:t>
      </w:r>
      <w:r>
        <w:rPr>
          <w:bCs/>
        </w:rPr>
        <w:t>he creation of lasting benefit.</w:t>
      </w:r>
    </w:p>
    <w:p w14:paraId="6826ADB2" w14:textId="235B1B16" w:rsidR="00F300B3" w:rsidRPr="00715627" w:rsidRDefault="00F300B3" w:rsidP="00715627">
      <w:pPr>
        <w:rPr>
          <w:b/>
          <w:szCs w:val="24"/>
        </w:rPr>
      </w:pPr>
      <w:r w:rsidRPr="00715627">
        <w:rPr>
          <w:b/>
          <w:sz w:val="24"/>
          <w:szCs w:val="24"/>
        </w:rPr>
        <w:t>VFM Principle #7: Experimentation and innovation</w:t>
      </w:r>
    </w:p>
    <w:p w14:paraId="6826ADB3" w14:textId="77777777" w:rsidR="00F300B3" w:rsidRPr="00735644" w:rsidRDefault="00F300B3" w:rsidP="00F300B3">
      <w:pPr>
        <w:spacing w:after="240" w:line="276" w:lineRule="auto"/>
        <w:jc w:val="both"/>
        <w:rPr>
          <w:i/>
        </w:rPr>
      </w:pPr>
      <w:r w:rsidRPr="00735644">
        <w:rPr>
          <w:i/>
        </w:rPr>
        <w:t>Definition: requires creative and flexible approaches to the design and delivery of contracts, investments and programs which can be fostered through the trialling of experimental and innovative mechanisms.</w:t>
      </w:r>
    </w:p>
    <w:p w14:paraId="6826ADB4" w14:textId="77777777" w:rsidR="00F300B3" w:rsidRDefault="00F300B3" w:rsidP="00F300B3">
      <w:pPr>
        <w:spacing w:line="276" w:lineRule="auto"/>
        <w:jc w:val="both"/>
        <w:rPr>
          <w:bCs/>
        </w:rPr>
      </w:pPr>
      <w:r>
        <w:rPr>
          <w:bCs/>
        </w:rPr>
        <w:t>The EP design featured a number of technical innovations. T</w:t>
      </w:r>
      <w:r w:rsidRPr="00B132FE">
        <w:rPr>
          <w:bCs/>
        </w:rPr>
        <w:t xml:space="preserve">he flagship school building program </w:t>
      </w:r>
      <w:r>
        <w:rPr>
          <w:bCs/>
        </w:rPr>
        <w:t xml:space="preserve">showcased an </w:t>
      </w:r>
      <w:r w:rsidRPr="00B132FE">
        <w:rPr>
          <w:bCs/>
        </w:rPr>
        <w:t>innovative community-based construction model</w:t>
      </w:r>
      <w:r>
        <w:rPr>
          <w:bCs/>
        </w:rPr>
        <w:t xml:space="preserve">, and </w:t>
      </w:r>
      <w:r w:rsidRPr="00B132FE">
        <w:rPr>
          <w:bCs/>
        </w:rPr>
        <w:t xml:space="preserve">C2 </w:t>
      </w:r>
      <w:r>
        <w:rPr>
          <w:bCs/>
        </w:rPr>
        <w:t xml:space="preserve">sought to </w:t>
      </w:r>
      <w:r w:rsidRPr="00B132FE">
        <w:rPr>
          <w:bCs/>
        </w:rPr>
        <w:t xml:space="preserve">roll-out a </w:t>
      </w:r>
      <w:r>
        <w:rPr>
          <w:bCs/>
        </w:rPr>
        <w:t xml:space="preserve">bespoke </w:t>
      </w:r>
      <w:r w:rsidRPr="00B132FE">
        <w:rPr>
          <w:bCs/>
        </w:rPr>
        <w:t xml:space="preserve">national system of CPD via a trial and error methodology </w:t>
      </w:r>
      <w:r>
        <w:rPr>
          <w:bCs/>
        </w:rPr>
        <w:t xml:space="preserve">based on pilot activities. Even so, the programmatic design of the EP did not lend itself to the trialling of experimental and innovative mechanisms. This prescriptive was perhaps as a consequence of the aid environment at its time predating as it did DFAT’s current interest in innovation and private sector engagement. </w:t>
      </w:r>
    </w:p>
    <w:p w14:paraId="6826ADB5" w14:textId="77777777" w:rsidR="00F300B3" w:rsidRDefault="00F300B3" w:rsidP="00F300B3">
      <w:pPr>
        <w:spacing w:line="276" w:lineRule="auto"/>
        <w:jc w:val="both"/>
        <w:rPr>
          <w:bCs/>
        </w:rPr>
      </w:pPr>
      <w:r>
        <w:rPr>
          <w:bCs/>
        </w:rPr>
        <w:t>Nonetheless, there were pockets of innovation. I</w:t>
      </w:r>
      <w:r w:rsidRPr="00CF1AFF">
        <w:rPr>
          <w:bCs/>
        </w:rPr>
        <w:t>n regard to site selection</w:t>
      </w:r>
      <w:r>
        <w:rPr>
          <w:bCs/>
        </w:rPr>
        <w:t xml:space="preserve"> in C1,</w:t>
      </w:r>
      <w:r w:rsidRPr="00CF1AFF">
        <w:rPr>
          <w:bCs/>
        </w:rPr>
        <w:t xml:space="preserve"> efficiency gains were realised via the better use of ICT</w:t>
      </w:r>
      <w:r>
        <w:rPr>
          <w:bCs/>
        </w:rPr>
        <w:t>, with f</w:t>
      </w:r>
      <w:r w:rsidRPr="00CF1AFF">
        <w:rPr>
          <w:bCs/>
        </w:rPr>
        <w:t>reely available Google-Map technology used to more accurate</w:t>
      </w:r>
      <w:r>
        <w:rPr>
          <w:bCs/>
        </w:rPr>
        <w:t xml:space="preserve">ly identify suitable sites. Equally, the </w:t>
      </w:r>
      <w:r w:rsidRPr="00CF1AFF">
        <w:rPr>
          <w:bCs/>
        </w:rPr>
        <w:t xml:space="preserve">ongoing development of a database for processing new school proposals was enhanced by the inclusion of MoEC education statistics in order to improve the speed and clarity of the site selection process. </w:t>
      </w:r>
      <w:r>
        <w:rPr>
          <w:bCs/>
        </w:rPr>
        <w:t xml:space="preserve">Elsewhere in the EP, </w:t>
      </w:r>
      <w:r w:rsidRPr="00565A58">
        <w:rPr>
          <w:bCs/>
        </w:rPr>
        <w:t xml:space="preserve">C3 deliberately experimented with a range of different sub-national </w:t>
      </w:r>
      <w:r>
        <w:rPr>
          <w:bCs/>
        </w:rPr>
        <w:t>implementing</w:t>
      </w:r>
      <w:r w:rsidRPr="00565A58">
        <w:rPr>
          <w:bCs/>
        </w:rPr>
        <w:t xml:space="preserve"> partner organisations in order to determine which ones provided the best means of both delivering services and sustaining them.</w:t>
      </w:r>
    </w:p>
    <w:p w14:paraId="6826ADB6" w14:textId="77777777" w:rsidR="00F300B3" w:rsidRPr="00715627" w:rsidRDefault="00F300B3" w:rsidP="00715627">
      <w:pPr>
        <w:rPr>
          <w:b/>
          <w:szCs w:val="24"/>
        </w:rPr>
      </w:pPr>
      <w:r w:rsidRPr="00715627">
        <w:rPr>
          <w:b/>
          <w:sz w:val="24"/>
          <w:szCs w:val="24"/>
        </w:rPr>
        <w:t>VFM Principle #8: Accountability and transparency</w:t>
      </w:r>
    </w:p>
    <w:p w14:paraId="6826ADB7" w14:textId="77777777" w:rsidR="00F300B3" w:rsidRPr="004A31D0" w:rsidRDefault="00F300B3" w:rsidP="00F300B3">
      <w:pPr>
        <w:spacing w:after="240" w:line="276" w:lineRule="auto"/>
        <w:jc w:val="both"/>
        <w:rPr>
          <w:i/>
        </w:rPr>
      </w:pPr>
      <w:r w:rsidRPr="004A31D0">
        <w:rPr>
          <w:i/>
        </w:rPr>
        <w:t xml:space="preserve">Definition: requires that DFAT </w:t>
      </w:r>
      <w:r>
        <w:rPr>
          <w:i/>
        </w:rPr>
        <w:t>be</w:t>
      </w:r>
      <w:r w:rsidRPr="004A31D0">
        <w:rPr>
          <w:i/>
        </w:rPr>
        <w:t xml:space="preserve"> held accountable both by taxpayers and by intended targets and beneficiaries for delivering results and that DFAT hold partners accountable and demand transparency at all levels to facilitate honest dialogue about the overall impact of investments.</w:t>
      </w:r>
    </w:p>
    <w:p w14:paraId="6826ADB8" w14:textId="77777777" w:rsidR="00F300B3" w:rsidRPr="00173CB5" w:rsidRDefault="00F300B3" w:rsidP="00F300B3">
      <w:pPr>
        <w:spacing w:line="276" w:lineRule="auto"/>
        <w:jc w:val="both"/>
        <w:rPr>
          <w:bCs/>
        </w:rPr>
      </w:pPr>
      <w:r>
        <w:rPr>
          <w:bCs/>
        </w:rPr>
        <w:t>To promote transparency and accountability, t</w:t>
      </w:r>
      <w:r w:rsidRPr="00173CB5">
        <w:rPr>
          <w:bCs/>
        </w:rPr>
        <w:t>he EP design proposed a</w:t>
      </w:r>
      <w:r>
        <w:rPr>
          <w:bCs/>
        </w:rPr>
        <w:t xml:space="preserve"> governance structure</w:t>
      </w:r>
      <w:r w:rsidRPr="00173CB5">
        <w:rPr>
          <w:bCs/>
        </w:rPr>
        <w:t xml:space="preserve"> with </w:t>
      </w:r>
      <w:r>
        <w:rPr>
          <w:bCs/>
        </w:rPr>
        <w:t xml:space="preserve">five oversight groups: </w:t>
      </w:r>
      <w:r w:rsidRPr="00173CB5">
        <w:rPr>
          <w:bCs/>
        </w:rPr>
        <w:t>four TOGs and a G</w:t>
      </w:r>
      <w:r>
        <w:rPr>
          <w:bCs/>
        </w:rPr>
        <w:t>O</w:t>
      </w:r>
      <w:r w:rsidRPr="00173CB5">
        <w:rPr>
          <w:bCs/>
        </w:rPr>
        <w:t>G. Over time it became apparent that the quarterly schedule for TOG meetings may have been unrealistic and unwarranted, especially given the multiple demands placed upon key post-holders</w:t>
      </w:r>
      <w:r>
        <w:rPr>
          <w:bCs/>
        </w:rPr>
        <w:t>, the frequent engagement and dialogue between EP managers and their GoI counterparts,</w:t>
      </w:r>
      <w:r w:rsidRPr="00173CB5">
        <w:rPr>
          <w:bCs/>
        </w:rPr>
        <w:t xml:space="preserve"> and the reality that Australia’s financial contribution, though significant in financial terms, constituted around 0.</w:t>
      </w:r>
      <w:r>
        <w:rPr>
          <w:bCs/>
        </w:rPr>
        <w:t>2%</w:t>
      </w:r>
      <w:r>
        <w:rPr>
          <w:rStyle w:val="EndnoteReference"/>
          <w:bCs/>
        </w:rPr>
        <w:endnoteReference w:id="48"/>
      </w:r>
      <w:r w:rsidRPr="00173CB5">
        <w:rPr>
          <w:bCs/>
        </w:rPr>
        <w:t xml:space="preserve"> of Indonesia’s national education budget. The result was that</w:t>
      </w:r>
      <w:r>
        <w:rPr>
          <w:bCs/>
        </w:rPr>
        <w:t xml:space="preserve"> only around </w:t>
      </w:r>
      <w:r w:rsidRPr="00173CB5">
        <w:rPr>
          <w:bCs/>
        </w:rPr>
        <w:t xml:space="preserve">30% of TOG meetings were held, </w:t>
      </w:r>
      <w:r>
        <w:rPr>
          <w:bCs/>
        </w:rPr>
        <w:t xml:space="preserve">the </w:t>
      </w:r>
      <w:r w:rsidRPr="00173CB5">
        <w:rPr>
          <w:bCs/>
        </w:rPr>
        <w:t xml:space="preserve">frequency </w:t>
      </w:r>
      <w:r>
        <w:rPr>
          <w:bCs/>
        </w:rPr>
        <w:t xml:space="preserve">of meetings </w:t>
      </w:r>
      <w:r w:rsidRPr="00173CB5">
        <w:rPr>
          <w:bCs/>
        </w:rPr>
        <w:t>tailed off as the EP neared its end</w:t>
      </w:r>
      <w:r>
        <w:rPr>
          <w:bCs/>
        </w:rPr>
        <w:t>,</w:t>
      </w:r>
      <w:r w:rsidRPr="00173CB5">
        <w:rPr>
          <w:bCs/>
        </w:rPr>
        <w:t xml:space="preserve"> and joint governance aspirations were only partially met. The limited commitment to formal governance structures reinforced the perception that DFAT retained</w:t>
      </w:r>
      <w:r w:rsidR="006501A7">
        <w:rPr>
          <w:bCs/>
        </w:rPr>
        <w:t xml:space="preserve"> full management control of the </w:t>
      </w:r>
      <w:r w:rsidR="007B49A9">
        <w:rPr>
          <w:bCs/>
        </w:rPr>
        <w:t>EP</w:t>
      </w:r>
      <w:r w:rsidRPr="00173CB5">
        <w:rPr>
          <w:bCs/>
        </w:rPr>
        <w:t xml:space="preserve">, with GoI </w:t>
      </w:r>
      <w:r>
        <w:rPr>
          <w:bCs/>
        </w:rPr>
        <w:t>taking</w:t>
      </w:r>
      <w:r w:rsidRPr="00173CB5">
        <w:rPr>
          <w:bCs/>
        </w:rPr>
        <w:t xml:space="preserve"> a blend of institutional and implementing functions.</w:t>
      </w:r>
    </w:p>
    <w:p w14:paraId="6826ADB9" w14:textId="77777777" w:rsidR="00D3782B" w:rsidRDefault="00F300B3" w:rsidP="006F4935">
      <w:pPr>
        <w:spacing w:after="240" w:line="276" w:lineRule="auto"/>
        <w:jc w:val="both"/>
      </w:pPr>
      <w:r>
        <w:rPr>
          <w:bCs/>
          <w:lang w:val="en-AU"/>
        </w:rPr>
        <w:t xml:space="preserve">All the same, </w:t>
      </w:r>
      <w:r w:rsidRPr="00687661">
        <w:rPr>
          <w:bCs/>
          <w:lang w:val="en-AU"/>
        </w:rPr>
        <w:t>it is apparent that AusAID and DFAT leadership teams sought to apply direction to the EP that was appropriate to the prevailing aid climate</w:t>
      </w:r>
      <w:r>
        <w:rPr>
          <w:bCs/>
          <w:lang w:val="en-AU"/>
        </w:rPr>
        <w:t xml:space="preserve"> </w:t>
      </w:r>
      <w:r w:rsidRPr="00687661">
        <w:rPr>
          <w:bCs/>
          <w:lang w:val="en-AU"/>
        </w:rPr>
        <w:t>in Canberra. It is also apparent that Australian leadership sought to engage their counterparts in Indonesia</w:t>
      </w:r>
      <w:r>
        <w:rPr>
          <w:bCs/>
          <w:lang w:val="en-AU"/>
        </w:rPr>
        <w:t>.</w:t>
      </w:r>
      <w:r w:rsidRPr="00687661">
        <w:rPr>
          <w:bCs/>
          <w:lang w:val="en-AU"/>
        </w:rPr>
        <w:t xml:space="preserve"> </w:t>
      </w:r>
      <w:r>
        <w:rPr>
          <w:bCs/>
          <w:lang w:val="en-AU"/>
        </w:rPr>
        <w:t xml:space="preserve">The need for transparency and honest dialogue was most prevalent </w:t>
      </w:r>
      <w:r w:rsidRPr="00687661">
        <w:rPr>
          <w:bCs/>
          <w:lang w:val="en-AU"/>
        </w:rPr>
        <w:t xml:space="preserve">in 2014-15 as both institutional and implementing partners sought to interpret </w:t>
      </w:r>
      <w:r>
        <w:rPr>
          <w:bCs/>
          <w:lang w:val="en-AU"/>
        </w:rPr>
        <w:t xml:space="preserve">Australia’s </w:t>
      </w:r>
      <w:r w:rsidRPr="00687661">
        <w:rPr>
          <w:bCs/>
          <w:lang w:val="en-AU"/>
        </w:rPr>
        <w:t xml:space="preserve">new aid policy and </w:t>
      </w:r>
      <w:r>
        <w:rPr>
          <w:bCs/>
          <w:lang w:val="en-AU"/>
        </w:rPr>
        <w:t xml:space="preserve">Indonesia’s education </w:t>
      </w:r>
      <w:r w:rsidRPr="00687661">
        <w:rPr>
          <w:bCs/>
          <w:lang w:val="en-AU"/>
        </w:rPr>
        <w:t>poli</w:t>
      </w:r>
      <w:r>
        <w:rPr>
          <w:bCs/>
          <w:lang w:val="en-AU"/>
        </w:rPr>
        <w:t>cy evolution</w:t>
      </w:r>
      <w:r w:rsidRPr="00687661">
        <w:rPr>
          <w:bCs/>
          <w:lang w:val="en-AU"/>
        </w:rPr>
        <w:t xml:space="preserve">. Institutional partners were tasked with the difficult job of interpreting new policies and undertaking institutional restructuring, implementing partners were tasked with making relevant adjustments to activities and ways of working, and all parties were required to respond to the general sense of uncertainty about expectations and intentions. It could be argued that that </w:t>
      </w:r>
      <w:r>
        <w:rPr>
          <w:bCs/>
          <w:lang w:val="en-AU"/>
        </w:rPr>
        <w:t xml:space="preserve">the </w:t>
      </w:r>
      <w:r w:rsidRPr="00687661">
        <w:rPr>
          <w:bCs/>
          <w:lang w:val="en-AU"/>
        </w:rPr>
        <w:t xml:space="preserve">partnership approach and </w:t>
      </w:r>
      <w:r>
        <w:rPr>
          <w:bCs/>
          <w:lang w:val="en-AU"/>
        </w:rPr>
        <w:t xml:space="preserve">the </w:t>
      </w:r>
      <w:r w:rsidRPr="00687661">
        <w:rPr>
          <w:bCs/>
          <w:lang w:val="en-AU"/>
        </w:rPr>
        <w:t>strong formal governance system designed fo</w:t>
      </w:r>
      <w:r>
        <w:rPr>
          <w:bCs/>
          <w:lang w:val="en-AU"/>
        </w:rPr>
        <w:t>r the EP was tailor-made for this situation</w:t>
      </w:r>
      <w:r w:rsidRPr="00687661">
        <w:rPr>
          <w:bCs/>
          <w:lang w:val="en-AU"/>
        </w:rPr>
        <w:t>. I</w:t>
      </w:r>
      <w:r>
        <w:rPr>
          <w:bCs/>
          <w:lang w:val="en-AU"/>
        </w:rPr>
        <w:t>ronically, however, the time for maximum inter-government engagement coincided with the period in which there was a downturn in the frequency of formal governance meetings eroding the platform for resolving key strategic matters.</w:t>
      </w:r>
    </w:p>
    <w:p w14:paraId="6826ADBA" w14:textId="77777777" w:rsidR="00D3782B" w:rsidRDefault="00D3782B"/>
    <w:p w14:paraId="6826ADBB" w14:textId="02B9DAA8" w:rsidR="00F300B3" w:rsidRDefault="00F300B3">
      <w:pPr>
        <w:rPr>
          <w:i/>
        </w:rPr>
      </w:pPr>
      <w:r>
        <w:br w:type="page"/>
      </w:r>
    </w:p>
    <w:sectPr w:rsidR="00F300B3" w:rsidSect="007E7D3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D13F4" w14:textId="77777777" w:rsidR="000210B2" w:rsidRDefault="000210B2" w:rsidP="00746498">
      <w:pPr>
        <w:spacing w:after="0" w:line="240" w:lineRule="auto"/>
      </w:pPr>
      <w:r>
        <w:separator/>
      </w:r>
    </w:p>
  </w:endnote>
  <w:endnote w:type="continuationSeparator" w:id="0">
    <w:p w14:paraId="68FEBF21" w14:textId="77777777" w:rsidR="000210B2" w:rsidRDefault="000210B2" w:rsidP="00746498">
      <w:pPr>
        <w:spacing w:after="0" w:line="240" w:lineRule="auto"/>
      </w:pPr>
      <w:r>
        <w:continuationSeparator/>
      </w:r>
    </w:p>
  </w:endnote>
  <w:endnote w:id="1">
    <w:p w14:paraId="6826AE33" w14:textId="77777777" w:rsidR="000210B2" w:rsidRPr="00E170D8" w:rsidRDefault="000210B2" w:rsidP="00E170D8">
      <w:pPr>
        <w:pStyle w:val="EndnoteText"/>
        <w:spacing w:line="276" w:lineRule="auto"/>
        <w:ind w:left="709" w:hanging="709"/>
        <w:rPr>
          <w:lang w:val="en-AU"/>
        </w:rPr>
      </w:pPr>
      <w:r>
        <w:rPr>
          <w:rStyle w:val="EndnoteReference"/>
        </w:rPr>
        <w:endnoteRef/>
      </w:r>
      <w:r>
        <w:t xml:space="preserve"> </w:t>
      </w:r>
      <w:r>
        <w:rPr>
          <w:lang w:val="en-AU"/>
        </w:rPr>
        <w:tab/>
      </w:r>
      <w:r w:rsidRPr="00E170D8">
        <w:rPr>
          <w:lang w:val="en-AU"/>
        </w:rPr>
        <w:t>The core set of published resources includes Annual Partnership Performance Reports (2011-2016), EP component Baseline and Endline Evaluation Study Reports, Annual Progress Reports and Final Progress Reports compiled by EP implementing partners. A public repository of key documents can be found on DFAT’s website.</w:t>
      </w:r>
    </w:p>
  </w:endnote>
  <w:endnote w:id="2">
    <w:p w14:paraId="01EB91FC" w14:textId="77777777" w:rsidR="000210B2" w:rsidRDefault="000210B2" w:rsidP="00E170D8">
      <w:pPr>
        <w:pStyle w:val="EndnoteText"/>
        <w:spacing w:line="276" w:lineRule="auto"/>
        <w:rPr>
          <w:lang w:val="en-AU"/>
        </w:rPr>
      </w:pPr>
      <w:r w:rsidRPr="00E170D8">
        <w:rPr>
          <w:rStyle w:val="EndnoteReference"/>
        </w:rPr>
        <w:endnoteRef/>
      </w:r>
      <w:r w:rsidRPr="00E170D8">
        <w:t xml:space="preserve"> </w:t>
      </w:r>
      <w:r w:rsidRPr="00E170D8">
        <w:rPr>
          <w:lang w:val="en-AU"/>
        </w:rPr>
        <w:tab/>
        <w:t xml:space="preserve">See </w:t>
      </w:r>
      <w:hyperlink r:id="rId1" w:history="1">
        <w:r w:rsidRPr="000A6A79">
          <w:rPr>
            <w:rStyle w:val="Hyperlink"/>
            <w:lang w:val="en-AU"/>
          </w:rPr>
          <w:t>http://www.oecd.org/dac/evaluation/daccriteriaforevaluatingdevelopmentassistance.htm</w:t>
        </w:r>
      </w:hyperlink>
      <w:r>
        <w:rPr>
          <w:lang w:val="en-AU"/>
        </w:rPr>
        <w:t xml:space="preserve"> </w:t>
      </w:r>
    </w:p>
    <w:p w14:paraId="6826AE34" w14:textId="0D61F473" w:rsidR="000210B2" w:rsidRPr="00E170D8" w:rsidRDefault="000210B2" w:rsidP="006A3C6B">
      <w:pPr>
        <w:pStyle w:val="EndnoteText"/>
        <w:spacing w:line="276" w:lineRule="auto"/>
        <w:ind w:left="720"/>
        <w:rPr>
          <w:lang w:val="en-AU"/>
        </w:rPr>
      </w:pPr>
      <w:r>
        <w:rPr>
          <w:lang w:val="en-AU"/>
        </w:rPr>
        <w:t>(accessed 24 November 2016)</w:t>
      </w:r>
    </w:p>
  </w:endnote>
  <w:endnote w:id="3">
    <w:p w14:paraId="6826AE35" w14:textId="66D9CB85" w:rsidR="000210B2" w:rsidRPr="00E170D8" w:rsidRDefault="000210B2" w:rsidP="00E170D8">
      <w:pPr>
        <w:pStyle w:val="EndnoteText"/>
        <w:spacing w:line="276" w:lineRule="auto"/>
        <w:rPr>
          <w:lang w:val="en-AU"/>
        </w:rPr>
      </w:pPr>
      <w:r w:rsidRPr="00E170D8">
        <w:rPr>
          <w:rStyle w:val="EndnoteReference"/>
        </w:rPr>
        <w:endnoteRef/>
      </w:r>
      <w:r w:rsidRPr="00E170D8">
        <w:t xml:space="preserve"> </w:t>
      </w:r>
      <w:r w:rsidRPr="00E170D8">
        <w:rPr>
          <w:lang w:val="en-AU"/>
        </w:rPr>
        <w:tab/>
        <w:t xml:space="preserve">See </w:t>
      </w:r>
      <w:hyperlink r:id="rId2" w:history="1">
        <w:r w:rsidRPr="000A6A79">
          <w:rPr>
            <w:rStyle w:val="Hyperlink"/>
            <w:lang w:val="en-AU"/>
          </w:rPr>
          <w:t>http://www.acdp-indonesia.org/en/home/</w:t>
        </w:r>
      </w:hyperlink>
      <w:r>
        <w:rPr>
          <w:lang w:val="en-AU"/>
        </w:rPr>
        <w:t xml:space="preserve"> (accessed 24 November 2016)</w:t>
      </w:r>
    </w:p>
  </w:endnote>
  <w:endnote w:id="4">
    <w:p w14:paraId="6826AE36" w14:textId="77777777" w:rsidR="000210B2" w:rsidRPr="00E170D8" w:rsidRDefault="000210B2" w:rsidP="00E170D8">
      <w:pPr>
        <w:pStyle w:val="EndnoteText"/>
        <w:spacing w:line="276" w:lineRule="auto"/>
        <w:rPr>
          <w:lang w:val="en-US"/>
        </w:rPr>
      </w:pPr>
      <w:r w:rsidRPr="00E170D8">
        <w:rPr>
          <w:rStyle w:val="EndnoteReference"/>
        </w:rPr>
        <w:endnoteRef/>
      </w:r>
      <w:r w:rsidRPr="00E170D8">
        <w:t xml:space="preserve"> </w:t>
      </w:r>
      <w:r w:rsidRPr="00E170D8">
        <w:tab/>
      </w:r>
      <w:r w:rsidRPr="00E170D8">
        <w:rPr>
          <w:lang w:val="en-US"/>
        </w:rPr>
        <w:t xml:space="preserve">AusAID (2010). </w:t>
      </w:r>
      <w:r w:rsidRPr="006A3C6B">
        <w:rPr>
          <w:i/>
          <w:lang w:val="en-US"/>
        </w:rPr>
        <w:t>Australia’s Education Partnership with Indonesia</w:t>
      </w:r>
      <w:r w:rsidRPr="00E170D8">
        <w:rPr>
          <w:lang w:val="en-US"/>
        </w:rPr>
        <w:t>, p. 20</w:t>
      </w:r>
    </w:p>
  </w:endnote>
  <w:endnote w:id="5">
    <w:p w14:paraId="6826AE37" w14:textId="77777777" w:rsidR="000210B2" w:rsidRPr="00E170D8" w:rsidRDefault="000210B2" w:rsidP="00E170D8">
      <w:pPr>
        <w:pStyle w:val="EndnoteText"/>
        <w:spacing w:line="276" w:lineRule="auto"/>
        <w:rPr>
          <w:lang w:val="en-US"/>
        </w:rPr>
      </w:pPr>
      <w:r w:rsidRPr="00E170D8">
        <w:rPr>
          <w:rStyle w:val="EndnoteReference"/>
        </w:rPr>
        <w:endnoteRef/>
      </w:r>
      <w:r w:rsidRPr="00E170D8">
        <w:t xml:space="preserve"> </w:t>
      </w:r>
      <w:r w:rsidRPr="00E170D8">
        <w:tab/>
      </w:r>
      <w:r w:rsidRPr="00E170D8">
        <w:rPr>
          <w:lang w:val="en-US"/>
        </w:rPr>
        <w:t xml:space="preserve">AusAID (2010). </w:t>
      </w:r>
      <w:r w:rsidRPr="006A3C6B">
        <w:rPr>
          <w:i/>
          <w:lang w:val="en-US"/>
        </w:rPr>
        <w:t>Australia’s Education Partnership with Indonesia</w:t>
      </w:r>
      <w:r w:rsidRPr="00E170D8">
        <w:rPr>
          <w:lang w:val="en-US"/>
        </w:rPr>
        <w:t>, p. 20</w:t>
      </w:r>
    </w:p>
  </w:endnote>
  <w:endnote w:id="6">
    <w:p w14:paraId="6826AE38" w14:textId="77777777" w:rsidR="000210B2" w:rsidRPr="00E170D8" w:rsidRDefault="000210B2" w:rsidP="00E170D8">
      <w:pPr>
        <w:pStyle w:val="EndnoteText"/>
        <w:spacing w:line="276" w:lineRule="auto"/>
        <w:rPr>
          <w:lang w:val="en-US"/>
        </w:rPr>
      </w:pPr>
      <w:r w:rsidRPr="00E170D8">
        <w:rPr>
          <w:rStyle w:val="EndnoteReference"/>
        </w:rPr>
        <w:endnoteRef/>
      </w:r>
      <w:r w:rsidRPr="00E170D8">
        <w:t xml:space="preserve"> </w:t>
      </w:r>
      <w:r w:rsidRPr="00E170D8">
        <w:tab/>
      </w:r>
      <w:r w:rsidRPr="00E170D8">
        <w:rPr>
          <w:lang w:val="en-US"/>
        </w:rPr>
        <w:t xml:space="preserve">AusAID (2010). </w:t>
      </w:r>
      <w:r w:rsidRPr="006A3C6B">
        <w:rPr>
          <w:i/>
          <w:lang w:val="en-US"/>
        </w:rPr>
        <w:t>Australia’s Education Partnership with Indonesi</w:t>
      </w:r>
      <w:r w:rsidRPr="00E170D8">
        <w:rPr>
          <w:lang w:val="en-US"/>
        </w:rPr>
        <w:t>a, p. 3.</w:t>
      </w:r>
    </w:p>
  </w:endnote>
  <w:endnote w:id="7">
    <w:p w14:paraId="6826AE39" w14:textId="08F71A6B" w:rsidR="000210B2" w:rsidRPr="00E170D8" w:rsidRDefault="000210B2" w:rsidP="00E170D8">
      <w:pPr>
        <w:pStyle w:val="EndnoteText"/>
        <w:spacing w:line="276" w:lineRule="auto"/>
        <w:rPr>
          <w:lang w:val="en-US"/>
        </w:rPr>
      </w:pPr>
      <w:r w:rsidRPr="00E170D8">
        <w:rPr>
          <w:rStyle w:val="EndnoteReference"/>
        </w:rPr>
        <w:endnoteRef/>
      </w:r>
      <w:r w:rsidRPr="00E170D8">
        <w:t xml:space="preserve"> </w:t>
      </w:r>
      <w:r w:rsidRPr="00E170D8">
        <w:tab/>
      </w:r>
      <w:hyperlink r:id="rId3" w:history="1">
        <w:r w:rsidRPr="00701A43">
          <w:rPr>
            <w:rStyle w:val="Hyperlink"/>
          </w:rPr>
          <w:t>http://www.pendanaan.bappenas.go.id/index.php?option=com_content&amp;view=article&amp;id=22</w:t>
        </w:r>
      </w:hyperlink>
      <w:r>
        <w:t xml:space="preserve">  </w:t>
      </w:r>
    </w:p>
  </w:endnote>
  <w:endnote w:id="8">
    <w:p w14:paraId="6826AE3A" w14:textId="3E2C196F" w:rsidR="000210B2" w:rsidRPr="00177BC7" w:rsidRDefault="000210B2" w:rsidP="00177BC7">
      <w:pPr>
        <w:pStyle w:val="NoSpacing"/>
        <w:ind w:left="709" w:hanging="709"/>
      </w:pPr>
      <w:r w:rsidRPr="00E170D8">
        <w:rPr>
          <w:rStyle w:val="EndnoteReference"/>
        </w:rPr>
        <w:endnoteRef/>
      </w:r>
      <w:r w:rsidRPr="00E170D8">
        <w:t xml:space="preserve"> </w:t>
      </w:r>
      <w:r w:rsidRPr="00E170D8">
        <w:tab/>
      </w:r>
      <w:hyperlink r:id="rId4" w:history="1">
        <w:r w:rsidRPr="00177BC7">
          <w:rPr>
            <w:rStyle w:val="Hyperlink"/>
            <w:sz w:val="20"/>
            <w:szCs w:val="20"/>
          </w:rPr>
          <w:t>http://dfat.gov.au/about-us/publications/Documents/2014-14-std-time-series-table-5.xlsx</w:t>
        </w:r>
      </w:hyperlink>
      <w:r w:rsidRPr="00177BC7">
        <w:rPr>
          <w:sz w:val="20"/>
          <w:szCs w:val="20"/>
        </w:rPr>
        <w:t xml:space="preserve"> </w:t>
      </w:r>
      <w:r w:rsidRPr="00177BC7">
        <w:rPr>
          <w:sz w:val="20"/>
          <w:szCs w:val="20"/>
          <w:lang w:val="en-AU"/>
        </w:rPr>
        <w:t>(accessed 24 November 2016)</w:t>
      </w:r>
    </w:p>
  </w:endnote>
  <w:endnote w:id="9">
    <w:p w14:paraId="6826AE3B" w14:textId="4FF719D8" w:rsidR="000210B2" w:rsidRPr="00E170D8" w:rsidRDefault="000210B2" w:rsidP="00E170D8">
      <w:pPr>
        <w:pStyle w:val="EndnoteText"/>
        <w:spacing w:line="276" w:lineRule="auto"/>
        <w:ind w:left="709" w:hanging="709"/>
        <w:rPr>
          <w:lang w:val="en-US"/>
        </w:rPr>
      </w:pPr>
      <w:r w:rsidRPr="00E170D8">
        <w:rPr>
          <w:rStyle w:val="EndnoteReference"/>
        </w:rPr>
        <w:endnoteRef/>
      </w:r>
      <w:r w:rsidRPr="00E170D8">
        <w:t xml:space="preserve"> </w:t>
      </w:r>
      <w:r w:rsidRPr="00E170D8">
        <w:tab/>
      </w:r>
      <w:hyperlink r:id="rId5" w:history="1">
        <w:r w:rsidRPr="000A6A79">
          <w:rPr>
            <w:rStyle w:val="Hyperlink"/>
          </w:rPr>
          <w:t>http://dfat.gov.au/news/media-releases/Pages/2010-11-international-development-assistance-budget.aspx</w:t>
        </w:r>
      </w:hyperlink>
      <w:r>
        <w:t xml:space="preserve"> </w:t>
      </w:r>
      <w:r>
        <w:rPr>
          <w:lang w:val="en-AU"/>
        </w:rPr>
        <w:t>(accessed 24 November 2016)</w:t>
      </w:r>
    </w:p>
  </w:endnote>
  <w:endnote w:id="10">
    <w:p w14:paraId="6826AE3C" w14:textId="77777777" w:rsidR="000210B2" w:rsidRPr="00E170D8" w:rsidRDefault="000210B2" w:rsidP="00E170D8">
      <w:pPr>
        <w:pStyle w:val="EndnoteText"/>
        <w:spacing w:line="276" w:lineRule="auto"/>
        <w:ind w:left="709" w:hanging="709"/>
        <w:rPr>
          <w:lang w:val="en-US"/>
        </w:rPr>
      </w:pPr>
      <w:r w:rsidRPr="00E170D8">
        <w:rPr>
          <w:rStyle w:val="EndnoteReference"/>
        </w:rPr>
        <w:endnoteRef/>
      </w:r>
      <w:r w:rsidRPr="00E170D8">
        <w:t xml:space="preserve"> </w:t>
      </w:r>
      <w:r w:rsidRPr="00E170D8">
        <w:tab/>
      </w:r>
      <w:r w:rsidRPr="00E170D8">
        <w:rPr>
          <w:lang w:val="en-US"/>
        </w:rPr>
        <w:t xml:space="preserve">CSAS (2010). </w:t>
      </w:r>
      <w:r w:rsidRPr="006A3C6B">
        <w:rPr>
          <w:i/>
          <w:lang w:val="en-US"/>
        </w:rPr>
        <w:t>Annual financial performance report 2009: annual review of Indonesian education sector financing</w:t>
      </w:r>
      <w:r w:rsidRPr="00E170D8">
        <w:rPr>
          <w:lang w:val="en-US"/>
        </w:rPr>
        <w:t>, p. 8.</w:t>
      </w:r>
    </w:p>
  </w:endnote>
  <w:endnote w:id="11">
    <w:p w14:paraId="6826AE3D" w14:textId="77777777" w:rsidR="000210B2" w:rsidRPr="00E170D8" w:rsidRDefault="000210B2" w:rsidP="00E170D8">
      <w:pPr>
        <w:pStyle w:val="EndnoteText"/>
        <w:spacing w:line="276" w:lineRule="auto"/>
        <w:ind w:left="709" w:hanging="709"/>
        <w:rPr>
          <w:lang w:val="en-US"/>
        </w:rPr>
      </w:pPr>
      <w:r w:rsidRPr="00E170D8">
        <w:rPr>
          <w:rStyle w:val="EndnoteReference"/>
        </w:rPr>
        <w:endnoteRef/>
      </w:r>
      <w:r w:rsidRPr="00E170D8">
        <w:t xml:space="preserve"> </w:t>
      </w:r>
      <w:r w:rsidRPr="00E170D8">
        <w:tab/>
      </w:r>
      <w:r w:rsidRPr="00E170D8">
        <w:rPr>
          <w:lang w:val="en-US"/>
        </w:rPr>
        <w:t xml:space="preserve">CSAS (2011). </w:t>
      </w:r>
      <w:r w:rsidRPr="006A3C6B">
        <w:rPr>
          <w:i/>
          <w:lang w:val="en-US"/>
        </w:rPr>
        <w:t>Annual financial performance report 2010: annual review of Indonesian education sector financing</w:t>
      </w:r>
      <w:r w:rsidRPr="00E170D8">
        <w:rPr>
          <w:lang w:val="en-US"/>
        </w:rPr>
        <w:t>, p. vi.</w:t>
      </w:r>
    </w:p>
  </w:endnote>
  <w:endnote w:id="12">
    <w:p w14:paraId="20271BDC" w14:textId="77777777" w:rsidR="000210B2" w:rsidRDefault="000210B2">
      <w:pPr>
        <w:pStyle w:val="EndnoteText"/>
        <w:rPr>
          <w:lang w:val="en-AU"/>
        </w:rPr>
      </w:pPr>
      <w:r>
        <w:rPr>
          <w:rStyle w:val="EndnoteReference"/>
        </w:rPr>
        <w:endnoteRef/>
      </w:r>
      <w:r>
        <w:t xml:space="preserve"> </w:t>
      </w:r>
      <w:r>
        <w:rPr>
          <w:lang w:val="en-AU"/>
        </w:rPr>
        <w:tab/>
      </w:r>
      <w:r w:rsidRPr="00AA73F9">
        <w:rPr>
          <w:lang w:val="en-AU"/>
        </w:rPr>
        <w:t xml:space="preserve">See </w:t>
      </w:r>
      <w:hyperlink r:id="rId6" w:history="1">
        <w:r w:rsidRPr="000A6A79">
          <w:rPr>
            <w:rStyle w:val="Hyperlink"/>
            <w:lang w:val="en-AU"/>
          </w:rPr>
          <w:t>http://www.anggaran.depkeu.go.id/dja/athumbs/apbn/PENDIDIKAN.pdf</w:t>
        </w:r>
      </w:hyperlink>
      <w:r>
        <w:rPr>
          <w:lang w:val="en-AU"/>
        </w:rPr>
        <w:t xml:space="preserve"> </w:t>
      </w:r>
    </w:p>
    <w:p w14:paraId="6826AE3E" w14:textId="55F481DF" w:rsidR="000210B2" w:rsidRPr="00AA73F9" w:rsidRDefault="000210B2" w:rsidP="006A3C6B">
      <w:pPr>
        <w:pStyle w:val="EndnoteText"/>
        <w:ind w:firstLine="720"/>
        <w:rPr>
          <w:lang w:val="en-AU"/>
        </w:rPr>
      </w:pPr>
      <w:r>
        <w:rPr>
          <w:lang w:val="en-AU"/>
        </w:rPr>
        <w:t>(accessed 24 November 2016)</w:t>
      </w:r>
    </w:p>
  </w:endnote>
  <w:endnote w:id="13">
    <w:p w14:paraId="6826AE3F" w14:textId="77777777" w:rsidR="000210B2" w:rsidRPr="00E170D8" w:rsidRDefault="000210B2" w:rsidP="00E170D8">
      <w:pPr>
        <w:pStyle w:val="EndnoteText"/>
        <w:spacing w:line="276" w:lineRule="auto"/>
      </w:pPr>
      <w:r w:rsidRPr="00E170D8">
        <w:rPr>
          <w:rStyle w:val="EndnoteReference"/>
        </w:rPr>
        <w:endnoteRef/>
      </w:r>
      <w:r w:rsidRPr="00E170D8">
        <w:t xml:space="preserve"> </w:t>
      </w:r>
      <w:r w:rsidRPr="00E170D8">
        <w:tab/>
      </w:r>
      <w:r w:rsidRPr="00E170D8">
        <w:rPr>
          <w:lang w:val="en-US"/>
        </w:rPr>
        <w:t xml:space="preserve">AusAID (2010). </w:t>
      </w:r>
      <w:r w:rsidRPr="00E170D8">
        <w:rPr>
          <w:i/>
          <w:lang w:val="en-US"/>
        </w:rPr>
        <w:t>Australia’s Education Partnership with Indonesia</w:t>
      </w:r>
      <w:r w:rsidRPr="00E170D8">
        <w:rPr>
          <w:lang w:val="en-US"/>
        </w:rPr>
        <w:t>, p. 44.</w:t>
      </w:r>
    </w:p>
  </w:endnote>
  <w:endnote w:id="14">
    <w:p w14:paraId="6826AE40" w14:textId="77777777" w:rsidR="000210B2" w:rsidRPr="00E170D8" w:rsidRDefault="000210B2" w:rsidP="00E170D8">
      <w:pPr>
        <w:pStyle w:val="EndnoteText"/>
        <w:spacing w:line="276" w:lineRule="auto"/>
      </w:pPr>
      <w:r w:rsidRPr="00E170D8">
        <w:rPr>
          <w:rStyle w:val="EndnoteReference"/>
        </w:rPr>
        <w:endnoteRef/>
      </w:r>
      <w:r w:rsidRPr="00E170D8">
        <w:t xml:space="preserve"> </w:t>
      </w:r>
      <w:r w:rsidRPr="00E170D8">
        <w:tab/>
      </w:r>
      <w:r w:rsidRPr="00E170D8">
        <w:rPr>
          <w:lang w:val="en-US"/>
        </w:rPr>
        <w:t xml:space="preserve">AusAID (2010). </w:t>
      </w:r>
      <w:r w:rsidRPr="00E170D8">
        <w:rPr>
          <w:i/>
          <w:lang w:val="en-US"/>
        </w:rPr>
        <w:t>Australia’s Education Partnership with Indonesia</w:t>
      </w:r>
      <w:r w:rsidRPr="00E170D8">
        <w:rPr>
          <w:lang w:val="en-US"/>
        </w:rPr>
        <w:t>, p. 41.</w:t>
      </w:r>
    </w:p>
  </w:endnote>
  <w:endnote w:id="15">
    <w:p w14:paraId="6826AE41" w14:textId="77777777" w:rsidR="000210B2" w:rsidRPr="00E170D8" w:rsidRDefault="000210B2" w:rsidP="00E170D8">
      <w:pPr>
        <w:pStyle w:val="EndnoteText"/>
        <w:spacing w:line="276" w:lineRule="auto"/>
      </w:pPr>
      <w:r w:rsidRPr="00E170D8">
        <w:rPr>
          <w:rStyle w:val="EndnoteReference"/>
        </w:rPr>
        <w:endnoteRef/>
      </w:r>
      <w:r w:rsidRPr="00E170D8">
        <w:t xml:space="preserve"> </w:t>
      </w:r>
      <w:r w:rsidRPr="00E170D8">
        <w:tab/>
      </w:r>
      <w:r w:rsidRPr="00E170D8">
        <w:rPr>
          <w:lang w:val="en-US"/>
        </w:rPr>
        <w:t>ASMF, p. 3.</w:t>
      </w:r>
    </w:p>
  </w:endnote>
  <w:endnote w:id="16">
    <w:p w14:paraId="6826AE42" w14:textId="30B9288D" w:rsidR="000210B2" w:rsidRPr="00E170D8" w:rsidRDefault="000210B2" w:rsidP="00E170D8">
      <w:pPr>
        <w:pStyle w:val="EndnoteText"/>
        <w:spacing w:line="276" w:lineRule="auto"/>
        <w:ind w:left="709" w:hanging="709"/>
        <w:rPr>
          <w:lang w:val="en-AU"/>
        </w:rPr>
      </w:pPr>
      <w:r w:rsidRPr="00E170D8">
        <w:rPr>
          <w:rStyle w:val="EndnoteReference"/>
        </w:rPr>
        <w:endnoteRef/>
      </w:r>
      <w:r w:rsidRPr="00E170D8">
        <w:t xml:space="preserve"> </w:t>
      </w:r>
      <w:r w:rsidRPr="00E170D8">
        <w:rPr>
          <w:lang w:val="en-AU"/>
        </w:rPr>
        <w:tab/>
        <w:t xml:space="preserve">See </w:t>
      </w:r>
      <w:hyperlink r:id="rId7" w:history="1">
        <w:r w:rsidRPr="000A6A79">
          <w:rPr>
            <w:rStyle w:val="Hyperlink"/>
            <w:lang w:val="en-AU"/>
          </w:rPr>
          <w:t>http://www.oecd.org/dac/evaluation/daccriteriaforevaluatingdevelopmentassistance.htm</w:t>
        </w:r>
      </w:hyperlink>
      <w:r>
        <w:rPr>
          <w:lang w:val="en-AU"/>
        </w:rPr>
        <w:t xml:space="preserve"> </w:t>
      </w:r>
      <w:r w:rsidRPr="00E170D8">
        <w:rPr>
          <w:lang w:val="en-AU"/>
        </w:rPr>
        <w:t xml:space="preserve"> (accessed 12 October 2016).</w:t>
      </w:r>
    </w:p>
  </w:endnote>
  <w:endnote w:id="17">
    <w:p w14:paraId="6826AE43" w14:textId="72FD5E49" w:rsidR="000210B2" w:rsidRPr="0001705F" w:rsidRDefault="000210B2" w:rsidP="00E170D8">
      <w:pPr>
        <w:pStyle w:val="EndnoteText"/>
        <w:tabs>
          <w:tab w:val="left" w:pos="709"/>
        </w:tabs>
        <w:spacing w:line="276" w:lineRule="auto"/>
        <w:ind w:left="720" w:hanging="720"/>
      </w:pPr>
      <w:r w:rsidRPr="00E170D8">
        <w:rPr>
          <w:rStyle w:val="EndnoteReference"/>
        </w:rPr>
        <w:endnoteRef/>
      </w:r>
      <w:r w:rsidRPr="00E170D8">
        <w:t xml:space="preserve"> </w:t>
      </w:r>
      <w:r w:rsidRPr="00E170D8">
        <w:rPr>
          <w:lang w:val="id-ID"/>
        </w:rPr>
        <w:tab/>
      </w:r>
      <w:r>
        <w:rPr>
          <w:lang w:val="en-AU"/>
        </w:rPr>
        <w:t xml:space="preserve">DFAT (2015). </w:t>
      </w:r>
      <w:r w:rsidRPr="00F82B53">
        <w:t>Amendment No 2 of the Grant Agreement relating to Junior Secondary School Construction and Expansion through AEPI (a contribution to the GoI ESSP) between the Commonwealth of Australia and the Government of the Republic of Indonesia. DFAT Agreement 60472.</w:t>
      </w:r>
    </w:p>
  </w:endnote>
  <w:endnote w:id="18">
    <w:p w14:paraId="6826AE44" w14:textId="77777777" w:rsidR="000210B2" w:rsidRPr="00E170D8" w:rsidRDefault="000210B2" w:rsidP="00E170D8">
      <w:pPr>
        <w:pStyle w:val="EndnoteText"/>
        <w:tabs>
          <w:tab w:val="left" w:pos="709"/>
        </w:tabs>
        <w:spacing w:line="276" w:lineRule="auto"/>
        <w:ind w:left="720" w:hanging="720"/>
      </w:pPr>
      <w:r w:rsidRPr="00E170D8">
        <w:rPr>
          <w:rStyle w:val="EndnoteReference"/>
        </w:rPr>
        <w:endnoteRef/>
      </w:r>
      <w:r w:rsidRPr="00E170D8">
        <w:t xml:space="preserve"> </w:t>
      </w:r>
      <w:r w:rsidRPr="00E170D8">
        <w:tab/>
        <w:t xml:space="preserve">AusAID, </w:t>
      </w:r>
      <w:r w:rsidRPr="00E170D8">
        <w:rPr>
          <w:i/>
        </w:rPr>
        <w:t>The Education Partnership Theory of Change (Draft).</w:t>
      </w:r>
    </w:p>
  </w:endnote>
  <w:endnote w:id="19">
    <w:p w14:paraId="6826AE45" w14:textId="77777777" w:rsidR="000210B2" w:rsidRPr="00E170D8" w:rsidRDefault="000210B2" w:rsidP="00E170D8">
      <w:pPr>
        <w:pStyle w:val="EndnoteText"/>
        <w:tabs>
          <w:tab w:val="left" w:pos="709"/>
        </w:tabs>
        <w:spacing w:line="276" w:lineRule="auto"/>
        <w:ind w:left="720" w:hanging="720"/>
      </w:pPr>
      <w:r w:rsidRPr="00E170D8">
        <w:rPr>
          <w:rStyle w:val="EndnoteReference"/>
        </w:rPr>
        <w:endnoteRef/>
      </w:r>
      <w:r w:rsidRPr="00E170D8">
        <w:t xml:space="preserve"> </w:t>
      </w:r>
      <w:r w:rsidRPr="00E170D8">
        <w:tab/>
        <w:t>An Agreement for Grant Financing Junior Secondary School Construction and Expansion through Australia’s Education Partnership with Indonesia. A contribution to the Government of Indonesia’s Education Sector Support Program, Schedule 1. AusAID Agreement No. 60472.</w:t>
      </w:r>
    </w:p>
  </w:endnote>
  <w:endnote w:id="20">
    <w:p w14:paraId="6826AE46" w14:textId="77777777" w:rsidR="000210B2" w:rsidRPr="00E170D8" w:rsidRDefault="000210B2" w:rsidP="00E170D8">
      <w:pPr>
        <w:pStyle w:val="EndnoteText"/>
        <w:tabs>
          <w:tab w:val="left" w:pos="709"/>
        </w:tabs>
        <w:spacing w:line="276" w:lineRule="auto"/>
        <w:ind w:left="720" w:hanging="720"/>
      </w:pPr>
      <w:r w:rsidRPr="00E170D8">
        <w:rPr>
          <w:rStyle w:val="EndnoteReference"/>
        </w:rPr>
        <w:endnoteRef/>
      </w:r>
      <w:r w:rsidRPr="00E170D8">
        <w:t xml:space="preserve"> </w:t>
      </w:r>
      <w:r w:rsidRPr="00E170D8">
        <w:tab/>
        <w:t>An Agreement for Grant Financing Junior Secondary School Construction and Expansion through Australia’s Education Partnership with Indonesia. A contribution to the Government of Indonesia’s Education Sector Support Program, Schedule 1. AusAID Agreement No. 60472.</w:t>
      </w:r>
    </w:p>
  </w:endnote>
  <w:endnote w:id="21">
    <w:p w14:paraId="6826AE47" w14:textId="77777777" w:rsidR="000210B2" w:rsidRPr="00E170D8" w:rsidRDefault="000210B2" w:rsidP="00E170D8">
      <w:pPr>
        <w:pStyle w:val="EndnoteText"/>
        <w:spacing w:line="276" w:lineRule="auto"/>
        <w:ind w:left="709" w:hanging="709"/>
      </w:pPr>
      <w:r w:rsidRPr="00E170D8">
        <w:rPr>
          <w:rStyle w:val="EndnoteReference"/>
        </w:rPr>
        <w:endnoteRef/>
      </w:r>
      <w:r w:rsidRPr="00E170D8">
        <w:t xml:space="preserve"> </w:t>
      </w:r>
      <w:r w:rsidRPr="00E170D8">
        <w:tab/>
        <w:t xml:space="preserve">See </w:t>
      </w:r>
      <w:hyperlink r:id="rId8" w:history="1">
        <w:r w:rsidRPr="00E170D8">
          <w:rPr>
            <w:rStyle w:val="Hyperlink"/>
          </w:rPr>
          <w:t>http://dfat.gov.au/geo/indonesia/development-assistance/Pages/human-development-in-indonesia.aspx</w:t>
        </w:r>
      </w:hyperlink>
      <w:r w:rsidRPr="00E170D8">
        <w:t xml:space="preserve"> (accessed 12 October 2016)</w:t>
      </w:r>
    </w:p>
  </w:endnote>
  <w:endnote w:id="22">
    <w:p w14:paraId="1A2A21D3" w14:textId="67B1A2B5" w:rsidR="000210B2" w:rsidRPr="00177BC7" w:rsidRDefault="000210B2">
      <w:pPr>
        <w:pStyle w:val="EndnoteText"/>
        <w:rPr>
          <w:lang w:val="en-US"/>
        </w:rPr>
      </w:pPr>
      <w:r>
        <w:rPr>
          <w:rStyle w:val="EndnoteReference"/>
        </w:rPr>
        <w:endnoteRef/>
      </w:r>
      <w:r>
        <w:t xml:space="preserve"> </w:t>
      </w:r>
      <w:r>
        <w:tab/>
      </w:r>
      <w:r>
        <w:rPr>
          <w:lang w:val="en-US"/>
        </w:rPr>
        <w:t>SSQ Component 1 (2016). SSQ C1 Update - 4 November 2016.</w:t>
      </w:r>
    </w:p>
  </w:endnote>
  <w:endnote w:id="23">
    <w:p w14:paraId="6826AE48" w14:textId="77777777" w:rsidR="000210B2" w:rsidRPr="00E170D8" w:rsidRDefault="000210B2" w:rsidP="00E170D8">
      <w:pPr>
        <w:pStyle w:val="EndnoteText"/>
        <w:spacing w:line="276" w:lineRule="auto"/>
        <w:ind w:left="709" w:hanging="709"/>
        <w:rPr>
          <w:lang w:val="en-AU"/>
        </w:rPr>
      </w:pPr>
      <w:r w:rsidRPr="00E170D8">
        <w:rPr>
          <w:rStyle w:val="EndnoteReference"/>
        </w:rPr>
        <w:endnoteRef/>
      </w:r>
      <w:r w:rsidRPr="00E170D8">
        <w:t xml:space="preserve"> </w:t>
      </w:r>
      <w:r w:rsidRPr="00E170D8">
        <w:rPr>
          <w:lang w:val="en-AU"/>
        </w:rPr>
        <w:tab/>
        <w:t>Alexander &amp; Lloyd Group, AEPI – Independent Monitoring of School Construction Technical Evaluation Mission 27 October – 10 November 2014 Back To Office Report, 02 December 2014</w:t>
      </w:r>
      <w:r>
        <w:rPr>
          <w:lang w:val="en-AU"/>
        </w:rPr>
        <w:t>.</w:t>
      </w:r>
      <w:r w:rsidRPr="00E170D8">
        <w:rPr>
          <w:lang w:val="en-AU"/>
        </w:rPr>
        <w:t xml:space="preserve"> </w:t>
      </w:r>
    </w:p>
  </w:endnote>
  <w:endnote w:id="24">
    <w:p w14:paraId="6826AE49" w14:textId="77777777" w:rsidR="000210B2" w:rsidRPr="0001705F" w:rsidRDefault="000210B2">
      <w:pPr>
        <w:pStyle w:val="EndnoteText"/>
        <w:rPr>
          <w:lang w:val="en-AU"/>
        </w:rPr>
      </w:pPr>
      <w:r>
        <w:rPr>
          <w:rStyle w:val="EndnoteReference"/>
        </w:rPr>
        <w:endnoteRef/>
      </w:r>
      <w:r>
        <w:t xml:space="preserve"> </w:t>
      </w:r>
      <w:r>
        <w:rPr>
          <w:lang w:val="en-AU"/>
        </w:rPr>
        <w:tab/>
        <w:t xml:space="preserve">POM (2015). </w:t>
      </w:r>
      <w:r w:rsidRPr="006A3C6B">
        <w:rPr>
          <w:i/>
          <w:lang w:val="en-AU"/>
        </w:rPr>
        <w:t>2014 AIBEP Schools Survey</w:t>
      </w:r>
      <w:r>
        <w:rPr>
          <w:lang w:val="en-AU"/>
        </w:rPr>
        <w:t>.</w:t>
      </w:r>
    </w:p>
  </w:endnote>
  <w:endnote w:id="25">
    <w:p w14:paraId="6826AE4A" w14:textId="5EB7BC98" w:rsidR="000210B2" w:rsidRPr="0001705F" w:rsidRDefault="000210B2">
      <w:pPr>
        <w:pStyle w:val="EndnoteText"/>
        <w:rPr>
          <w:lang w:val="en-AU"/>
        </w:rPr>
      </w:pPr>
      <w:r>
        <w:rPr>
          <w:rStyle w:val="EndnoteReference"/>
        </w:rPr>
        <w:endnoteRef/>
      </w:r>
      <w:r>
        <w:t xml:space="preserve"> </w:t>
      </w:r>
      <w:r>
        <w:tab/>
      </w:r>
      <w:r w:rsidRPr="0001705F">
        <w:t xml:space="preserve">See Caldwell, B. </w:t>
      </w:r>
      <w:r>
        <w:t>(</w:t>
      </w:r>
      <w:r w:rsidRPr="0001705F">
        <w:t>2014</w:t>
      </w:r>
      <w:r>
        <w:t>)</w:t>
      </w:r>
      <w:r w:rsidRPr="0001705F">
        <w:t xml:space="preserve">. </w:t>
      </w:r>
      <w:r w:rsidRPr="0052313B">
        <w:rPr>
          <w:i/>
        </w:rPr>
        <w:t>Thematic Literature Review for Component 2</w:t>
      </w:r>
      <w:r w:rsidRPr="0001705F">
        <w:t>. POM.</w:t>
      </w:r>
    </w:p>
  </w:endnote>
  <w:endnote w:id="26">
    <w:p w14:paraId="33000B0C" w14:textId="626F8477" w:rsidR="000210B2" w:rsidRPr="00DB390D" w:rsidRDefault="000210B2" w:rsidP="00DB390D">
      <w:pPr>
        <w:pStyle w:val="EndnoteText"/>
        <w:ind w:left="709" w:hanging="709"/>
        <w:rPr>
          <w:lang w:val="en-US"/>
        </w:rPr>
      </w:pPr>
      <w:r>
        <w:rPr>
          <w:rStyle w:val="EndnoteReference"/>
        </w:rPr>
        <w:endnoteRef/>
      </w:r>
      <w:r>
        <w:t xml:space="preserve"> </w:t>
      </w:r>
      <w:r>
        <w:tab/>
        <w:t xml:space="preserve">See </w:t>
      </w:r>
      <w:hyperlink r:id="rId9" w:history="1">
        <w:r w:rsidRPr="00DB390D">
          <w:rPr>
            <w:rStyle w:val="Hyperlink"/>
          </w:rPr>
          <w:t>http://dfat.gov.au/about-us/publications/Pages/strategy-for-australias-aid-investments-in-    education-2015-2020.aspx</w:t>
        </w:r>
      </w:hyperlink>
      <w:r>
        <w:t xml:space="preserve"> (accessed 12 October 2016).</w:t>
      </w:r>
    </w:p>
  </w:endnote>
  <w:endnote w:id="27">
    <w:p w14:paraId="6826AE4C" w14:textId="6FF498B1" w:rsidR="000210B2" w:rsidRPr="00E170D8" w:rsidRDefault="000210B2" w:rsidP="00E170D8">
      <w:pPr>
        <w:pStyle w:val="EndnoteText"/>
        <w:tabs>
          <w:tab w:val="left" w:pos="709"/>
        </w:tabs>
        <w:spacing w:line="276" w:lineRule="auto"/>
        <w:ind w:left="720" w:hanging="720"/>
      </w:pPr>
      <w:r w:rsidRPr="00E170D8">
        <w:rPr>
          <w:rStyle w:val="EndnoteReference"/>
        </w:rPr>
        <w:endnoteRef/>
      </w:r>
      <w:r w:rsidRPr="00E170D8">
        <w:t xml:space="preserve"> </w:t>
      </w:r>
      <w:r w:rsidRPr="00E170D8">
        <w:tab/>
        <w:t xml:space="preserve">See Caldwell, B. </w:t>
      </w:r>
      <w:r>
        <w:t>(</w:t>
      </w:r>
      <w:r w:rsidRPr="00E170D8">
        <w:t>2014</w:t>
      </w:r>
      <w:r>
        <w:t>)</w:t>
      </w:r>
      <w:r w:rsidRPr="00E170D8">
        <w:t xml:space="preserve">. </w:t>
      </w:r>
      <w:r w:rsidRPr="006A3C6B">
        <w:rPr>
          <w:i/>
        </w:rPr>
        <w:t>Thematic Literature Review for Component 2</w:t>
      </w:r>
      <w:r w:rsidRPr="00E170D8">
        <w:t xml:space="preserve">. POM. </w:t>
      </w:r>
    </w:p>
  </w:endnote>
  <w:endnote w:id="28">
    <w:p w14:paraId="6826AE4D" w14:textId="77777777" w:rsidR="000210B2" w:rsidRPr="00E170D8" w:rsidRDefault="000210B2" w:rsidP="00E170D8">
      <w:pPr>
        <w:pStyle w:val="EndnoteText"/>
        <w:tabs>
          <w:tab w:val="left" w:pos="709"/>
        </w:tabs>
        <w:spacing w:line="276" w:lineRule="auto"/>
        <w:ind w:left="720" w:hanging="720"/>
      </w:pPr>
      <w:r w:rsidRPr="00E170D8">
        <w:rPr>
          <w:rStyle w:val="EndnoteReference"/>
        </w:rPr>
        <w:endnoteRef/>
      </w:r>
      <w:r w:rsidRPr="00E170D8">
        <w:t xml:space="preserve"> </w:t>
      </w:r>
      <w:r w:rsidRPr="00E170D8">
        <w:tab/>
        <w:t xml:space="preserve">ACDP, Six </w:t>
      </w:r>
      <w:r w:rsidRPr="00E170D8">
        <w:rPr>
          <w:i/>
        </w:rPr>
        <w:t>Monthly Progress Report, Mid-2014, September 2014</w:t>
      </w:r>
      <w:r w:rsidRPr="00E170D8">
        <w:t xml:space="preserve"> (Revision), p.1.</w:t>
      </w:r>
    </w:p>
  </w:endnote>
  <w:endnote w:id="29">
    <w:p w14:paraId="6826AE4E" w14:textId="77777777" w:rsidR="000210B2" w:rsidRPr="00E170D8" w:rsidRDefault="000210B2" w:rsidP="00E170D8">
      <w:pPr>
        <w:pStyle w:val="EndnoteText"/>
        <w:tabs>
          <w:tab w:val="left" w:pos="709"/>
        </w:tabs>
        <w:spacing w:line="276" w:lineRule="auto"/>
        <w:ind w:left="720" w:hanging="720"/>
      </w:pPr>
      <w:r w:rsidRPr="00E170D8">
        <w:rPr>
          <w:rStyle w:val="EndnoteReference"/>
        </w:rPr>
        <w:endnoteRef/>
      </w:r>
      <w:r w:rsidRPr="00E170D8">
        <w:t xml:space="preserve"> </w:t>
      </w:r>
      <w:r w:rsidRPr="00E170D8">
        <w:tab/>
        <w:t>Education Sector – Analytical and Capacity Development Partnership Indonesia. Mid-term Review.</w:t>
      </w:r>
    </w:p>
  </w:endnote>
  <w:endnote w:id="30">
    <w:p w14:paraId="6826AE4F" w14:textId="77777777" w:rsidR="000210B2" w:rsidRPr="00E170D8" w:rsidRDefault="000210B2" w:rsidP="00E170D8">
      <w:pPr>
        <w:pStyle w:val="EndnoteText"/>
        <w:spacing w:line="276" w:lineRule="auto"/>
        <w:rPr>
          <w:lang w:val="en-US"/>
        </w:rPr>
      </w:pPr>
      <w:r w:rsidRPr="00E170D8">
        <w:rPr>
          <w:rStyle w:val="EndnoteReference"/>
        </w:rPr>
        <w:endnoteRef/>
      </w:r>
      <w:r w:rsidRPr="00E170D8">
        <w:t xml:space="preserve"> </w:t>
      </w:r>
      <w:r w:rsidRPr="00E170D8">
        <w:tab/>
        <w:t>see the APPRs of 2013-15 and the MTR of 2014</w:t>
      </w:r>
    </w:p>
  </w:endnote>
  <w:endnote w:id="31">
    <w:p w14:paraId="6826AE50" w14:textId="77777777" w:rsidR="000210B2" w:rsidRPr="00E170D8" w:rsidRDefault="000210B2" w:rsidP="00E170D8">
      <w:pPr>
        <w:pStyle w:val="EndnoteText"/>
        <w:spacing w:line="276" w:lineRule="auto"/>
        <w:rPr>
          <w:lang w:val="en-US"/>
        </w:rPr>
      </w:pPr>
      <w:r w:rsidRPr="00E170D8">
        <w:rPr>
          <w:rStyle w:val="EndnoteReference"/>
        </w:rPr>
        <w:endnoteRef/>
      </w:r>
      <w:r w:rsidRPr="00E170D8">
        <w:t xml:space="preserve"> </w:t>
      </w:r>
      <w:r w:rsidRPr="00E170D8">
        <w:tab/>
        <w:t xml:space="preserve">POM (2016). </w:t>
      </w:r>
      <w:r w:rsidRPr="00E170D8">
        <w:rPr>
          <w:i/>
        </w:rPr>
        <w:t>Annual Partnership Performance Report 2015</w:t>
      </w:r>
      <w:r w:rsidRPr="00E170D8">
        <w:t>, p. 58.</w:t>
      </w:r>
    </w:p>
  </w:endnote>
  <w:endnote w:id="32">
    <w:p w14:paraId="6826AE51" w14:textId="77777777" w:rsidR="000210B2" w:rsidRPr="00E170D8" w:rsidRDefault="000210B2" w:rsidP="00E170D8">
      <w:pPr>
        <w:pStyle w:val="EndnoteText"/>
        <w:spacing w:line="276" w:lineRule="auto"/>
        <w:rPr>
          <w:lang w:val="en-US"/>
        </w:rPr>
      </w:pPr>
      <w:r w:rsidRPr="00E170D8">
        <w:rPr>
          <w:rStyle w:val="EndnoteReference"/>
        </w:rPr>
        <w:endnoteRef/>
      </w:r>
      <w:r w:rsidRPr="00E170D8">
        <w:t xml:space="preserve"> </w:t>
      </w:r>
      <w:r w:rsidRPr="00E170D8">
        <w:tab/>
        <w:t xml:space="preserve">POM (2016). </w:t>
      </w:r>
      <w:r w:rsidRPr="00E170D8">
        <w:rPr>
          <w:i/>
        </w:rPr>
        <w:t>Annual Partnership Performance Report 2015</w:t>
      </w:r>
      <w:r w:rsidRPr="00E170D8">
        <w:t>, p. 63.</w:t>
      </w:r>
    </w:p>
  </w:endnote>
  <w:endnote w:id="33">
    <w:p w14:paraId="7FB83D6D" w14:textId="07E0C776" w:rsidR="000210B2" w:rsidRPr="00177BC7" w:rsidRDefault="000210B2">
      <w:pPr>
        <w:pStyle w:val="EndnoteText"/>
        <w:rPr>
          <w:lang w:val="en-US"/>
        </w:rPr>
      </w:pPr>
      <w:r>
        <w:rPr>
          <w:rStyle w:val="EndnoteReference"/>
        </w:rPr>
        <w:endnoteRef/>
      </w:r>
      <w:r>
        <w:t xml:space="preserve"> </w:t>
      </w:r>
      <w:r>
        <w:rPr>
          <w:lang w:val="en-US"/>
        </w:rPr>
        <w:tab/>
        <w:t xml:space="preserve">SSQ (2015). </w:t>
      </w:r>
      <w:r w:rsidRPr="006A3C6B">
        <w:rPr>
          <w:i/>
          <w:lang w:val="en-US"/>
        </w:rPr>
        <w:t>School Systems and Quality Annual Progress Report, 2015</w:t>
      </w:r>
      <w:r>
        <w:rPr>
          <w:lang w:val="en-US"/>
        </w:rPr>
        <w:t>, p. 25.</w:t>
      </w:r>
    </w:p>
  </w:endnote>
  <w:endnote w:id="34">
    <w:p w14:paraId="4084EC5E" w14:textId="5877F6AC" w:rsidR="000210B2" w:rsidRPr="00177BC7" w:rsidRDefault="000210B2">
      <w:pPr>
        <w:pStyle w:val="EndnoteText"/>
        <w:rPr>
          <w:lang w:val="en-US"/>
        </w:rPr>
      </w:pPr>
      <w:r>
        <w:rPr>
          <w:rStyle w:val="EndnoteReference"/>
        </w:rPr>
        <w:endnoteRef/>
      </w:r>
      <w:r>
        <w:t xml:space="preserve"> </w:t>
      </w:r>
      <w:r>
        <w:rPr>
          <w:lang w:val="en-US"/>
        </w:rPr>
        <w:tab/>
        <w:t xml:space="preserve">SSQ (2015). </w:t>
      </w:r>
      <w:r w:rsidRPr="006A3C6B">
        <w:rPr>
          <w:i/>
          <w:lang w:val="en-US"/>
        </w:rPr>
        <w:t>School Systems and Quality Annual Progress Report, 2015</w:t>
      </w:r>
      <w:r>
        <w:rPr>
          <w:lang w:val="en-US"/>
        </w:rPr>
        <w:t>, p. 14.</w:t>
      </w:r>
    </w:p>
  </w:endnote>
  <w:endnote w:id="35">
    <w:p w14:paraId="31FF32CE" w14:textId="3B030B61" w:rsidR="000210B2" w:rsidRPr="00473E53" w:rsidRDefault="000210B2">
      <w:pPr>
        <w:pStyle w:val="EndnoteText"/>
        <w:rPr>
          <w:lang w:val="en-US"/>
        </w:rPr>
      </w:pPr>
      <w:r>
        <w:rPr>
          <w:rStyle w:val="EndnoteReference"/>
        </w:rPr>
        <w:endnoteRef/>
      </w:r>
      <w:r>
        <w:t xml:space="preserve"> </w:t>
      </w:r>
      <w:r>
        <w:rPr>
          <w:lang w:val="en-US"/>
        </w:rPr>
        <w:tab/>
        <w:t xml:space="preserve">SSQ (2016). </w:t>
      </w:r>
      <w:r w:rsidRPr="006A3C6B">
        <w:rPr>
          <w:i/>
          <w:lang w:val="en-US"/>
        </w:rPr>
        <w:t>Modelling Inclusive Education in Madrasah: Pilot Evaluation</w:t>
      </w:r>
      <w:r>
        <w:rPr>
          <w:lang w:val="en-US"/>
        </w:rPr>
        <w:t>.</w:t>
      </w:r>
    </w:p>
  </w:endnote>
  <w:endnote w:id="36">
    <w:p w14:paraId="5EC56E31" w14:textId="670939DA" w:rsidR="000210B2" w:rsidRPr="00473E53" w:rsidRDefault="000210B2">
      <w:pPr>
        <w:pStyle w:val="EndnoteText"/>
        <w:rPr>
          <w:lang w:val="en-US"/>
        </w:rPr>
      </w:pPr>
      <w:r>
        <w:rPr>
          <w:rStyle w:val="EndnoteReference"/>
        </w:rPr>
        <w:endnoteRef/>
      </w:r>
      <w:r>
        <w:t xml:space="preserve"> </w:t>
      </w:r>
      <w:r>
        <w:rPr>
          <w:lang w:val="en-US"/>
        </w:rPr>
        <w:tab/>
        <w:t xml:space="preserve">AusAID (2010). </w:t>
      </w:r>
      <w:r w:rsidRPr="008E6730">
        <w:rPr>
          <w:i/>
          <w:lang w:val="en-US"/>
        </w:rPr>
        <w:t>Australia’s Education Partnership with Indonesia</w:t>
      </w:r>
      <w:r>
        <w:rPr>
          <w:lang w:val="en-US"/>
        </w:rPr>
        <w:t>, p. 28.</w:t>
      </w:r>
    </w:p>
  </w:endnote>
  <w:endnote w:id="37">
    <w:p w14:paraId="6826AE52" w14:textId="77777777" w:rsidR="000210B2" w:rsidRPr="00E170D8" w:rsidRDefault="000210B2" w:rsidP="00E170D8">
      <w:pPr>
        <w:pStyle w:val="EndnoteText"/>
        <w:spacing w:line="276" w:lineRule="auto"/>
        <w:ind w:left="709" w:hanging="709"/>
        <w:rPr>
          <w:lang w:val="en-AU"/>
        </w:rPr>
      </w:pPr>
      <w:r w:rsidRPr="00E170D8">
        <w:rPr>
          <w:rStyle w:val="EndnoteReference"/>
        </w:rPr>
        <w:endnoteRef/>
      </w:r>
      <w:r w:rsidRPr="00E170D8">
        <w:t xml:space="preserve"> </w:t>
      </w:r>
      <w:r w:rsidRPr="00E170D8">
        <w:rPr>
          <w:lang w:val="en-AU"/>
        </w:rPr>
        <w:tab/>
        <w:t xml:space="preserve">MoF (2016). </w:t>
      </w:r>
      <w:r w:rsidRPr="00E170D8">
        <w:rPr>
          <w:i/>
          <w:lang w:val="en-AU"/>
        </w:rPr>
        <w:t>Nota Keuangan Beserta Anggaran Pendapatan dan Belanja Negara Perubahan – Tahun Anggaran 2016</w:t>
      </w:r>
      <w:r w:rsidRPr="00E170D8">
        <w:rPr>
          <w:lang w:val="en-AU"/>
        </w:rPr>
        <w:t>, §II pp. 4-22.</w:t>
      </w:r>
    </w:p>
  </w:endnote>
  <w:endnote w:id="38">
    <w:p w14:paraId="6826AE53" w14:textId="77777777" w:rsidR="000210B2" w:rsidRPr="00E170D8" w:rsidRDefault="000210B2" w:rsidP="007858E1">
      <w:pPr>
        <w:pStyle w:val="EndnoteText"/>
        <w:spacing w:line="276" w:lineRule="auto"/>
        <w:ind w:left="709" w:hanging="709"/>
        <w:rPr>
          <w:lang w:val="en-AU"/>
        </w:rPr>
      </w:pPr>
      <w:r w:rsidRPr="00E170D8">
        <w:rPr>
          <w:rStyle w:val="EndnoteReference"/>
        </w:rPr>
        <w:endnoteRef/>
      </w:r>
      <w:r w:rsidRPr="00E170D8">
        <w:t xml:space="preserve"> </w:t>
      </w:r>
      <w:r w:rsidRPr="00E170D8">
        <w:tab/>
        <w:t xml:space="preserve">See </w:t>
      </w:r>
      <w:hyperlink r:id="rId10" w:history="1">
        <w:r w:rsidRPr="00E716C7">
          <w:rPr>
            <w:rStyle w:val="Hyperlink"/>
          </w:rPr>
          <w:t>http://www.kemenkeu.go.id/sites/default/files/Subkatalogdata</w:t>
        </w:r>
      </w:hyperlink>
      <w:r w:rsidRPr="00814EF3">
        <w:rPr>
          <w:rStyle w:val="Hyperlink"/>
        </w:rPr>
        <w:t>/UU%20APBN%20TA%202016%</w:t>
      </w:r>
      <w:r>
        <w:rPr>
          <w:rStyle w:val="Hyperlink"/>
        </w:rPr>
        <w:t>-</w:t>
      </w:r>
      <w:r w:rsidRPr="00814EF3">
        <w:rPr>
          <w:rStyle w:val="Hyperlink"/>
        </w:rPr>
        <w:t>20lengkap.pdf</w:t>
      </w:r>
    </w:p>
  </w:endnote>
  <w:endnote w:id="39">
    <w:p w14:paraId="6826AE54" w14:textId="77777777" w:rsidR="000210B2" w:rsidRPr="00DD5677" w:rsidRDefault="000210B2" w:rsidP="00DD5677">
      <w:pPr>
        <w:pStyle w:val="EndnoteText"/>
        <w:rPr>
          <w:lang w:val="en-AU"/>
        </w:rPr>
      </w:pPr>
      <w:r>
        <w:rPr>
          <w:rStyle w:val="EndnoteReference"/>
        </w:rPr>
        <w:endnoteRef/>
      </w:r>
      <w:r>
        <w:t xml:space="preserve"> </w:t>
      </w:r>
      <w:r>
        <w:rPr>
          <w:lang w:val="en-AU"/>
        </w:rPr>
        <w:tab/>
      </w:r>
      <w:r w:rsidRPr="00DD5677">
        <w:rPr>
          <w:lang w:val="en-AU"/>
        </w:rPr>
        <w:t xml:space="preserve">SSQ (2013). </w:t>
      </w:r>
      <w:r w:rsidRPr="006A3C6B">
        <w:rPr>
          <w:i/>
          <w:lang w:val="en-AU"/>
        </w:rPr>
        <w:t>Annual Progress Report 2013</w:t>
      </w:r>
      <w:r>
        <w:rPr>
          <w:lang w:val="en-AU"/>
        </w:rPr>
        <w:t>,</w:t>
      </w:r>
      <w:r w:rsidRPr="00DD5677">
        <w:rPr>
          <w:lang w:val="en-AU"/>
        </w:rPr>
        <w:t xml:space="preserve"> p. 10.</w:t>
      </w:r>
    </w:p>
  </w:endnote>
  <w:endnote w:id="40">
    <w:p w14:paraId="6826AE55" w14:textId="2B4F64C6" w:rsidR="000210B2" w:rsidRPr="00553289" w:rsidRDefault="000210B2" w:rsidP="00553289">
      <w:pPr>
        <w:pStyle w:val="EndnoteText"/>
        <w:ind w:left="709" w:hanging="709"/>
        <w:rPr>
          <w:lang w:val="en-AU"/>
        </w:rPr>
      </w:pPr>
      <w:r>
        <w:rPr>
          <w:rStyle w:val="EndnoteReference"/>
        </w:rPr>
        <w:endnoteRef/>
      </w:r>
      <w:r>
        <w:t xml:space="preserve"> </w:t>
      </w:r>
      <w:r>
        <w:rPr>
          <w:lang w:val="en-AU"/>
        </w:rPr>
        <w:tab/>
      </w:r>
      <w:r w:rsidRPr="00553289">
        <w:rPr>
          <w:lang w:val="en-AU"/>
        </w:rPr>
        <w:t xml:space="preserve">See </w:t>
      </w:r>
      <w:hyperlink r:id="rId11" w:history="1">
        <w:r w:rsidRPr="000A6A79">
          <w:rPr>
            <w:rStyle w:val="Hyperlink"/>
            <w:lang w:val="en-AU"/>
          </w:rPr>
          <w:t>http://dfat.gov.au/aid/who-we-work-with/value-for-money-principles/Pages/value-for-money-principles.aspx</w:t>
        </w:r>
      </w:hyperlink>
      <w:r>
        <w:rPr>
          <w:lang w:val="en-AU"/>
        </w:rPr>
        <w:t xml:space="preserve"> </w:t>
      </w:r>
      <w:r w:rsidRPr="00553289">
        <w:rPr>
          <w:lang w:val="en-AU"/>
        </w:rPr>
        <w:t>(accessed 11 October 2016).</w:t>
      </w:r>
    </w:p>
  </w:endnote>
  <w:endnote w:id="41">
    <w:p w14:paraId="2F2D52AE" w14:textId="6B32F9E7" w:rsidR="000210B2" w:rsidRPr="00CF4D20" w:rsidRDefault="000210B2">
      <w:pPr>
        <w:pStyle w:val="EndnoteText"/>
        <w:rPr>
          <w:lang w:val="en-US"/>
        </w:rPr>
      </w:pPr>
      <w:r>
        <w:rPr>
          <w:rStyle w:val="EndnoteReference"/>
        </w:rPr>
        <w:endnoteRef/>
      </w:r>
      <w:r>
        <w:t xml:space="preserve"> </w:t>
      </w:r>
    </w:p>
  </w:endnote>
  <w:endnote w:id="42">
    <w:p w14:paraId="37A2D199" w14:textId="77D52607" w:rsidR="000210B2" w:rsidRPr="006B0647" w:rsidRDefault="000210B2" w:rsidP="006B0647">
      <w:pPr>
        <w:pStyle w:val="EndnoteText"/>
        <w:ind w:left="709" w:hanging="709"/>
        <w:rPr>
          <w:lang w:val="en-US"/>
        </w:rPr>
      </w:pPr>
      <w:r>
        <w:rPr>
          <w:rStyle w:val="EndnoteReference"/>
        </w:rPr>
        <w:endnoteRef/>
      </w:r>
      <w:r>
        <w:t xml:space="preserve"> </w:t>
      </w:r>
      <w:r>
        <w:rPr>
          <w:lang w:val="en-US"/>
        </w:rPr>
        <w:tab/>
      </w:r>
      <w:r>
        <w:t xml:space="preserve">See </w:t>
      </w:r>
      <w:hyperlink r:id="rId12" w:history="1">
        <w:r w:rsidRPr="003F5D36">
          <w:rPr>
            <w:rStyle w:val="Hyperlink"/>
          </w:rPr>
          <w:t>http://dfat.gov.au/aid/who-we-work-with/value-for-money-principles/Pages/value-for-money- principles.aspx</w:t>
        </w:r>
      </w:hyperlink>
      <w:r>
        <w:t xml:space="preserve"> (accessed 25 November 2016).</w:t>
      </w:r>
    </w:p>
  </w:endnote>
  <w:endnote w:id="43">
    <w:p w14:paraId="6826AE56" w14:textId="08F87E45" w:rsidR="000210B2" w:rsidRPr="00E170D8" w:rsidRDefault="000210B2" w:rsidP="00E170D8">
      <w:pPr>
        <w:pStyle w:val="EndnoteText"/>
        <w:spacing w:line="276" w:lineRule="auto"/>
        <w:ind w:left="709" w:hanging="709"/>
        <w:rPr>
          <w:lang w:val="en-AU"/>
        </w:rPr>
      </w:pPr>
      <w:r w:rsidRPr="00E170D8">
        <w:rPr>
          <w:rStyle w:val="EndnoteReference"/>
        </w:rPr>
        <w:endnoteRef/>
      </w:r>
      <w:r w:rsidRPr="00E170D8">
        <w:t xml:space="preserve"> </w:t>
      </w:r>
      <w:r w:rsidRPr="00E170D8">
        <w:tab/>
        <w:t xml:space="preserve">See </w:t>
      </w:r>
      <w:hyperlink r:id="rId13" w:history="1">
        <w:r w:rsidRPr="000A6A79">
          <w:rPr>
            <w:rStyle w:val="Hyperlink"/>
          </w:rPr>
          <w:t>http://dfat.gov.au/geo/indonesia/development-assistance/Pages/human-development-in-indonesia.aspx</w:t>
        </w:r>
      </w:hyperlink>
      <w:r>
        <w:t xml:space="preserve"> </w:t>
      </w:r>
      <w:r>
        <w:rPr>
          <w:lang w:val="en-AU"/>
        </w:rPr>
        <w:t>(accessed 24 November 2016)</w:t>
      </w:r>
    </w:p>
  </w:endnote>
  <w:endnote w:id="44">
    <w:p w14:paraId="6826AE57" w14:textId="6676E1FF" w:rsidR="000210B2" w:rsidRPr="00E170D8" w:rsidRDefault="000210B2" w:rsidP="00E170D8">
      <w:pPr>
        <w:pStyle w:val="EndnoteText"/>
        <w:spacing w:line="276" w:lineRule="auto"/>
        <w:ind w:left="709" w:hanging="709"/>
      </w:pPr>
      <w:r w:rsidRPr="00E170D8">
        <w:rPr>
          <w:rStyle w:val="EndnoteReference"/>
        </w:rPr>
        <w:endnoteRef/>
      </w:r>
      <w:r w:rsidRPr="00E170D8">
        <w:t xml:space="preserve"> </w:t>
      </w:r>
      <w:r w:rsidRPr="00E170D8">
        <w:tab/>
        <w:t>ACE (2014)</w:t>
      </w:r>
      <w:r>
        <w:t>.</w:t>
      </w:r>
      <w:r w:rsidRPr="00E170D8">
        <w:t xml:space="preserve"> </w:t>
      </w:r>
      <w:r w:rsidRPr="00E170D8">
        <w:rPr>
          <w:i/>
        </w:rPr>
        <w:t>Education Sector – Analytical and Capacity Development Partnership Indonesia. Mid-term Review</w:t>
      </w:r>
      <w:r w:rsidRPr="00E170D8">
        <w:t>, p.24.</w:t>
      </w:r>
    </w:p>
  </w:endnote>
  <w:endnote w:id="45">
    <w:p w14:paraId="6826AE58" w14:textId="1719A694" w:rsidR="000210B2" w:rsidRPr="00E170D8" w:rsidRDefault="000210B2" w:rsidP="00E170D8">
      <w:pPr>
        <w:pStyle w:val="EndnoteText"/>
        <w:spacing w:line="276" w:lineRule="auto"/>
        <w:ind w:left="709" w:hanging="709"/>
      </w:pPr>
      <w:r w:rsidRPr="00E170D8">
        <w:rPr>
          <w:rStyle w:val="EndnoteReference"/>
        </w:rPr>
        <w:endnoteRef/>
      </w:r>
      <w:r w:rsidRPr="00E170D8">
        <w:t xml:space="preserve"> </w:t>
      </w:r>
      <w:r w:rsidRPr="00E170D8">
        <w:tab/>
        <w:t>ACE (2014)</w:t>
      </w:r>
      <w:r>
        <w:t>.</w:t>
      </w:r>
      <w:r w:rsidRPr="00E170D8">
        <w:t xml:space="preserve"> </w:t>
      </w:r>
      <w:r w:rsidRPr="00E170D8">
        <w:rPr>
          <w:i/>
        </w:rPr>
        <w:t>Education Sector – Analytical and Capacity Development Partnership Indonesia. Mid-term Review</w:t>
      </w:r>
      <w:r w:rsidRPr="00E170D8">
        <w:t>, p.24.</w:t>
      </w:r>
    </w:p>
  </w:endnote>
  <w:endnote w:id="46">
    <w:p w14:paraId="6826AE59" w14:textId="4FF4F3E6" w:rsidR="000210B2" w:rsidRPr="00E170D8" w:rsidRDefault="000210B2" w:rsidP="00E170D8">
      <w:pPr>
        <w:pStyle w:val="EndnoteText"/>
        <w:spacing w:line="276" w:lineRule="auto"/>
        <w:ind w:left="709" w:hanging="709"/>
      </w:pPr>
      <w:r w:rsidRPr="00E170D8">
        <w:rPr>
          <w:rStyle w:val="EndnoteReference"/>
        </w:rPr>
        <w:endnoteRef/>
      </w:r>
      <w:r w:rsidRPr="00E170D8">
        <w:t xml:space="preserve"> </w:t>
      </w:r>
      <w:r w:rsidRPr="00E170D8">
        <w:tab/>
        <w:t>ACE (2014)</w:t>
      </w:r>
      <w:r>
        <w:t>.</w:t>
      </w:r>
      <w:r w:rsidRPr="00E170D8">
        <w:t xml:space="preserve"> </w:t>
      </w:r>
      <w:r w:rsidRPr="00E170D8">
        <w:rPr>
          <w:i/>
        </w:rPr>
        <w:t>Education Sector – Analytical and Capacity Development Partnership Indonesia. Mid-term Review</w:t>
      </w:r>
      <w:r w:rsidRPr="00E170D8">
        <w:t>, p.23.</w:t>
      </w:r>
    </w:p>
  </w:endnote>
  <w:endnote w:id="47">
    <w:p w14:paraId="6826AE5A" w14:textId="77777777" w:rsidR="000210B2" w:rsidRPr="00E170D8" w:rsidRDefault="000210B2" w:rsidP="00E170D8">
      <w:pPr>
        <w:pStyle w:val="EndnoteText"/>
        <w:spacing w:line="276" w:lineRule="auto"/>
        <w:ind w:left="709" w:hanging="709"/>
      </w:pPr>
      <w:r w:rsidRPr="00E170D8">
        <w:rPr>
          <w:rStyle w:val="EndnoteReference"/>
        </w:rPr>
        <w:endnoteRef/>
      </w:r>
      <w:r w:rsidRPr="00E170D8">
        <w:t xml:space="preserve"> </w:t>
      </w:r>
      <w:r w:rsidRPr="00E170D8">
        <w:tab/>
      </w:r>
      <w:r w:rsidRPr="00E170D8">
        <w:rPr>
          <w:lang w:val="en-US"/>
        </w:rPr>
        <w:t xml:space="preserve">AusAID (2010). </w:t>
      </w:r>
      <w:r w:rsidRPr="00E170D8">
        <w:rPr>
          <w:i/>
          <w:lang w:val="en-US"/>
        </w:rPr>
        <w:t>Australia’s Education Partnership with Indonesia</w:t>
      </w:r>
      <w:r w:rsidRPr="00E170D8">
        <w:rPr>
          <w:lang w:val="en-US"/>
        </w:rPr>
        <w:t>, p. 23.</w:t>
      </w:r>
    </w:p>
  </w:endnote>
  <w:endnote w:id="48">
    <w:p w14:paraId="6826AE5B" w14:textId="2098ABAD" w:rsidR="000210B2" w:rsidRPr="00E170D8" w:rsidRDefault="000210B2" w:rsidP="00E170D8">
      <w:pPr>
        <w:pStyle w:val="EndnoteText"/>
        <w:spacing w:line="276" w:lineRule="auto"/>
        <w:ind w:left="709" w:hanging="709"/>
        <w:rPr>
          <w:lang w:val="en-AU"/>
        </w:rPr>
      </w:pPr>
      <w:r w:rsidRPr="00E170D8">
        <w:rPr>
          <w:rStyle w:val="EndnoteReference"/>
        </w:rPr>
        <w:endnoteRef/>
      </w:r>
      <w:r w:rsidRPr="00E170D8">
        <w:t xml:space="preserve"> </w:t>
      </w:r>
      <w:r w:rsidRPr="00E170D8">
        <w:tab/>
        <w:t xml:space="preserve">See </w:t>
      </w:r>
      <w:hyperlink r:id="rId14" w:history="1">
        <w:r w:rsidRPr="000A6A79">
          <w:rPr>
            <w:rStyle w:val="Hyperlink"/>
          </w:rPr>
          <w:t>http://www.kemenkeu.go.id/sites/default/files/Subkatalogdata/UU%20APBN%20TA%202016%-20lengkap.pdf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8FFB" w14:textId="77777777" w:rsidR="000210B2" w:rsidRDefault="00021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ADF7" w14:textId="4C5EAAA7" w:rsidR="000210B2" w:rsidRDefault="000210B2">
    <w:pPr>
      <w:pStyle w:val="Footer"/>
      <w:jc w:val="right"/>
    </w:pPr>
    <w:r>
      <w:fldChar w:fldCharType="begin"/>
    </w:r>
    <w:r>
      <w:instrText xml:space="preserve"> PAGE   \* MERGEFORMAT </w:instrText>
    </w:r>
    <w:r>
      <w:fldChar w:fldCharType="separate"/>
    </w:r>
    <w:r w:rsidR="00465F50">
      <w:rPr>
        <w:noProof/>
      </w:rPr>
      <w:t>i</w:t>
    </w:r>
    <w:r>
      <w:rPr>
        <w:noProof/>
      </w:rPr>
      <w:fldChar w:fldCharType="end"/>
    </w:r>
  </w:p>
  <w:p w14:paraId="6826ADF8" w14:textId="77777777" w:rsidR="000210B2" w:rsidRDefault="00021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ADF9" w14:textId="77777777" w:rsidR="000210B2" w:rsidRDefault="000210B2">
    <w:pPr>
      <w:pStyle w:val="Footer"/>
      <w:jc w:val="right"/>
    </w:pPr>
    <w:r>
      <w:fldChar w:fldCharType="begin"/>
    </w:r>
    <w:r>
      <w:instrText xml:space="preserve"> PAGE   \* MERGEFORMAT </w:instrText>
    </w:r>
    <w:r>
      <w:fldChar w:fldCharType="separate"/>
    </w:r>
    <w:r>
      <w:rPr>
        <w:noProof/>
      </w:rPr>
      <w:t>1</w:t>
    </w:r>
    <w:r>
      <w:rPr>
        <w:noProof/>
      </w:rPr>
      <w:fldChar w:fldCharType="end"/>
    </w:r>
  </w:p>
  <w:p w14:paraId="6826ADFA" w14:textId="77777777" w:rsidR="000210B2" w:rsidRDefault="0002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9C996" w14:textId="77777777" w:rsidR="000210B2" w:rsidRDefault="000210B2" w:rsidP="00746498">
      <w:pPr>
        <w:spacing w:after="0" w:line="240" w:lineRule="auto"/>
      </w:pPr>
      <w:r>
        <w:separator/>
      </w:r>
    </w:p>
  </w:footnote>
  <w:footnote w:type="continuationSeparator" w:id="0">
    <w:p w14:paraId="33A4C263" w14:textId="77777777" w:rsidR="000210B2" w:rsidRDefault="000210B2" w:rsidP="00746498">
      <w:pPr>
        <w:spacing w:after="0" w:line="240" w:lineRule="auto"/>
      </w:pPr>
      <w:r>
        <w:continuationSeparator/>
      </w:r>
    </w:p>
  </w:footnote>
  <w:footnote w:id="1">
    <w:p w14:paraId="6826ADFE" w14:textId="77777777" w:rsidR="000210B2" w:rsidRDefault="000210B2" w:rsidP="007F5869">
      <w:pPr>
        <w:pStyle w:val="FootnoteText"/>
        <w:jc w:val="both"/>
      </w:pPr>
      <w:r>
        <w:rPr>
          <w:rStyle w:val="FootnoteReference"/>
        </w:rPr>
        <w:footnoteRef/>
      </w:r>
      <w:r>
        <w:rPr>
          <w:lang w:val="en-US"/>
        </w:rPr>
        <w:t xml:space="preserve"> See, for example, AusAID (2010). </w:t>
      </w:r>
      <w:r w:rsidRPr="008E6730">
        <w:rPr>
          <w:i/>
          <w:lang w:val="en-US"/>
        </w:rPr>
        <w:t>Australia’s Education Partnership with Indonesia</w:t>
      </w:r>
      <w:r>
        <w:rPr>
          <w:lang w:val="en-US"/>
        </w:rPr>
        <w:t>, p. 17:</w:t>
      </w:r>
      <w:r>
        <w:t xml:space="preserve"> “</w:t>
      </w:r>
      <w:r w:rsidRPr="00F424A7">
        <w:t>District capacity</w:t>
      </w:r>
      <w:r w:rsidRPr="008E6730">
        <w:rPr>
          <w:i/>
        </w:rPr>
        <w:t xml:space="preserve"> </w:t>
      </w:r>
      <w:r w:rsidRPr="00422BAB">
        <w:t xml:space="preserve">needs to be addressed to optimise investments in construction and teacher training. There is a need for an integrated system to support planning, budgeting and </w:t>
      </w:r>
      <w:r w:rsidRPr="00F424A7">
        <w:t>management at district level and (sic) addresses issues such as teacher recruitment and deplo</w:t>
      </w:r>
      <w:r>
        <w:t>yment and building maintenance…</w:t>
      </w:r>
      <w:r w:rsidRPr="00F424A7">
        <w:t>In a decentralised system, capacity building activities need to work at central and sub-national level, with primary activities trialled and tested at the school and district level.</w:t>
      </w:r>
      <w:r>
        <w:rPr>
          <w:i/>
        </w:rPr>
        <w:t>”</w:t>
      </w:r>
    </w:p>
  </w:footnote>
  <w:footnote w:id="2">
    <w:p w14:paraId="448562DD" w14:textId="7EAC9B6D" w:rsidR="000210B2" w:rsidRDefault="000210B2">
      <w:pPr>
        <w:pStyle w:val="FootnoteText"/>
      </w:pPr>
      <w:r>
        <w:rPr>
          <w:rStyle w:val="FootnoteReference"/>
        </w:rPr>
        <w:footnoteRef/>
      </w:r>
      <w:r>
        <w:t xml:space="preserve"> Namely Lebak (Banten), Sukabumi (West Java), Timor Tengah Selatan (NTT) and Alor (NTT). </w:t>
      </w:r>
    </w:p>
  </w:footnote>
  <w:footnote w:id="3">
    <w:p w14:paraId="6826ADFF" w14:textId="77777777" w:rsidR="000210B2" w:rsidRDefault="000210B2" w:rsidP="000A13DF">
      <w:pPr>
        <w:pStyle w:val="FootnoteText"/>
      </w:pPr>
      <w:r>
        <w:rPr>
          <w:rStyle w:val="FootnoteReference"/>
        </w:rPr>
        <w:footnoteRef/>
      </w:r>
      <w:r>
        <w:t xml:space="preserve"> The </w:t>
      </w:r>
      <w:r w:rsidRPr="000847EE">
        <w:t>Ministry of National Development Planning</w:t>
      </w:r>
      <w:r>
        <w:t>.</w:t>
      </w:r>
    </w:p>
  </w:footnote>
  <w:footnote w:id="4">
    <w:p w14:paraId="6826AE00" w14:textId="571EA708" w:rsidR="000210B2" w:rsidRPr="005E464A" w:rsidRDefault="000210B2" w:rsidP="00B502E4">
      <w:pPr>
        <w:pStyle w:val="FootnoteText"/>
        <w:jc w:val="both"/>
        <w:rPr>
          <w:lang w:val="en-US"/>
        </w:rPr>
      </w:pPr>
      <w:r>
        <w:rPr>
          <w:rStyle w:val="FootnoteReference"/>
        </w:rPr>
        <w:footnoteRef/>
      </w:r>
      <w:r>
        <w:t xml:space="preserve"> </w:t>
      </w:r>
      <w:r w:rsidRPr="002C1438">
        <w:rPr>
          <w:rFonts w:cs="Arial"/>
        </w:rPr>
        <w:t xml:space="preserve">The Renstra called for the construction of 4,700 </w:t>
      </w:r>
      <w:r>
        <w:rPr>
          <w:rFonts w:cs="Arial"/>
        </w:rPr>
        <w:t>junior secondary schools</w:t>
      </w:r>
      <w:r w:rsidRPr="002C1438">
        <w:rPr>
          <w:rFonts w:cs="Arial"/>
        </w:rPr>
        <w:t xml:space="preserve"> for the period.</w:t>
      </w:r>
      <w:r>
        <w:rPr>
          <w:rFonts w:cs="Arial"/>
        </w:rPr>
        <w:t xml:space="preserve"> </w:t>
      </w:r>
      <w:r w:rsidRPr="002C1438">
        <w:rPr>
          <w:rFonts w:cs="Arial"/>
        </w:rPr>
        <w:t>By committing to the construction of up to 2</w:t>
      </w:r>
      <w:r>
        <w:rPr>
          <w:rFonts w:cs="Arial"/>
        </w:rPr>
        <w:t>,</w:t>
      </w:r>
      <w:r w:rsidRPr="002C1438">
        <w:rPr>
          <w:rFonts w:cs="Arial"/>
        </w:rPr>
        <w:t xml:space="preserve">000 of these, the EP </w:t>
      </w:r>
      <w:r>
        <w:rPr>
          <w:rFonts w:cs="Arial"/>
        </w:rPr>
        <w:t>sought to ‘free up’</w:t>
      </w:r>
      <w:r w:rsidRPr="002C1438">
        <w:rPr>
          <w:rFonts w:cs="Arial"/>
        </w:rPr>
        <w:t xml:space="preserve"> MoEC money for teacher quality improvement, i.e. certification.</w:t>
      </w:r>
    </w:p>
  </w:footnote>
  <w:footnote w:id="5">
    <w:p w14:paraId="6826AE01" w14:textId="77777777" w:rsidR="000210B2" w:rsidRPr="00F12747" w:rsidRDefault="000210B2" w:rsidP="00B502E4">
      <w:pPr>
        <w:pStyle w:val="FootnoteText"/>
        <w:jc w:val="both"/>
        <w:rPr>
          <w:lang w:val="en-US"/>
        </w:rPr>
      </w:pPr>
      <w:r>
        <w:rPr>
          <w:rStyle w:val="FootnoteReference"/>
        </w:rPr>
        <w:footnoteRef/>
      </w:r>
      <w:r>
        <w:t xml:space="preserve"> </w:t>
      </w:r>
      <w:r>
        <w:rPr>
          <w:lang w:val="en-US"/>
        </w:rPr>
        <w:t>While large by AusAID standards, the EP investment constituted less than 0.5% of GoI sector spend in 2010. The visibility of AusAID assistance was therefore contingent upon big investments in niche areas.</w:t>
      </w:r>
    </w:p>
  </w:footnote>
  <w:footnote w:id="6">
    <w:p w14:paraId="6826AE02" w14:textId="77777777" w:rsidR="000210B2" w:rsidRPr="00FD1164" w:rsidRDefault="000210B2">
      <w:pPr>
        <w:pStyle w:val="FootnoteText"/>
        <w:rPr>
          <w:lang w:val="en-AU"/>
        </w:rPr>
      </w:pPr>
      <w:r>
        <w:rPr>
          <w:rStyle w:val="FootnoteReference"/>
        </w:rPr>
        <w:footnoteRef/>
      </w:r>
      <w:r>
        <w:t xml:space="preserve"> </w:t>
      </w:r>
      <w:r>
        <w:rPr>
          <w:lang w:val="en-AU"/>
        </w:rPr>
        <w:t>Roughly AUD 28.7 billion at June 2010 exchange rates.</w:t>
      </w:r>
    </w:p>
  </w:footnote>
  <w:footnote w:id="7">
    <w:p w14:paraId="6826AE03" w14:textId="77777777" w:rsidR="000210B2" w:rsidRPr="00FD1164" w:rsidRDefault="000210B2">
      <w:pPr>
        <w:pStyle w:val="FootnoteText"/>
        <w:rPr>
          <w:lang w:val="en-AU"/>
        </w:rPr>
      </w:pPr>
      <w:r>
        <w:rPr>
          <w:rStyle w:val="FootnoteReference"/>
        </w:rPr>
        <w:footnoteRef/>
      </w:r>
      <w:r>
        <w:t xml:space="preserve"> </w:t>
      </w:r>
      <w:r>
        <w:rPr>
          <w:lang w:val="en-AU"/>
        </w:rPr>
        <w:t>Roughly AUD 32.8 billion at June 2014 exchange rates.</w:t>
      </w:r>
    </w:p>
  </w:footnote>
  <w:footnote w:id="8">
    <w:p w14:paraId="6826AE04" w14:textId="77777777" w:rsidR="000210B2" w:rsidRPr="0003315D" w:rsidRDefault="000210B2" w:rsidP="000A13DF">
      <w:pPr>
        <w:pStyle w:val="FootnoteText"/>
        <w:rPr>
          <w:lang w:val="en-AU"/>
        </w:rPr>
      </w:pPr>
      <w:r>
        <w:rPr>
          <w:rStyle w:val="FootnoteReference"/>
        </w:rPr>
        <w:footnoteRef/>
      </w:r>
      <w:r>
        <w:t xml:space="preserve"> See </w:t>
      </w:r>
      <w:r w:rsidRPr="008459D5">
        <w:rPr>
          <w:i/>
          <w:lang w:val="en-AU"/>
        </w:rPr>
        <w:t>Education Sector Support Program Results Framework Reports</w:t>
      </w:r>
      <w:r>
        <w:rPr>
          <w:lang w:val="en-AU"/>
        </w:rPr>
        <w:t xml:space="preserve"> 2011, 2012, 2013, 2014 and 2015.</w:t>
      </w:r>
    </w:p>
  </w:footnote>
  <w:footnote w:id="9">
    <w:p w14:paraId="6826AE05" w14:textId="7B2A51A2" w:rsidR="000210B2" w:rsidRPr="006810F4" w:rsidRDefault="000210B2" w:rsidP="000A13DF">
      <w:pPr>
        <w:pStyle w:val="FootnoteText"/>
        <w:rPr>
          <w:lang w:val="en-AU"/>
        </w:rPr>
      </w:pPr>
      <w:r>
        <w:rPr>
          <w:rStyle w:val="FootnoteReference"/>
        </w:rPr>
        <w:footnoteRef/>
      </w:r>
      <w:r>
        <w:t xml:space="preserve"> See </w:t>
      </w:r>
      <w:r w:rsidRPr="0046370C">
        <w:rPr>
          <w:i/>
          <w:lang w:val="en-AU"/>
        </w:rPr>
        <w:t>Education Partnership Annual Partnership Performance Reports</w:t>
      </w:r>
      <w:r>
        <w:rPr>
          <w:lang w:val="en-AU"/>
        </w:rPr>
        <w:t xml:space="preserve"> </w:t>
      </w:r>
      <w:r w:rsidRPr="006810F4">
        <w:rPr>
          <w:lang w:val="en-AU"/>
        </w:rPr>
        <w:t>2011, 2012, 2013, 2014 and 2015</w:t>
      </w:r>
      <w:r>
        <w:rPr>
          <w:lang w:val="en-AU"/>
        </w:rPr>
        <w:t xml:space="preserve"> at </w:t>
      </w:r>
      <w:hyperlink r:id="rId1" w:history="1">
        <w:r w:rsidRPr="00D81A9D">
          <w:rPr>
            <w:rStyle w:val="Hyperlink"/>
            <w:lang w:val="en-AU"/>
          </w:rPr>
          <w:t>http://dfat.gov.au/geo/indonesia/development-assistance/Pages/human-development-in-indonesia.aspx</w:t>
        </w:r>
      </w:hyperlink>
      <w:r>
        <w:rPr>
          <w:lang w:val="en-AU"/>
        </w:rPr>
        <w:t xml:space="preserve"> </w:t>
      </w:r>
    </w:p>
  </w:footnote>
  <w:footnote w:id="10">
    <w:p w14:paraId="19ABDE58" w14:textId="7CFFCEAA" w:rsidR="000210B2" w:rsidRPr="00166D9F" w:rsidRDefault="000210B2">
      <w:pPr>
        <w:pStyle w:val="FootnoteText"/>
        <w:rPr>
          <w:lang w:val="en-US"/>
        </w:rPr>
      </w:pPr>
      <w:r>
        <w:rPr>
          <w:rStyle w:val="FootnoteReference"/>
        </w:rPr>
        <w:footnoteRef/>
      </w:r>
      <w:r>
        <w:t xml:space="preserve"> </w:t>
      </w:r>
      <w:r>
        <w:rPr>
          <w:lang w:val="en-US"/>
        </w:rPr>
        <w:t xml:space="preserve">The original target was ‘up to 2,000 schools’. The figure was revised downward in </w:t>
      </w:r>
      <w:r w:rsidRPr="003B5468">
        <w:rPr>
          <w:lang w:val="en-US"/>
        </w:rPr>
        <w:t>2013,</w:t>
      </w:r>
      <w:r>
        <w:rPr>
          <w:lang w:val="en-US"/>
        </w:rPr>
        <w:t xml:space="preserve"> largely on the basis of unit cost increases.</w:t>
      </w:r>
    </w:p>
  </w:footnote>
  <w:footnote w:id="11">
    <w:p w14:paraId="6826AE06" w14:textId="02D1F443" w:rsidR="000210B2" w:rsidRPr="00736CD3" w:rsidRDefault="000210B2" w:rsidP="000A13DF">
      <w:pPr>
        <w:pStyle w:val="FootnoteText"/>
      </w:pPr>
      <w:r w:rsidRPr="00736CD3">
        <w:rPr>
          <w:rStyle w:val="FootnoteReference"/>
        </w:rPr>
        <w:footnoteRef/>
      </w:r>
      <w:r w:rsidRPr="00736CD3">
        <w:t xml:space="preserve"> Districts with low junior secondary enrolment were initially defined as districts with a JSE-GER of &lt;90%. </w:t>
      </w:r>
      <w:r>
        <w:t>In response to a request from MoEC, th</w:t>
      </w:r>
      <w:r w:rsidRPr="00736CD3">
        <w:t>is was subsequently revised in 2013 to &lt;95%.</w:t>
      </w:r>
    </w:p>
  </w:footnote>
  <w:footnote w:id="12">
    <w:p w14:paraId="6826AE07" w14:textId="4B945454" w:rsidR="000210B2" w:rsidRDefault="000210B2">
      <w:pPr>
        <w:pStyle w:val="FootnoteText"/>
      </w:pPr>
      <w:r>
        <w:rPr>
          <w:rStyle w:val="FootnoteReference"/>
        </w:rPr>
        <w:footnoteRef/>
      </w:r>
      <w:r>
        <w:t xml:space="preserve"> Through the Managing Contractor-appointed School Systems and Quality team financed by GoA to support MoEC’s implementation of C1.</w:t>
      </w:r>
    </w:p>
  </w:footnote>
  <w:footnote w:id="13">
    <w:p w14:paraId="6826AE08" w14:textId="77777777" w:rsidR="000210B2" w:rsidRPr="00467C75" w:rsidRDefault="000210B2">
      <w:pPr>
        <w:pStyle w:val="FootnoteText"/>
        <w:rPr>
          <w:lang w:val="en-AU"/>
        </w:rPr>
      </w:pPr>
      <w:r>
        <w:rPr>
          <w:rStyle w:val="FootnoteReference"/>
        </w:rPr>
        <w:footnoteRef/>
      </w:r>
      <w:r>
        <w:t xml:space="preserve"> The Embassy</w:t>
      </w:r>
      <w:r w:rsidRPr="00467C75">
        <w:t xml:space="preserve"> commissioned annual external assessments to obtain an independent appraisal of both construction quality and the effectiveness of construction quality assurance systems.</w:t>
      </w:r>
    </w:p>
  </w:footnote>
  <w:footnote w:id="14">
    <w:p w14:paraId="6826AE0A" w14:textId="77777777" w:rsidR="000210B2" w:rsidRPr="0029352B" w:rsidRDefault="000210B2" w:rsidP="000A13DF">
      <w:pPr>
        <w:pStyle w:val="FootnoteText"/>
        <w:rPr>
          <w:lang w:val="en-AU"/>
        </w:rPr>
      </w:pPr>
      <w:r>
        <w:rPr>
          <w:rStyle w:val="FootnoteReference"/>
        </w:rPr>
        <w:footnoteRef/>
      </w:r>
      <w:r>
        <w:t xml:space="preserve"> </w:t>
      </w:r>
      <w:r>
        <w:rPr>
          <w:lang w:val="en-AU"/>
        </w:rPr>
        <w:t xml:space="preserve">The EOPO 1 evaluation drew its sample from districts that participated in the first year of the program, i.e. Cycle 1 or the 2012 construction round. </w:t>
      </w:r>
      <w:r>
        <w:t>Evaluation f</w:t>
      </w:r>
      <w:r w:rsidRPr="0029352B">
        <w:t>indings d</w:t>
      </w:r>
      <w:r>
        <w:t>id</w:t>
      </w:r>
      <w:r w:rsidRPr="0029352B">
        <w:t xml:space="preserve"> not represent an assessment of conditions under subsequent cycles due to the evolving nature of C1 delivery mechanisms.</w:t>
      </w:r>
    </w:p>
  </w:footnote>
  <w:footnote w:id="15">
    <w:p w14:paraId="6826AE0B" w14:textId="77777777" w:rsidR="000210B2" w:rsidRPr="008A10CE" w:rsidRDefault="000210B2" w:rsidP="000A13DF">
      <w:pPr>
        <w:pStyle w:val="FootnoteText"/>
        <w:rPr>
          <w:lang w:val="en-US"/>
        </w:rPr>
      </w:pPr>
      <w:r>
        <w:rPr>
          <w:rStyle w:val="FootnoteReference"/>
        </w:rPr>
        <w:footnoteRef/>
      </w:r>
      <w:r>
        <w:t xml:space="preserve"> </w:t>
      </w:r>
      <w:r>
        <w:rPr>
          <w:lang w:val="en-US"/>
        </w:rPr>
        <w:t xml:space="preserve">New schools open the three levels of JSE sequentially. Hence, schools from Cycle 4 that do not commence operations until the 2017 school year will not have a full cohort of classes (7-9) until 2019. </w:t>
      </w:r>
    </w:p>
  </w:footnote>
  <w:footnote w:id="16">
    <w:p w14:paraId="6826AE0C" w14:textId="598B807B" w:rsidR="000210B2" w:rsidRPr="001C1491" w:rsidRDefault="000210B2" w:rsidP="000A13DF">
      <w:pPr>
        <w:pStyle w:val="FootnoteText"/>
        <w:rPr>
          <w:lang w:val="en-AU"/>
        </w:rPr>
      </w:pPr>
      <w:r>
        <w:rPr>
          <w:rStyle w:val="FootnoteReference"/>
        </w:rPr>
        <w:footnoteRef/>
      </w:r>
      <w:r>
        <w:t xml:space="preserve"> See </w:t>
      </w:r>
      <w:r w:rsidRPr="00300C06">
        <w:t>Alexander &amp; Lloyd Group, AEPI – Independent Monitoring of School Construction Technical Evaluation Mission 27 October – 10 November 2014 Back To Office Report, 02 December 2014</w:t>
      </w:r>
      <w:r>
        <w:t>, Annex 3, unnumbered final page: “In the opinion of the IC the community construction observed in the 15 schools can be considered best practice and represents excellent value for money to the Australian Taxpayer”</w:t>
      </w:r>
      <w:r w:rsidRPr="00300C06">
        <w:t>.</w:t>
      </w:r>
    </w:p>
  </w:footnote>
  <w:footnote w:id="17">
    <w:p w14:paraId="6826AE0D" w14:textId="673B2295" w:rsidR="000210B2" w:rsidRPr="008A10CE" w:rsidRDefault="000210B2" w:rsidP="000A13DF">
      <w:pPr>
        <w:pStyle w:val="FootnoteText"/>
        <w:rPr>
          <w:lang w:val="en-US"/>
        </w:rPr>
      </w:pPr>
      <w:r>
        <w:rPr>
          <w:rStyle w:val="FootnoteReference"/>
        </w:rPr>
        <w:footnoteRef/>
      </w:r>
      <w:r>
        <w:t xml:space="preserve"> Whilst not statistically representative, </w:t>
      </w:r>
      <w:r>
        <w:rPr>
          <w:lang w:val="en-US"/>
        </w:rPr>
        <w:t xml:space="preserve">respondents from the four districts visited as part of the ICR fieldwork were unanimous in their view that EP-funded schools exhibited a much higher quality of construction than comparable non-EP funded state schools. </w:t>
      </w:r>
    </w:p>
  </w:footnote>
  <w:footnote w:id="18">
    <w:p w14:paraId="6826AE0E" w14:textId="77777777" w:rsidR="000210B2" w:rsidRPr="00E31C52" w:rsidRDefault="000210B2" w:rsidP="000A13DF">
      <w:pPr>
        <w:pStyle w:val="FootnoteText"/>
        <w:rPr>
          <w:lang w:val="en-US"/>
        </w:rPr>
      </w:pPr>
      <w:r>
        <w:rPr>
          <w:rStyle w:val="FootnoteReference"/>
        </w:rPr>
        <w:footnoteRef/>
      </w:r>
      <w:r>
        <w:t xml:space="preserve"> This</w:t>
      </w:r>
      <w:r w:rsidRPr="004F0223">
        <w:t xml:space="preserve"> new </w:t>
      </w:r>
      <w:r>
        <w:t>component sought to improve</w:t>
      </w:r>
      <w:r w:rsidRPr="004F0223">
        <w:t xml:space="preserve"> the capacities of under</w:t>
      </w:r>
      <w:r>
        <w:t>-</w:t>
      </w:r>
      <w:r w:rsidRPr="004F0223">
        <w:t>perform</w:t>
      </w:r>
      <w:r>
        <w:t>ing principals.</w:t>
      </w:r>
    </w:p>
  </w:footnote>
  <w:footnote w:id="19">
    <w:p w14:paraId="6826AE0F" w14:textId="77777777" w:rsidR="000210B2" w:rsidRPr="008342E5" w:rsidRDefault="000210B2" w:rsidP="000A13DF">
      <w:pPr>
        <w:pStyle w:val="FootnoteText"/>
      </w:pPr>
      <w:r w:rsidRPr="002D2E2A">
        <w:rPr>
          <w:rStyle w:val="FootnoteReference"/>
        </w:rPr>
        <w:footnoteRef/>
      </w:r>
      <w:r w:rsidRPr="002D2E2A">
        <w:t xml:space="preserve"> Persons trained under NSIP include supervisors, principals, teachers, treasurers</w:t>
      </w:r>
      <w:r>
        <w:t xml:space="preserve"> and </w:t>
      </w:r>
      <w:r w:rsidRPr="002D2E2A">
        <w:t xml:space="preserve">school committees </w:t>
      </w:r>
      <w:r>
        <w:t>(</w:t>
      </w:r>
      <w:r w:rsidRPr="002D2E2A">
        <w:t xml:space="preserve">see </w:t>
      </w:r>
      <w:r w:rsidRPr="006A3C6B">
        <w:rPr>
          <w:i/>
        </w:rPr>
        <w:t>NSIP Evaluation Report</w:t>
      </w:r>
      <w:r>
        <w:t xml:space="preserve">, </w:t>
      </w:r>
      <w:r w:rsidRPr="002D2E2A">
        <w:t>2014</w:t>
      </w:r>
      <w:r>
        <w:t>)</w:t>
      </w:r>
      <w:r w:rsidRPr="008342E5">
        <w:t xml:space="preserve">. </w:t>
      </w:r>
    </w:p>
  </w:footnote>
  <w:footnote w:id="20">
    <w:p w14:paraId="6826AE10" w14:textId="77777777" w:rsidR="000210B2" w:rsidRPr="003641E0" w:rsidRDefault="000210B2" w:rsidP="000A13DF">
      <w:pPr>
        <w:pStyle w:val="FootnoteText"/>
        <w:rPr>
          <w:lang w:val="en-US"/>
        </w:rPr>
      </w:pPr>
      <w:r>
        <w:rPr>
          <w:rStyle w:val="FootnoteReference"/>
        </w:rPr>
        <w:footnoteRef/>
      </w:r>
      <w:r>
        <w:t xml:space="preserve"> Thereby supporting the implementation of Ministerial Decrees No. 13/2007 on the </w:t>
      </w:r>
      <w:r w:rsidRPr="00BF5DCF">
        <w:rPr>
          <w:i/>
        </w:rPr>
        <w:t>Standards for School / Madrasah Principals</w:t>
      </w:r>
      <w:r>
        <w:t xml:space="preserve"> and No. 28/2010 on the </w:t>
      </w:r>
      <w:r w:rsidRPr="00BF5DCF">
        <w:rPr>
          <w:i/>
        </w:rPr>
        <w:t>Appointment of Teachers as Principals at Schools / Madrasah</w:t>
      </w:r>
      <w:r>
        <w:t>.</w:t>
      </w:r>
    </w:p>
  </w:footnote>
  <w:footnote w:id="21">
    <w:p w14:paraId="397BAAF9" w14:textId="47B7376D" w:rsidR="000210B2" w:rsidRPr="006A1BF6" w:rsidRDefault="000210B2">
      <w:pPr>
        <w:pStyle w:val="FootnoteText"/>
        <w:rPr>
          <w:lang w:val="en-US"/>
        </w:rPr>
      </w:pPr>
      <w:r>
        <w:rPr>
          <w:rStyle w:val="FootnoteReference"/>
        </w:rPr>
        <w:footnoteRef/>
      </w:r>
      <w:r>
        <w:t xml:space="preserve"> </w:t>
      </w:r>
      <w:r>
        <w:rPr>
          <w:lang w:val="en-US"/>
        </w:rPr>
        <w:t xml:space="preserve">SSQ (2015). </w:t>
      </w:r>
      <w:r w:rsidRPr="006A1BF6">
        <w:rPr>
          <w:i/>
          <w:lang w:val="en-US"/>
        </w:rPr>
        <w:t>National System for the Professional Development for Education Personnel: Performance Assessment Framework Evaluation Report.</w:t>
      </w:r>
      <w:r>
        <w:rPr>
          <w:lang w:val="en-US"/>
        </w:rPr>
        <w:t xml:space="preserve"> Supervisor competency was also assessed to have improved.</w:t>
      </w:r>
    </w:p>
  </w:footnote>
  <w:footnote w:id="22">
    <w:p w14:paraId="6826AE11" w14:textId="77777777" w:rsidR="000210B2" w:rsidRPr="00573E54" w:rsidRDefault="000210B2" w:rsidP="000A13DF">
      <w:pPr>
        <w:pStyle w:val="FootnoteText"/>
        <w:rPr>
          <w:lang w:val="en-US"/>
        </w:rPr>
      </w:pPr>
      <w:r>
        <w:rPr>
          <w:rStyle w:val="FootnoteReference"/>
        </w:rPr>
        <w:footnoteRef/>
      </w:r>
      <w:r>
        <w:t xml:space="preserve"> </w:t>
      </w:r>
      <w:r w:rsidRPr="00E81671">
        <w:rPr>
          <w:i/>
        </w:rPr>
        <w:t>Kepala Sekolah Pembelajar.</w:t>
      </w:r>
    </w:p>
  </w:footnote>
  <w:footnote w:id="23">
    <w:p w14:paraId="6826AE12" w14:textId="303C316B" w:rsidR="000210B2" w:rsidRPr="00E31049" w:rsidRDefault="000210B2" w:rsidP="000A13DF">
      <w:pPr>
        <w:pStyle w:val="FootnoteText"/>
        <w:rPr>
          <w:lang w:val="en-US"/>
        </w:rPr>
      </w:pPr>
      <w:r>
        <w:rPr>
          <w:rStyle w:val="FootnoteReference"/>
        </w:rPr>
        <w:footnoteRef/>
      </w:r>
      <w:r>
        <w:t xml:space="preserve"> </w:t>
      </w:r>
      <w:r>
        <w:rPr>
          <w:lang w:val="en-US"/>
        </w:rPr>
        <w:t xml:space="preserve">Madrasah account for an estimated 13.9% of schools at the elementary level and 30.5% at the junior secondary level (see ACDP-021 (2014). </w:t>
      </w:r>
      <w:r w:rsidRPr="00E31049">
        <w:rPr>
          <w:i/>
          <w:lang w:val="en-US"/>
        </w:rPr>
        <w:t>Special Report on the Formulation of Renstra Directorate General Islamic Education</w:t>
      </w:r>
      <w:r>
        <w:rPr>
          <w:i/>
          <w:lang w:val="en-US"/>
        </w:rPr>
        <w:t>,</w:t>
      </w:r>
      <w:r>
        <w:rPr>
          <w:lang w:val="en-US"/>
        </w:rPr>
        <w:t xml:space="preserve"> p. 19.)</w:t>
      </w:r>
    </w:p>
  </w:footnote>
  <w:footnote w:id="24">
    <w:p w14:paraId="7D9A5112" w14:textId="53C4F60D" w:rsidR="000210B2" w:rsidRDefault="000210B2">
      <w:pPr>
        <w:pStyle w:val="FootnoteText"/>
      </w:pPr>
      <w:r>
        <w:rPr>
          <w:rStyle w:val="FootnoteReference"/>
        </w:rPr>
        <w:footnoteRef/>
      </w:r>
      <w:r>
        <w:t xml:space="preserve"> Current MORA figures (EMIS 2015-16 data) list 41,494 primary and junior secondary madrasah in Indonesia, more than 90% of which are private. As a proportion of this figure, C3 directly supported just over 3% of the sub-sector.</w:t>
      </w:r>
    </w:p>
  </w:footnote>
  <w:footnote w:id="25">
    <w:p w14:paraId="6826AE14" w14:textId="77777777" w:rsidR="000210B2" w:rsidRDefault="000210B2" w:rsidP="000A13DF">
      <w:pPr>
        <w:pStyle w:val="FootnoteText"/>
      </w:pPr>
      <w:r>
        <w:rPr>
          <w:rStyle w:val="FootnoteReference"/>
        </w:rPr>
        <w:footnoteRef/>
      </w:r>
      <w:r>
        <w:t xml:space="preserve"> For example, </w:t>
      </w:r>
      <w:r w:rsidRPr="0069023F">
        <w:rPr>
          <w:i/>
        </w:rPr>
        <w:t>Teacher Absenteeism Study</w:t>
      </w:r>
      <w:r>
        <w:t xml:space="preserve"> (ACDP 011);</w:t>
      </w:r>
      <w:r w:rsidRPr="00EC4A53">
        <w:t xml:space="preserve"> </w:t>
      </w:r>
      <w:r w:rsidRPr="0069023F">
        <w:rPr>
          <w:i/>
        </w:rPr>
        <w:t>Overview of the Islamic Education Sector</w:t>
      </w:r>
      <w:r>
        <w:t xml:space="preserve"> (ACDP 021); </w:t>
      </w:r>
      <w:r w:rsidRPr="0069023F">
        <w:rPr>
          <w:i/>
        </w:rPr>
        <w:t>Rural and Remote Area Education Strategic Planning for Tanah Papua</w:t>
      </w:r>
      <w:r>
        <w:t xml:space="preserve"> (ACDP 039)</w:t>
      </w:r>
      <w:r w:rsidRPr="00EC4A53">
        <w:t xml:space="preserve">; </w:t>
      </w:r>
      <w:r>
        <w:t xml:space="preserve">and </w:t>
      </w:r>
      <w:r w:rsidRPr="0069023F">
        <w:rPr>
          <w:i/>
        </w:rPr>
        <w:t>Evaluation of Principals Preparation Program</w:t>
      </w:r>
      <w:r>
        <w:t xml:space="preserve"> (ACDP 042).</w:t>
      </w:r>
    </w:p>
  </w:footnote>
  <w:footnote w:id="26">
    <w:p w14:paraId="6826AE15" w14:textId="77777777" w:rsidR="000210B2" w:rsidRDefault="000210B2" w:rsidP="000A13DF">
      <w:pPr>
        <w:pStyle w:val="FootnoteText"/>
      </w:pPr>
      <w:r>
        <w:rPr>
          <w:rStyle w:val="FootnoteReference"/>
        </w:rPr>
        <w:footnoteRef/>
      </w:r>
      <w:r>
        <w:t xml:space="preserve"> For example, Policy Briefs on</w:t>
      </w:r>
      <w:r w:rsidRPr="00EC4A53">
        <w:rPr>
          <w:i/>
        </w:rPr>
        <w:t xml:space="preserve"> Teacher Absenteeism in Indonesia, University-Government-Industry Partnership for Economic Development in Indonesia </w:t>
      </w:r>
      <w:r w:rsidRPr="0069023F">
        <w:t>and</w:t>
      </w:r>
      <w:r w:rsidRPr="00EC4A53">
        <w:rPr>
          <w:i/>
        </w:rPr>
        <w:t xml:space="preserve"> Gender Equality in Education in Indonesia.</w:t>
      </w:r>
    </w:p>
  </w:footnote>
  <w:footnote w:id="27">
    <w:p w14:paraId="6826AE16" w14:textId="77777777" w:rsidR="000210B2" w:rsidRDefault="000210B2" w:rsidP="000A13DF">
      <w:pPr>
        <w:pStyle w:val="FootnoteText"/>
      </w:pPr>
      <w:r>
        <w:rPr>
          <w:rStyle w:val="FootnoteReference"/>
        </w:rPr>
        <w:footnoteRef/>
      </w:r>
      <w:r>
        <w:t xml:space="preserve"> For example, policy analysis support to MoEC’s</w:t>
      </w:r>
      <w:r w:rsidRPr="00EC4A53">
        <w:t xml:space="preserve"> new Center for Policy Analysis and Synchronisation (</w:t>
      </w:r>
      <w:r w:rsidRPr="00F87D1E">
        <w:rPr>
          <w:i/>
        </w:rPr>
        <w:t>Pusat Analisis dan Sinkronisasi Kebijakan</w:t>
      </w:r>
      <w:r w:rsidRPr="00EC4A53">
        <w:t xml:space="preserve"> or PASKA)</w:t>
      </w:r>
      <w:r>
        <w:t xml:space="preserve"> and </w:t>
      </w:r>
      <w:r>
        <w:rPr>
          <w:i/>
        </w:rPr>
        <w:t>Capacity Building for Evaluation of Education Policies, Strategies and Programs through Overseas Course and Workshop</w:t>
      </w:r>
      <w:r>
        <w:t xml:space="preserve"> (ACDP 037).</w:t>
      </w:r>
    </w:p>
  </w:footnote>
  <w:footnote w:id="28">
    <w:p w14:paraId="6826AE17" w14:textId="77777777" w:rsidR="000210B2" w:rsidRDefault="000210B2" w:rsidP="000A13DF">
      <w:pPr>
        <w:pStyle w:val="FootnoteText"/>
      </w:pPr>
      <w:r>
        <w:rPr>
          <w:rStyle w:val="FootnoteReference"/>
        </w:rPr>
        <w:footnoteRef/>
      </w:r>
      <w:r>
        <w:t xml:space="preserve"> For example, </w:t>
      </w:r>
      <w:r>
        <w:rPr>
          <w:i/>
        </w:rPr>
        <w:t>Support to Textbook Development</w:t>
      </w:r>
      <w:r>
        <w:t xml:space="preserve"> (ACDP 013A).</w:t>
      </w:r>
    </w:p>
  </w:footnote>
  <w:footnote w:id="29">
    <w:p w14:paraId="32E8E726" w14:textId="6ADDF82D" w:rsidR="000210B2" w:rsidRDefault="000210B2">
      <w:pPr>
        <w:pStyle w:val="FootnoteText"/>
      </w:pPr>
      <w:r>
        <w:rPr>
          <w:rStyle w:val="FootnoteReference"/>
        </w:rPr>
        <w:footnoteRef/>
      </w:r>
      <w:r>
        <w:t xml:space="preserve"> EC financing amounts to EUR 25m.</w:t>
      </w:r>
    </w:p>
  </w:footnote>
  <w:footnote w:id="30">
    <w:p w14:paraId="30FBBA0A" w14:textId="34601EAA" w:rsidR="000210B2" w:rsidRPr="00EE7D0D" w:rsidRDefault="000210B2">
      <w:pPr>
        <w:pStyle w:val="FootnoteText"/>
        <w:rPr>
          <w:lang w:val="en-US"/>
        </w:rPr>
      </w:pPr>
      <w:r>
        <w:rPr>
          <w:rStyle w:val="FootnoteReference"/>
        </w:rPr>
        <w:footnoteRef/>
      </w:r>
      <w:r>
        <w:t xml:space="preserve"> N</w:t>
      </w:r>
      <w:r w:rsidRPr="00D712C6">
        <w:t xml:space="preserve">amely </w:t>
      </w:r>
      <w:r w:rsidRPr="00616D6C">
        <w:rPr>
          <w:i/>
        </w:rPr>
        <w:t>Support to the Education Sector Review</w:t>
      </w:r>
      <w:r w:rsidRPr="00D712C6">
        <w:t xml:space="preserve"> (March 2013 – June 2015) and </w:t>
      </w:r>
      <w:r w:rsidRPr="00616D6C">
        <w:rPr>
          <w:i/>
        </w:rPr>
        <w:t>Support to Rural and Remote Education Papua</w:t>
      </w:r>
      <w:r w:rsidRPr="00D712C6">
        <w:t xml:space="preserve"> (September 2012 – September 2014</w:t>
      </w:r>
      <w:r>
        <w:t>).</w:t>
      </w:r>
      <w:r w:rsidRPr="00EE7D0D">
        <w:t xml:space="preserve"> </w:t>
      </w:r>
      <w:r>
        <w:t xml:space="preserve">Emerging uptake in the case of the </w:t>
      </w:r>
      <w:r w:rsidRPr="00616D6C">
        <w:rPr>
          <w:i/>
        </w:rPr>
        <w:t>Madrasah Financing Study</w:t>
      </w:r>
      <w:r w:rsidRPr="00616D6C">
        <w:t xml:space="preserve"> (November 2011 – October 2012)</w:t>
      </w:r>
      <w:r>
        <w:t>.</w:t>
      </w:r>
    </w:p>
  </w:footnote>
  <w:footnote w:id="31">
    <w:p w14:paraId="6826AE18" w14:textId="77777777" w:rsidR="000210B2" w:rsidRPr="00DA1B0C" w:rsidRDefault="000210B2" w:rsidP="005D24E2">
      <w:pPr>
        <w:pStyle w:val="FootnoteText"/>
        <w:jc w:val="both"/>
      </w:pPr>
      <w:r w:rsidRPr="005C45E7">
        <w:rPr>
          <w:rStyle w:val="FootnoteReference"/>
        </w:rPr>
        <w:footnoteRef/>
      </w:r>
      <w:r w:rsidRPr="005C45E7">
        <w:t xml:space="preserve"> Each donor provides funding in their own currency and so the total funds available will depend on exchange rate variations. </w:t>
      </w:r>
    </w:p>
  </w:footnote>
  <w:footnote w:id="32">
    <w:p w14:paraId="6826AE1C" w14:textId="77777777" w:rsidR="000210B2" w:rsidRDefault="000210B2" w:rsidP="004618FD">
      <w:pPr>
        <w:pStyle w:val="FootnoteText"/>
        <w:jc w:val="both"/>
      </w:pPr>
      <w:r>
        <w:rPr>
          <w:rStyle w:val="FootnoteReference"/>
        </w:rPr>
        <w:footnoteRef/>
      </w:r>
      <w:r>
        <w:t xml:space="preserve"> Namely the</w:t>
      </w:r>
      <w:r w:rsidRPr="009211F8">
        <w:t xml:space="preserve"> </w:t>
      </w:r>
      <w:r w:rsidRPr="00CE1E8C">
        <w:rPr>
          <w:i/>
        </w:rPr>
        <w:t>Lembaga Penjaminan Mutu Pendidikan</w:t>
      </w:r>
      <w:r w:rsidRPr="009211F8">
        <w:t xml:space="preserve"> (</w:t>
      </w:r>
      <w:r>
        <w:t xml:space="preserve">LPMP - </w:t>
      </w:r>
      <w:r w:rsidRPr="009211F8">
        <w:t>Educational Quality Assurance Council</w:t>
      </w:r>
      <w:r>
        <w:t>) and</w:t>
      </w:r>
      <w:r w:rsidRPr="009211F8">
        <w:t xml:space="preserve"> </w:t>
      </w:r>
      <w:r w:rsidRPr="00CE1E8C">
        <w:rPr>
          <w:i/>
        </w:rPr>
        <w:t>Pusat Pengembangan dan Pemberdayaan Pendidik dan Tenaga Kependidikan</w:t>
      </w:r>
      <w:r>
        <w:t xml:space="preserve"> (P4TK - </w:t>
      </w:r>
      <w:r w:rsidRPr="006D258A">
        <w:t>Centre for Development and Empowerment of Teacher and Education Personnel</w:t>
      </w:r>
      <w:r>
        <w:t>) which are physically located in provinces.</w:t>
      </w:r>
    </w:p>
  </w:footnote>
  <w:footnote w:id="33">
    <w:p w14:paraId="6826AE1E" w14:textId="71995075" w:rsidR="000210B2" w:rsidRPr="00BB44CB" w:rsidRDefault="000210B2" w:rsidP="00051CFA">
      <w:pPr>
        <w:pStyle w:val="FootnoteText"/>
        <w:rPr>
          <w:lang w:val="en-US"/>
        </w:rPr>
      </w:pPr>
      <w:r>
        <w:rPr>
          <w:rStyle w:val="FootnoteReference"/>
        </w:rPr>
        <w:footnoteRef/>
      </w:r>
      <w:r>
        <w:t xml:space="preserve"> For a good overview of the system, see </w:t>
      </w:r>
      <w:r>
        <w:rPr>
          <w:lang w:val="en-US"/>
        </w:rPr>
        <w:t xml:space="preserve">ACDP (2013). </w:t>
      </w:r>
      <w:r w:rsidRPr="007234DA">
        <w:rPr>
          <w:i/>
          <w:lang w:val="en-US"/>
        </w:rPr>
        <w:t>ACDP 003:</w:t>
      </w:r>
      <w:r>
        <w:rPr>
          <w:lang w:val="en-US"/>
        </w:rPr>
        <w:t xml:space="preserve"> </w:t>
      </w:r>
      <w:r w:rsidRPr="007234DA">
        <w:rPr>
          <w:i/>
          <w:lang w:val="en-US"/>
        </w:rPr>
        <w:t>Main Report Madrasah Education Financing in Indonesia</w:t>
      </w:r>
      <w:r>
        <w:rPr>
          <w:lang w:val="en-US"/>
        </w:rPr>
        <w:t xml:space="preserve">, p. 14. </w:t>
      </w:r>
    </w:p>
  </w:footnote>
  <w:footnote w:id="34">
    <w:p w14:paraId="6826AE1F" w14:textId="77777777" w:rsidR="000210B2" w:rsidRPr="000A123E" w:rsidRDefault="000210B2" w:rsidP="003E73B7">
      <w:pPr>
        <w:pStyle w:val="FootnoteText"/>
      </w:pPr>
      <w:r>
        <w:rPr>
          <w:rStyle w:val="FootnoteReference"/>
        </w:rPr>
        <w:footnoteRef/>
      </w:r>
      <w:r>
        <w:t xml:space="preserve"> </w:t>
      </w:r>
      <w:r>
        <w:rPr>
          <w:bCs/>
        </w:rPr>
        <w:t>With the development of the Education Partnership Performance Milestone Framework.</w:t>
      </w:r>
    </w:p>
  </w:footnote>
  <w:footnote w:id="35">
    <w:p w14:paraId="6826AE20" w14:textId="446858AB" w:rsidR="000210B2" w:rsidRPr="00441671" w:rsidRDefault="000210B2">
      <w:pPr>
        <w:pStyle w:val="FootnoteText"/>
        <w:rPr>
          <w:lang w:val="en-AU"/>
        </w:rPr>
      </w:pPr>
      <w:r>
        <w:rPr>
          <w:rStyle w:val="FootnoteReference"/>
        </w:rPr>
        <w:footnoteRef/>
      </w:r>
      <w:r>
        <w:t xml:space="preserve"> </w:t>
      </w:r>
      <w:r w:rsidRPr="00441671">
        <w:t xml:space="preserve">The degree, timing and frequency of budget changes varied across the </w:t>
      </w:r>
      <w:r>
        <w:t>c</w:t>
      </w:r>
      <w:r w:rsidRPr="00441671">
        <w:t>omponents</w:t>
      </w:r>
      <w:r>
        <w:t>. A decision was taken to reduce t</w:t>
      </w:r>
      <w:r w:rsidRPr="00441671">
        <w:t xml:space="preserve">he </w:t>
      </w:r>
      <w:r>
        <w:t xml:space="preserve">C1 </w:t>
      </w:r>
      <w:r w:rsidRPr="00441671">
        <w:t>Grant by AUD 60m in early 2015</w:t>
      </w:r>
      <w:r>
        <w:t>. T</w:t>
      </w:r>
      <w:r w:rsidRPr="00441671">
        <w:t>he decision was taken prior to the 2015 national budget (</w:t>
      </w:r>
      <w:r w:rsidRPr="00CC5ED6">
        <w:rPr>
          <w:i/>
        </w:rPr>
        <w:t>Anggaran Pendapatan dan Belanja Negara</w:t>
      </w:r>
      <w:r w:rsidRPr="00441671">
        <w:t xml:space="preserve"> - APBN), which allowed senior GoI officials to amend financial allocations with little effect on individual and unit spending targets. By contrast, DFAT’s allocation to C2 was revised several times in 2015, with the last change occurring after finalisation of the national budget amendment (APBN-P). This placed senior MoEC officials in an uncomfortable situation as they remained committed to expenditure targets recorded in the amended budget.</w:t>
      </w:r>
    </w:p>
  </w:footnote>
  <w:footnote w:id="36">
    <w:p w14:paraId="6826AE21" w14:textId="77777777" w:rsidR="000210B2" w:rsidRPr="005005EC" w:rsidRDefault="000210B2" w:rsidP="006B109C">
      <w:pPr>
        <w:pStyle w:val="FootnoteText"/>
      </w:pPr>
      <w:r>
        <w:rPr>
          <w:rStyle w:val="FootnoteReference"/>
        </w:rPr>
        <w:footnoteRef/>
      </w:r>
      <w:r>
        <w:t xml:space="preserve"> Nevertheless, the MTR of the ACDP scored its risk management a ‘Red’. It noted that the “</w:t>
      </w:r>
      <w:r w:rsidRPr="005005EC">
        <w:t>MTR is not aware of an ACDP risk register and has not seen risks reported in the six monthly progress reports</w:t>
      </w:r>
      <w:r w:rsidRPr="004915BC">
        <w:t>” (</w:t>
      </w:r>
      <w:r w:rsidRPr="00F87D1E">
        <w:t>p.25</w:t>
      </w:r>
      <w:r w:rsidRPr="004915BC">
        <w:t>).</w:t>
      </w:r>
      <w:r>
        <w:t xml:space="preserve"> </w:t>
      </w:r>
    </w:p>
  </w:footnote>
  <w:footnote w:id="37">
    <w:p w14:paraId="6826AE22" w14:textId="77777777" w:rsidR="000210B2" w:rsidRPr="00736CD3" w:rsidRDefault="000210B2" w:rsidP="006B109C">
      <w:pPr>
        <w:pStyle w:val="FootnoteText"/>
      </w:pPr>
      <w:r w:rsidRPr="00736CD3">
        <w:rPr>
          <w:rStyle w:val="FootnoteReference"/>
        </w:rPr>
        <w:footnoteRef/>
      </w:r>
      <w:r w:rsidRPr="00736CD3">
        <w:t xml:space="preserve"> </w:t>
      </w:r>
      <w:r>
        <w:t xml:space="preserve">This was in line with policy. For example, see </w:t>
      </w:r>
      <w:r w:rsidRPr="00736CD3">
        <w:t>DFAT (2015)</w:t>
      </w:r>
      <w:r>
        <w:t xml:space="preserve">. </w:t>
      </w:r>
      <w:r w:rsidRPr="006A3C6B">
        <w:rPr>
          <w:i/>
        </w:rPr>
        <w:t>Making performance count: enhancing the accountability and effectiveness of Australian aid</w:t>
      </w:r>
      <w:r>
        <w:t>.</w:t>
      </w:r>
    </w:p>
  </w:footnote>
  <w:footnote w:id="38">
    <w:p w14:paraId="6826AE23" w14:textId="218AAC6A" w:rsidR="000210B2" w:rsidRPr="0000583A" w:rsidRDefault="000210B2" w:rsidP="0000583A">
      <w:pPr>
        <w:pStyle w:val="FootnoteText"/>
        <w:rPr>
          <w:lang w:val="en-AU"/>
        </w:rPr>
      </w:pPr>
      <w:r>
        <w:rPr>
          <w:rStyle w:val="FootnoteReference"/>
        </w:rPr>
        <w:footnoteRef/>
      </w:r>
      <w:r>
        <w:t xml:space="preserve"> </w:t>
      </w:r>
      <w:r>
        <w:rPr>
          <w:lang w:val="en-AU"/>
        </w:rPr>
        <w:t xml:space="preserve">The 107 cases are broken down as follows: </w:t>
      </w:r>
      <w:r w:rsidRPr="0000583A">
        <w:rPr>
          <w:lang w:val="en-AU"/>
        </w:rPr>
        <w:t xml:space="preserve">Component 1 </w:t>
      </w:r>
      <w:r>
        <w:rPr>
          <w:lang w:val="en-AU"/>
        </w:rPr>
        <w:t xml:space="preserve">= </w:t>
      </w:r>
      <w:r w:rsidRPr="0000583A">
        <w:rPr>
          <w:lang w:val="en-AU"/>
        </w:rPr>
        <w:t>93</w:t>
      </w:r>
      <w:r>
        <w:rPr>
          <w:lang w:val="en-AU"/>
        </w:rPr>
        <w:t xml:space="preserve">; </w:t>
      </w:r>
      <w:r w:rsidRPr="0000583A">
        <w:rPr>
          <w:lang w:val="en-AU"/>
        </w:rPr>
        <w:t xml:space="preserve">Component 2 </w:t>
      </w:r>
      <w:r>
        <w:rPr>
          <w:lang w:val="en-AU"/>
        </w:rPr>
        <w:t>(</w:t>
      </w:r>
      <w:r w:rsidRPr="0000583A">
        <w:rPr>
          <w:lang w:val="en-AU"/>
        </w:rPr>
        <w:t>ProDEP and N</w:t>
      </w:r>
      <w:r>
        <w:rPr>
          <w:lang w:val="en-AU"/>
        </w:rPr>
        <w:t>SIP) =</w:t>
      </w:r>
      <w:r w:rsidRPr="0000583A">
        <w:rPr>
          <w:lang w:val="en-AU"/>
        </w:rPr>
        <w:t xml:space="preserve"> 11</w:t>
      </w:r>
      <w:r>
        <w:rPr>
          <w:lang w:val="en-AU"/>
        </w:rPr>
        <w:t>; C</w:t>
      </w:r>
      <w:r w:rsidRPr="0000583A">
        <w:rPr>
          <w:lang w:val="en-AU"/>
        </w:rPr>
        <w:t xml:space="preserve">omponent 3 </w:t>
      </w:r>
      <w:r>
        <w:rPr>
          <w:lang w:val="en-AU"/>
        </w:rPr>
        <w:t xml:space="preserve">= </w:t>
      </w:r>
      <w:r w:rsidRPr="0000583A">
        <w:rPr>
          <w:lang w:val="en-AU"/>
        </w:rPr>
        <w:t>3</w:t>
      </w:r>
      <w:r>
        <w:rPr>
          <w:lang w:val="en-AU"/>
        </w:rPr>
        <w:t>.</w:t>
      </w:r>
    </w:p>
  </w:footnote>
  <w:footnote w:id="39">
    <w:p w14:paraId="6826AE24" w14:textId="721E7CAC" w:rsidR="000210B2" w:rsidRPr="00D4446A" w:rsidRDefault="000210B2" w:rsidP="006B109C">
      <w:pPr>
        <w:pStyle w:val="FootnoteText"/>
        <w:rPr>
          <w:lang w:val="en-AU"/>
        </w:rPr>
      </w:pPr>
      <w:r>
        <w:rPr>
          <w:rStyle w:val="FootnoteReference"/>
        </w:rPr>
        <w:footnoteRef/>
      </w:r>
      <w:r>
        <w:t xml:space="preserve"> </w:t>
      </w:r>
      <w:r w:rsidRPr="00D4446A">
        <w:t xml:space="preserve">Eighty-four districts subsequently </w:t>
      </w:r>
      <w:r>
        <w:t>“</w:t>
      </w:r>
      <w:r w:rsidRPr="00D4446A">
        <w:t xml:space="preserve">expressed their intentions to submit a total of 399 school proposals to MoEC for building 197 SATAP and 202 </w:t>
      </w:r>
      <w:r>
        <w:t>USB schools”</w:t>
      </w:r>
      <w:r w:rsidRPr="00363BC9">
        <w:t>. See SSQ (2013)</w:t>
      </w:r>
      <w:r>
        <w:t>.</w:t>
      </w:r>
      <w:r w:rsidRPr="00363BC9">
        <w:t xml:space="preserve"> </w:t>
      </w:r>
      <w:r w:rsidRPr="006A3C6B">
        <w:rPr>
          <w:i/>
        </w:rPr>
        <w:t>SSQ Annual report 2013</w:t>
      </w:r>
      <w:r w:rsidRPr="00363BC9">
        <w:t>, p.</w:t>
      </w:r>
      <w:r>
        <w:t xml:space="preserve"> </w:t>
      </w:r>
      <w:r w:rsidRPr="00363BC9">
        <w:t>10.</w:t>
      </w:r>
    </w:p>
  </w:footnote>
  <w:footnote w:id="40">
    <w:p w14:paraId="6826AE25" w14:textId="77777777" w:rsidR="000210B2" w:rsidRPr="005C45E7" w:rsidRDefault="000210B2" w:rsidP="00EC22DA">
      <w:pPr>
        <w:pStyle w:val="FootnoteText"/>
      </w:pPr>
      <w:r w:rsidRPr="005C45E7">
        <w:rPr>
          <w:rStyle w:val="FootnoteReference"/>
        </w:rPr>
        <w:footnoteRef/>
      </w:r>
      <w:r w:rsidRPr="005C45E7">
        <w:t xml:space="preserve"> Including the EU-financed Minimum Service Standards (MSS) </w:t>
      </w:r>
      <w:r>
        <w:t>p</w:t>
      </w:r>
      <w:r w:rsidRPr="005C45E7">
        <w:t>rogram, the USAID-financed Prioritizing Reform Innovation and Opportunities for Reaching Indonesia's Teachers, Administrators and Students (PRIORITAS) initiative and the DFAT-financed Australia Indonesia Partnership for Decentralisation (AIPD) and Local Governance and Infrastructure fo</w:t>
      </w:r>
      <w:r>
        <w:t>r Communities in Aceh (LOGICA) pr</w:t>
      </w:r>
      <w:r w:rsidRPr="005C45E7">
        <w:t xml:space="preserve">ograms. </w:t>
      </w:r>
    </w:p>
  </w:footnote>
  <w:footnote w:id="41">
    <w:p w14:paraId="6826AE26" w14:textId="77777777" w:rsidR="000210B2" w:rsidRPr="005C45E7" w:rsidRDefault="000210B2" w:rsidP="00EC22DA">
      <w:pPr>
        <w:pStyle w:val="FootnoteText"/>
        <w:rPr>
          <w:lang w:val="en-US"/>
        </w:rPr>
      </w:pPr>
      <w:r w:rsidRPr="005C45E7">
        <w:rPr>
          <w:rStyle w:val="FootnoteReference"/>
        </w:rPr>
        <w:footnoteRef/>
      </w:r>
      <w:r w:rsidRPr="005C45E7">
        <w:t xml:space="preserve"> The program was re-branded as the </w:t>
      </w:r>
      <w:r w:rsidRPr="005C45E7">
        <w:rPr>
          <w:i/>
        </w:rPr>
        <w:t>Kartu Indonesia Pintar</w:t>
      </w:r>
      <w:r w:rsidRPr="005C45E7">
        <w:t xml:space="preserve"> (KIP) program </w:t>
      </w:r>
      <w:r>
        <w:t>in 2</w:t>
      </w:r>
      <w:r w:rsidRPr="005C45E7">
        <w:t>014. It is a means</w:t>
      </w:r>
      <w:r>
        <w:t>-</w:t>
      </w:r>
      <w:r w:rsidRPr="005C45E7">
        <w:t>tested cash transfer scheme which seeks to increase basic education participation by offsetting ancillary schooling costs such as transport and uniforms.</w:t>
      </w:r>
    </w:p>
  </w:footnote>
  <w:footnote w:id="42">
    <w:p w14:paraId="6826AE27" w14:textId="77777777" w:rsidR="000210B2" w:rsidRDefault="000210B2" w:rsidP="00076F0C">
      <w:pPr>
        <w:pStyle w:val="FootnoteText"/>
      </w:pPr>
      <w:r>
        <w:rPr>
          <w:rStyle w:val="FootnoteReference"/>
        </w:rPr>
        <w:footnoteRef/>
      </w:r>
      <w:r>
        <w:t xml:space="preserve"> POM prepared a VFM Options Paper to guide VFM analysis in January/February 2014</w:t>
      </w:r>
      <w:r w:rsidRPr="001F3063">
        <w:t xml:space="preserve"> and DFAT Jakarta prepared a draft Position Paper on VFM</w:t>
      </w:r>
      <w:r>
        <w:t xml:space="preserve"> within the EP in August 2014. It was agreed in June 2016 that the VFM commentary in the ICR would speak to DFAT’s eight VFM principles.</w:t>
      </w:r>
    </w:p>
  </w:footnote>
  <w:footnote w:id="43">
    <w:p w14:paraId="6826AE2B" w14:textId="77777777" w:rsidR="000210B2" w:rsidRDefault="000210B2" w:rsidP="00F300B3">
      <w:pPr>
        <w:pStyle w:val="FootnoteText"/>
      </w:pPr>
      <w:r>
        <w:rPr>
          <w:rStyle w:val="FootnoteReference"/>
        </w:rPr>
        <w:footnoteRef/>
      </w:r>
      <w:r>
        <w:t xml:space="preserve"> Green is defined in the MTR as “likely to be achieving VFM”.</w:t>
      </w:r>
    </w:p>
  </w:footnote>
  <w:footnote w:id="44">
    <w:p w14:paraId="6826AE2C" w14:textId="77777777" w:rsidR="000210B2" w:rsidRPr="008A10CE" w:rsidRDefault="000210B2" w:rsidP="00F300B3">
      <w:pPr>
        <w:pStyle w:val="FootnoteText"/>
        <w:rPr>
          <w:lang w:val="en-US"/>
        </w:rPr>
      </w:pPr>
      <w:r>
        <w:rPr>
          <w:rStyle w:val="FootnoteReference"/>
        </w:rPr>
        <w:footnoteRef/>
      </w:r>
      <w:r>
        <w:t xml:space="preserve"> This direct appointment was made </w:t>
      </w:r>
      <w:r>
        <w:rPr>
          <w:bCs/>
        </w:rPr>
        <w:t>on the basis of the ADB’s “</w:t>
      </w:r>
      <w:r w:rsidRPr="00D646D0">
        <w:rPr>
          <w:bCs/>
        </w:rPr>
        <w:t>experience in education sector analysis and dialogue and related policy-led budget support; its ability to deliver through a delegated management model; and its willingness to provide additional funding (USD</w:t>
      </w:r>
      <w:r>
        <w:rPr>
          <w:bCs/>
        </w:rPr>
        <w:t xml:space="preserve"> </w:t>
      </w:r>
      <w:r w:rsidRPr="00D646D0">
        <w:rPr>
          <w:bCs/>
        </w:rPr>
        <w:t>2.2m in grants) to the sector</w:t>
      </w:r>
      <w:r>
        <w:rPr>
          <w:bCs/>
        </w:rPr>
        <w:t>” (</w:t>
      </w:r>
      <w:r w:rsidRPr="003B6E41">
        <w:rPr>
          <w:bCs/>
        </w:rPr>
        <w:t xml:space="preserve">AusAID (2010). </w:t>
      </w:r>
      <w:r w:rsidRPr="008A10CE">
        <w:rPr>
          <w:bCs/>
          <w:i/>
        </w:rPr>
        <w:t>Australia’s Education Partnership with Indonesia</w:t>
      </w:r>
      <w:r w:rsidRPr="003B6E41">
        <w:rPr>
          <w:bCs/>
        </w:rPr>
        <w:t xml:space="preserve">, p. </w:t>
      </w:r>
      <w:r>
        <w:rPr>
          <w:bCs/>
        </w:rPr>
        <w:t>33).</w:t>
      </w:r>
    </w:p>
  </w:footnote>
  <w:footnote w:id="45">
    <w:p w14:paraId="6826AE2D" w14:textId="77777777" w:rsidR="000210B2" w:rsidRPr="00760227" w:rsidRDefault="000210B2" w:rsidP="00F300B3">
      <w:pPr>
        <w:pStyle w:val="FootnoteText"/>
      </w:pPr>
      <w:r>
        <w:rPr>
          <w:rStyle w:val="FootnoteReference"/>
        </w:rPr>
        <w:footnoteRef/>
      </w:r>
      <w:r>
        <w:t xml:space="preserve"> </w:t>
      </w:r>
      <w:r w:rsidRPr="00760227">
        <w:t xml:space="preserve">The MTR scored </w:t>
      </w:r>
      <w:r>
        <w:t>procurement</w:t>
      </w:r>
      <w:r w:rsidRPr="00760227">
        <w:t xml:space="preserve"> red/amber, noting </w:t>
      </w:r>
      <w:r>
        <w:t>that the number of contractors had</w:t>
      </w:r>
      <w:r w:rsidRPr="00760227">
        <w:t xml:space="preserve"> declined from eight to five and </w:t>
      </w:r>
      <w:r>
        <w:t xml:space="preserve">that </w:t>
      </w:r>
      <w:r w:rsidRPr="00760227">
        <w:t>two contractors have carried out over 80% of the ACDP work</w:t>
      </w:r>
      <w:r>
        <w:t xml:space="preserve"> at the time of the MTR</w:t>
      </w:r>
      <w:r w:rsidRPr="00760227">
        <w:t xml:space="preserve">. </w:t>
      </w:r>
    </w:p>
  </w:footnote>
  <w:footnote w:id="46">
    <w:p w14:paraId="6826AE2E" w14:textId="77777777" w:rsidR="000210B2" w:rsidRPr="00B01AA9" w:rsidRDefault="000210B2" w:rsidP="00F300B3">
      <w:pPr>
        <w:pStyle w:val="FootnoteText"/>
      </w:pPr>
      <w:r>
        <w:rPr>
          <w:rStyle w:val="FootnoteReference"/>
        </w:rPr>
        <w:footnoteRef/>
      </w:r>
      <w:r>
        <w:t xml:space="preserve"> These risks had been identified in the 2010 design document: “</w:t>
      </w:r>
      <w:r w:rsidRPr="00B01AA9">
        <w:t>The ADB has acknowledged Australia’s and Indonesia’s concerns over timely procurement of technical assistance. As a result, procurement will occur in Jakarta to ensure it is flexible and responsive to Indonesia’s needs</w:t>
      </w:r>
      <w:r>
        <w:t>” (p33).</w:t>
      </w:r>
    </w:p>
  </w:footnote>
  <w:footnote w:id="47">
    <w:p w14:paraId="6826AE2F" w14:textId="48D52B4C" w:rsidR="000210B2" w:rsidRPr="00D11618" w:rsidRDefault="000210B2" w:rsidP="00F300B3">
      <w:pPr>
        <w:pStyle w:val="FootnoteText"/>
        <w:rPr>
          <w:lang w:val="en-AU"/>
        </w:rPr>
      </w:pPr>
      <w:r>
        <w:rPr>
          <w:rStyle w:val="FootnoteReference"/>
        </w:rPr>
        <w:footnoteRef/>
      </w:r>
      <w:r>
        <w:t xml:space="preserve"> </w:t>
      </w:r>
      <w:r w:rsidRPr="009F298F">
        <w:rPr>
          <w:lang w:val="en-AU"/>
        </w:rPr>
        <w:t>Basic Education Unit total staff numbers reduced from nineteen to nine from June 2014 to December 2015 (POM (2015)</w:t>
      </w:r>
      <w:r>
        <w:rPr>
          <w:lang w:val="en-AU"/>
        </w:rPr>
        <w:t>.</w:t>
      </w:r>
      <w:r w:rsidRPr="009F298F">
        <w:rPr>
          <w:lang w:val="en-AU"/>
        </w:rPr>
        <w:t xml:space="preserve"> </w:t>
      </w:r>
      <w:r w:rsidRPr="006A3C6B">
        <w:rPr>
          <w:i/>
          <w:lang w:val="en-AU"/>
        </w:rPr>
        <w:t>Annual Partnership Performance Report 2015</w:t>
      </w:r>
      <w:r w:rsidRPr="009F298F">
        <w:rPr>
          <w:lang w:val="en-AU"/>
        </w:rPr>
        <w:t>, p.77).</w:t>
      </w:r>
    </w:p>
  </w:footnote>
  <w:footnote w:id="48">
    <w:p w14:paraId="6826AE30" w14:textId="77777777" w:rsidR="000210B2" w:rsidRPr="005005EC" w:rsidRDefault="000210B2" w:rsidP="00F300B3">
      <w:pPr>
        <w:pStyle w:val="FootnoteText"/>
      </w:pPr>
      <w:r>
        <w:rPr>
          <w:rStyle w:val="FootnoteReference"/>
        </w:rPr>
        <w:footnoteRef/>
      </w:r>
      <w:r>
        <w:t xml:space="preserve"> </w:t>
      </w:r>
      <w:r w:rsidRPr="009F298F">
        <w:t xml:space="preserve">Nevertheless, the MTR of the ACDP scored its risk management a </w:t>
      </w:r>
      <w:r>
        <w:t>‘</w:t>
      </w:r>
      <w:r w:rsidRPr="009F298F">
        <w:t>Red</w:t>
      </w:r>
      <w:r>
        <w:t>’</w:t>
      </w:r>
      <w:r w:rsidRPr="009F298F">
        <w:t>. It noted that the “MTR is not aware of an ACDP risk register and has not seen risks reported in the six monthly progress reports”</w:t>
      </w:r>
      <w:r>
        <w:t xml:space="preserve">. </w:t>
      </w:r>
      <w:r w:rsidRPr="009F298F">
        <w:t xml:space="preserve">(ACDP (2015). </w:t>
      </w:r>
      <w:r w:rsidRPr="006A3C6B">
        <w:rPr>
          <w:i/>
        </w:rPr>
        <w:t>Education Sector – Analytical and Capacity Development Partnership Indonesia. Mid-term Review</w:t>
      </w:r>
      <w:r w:rsidRPr="009F298F">
        <w:t>, p. 25.)</w:t>
      </w:r>
    </w:p>
  </w:footnote>
  <w:footnote w:id="49">
    <w:p w14:paraId="6826AE31" w14:textId="77777777" w:rsidR="000210B2" w:rsidRPr="00736CD3" w:rsidRDefault="000210B2" w:rsidP="00F300B3">
      <w:pPr>
        <w:pStyle w:val="FootnoteText"/>
      </w:pPr>
      <w:r w:rsidRPr="00736CD3">
        <w:rPr>
          <w:rStyle w:val="FootnoteReference"/>
        </w:rPr>
        <w:footnoteRef/>
      </w:r>
      <w:r w:rsidRPr="00736CD3">
        <w:t xml:space="preserve"> </w:t>
      </w:r>
      <w:r>
        <w:t xml:space="preserve">This was in line with policy. For example, see </w:t>
      </w:r>
      <w:r w:rsidRPr="00736CD3">
        <w:t>DFAT (2015).</w:t>
      </w:r>
      <w:r>
        <w:t xml:space="preserve"> </w:t>
      </w:r>
      <w:r w:rsidRPr="006A3C6B">
        <w:rPr>
          <w:i/>
        </w:rPr>
        <w:t>Making performance count: enhancing the accountability and effectiveness of Australian aid</w:t>
      </w:r>
      <w:r>
        <w:t>.</w:t>
      </w:r>
    </w:p>
  </w:footnote>
  <w:footnote w:id="50">
    <w:p w14:paraId="6826AE32" w14:textId="77777777" w:rsidR="000210B2" w:rsidRPr="000A123E" w:rsidRDefault="000210B2" w:rsidP="00F300B3">
      <w:pPr>
        <w:pStyle w:val="FootnoteText"/>
      </w:pPr>
      <w:r>
        <w:rPr>
          <w:rStyle w:val="FootnoteReference"/>
        </w:rPr>
        <w:footnoteRef/>
      </w:r>
      <w:r>
        <w:t xml:space="preserve"> </w:t>
      </w:r>
      <w:r>
        <w:rPr>
          <w:bCs/>
        </w:rPr>
        <w:t>With the development of the Performance Milestone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1231" w14:textId="77777777" w:rsidR="000210B2" w:rsidRDefault="00021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C62B" w14:textId="77777777" w:rsidR="000210B2" w:rsidRDefault="00021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3C21" w14:textId="77777777" w:rsidR="000210B2" w:rsidRDefault="000210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ADFB" w14:textId="77777777" w:rsidR="000210B2" w:rsidRPr="005540B8" w:rsidRDefault="000210B2" w:rsidP="00D462BE">
    <w:pPr>
      <w:rPr>
        <w:rFonts w:cs="Calibri"/>
      </w:rPr>
    </w:pPr>
    <w:r>
      <w:rPr>
        <w:noProof/>
        <w:lang w:val="en-AU" w:eastAsia="en-AU"/>
      </w:rPr>
      <w:drawing>
        <wp:anchor distT="0" distB="0" distL="114300" distR="114300" simplePos="0" relativeHeight="251657728" behindDoc="1" locked="0" layoutInCell="1" allowOverlap="1" wp14:anchorId="6826ADFC" wp14:editId="6826ADFD">
          <wp:simplePos x="0" y="0"/>
          <wp:positionH relativeFrom="page">
            <wp:posOffset>426085</wp:posOffset>
          </wp:positionH>
          <wp:positionV relativeFrom="page">
            <wp:posOffset>462915</wp:posOffset>
          </wp:positionV>
          <wp:extent cx="7378700" cy="474980"/>
          <wp:effectExtent l="0" t="0" r="0" b="1270"/>
          <wp:wrapNone/>
          <wp:docPr id="1" name="Picture 2561" descr="F:\WORK\EPOS\REPORT &amp; STATIONARY\emf\Grey strip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descr="F:\WORK\EPOS\REPORT &amp; STATIONARY\emf\Grey strip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9D9"/>
    <w:multiLevelType w:val="hybridMultilevel"/>
    <w:tmpl w:val="099E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82078"/>
    <w:multiLevelType w:val="hybridMultilevel"/>
    <w:tmpl w:val="A35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D7CE3"/>
    <w:multiLevelType w:val="hybridMultilevel"/>
    <w:tmpl w:val="705C040C"/>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74B2C"/>
    <w:multiLevelType w:val="multilevel"/>
    <w:tmpl w:val="27B6C6CE"/>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88D153B"/>
    <w:multiLevelType w:val="hybridMultilevel"/>
    <w:tmpl w:val="9B7C6B5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C0D51"/>
    <w:multiLevelType w:val="hybridMultilevel"/>
    <w:tmpl w:val="3FDC6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51365D"/>
    <w:multiLevelType w:val="hybridMultilevel"/>
    <w:tmpl w:val="85301792"/>
    <w:lvl w:ilvl="0" w:tplc="0C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4177B3"/>
    <w:multiLevelType w:val="hybridMultilevel"/>
    <w:tmpl w:val="B436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901EBA"/>
    <w:multiLevelType w:val="hybridMultilevel"/>
    <w:tmpl w:val="4360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F3DC2"/>
    <w:multiLevelType w:val="hybridMultilevel"/>
    <w:tmpl w:val="52EA5026"/>
    <w:lvl w:ilvl="0" w:tplc="8F6A7F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9F7CD8"/>
    <w:multiLevelType w:val="hybridMultilevel"/>
    <w:tmpl w:val="92AC32CE"/>
    <w:lvl w:ilvl="0" w:tplc="B5F4E8FC">
      <w:start w:val="1"/>
      <w:numFmt w:val="decimal"/>
      <w:lvlText w:val="%1."/>
      <w:lvlJc w:val="left"/>
      <w:pPr>
        <w:ind w:left="780" w:hanging="4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53006F26"/>
    <w:multiLevelType w:val="hybridMultilevel"/>
    <w:tmpl w:val="AB78863A"/>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A0069D"/>
    <w:multiLevelType w:val="hybridMultilevel"/>
    <w:tmpl w:val="9A94C6D0"/>
    <w:lvl w:ilvl="0" w:tplc="54EC6B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932953"/>
    <w:multiLevelType w:val="hybridMultilevel"/>
    <w:tmpl w:val="FC82B9B6"/>
    <w:lvl w:ilvl="0" w:tplc="1780F72C">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86591E"/>
    <w:multiLevelType w:val="hybridMultilevel"/>
    <w:tmpl w:val="CE0675A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7A7443"/>
    <w:multiLevelType w:val="hybridMultilevel"/>
    <w:tmpl w:val="53D44780"/>
    <w:lvl w:ilvl="0" w:tplc="4856972E">
      <w:start w:val="1"/>
      <w:numFmt w:val="lowerLetter"/>
      <w:lvlText w:val="(%1)"/>
      <w:lvlJc w:val="left"/>
      <w:pPr>
        <w:ind w:left="720" w:hanging="360"/>
      </w:pPr>
      <w:rPr>
        <w:rFonts w:ascii="Calibri" w:hAnsi="Calibri"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0"/>
  </w:num>
  <w:num w:numId="6">
    <w:abstractNumId w:val="11"/>
  </w:num>
  <w:num w:numId="7">
    <w:abstractNumId w:val="12"/>
  </w:num>
  <w:num w:numId="8">
    <w:abstractNumId w:val="14"/>
  </w:num>
  <w:num w:numId="9">
    <w:abstractNumId w:val="4"/>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15"/>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3"/>
  </w:num>
  <w:num w:numId="27">
    <w:abstractNumId w:val="3"/>
  </w:num>
  <w:num w:numId="28">
    <w:abstractNumId w:val="3"/>
  </w:num>
  <w:num w:numId="29">
    <w:abstractNumId w:val="3"/>
  </w:num>
  <w:num w:numId="30">
    <w:abstractNumId w:val="3"/>
  </w:num>
  <w:num w:numId="31">
    <w:abstractNumId w:val="13"/>
  </w:num>
  <w:num w:numId="32">
    <w:abstractNumId w:val="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98"/>
    <w:rsid w:val="0000583A"/>
    <w:rsid w:val="00006A84"/>
    <w:rsid w:val="000110A6"/>
    <w:rsid w:val="00011361"/>
    <w:rsid w:val="00012039"/>
    <w:rsid w:val="00012BDF"/>
    <w:rsid w:val="0001705F"/>
    <w:rsid w:val="000202F7"/>
    <w:rsid w:val="000210B2"/>
    <w:rsid w:val="00026ACC"/>
    <w:rsid w:val="00030436"/>
    <w:rsid w:val="00031203"/>
    <w:rsid w:val="00032585"/>
    <w:rsid w:val="0003315D"/>
    <w:rsid w:val="0003506D"/>
    <w:rsid w:val="00045431"/>
    <w:rsid w:val="00047E4D"/>
    <w:rsid w:val="00050342"/>
    <w:rsid w:val="00051CFA"/>
    <w:rsid w:val="0005331E"/>
    <w:rsid w:val="00057FA4"/>
    <w:rsid w:val="000603B8"/>
    <w:rsid w:val="000623B2"/>
    <w:rsid w:val="000641A8"/>
    <w:rsid w:val="0006657B"/>
    <w:rsid w:val="00066FA2"/>
    <w:rsid w:val="00067A93"/>
    <w:rsid w:val="000760AA"/>
    <w:rsid w:val="00076F0C"/>
    <w:rsid w:val="00082D8B"/>
    <w:rsid w:val="000834DF"/>
    <w:rsid w:val="000847EE"/>
    <w:rsid w:val="0008533C"/>
    <w:rsid w:val="00086EEF"/>
    <w:rsid w:val="00093C98"/>
    <w:rsid w:val="000970E8"/>
    <w:rsid w:val="000A13DF"/>
    <w:rsid w:val="000B2576"/>
    <w:rsid w:val="000B330B"/>
    <w:rsid w:val="000B4351"/>
    <w:rsid w:val="000B436B"/>
    <w:rsid w:val="000B68D8"/>
    <w:rsid w:val="000C0637"/>
    <w:rsid w:val="000D0891"/>
    <w:rsid w:val="000D0C0F"/>
    <w:rsid w:val="000D1936"/>
    <w:rsid w:val="000D3F59"/>
    <w:rsid w:val="000D6ABB"/>
    <w:rsid w:val="000E0AFF"/>
    <w:rsid w:val="000E1E54"/>
    <w:rsid w:val="000E236D"/>
    <w:rsid w:val="000E4069"/>
    <w:rsid w:val="000E5F58"/>
    <w:rsid w:val="000F2667"/>
    <w:rsid w:val="000F740D"/>
    <w:rsid w:val="00100C20"/>
    <w:rsid w:val="00101808"/>
    <w:rsid w:val="00103894"/>
    <w:rsid w:val="00104222"/>
    <w:rsid w:val="00112C10"/>
    <w:rsid w:val="00117AEC"/>
    <w:rsid w:val="00126D62"/>
    <w:rsid w:val="00131034"/>
    <w:rsid w:val="00150C77"/>
    <w:rsid w:val="00152054"/>
    <w:rsid w:val="0015329E"/>
    <w:rsid w:val="0015380E"/>
    <w:rsid w:val="00156FED"/>
    <w:rsid w:val="0015767F"/>
    <w:rsid w:val="001612F7"/>
    <w:rsid w:val="00162B12"/>
    <w:rsid w:val="00166D9F"/>
    <w:rsid w:val="00167E30"/>
    <w:rsid w:val="00171B41"/>
    <w:rsid w:val="00172C8A"/>
    <w:rsid w:val="00176C5F"/>
    <w:rsid w:val="00177466"/>
    <w:rsid w:val="00177BC7"/>
    <w:rsid w:val="001803E2"/>
    <w:rsid w:val="00180436"/>
    <w:rsid w:val="00185760"/>
    <w:rsid w:val="00186351"/>
    <w:rsid w:val="001967DF"/>
    <w:rsid w:val="001A45A3"/>
    <w:rsid w:val="001A694F"/>
    <w:rsid w:val="001B0069"/>
    <w:rsid w:val="001B01E2"/>
    <w:rsid w:val="001B37B5"/>
    <w:rsid w:val="001B6DBF"/>
    <w:rsid w:val="001C7F41"/>
    <w:rsid w:val="001D7FD7"/>
    <w:rsid w:val="001E74E1"/>
    <w:rsid w:val="001F0F34"/>
    <w:rsid w:val="001F170B"/>
    <w:rsid w:val="001F3063"/>
    <w:rsid w:val="001F69A2"/>
    <w:rsid w:val="00202407"/>
    <w:rsid w:val="00205DB7"/>
    <w:rsid w:val="0020767C"/>
    <w:rsid w:val="00212534"/>
    <w:rsid w:val="002164FC"/>
    <w:rsid w:val="0022088B"/>
    <w:rsid w:val="00224652"/>
    <w:rsid w:val="00224FF9"/>
    <w:rsid w:val="00226D58"/>
    <w:rsid w:val="00231C16"/>
    <w:rsid w:val="002342F8"/>
    <w:rsid w:val="002359FC"/>
    <w:rsid w:val="002417CC"/>
    <w:rsid w:val="00245A83"/>
    <w:rsid w:val="002473C0"/>
    <w:rsid w:val="00247C40"/>
    <w:rsid w:val="00250DAA"/>
    <w:rsid w:val="00262D2A"/>
    <w:rsid w:val="002634F3"/>
    <w:rsid w:val="0026653C"/>
    <w:rsid w:val="002757F1"/>
    <w:rsid w:val="00276139"/>
    <w:rsid w:val="00280830"/>
    <w:rsid w:val="00281D11"/>
    <w:rsid w:val="00286ABC"/>
    <w:rsid w:val="00287680"/>
    <w:rsid w:val="0029525A"/>
    <w:rsid w:val="00297E5D"/>
    <w:rsid w:val="002B554F"/>
    <w:rsid w:val="002B71DA"/>
    <w:rsid w:val="002C164F"/>
    <w:rsid w:val="002C3B01"/>
    <w:rsid w:val="002C454D"/>
    <w:rsid w:val="002C530A"/>
    <w:rsid w:val="002C7568"/>
    <w:rsid w:val="002C7856"/>
    <w:rsid w:val="002D0500"/>
    <w:rsid w:val="002D1183"/>
    <w:rsid w:val="002E7E51"/>
    <w:rsid w:val="00300C06"/>
    <w:rsid w:val="003012E0"/>
    <w:rsid w:val="00306627"/>
    <w:rsid w:val="0031248E"/>
    <w:rsid w:val="00312813"/>
    <w:rsid w:val="003136D2"/>
    <w:rsid w:val="003139B9"/>
    <w:rsid w:val="00322461"/>
    <w:rsid w:val="00327087"/>
    <w:rsid w:val="003272A8"/>
    <w:rsid w:val="00327FE6"/>
    <w:rsid w:val="00333F71"/>
    <w:rsid w:val="00336705"/>
    <w:rsid w:val="00336E6A"/>
    <w:rsid w:val="003375AB"/>
    <w:rsid w:val="003403E7"/>
    <w:rsid w:val="00353391"/>
    <w:rsid w:val="00356747"/>
    <w:rsid w:val="00360852"/>
    <w:rsid w:val="00363BC9"/>
    <w:rsid w:val="00364D40"/>
    <w:rsid w:val="003656B4"/>
    <w:rsid w:val="00374CD7"/>
    <w:rsid w:val="00375226"/>
    <w:rsid w:val="00376E60"/>
    <w:rsid w:val="00386840"/>
    <w:rsid w:val="00394C6D"/>
    <w:rsid w:val="00397475"/>
    <w:rsid w:val="00397BB3"/>
    <w:rsid w:val="003A31AA"/>
    <w:rsid w:val="003A65F7"/>
    <w:rsid w:val="003B0EE2"/>
    <w:rsid w:val="003B2AF3"/>
    <w:rsid w:val="003B4318"/>
    <w:rsid w:val="003B502D"/>
    <w:rsid w:val="003B5468"/>
    <w:rsid w:val="003B5B2D"/>
    <w:rsid w:val="003B6E41"/>
    <w:rsid w:val="003B7087"/>
    <w:rsid w:val="003C0C6C"/>
    <w:rsid w:val="003C132D"/>
    <w:rsid w:val="003C18A4"/>
    <w:rsid w:val="003C3C39"/>
    <w:rsid w:val="003C42A6"/>
    <w:rsid w:val="003C5C69"/>
    <w:rsid w:val="003D294D"/>
    <w:rsid w:val="003D468A"/>
    <w:rsid w:val="003D4930"/>
    <w:rsid w:val="003D53E8"/>
    <w:rsid w:val="003E3116"/>
    <w:rsid w:val="003E701A"/>
    <w:rsid w:val="003E73B7"/>
    <w:rsid w:val="003F089F"/>
    <w:rsid w:val="003F201C"/>
    <w:rsid w:val="003F45B2"/>
    <w:rsid w:val="003F59B5"/>
    <w:rsid w:val="004029C5"/>
    <w:rsid w:val="004040A0"/>
    <w:rsid w:val="004040E9"/>
    <w:rsid w:val="00405C50"/>
    <w:rsid w:val="004067ED"/>
    <w:rsid w:val="00411574"/>
    <w:rsid w:val="00412012"/>
    <w:rsid w:val="00412175"/>
    <w:rsid w:val="00415826"/>
    <w:rsid w:val="00415C7A"/>
    <w:rsid w:val="004408B9"/>
    <w:rsid w:val="00441671"/>
    <w:rsid w:val="00445412"/>
    <w:rsid w:val="00446E25"/>
    <w:rsid w:val="00452251"/>
    <w:rsid w:val="004604D1"/>
    <w:rsid w:val="004618FD"/>
    <w:rsid w:val="0046370C"/>
    <w:rsid w:val="00465531"/>
    <w:rsid w:val="00465F50"/>
    <w:rsid w:val="00467C75"/>
    <w:rsid w:val="0047019D"/>
    <w:rsid w:val="004706EC"/>
    <w:rsid w:val="00471402"/>
    <w:rsid w:val="004737C7"/>
    <w:rsid w:val="00473E53"/>
    <w:rsid w:val="004753AA"/>
    <w:rsid w:val="00476535"/>
    <w:rsid w:val="00481369"/>
    <w:rsid w:val="00483758"/>
    <w:rsid w:val="00490528"/>
    <w:rsid w:val="004915BC"/>
    <w:rsid w:val="004931BC"/>
    <w:rsid w:val="00495A18"/>
    <w:rsid w:val="004A1CB6"/>
    <w:rsid w:val="004B0A01"/>
    <w:rsid w:val="004B2398"/>
    <w:rsid w:val="004B4242"/>
    <w:rsid w:val="004C2D0D"/>
    <w:rsid w:val="004C2D93"/>
    <w:rsid w:val="004C58DC"/>
    <w:rsid w:val="004C674A"/>
    <w:rsid w:val="004C6945"/>
    <w:rsid w:val="004D1656"/>
    <w:rsid w:val="004D63BE"/>
    <w:rsid w:val="004D78C2"/>
    <w:rsid w:val="004E0E9D"/>
    <w:rsid w:val="004E2537"/>
    <w:rsid w:val="004E2651"/>
    <w:rsid w:val="004E6FF1"/>
    <w:rsid w:val="004F1F81"/>
    <w:rsid w:val="004F24D6"/>
    <w:rsid w:val="004F3FD7"/>
    <w:rsid w:val="004F5342"/>
    <w:rsid w:val="004F625B"/>
    <w:rsid w:val="00503F06"/>
    <w:rsid w:val="005041BF"/>
    <w:rsid w:val="00505AA3"/>
    <w:rsid w:val="00510AC6"/>
    <w:rsid w:val="00511288"/>
    <w:rsid w:val="005165EA"/>
    <w:rsid w:val="00516E57"/>
    <w:rsid w:val="0052313B"/>
    <w:rsid w:val="0052425D"/>
    <w:rsid w:val="00524AC7"/>
    <w:rsid w:val="00525865"/>
    <w:rsid w:val="00525F41"/>
    <w:rsid w:val="005349E7"/>
    <w:rsid w:val="00535286"/>
    <w:rsid w:val="00550207"/>
    <w:rsid w:val="00553289"/>
    <w:rsid w:val="005540B8"/>
    <w:rsid w:val="00554814"/>
    <w:rsid w:val="0056403D"/>
    <w:rsid w:val="00565A58"/>
    <w:rsid w:val="00570068"/>
    <w:rsid w:val="0057215D"/>
    <w:rsid w:val="00573D46"/>
    <w:rsid w:val="00573E54"/>
    <w:rsid w:val="00575906"/>
    <w:rsid w:val="00577B37"/>
    <w:rsid w:val="00581A50"/>
    <w:rsid w:val="005832EB"/>
    <w:rsid w:val="0059240D"/>
    <w:rsid w:val="00592F17"/>
    <w:rsid w:val="00596ED4"/>
    <w:rsid w:val="005A3A3A"/>
    <w:rsid w:val="005A3F2C"/>
    <w:rsid w:val="005B35D7"/>
    <w:rsid w:val="005B55F8"/>
    <w:rsid w:val="005B76F8"/>
    <w:rsid w:val="005C01CD"/>
    <w:rsid w:val="005C3850"/>
    <w:rsid w:val="005C4189"/>
    <w:rsid w:val="005C45E7"/>
    <w:rsid w:val="005D24E2"/>
    <w:rsid w:val="005D3598"/>
    <w:rsid w:val="005D4A17"/>
    <w:rsid w:val="005E20B3"/>
    <w:rsid w:val="005E2819"/>
    <w:rsid w:val="005F0A1F"/>
    <w:rsid w:val="005F20F4"/>
    <w:rsid w:val="005F4AA2"/>
    <w:rsid w:val="005F523C"/>
    <w:rsid w:val="00601FC2"/>
    <w:rsid w:val="00605B78"/>
    <w:rsid w:val="006118C3"/>
    <w:rsid w:val="00613CB8"/>
    <w:rsid w:val="00620C75"/>
    <w:rsid w:val="006218D3"/>
    <w:rsid w:val="00626483"/>
    <w:rsid w:val="00627879"/>
    <w:rsid w:val="0063378B"/>
    <w:rsid w:val="00634C77"/>
    <w:rsid w:val="00635AAF"/>
    <w:rsid w:val="00641BC4"/>
    <w:rsid w:val="006501A7"/>
    <w:rsid w:val="0066028D"/>
    <w:rsid w:val="0066437F"/>
    <w:rsid w:val="00672BCC"/>
    <w:rsid w:val="00672EC6"/>
    <w:rsid w:val="00677523"/>
    <w:rsid w:val="006810F4"/>
    <w:rsid w:val="00681598"/>
    <w:rsid w:val="006817D8"/>
    <w:rsid w:val="0068374E"/>
    <w:rsid w:val="00683DB0"/>
    <w:rsid w:val="00691FBE"/>
    <w:rsid w:val="0069422E"/>
    <w:rsid w:val="00694BC1"/>
    <w:rsid w:val="00695BED"/>
    <w:rsid w:val="006973C7"/>
    <w:rsid w:val="006A02B9"/>
    <w:rsid w:val="006A1A91"/>
    <w:rsid w:val="006A1BF6"/>
    <w:rsid w:val="006A3C6B"/>
    <w:rsid w:val="006B0647"/>
    <w:rsid w:val="006B109C"/>
    <w:rsid w:val="006B465E"/>
    <w:rsid w:val="006B4704"/>
    <w:rsid w:val="006B5EC5"/>
    <w:rsid w:val="006D0F6E"/>
    <w:rsid w:val="006D740E"/>
    <w:rsid w:val="006E40B9"/>
    <w:rsid w:val="006E4327"/>
    <w:rsid w:val="006E69E3"/>
    <w:rsid w:val="006F4935"/>
    <w:rsid w:val="00701A43"/>
    <w:rsid w:val="00711877"/>
    <w:rsid w:val="00711B52"/>
    <w:rsid w:val="00713325"/>
    <w:rsid w:val="00714470"/>
    <w:rsid w:val="00715627"/>
    <w:rsid w:val="00722328"/>
    <w:rsid w:val="007234DA"/>
    <w:rsid w:val="00725E9B"/>
    <w:rsid w:val="00726E4A"/>
    <w:rsid w:val="00730072"/>
    <w:rsid w:val="0073350C"/>
    <w:rsid w:val="0073378A"/>
    <w:rsid w:val="00733978"/>
    <w:rsid w:val="007369AF"/>
    <w:rsid w:val="0074156A"/>
    <w:rsid w:val="00742AE0"/>
    <w:rsid w:val="00746498"/>
    <w:rsid w:val="00746E3E"/>
    <w:rsid w:val="0075663F"/>
    <w:rsid w:val="00756B00"/>
    <w:rsid w:val="0076083D"/>
    <w:rsid w:val="00761383"/>
    <w:rsid w:val="00762EC8"/>
    <w:rsid w:val="00771041"/>
    <w:rsid w:val="0077207B"/>
    <w:rsid w:val="00774CB9"/>
    <w:rsid w:val="00777897"/>
    <w:rsid w:val="00780A26"/>
    <w:rsid w:val="0078204B"/>
    <w:rsid w:val="007848A1"/>
    <w:rsid w:val="007858E1"/>
    <w:rsid w:val="00787297"/>
    <w:rsid w:val="00787622"/>
    <w:rsid w:val="00787BF8"/>
    <w:rsid w:val="00792BC7"/>
    <w:rsid w:val="0079303C"/>
    <w:rsid w:val="00794F2E"/>
    <w:rsid w:val="00797D8A"/>
    <w:rsid w:val="007A550B"/>
    <w:rsid w:val="007A6A0A"/>
    <w:rsid w:val="007A7FF0"/>
    <w:rsid w:val="007B49A9"/>
    <w:rsid w:val="007C5C32"/>
    <w:rsid w:val="007C69D8"/>
    <w:rsid w:val="007D2AEE"/>
    <w:rsid w:val="007D39BD"/>
    <w:rsid w:val="007D525E"/>
    <w:rsid w:val="007D7121"/>
    <w:rsid w:val="007E3DE9"/>
    <w:rsid w:val="007E61FB"/>
    <w:rsid w:val="007E6C26"/>
    <w:rsid w:val="007E72F2"/>
    <w:rsid w:val="007E7B11"/>
    <w:rsid w:val="007E7CA0"/>
    <w:rsid w:val="007E7D36"/>
    <w:rsid w:val="007F0564"/>
    <w:rsid w:val="007F24F4"/>
    <w:rsid w:val="007F49EA"/>
    <w:rsid w:val="007F5363"/>
    <w:rsid w:val="007F5421"/>
    <w:rsid w:val="007F5869"/>
    <w:rsid w:val="007F5E4A"/>
    <w:rsid w:val="007F7D41"/>
    <w:rsid w:val="00803E6A"/>
    <w:rsid w:val="00806716"/>
    <w:rsid w:val="0081472B"/>
    <w:rsid w:val="00814EF3"/>
    <w:rsid w:val="0083698D"/>
    <w:rsid w:val="00836F0B"/>
    <w:rsid w:val="00840052"/>
    <w:rsid w:val="00841922"/>
    <w:rsid w:val="008459D5"/>
    <w:rsid w:val="00847451"/>
    <w:rsid w:val="00850C29"/>
    <w:rsid w:val="00851FE8"/>
    <w:rsid w:val="00855A19"/>
    <w:rsid w:val="0087388B"/>
    <w:rsid w:val="00877EE8"/>
    <w:rsid w:val="008862BF"/>
    <w:rsid w:val="00893C72"/>
    <w:rsid w:val="008A10CE"/>
    <w:rsid w:val="008B026D"/>
    <w:rsid w:val="008B07A5"/>
    <w:rsid w:val="008B43F7"/>
    <w:rsid w:val="008B599C"/>
    <w:rsid w:val="008C0B2B"/>
    <w:rsid w:val="008C2DF5"/>
    <w:rsid w:val="008C4F66"/>
    <w:rsid w:val="008D1D80"/>
    <w:rsid w:val="008D4D27"/>
    <w:rsid w:val="008D4F15"/>
    <w:rsid w:val="008D6BD4"/>
    <w:rsid w:val="008D7FBE"/>
    <w:rsid w:val="008E22D2"/>
    <w:rsid w:val="008E2C96"/>
    <w:rsid w:val="008E656B"/>
    <w:rsid w:val="008F1ECD"/>
    <w:rsid w:val="008F57DF"/>
    <w:rsid w:val="009043B2"/>
    <w:rsid w:val="009211F8"/>
    <w:rsid w:val="00921289"/>
    <w:rsid w:val="00921C59"/>
    <w:rsid w:val="009231BB"/>
    <w:rsid w:val="0092474A"/>
    <w:rsid w:val="00924998"/>
    <w:rsid w:val="00926E22"/>
    <w:rsid w:val="00927085"/>
    <w:rsid w:val="00927F6D"/>
    <w:rsid w:val="009336BD"/>
    <w:rsid w:val="009336D6"/>
    <w:rsid w:val="00941A86"/>
    <w:rsid w:val="00943C32"/>
    <w:rsid w:val="009534C1"/>
    <w:rsid w:val="009537C0"/>
    <w:rsid w:val="00953B95"/>
    <w:rsid w:val="00954092"/>
    <w:rsid w:val="009615EA"/>
    <w:rsid w:val="00966777"/>
    <w:rsid w:val="0097540A"/>
    <w:rsid w:val="009803B7"/>
    <w:rsid w:val="0098119D"/>
    <w:rsid w:val="00981CF5"/>
    <w:rsid w:val="0098505C"/>
    <w:rsid w:val="009852AF"/>
    <w:rsid w:val="0098551C"/>
    <w:rsid w:val="009857A9"/>
    <w:rsid w:val="00987A7A"/>
    <w:rsid w:val="0099721F"/>
    <w:rsid w:val="009A5A6E"/>
    <w:rsid w:val="009A6B65"/>
    <w:rsid w:val="009A6D60"/>
    <w:rsid w:val="009A6F8E"/>
    <w:rsid w:val="009B04B8"/>
    <w:rsid w:val="009B0783"/>
    <w:rsid w:val="009B1A53"/>
    <w:rsid w:val="009B1F75"/>
    <w:rsid w:val="009B1F90"/>
    <w:rsid w:val="009B4E5F"/>
    <w:rsid w:val="009B6C68"/>
    <w:rsid w:val="009B6CA0"/>
    <w:rsid w:val="009B7D51"/>
    <w:rsid w:val="009C21F3"/>
    <w:rsid w:val="009C3251"/>
    <w:rsid w:val="009C7BAB"/>
    <w:rsid w:val="009D4BBF"/>
    <w:rsid w:val="009D4DBF"/>
    <w:rsid w:val="009D7C9F"/>
    <w:rsid w:val="009E0CB3"/>
    <w:rsid w:val="009E4645"/>
    <w:rsid w:val="009E6176"/>
    <w:rsid w:val="009E627C"/>
    <w:rsid w:val="009F0DB9"/>
    <w:rsid w:val="009F298F"/>
    <w:rsid w:val="00A017D9"/>
    <w:rsid w:val="00A028CB"/>
    <w:rsid w:val="00A0336C"/>
    <w:rsid w:val="00A03406"/>
    <w:rsid w:val="00A04217"/>
    <w:rsid w:val="00A04927"/>
    <w:rsid w:val="00A07D0D"/>
    <w:rsid w:val="00A123B5"/>
    <w:rsid w:val="00A12C82"/>
    <w:rsid w:val="00A133D0"/>
    <w:rsid w:val="00A14336"/>
    <w:rsid w:val="00A22490"/>
    <w:rsid w:val="00A31127"/>
    <w:rsid w:val="00A3543B"/>
    <w:rsid w:val="00A37DC6"/>
    <w:rsid w:val="00A421F5"/>
    <w:rsid w:val="00A4470E"/>
    <w:rsid w:val="00A44EC0"/>
    <w:rsid w:val="00A45D1C"/>
    <w:rsid w:val="00A5436F"/>
    <w:rsid w:val="00A56653"/>
    <w:rsid w:val="00A61FF7"/>
    <w:rsid w:val="00A63284"/>
    <w:rsid w:val="00A67948"/>
    <w:rsid w:val="00A7079A"/>
    <w:rsid w:val="00A71172"/>
    <w:rsid w:val="00A73F42"/>
    <w:rsid w:val="00A83F08"/>
    <w:rsid w:val="00A86E92"/>
    <w:rsid w:val="00A87BD9"/>
    <w:rsid w:val="00A91923"/>
    <w:rsid w:val="00A93F19"/>
    <w:rsid w:val="00AA54A5"/>
    <w:rsid w:val="00AA54D3"/>
    <w:rsid w:val="00AA597C"/>
    <w:rsid w:val="00AA59E6"/>
    <w:rsid w:val="00AA5F68"/>
    <w:rsid w:val="00AA5FA2"/>
    <w:rsid w:val="00AA6933"/>
    <w:rsid w:val="00AA73F9"/>
    <w:rsid w:val="00AB075B"/>
    <w:rsid w:val="00AB3570"/>
    <w:rsid w:val="00AB5A69"/>
    <w:rsid w:val="00AB5BDA"/>
    <w:rsid w:val="00AB615D"/>
    <w:rsid w:val="00AC1CFD"/>
    <w:rsid w:val="00AC4334"/>
    <w:rsid w:val="00AC5F2A"/>
    <w:rsid w:val="00AC7AFB"/>
    <w:rsid w:val="00AD1A6D"/>
    <w:rsid w:val="00AD68D4"/>
    <w:rsid w:val="00AD7DD6"/>
    <w:rsid w:val="00AE269D"/>
    <w:rsid w:val="00AE2785"/>
    <w:rsid w:val="00AE2D78"/>
    <w:rsid w:val="00AE52EE"/>
    <w:rsid w:val="00AE5573"/>
    <w:rsid w:val="00AE68B3"/>
    <w:rsid w:val="00AE6971"/>
    <w:rsid w:val="00AE7028"/>
    <w:rsid w:val="00AF0585"/>
    <w:rsid w:val="00AF0B7F"/>
    <w:rsid w:val="00AF23BD"/>
    <w:rsid w:val="00AF2E27"/>
    <w:rsid w:val="00AF35C7"/>
    <w:rsid w:val="00B055D8"/>
    <w:rsid w:val="00B07521"/>
    <w:rsid w:val="00B16925"/>
    <w:rsid w:val="00B240E9"/>
    <w:rsid w:val="00B30862"/>
    <w:rsid w:val="00B31398"/>
    <w:rsid w:val="00B32E58"/>
    <w:rsid w:val="00B350F3"/>
    <w:rsid w:val="00B364C1"/>
    <w:rsid w:val="00B37BA3"/>
    <w:rsid w:val="00B417BF"/>
    <w:rsid w:val="00B432D5"/>
    <w:rsid w:val="00B46220"/>
    <w:rsid w:val="00B467C3"/>
    <w:rsid w:val="00B4772F"/>
    <w:rsid w:val="00B502E4"/>
    <w:rsid w:val="00B51194"/>
    <w:rsid w:val="00B557FD"/>
    <w:rsid w:val="00B6311E"/>
    <w:rsid w:val="00B66E8C"/>
    <w:rsid w:val="00B679D2"/>
    <w:rsid w:val="00B703E2"/>
    <w:rsid w:val="00B70A46"/>
    <w:rsid w:val="00B771FE"/>
    <w:rsid w:val="00B80383"/>
    <w:rsid w:val="00B83331"/>
    <w:rsid w:val="00B83A90"/>
    <w:rsid w:val="00B954CE"/>
    <w:rsid w:val="00BA3F14"/>
    <w:rsid w:val="00BB04E3"/>
    <w:rsid w:val="00BB0E78"/>
    <w:rsid w:val="00BB1A44"/>
    <w:rsid w:val="00BB20CB"/>
    <w:rsid w:val="00BB5B20"/>
    <w:rsid w:val="00BB5F7C"/>
    <w:rsid w:val="00BB66CD"/>
    <w:rsid w:val="00BC313B"/>
    <w:rsid w:val="00BC313D"/>
    <w:rsid w:val="00BC3788"/>
    <w:rsid w:val="00BD00D3"/>
    <w:rsid w:val="00BD25B0"/>
    <w:rsid w:val="00BD2671"/>
    <w:rsid w:val="00BD2ED8"/>
    <w:rsid w:val="00BD576F"/>
    <w:rsid w:val="00BD5D1F"/>
    <w:rsid w:val="00BD6BF2"/>
    <w:rsid w:val="00BE14D6"/>
    <w:rsid w:val="00BE4CFB"/>
    <w:rsid w:val="00BE7FA1"/>
    <w:rsid w:val="00BF3EA1"/>
    <w:rsid w:val="00BF5DF9"/>
    <w:rsid w:val="00C1091B"/>
    <w:rsid w:val="00C12F2F"/>
    <w:rsid w:val="00C14290"/>
    <w:rsid w:val="00C1455E"/>
    <w:rsid w:val="00C21F0E"/>
    <w:rsid w:val="00C22F2A"/>
    <w:rsid w:val="00C23B6C"/>
    <w:rsid w:val="00C30127"/>
    <w:rsid w:val="00C32090"/>
    <w:rsid w:val="00C33633"/>
    <w:rsid w:val="00C33E86"/>
    <w:rsid w:val="00C35269"/>
    <w:rsid w:val="00C36B02"/>
    <w:rsid w:val="00C46484"/>
    <w:rsid w:val="00C46BED"/>
    <w:rsid w:val="00C47E03"/>
    <w:rsid w:val="00C50ECA"/>
    <w:rsid w:val="00C540B5"/>
    <w:rsid w:val="00C54779"/>
    <w:rsid w:val="00C54988"/>
    <w:rsid w:val="00C55F92"/>
    <w:rsid w:val="00C57BE5"/>
    <w:rsid w:val="00C647E0"/>
    <w:rsid w:val="00C64D3C"/>
    <w:rsid w:val="00C653BC"/>
    <w:rsid w:val="00C66C09"/>
    <w:rsid w:val="00C7497E"/>
    <w:rsid w:val="00C75C42"/>
    <w:rsid w:val="00C76AA6"/>
    <w:rsid w:val="00C76DD6"/>
    <w:rsid w:val="00C84AEA"/>
    <w:rsid w:val="00C86957"/>
    <w:rsid w:val="00C8750F"/>
    <w:rsid w:val="00C90BE4"/>
    <w:rsid w:val="00C914F5"/>
    <w:rsid w:val="00C92314"/>
    <w:rsid w:val="00C96CAC"/>
    <w:rsid w:val="00C9711D"/>
    <w:rsid w:val="00CB11FF"/>
    <w:rsid w:val="00CB7B00"/>
    <w:rsid w:val="00CC38DD"/>
    <w:rsid w:val="00CC411E"/>
    <w:rsid w:val="00CC49F2"/>
    <w:rsid w:val="00CC5ED6"/>
    <w:rsid w:val="00CD1A86"/>
    <w:rsid w:val="00CD4D68"/>
    <w:rsid w:val="00CD74C2"/>
    <w:rsid w:val="00CE1B88"/>
    <w:rsid w:val="00CE6D6E"/>
    <w:rsid w:val="00CF081F"/>
    <w:rsid w:val="00CF1BB8"/>
    <w:rsid w:val="00CF4D20"/>
    <w:rsid w:val="00D00C09"/>
    <w:rsid w:val="00D11CD4"/>
    <w:rsid w:val="00D14218"/>
    <w:rsid w:val="00D17C42"/>
    <w:rsid w:val="00D2062D"/>
    <w:rsid w:val="00D24BCD"/>
    <w:rsid w:val="00D33081"/>
    <w:rsid w:val="00D359DD"/>
    <w:rsid w:val="00D3782B"/>
    <w:rsid w:val="00D406F8"/>
    <w:rsid w:val="00D433DF"/>
    <w:rsid w:val="00D462BE"/>
    <w:rsid w:val="00D477C8"/>
    <w:rsid w:val="00D5180F"/>
    <w:rsid w:val="00D677D1"/>
    <w:rsid w:val="00D72BE1"/>
    <w:rsid w:val="00D766FC"/>
    <w:rsid w:val="00D868B6"/>
    <w:rsid w:val="00D969B4"/>
    <w:rsid w:val="00DA2918"/>
    <w:rsid w:val="00DA4892"/>
    <w:rsid w:val="00DA735D"/>
    <w:rsid w:val="00DB390D"/>
    <w:rsid w:val="00DB4F15"/>
    <w:rsid w:val="00DB73EF"/>
    <w:rsid w:val="00DC1274"/>
    <w:rsid w:val="00DC44D7"/>
    <w:rsid w:val="00DD4420"/>
    <w:rsid w:val="00DD4E1B"/>
    <w:rsid w:val="00DD52D9"/>
    <w:rsid w:val="00DD5677"/>
    <w:rsid w:val="00DE2A04"/>
    <w:rsid w:val="00DE7AD2"/>
    <w:rsid w:val="00DF0CAB"/>
    <w:rsid w:val="00E0526B"/>
    <w:rsid w:val="00E07ECE"/>
    <w:rsid w:val="00E13FCB"/>
    <w:rsid w:val="00E170D8"/>
    <w:rsid w:val="00E17816"/>
    <w:rsid w:val="00E2102B"/>
    <w:rsid w:val="00E22AC3"/>
    <w:rsid w:val="00E23EAC"/>
    <w:rsid w:val="00E254B4"/>
    <w:rsid w:val="00E31049"/>
    <w:rsid w:val="00E31C52"/>
    <w:rsid w:val="00E33835"/>
    <w:rsid w:val="00E37820"/>
    <w:rsid w:val="00E4039D"/>
    <w:rsid w:val="00E41C65"/>
    <w:rsid w:val="00E43977"/>
    <w:rsid w:val="00E53C94"/>
    <w:rsid w:val="00E55CA6"/>
    <w:rsid w:val="00E6255F"/>
    <w:rsid w:val="00E671D1"/>
    <w:rsid w:val="00E705B3"/>
    <w:rsid w:val="00E7078D"/>
    <w:rsid w:val="00E72E11"/>
    <w:rsid w:val="00E80498"/>
    <w:rsid w:val="00E80A29"/>
    <w:rsid w:val="00E81671"/>
    <w:rsid w:val="00E82FC3"/>
    <w:rsid w:val="00E8456D"/>
    <w:rsid w:val="00E90107"/>
    <w:rsid w:val="00EA0DEA"/>
    <w:rsid w:val="00EA3812"/>
    <w:rsid w:val="00EB0708"/>
    <w:rsid w:val="00EB0E5D"/>
    <w:rsid w:val="00EB1225"/>
    <w:rsid w:val="00EB46B5"/>
    <w:rsid w:val="00EB5A56"/>
    <w:rsid w:val="00EB5D85"/>
    <w:rsid w:val="00EC22DA"/>
    <w:rsid w:val="00EC6498"/>
    <w:rsid w:val="00ED0DA6"/>
    <w:rsid w:val="00ED6031"/>
    <w:rsid w:val="00ED73DD"/>
    <w:rsid w:val="00EE2192"/>
    <w:rsid w:val="00EE2EAD"/>
    <w:rsid w:val="00EE7D0D"/>
    <w:rsid w:val="00EF03E4"/>
    <w:rsid w:val="00EF100C"/>
    <w:rsid w:val="00EF5CF2"/>
    <w:rsid w:val="00EF7DA7"/>
    <w:rsid w:val="00F06E0F"/>
    <w:rsid w:val="00F076F8"/>
    <w:rsid w:val="00F300B3"/>
    <w:rsid w:val="00F31D36"/>
    <w:rsid w:val="00F33A6E"/>
    <w:rsid w:val="00F35CCD"/>
    <w:rsid w:val="00F367B8"/>
    <w:rsid w:val="00F370A1"/>
    <w:rsid w:val="00F37A24"/>
    <w:rsid w:val="00F424A7"/>
    <w:rsid w:val="00F42A98"/>
    <w:rsid w:val="00F44476"/>
    <w:rsid w:val="00F44B6E"/>
    <w:rsid w:val="00F5345B"/>
    <w:rsid w:val="00F60F1A"/>
    <w:rsid w:val="00F61C87"/>
    <w:rsid w:val="00F623E8"/>
    <w:rsid w:val="00F6704C"/>
    <w:rsid w:val="00F6725C"/>
    <w:rsid w:val="00F67592"/>
    <w:rsid w:val="00F70C2B"/>
    <w:rsid w:val="00F72994"/>
    <w:rsid w:val="00F72C89"/>
    <w:rsid w:val="00F74BDC"/>
    <w:rsid w:val="00F803CF"/>
    <w:rsid w:val="00F80747"/>
    <w:rsid w:val="00F82B53"/>
    <w:rsid w:val="00F84AB1"/>
    <w:rsid w:val="00F85616"/>
    <w:rsid w:val="00F86435"/>
    <w:rsid w:val="00F87D1E"/>
    <w:rsid w:val="00F9287F"/>
    <w:rsid w:val="00F934AA"/>
    <w:rsid w:val="00F94B76"/>
    <w:rsid w:val="00F9621D"/>
    <w:rsid w:val="00F96EEF"/>
    <w:rsid w:val="00FA123C"/>
    <w:rsid w:val="00FA14CE"/>
    <w:rsid w:val="00FA2676"/>
    <w:rsid w:val="00FA3363"/>
    <w:rsid w:val="00FA59F0"/>
    <w:rsid w:val="00FA6A35"/>
    <w:rsid w:val="00FB12F0"/>
    <w:rsid w:val="00FC6F1F"/>
    <w:rsid w:val="00FD0175"/>
    <w:rsid w:val="00FD0B92"/>
    <w:rsid w:val="00FD1164"/>
    <w:rsid w:val="00FE037D"/>
    <w:rsid w:val="00FE1423"/>
    <w:rsid w:val="00FE5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26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9B5"/>
    <w:pPr>
      <w:spacing w:after="160" w:line="259" w:lineRule="auto"/>
    </w:pPr>
    <w:rPr>
      <w:sz w:val="22"/>
      <w:szCs w:val="22"/>
      <w:lang w:val="en-GB" w:eastAsia="en-US"/>
    </w:rPr>
  </w:style>
  <w:style w:type="paragraph" w:styleId="Heading1">
    <w:name w:val="heading 1"/>
    <w:basedOn w:val="Normal"/>
    <w:next w:val="Normal"/>
    <w:link w:val="Heading1Char"/>
    <w:uiPriority w:val="9"/>
    <w:qFormat/>
    <w:rsid w:val="00746498"/>
    <w:pPr>
      <w:keepNext/>
      <w:numPr>
        <w:numId w:val="1"/>
      </w:numPr>
      <w:spacing w:before="120" w:after="120" w:line="240" w:lineRule="auto"/>
      <w:outlineLvl w:val="0"/>
    </w:pPr>
    <w:rPr>
      <w:rFonts w:eastAsia="Times New Roman" w:cs="Calibri"/>
      <w:b/>
      <w:bCs/>
      <w:color w:val="003880"/>
      <w:kern w:val="32"/>
      <w:sz w:val="28"/>
      <w:szCs w:val="28"/>
      <w:lang w:val="en-AU"/>
    </w:rPr>
  </w:style>
  <w:style w:type="paragraph" w:styleId="Heading2">
    <w:name w:val="heading 2"/>
    <w:basedOn w:val="Normal"/>
    <w:next w:val="Normal"/>
    <w:link w:val="Heading2Char"/>
    <w:qFormat/>
    <w:rsid w:val="00082D8B"/>
    <w:pPr>
      <w:keepNext/>
      <w:numPr>
        <w:ilvl w:val="1"/>
        <w:numId w:val="1"/>
      </w:numPr>
      <w:spacing w:before="120" w:after="120" w:line="240" w:lineRule="auto"/>
      <w:ind w:left="450" w:hanging="450"/>
      <w:outlineLvl w:val="1"/>
    </w:pPr>
    <w:rPr>
      <w:rFonts w:eastAsia="Times New Roman" w:cs="Calibri"/>
      <w:b/>
      <w:bCs/>
      <w:iCs/>
      <w:color w:val="003880"/>
      <w:sz w:val="24"/>
      <w:szCs w:val="24"/>
      <w:lang w:val="en-AU"/>
    </w:rPr>
  </w:style>
  <w:style w:type="paragraph" w:styleId="Heading3">
    <w:name w:val="heading 3"/>
    <w:basedOn w:val="Normal"/>
    <w:next w:val="Normal"/>
    <w:link w:val="Heading3Char"/>
    <w:qFormat/>
    <w:rsid w:val="00746498"/>
    <w:pPr>
      <w:keepNext/>
      <w:numPr>
        <w:ilvl w:val="2"/>
        <w:numId w:val="1"/>
      </w:numPr>
      <w:spacing w:before="120" w:after="120" w:line="240" w:lineRule="auto"/>
      <w:outlineLvl w:val="2"/>
    </w:pPr>
    <w:rPr>
      <w:rFonts w:eastAsia="Times New Roman" w:cs="Calibri"/>
      <w:bCs/>
      <w:color w:val="003880"/>
      <w:sz w:val="24"/>
      <w:szCs w:val="28"/>
      <w:lang w:val="en-AU"/>
    </w:rPr>
  </w:style>
  <w:style w:type="paragraph" w:styleId="Heading4">
    <w:name w:val="heading 4"/>
    <w:basedOn w:val="Normal"/>
    <w:next w:val="Normal"/>
    <w:link w:val="Heading4Char"/>
    <w:uiPriority w:val="9"/>
    <w:semiHidden/>
    <w:unhideWhenUsed/>
    <w:qFormat/>
    <w:rsid w:val="004B2398"/>
    <w:pPr>
      <w:keepNext/>
      <w:keepLines/>
      <w:numPr>
        <w:ilvl w:val="3"/>
        <w:numId w:val="1"/>
      </w:numPr>
      <w:spacing w:before="200" w:after="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4B2398"/>
    <w:pPr>
      <w:keepNext/>
      <w:keepLines/>
      <w:numPr>
        <w:ilvl w:val="4"/>
        <w:numId w:val="1"/>
      </w:numPr>
      <w:spacing w:before="200" w:after="0"/>
      <w:outlineLvl w:val="4"/>
    </w:pPr>
    <w:rPr>
      <w:rFonts w:ascii="Calibri Light" w:eastAsia="Times New Roman" w:hAnsi="Calibri Light"/>
      <w:color w:val="1F4D78"/>
    </w:rPr>
  </w:style>
  <w:style w:type="paragraph" w:styleId="Heading6">
    <w:name w:val="heading 6"/>
    <w:basedOn w:val="Normal"/>
    <w:next w:val="Normal"/>
    <w:link w:val="Heading6Char"/>
    <w:uiPriority w:val="9"/>
    <w:semiHidden/>
    <w:unhideWhenUsed/>
    <w:qFormat/>
    <w:rsid w:val="004B2398"/>
    <w:pPr>
      <w:keepNext/>
      <w:keepLines/>
      <w:numPr>
        <w:ilvl w:val="5"/>
        <w:numId w:val="1"/>
      </w:numPr>
      <w:spacing w:before="200" w:after="0"/>
      <w:outlineLvl w:val="5"/>
    </w:pPr>
    <w:rPr>
      <w:rFonts w:ascii="Calibri Light" w:eastAsia="Times New Roman" w:hAnsi="Calibri Light"/>
      <w:i/>
      <w:iCs/>
      <w:color w:val="1F4D78"/>
    </w:rPr>
  </w:style>
  <w:style w:type="paragraph" w:styleId="Heading7">
    <w:name w:val="heading 7"/>
    <w:basedOn w:val="Normal"/>
    <w:next w:val="Normal"/>
    <w:link w:val="Heading7Char"/>
    <w:uiPriority w:val="9"/>
    <w:semiHidden/>
    <w:unhideWhenUsed/>
    <w:qFormat/>
    <w:rsid w:val="004B2398"/>
    <w:pPr>
      <w:keepNext/>
      <w:keepLines/>
      <w:numPr>
        <w:ilvl w:val="6"/>
        <w:numId w:val="1"/>
      </w:numPr>
      <w:spacing w:before="200" w:after="0"/>
      <w:outlineLvl w:val="6"/>
    </w:pPr>
    <w:rPr>
      <w:rFonts w:ascii="Calibri Light" w:eastAsia="Times New Roman" w:hAnsi="Calibri Light"/>
      <w:i/>
      <w:iCs/>
      <w:color w:val="404040"/>
    </w:rPr>
  </w:style>
  <w:style w:type="paragraph" w:styleId="Heading8">
    <w:name w:val="heading 8"/>
    <w:basedOn w:val="Normal"/>
    <w:next w:val="Normal"/>
    <w:link w:val="Heading8Char"/>
    <w:uiPriority w:val="9"/>
    <w:semiHidden/>
    <w:unhideWhenUsed/>
    <w:qFormat/>
    <w:rsid w:val="004B2398"/>
    <w:pPr>
      <w:keepNext/>
      <w:keepLines/>
      <w:numPr>
        <w:ilvl w:val="7"/>
        <w:numId w:val="1"/>
      </w:numPr>
      <w:spacing w:before="200" w:after="0"/>
      <w:outlineLvl w:val="7"/>
    </w:pPr>
    <w:rPr>
      <w:rFonts w:ascii="Calibri Light" w:eastAsia="Times New Roman" w:hAnsi="Calibri Light"/>
      <w:color w:val="404040"/>
      <w:sz w:val="20"/>
      <w:szCs w:val="20"/>
    </w:rPr>
  </w:style>
  <w:style w:type="paragraph" w:styleId="Heading9">
    <w:name w:val="heading 9"/>
    <w:basedOn w:val="Normal"/>
    <w:next w:val="Normal"/>
    <w:link w:val="Heading9Char"/>
    <w:uiPriority w:val="9"/>
    <w:semiHidden/>
    <w:unhideWhenUsed/>
    <w:qFormat/>
    <w:rsid w:val="004B2398"/>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46498"/>
    <w:rPr>
      <w:sz w:val="16"/>
      <w:szCs w:val="16"/>
    </w:rPr>
  </w:style>
  <w:style w:type="paragraph" w:styleId="CommentText">
    <w:name w:val="annotation text"/>
    <w:basedOn w:val="Normal"/>
    <w:link w:val="CommentTextChar"/>
    <w:uiPriority w:val="99"/>
    <w:unhideWhenUsed/>
    <w:rsid w:val="00746498"/>
    <w:pPr>
      <w:spacing w:after="200" w:line="240" w:lineRule="auto"/>
    </w:pPr>
    <w:rPr>
      <w:sz w:val="20"/>
      <w:szCs w:val="20"/>
    </w:rPr>
  </w:style>
  <w:style w:type="character" w:customStyle="1" w:styleId="CommentTextChar">
    <w:name w:val="Comment Text Char"/>
    <w:link w:val="CommentText"/>
    <w:uiPriority w:val="99"/>
    <w:rsid w:val="00746498"/>
    <w:rPr>
      <w:sz w:val="20"/>
      <w:szCs w:val="20"/>
    </w:rPr>
  </w:style>
  <w:style w:type="paragraph" w:styleId="ListParagraph">
    <w:name w:val="List Paragraph"/>
    <w:basedOn w:val="Normal"/>
    <w:link w:val="ListParagraphChar"/>
    <w:uiPriority w:val="34"/>
    <w:qFormat/>
    <w:rsid w:val="00746498"/>
    <w:pPr>
      <w:spacing w:after="200" w:line="276" w:lineRule="auto"/>
      <w:ind w:left="720"/>
      <w:contextualSpacing/>
    </w:pPr>
  </w:style>
  <w:style w:type="paragraph" w:styleId="FootnoteText">
    <w:name w:val="footnote text"/>
    <w:aliases w:val="FOOTNOTES,fn,single space,footnote text,Footnote Text Char2,Footnote Text Char1 Char,Footnote Text Char Char Char1,Footnote Text Char1 Char Char Char1,Footnote Text Char1 Char1 Char,Footnote Text Char Char Char Char,ft,Footnote Text Char1"/>
    <w:basedOn w:val="Normal"/>
    <w:link w:val="FootnoteTextChar"/>
    <w:uiPriority w:val="99"/>
    <w:unhideWhenUsed/>
    <w:rsid w:val="00746498"/>
    <w:pPr>
      <w:spacing w:after="0" w:line="240" w:lineRule="auto"/>
    </w:pPr>
    <w:rPr>
      <w:sz w:val="20"/>
      <w:szCs w:val="20"/>
    </w:rPr>
  </w:style>
  <w:style w:type="character" w:customStyle="1" w:styleId="FootnoteTextChar">
    <w:name w:val="Footnote Text Char"/>
    <w:aliases w:val="FOOTNOTES Char,fn Char,single space Char,footnote text Char,Footnote Text Char2 Char,Footnote Text Char1 Char Char,Footnote Text Char Char Char1 Char,Footnote Text Char1 Char Char Char1 Char,Footnote Text Char1 Char1 Char Char,ft Char"/>
    <w:link w:val="FootnoteText"/>
    <w:uiPriority w:val="99"/>
    <w:rsid w:val="00746498"/>
    <w:rPr>
      <w:sz w:val="20"/>
      <w:szCs w:val="20"/>
    </w:rPr>
  </w:style>
  <w:style w:type="character" w:styleId="FootnoteReference">
    <w:name w:val="footnote reference"/>
    <w:aliases w:val=" BVI fnr,BVI fnr,ftref,referencia nota al pie,footnote ref,16 Point,Superscript 6 Point,fr,(NECG) Footnote Reference"/>
    <w:uiPriority w:val="99"/>
    <w:unhideWhenUsed/>
    <w:rsid w:val="00746498"/>
    <w:rPr>
      <w:vertAlign w:val="superscript"/>
    </w:rPr>
  </w:style>
  <w:style w:type="character" w:customStyle="1" w:styleId="ListParagraphChar">
    <w:name w:val="List Paragraph Char"/>
    <w:link w:val="ListParagraph"/>
    <w:uiPriority w:val="34"/>
    <w:locked/>
    <w:rsid w:val="00746498"/>
  </w:style>
  <w:style w:type="paragraph" w:styleId="BalloonText">
    <w:name w:val="Balloon Text"/>
    <w:basedOn w:val="Normal"/>
    <w:link w:val="BalloonTextChar"/>
    <w:uiPriority w:val="99"/>
    <w:semiHidden/>
    <w:unhideWhenUsed/>
    <w:rsid w:val="0074649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46498"/>
    <w:rPr>
      <w:rFonts w:ascii="Segoe UI" w:hAnsi="Segoe UI" w:cs="Segoe UI"/>
      <w:sz w:val="18"/>
      <w:szCs w:val="18"/>
    </w:rPr>
  </w:style>
  <w:style w:type="character" w:customStyle="1" w:styleId="Heading1Char">
    <w:name w:val="Heading 1 Char"/>
    <w:link w:val="Heading1"/>
    <w:uiPriority w:val="9"/>
    <w:rsid w:val="00746498"/>
    <w:rPr>
      <w:rFonts w:eastAsia="Times New Roman" w:cs="Calibri"/>
      <w:b/>
      <w:bCs/>
      <w:color w:val="003880"/>
      <w:kern w:val="32"/>
      <w:sz w:val="28"/>
      <w:szCs w:val="28"/>
      <w:lang w:eastAsia="en-US"/>
    </w:rPr>
  </w:style>
  <w:style w:type="character" w:customStyle="1" w:styleId="Heading2Char">
    <w:name w:val="Heading 2 Char"/>
    <w:link w:val="Heading2"/>
    <w:rsid w:val="00082D8B"/>
    <w:rPr>
      <w:rFonts w:eastAsia="Times New Roman" w:cs="Calibri"/>
      <w:b/>
      <w:bCs/>
      <w:iCs/>
      <w:color w:val="003880"/>
      <w:sz w:val="24"/>
      <w:szCs w:val="24"/>
      <w:lang w:eastAsia="en-US"/>
    </w:rPr>
  </w:style>
  <w:style w:type="character" w:customStyle="1" w:styleId="Heading3Char">
    <w:name w:val="Heading 3 Char"/>
    <w:link w:val="Heading3"/>
    <w:rsid w:val="00746498"/>
    <w:rPr>
      <w:rFonts w:eastAsia="Times New Roman" w:cs="Calibri"/>
      <w:bCs/>
      <w:color w:val="003880"/>
      <w:sz w:val="24"/>
      <w:szCs w:val="28"/>
      <w:lang w:eastAsia="en-US"/>
    </w:rPr>
  </w:style>
  <w:style w:type="table" w:customStyle="1" w:styleId="TableGrid31">
    <w:name w:val="Table Grid31"/>
    <w:basedOn w:val="TableNormal"/>
    <w:next w:val="TableGrid"/>
    <w:uiPriority w:val="59"/>
    <w:locked/>
    <w:rsid w:val="0074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46498"/>
    <w:pPr>
      <w:spacing w:after="0" w:line="240" w:lineRule="auto"/>
    </w:pPr>
    <w:rPr>
      <w:sz w:val="20"/>
      <w:szCs w:val="20"/>
    </w:rPr>
  </w:style>
  <w:style w:type="character" w:customStyle="1" w:styleId="EndnoteTextChar">
    <w:name w:val="Endnote Text Char"/>
    <w:link w:val="EndnoteText"/>
    <w:uiPriority w:val="99"/>
    <w:rsid w:val="00746498"/>
    <w:rPr>
      <w:sz w:val="20"/>
      <w:szCs w:val="20"/>
    </w:rPr>
  </w:style>
  <w:style w:type="character" w:styleId="EndnoteReference">
    <w:name w:val="endnote reference"/>
    <w:uiPriority w:val="99"/>
    <w:unhideWhenUsed/>
    <w:rsid w:val="00746498"/>
    <w:rPr>
      <w:vertAlign w:val="superscript"/>
    </w:rPr>
  </w:style>
  <w:style w:type="table" w:styleId="TableGrid">
    <w:name w:val="Table Grid"/>
    <w:basedOn w:val="TableNormal"/>
    <w:uiPriority w:val="59"/>
    <w:rsid w:val="0074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6498"/>
    <w:rPr>
      <w:sz w:val="22"/>
      <w:szCs w:val="22"/>
      <w:lang w:val="en-GB" w:eastAsia="en-US"/>
    </w:rPr>
  </w:style>
  <w:style w:type="character" w:styleId="Hyperlink">
    <w:name w:val="Hyperlink"/>
    <w:uiPriority w:val="99"/>
    <w:unhideWhenUsed/>
    <w:rsid w:val="009B0783"/>
    <w:rPr>
      <w:color w:val="0000FF"/>
      <w:u w:val="single"/>
    </w:rPr>
  </w:style>
  <w:style w:type="table" w:styleId="MediumGrid3-Accent3">
    <w:name w:val="Medium Grid 3 Accent 3"/>
    <w:basedOn w:val="TableNormal"/>
    <w:uiPriority w:val="69"/>
    <w:rsid w:val="009B0783"/>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Heading1-NoNumber">
    <w:name w:val="Heading 1 - No Number"/>
    <w:basedOn w:val="Heading1"/>
    <w:qFormat/>
    <w:rsid w:val="009B0783"/>
    <w:pPr>
      <w:numPr>
        <w:numId w:val="0"/>
      </w:numPr>
      <w:spacing w:line="276" w:lineRule="auto"/>
      <w:jc w:val="both"/>
    </w:pPr>
  </w:style>
  <w:style w:type="table" w:styleId="ColorfulGrid-Accent1">
    <w:name w:val="Colorful Grid Accent 1"/>
    <w:basedOn w:val="TableNormal"/>
    <w:uiPriority w:val="73"/>
    <w:rsid w:val="009B0783"/>
    <w:rPr>
      <w:rFonts w:eastAsia="Times New Roman"/>
      <w:color w:val="000000"/>
      <w:lang w:val="en-US"/>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styleId="ColorfulList-Accent3">
    <w:name w:val="Colorful List Accent 3"/>
    <w:basedOn w:val="TableNormal"/>
    <w:uiPriority w:val="72"/>
    <w:rsid w:val="009B0783"/>
    <w:rPr>
      <w:color w:val="000000"/>
      <w:lang w:val="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character" w:customStyle="1" w:styleId="Heading4Char">
    <w:name w:val="Heading 4 Char"/>
    <w:link w:val="Heading4"/>
    <w:uiPriority w:val="9"/>
    <w:semiHidden/>
    <w:rsid w:val="004B2398"/>
    <w:rPr>
      <w:rFonts w:ascii="Calibri Light" w:eastAsia="Times New Roman" w:hAnsi="Calibri Light"/>
      <w:b/>
      <w:bCs/>
      <w:i/>
      <w:iCs/>
      <w:color w:val="5B9BD5"/>
      <w:sz w:val="22"/>
      <w:szCs w:val="22"/>
      <w:lang w:val="en-GB" w:eastAsia="en-US"/>
    </w:rPr>
  </w:style>
  <w:style w:type="character" w:customStyle="1" w:styleId="Heading5Char">
    <w:name w:val="Heading 5 Char"/>
    <w:link w:val="Heading5"/>
    <w:uiPriority w:val="9"/>
    <w:semiHidden/>
    <w:rsid w:val="004B2398"/>
    <w:rPr>
      <w:rFonts w:ascii="Calibri Light" w:eastAsia="Times New Roman" w:hAnsi="Calibri Light"/>
      <w:color w:val="1F4D78"/>
      <w:sz w:val="22"/>
      <w:szCs w:val="22"/>
      <w:lang w:val="en-GB" w:eastAsia="en-US"/>
    </w:rPr>
  </w:style>
  <w:style w:type="character" w:customStyle="1" w:styleId="Heading6Char">
    <w:name w:val="Heading 6 Char"/>
    <w:link w:val="Heading6"/>
    <w:uiPriority w:val="9"/>
    <w:semiHidden/>
    <w:rsid w:val="004B2398"/>
    <w:rPr>
      <w:rFonts w:ascii="Calibri Light" w:eastAsia="Times New Roman" w:hAnsi="Calibri Light"/>
      <w:i/>
      <w:iCs/>
      <w:color w:val="1F4D78"/>
      <w:sz w:val="22"/>
      <w:szCs w:val="22"/>
      <w:lang w:val="en-GB" w:eastAsia="en-US"/>
    </w:rPr>
  </w:style>
  <w:style w:type="character" w:customStyle="1" w:styleId="Heading7Char">
    <w:name w:val="Heading 7 Char"/>
    <w:link w:val="Heading7"/>
    <w:uiPriority w:val="9"/>
    <w:semiHidden/>
    <w:rsid w:val="004B2398"/>
    <w:rPr>
      <w:rFonts w:ascii="Calibri Light" w:eastAsia="Times New Roman" w:hAnsi="Calibri Light"/>
      <w:i/>
      <w:iCs/>
      <w:color w:val="404040"/>
      <w:sz w:val="22"/>
      <w:szCs w:val="22"/>
      <w:lang w:val="en-GB" w:eastAsia="en-US"/>
    </w:rPr>
  </w:style>
  <w:style w:type="character" w:customStyle="1" w:styleId="Heading8Char">
    <w:name w:val="Heading 8 Char"/>
    <w:link w:val="Heading8"/>
    <w:uiPriority w:val="9"/>
    <w:semiHidden/>
    <w:rsid w:val="004B2398"/>
    <w:rPr>
      <w:rFonts w:ascii="Calibri Light" w:eastAsia="Times New Roman" w:hAnsi="Calibri Light"/>
      <w:color w:val="404040"/>
      <w:lang w:val="en-GB" w:eastAsia="en-US"/>
    </w:rPr>
  </w:style>
  <w:style w:type="character" w:customStyle="1" w:styleId="Heading9Char">
    <w:name w:val="Heading 9 Char"/>
    <w:link w:val="Heading9"/>
    <w:uiPriority w:val="9"/>
    <w:semiHidden/>
    <w:rsid w:val="004B2398"/>
    <w:rPr>
      <w:rFonts w:ascii="Calibri Light" w:eastAsia="Times New Roman" w:hAnsi="Calibri Light"/>
      <w:i/>
      <w:iCs/>
      <w:color w:val="404040"/>
      <w:lang w:val="en-GB" w:eastAsia="en-US"/>
    </w:rPr>
  </w:style>
  <w:style w:type="paragraph" w:styleId="Header">
    <w:name w:val="header"/>
    <w:basedOn w:val="Normal"/>
    <w:link w:val="HeaderChar"/>
    <w:uiPriority w:val="99"/>
    <w:unhideWhenUsed/>
    <w:rsid w:val="00711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B52"/>
  </w:style>
  <w:style w:type="paragraph" w:styleId="Footer">
    <w:name w:val="footer"/>
    <w:basedOn w:val="Normal"/>
    <w:link w:val="FooterChar"/>
    <w:uiPriority w:val="99"/>
    <w:unhideWhenUsed/>
    <w:rsid w:val="00711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B52"/>
  </w:style>
  <w:style w:type="paragraph" w:styleId="TOCHeading">
    <w:name w:val="TOC Heading"/>
    <w:basedOn w:val="Heading1"/>
    <w:next w:val="Normal"/>
    <w:uiPriority w:val="39"/>
    <w:semiHidden/>
    <w:unhideWhenUsed/>
    <w:qFormat/>
    <w:rsid w:val="00F6704C"/>
    <w:pPr>
      <w:keepLines/>
      <w:spacing w:before="480" w:after="0" w:line="276" w:lineRule="auto"/>
      <w:ind w:left="0" w:firstLine="0"/>
      <w:outlineLvl w:val="9"/>
    </w:pPr>
    <w:rPr>
      <w:rFonts w:ascii="Calibri Light" w:hAnsi="Calibri Light" w:cs="Times New Roman"/>
      <w:color w:val="2E74B5"/>
      <w:kern w:val="0"/>
      <w:lang w:val="en-US" w:eastAsia="ja-JP"/>
    </w:rPr>
  </w:style>
  <w:style w:type="paragraph" w:styleId="TOC1">
    <w:name w:val="toc 1"/>
    <w:basedOn w:val="Normal"/>
    <w:next w:val="Normal"/>
    <w:autoRedefine/>
    <w:uiPriority w:val="39"/>
    <w:unhideWhenUsed/>
    <w:rsid w:val="00F6704C"/>
    <w:pPr>
      <w:spacing w:after="100"/>
    </w:pPr>
  </w:style>
  <w:style w:type="paragraph" w:styleId="TOC2">
    <w:name w:val="toc 2"/>
    <w:basedOn w:val="Normal"/>
    <w:next w:val="Normal"/>
    <w:autoRedefine/>
    <w:uiPriority w:val="39"/>
    <w:unhideWhenUsed/>
    <w:rsid w:val="00F6704C"/>
    <w:pPr>
      <w:spacing w:after="100"/>
      <w:ind w:left="220"/>
    </w:pPr>
  </w:style>
  <w:style w:type="paragraph" w:styleId="TOC3">
    <w:name w:val="toc 3"/>
    <w:basedOn w:val="Normal"/>
    <w:next w:val="Normal"/>
    <w:autoRedefine/>
    <w:uiPriority w:val="39"/>
    <w:unhideWhenUsed/>
    <w:rsid w:val="00F6704C"/>
    <w:pPr>
      <w:spacing w:after="100"/>
      <w:ind w:left="440"/>
    </w:pPr>
  </w:style>
  <w:style w:type="paragraph" w:customStyle="1" w:styleId="Caption-Table">
    <w:name w:val="Caption - Table"/>
    <w:basedOn w:val="Caption"/>
    <w:next w:val="Normal"/>
    <w:qFormat/>
    <w:rsid w:val="005165EA"/>
    <w:pPr>
      <w:keepNext/>
      <w:spacing w:before="120" w:after="120" w:line="276" w:lineRule="auto"/>
      <w:ind w:left="86" w:right="43"/>
      <w:jc w:val="center"/>
    </w:pPr>
    <w:rPr>
      <w:rFonts w:eastAsia="Times New Roman" w:cs="Calibri"/>
      <w:bCs w:val="0"/>
      <w:color w:val="auto"/>
      <w:sz w:val="22"/>
      <w:szCs w:val="22"/>
    </w:rPr>
  </w:style>
  <w:style w:type="paragraph" w:styleId="Caption">
    <w:name w:val="caption"/>
    <w:basedOn w:val="Normal"/>
    <w:next w:val="Normal"/>
    <w:uiPriority w:val="35"/>
    <w:unhideWhenUsed/>
    <w:qFormat/>
    <w:rsid w:val="005165EA"/>
    <w:pPr>
      <w:spacing w:after="200" w:line="240" w:lineRule="auto"/>
    </w:pPr>
    <w:rPr>
      <w:b/>
      <w:bCs/>
      <w:color w:val="5B9BD5"/>
      <w:sz w:val="18"/>
      <w:szCs w:val="18"/>
    </w:rPr>
  </w:style>
  <w:style w:type="paragraph" w:styleId="CommentSubject">
    <w:name w:val="annotation subject"/>
    <w:basedOn w:val="CommentText"/>
    <w:next w:val="CommentText"/>
    <w:link w:val="CommentSubjectChar"/>
    <w:uiPriority w:val="99"/>
    <w:semiHidden/>
    <w:unhideWhenUsed/>
    <w:rsid w:val="0008533C"/>
    <w:pPr>
      <w:spacing w:after="160"/>
    </w:pPr>
    <w:rPr>
      <w:b/>
      <w:bCs/>
    </w:rPr>
  </w:style>
  <w:style w:type="character" w:customStyle="1" w:styleId="CommentSubjectChar">
    <w:name w:val="Comment Subject Char"/>
    <w:link w:val="CommentSubject"/>
    <w:uiPriority w:val="99"/>
    <w:semiHidden/>
    <w:rsid w:val="0008533C"/>
    <w:rPr>
      <w:b/>
      <w:bCs/>
      <w:sz w:val="20"/>
      <w:szCs w:val="20"/>
    </w:rPr>
  </w:style>
  <w:style w:type="paragraph" w:styleId="Revision">
    <w:name w:val="Revision"/>
    <w:hidden/>
    <w:uiPriority w:val="99"/>
    <w:semiHidden/>
    <w:rsid w:val="00BD25B0"/>
    <w:rPr>
      <w:sz w:val="22"/>
      <w:szCs w:val="22"/>
      <w:lang w:val="en-GB" w:eastAsia="en-US"/>
    </w:rPr>
  </w:style>
  <w:style w:type="character" w:styleId="FollowedHyperlink">
    <w:name w:val="FollowedHyperlink"/>
    <w:uiPriority w:val="99"/>
    <w:semiHidden/>
    <w:unhideWhenUsed/>
    <w:rsid w:val="00510AC6"/>
    <w:rPr>
      <w:color w:val="954F72"/>
      <w:u w:val="single"/>
    </w:rPr>
  </w:style>
  <w:style w:type="paragraph" w:customStyle="1" w:styleId="Default">
    <w:name w:val="Default"/>
    <w:rsid w:val="00FA59F0"/>
    <w:pPr>
      <w:autoSpaceDE w:val="0"/>
      <w:autoSpaceDN w:val="0"/>
      <w:adjustRightInd w:val="0"/>
    </w:pPr>
    <w:rPr>
      <w:rFonts w:ascii="Arial" w:hAnsi="Arial" w:cs="Arial"/>
      <w:color w:val="000000"/>
      <w:sz w:val="24"/>
      <w:szCs w:val="24"/>
      <w:lang w:val="en-US" w:eastAsia="en-US"/>
    </w:rPr>
  </w:style>
  <w:style w:type="paragraph" w:customStyle="1" w:styleId="DividerStyle">
    <w:name w:val="Divider Style"/>
    <w:basedOn w:val="Normal"/>
    <w:qFormat/>
    <w:rsid w:val="00F300B3"/>
    <w:pPr>
      <w:spacing w:after="0" w:line="276" w:lineRule="auto"/>
      <w:ind w:left="4395"/>
      <w:jc w:val="both"/>
    </w:pPr>
    <w:rPr>
      <w:rFonts w:eastAsia="Times New Roman" w:cs="Calibri"/>
      <w:b/>
      <w:color w:val="FFFFFF"/>
      <w:sz w:val="36"/>
      <w:szCs w:val="36"/>
      <w:lang w:val="en-AU"/>
    </w:rPr>
  </w:style>
  <w:style w:type="table" w:customStyle="1" w:styleId="TableGrid17">
    <w:name w:val="Table Grid17"/>
    <w:basedOn w:val="TableNormal"/>
    <w:next w:val="TableGrid"/>
    <w:uiPriority w:val="59"/>
    <w:rsid w:val="00B80383"/>
    <w:rPr>
      <w:rFonts w:eastAsia="Times New Roman"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D78C2"/>
    <w:rPr>
      <w:color w:val="808080"/>
    </w:rPr>
  </w:style>
  <w:style w:type="paragraph" w:styleId="TableofFigures">
    <w:name w:val="table of figures"/>
    <w:basedOn w:val="Normal"/>
    <w:next w:val="Normal"/>
    <w:uiPriority w:val="99"/>
    <w:unhideWhenUsed/>
    <w:rsid w:val="00300C06"/>
    <w:pPr>
      <w:spacing w:after="0"/>
    </w:pPr>
  </w:style>
  <w:style w:type="table" w:customStyle="1" w:styleId="TableGrid1">
    <w:name w:val="Table Grid1"/>
    <w:basedOn w:val="TableNormal"/>
    <w:next w:val="TableGrid"/>
    <w:uiPriority w:val="59"/>
    <w:rsid w:val="00EB0708"/>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E58"/>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lang w:val="en-US" w:eastAsia="ja-JP"/>
    </w:rPr>
  </w:style>
  <w:style w:type="character" w:customStyle="1" w:styleId="IntenseQuoteChar">
    <w:name w:val="Intense Quote Char"/>
    <w:basedOn w:val="DefaultParagraphFont"/>
    <w:link w:val="IntenseQuote"/>
    <w:uiPriority w:val="30"/>
    <w:rsid w:val="00B32E58"/>
    <w:rPr>
      <w:rFonts w:asciiTheme="minorHAnsi" w:eastAsiaTheme="minorEastAsia" w:hAnsiTheme="minorHAnsi" w:cstheme="minorBidi"/>
      <w:b/>
      <w:bCs/>
      <w:i/>
      <w:iCs/>
      <w:color w:val="4F81BD" w:themeColor="accent1"/>
      <w:sz w:val="22"/>
      <w:szCs w:val="22"/>
      <w:lang w:val="en-US" w:eastAsia="ja-JP"/>
    </w:rPr>
  </w:style>
  <w:style w:type="paragraph" w:customStyle="1" w:styleId="m-2838640035844025451msolistparagraph">
    <w:name w:val="m_-2838640035844025451msolistparagraph"/>
    <w:basedOn w:val="Normal"/>
    <w:rsid w:val="00286ABC"/>
    <w:pPr>
      <w:spacing w:before="100" w:beforeAutospacing="1" w:after="100" w:afterAutospacing="1" w:line="240" w:lineRule="auto"/>
    </w:pPr>
    <w:rPr>
      <w:rFonts w:ascii="Times New Roman" w:eastAsiaTheme="minorHAnsi"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4806">
      <w:bodyDiv w:val="1"/>
      <w:marLeft w:val="0"/>
      <w:marRight w:val="0"/>
      <w:marTop w:val="0"/>
      <w:marBottom w:val="0"/>
      <w:divBdr>
        <w:top w:val="none" w:sz="0" w:space="0" w:color="auto"/>
        <w:left w:val="none" w:sz="0" w:space="0" w:color="auto"/>
        <w:bottom w:val="none" w:sz="0" w:space="0" w:color="auto"/>
        <w:right w:val="none" w:sz="0" w:space="0" w:color="auto"/>
      </w:divBdr>
    </w:div>
    <w:div w:id="197164365">
      <w:bodyDiv w:val="1"/>
      <w:marLeft w:val="0"/>
      <w:marRight w:val="0"/>
      <w:marTop w:val="0"/>
      <w:marBottom w:val="0"/>
      <w:divBdr>
        <w:top w:val="none" w:sz="0" w:space="0" w:color="auto"/>
        <w:left w:val="none" w:sz="0" w:space="0" w:color="auto"/>
        <w:bottom w:val="none" w:sz="0" w:space="0" w:color="auto"/>
        <w:right w:val="none" w:sz="0" w:space="0" w:color="auto"/>
      </w:divBdr>
    </w:div>
    <w:div w:id="656685328">
      <w:bodyDiv w:val="1"/>
      <w:marLeft w:val="0"/>
      <w:marRight w:val="0"/>
      <w:marTop w:val="0"/>
      <w:marBottom w:val="0"/>
      <w:divBdr>
        <w:top w:val="none" w:sz="0" w:space="0" w:color="auto"/>
        <w:left w:val="none" w:sz="0" w:space="0" w:color="auto"/>
        <w:bottom w:val="none" w:sz="0" w:space="0" w:color="auto"/>
        <w:right w:val="none" w:sz="0" w:space="0" w:color="auto"/>
      </w:divBdr>
    </w:div>
    <w:div w:id="1282687411">
      <w:bodyDiv w:val="1"/>
      <w:marLeft w:val="0"/>
      <w:marRight w:val="0"/>
      <w:marTop w:val="0"/>
      <w:marBottom w:val="0"/>
      <w:divBdr>
        <w:top w:val="none" w:sz="0" w:space="0" w:color="auto"/>
        <w:left w:val="none" w:sz="0" w:space="0" w:color="auto"/>
        <w:bottom w:val="none" w:sz="0" w:space="0" w:color="auto"/>
        <w:right w:val="none" w:sz="0" w:space="0" w:color="auto"/>
      </w:divBdr>
    </w:div>
    <w:div w:id="1479690759">
      <w:bodyDiv w:val="1"/>
      <w:marLeft w:val="0"/>
      <w:marRight w:val="0"/>
      <w:marTop w:val="0"/>
      <w:marBottom w:val="0"/>
      <w:divBdr>
        <w:top w:val="none" w:sz="0" w:space="0" w:color="auto"/>
        <w:left w:val="none" w:sz="0" w:space="0" w:color="auto"/>
        <w:bottom w:val="none" w:sz="0" w:space="0" w:color="auto"/>
        <w:right w:val="none" w:sz="0" w:space="0" w:color="auto"/>
      </w:divBdr>
      <w:divsChild>
        <w:div w:id="1719935968">
          <w:marLeft w:val="0"/>
          <w:marRight w:val="0"/>
          <w:marTop w:val="0"/>
          <w:marBottom w:val="0"/>
          <w:divBdr>
            <w:top w:val="none" w:sz="0" w:space="0" w:color="auto"/>
            <w:left w:val="none" w:sz="0" w:space="0" w:color="auto"/>
            <w:bottom w:val="none" w:sz="0" w:space="0" w:color="auto"/>
            <w:right w:val="none" w:sz="0" w:space="0" w:color="auto"/>
          </w:divBdr>
          <w:divsChild>
            <w:div w:id="1075972529">
              <w:marLeft w:val="0"/>
              <w:marRight w:val="0"/>
              <w:marTop w:val="0"/>
              <w:marBottom w:val="0"/>
              <w:divBdr>
                <w:top w:val="none" w:sz="0" w:space="0" w:color="auto"/>
                <w:left w:val="none" w:sz="0" w:space="0" w:color="auto"/>
                <w:bottom w:val="none" w:sz="0" w:space="0" w:color="auto"/>
                <w:right w:val="none" w:sz="0" w:space="0" w:color="auto"/>
              </w:divBdr>
              <w:divsChild>
                <w:div w:id="808324485">
                  <w:marLeft w:val="0"/>
                  <w:marRight w:val="0"/>
                  <w:marTop w:val="0"/>
                  <w:marBottom w:val="0"/>
                  <w:divBdr>
                    <w:top w:val="none" w:sz="0" w:space="0" w:color="auto"/>
                    <w:left w:val="none" w:sz="0" w:space="0" w:color="auto"/>
                    <w:bottom w:val="none" w:sz="0" w:space="0" w:color="auto"/>
                    <w:right w:val="none" w:sz="0" w:space="0" w:color="auto"/>
                  </w:divBdr>
                  <w:divsChild>
                    <w:div w:id="2072146896">
                      <w:marLeft w:val="0"/>
                      <w:marRight w:val="0"/>
                      <w:marTop w:val="45"/>
                      <w:marBottom w:val="0"/>
                      <w:divBdr>
                        <w:top w:val="none" w:sz="0" w:space="0" w:color="auto"/>
                        <w:left w:val="none" w:sz="0" w:space="0" w:color="auto"/>
                        <w:bottom w:val="none" w:sz="0" w:space="0" w:color="auto"/>
                        <w:right w:val="none" w:sz="0" w:space="0" w:color="auto"/>
                      </w:divBdr>
                      <w:divsChild>
                        <w:div w:id="1357610376">
                          <w:marLeft w:val="0"/>
                          <w:marRight w:val="0"/>
                          <w:marTop w:val="0"/>
                          <w:marBottom w:val="0"/>
                          <w:divBdr>
                            <w:top w:val="none" w:sz="0" w:space="0" w:color="auto"/>
                            <w:left w:val="none" w:sz="0" w:space="0" w:color="auto"/>
                            <w:bottom w:val="none" w:sz="0" w:space="0" w:color="auto"/>
                            <w:right w:val="none" w:sz="0" w:space="0" w:color="auto"/>
                          </w:divBdr>
                          <w:divsChild>
                            <w:div w:id="80569440">
                              <w:marLeft w:val="2070"/>
                              <w:marRight w:val="3810"/>
                              <w:marTop w:val="0"/>
                              <w:marBottom w:val="0"/>
                              <w:divBdr>
                                <w:top w:val="none" w:sz="0" w:space="0" w:color="auto"/>
                                <w:left w:val="none" w:sz="0" w:space="0" w:color="auto"/>
                                <w:bottom w:val="none" w:sz="0" w:space="0" w:color="auto"/>
                                <w:right w:val="none" w:sz="0" w:space="0" w:color="auto"/>
                              </w:divBdr>
                              <w:divsChild>
                                <w:div w:id="279070702">
                                  <w:marLeft w:val="0"/>
                                  <w:marRight w:val="0"/>
                                  <w:marTop w:val="0"/>
                                  <w:marBottom w:val="0"/>
                                  <w:divBdr>
                                    <w:top w:val="none" w:sz="0" w:space="0" w:color="auto"/>
                                    <w:left w:val="none" w:sz="0" w:space="0" w:color="auto"/>
                                    <w:bottom w:val="none" w:sz="0" w:space="0" w:color="auto"/>
                                    <w:right w:val="none" w:sz="0" w:space="0" w:color="auto"/>
                                  </w:divBdr>
                                  <w:divsChild>
                                    <w:div w:id="97218331">
                                      <w:marLeft w:val="0"/>
                                      <w:marRight w:val="0"/>
                                      <w:marTop w:val="0"/>
                                      <w:marBottom w:val="0"/>
                                      <w:divBdr>
                                        <w:top w:val="none" w:sz="0" w:space="0" w:color="auto"/>
                                        <w:left w:val="none" w:sz="0" w:space="0" w:color="auto"/>
                                        <w:bottom w:val="none" w:sz="0" w:space="0" w:color="auto"/>
                                        <w:right w:val="none" w:sz="0" w:space="0" w:color="auto"/>
                                      </w:divBdr>
                                      <w:divsChild>
                                        <w:div w:id="1049914366">
                                          <w:marLeft w:val="0"/>
                                          <w:marRight w:val="0"/>
                                          <w:marTop w:val="0"/>
                                          <w:marBottom w:val="0"/>
                                          <w:divBdr>
                                            <w:top w:val="none" w:sz="0" w:space="0" w:color="auto"/>
                                            <w:left w:val="none" w:sz="0" w:space="0" w:color="auto"/>
                                            <w:bottom w:val="none" w:sz="0" w:space="0" w:color="auto"/>
                                            <w:right w:val="none" w:sz="0" w:space="0" w:color="auto"/>
                                          </w:divBdr>
                                          <w:divsChild>
                                            <w:div w:id="513812034">
                                              <w:marLeft w:val="0"/>
                                              <w:marRight w:val="0"/>
                                              <w:marTop w:val="0"/>
                                              <w:marBottom w:val="0"/>
                                              <w:divBdr>
                                                <w:top w:val="none" w:sz="0" w:space="0" w:color="auto"/>
                                                <w:left w:val="none" w:sz="0" w:space="0" w:color="auto"/>
                                                <w:bottom w:val="none" w:sz="0" w:space="0" w:color="auto"/>
                                                <w:right w:val="none" w:sz="0" w:space="0" w:color="auto"/>
                                              </w:divBdr>
                                              <w:divsChild>
                                                <w:div w:id="756291309">
                                                  <w:marLeft w:val="0"/>
                                                  <w:marRight w:val="0"/>
                                                  <w:marTop w:val="0"/>
                                                  <w:marBottom w:val="0"/>
                                                  <w:divBdr>
                                                    <w:top w:val="none" w:sz="0" w:space="0" w:color="auto"/>
                                                    <w:left w:val="none" w:sz="0" w:space="0" w:color="auto"/>
                                                    <w:bottom w:val="none" w:sz="0" w:space="0" w:color="auto"/>
                                                    <w:right w:val="none" w:sz="0" w:space="0" w:color="auto"/>
                                                  </w:divBdr>
                                                  <w:divsChild>
                                                    <w:div w:id="880822161">
                                                      <w:marLeft w:val="0"/>
                                                      <w:marRight w:val="0"/>
                                                      <w:marTop w:val="0"/>
                                                      <w:marBottom w:val="345"/>
                                                      <w:divBdr>
                                                        <w:top w:val="none" w:sz="0" w:space="0" w:color="auto"/>
                                                        <w:left w:val="none" w:sz="0" w:space="0" w:color="auto"/>
                                                        <w:bottom w:val="none" w:sz="0" w:space="0" w:color="auto"/>
                                                        <w:right w:val="none" w:sz="0" w:space="0" w:color="auto"/>
                                                      </w:divBdr>
                                                      <w:divsChild>
                                                        <w:div w:id="797913930">
                                                          <w:marLeft w:val="0"/>
                                                          <w:marRight w:val="0"/>
                                                          <w:marTop w:val="0"/>
                                                          <w:marBottom w:val="0"/>
                                                          <w:divBdr>
                                                            <w:top w:val="none" w:sz="0" w:space="0" w:color="auto"/>
                                                            <w:left w:val="none" w:sz="0" w:space="0" w:color="auto"/>
                                                            <w:bottom w:val="none" w:sz="0" w:space="0" w:color="auto"/>
                                                            <w:right w:val="none" w:sz="0" w:space="0" w:color="auto"/>
                                                          </w:divBdr>
                                                          <w:divsChild>
                                                            <w:div w:id="1523009242">
                                                              <w:marLeft w:val="0"/>
                                                              <w:marRight w:val="0"/>
                                                              <w:marTop w:val="0"/>
                                                              <w:marBottom w:val="0"/>
                                                              <w:divBdr>
                                                                <w:top w:val="none" w:sz="0" w:space="0" w:color="auto"/>
                                                                <w:left w:val="none" w:sz="0" w:space="0" w:color="auto"/>
                                                                <w:bottom w:val="none" w:sz="0" w:space="0" w:color="auto"/>
                                                                <w:right w:val="none" w:sz="0" w:space="0" w:color="auto"/>
                                                              </w:divBdr>
                                                              <w:divsChild>
                                                                <w:div w:id="1234001392">
                                                                  <w:marLeft w:val="0"/>
                                                                  <w:marRight w:val="0"/>
                                                                  <w:marTop w:val="0"/>
                                                                  <w:marBottom w:val="0"/>
                                                                  <w:divBdr>
                                                                    <w:top w:val="none" w:sz="0" w:space="0" w:color="auto"/>
                                                                    <w:left w:val="none" w:sz="0" w:space="0" w:color="auto"/>
                                                                    <w:bottom w:val="none" w:sz="0" w:space="0" w:color="auto"/>
                                                                    <w:right w:val="none" w:sz="0" w:space="0" w:color="auto"/>
                                                                  </w:divBdr>
                                                                  <w:divsChild>
                                                                    <w:div w:id="1673143207">
                                                                      <w:marLeft w:val="0"/>
                                                                      <w:marRight w:val="0"/>
                                                                      <w:marTop w:val="0"/>
                                                                      <w:marBottom w:val="0"/>
                                                                      <w:divBdr>
                                                                        <w:top w:val="none" w:sz="0" w:space="0" w:color="auto"/>
                                                                        <w:left w:val="none" w:sz="0" w:space="0" w:color="auto"/>
                                                                        <w:bottom w:val="none" w:sz="0" w:space="0" w:color="auto"/>
                                                                        <w:right w:val="none" w:sz="0" w:space="0" w:color="auto"/>
                                                                      </w:divBdr>
                                                                      <w:divsChild>
                                                                        <w:div w:id="351686787">
                                                                          <w:marLeft w:val="0"/>
                                                                          <w:marRight w:val="0"/>
                                                                          <w:marTop w:val="0"/>
                                                                          <w:marBottom w:val="0"/>
                                                                          <w:divBdr>
                                                                            <w:top w:val="none" w:sz="0" w:space="0" w:color="auto"/>
                                                                            <w:left w:val="none" w:sz="0" w:space="0" w:color="auto"/>
                                                                            <w:bottom w:val="none" w:sz="0" w:space="0" w:color="auto"/>
                                                                            <w:right w:val="none" w:sz="0" w:space="0" w:color="auto"/>
                                                                          </w:divBdr>
                                                                          <w:divsChild>
                                                                            <w:div w:id="1267081999">
                                                                              <w:marLeft w:val="0"/>
                                                                              <w:marRight w:val="0"/>
                                                                              <w:marTop w:val="0"/>
                                                                              <w:marBottom w:val="0"/>
                                                                              <w:divBdr>
                                                                                <w:top w:val="none" w:sz="0" w:space="0" w:color="auto"/>
                                                                                <w:left w:val="none" w:sz="0" w:space="0" w:color="auto"/>
                                                                                <w:bottom w:val="none" w:sz="0" w:space="0" w:color="auto"/>
                                                                                <w:right w:val="none" w:sz="0" w:space="0" w:color="auto"/>
                                                                              </w:divBdr>
                                                                              <w:divsChild>
                                                                                <w:div w:id="282424283">
                                                                                  <w:marLeft w:val="0"/>
                                                                                  <w:marRight w:val="0"/>
                                                                                  <w:marTop w:val="0"/>
                                                                                  <w:marBottom w:val="0"/>
                                                                                  <w:divBdr>
                                                                                    <w:top w:val="none" w:sz="0" w:space="0" w:color="auto"/>
                                                                                    <w:left w:val="none" w:sz="0" w:space="0" w:color="auto"/>
                                                                                    <w:bottom w:val="none" w:sz="0" w:space="0" w:color="auto"/>
                                                                                    <w:right w:val="none" w:sz="0" w:space="0" w:color="auto"/>
                                                                                  </w:divBdr>
                                                                                  <w:divsChild>
                                                                                    <w:div w:id="225652373">
                                                                                      <w:marLeft w:val="0"/>
                                                                                      <w:marRight w:val="0"/>
                                                                                      <w:marTop w:val="0"/>
                                                                                      <w:marBottom w:val="0"/>
                                                                                      <w:divBdr>
                                                                                        <w:top w:val="none" w:sz="0" w:space="0" w:color="auto"/>
                                                                                        <w:left w:val="none" w:sz="0" w:space="0" w:color="auto"/>
                                                                                        <w:bottom w:val="none" w:sz="0" w:space="0" w:color="auto"/>
                                                                                        <w:right w:val="none" w:sz="0" w:space="0" w:color="auto"/>
                                                                                      </w:divBdr>
                                                                                      <w:divsChild>
                                                                                        <w:div w:id="1210339104">
                                                                                          <w:marLeft w:val="0"/>
                                                                                          <w:marRight w:val="0"/>
                                                                                          <w:marTop w:val="0"/>
                                                                                          <w:marBottom w:val="0"/>
                                                                                          <w:divBdr>
                                                                                            <w:top w:val="none" w:sz="0" w:space="0" w:color="auto"/>
                                                                                            <w:left w:val="none" w:sz="0" w:space="0" w:color="auto"/>
                                                                                            <w:bottom w:val="none" w:sz="0" w:space="0" w:color="auto"/>
                                                                                            <w:right w:val="none" w:sz="0" w:space="0" w:color="auto"/>
                                                                                          </w:divBdr>
                                                                                          <w:divsChild>
                                                                                            <w:div w:id="1037193634">
                                                                                              <w:marLeft w:val="0"/>
                                                                                              <w:marRight w:val="0"/>
                                                                                              <w:marTop w:val="0"/>
                                                                                              <w:marBottom w:val="0"/>
                                                                                              <w:divBdr>
                                                                                                <w:top w:val="none" w:sz="0" w:space="0" w:color="auto"/>
                                                                                                <w:left w:val="none" w:sz="0" w:space="0" w:color="auto"/>
                                                                                                <w:bottom w:val="none" w:sz="0" w:space="0" w:color="auto"/>
                                                                                                <w:right w:val="none" w:sz="0" w:space="0" w:color="auto"/>
                                                                                              </w:divBdr>
                                                                                              <w:divsChild>
                                                                                                <w:div w:id="95753089">
                                                                                                  <w:marLeft w:val="300"/>
                                                                                                  <w:marRight w:val="0"/>
                                                                                                  <w:marTop w:val="0"/>
                                                                                                  <w:marBottom w:val="0"/>
                                                                                                  <w:divBdr>
                                                                                                    <w:top w:val="none" w:sz="0" w:space="0" w:color="auto"/>
                                                                                                    <w:left w:val="none" w:sz="0" w:space="0" w:color="auto"/>
                                                                                                    <w:bottom w:val="none" w:sz="0" w:space="0" w:color="auto"/>
                                                                                                    <w:right w:val="none" w:sz="0" w:space="0" w:color="auto"/>
                                                                                                  </w:divBdr>
                                                                                                  <w:divsChild>
                                                                                                    <w:div w:id="735711590">
                                                                                                      <w:marLeft w:val="-300"/>
                                                                                                      <w:marRight w:val="0"/>
                                                                                                      <w:marTop w:val="0"/>
                                                                                                      <w:marBottom w:val="0"/>
                                                                                                      <w:divBdr>
                                                                                                        <w:top w:val="none" w:sz="0" w:space="0" w:color="auto"/>
                                                                                                        <w:left w:val="none" w:sz="0" w:space="0" w:color="auto"/>
                                                                                                        <w:bottom w:val="none" w:sz="0" w:space="0" w:color="auto"/>
                                                                                                        <w:right w:val="none" w:sz="0" w:space="0" w:color="auto"/>
                                                                                                      </w:divBdr>
                                                                                                      <w:divsChild>
                                                                                                        <w:div w:id="1039549839">
                                                                                                          <w:marLeft w:val="0"/>
                                                                                                          <w:marRight w:val="0"/>
                                                                                                          <w:marTop w:val="0"/>
                                                                                                          <w:marBottom w:val="0"/>
                                                                                                          <w:divBdr>
                                                                                                            <w:top w:val="none" w:sz="0" w:space="0" w:color="auto"/>
                                                                                                            <w:left w:val="none" w:sz="0" w:space="0" w:color="auto"/>
                                                                                                            <w:bottom w:val="none" w:sz="0" w:space="0" w:color="auto"/>
                                                                                                            <w:right w:val="none" w:sz="0" w:space="0" w:color="auto"/>
                                                                                                          </w:divBdr>
                                                                                                        </w:div>
                                                                                                        <w:div w:id="15578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134354">
      <w:bodyDiv w:val="1"/>
      <w:marLeft w:val="0"/>
      <w:marRight w:val="0"/>
      <w:marTop w:val="0"/>
      <w:marBottom w:val="0"/>
      <w:divBdr>
        <w:top w:val="none" w:sz="0" w:space="0" w:color="auto"/>
        <w:left w:val="none" w:sz="0" w:space="0" w:color="auto"/>
        <w:bottom w:val="none" w:sz="0" w:space="0" w:color="auto"/>
        <w:right w:val="none" w:sz="0" w:space="0" w:color="auto"/>
      </w:divBdr>
    </w:div>
    <w:div w:id="2023311552">
      <w:bodyDiv w:val="1"/>
      <w:marLeft w:val="0"/>
      <w:marRight w:val="0"/>
      <w:marTop w:val="0"/>
      <w:marBottom w:val="0"/>
      <w:divBdr>
        <w:top w:val="none" w:sz="0" w:space="0" w:color="auto"/>
        <w:left w:val="none" w:sz="0" w:space="0" w:color="auto"/>
        <w:bottom w:val="none" w:sz="0" w:space="0" w:color="auto"/>
        <w:right w:val="none" w:sz="0" w:space="0" w:color="auto"/>
      </w:divBdr>
    </w:div>
    <w:div w:id="2029527726">
      <w:bodyDiv w:val="1"/>
      <w:marLeft w:val="0"/>
      <w:marRight w:val="0"/>
      <w:marTop w:val="0"/>
      <w:marBottom w:val="0"/>
      <w:divBdr>
        <w:top w:val="none" w:sz="0" w:space="0" w:color="auto"/>
        <w:left w:val="none" w:sz="0" w:space="0" w:color="auto"/>
        <w:bottom w:val="none" w:sz="0" w:space="0" w:color="auto"/>
        <w:right w:val="none" w:sz="0" w:space="0" w:color="auto"/>
      </w:divBdr>
    </w:div>
    <w:div w:id="2098939692">
      <w:bodyDiv w:val="1"/>
      <w:marLeft w:val="0"/>
      <w:marRight w:val="0"/>
      <w:marTop w:val="0"/>
      <w:marBottom w:val="0"/>
      <w:divBdr>
        <w:top w:val="none" w:sz="0" w:space="0" w:color="auto"/>
        <w:left w:val="none" w:sz="0" w:space="0" w:color="auto"/>
        <w:bottom w:val="none" w:sz="0" w:space="0" w:color="auto"/>
        <w:right w:val="none" w:sz="0" w:space="0" w:color="auto"/>
      </w:divBdr>
    </w:div>
    <w:div w:id="21147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dfat.gov.au/geo/indonesia/development-assistance/Pages/human-development-in-indonesia.aspx" TargetMode="External"/><Relationship Id="rId13" Type="http://schemas.openxmlformats.org/officeDocument/2006/relationships/hyperlink" Target="http://dfat.gov.au/geo/indonesia/development-assistance/Pages/human-development-in-indonesia.aspx" TargetMode="External"/><Relationship Id="rId3" Type="http://schemas.openxmlformats.org/officeDocument/2006/relationships/hyperlink" Target="http://www.pendanaan.bappenas.go.id/index.php?option=com_content&amp;view=article&amp;id=22" TargetMode="External"/><Relationship Id="rId7" Type="http://schemas.openxmlformats.org/officeDocument/2006/relationships/hyperlink" Target="http://www.oecd.org/dac/evaluation/daccriteriaforevaluatingdevelopmentassistance.htm" TargetMode="External"/><Relationship Id="rId12" Type="http://schemas.openxmlformats.org/officeDocument/2006/relationships/hyperlink" Target="http://dfat.gov.au/aid/who-we-work-with/value-for-money-principles/Pages/value-for-money-%20principles.aspx" TargetMode="External"/><Relationship Id="rId2" Type="http://schemas.openxmlformats.org/officeDocument/2006/relationships/hyperlink" Target="http://www.acdp-indonesia.org/en/home/" TargetMode="External"/><Relationship Id="rId1" Type="http://schemas.openxmlformats.org/officeDocument/2006/relationships/hyperlink" Target="http://www.oecd.org/dac/evaluation/daccriteriaforevaluatingdevelopmentassistance.htm" TargetMode="External"/><Relationship Id="rId6" Type="http://schemas.openxmlformats.org/officeDocument/2006/relationships/hyperlink" Target="http://www.anggaran.depkeu.go.id/dja/athumbs/apbn/PENDIDIKAN.pdf" TargetMode="External"/><Relationship Id="rId11" Type="http://schemas.openxmlformats.org/officeDocument/2006/relationships/hyperlink" Target="http://dfat.gov.au/aid/who-we-work-with/value-for-money-principles/Pages/value-for-money-principles.aspx" TargetMode="External"/><Relationship Id="rId5" Type="http://schemas.openxmlformats.org/officeDocument/2006/relationships/hyperlink" Target="http://dfat.gov.au/news/media-releases/Pages/2010-11-international-development-assistance-budget.aspx" TargetMode="External"/><Relationship Id="rId10" Type="http://schemas.openxmlformats.org/officeDocument/2006/relationships/hyperlink" Target="http://www.kemenkeu.go.id/sites/default/files/Subkatalogdata" TargetMode="External"/><Relationship Id="rId4" Type="http://schemas.openxmlformats.org/officeDocument/2006/relationships/hyperlink" Target="http://dfat.gov.au/about-us/publications/Documents/2014-14-std-time-series-table-5.xlsx" TargetMode="External"/><Relationship Id="rId9" Type="http://schemas.openxmlformats.org/officeDocument/2006/relationships/hyperlink" Target="http://dfat.gov.au/about-us/publications/Pages/strategy-for-australias-aid-investments-in-" TargetMode="External"/><Relationship Id="rId14" Type="http://schemas.openxmlformats.org/officeDocument/2006/relationships/hyperlink" Target="http://www.kemenkeu.go.id/sites/default/files/Subkatalogdata/UU%20APBN%20TA%202016%25-20lengkap.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fat.gov.au/geo/indonesia/development-assistance/Pages/human-development-in-indonesia.aspx"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53F847-AAEC-4738-9A46-2C23BCC427FA}"/>
</file>

<file path=customXml/itemProps2.xml><?xml version="1.0" encoding="utf-8"?>
<ds:datastoreItem xmlns:ds="http://schemas.openxmlformats.org/officeDocument/2006/customXml" ds:itemID="{D8A3EFE6-E28B-462A-9BEF-B708552193E0}"/>
</file>

<file path=customXml/itemProps3.xml><?xml version="1.0" encoding="utf-8"?>
<ds:datastoreItem xmlns:ds="http://schemas.openxmlformats.org/officeDocument/2006/customXml" ds:itemID="{7C6AABDC-A610-4F30-9D4D-4AA708F58DB7}"/>
</file>

<file path=customXml/itemProps4.xml><?xml version="1.0" encoding="utf-8"?>
<ds:datastoreItem xmlns:ds="http://schemas.openxmlformats.org/officeDocument/2006/customXml" ds:itemID="{7FB58855-21F2-4DBD-8043-BC8CB4B1CABD}"/>
</file>

<file path=docProps/app.xml><?xml version="1.0" encoding="utf-8"?>
<Properties xmlns="http://schemas.openxmlformats.org/officeDocument/2006/extended-properties" xmlns:vt="http://schemas.openxmlformats.org/officeDocument/2006/docPropsVTypes">
  <Template>Normal.dotm</Template>
  <TotalTime>0</TotalTime>
  <Pages>56</Pages>
  <Words>19414</Words>
  <Characters>111079</Characters>
  <Application>Microsoft Office Word</Application>
  <DocSecurity>0</DocSecurity>
  <Lines>2017</Lines>
  <Paragraphs>866</Paragraphs>
  <ScaleCrop>false</ScaleCrop>
  <HeadingPairs>
    <vt:vector size="2" baseType="variant">
      <vt:variant>
        <vt:lpstr>Title</vt:lpstr>
      </vt:variant>
      <vt:variant>
        <vt:i4>1</vt:i4>
      </vt:variant>
    </vt:vector>
  </HeadingPairs>
  <TitlesOfParts>
    <vt:vector size="1" baseType="lpstr">
      <vt:lpstr>Australia's Education Partnership with Indonesia: Independent Completion Report</vt:lpstr>
    </vt:vector>
  </TitlesOfParts>
  <Company/>
  <LinksUpToDate>false</LinksUpToDate>
  <CharactersWithSpaces>129786</CharactersWithSpaces>
  <SharedDoc>false</SharedDoc>
  <HLinks>
    <vt:vector size="420" baseType="variant">
      <vt:variant>
        <vt:i4>1507376</vt:i4>
      </vt:variant>
      <vt:variant>
        <vt:i4>395</vt:i4>
      </vt:variant>
      <vt:variant>
        <vt:i4>0</vt:i4>
      </vt:variant>
      <vt:variant>
        <vt:i4>5</vt:i4>
      </vt:variant>
      <vt:variant>
        <vt:lpwstr/>
      </vt:variant>
      <vt:variant>
        <vt:lpwstr>_Toc465433215</vt:lpwstr>
      </vt:variant>
      <vt:variant>
        <vt:i4>1507376</vt:i4>
      </vt:variant>
      <vt:variant>
        <vt:i4>389</vt:i4>
      </vt:variant>
      <vt:variant>
        <vt:i4>0</vt:i4>
      </vt:variant>
      <vt:variant>
        <vt:i4>5</vt:i4>
      </vt:variant>
      <vt:variant>
        <vt:lpwstr/>
      </vt:variant>
      <vt:variant>
        <vt:lpwstr>_Toc465433214</vt:lpwstr>
      </vt:variant>
      <vt:variant>
        <vt:i4>1507376</vt:i4>
      </vt:variant>
      <vt:variant>
        <vt:i4>383</vt:i4>
      </vt:variant>
      <vt:variant>
        <vt:i4>0</vt:i4>
      </vt:variant>
      <vt:variant>
        <vt:i4>5</vt:i4>
      </vt:variant>
      <vt:variant>
        <vt:lpwstr/>
      </vt:variant>
      <vt:variant>
        <vt:lpwstr>_Toc465433213</vt:lpwstr>
      </vt:variant>
      <vt:variant>
        <vt:i4>1114163</vt:i4>
      </vt:variant>
      <vt:variant>
        <vt:i4>374</vt:i4>
      </vt:variant>
      <vt:variant>
        <vt:i4>0</vt:i4>
      </vt:variant>
      <vt:variant>
        <vt:i4>5</vt:i4>
      </vt:variant>
      <vt:variant>
        <vt:lpwstr/>
      </vt:variant>
      <vt:variant>
        <vt:lpwstr>_Toc465605235</vt:lpwstr>
      </vt:variant>
      <vt:variant>
        <vt:i4>1114163</vt:i4>
      </vt:variant>
      <vt:variant>
        <vt:i4>368</vt:i4>
      </vt:variant>
      <vt:variant>
        <vt:i4>0</vt:i4>
      </vt:variant>
      <vt:variant>
        <vt:i4>5</vt:i4>
      </vt:variant>
      <vt:variant>
        <vt:lpwstr/>
      </vt:variant>
      <vt:variant>
        <vt:lpwstr>_Toc465605234</vt:lpwstr>
      </vt:variant>
      <vt:variant>
        <vt:i4>1114163</vt:i4>
      </vt:variant>
      <vt:variant>
        <vt:i4>362</vt:i4>
      </vt:variant>
      <vt:variant>
        <vt:i4>0</vt:i4>
      </vt:variant>
      <vt:variant>
        <vt:i4>5</vt:i4>
      </vt:variant>
      <vt:variant>
        <vt:lpwstr/>
      </vt:variant>
      <vt:variant>
        <vt:lpwstr>_Toc465605233</vt:lpwstr>
      </vt:variant>
      <vt:variant>
        <vt:i4>1114163</vt:i4>
      </vt:variant>
      <vt:variant>
        <vt:i4>356</vt:i4>
      </vt:variant>
      <vt:variant>
        <vt:i4>0</vt:i4>
      </vt:variant>
      <vt:variant>
        <vt:i4>5</vt:i4>
      </vt:variant>
      <vt:variant>
        <vt:lpwstr/>
      </vt:variant>
      <vt:variant>
        <vt:lpwstr>_Toc465605232</vt:lpwstr>
      </vt:variant>
      <vt:variant>
        <vt:i4>1114163</vt:i4>
      </vt:variant>
      <vt:variant>
        <vt:i4>350</vt:i4>
      </vt:variant>
      <vt:variant>
        <vt:i4>0</vt:i4>
      </vt:variant>
      <vt:variant>
        <vt:i4>5</vt:i4>
      </vt:variant>
      <vt:variant>
        <vt:lpwstr/>
      </vt:variant>
      <vt:variant>
        <vt:lpwstr>_Toc465605231</vt:lpwstr>
      </vt:variant>
      <vt:variant>
        <vt:i4>1114163</vt:i4>
      </vt:variant>
      <vt:variant>
        <vt:i4>344</vt:i4>
      </vt:variant>
      <vt:variant>
        <vt:i4>0</vt:i4>
      </vt:variant>
      <vt:variant>
        <vt:i4>5</vt:i4>
      </vt:variant>
      <vt:variant>
        <vt:lpwstr/>
      </vt:variant>
      <vt:variant>
        <vt:lpwstr>_Toc465605230</vt:lpwstr>
      </vt:variant>
      <vt:variant>
        <vt:i4>1048627</vt:i4>
      </vt:variant>
      <vt:variant>
        <vt:i4>338</vt:i4>
      </vt:variant>
      <vt:variant>
        <vt:i4>0</vt:i4>
      </vt:variant>
      <vt:variant>
        <vt:i4>5</vt:i4>
      </vt:variant>
      <vt:variant>
        <vt:lpwstr/>
      </vt:variant>
      <vt:variant>
        <vt:lpwstr>_Toc465605229</vt:lpwstr>
      </vt:variant>
      <vt:variant>
        <vt:i4>1048627</vt:i4>
      </vt:variant>
      <vt:variant>
        <vt:i4>332</vt:i4>
      </vt:variant>
      <vt:variant>
        <vt:i4>0</vt:i4>
      </vt:variant>
      <vt:variant>
        <vt:i4>5</vt:i4>
      </vt:variant>
      <vt:variant>
        <vt:lpwstr/>
      </vt:variant>
      <vt:variant>
        <vt:lpwstr>_Toc465605228</vt:lpwstr>
      </vt:variant>
      <vt:variant>
        <vt:i4>1048627</vt:i4>
      </vt:variant>
      <vt:variant>
        <vt:i4>326</vt:i4>
      </vt:variant>
      <vt:variant>
        <vt:i4>0</vt:i4>
      </vt:variant>
      <vt:variant>
        <vt:i4>5</vt:i4>
      </vt:variant>
      <vt:variant>
        <vt:lpwstr/>
      </vt:variant>
      <vt:variant>
        <vt:lpwstr>_Toc465605227</vt:lpwstr>
      </vt:variant>
      <vt:variant>
        <vt:i4>1048627</vt:i4>
      </vt:variant>
      <vt:variant>
        <vt:i4>320</vt:i4>
      </vt:variant>
      <vt:variant>
        <vt:i4>0</vt:i4>
      </vt:variant>
      <vt:variant>
        <vt:i4>5</vt:i4>
      </vt:variant>
      <vt:variant>
        <vt:lpwstr/>
      </vt:variant>
      <vt:variant>
        <vt:lpwstr>_Toc465605226</vt:lpwstr>
      </vt:variant>
      <vt:variant>
        <vt:i4>1048627</vt:i4>
      </vt:variant>
      <vt:variant>
        <vt:i4>314</vt:i4>
      </vt:variant>
      <vt:variant>
        <vt:i4>0</vt:i4>
      </vt:variant>
      <vt:variant>
        <vt:i4>5</vt:i4>
      </vt:variant>
      <vt:variant>
        <vt:lpwstr/>
      </vt:variant>
      <vt:variant>
        <vt:lpwstr>_Toc465605225</vt:lpwstr>
      </vt:variant>
      <vt:variant>
        <vt:i4>1048627</vt:i4>
      </vt:variant>
      <vt:variant>
        <vt:i4>308</vt:i4>
      </vt:variant>
      <vt:variant>
        <vt:i4>0</vt:i4>
      </vt:variant>
      <vt:variant>
        <vt:i4>5</vt:i4>
      </vt:variant>
      <vt:variant>
        <vt:lpwstr/>
      </vt:variant>
      <vt:variant>
        <vt:lpwstr>_Toc465605224</vt:lpwstr>
      </vt:variant>
      <vt:variant>
        <vt:i4>1048627</vt:i4>
      </vt:variant>
      <vt:variant>
        <vt:i4>302</vt:i4>
      </vt:variant>
      <vt:variant>
        <vt:i4>0</vt:i4>
      </vt:variant>
      <vt:variant>
        <vt:i4>5</vt:i4>
      </vt:variant>
      <vt:variant>
        <vt:lpwstr/>
      </vt:variant>
      <vt:variant>
        <vt:lpwstr>_Toc465605223</vt:lpwstr>
      </vt:variant>
      <vt:variant>
        <vt:i4>1048627</vt:i4>
      </vt:variant>
      <vt:variant>
        <vt:i4>296</vt:i4>
      </vt:variant>
      <vt:variant>
        <vt:i4>0</vt:i4>
      </vt:variant>
      <vt:variant>
        <vt:i4>5</vt:i4>
      </vt:variant>
      <vt:variant>
        <vt:lpwstr/>
      </vt:variant>
      <vt:variant>
        <vt:lpwstr>_Toc465605222</vt:lpwstr>
      </vt:variant>
      <vt:variant>
        <vt:i4>1048627</vt:i4>
      </vt:variant>
      <vt:variant>
        <vt:i4>290</vt:i4>
      </vt:variant>
      <vt:variant>
        <vt:i4>0</vt:i4>
      </vt:variant>
      <vt:variant>
        <vt:i4>5</vt:i4>
      </vt:variant>
      <vt:variant>
        <vt:lpwstr/>
      </vt:variant>
      <vt:variant>
        <vt:lpwstr>_Toc465605221</vt:lpwstr>
      </vt:variant>
      <vt:variant>
        <vt:i4>1048627</vt:i4>
      </vt:variant>
      <vt:variant>
        <vt:i4>284</vt:i4>
      </vt:variant>
      <vt:variant>
        <vt:i4>0</vt:i4>
      </vt:variant>
      <vt:variant>
        <vt:i4>5</vt:i4>
      </vt:variant>
      <vt:variant>
        <vt:lpwstr/>
      </vt:variant>
      <vt:variant>
        <vt:lpwstr>_Toc465605220</vt:lpwstr>
      </vt:variant>
      <vt:variant>
        <vt:i4>1245235</vt:i4>
      </vt:variant>
      <vt:variant>
        <vt:i4>278</vt:i4>
      </vt:variant>
      <vt:variant>
        <vt:i4>0</vt:i4>
      </vt:variant>
      <vt:variant>
        <vt:i4>5</vt:i4>
      </vt:variant>
      <vt:variant>
        <vt:lpwstr/>
      </vt:variant>
      <vt:variant>
        <vt:lpwstr>_Toc465605219</vt:lpwstr>
      </vt:variant>
      <vt:variant>
        <vt:i4>1245235</vt:i4>
      </vt:variant>
      <vt:variant>
        <vt:i4>272</vt:i4>
      </vt:variant>
      <vt:variant>
        <vt:i4>0</vt:i4>
      </vt:variant>
      <vt:variant>
        <vt:i4>5</vt:i4>
      </vt:variant>
      <vt:variant>
        <vt:lpwstr/>
      </vt:variant>
      <vt:variant>
        <vt:lpwstr>_Toc465605218</vt:lpwstr>
      </vt:variant>
      <vt:variant>
        <vt:i4>1245235</vt:i4>
      </vt:variant>
      <vt:variant>
        <vt:i4>266</vt:i4>
      </vt:variant>
      <vt:variant>
        <vt:i4>0</vt:i4>
      </vt:variant>
      <vt:variant>
        <vt:i4>5</vt:i4>
      </vt:variant>
      <vt:variant>
        <vt:lpwstr/>
      </vt:variant>
      <vt:variant>
        <vt:lpwstr>_Toc465605217</vt:lpwstr>
      </vt:variant>
      <vt:variant>
        <vt:i4>1245235</vt:i4>
      </vt:variant>
      <vt:variant>
        <vt:i4>260</vt:i4>
      </vt:variant>
      <vt:variant>
        <vt:i4>0</vt:i4>
      </vt:variant>
      <vt:variant>
        <vt:i4>5</vt:i4>
      </vt:variant>
      <vt:variant>
        <vt:lpwstr/>
      </vt:variant>
      <vt:variant>
        <vt:lpwstr>_Toc465605216</vt:lpwstr>
      </vt:variant>
      <vt:variant>
        <vt:i4>1245235</vt:i4>
      </vt:variant>
      <vt:variant>
        <vt:i4>254</vt:i4>
      </vt:variant>
      <vt:variant>
        <vt:i4>0</vt:i4>
      </vt:variant>
      <vt:variant>
        <vt:i4>5</vt:i4>
      </vt:variant>
      <vt:variant>
        <vt:lpwstr/>
      </vt:variant>
      <vt:variant>
        <vt:lpwstr>_Toc465605215</vt:lpwstr>
      </vt:variant>
      <vt:variant>
        <vt:i4>1245235</vt:i4>
      </vt:variant>
      <vt:variant>
        <vt:i4>248</vt:i4>
      </vt:variant>
      <vt:variant>
        <vt:i4>0</vt:i4>
      </vt:variant>
      <vt:variant>
        <vt:i4>5</vt:i4>
      </vt:variant>
      <vt:variant>
        <vt:lpwstr/>
      </vt:variant>
      <vt:variant>
        <vt:lpwstr>_Toc465605214</vt:lpwstr>
      </vt:variant>
      <vt:variant>
        <vt:i4>1245235</vt:i4>
      </vt:variant>
      <vt:variant>
        <vt:i4>242</vt:i4>
      </vt:variant>
      <vt:variant>
        <vt:i4>0</vt:i4>
      </vt:variant>
      <vt:variant>
        <vt:i4>5</vt:i4>
      </vt:variant>
      <vt:variant>
        <vt:lpwstr/>
      </vt:variant>
      <vt:variant>
        <vt:lpwstr>_Toc465605213</vt:lpwstr>
      </vt:variant>
      <vt:variant>
        <vt:i4>1245235</vt:i4>
      </vt:variant>
      <vt:variant>
        <vt:i4>236</vt:i4>
      </vt:variant>
      <vt:variant>
        <vt:i4>0</vt:i4>
      </vt:variant>
      <vt:variant>
        <vt:i4>5</vt:i4>
      </vt:variant>
      <vt:variant>
        <vt:lpwstr/>
      </vt:variant>
      <vt:variant>
        <vt:lpwstr>_Toc465605212</vt:lpwstr>
      </vt:variant>
      <vt:variant>
        <vt:i4>1245235</vt:i4>
      </vt:variant>
      <vt:variant>
        <vt:i4>230</vt:i4>
      </vt:variant>
      <vt:variant>
        <vt:i4>0</vt:i4>
      </vt:variant>
      <vt:variant>
        <vt:i4>5</vt:i4>
      </vt:variant>
      <vt:variant>
        <vt:lpwstr/>
      </vt:variant>
      <vt:variant>
        <vt:lpwstr>_Toc465605211</vt:lpwstr>
      </vt:variant>
      <vt:variant>
        <vt:i4>1245235</vt:i4>
      </vt:variant>
      <vt:variant>
        <vt:i4>224</vt:i4>
      </vt:variant>
      <vt:variant>
        <vt:i4>0</vt:i4>
      </vt:variant>
      <vt:variant>
        <vt:i4>5</vt:i4>
      </vt:variant>
      <vt:variant>
        <vt:lpwstr/>
      </vt:variant>
      <vt:variant>
        <vt:lpwstr>_Toc465605210</vt:lpwstr>
      </vt:variant>
      <vt:variant>
        <vt:i4>1179699</vt:i4>
      </vt:variant>
      <vt:variant>
        <vt:i4>218</vt:i4>
      </vt:variant>
      <vt:variant>
        <vt:i4>0</vt:i4>
      </vt:variant>
      <vt:variant>
        <vt:i4>5</vt:i4>
      </vt:variant>
      <vt:variant>
        <vt:lpwstr/>
      </vt:variant>
      <vt:variant>
        <vt:lpwstr>_Toc465605209</vt:lpwstr>
      </vt:variant>
      <vt:variant>
        <vt:i4>1179699</vt:i4>
      </vt:variant>
      <vt:variant>
        <vt:i4>212</vt:i4>
      </vt:variant>
      <vt:variant>
        <vt:i4>0</vt:i4>
      </vt:variant>
      <vt:variant>
        <vt:i4>5</vt:i4>
      </vt:variant>
      <vt:variant>
        <vt:lpwstr/>
      </vt:variant>
      <vt:variant>
        <vt:lpwstr>_Toc465605208</vt:lpwstr>
      </vt:variant>
      <vt:variant>
        <vt:i4>1179699</vt:i4>
      </vt:variant>
      <vt:variant>
        <vt:i4>206</vt:i4>
      </vt:variant>
      <vt:variant>
        <vt:i4>0</vt:i4>
      </vt:variant>
      <vt:variant>
        <vt:i4>5</vt:i4>
      </vt:variant>
      <vt:variant>
        <vt:lpwstr/>
      </vt:variant>
      <vt:variant>
        <vt:lpwstr>_Toc465605207</vt:lpwstr>
      </vt:variant>
      <vt:variant>
        <vt:i4>1179699</vt:i4>
      </vt:variant>
      <vt:variant>
        <vt:i4>200</vt:i4>
      </vt:variant>
      <vt:variant>
        <vt:i4>0</vt:i4>
      </vt:variant>
      <vt:variant>
        <vt:i4>5</vt:i4>
      </vt:variant>
      <vt:variant>
        <vt:lpwstr/>
      </vt:variant>
      <vt:variant>
        <vt:lpwstr>_Toc465605206</vt:lpwstr>
      </vt:variant>
      <vt:variant>
        <vt:i4>1179699</vt:i4>
      </vt:variant>
      <vt:variant>
        <vt:i4>194</vt:i4>
      </vt:variant>
      <vt:variant>
        <vt:i4>0</vt:i4>
      </vt:variant>
      <vt:variant>
        <vt:i4>5</vt:i4>
      </vt:variant>
      <vt:variant>
        <vt:lpwstr/>
      </vt:variant>
      <vt:variant>
        <vt:lpwstr>_Toc465605205</vt:lpwstr>
      </vt:variant>
      <vt:variant>
        <vt:i4>1179699</vt:i4>
      </vt:variant>
      <vt:variant>
        <vt:i4>188</vt:i4>
      </vt:variant>
      <vt:variant>
        <vt:i4>0</vt:i4>
      </vt:variant>
      <vt:variant>
        <vt:i4>5</vt:i4>
      </vt:variant>
      <vt:variant>
        <vt:lpwstr/>
      </vt:variant>
      <vt:variant>
        <vt:lpwstr>_Toc465605204</vt:lpwstr>
      </vt:variant>
      <vt:variant>
        <vt:i4>1179699</vt:i4>
      </vt:variant>
      <vt:variant>
        <vt:i4>182</vt:i4>
      </vt:variant>
      <vt:variant>
        <vt:i4>0</vt:i4>
      </vt:variant>
      <vt:variant>
        <vt:i4>5</vt:i4>
      </vt:variant>
      <vt:variant>
        <vt:lpwstr/>
      </vt:variant>
      <vt:variant>
        <vt:lpwstr>_Toc465605203</vt:lpwstr>
      </vt:variant>
      <vt:variant>
        <vt:i4>1179699</vt:i4>
      </vt:variant>
      <vt:variant>
        <vt:i4>176</vt:i4>
      </vt:variant>
      <vt:variant>
        <vt:i4>0</vt:i4>
      </vt:variant>
      <vt:variant>
        <vt:i4>5</vt:i4>
      </vt:variant>
      <vt:variant>
        <vt:lpwstr/>
      </vt:variant>
      <vt:variant>
        <vt:lpwstr>_Toc465605202</vt:lpwstr>
      </vt:variant>
      <vt:variant>
        <vt:i4>1179699</vt:i4>
      </vt:variant>
      <vt:variant>
        <vt:i4>170</vt:i4>
      </vt:variant>
      <vt:variant>
        <vt:i4>0</vt:i4>
      </vt:variant>
      <vt:variant>
        <vt:i4>5</vt:i4>
      </vt:variant>
      <vt:variant>
        <vt:lpwstr/>
      </vt:variant>
      <vt:variant>
        <vt:lpwstr>_Toc465605201</vt:lpwstr>
      </vt:variant>
      <vt:variant>
        <vt:i4>1179699</vt:i4>
      </vt:variant>
      <vt:variant>
        <vt:i4>164</vt:i4>
      </vt:variant>
      <vt:variant>
        <vt:i4>0</vt:i4>
      </vt:variant>
      <vt:variant>
        <vt:i4>5</vt:i4>
      </vt:variant>
      <vt:variant>
        <vt:lpwstr/>
      </vt:variant>
      <vt:variant>
        <vt:lpwstr>_Toc465605200</vt:lpwstr>
      </vt:variant>
      <vt:variant>
        <vt:i4>1769520</vt:i4>
      </vt:variant>
      <vt:variant>
        <vt:i4>158</vt:i4>
      </vt:variant>
      <vt:variant>
        <vt:i4>0</vt:i4>
      </vt:variant>
      <vt:variant>
        <vt:i4>5</vt:i4>
      </vt:variant>
      <vt:variant>
        <vt:lpwstr/>
      </vt:variant>
      <vt:variant>
        <vt:lpwstr>_Toc465605199</vt:lpwstr>
      </vt:variant>
      <vt:variant>
        <vt:i4>1769520</vt:i4>
      </vt:variant>
      <vt:variant>
        <vt:i4>152</vt:i4>
      </vt:variant>
      <vt:variant>
        <vt:i4>0</vt:i4>
      </vt:variant>
      <vt:variant>
        <vt:i4>5</vt:i4>
      </vt:variant>
      <vt:variant>
        <vt:lpwstr/>
      </vt:variant>
      <vt:variant>
        <vt:lpwstr>_Toc465605198</vt:lpwstr>
      </vt:variant>
      <vt:variant>
        <vt:i4>1769520</vt:i4>
      </vt:variant>
      <vt:variant>
        <vt:i4>146</vt:i4>
      </vt:variant>
      <vt:variant>
        <vt:i4>0</vt:i4>
      </vt:variant>
      <vt:variant>
        <vt:i4>5</vt:i4>
      </vt:variant>
      <vt:variant>
        <vt:lpwstr/>
      </vt:variant>
      <vt:variant>
        <vt:lpwstr>_Toc465605197</vt:lpwstr>
      </vt:variant>
      <vt:variant>
        <vt:i4>1769520</vt:i4>
      </vt:variant>
      <vt:variant>
        <vt:i4>140</vt:i4>
      </vt:variant>
      <vt:variant>
        <vt:i4>0</vt:i4>
      </vt:variant>
      <vt:variant>
        <vt:i4>5</vt:i4>
      </vt:variant>
      <vt:variant>
        <vt:lpwstr/>
      </vt:variant>
      <vt:variant>
        <vt:lpwstr>_Toc465605196</vt:lpwstr>
      </vt:variant>
      <vt:variant>
        <vt:i4>1769520</vt:i4>
      </vt:variant>
      <vt:variant>
        <vt:i4>134</vt:i4>
      </vt:variant>
      <vt:variant>
        <vt:i4>0</vt:i4>
      </vt:variant>
      <vt:variant>
        <vt:i4>5</vt:i4>
      </vt:variant>
      <vt:variant>
        <vt:lpwstr/>
      </vt:variant>
      <vt:variant>
        <vt:lpwstr>_Toc465605195</vt:lpwstr>
      </vt:variant>
      <vt:variant>
        <vt:i4>1769520</vt:i4>
      </vt:variant>
      <vt:variant>
        <vt:i4>128</vt:i4>
      </vt:variant>
      <vt:variant>
        <vt:i4>0</vt:i4>
      </vt:variant>
      <vt:variant>
        <vt:i4>5</vt:i4>
      </vt:variant>
      <vt:variant>
        <vt:lpwstr/>
      </vt:variant>
      <vt:variant>
        <vt:lpwstr>_Toc465605194</vt:lpwstr>
      </vt:variant>
      <vt:variant>
        <vt:i4>1769520</vt:i4>
      </vt:variant>
      <vt:variant>
        <vt:i4>122</vt:i4>
      </vt:variant>
      <vt:variant>
        <vt:i4>0</vt:i4>
      </vt:variant>
      <vt:variant>
        <vt:i4>5</vt:i4>
      </vt:variant>
      <vt:variant>
        <vt:lpwstr/>
      </vt:variant>
      <vt:variant>
        <vt:lpwstr>_Toc465605193</vt:lpwstr>
      </vt:variant>
      <vt:variant>
        <vt:i4>1769520</vt:i4>
      </vt:variant>
      <vt:variant>
        <vt:i4>116</vt:i4>
      </vt:variant>
      <vt:variant>
        <vt:i4>0</vt:i4>
      </vt:variant>
      <vt:variant>
        <vt:i4>5</vt:i4>
      </vt:variant>
      <vt:variant>
        <vt:lpwstr/>
      </vt:variant>
      <vt:variant>
        <vt:lpwstr>_Toc465605192</vt:lpwstr>
      </vt:variant>
      <vt:variant>
        <vt:i4>1769520</vt:i4>
      </vt:variant>
      <vt:variant>
        <vt:i4>110</vt:i4>
      </vt:variant>
      <vt:variant>
        <vt:i4>0</vt:i4>
      </vt:variant>
      <vt:variant>
        <vt:i4>5</vt:i4>
      </vt:variant>
      <vt:variant>
        <vt:lpwstr/>
      </vt:variant>
      <vt:variant>
        <vt:lpwstr>_Toc465605191</vt:lpwstr>
      </vt:variant>
      <vt:variant>
        <vt:i4>1769520</vt:i4>
      </vt:variant>
      <vt:variant>
        <vt:i4>104</vt:i4>
      </vt:variant>
      <vt:variant>
        <vt:i4>0</vt:i4>
      </vt:variant>
      <vt:variant>
        <vt:i4>5</vt:i4>
      </vt:variant>
      <vt:variant>
        <vt:lpwstr/>
      </vt:variant>
      <vt:variant>
        <vt:lpwstr>_Toc465605190</vt:lpwstr>
      </vt:variant>
      <vt:variant>
        <vt:i4>1703984</vt:i4>
      </vt:variant>
      <vt:variant>
        <vt:i4>98</vt:i4>
      </vt:variant>
      <vt:variant>
        <vt:i4>0</vt:i4>
      </vt:variant>
      <vt:variant>
        <vt:i4>5</vt:i4>
      </vt:variant>
      <vt:variant>
        <vt:lpwstr/>
      </vt:variant>
      <vt:variant>
        <vt:lpwstr>_Toc465605189</vt:lpwstr>
      </vt:variant>
      <vt:variant>
        <vt:i4>1703984</vt:i4>
      </vt:variant>
      <vt:variant>
        <vt:i4>92</vt:i4>
      </vt:variant>
      <vt:variant>
        <vt:i4>0</vt:i4>
      </vt:variant>
      <vt:variant>
        <vt:i4>5</vt:i4>
      </vt:variant>
      <vt:variant>
        <vt:lpwstr/>
      </vt:variant>
      <vt:variant>
        <vt:lpwstr>_Toc465605188</vt:lpwstr>
      </vt:variant>
      <vt:variant>
        <vt:i4>1703984</vt:i4>
      </vt:variant>
      <vt:variant>
        <vt:i4>86</vt:i4>
      </vt:variant>
      <vt:variant>
        <vt:i4>0</vt:i4>
      </vt:variant>
      <vt:variant>
        <vt:i4>5</vt:i4>
      </vt:variant>
      <vt:variant>
        <vt:lpwstr/>
      </vt:variant>
      <vt:variant>
        <vt:lpwstr>_Toc465605187</vt:lpwstr>
      </vt:variant>
      <vt:variant>
        <vt:i4>1703984</vt:i4>
      </vt:variant>
      <vt:variant>
        <vt:i4>80</vt:i4>
      </vt:variant>
      <vt:variant>
        <vt:i4>0</vt:i4>
      </vt:variant>
      <vt:variant>
        <vt:i4>5</vt:i4>
      </vt:variant>
      <vt:variant>
        <vt:lpwstr/>
      </vt:variant>
      <vt:variant>
        <vt:lpwstr>_Toc465605186</vt:lpwstr>
      </vt:variant>
      <vt:variant>
        <vt:i4>1703984</vt:i4>
      </vt:variant>
      <vt:variant>
        <vt:i4>74</vt:i4>
      </vt:variant>
      <vt:variant>
        <vt:i4>0</vt:i4>
      </vt:variant>
      <vt:variant>
        <vt:i4>5</vt:i4>
      </vt:variant>
      <vt:variant>
        <vt:lpwstr/>
      </vt:variant>
      <vt:variant>
        <vt:lpwstr>_Toc465605185</vt:lpwstr>
      </vt:variant>
      <vt:variant>
        <vt:i4>1703984</vt:i4>
      </vt:variant>
      <vt:variant>
        <vt:i4>68</vt:i4>
      </vt:variant>
      <vt:variant>
        <vt:i4>0</vt:i4>
      </vt:variant>
      <vt:variant>
        <vt:i4>5</vt:i4>
      </vt:variant>
      <vt:variant>
        <vt:lpwstr/>
      </vt:variant>
      <vt:variant>
        <vt:lpwstr>_Toc465605184</vt:lpwstr>
      </vt:variant>
      <vt:variant>
        <vt:i4>1703984</vt:i4>
      </vt:variant>
      <vt:variant>
        <vt:i4>62</vt:i4>
      </vt:variant>
      <vt:variant>
        <vt:i4>0</vt:i4>
      </vt:variant>
      <vt:variant>
        <vt:i4>5</vt:i4>
      </vt:variant>
      <vt:variant>
        <vt:lpwstr/>
      </vt:variant>
      <vt:variant>
        <vt:lpwstr>_Toc465605183</vt:lpwstr>
      </vt:variant>
      <vt:variant>
        <vt:i4>1703984</vt:i4>
      </vt:variant>
      <vt:variant>
        <vt:i4>56</vt:i4>
      </vt:variant>
      <vt:variant>
        <vt:i4>0</vt:i4>
      </vt:variant>
      <vt:variant>
        <vt:i4>5</vt:i4>
      </vt:variant>
      <vt:variant>
        <vt:lpwstr/>
      </vt:variant>
      <vt:variant>
        <vt:lpwstr>_Toc465605182</vt:lpwstr>
      </vt:variant>
      <vt:variant>
        <vt:i4>1703984</vt:i4>
      </vt:variant>
      <vt:variant>
        <vt:i4>50</vt:i4>
      </vt:variant>
      <vt:variant>
        <vt:i4>0</vt:i4>
      </vt:variant>
      <vt:variant>
        <vt:i4>5</vt:i4>
      </vt:variant>
      <vt:variant>
        <vt:lpwstr/>
      </vt:variant>
      <vt:variant>
        <vt:lpwstr>_Toc465605181</vt:lpwstr>
      </vt:variant>
      <vt:variant>
        <vt:i4>1703984</vt:i4>
      </vt:variant>
      <vt:variant>
        <vt:i4>44</vt:i4>
      </vt:variant>
      <vt:variant>
        <vt:i4>0</vt:i4>
      </vt:variant>
      <vt:variant>
        <vt:i4>5</vt:i4>
      </vt:variant>
      <vt:variant>
        <vt:lpwstr/>
      </vt:variant>
      <vt:variant>
        <vt:lpwstr>_Toc465605180</vt:lpwstr>
      </vt:variant>
      <vt:variant>
        <vt:i4>1376304</vt:i4>
      </vt:variant>
      <vt:variant>
        <vt:i4>38</vt:i4>
      </vt:variant>
      <vt:variant>
        <vt:i4>0</vt:i4>
      </vt:variant>
      <vt:variant>
        <vt:i4>5</vt:i4>
      </vt:variant>
      <vt:variant>
        <vt:lpwstr/>
      </vt:variant>
      <vt:variant>
        <vt:lpwstr>_Toc465605179</vt:lpwstr>
      </vt:variant>
      <vt:variant>
        <vt:i4>1376304</vt:i4>
      </vt:variant>
      <vt:variant>
        <vt:i4>32</vt:i4>
      </vt:variant>
      <vt:variant>
        <vt:i4>0</vt:i4>
      </vt:variant>
      <vt:variant>
        <vt:i4>5</vt:i4>
      </vt:variant>
      <vt:variant>
        <vt:lpwstr/>
      </vt:variant>
      <vt:variant>
        <vt:lpwstr>_Toc465605178</vt:lpwstr>
      </vt:variant>
      <vt:variant>
        <vt:i4>1376304</vt:i4>
      </vt:variant>
      <vt:variant>
        <vt:i4>26</vt:i4>
      </vt:variant>
      <vt:variant>
        <vt:i4>0</vt:i4>
      </vt:variant>
      <vt:variant>
        <vt:i4>5</vt:i4>
      </vt:variant>
      <vt:variant>
        <vt:lpwstr/>
      </vt:variant>
      <vt:variant>
        <vt:lpwstr>_Toc465605177</vt:lpwstr>
      </vt:variant>
      <vt:variant>
        <vt:i4>1376304</vt:i4>
      </vt:variant>
      <vt:variant>
        <vt:i4>20</vt:i4>
      </vt:variant>
      <vt:variant>
        <vt:i4>0</vt:i4>
      </vt:variant>
      <vt:variant>
        <vt:i4>5</vt:i4>
      </vt:variant>
      <vt:variant>
        <vt:lpwstr/>
      </vt:variant>
      <vt:variant>
        <vt:lpwstr>_Toc465605176</vt:lpwstr>
      </vt:variant>
      <vt:variant>
        <vt:i4>1376304</vt:i4>
      </vt:variant>
      <vt:variant>
        <vt:i4>14</vt:i4>
      </vt:variant>
      <vt:variant>
        <vt:i4>0</vt:i4>
      </vt:variant>
      <vt:variant>
        <vt:i4>5</vt:i4>
      </vt:variant>
      <vt:variant>
        <vt:lpwstr/>
      </vt:variant>
      <vt:variant>
        <vt:lpwstr>_Toc465605175</vt:lpwstr>
      </vt:variant>
      <vt:variant>
        <vt:i4>1376304</vt:i4>
      </vt:variant>
      <vt:variant>
        <vt:i4>8</vt:i4>
      </vt:variant>
      <vt:variant>
        <vt:i4>0</vt:i4>
      </vt:variant>
      <vt:variant>
        <vt:i4>5</vt:i4>
      </vt:variant>
      <vt:variant>
        <vt:lpwstr/>
      </vt:variant>
      <vt:variant>
        <vt:lpwstr>_Toc465605174</vt:lpwstr>
      </vt:variant>
      <vt:variant>
        <vt:i4>1376304</vt:i4>
      </vt:variant>
      <vt:variant>
        <vt:i4>2</vt:i4>
      </vt:variant>
      <vt:variant>
        <vt:i4>0</vt:i4>
      </vt:variant>
      <vt:variant>
        <vt:i4>5</vt:i4>
      </vt:variant>
      <vt:variant>
        <vt:lpwstr/>
      </vt:variant>
      <vt:variant>
        <vt:lpwstr>_Toc465605173</vt:lpwstr>
      </vt:variant>
      <vt:variant>
        <vt:i4>4390924</vt:i4>
      </vt:variant>
      <vt:variant>
        <vt:i4>0</vt:i4>
      </vt:variant>
      <vt:variant>
        <vt:i4>0</vt:i4>
      </vt:variant>
      <vt:variant>
        <vt:i4>5</vt:i4>
      </vt:variant>
      <vt:variant>
        <vt:lpwstr>http://dfat.gov.au/geo/indonesia/development-assistance/Pages/human-development-in-indonesia.aspx</vt:lpwstr>
      </vt:variant>
      <vt:variant>
        <vt:lpwstr/>
      </vt:variant>
      <vt:variant>
        <vt:i4>458755</vt:i4>
      </vt:variant>
      <vt:variant>
        <vt:i4>6</vt:i4>
      </vt:variant>
      <vt:variant>
        <vt:i4>0</vt:i4>
      </vt:variant>
      <vt:variant>
        <vt:i4>5</vt:i4>
      </vt:variant>
      <vt:variant>
        <vt:lpwstr>http://www.kemenkeu.go.id/sites/default/files/Subkatalogdata</vt:lpwstr>
      </vt:variant>
      <vt:variant>
        <vt:lpwstr/>
      </vt:variant>
      <vt:variant>
        <vt:i4>4390924</vt:i4>
      </vt:variant>
      <vt:variant>
        <vt:i4>3</vt:i4>
      </vt:variant>
      <vt:variant>
        <vt:i4>0</vt:i4>
      </vt:variant>
      <vt:variant>
        <vt:i4>5</vt:i4>
      </vt:variant>
      <vt:variant>
        <vt:lpwstr>http://dfat.gov.au/geo/indonesia/development-assistance/Pages/human-development-in-indonesia.aspx</vt:lpwstr>
      </vt:variant>
      <vt:variant>
        <vt:lpwstr/>
      </vt:variant>
      <vt:variant>
        <vt:i4>7995514</vt:i4>
      </vt:variant>
      <vt:variant>
        <vt:i4>0</vt:i4>
      </vt:variant>
      <vt:variant>
        <vt:i4>0</vt:i4>
      </vt:variant>
      <vt:variant>
        <vt:i4>5</vt:i4>
      </vt:variant>
      <vt:variant>
        <vt:lpwstr>http://dfat.gov.au/about-us/publications/Documents/2013-14-std-time-series-table-5.xlsx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Education Partnership with Indonesia: Independent Completion Report</dc:title>
  <dc:creator/>
  <cp:lastModifiedBy/>
  <cp:revision>1</cp:revision>
  <dcterms:created xsi:type="dcterms:W3CDTF">2017-02-03T05:04:00Z</dcterms:created>
  <dcterms:modified xsi:type="dcterms:W3CDTF">2017-02-03T05:05:00Z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a620d631-f4af-4cb2-8ade-70dc00801cb2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1084700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