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B467" w14:textId="65FAD4C8" w:rsidR="00EE419E" w:rsidRPr="005E6C16" w:rsidRDefault="00EE419E" w:rsidP="005E6C16">
      <w:pPr>
        <w:suppressAutoHyphens w:val="0"/>
        <w:spacing w:before="0" w:line="259" w:lineRule="auto"/>
        <w:jc w:val="center"/>
        <w:rPr>
          <w:b/>
          <w:color w:val="000000" w:themeColor="text1"/>
          <w:sz w:val="26"/>
          <w:szCs w:val="26"/>
          <w:lang w:val="en-AU"/>
        </w:rPr>
      </w:pPr>
      <w:r w:rsidRPr="00F672A6">
        <w:rPr>
          <w:b/>
          <w:color w:val="000000" w:themeColor="text1"/>
          <w:sz w:val="26"/>
          <w:szCs w:val="26"/>
          <w:lang w:val="en-AU"/>
        </w:rPr>
        <w:t>DFAT Management Response to the Independent Mid-Term Review of the</w:t>
      </w:r>
      <w:r w:rsidRPr="00F672A6">
        <w:rPr>
          <w:b/>
          <w:color w:val="000000" w:themeColor="text1"/>
          <w:sz w:val="26"/>
          <w:szCs w:val="26"/>
          <w:lang w:val="en-AU"/>
        </w:rPr>
        <w:br/>
        <w:t>Sustainable Infrastructure Assistant Program Phase 2 (SIAP2</w:t>
      </w:r>
      <w:proofErr w:type="gramStart"/>
      <w:r w:rsidRPr="00F672A6">
        <w:rPr>
          <w:b/>
          <w:color w:val="000000" w:themeColor="text1"/>
          <w:sz w:val="26"/>
          <w:szCs w:val="26"/>
          <w:lang w:val="en-AU"/>
        </w:rPr>
        <w:t>)  2023</w:t>
      </w:r>
      <w:proofErr w:type="gramEnd"/>
    </w:p>
    <w:p w14:paraId="07934E04" w14:textId="452F90AE" w:rsidR="0064180A" w:rsidRPr="00F672A6" w:rsidRDefault="00F36781" w:rsidP="004F7592">
      <w:pPr>
        <w:pStyle w:val="BodyText"/>
        <w:rPr>
          <w:color w:val="000000" w:themeColor="text1"/>
        </w:rPr>
      </w:pPr>
      <w:r w:rsidRPr="00F672A6">
        <w:rPr>
          <w:color w:val="000000" w:themeColor="text1"/>
        </w:rPr>
        <w:t xml:space="preserve">The Department of Foreign Affairs and Trade (DFAT) </w:t>
      </w:r>
      <w:r w:rsidR="00C65930" w:rsidRPr="00F672A6">
        <w:rPr>
          <w:color w:val="000000" w:themeColor="text1"/>
        </w:rPr>
        <w:t xml:space="preserve">commissioned an independent mid-term review (MTR) of the Sustainable Infrastructure Assistant </w:t>
      </w:r>
      <w:r w:rsidR="00286319" w:rsidRPr="00F672A6">
        <w:rPr>
          <w:color w:val="000000" w:themeColor="text1"/>
        </w:rPr>
        <w:t xml:space="preserve">Program Phase2 (SIAP2), conducted between March </w:t>
      </w:r>
      <w:r w:rsidR="009D4E0F" w:rsidRPr="00F672A6">
        <w:rPr>
          <w:color w:val="000000" w:themeColor="text1"/>
        </w:rPr>
        <w:t>and</w:t>
      </w:r>
      <w:r w:rsidR="00286319" w:rsidRPr="00F672A6">
        <w:rPr>
          <w:color w:val="000000" w:themeColor="text1"/>
        </w:rPr>
        <w:t xml:space="preserve"> September 2023. </w:t>
      </w:r>
      <w:r w:rsidR="004D7AED" w:rsidRPr="00F672A6">
        <w:rPr>
          <w:color w:val="000000" w:themeColor="text1"/>
        </w:rPr>
        <w:t xml:space="preserve">The MTR assessed </w:t>
      </w:r>
      <w:r w:rsidR="00F3619F" w:rsidRPr="00F672A6">
        <w:rPr>
          <w:color w:val="000000" w:themeColor="text1"/>
        </w:rPr>
        <w:t xml:space="preserve">the </w:t>
      </w:r>
      <w:r w:rsidR="00A24643" w:rsidRPr="00F672A6">
        <w:rPr>
          <w:color w:val="000000" w:themeColor="text1"/>
        </w:rPr>
        <w:t xml:space="preserve">progress </w:t>
      </w:r>
      <w:r w:rsidR="00FA28EC" w:rsidRPr="00F672A6">
        <w:rPr>
          <w:color w:val="000000" w:themeColor="text1"/>
        </w:rPr>
        <w:t xml:space="preserve">and </w:t>
      </w:r>
      <w:r w:rsidR="00A24643" w:rsidRPr="00F672A6">
        <w:rPr>
          <w:color w:val="000000" w:themeColor="text1"/>
        </w:rPr>
        <w:t>achievement</w:t>
      </w:r>
      <w:r w:rsidR="00DC0323" w:rsidRPr="00F672A6">
        <w:rPr>
          <w:color w:val="000000" w:themeColor="text1"/>
        </w:rPr>
        <w:t>s</w:t>
      </w:r>
      <w:r w:rsidR="00A24643" w:rsidRPr="00F672A6">
        <w:rPr>
          <w:color w:val="000000" w:themeColor="text1"/>
        </w:rPr>
        <w:t xml:space="preserve"> </w:t>
      </w:r>
      <w:r w:rsidR="00FA28EC" w:rsidRPr="00F672A6">
        <w:rPr>
          <w:color w:val="000000" w:themeColor="text1"/>
        </w:rPr>
        <w:t>of SIAP2 against its intended outcomes</w:t>
      </w:r>
      <w:r w:rsidR="00DC0323" w:rsidRPr="00F672A6">
        <w:rPr>
          <w:color w:val="000000" w:themeColor="text1"/>
        </w:rPr>
        <w:t>. The review focused on</w:t>
      </w:r>
      <w:r w:rsidR="009D4E0F" w:rsidRPr="00F672A6">
        <w:rPr>
          <w:color w:val="000000" w:themeColor="text1"/>
        </w:rPr>
        <w:t xml:space="preserve"> the</w:t>
      </w:r>
      <w:r w:rsidR="00B55177" w:rsidRPr="00F672A6">
        <w:rPr>
          <w:color w:val="000000" w:themeColor="text1"/>
        </w:rPr>
        <w:t xml:space="preserve"> </w:t>
      </w:r>
      <w:r w:rsidR="003D195D" w:rsidRPr="00F672A6">
        <w:rPr>
          <w:color w:val="000000" w:themeColor="text1"/>
        </w:rPr>
        <w:t>program’s effectiveness</w:t>
      </w:r>
      <w:r w:rsidR="009D4E0F" w:rsidRPr="00F672A6">
        <w:rPr>
          <w:color w:val="000000" w:themeColor="text1"/>
        </w:rPr>
        <w:t xml:space="preserve">, </w:t>
      </w:r>
      <w:proofErr w:type="gramStart"/>
      <w:r w:rsidR="003D195D" w:rsidRPr="00F672A6">
        <w:rPr>
          <w:color w:val="000000" w:themeColor="text1"/>
        </w:rPr>
        <w:t>efficiency</w:t>
      </w:r>
      <w:proofErr w:type="gramEnd"/>
      <w:r w:rsidR="003D195D" w:rsidRPr="00F672A6">
        <w:rPr>
          <w:color w:val="000000" w:themeColor="text1"/>
        </w:rPr>
        <w:t xml:space="preserve"> </w:t>
      </w:r>
      <w:r w:rsidR="009D4E0F" w:rsidRPr="00F672A6">
        <w:rPr>
          <w:color w:val="000000" w:themeColor="text1"/>
        </w:rPr>
        <w:t xml:space="preserve">and </w:t>
      </w:r>
      <w:r w:rsidR="003D195D" w:rsidRPr="00F672A6">
        <w:rPr>
          <w:color w:val="000000" w:themeColor="text1"/>
        </w:rPr>
        <w:t>relevance</w:t>
      </w:r>
      <w:r w:rsidR="009D4E0F" w:rsidRPr="00F672A6">
        <w:rPr>
          <w:color w:val="000000" w:themeColor="text1"/>
        </w:rPr>
        <w:t>,</w:t>
      </w:r>
      <w:r w:rsidR="003D195D" w:rsidRPr="00F672A6">
        <w:rPr>
          <w:color w:val="000000" w:themeColor="text1"/>
        </w:rPr>
        <w:t xml:space="preserve"> including the appro</w:t>
      </w:r>
      <w:r w:rsidR="00AD77C5" w:rsidRPr="00F672A6">
        <w:rPr>
          <w:color w:val="000000" w:themeColor="text1"/>
        </w:rPr>
        <w:t xml:space="preserve">priateness of the modality </w:t>
      </w:r>
      <w:r w:rsidR="009D4E0F" w:rsidRPr="00F672A6">
        <w:rPr>
          <w:color w:val="000000" w:themeColor="text1"/>
        </w:rPr>
        <w:t>for Australia’s engagement on</w:t>
      </w:r>
      <w:r w:rsidR="00AD77C5" w:rsidRPr="00F672A6">
        <w:rPr>
          <w:color w:val="000000" w:themeColor="text1"/>
        </w:rPr>
        <w:t xml:space="preserve"> infrastructure development in Indonesia.</w:t>
      </w:r>
      <w:r w:rsidR="00857A84" w:rsidRPr="00F672A6">
        <w:rPr>
          <w:color w:val="000000" w:themeColor="text1"/>
        </w:rPr>
        <w:t xml:space="preserve"> </w:t>
      </w:r>
    </w:p>
    <w:p w14:paraId="747FEFBA" w14:textId="0F56CD75" w:rsidR="004F7592" w:rsidRDefault="00B61E45" w:rsidP="009F725A">
      <w:pPr>
        <w:pStyle w:val="BodyText"/>
        <w:rPr>
          <w:color w:val="000000" w:themeColor="text1"/>
        </w:rPr>
      </w:pPr>
      <w:r w:rsidRPr="00F672A6">
        <w:rPr>
          <w:color w:val="000000" w:themeColor="text1"/>
        </w:rPr>
        <w:t xml:space="preserve">DFAT </w:t>
      </w:r>
      <w:r w:rsidR="00F36781" w:rsidRPr="00F672A6">
        <w:rPr>
          <w:color w:val="000000" w:themeColor="text1"/>
        </w:rPr>
        <w:t xml:space="preserve">thanks </w:t>
      </w:r>
      <w:r w:rsidR="00DC0323" w:rsidRPr="00F672A6">
        <w:rPr>
          <w:color w:val="000000" w:themeColor="text1"/>
        </w:rPr>
        <w:t xml:space="preserve">the review team and </w:t>
      </w:r>
      <w:r w:rsidR="00F36781" w:rsidRPr="00F672A6">
        <w:rPr>
          <w:color w:val="000000" w:themeColor="text1"/>
        </w:rPr>
        <w:t xml:space="preserve">those who participated in the </w:t>
      </w:r>
      <w:r w:rsidRPr="00F672A6">
        <w:rPr>
          <w:color w:val="000000" w:themeColor="text1"/>
        </w:rPr>
        <w:t>MTR</w:t>
      </w:r>
      <w:r w:rsidR="003E0368" w:rsidRPr="00F672A6">
        <w:rPr>
          <w:color w:val="000000" w:themeColor="text1"/>
        </w:rPr>
        <w:t>. Based on the findings</w:t>
      </w:r>
      <w:r w:rsidR="009F725A" w:rsidRPr="00F672A6">
        <w:rPr>
          <w:color w:val="000000" w:themeColor="text1"/>
        </w:rPr>
        <w:t>,</w:t>
      </w:r>
      <w:r w:rsidR="00CE550C" w:rsidRPr="00F672A6">
        <w:rPr>
          <w:color w:val="000000" w:themeColor="text1"/>
        </w:rPr>
        <w:t xml:space="preserve"> </w:t>
      </w:r>
      <w:r w:rsidR="00DC0323" w:rsidRPr="00F672A6">
        <w:rPr>
          <w:color w:val="000000" w:themeColor="text1"/>
        </w:rPr>
        <w:t xml:space="preserve">the MTR presents recommendations in two parts: the first for immediate consideration; and the second for longer-term programming. The recommendations and </w:t>
      </w:r>
      <w:r w:rsidR="009F725A" w:rsidRPr="00F672A6">
        <w:rPr>
          <w:color w:val="000000" w:themeColor="text1"/>
        </w:rPr>
        <w:t>DFAT’s response</w:t>
      </w:r>
      <w:r w:rsidR="00DC0323" w:rsidRPr="00F672A6">
        <w:rPr>
          <w:color w:val="000000" w:themeColor="text1"/>
        </w:rPr>
        <w:t>s</w:t>
      </w:r>
      <w:r w:rsidR="009F725A" w:rsidRPr="00F672A6">
        <w:rPr>
          <w:color w:val="000000" w:themeColor="text1"/>
        </w:rPr>
        <w:t xml:space="preserve"> </w:t>
      </w:r>
      <w:r w:rsidR="0076677C" w:rsidRPr="00F672A6">
        <w:rPr>
          <w:color w:val="000000" w:themeColor="text1"/>
        </w:rPr>
        <w:t>are</w:t>
      </w:r>
      <w:r w:rsidR="009F725A" w:rsidRPr="00F672A6">
        <w:rPr>
          <w:color w:val="000000" w:themeColor="text1"/>
        </w:rPr>
        <w:t xml:space="preserve"> </w:t>
      </w:r>
      <w:r w:rsidR="00DC0323" w:rsidRPr="00F672A6">
        <w:rPr>
          <w:color w:val="000000" w:themeColor="text1"/>
        </w:rPr>
        <w:t>set out below.</w:t>
      </w:r>
      <w:r w:rsidR="009F725A" w:rsidRPr="00F672A6">
        <w:rPr>
          <w:color w:val="000000" w:themeColor="text1"/>
        </w:rPr>
        <w:t xml:space="preserve"> </w:t>
      </w:r>
    </w:p>
    <w:p w14:paraId="3205E9C9" w14:textId="7F441087" w:rsidR="00902609" w:rsidRPr="00F672A6" w:rsidRDefault="00F672A6" w:rsidP="005E6C16">
      <w:pPr>
        <w:pStyle w:val="Heading2"/>
        <w:spacing w:before="240" w:after="240"/>
      </w:pPr>
      <w:r w:rsidRPr="00F672A6">
        <w:t>Recommendations for immediate consideration</w:t>
      </w:r>
    </w:p>
    <w:tbl>
      <w:tblPr>
        <w:tblStyle w:val="DFATTable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3728"/>
        <w:gridCol w:w="1092"/>
        <w:gridCol w:w="4814"/>
      </w:tblGrid>
      <w:tr w:rsidR="00F672A6" w:rsidRPr="00F672A6" w14:paraId="67077640" w14:textId="5A9DAABE" w:rsidTr="00F672A6">
        <w:trPr>
          <w:cnfStyle w:val="100000000000" w:firstRow="1" w:lastRow="0" w:firstColumn="0" w:lastColumn="0" w:oddVBand="0" w:evenVBand="0" w:oddHBand="0"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3728" w:type="dxa"/>
            <w:tcBorders>
              <w:top w:val="single" w:sz="4" w:space="0" w:color="auto"/>
              <w:bottom w:val="single" w:sz="4" w:space="0" w:color="auto"/>
            </w:tcBorders>
            <w:shd w:val="clear" w:color="auto" w:fill="DEEAF6" w:themeFill="accent1" w:themeFillTint="33"/>
            <w:hideMark/>
          </w:tcPr>
          <w:p w14:paraId="6B1CA20B" w14:textId="0B84C01D" w:rsidR="00C23DA4" w:rsidRPr="00F672A6" w:rsidRDefault="00C23DA4" w:rsidP="00F672A6">
            <w:pPr>
              <w:pStyle w:val="TableHeaderRow"/>
              <w:rPr>
                <w:color w:val="auto"/>
              </w:rPr>
            </w:pPr>
            <w:bookmarkStart w:id="0" w:name="_Hlk155619666"/>
            <w:r w:rsidRPr="00F672A6">
              <w:rPr>
                <w:color w:val="auto"/>
              </w:rPr>
              <w:t>Recommendations</w:t>
            </w:r>
          </w:p>
        </w:tc>
        <w:tc>
          <w:tcPr>
            <w:tcW w:w="1092" w:type="dxa"/>
            <w:tcBorders>
              <w:top w:val="single" w:sz="4" w:space="0" w:color="auto"/>
              <w:bottom w:val="single" w:sz="4" w:space="0" w:color="auto"/>
            </w:tcBorders>
            <w:shd w:val="clear" w:color="auto" w:fill="DEEAF6" w:themeFill="accent1" w:themeFillTint="33"/>
            <w:hideMark/>
          </w:tcPr>
          <w:p w14:paraId="44816C91" w14:textId="04E1EBBF" w:rsidR="00C23DA4" w:rsidRPr="00F672A6" w:rsidRDefault="00C23DA4" w:rsidP="00F672A6">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F672A6">
              <w:rPr>
                <w:color w:val="auto"/>
              </w:rPr>
              <w:t xml:space="preserve">Response </w:t>
            </w:r>
          </w:p>
        </w:tc>
        <w:tc>
          <w:tcPr>
            <w:tcW w:w="4814" w:type="dxa"/>
            <w:tcBorders>
              <w:top w:val="single" w:sz="4" w:space="0" w:color="auto"/>
              <w:bottom w:val="single" w:sz="4" w:space="0" w:color="auto"/>
            </w:tcBorders>
            <w:shd w:val="clear" w:color="auto" w:fill="DEEAF6" w:themeFill="accent1" w:themeFillTint="33"/>
            <w:hideMark/>
          </w:tcPr>
          <w:p w14:paraId="342ED829" w14:textId="77777777" w:rsidR="00C23DA4" w:rsidRPr="00F672A6" w:rsidRDefault="00C23DA4" w:rsidP="00F672A6">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F672A6">
              <w:rPr>
                <w:color w:val="auto"/>
              </w:rPr>
              <w:t xml:space="preserve">Explanation </w:t>
            </w:r>
          </w:p>
        </w:tc>
      </w:tr>
      <w:bookmarkEnd w:id="0"/>
      <w:tr w:rsidR="00F672A6" w:rsidRPr="00F672A6" w14:paraId="3FC791B0" w14:textId="449A88AF" w:rsidTr="00F67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8" w:type="dxa"/>
            <w:shd w:val="clear" w:color="auto" w:fill="auto"/>
          </w:tcPr>
          <w:p w14:paraId="0316EB35" w14:textId="7CA339BD" w:rsidR="00C23DA4" w:rsidRPr="00F672A6" w:rsidRDefault="00DC0323" w:rsidP="00DC0323">
            <w:pPr>
              <w:spacing w:after="120" w:line="240" w:lineRule="atLeast"/>
              <w:rPr>
                <w:rFonts w:cs="Calibri"/>
                <w:b/>
                <w:bCs/>
                <w:color w:val="000000" w:themeColor="text1"/>
                <w:lang w:val="en-AU"/>
              </w:rPr>
            </w:pPr>
            <w:r w:rsidRPr="00F672A6">
              <w:rPr>
                <w:rFonts w:cs="Calibri"/>
                <w:b/>
                <w:bCs/>
                <w:color w:val="000000" w:themeColor="text1"/>
                <w:lang w:val="en-AU"/>
              </w:rPr>
              <w:t xml:space="preserve">1. </w:t>
            </w:r>
            <w:r w:rsidR="00C23DA4" w:rsidRPr="00F672A6">
              <w:rPr>
                <w:rFonts w:cs="Calibri"/>
                <w:b/>
                <w:bCs/>
                <w:color w:val="000000" w:themeColor="text1"/>
                <w:lang w:val="en-AU"/>
              </w:rPr>
              <w:t xml:space="preserve">Strengthen learning and dissemination </w:t>
            </w:r>
          </w:p>
          <w:p w14:paraId="448429C1" w14:textId="60615501" w:rsidR="00DC0323" w:rsidRPr="00F672A6" w:rsidRDefault="00DC0323" w:rsidP="00592B1F">
            <w:pPr>
              <w:suppressAutoHyphens w:val="0"/>
              <w:spacing w:after="120" w:line="240" w:lineRule="atLeast"/>
              <w:jc w:val="both"/>
              <w:rPr>
                <w:rFonts w:cs="Calibri"/>
                <w:color w:val="000000" w:themeColor="text1"/>
              </w:rPr>
            </w:pPr>
            <w:r w:rsidRPr="00F672A6">
              <w:rPr>
                <w:rFonts w:cs="Calibri"/>
                <w:color w:val="000000" w:themeColor="text1"/>
              </w:rPr>
              <w:t xml:space="preserve">ADB, GOI and DFAT to review learning and dissemination processes under SIAP2 and consider how insights and learning points could be more effectively gathered and disseminated to a broad audience. This could include: </w:t>
            </w:r>
          </w:p>
          <w:p w14:paraId="1D42A8EF" w14:textId="59672A79" w:rsidR="00DC0323" w:rsidRPr="00F672A6" w:rsidRDefault="00DC0323" w:rsidP="00592B1F">
            <w:pPr>
              <w:suppressAutoHyphens w:val="0"/>
              <w:spacing w:after="120" w:line="240" w:lineRule="atLeast"/>
              <w:jc w:val="both"/>
              <w:rPr>
                <w:rFonts w:cs="Calibri"/>
                <w:color w:val="000000" w:themeColor="text1"/>
              </w:rPr>
            </w:pPr>
            <w:r w:rsidRPr="00F672A6">
              <w:rPr>
                <w:rFonts w:cs="Calibri"/>
                <w:color w:val="000000" w:themeColor="text1"/>
              </w:rPr>
              <w:t xml:space="preserve">- learning material </w:t>
            </w:r>
          </w:p>
          <w:p w14:paraId="68F78ACB" w14:textId="54ED1EDE" w:rsidR="00C23DA4" w:rsidRPr="00F672A6" w:rsidRDefault="00DC0323" w:rsidP="00592B1F">
            <w:pPr>
              <w:suppressAutoHyphens w:val="0"/>
              <w:spacing w:after="120" w:line="240" w:lineRule="atLeast"/>
              <w:rPr>
                <w:rFonts w:cs="Calibri"/>
                <w:color w:val="000000" w:themeColor="text1"/>
              </w:rPr>
            </w:pPr>
            <w:r w:rsidRPr="00F672A6">
              <w:rPr>
                <w:rFonts w:cs="Calibri"/>
                <w:color w:val="000000" w:themeColor="text1"/>
              </w:rPr>
              <w:t>- events to disseminate learning from SIAP2 to audiences in Indonesia and the wider ASEAN region.</w:t>
            </w:r>
          </w:p>
        </w:tc>
        <w:tc>
          <w:tcPr>
            <w:tcW w:w="1092" w:type="dxa"/>
            <w:shd w:val="clear" w:color="auto" w:fill="92D050"/>
          </w:tcPr>
          <w:p w14:paraId="7B94858E" w14:textId="1B30C171" w:rsidR="00C23DA4" w:rsidRPr="00F672A6" w:rsidRDefault="00C23DA4" w:rsidP="00F672A6">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rPr>
            </w:pPr>
            <w:r w:rsidRPr="00F672A6">
              <w:rPr>
                <w:rFonts w:asciiTheme="minorHAnsi" w:hAnsiTheme="minorHAnsi" w:cstheme="minorHAnsi"/>
                <w:b/>
                <w:color w:val="auto"/>
              </w:rPr>
              <w:t>Agree</w:t>
            </w:r>
          </w:p>
        </w:tc>
        <w:tc>
          <w:tcPr>
            <w:tcW w:w="4814" w:type="dxa"/>
            <w:shd w:val="clear" w:color="auto" w:fill="auto"/>
          </w:tcPr>
          <w:p w14:paraId="0BD48370" w14:textId="1807FB99" w:rsidR="00C23DA4" w:rsidRPr="00F672A6" w:rsidRDefault="00C23DA4" w:rsidP="00491EDE">
            <w:pPr>
              <w:pStyle w:val="BodyText"/>
              <w:cnfStyle w:val="000000100000" w:firstRow="0" w:lastRow="0" w:firstColumn="0" w:lastColumn="0" w:oddVBand="0" w:evenVBand="0" w:oddHBand="1" w:evenHBand="0" w:firstRowFirstColumn="0" w:firstRowLastColumn="0" w:lastRowFirstColumn="0" w:lastRowLastColumn="0"/>
              <w:rPr>
                <w:color w:val="000000" w:themeColor="text1"/>
              </w:rPr>
            </w:pPr>
            <w:r w:rsidRPr="00F672A6">
              <w:rPr>
                <w:color w:val="000000" w:themeColor="text1"/>
              </w:rPr>
              <w:t>DFAT and ADB will explore opportunities to increase learning and dissemination processes under SIAP2</w:t>
            </w:r>
            <w:r w:rsidR="001D1771" w:rsidRPr="00F672A6">
              <w:rPr>
                <w:color w:val="000000" w:themeColor="text1"/>
              </w:rPr>
              <w:t xml:space="preserve"> as set out in the recommendation</w:t>
            </w:r>
            <w:r w:rsidRPr="00F672A6">
              <w:rPr>
                <w:color w:val="000000" w:themeColor="text1"/>
              </w:rPr>
              <w:t xml:space="preserve">. </w:t>
            </w:r>
            <w:r w:rsidR="00477D73" w:rsidRPr="00F672A6">
              <w:rPr>
                <w:color w:val="000000" w:themeColor="text1"/>
              </w:rPr>
              <w:t>To guide the process, a</w:t>
            </w:r>
            <w:r w:rsidR="00C05147" w:rsidRPr="00F672A6">
              <w:rPr>
                <w:color w:val="000000" w:themeColor="text1"/>
              </w:rPr>
              <w:t xml:space="preserve"> learning</w:t>
            </w:r>
            <w:r w:rsidR="00FE1A86" w:rsidRPr="00F672A6">
              <w:rPr>
                <w:color w:val="000000" w:themeColor="text1"/>
              </w:rPr>
              <w:t xml:space="preserve"> and</w:t>
            </w:r>
            <w:r w:rsidR="00477D73" w:rsidRPr="00F672A6">
              <w:rPr>
                <w:color w:val="000000" w:themeColor="text1"/>
              </w:rPr>
              <w:t xml:space="preserve"> </w:t>
            </w:r>
            <w:r w:rsidR="00123B9D" w:rsidRPr="00F672A6">
              <w:rPr>
                <w:color w:val="000000" w:themeColor="text1"/>
              </w:rPr>
              <w:t>dissemination strategy and implementation plan</w:t>
            </w:r>
            <w:r w:rsidR="00735204" w:rsidRPr="00F672A6">
              <w:rPr>
                <w:color w:val="000000" w:themeColor="text1"/>
              </w:rPr>
              <w:t xml:space="preserve"> </w:t>
            </w:r>
            <w:r w:rsidR="00477D73" w:rsidRPr="00F672A6">
              <w:rPr>
                <w:color w:val="000000" w:themeColor="text1"/>
              </w:rPr>
              <w:t>will be developed</w:t>
            </w:r>
            <w:r w:rsidR="00FE1A86" w:rsidRPr="00F672A6">
              <w:rPr>
                <w:color w:val="000000" w:themeColor="text1"/>
              </w:rPr>
              <w:t xml:space="preserve"> to presented to the SIAP2 Steering Committee in February 2024.</w:t>
            </w:r>
            <w:r w:rsidR="00735204" w:rsidRPr="00F672A6">
              <w:rPr>
                <w:color w:val="000000" w:themeColor="text1"/>
              </w:rPr>
              <w:t xml:space="preserve"> </w:t>
            </w:r>
          </w:p>
        </w:tc>
      </w:tr>
      <w:tr w:rsidR="00F672A6" w:rsidRPr="00F672A6" w14:paraId="7A3DD50C" w14:textId="7B426B7D" w:rsidTr="00F672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8" w:type="dxa"/>
            <w:shd w:val="clear" w:color="auto" w:fill="auto"/>
          </w:tcPr>
          <w:p w14:paraId="22A2D5FC" w14:textId="77777777" w:rsidR="002B7837" w:rsidRPr="00F672A6" w:rsidRDefault="00C23DA4" w:rsidP="002B7837">
            <w:pPr>
              <w:spacing w:after="120" w:line="240" w:lineRule="atLeast"/>
              <w:rPr>
                <w:rFonts w:ascii="Arial" w:eastAsia="Times New Roman" w:hAnsi="Arial" w:cs="Times New Roman"/>
                <w:b/>
                <w:bCs/>
                <w:color w:val="000000" w:themeColor="text1"/>
                <w:sz w:val="20"/>
                <w:szCs w:val="18"/>
              </w:rPr>
            </w:pPr>
            <w:r w:rsidRPr="00F672A6">
              <w:rPr>
                <w:b/>
                <w:bCs/>
                <w:color w:val="000000" w:themeColor="text1"/>
              </w:rPr>
              <w:t>2. Strengthen gender equality and disability inclusion</w:t>
            </w:r>
            <w:r w:rsidR="002B7837" w:rsidRPr="00F672A6">
              <w:rPr>
                <w:rFonts w:ascii="Arial" w:eastAsia="Times New Roman" w:hAnsi="Arial" w:cs="Times New Roman"/>
                <w:b/>
                <w:bCs/>
                <w:color w:val="000000" w:themeColor="text1"/>
                <w:sz w:val="20"/>
                <w:szCs w:val="18"/>
              </w:rPr>
              <w:t xml:space="preserve"> </w:t>
            </w:r>
          </w:p>
          <w:p w14:paraId="1F304C3B" w14:textId="66621AED" w:rsidR="002B7837" w:rsidRPr="00F672A6" w:rsidRDefault="002B7837" w:rsidP="002B7837">
            <w:pPr>
              <w:spacing w:after="120" w:line="240" w:lineRule="atLeast"/>
              <w:rPr>
                <w:color w:val="000000" w:themeColor="text1"/>
              </w:rPr>
            </w:pPr>
            <w:r w:rsidRPr="00F672A6">
              <w:rPr>
                <w:color w:val="000000" w:themeColor="text1"/>
              </w:rPr>
              <w:t xml:space="preserve">ADB to shift from a project focused gender mainstreaming approach to a programmatic approach to GEDSI that includes GEDSI specific and targeted activities as well as gender mainstreaming in project loans and transition to a stronger gender equality indicator in the M&amp;E framework. </w:t>
            </w:r>
          </w:p>
          <w:p w14:paraId="1AE94808" w14:textId="2B111036" w:rsidR="002B7837" w:rsidRPr="00F672A6" w:rsidRDefault="002B7837" w:rsidP="006C256E">
            <w:pPr>
              <w:spacing w:after="120" w:line="240" w:lineRule="atLeast"/>
              <w:rPr>
                <w:b/>
                <w:bCs/>
                <w:color w:val="000000" w:themeColor="text1"/>
              </w:rPr>
            </w:pPr>
            <w:r w:rsidRPr="00F672A6">
              <w:rPr>
                <w:color w:val="000000" w:themeColor="text1"/>
              </w:rPr>
              <w:t xml:space="preserve">ADB to develop a GEDSI and infrastructure strategy to provide coherence and strategic direction to </w:t>
            </w:r>
            <w:r w:rsidRPr="00F672A6">
              <w:rPr>
                <w:color w:val="000000" w:themeColor="text1"/>
              </w:rPr>
              <w:lastRenderedPageBreak/>
              <w:t xml:space="preserve">SIAP2 GEDSI activities including both GEDSI specific and mainstreaming activities, and the intersectionality of gender, </w:t>
            </w:r>
            <w:proofErr w:type="gramStart"/>
            <w:r w:rsidRPr="00F672A6">
              <w:rPr>
                <w:color w:val="000000" w:themeColor="text1"/>
              </w:rPr>
              <w:t>disability</w:t>
            </w:r>
            <w:proofErr w:type="gramEnd"/>
            <w:r w:rsidRPr="00F672A6">
              <w:rPr>
                <w:color w:val="000000" w:themeColor="text1"/>
              </w:rPr>
              <w:t xml:space="preserve"> and social exclusion as it impacts access to infrastructure and related inclusive policy reform agendas.</w:t>
            </w:r>
          </w:p>
          <w:p w14:paraId="027D1129" w14:textId="4468FBD8" w:rsidR="002B7837" w:rsidRPr="00F672A6" w:rsidRDefault="002B7837" w:rsidP="006C256E">
            <w:pPr>
              <w:spacing w:after="120" w:line="240" w:lineRule="atLeast"/>
              <w:rPr>
                <w:b/>
                <w:bCs/>
                <w:color w:val="000000" w:themeColor="text1"/>
              </w:rPr>
            </w:pPr>
            <w:r w:rsidRPr="00F672A6">
              <w:rPr>
                <w:color w:val="000000" w:themeColor="text1"/>
              </w:rPr>
              <w:t>ADB to review the adequacy of SIAP2 resourcing of gender and disability in view of the demand from implementing agencies and the opportunity to respond to GOI’s policy commitments to women’s economic empowerment and leadership, and accessible and inclusive development in the infrastructure space.</w:t>
            </w:r>
          </w:p>
          <w:p w14:paraId="1307F27E" w14:textId="04199A0F" w:rsidR="002B7837" w:rsidRPr="00F672A6" w:rsidRDefault="002B7837" w:rsidP="006C256E">
            <w:pPr>
              <w:spacing w:after="120" w:line="240" w:lineRule="atLeast"/>
              <w:rPr>
                <w:color w:val="000000" w:themeColor="text1"/>
              </w:rPr>
            </w:pPr>
            <w:r w:rsidRPr="00F672A6">
              <w:rPr>
                <w:color w:val="000000" w:themeColor="text1"/>
              </w:rPr>
              <w:t xml:space="preserve">DFAT to share learning on disability inclusion in Indonesia and facilitate ADB access to organisations and networks of people with disability that DFAT is working with. </w:t>
            </w:r>
          </w:p>
          <w:p w14:paraId="0FECE66A" w14:textId="2D337FD0" w:rsidR="00C23DA4" w:rsidRPr="00F672A6" w:rsidRDefault="002B7837" w:rsidP="009263A7">
            <w:pPr>
              <w:spacing w:after="120" w:line="240" w:lineRule="atLeast"/>
              <w:rPr>
                <w:color w:val="000000" w:themeColor="text1"/>
              </w:rPr>
            </w:pPr>
            <w:r w:rsidRPr="00F672A6">
              <w:rPr>
                <w:color w:val="000000" w:themeColor="text1"/>
              </w:rPr>
              <w:t>ADB to track the collection of disability disaggregated data across the portfolio and monitor disability indicators that measure the accessibility of physical infrastructure.</w:t>
            </w:r>
          </w:p>
        </w:tc>
        <w:tc>
          <w:tcPr>
            <w:tcW w:w="1092" w:type="dxa"/>
            <w:shd w:val="clear" w:color="auto" w:fill="FFC000"/>
          </w:tcPr>
          <w:p w14:paraId="0E502CAE" w14:textId="5561611B" w:rsidR="00C23DA4" w:rsidRPr="00F672A6" w:rsidRDefault="00C23DA4" w:rsidP="00F672A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b/>
                <w:bCs/>
                <w:color w:val="auto"/>
              </w:rPr>
            </w:pPr>
            <w:r w:rsidRPr="00F672A6">
              <w:rPr>
                <w:rFonts w:asciiTheme="minorHAnsi" w:hAnsiTheme="minorHAnsi" w:cstheme="minorHAnsi"/>
                <w:b/>
                <w:color w:val="auto"/>
                <w:shd w:val="clear" w:color="auto" w:fill="FFC000"/>
              </w:rPr>
              <w:lastRenderedPageBreak/>
              <w:t>Agree in pa</w:t>
            </w:r>
            <w:r w:rsidRPr="00F672A6">
              <w:rPr>
                <w:rFonts w:asciiTheme="minorHAnsi" w:hAnsiTheme="minorHAnsi" w:cstheme="minorHAnsi"/>
                <w:b/>
                <w:color w:val="auto"/>
              </w:rPr>
              <w:t>rt</w:t>
            </w:r>
          </w:p>
        </w:tc>
        <w:tc>
          <w:tcPr>
            <w:tcW w:w="4814" w:type="dxa"/>
            <w:shd w:val="clear" w:color="auto" w:fill="auto"/>
          </w:tcPr>
          <w:p w14:paraId="45383279" w14:textId="77777777" w:rsidR="00892454" w:rsidRPr="00F672A6" w:rsidRDefault="00C23DA4" w:rsidP="009263A7">
            <w:pPr>
              <w:pStyle w:val="BodyText"/>
              <w:cnfStyle w:val="000000010000" w:firstRow="0" w:lastRow="0" w:firstColumn="0" w:lastColumn="0" w:oddVBand="0" w:evenVBand="0" w:oddHBand="0" w:evenHBand="1" w:firstRowFirstColumn="0" w:firstRowLastColumn="0" w:lastRowFirstColumn="0" w:lastRowLastColumn="0"/>
              <w:rPr>
                <w:color w:val="000000" w:themeColor="text1"/>
              </w:rPr>
            </w:pPr>
            <w:r w:rsidRPr="00F672A6">
              <w:rPr>
                <w:color w:val="000000" w:themeColor="text1"/>
              </w:rPr>
              <w:t>DFAT supports th</w:t>
            </w:r>
            <w:r w:rsidR="00140CC3" w:rsidRPr="00F672A6">
              <w:rPr>
                <w:color w:val="000000" w:themeColor="text1"/>
              </w:rPr>
              <w:t>is</w:t>
            </w:r>
            <w:r w:rsidRPr="00F672A6">
              <w:rPr>
                <w:color w:val="000000" w:themeColor="text1"/>
              </w:rPr>
              <w:t xml:space="preserve"> recommendation</w:t>
            </w:r>
            <w:r w:rsidR="00140CC3" w:rsidRPr="00F672A6">
              <w:rPr>
                <w:color w:val="000000" w:themeColor="text1"/>
              </w:rPr>
              <w:t xml:space="preserve"> and will work </w:t>
            </w:r>
            <w:r w:rsidR="00441498" w:rsidRPr="00F672A6">
              <w:rPr>
                <w:color w:val="000000" w:themeColor="text1"/>
              </w:rPr>
              <w:t>with ADB to implement most sub</w:t>
            </w:r>
            <w:r w:rsidR="00E50707" w:rsidRPr="00F672A6">
              <w:rPr>
                <w:color w:val="000000" w:themeColor="text1"/>
              </w:rPr>
              <w:t>-components</w:t>
            </w:r>
            <w:r w:rsidR="00457C7B" w:rsidRPr="00F672A6">
              <w:rPr>
                <w:color w:val="000000" w:themeColor="text1"/>
              </w:rPr>
              <w:t xml:space="preserve"> during the current program</w:t>
            </w:r>
            <w:r w:rsidR="00E50707" w:rsidRPr="00F672A6">
              <w:rPr>
                <w:color w:val="000000" w:themeColor="text1"/>
              </w:rPr>
              <w:t>.</w:t>
            </w:r>
            <w:r w:rsidR="00892454" w:rsidRPr="00F672A6">
              <w:rPr>
                <w:color w:val="000000" w:themeColor="text1"/>
              </w:rPr>
              <w:t xml:space="preserve"> This will include:</w:t>
            </w:r>
          </w:p>
          <w:p w14:paraId="638ECE48" w14:textId="77777777" w:rsidR="00972E87" w:rsidRPr="00F672A6" w:rsidRDefault="00892454" w:rsidP="00892454">
            <w:pPr>
              <w:pStyle w:val="BodyText"/>
              <w:cnfStyle w:val="000000010000" w:firstRow="0" w:lastRow="0" w:firstColumn="0" w:lastColumn="0" w:oddVBand="0" w:evenVBand="0" w:oddHBand="0" w:evenHBand="1" w:firstRowFirstColumn="0" w:firstRowLastColumn="0" w:lastRowFirstColumn="0" w:lastRowLastColumn="0"/>
              <w:rPr>
                <w:color w:val="000000" w:themeColor="text1"/>
              </w:rPr>
            </w:pPr>
            <w:r w:rsidRPr="00F672A6">
              <w:rPr>
                <w:color w:val="000000" w:themeColor="text1"/>
              </w:rPr>
              <w:t>-</w:t>
            </w:r>
            <w:r w:rsidR="00C23DA4" w:rsidRPr="00F672A6">
              <w:rPr>
                <w:color w:val="000000" w:themeColor="text1"/>
              </w:rPr>
              <w:t xml:space="preserve"> </w:t>
            </w:r>
            <w:r w:rsidR="00972E87" w:rsidRPr="00F672A6">
              <w:rPr>
                <w:color w:val="000000" w:themeColor="text1"/>
              </w:rPr>
              <w:t xml:space="preserve">ADB </w:t>
            </w:r>
            <w:r w:rsidRPr="00F672A6">
              <w:rPr>
                <w:color w:val="000000" w:themeColor="text1"/>
              </w:rPr>
              <w:t xml:space="preserve">developing a </w:t>
            </w:r>
            <w:r w:rsidR="00443B6B" w:rsidRPr="00F672A6">
              <w:rPr>
                <w:color w:val="000000" w:themeColor="text1"/>
              </w:rPr>
              <w:t xml:space="preserve">GEDSI and infrastructure strategy by </w:t>
            </w:r>
            <w:r w:rsidR="00972E87" w:rsidRPr="00F672A6">
              <w:rPr>
                <w:color w:val="000000" w:themeColor="text1"/>
              </w:rPr>
              <w:t>end April 2024</w:t>
            </w:r>
          </w:p>
          <w:p w14:paraId="36B44715" w14:textId="77777777" w:rsidR="009545B4" w:rsidRPr="00F672A6" w:rsidRDefault="00972E87" w:rsidP="00892454">
            <w:pPr>
              <w:pStyle w:val="BodyText"/>
              <w:cnfStyle w:val="000000010000" w:firstRow="0" w:lastRow="0" w:firstColumn="0" w:lastColumn="0" w:oddVBand="0" w:evenVBand="0" w:oddHBand="0" w:evenHBand="1" w:firstRowFirstColumn="0" w:firstRowLastColumn="0" w:lastRowFirstColumn="0" w:lastRowLastColumn="0"/>
              <w:rPr>
                <w:color w:val="000000" w:themeColor="text1"/>
              </w:rPr>
            </w:pPr>
            <w:r w:rsidRPr="00F672A6">
              <w:rPr>
                <w:color w:val="000000" w:themeColor="text1"/>
              </w:rPr>
              <w:t>- ADB</w:t>
            </w:r>
            <w:r w:rsidR="00FD7EDB" w:rsidRPr="00F672A6">
              <w:rPr>
                <w:color w:val="000000" w:themeColor="text1"/>
              </w:rPr>
              <w:t xml:space="preserve"> reviewing the adequacy of SIAP2 resourcing on gender and disability </w:t>
            </w:r>
            <w:r w:rsidR="009545B4" w:rsidRPr="00F672A6">
              <w:rPr>
                <w:color w:val="000000" w:themeColor="text1"/>
              </w:rPr>
              <w:t>and</w:t>
            </w:r>
            <w:r w:rsidRPr="00F672A6">
              <w:rPr>
                <w:color w:val="000000" w:themeColor="text1"/>
              </w:rPr>
              <w:t xml:space="preserve"> reporting</w:t>
            </w:r>
            <w:r w:rsidR="009545B4" w:rsidRPr="00F672A6">
              <w:rPr>
                <w:color w:val="000000" w:themeColor="text1"/>
              </w:rPr>
              <w:t xml:space="preserve"> the findings</w:t>
            </w:r>
            <w:r w:rsidRPr="00F672A6">
              <w:rPr>
                <w:color w:val="000000" w:themeColor="text1"/>
              </w:rPr>
              <w:t xml:space="preserve"> to the SIAP2 Steering Committee </w:t>
            </w:r>
            <w:r w:rsidR="009545B4" w:rsidRPr="00F672A6">
              <w:rPr>
                <w:color w:val="000000" w:themeColor="text1"/>
              </w:rPr>
              <w:t>in February 2024</w:t>
            </w:r>
          </w:p>
          <w:p w14:paraId="7D3364B0" w14:textId="06CB8FA7" w:rsidR="00E27A12" w:rsidRPr="00F672A6" w:rsidRDefault="009545B4" w:rsidP="00892454">
            <w:pPr>
              <w:pStyle w:val="BodyText"/>
              <w:cnfStyle w:val="000000010000" w:firstRow="0" w:lastRow="0" w:firstColumn="0" w:lastColumn="0" w:oddVBand="0" w:evenVBand="0" w:oddHBand="0" w:evenHBand="1" w:firstRowFirstColumn="0" w:firstRowLastColumn="0" w:lastRowFirstColumn="0" w:lastRowLastColumn="0"/>
              <w:rPr>
                <w:color w:val="000000" w:themeColor="text1"/>
              </w:rPr>
            </w:pPr>
            <w:r w:rsidRPr="00F672A6">
              <w:rPr>
                <w:color w:val="000000" w:themeColor="text1"/>
              </w:rPr>
              <w:t xml:space="preserve">- </w:t>
            </w:r>
            <w:r w:rsidR="00E27A12" w:rsidRPr="00F672A6">
              <w:rPr>
                <w:color w:val="000000" w:themeColor="text1"/>
              </w:rPr>
              <w:t>DFAT continu</w:t>
            </w:r>
            <w:r w:rsidR="00180AF2" w:rsidRPr="00F672A6">
              <w:rPr>
                <w:color w:val="000000" w:themeColor="text1"/>
              </w:rPr>
              <w:t>ing</w:t>
            </w:r>
            <w:r w:rsidR="00E27A12" w:rsidRPr="00F672A6">
              <w:rPr>
                <w:color w:val="000000" w:themeColor="text1"/>
              </w:rPr>
              <w:t xml:space="preserve"> to share learning on disability inclusion</w:t>
            </w:r>
            <w:r w:rsidR="00B10914" w:rsidRPr="00F672A6">
              <w:rPr>
                <w:color w:val="000000" w:themeColor="text1"/>
              </w:rPr>
              <w:t xml:space="preserve"> and access to technical expertise,</w:t>
            </w:r>
            <w:r w:rsidR="00E27A12" w:rsidRPr="00F672A6">
              <w:rPr>
                <w:color w:val="000000" w:themeColor="text1"/>
              </w:rPr>
              <w:t xml:space="preserve"> building on the success of the workshop in October 2023</w:t>
            </w:r>
          </w:p>
          <w:p w14:paraId="0C857A5B" w14:textId="77777777" w:rsidR="00CF5160" w:rsidRPr="00F672A6" w:rsidRDefault="00180AF2" w:rsidP="00892454">
            <w:pPr>
              <w:pStyle w:val="BodyText"/>
              <w:cnfStyle w:val="000000010000" w:firstRow="0" w:lastRow="0" w:firstColumn="0" w:lastColumn="0" w:oddVBand="0" w:evenVBand="0" w:oddHBand="0" w:evenHBand="1" w:firstRowFirstColumn="0" w:firstRowLastColumn="0" w:lastRowFirstColumn="0" w:lastRowLastColumn="0"/>
              <w:rPr>
                <w:color w:val="000000" w:themeColor="text1"/>
              </w:rPr>
            </w:pPr>
            <w:r w:rsidRPr="00F672A6">
              <w:rPr>
                <w:color w:val="000000" w:themeColor="text1"/>
              </w:rPr>
              <w:lastRenderedPageBreak/>
              <w:t>- ADB tracking</w:t>
            </w:r>
            <w:r w:rsidR="00495A8D" w:rsidRPr="00F672A6">
              <w:rPr>
                <w:color w:val="000000" w:themeColor="text1"/>
              </w:rPr>
              <w:t xml:space="preserve"> disability disaggregated data</w:t>
            </w:r>
            <w:r w:rsidR="00CF5160" w:rsidRPr="00F672A6">
              <w:rPr>
                <w:color w:val="000000" w:themeColor="text1"/>
              </w:rPr>
              <w:t xml:space="preserve"> across the SIAP2 portfolio and incorporating this into reporting from July 2024.</w:t>
            </w:r>
          </w:p>
          <w:p w14:paraId="08200B94" w14:textId="7BE61F18" w:rsidR="00CF5160" w:rsidRPr="00F672A6" w:rsidRDefault="00154087" w:rsidP="00892454">
            <w:pPr>
              <w:pStyle w:val="BodyText"/>
              <w:cnfStyle w:val="000000010000" w:firstRow="0" w:lastRow="0" w:firstColumn="0" w:lastColumn="0" w:oddVBand="0" w:evenVBand="0" w:oddHBand="0" w:evenHBand="1" w:firstRowFirstColumn="0" w:firstRowLastColumn="0" w:lastRowFirstColumn="0" w:lastRowLastColumn="0"/>
              <w:rPr>
                <w:color w:val="000000" w:themeColor="text1"/>
              </w:rPr>
            </w:pPr>
            <w:r w:rsidRPr="00F672A6">
              <w:rPr>
                <w:color w:val="000000" w:themeColor="text1"/>
              </w:rPr>
              <w:t xml:space="preserve">While the development of a GEDSI and infrastructure strategy should enable a more coherent approach to addressing GEDSI issues in SIAP2, </w:t>
            </w:r>
            <w:r w:rsidR="00A843D0" w:rsidRPr="00F672A6">
              <w:rPr>
                <w:color w:val="000000" w:themeColor="text1"/>
              </w:rPr>
              <w:t xml:space="preserve">DFAT assesses that shifting to a fully programmatic approach </w:t>
            </w:r>
            <w:r w:rsidR="00E304B8" w:rsidRPr="00F672A6">
              <w:rPr>
                <w:color w:val="000000" w:themeColor="text1"/>
              </w:rPr>
              <w:t xml:space="preserve">in the current phase </w:t>
            </w:r>
            <w:r w:rsidR="00A843D0" w:rsidRPr="00F672A6">
              <w:rPr>
                <w:color w:val="000000" w:themeColor="text1"/>
              </w:rPr>
              <w:t xml:space="preserve">would be </w:t>
            </w:r>
            <w:r w:rsidR="00857009" w:rsidRPr="00F672A6">
              <w:rPr>
                <w:color w:val="000000" w:themeColor="text1"/>
              </w:rPr>
              <w:t>given the resourcing requirements.</w:t>
            </w:r>
            <w:r w:rsidR="00E304B8" w:rsidRPr="00F672A6">
              <w:rPr>
                <w:color w:val="000000" w:themeColor="text1"/>
              </w:rPr>
              <w:t xml:space="preserve"> A more programmatic approach should be pursued in the context of a design of any successor program.</w:t>
            </w:r>
            <w:r w:rsidR="007148FB" w:rsidRPr="00F672A6">
              <w:rPr>
                <w:color w:val="000000" w:themeColor="text1"/>
              </w:rPr>
              <w:t xml:space="preserve"> </w:t>
            </w:r>
          </w:p>
          <w:p w14:paraId="34CEBD38" w14:textId="34450286" w:rsidR="00C23DA4" w:rsidRPr="00F672A6" w:rsidRDefault="007148FB" w:rsidP="00B10914">
            <w:pPr>
              <w:pStyle w:val="BodyText"/>
              <w:cnfStyle w:val="000000010000" w:firstRow="0" w:lastRow="0" w:firstColumn="0" w:lastColumn="0" w:oddVBand="0" w:evenVBand="0" w:oddHBand="0" w:evenHBand="1" w:firstRowFirstColumn="0" w:firstRowLastColumn="0" w:lastRowFirstColumn="0" w:lastRowLastColumn="0"/>
              <w:rPr>
                <w:color w:val="000000" w:themeColor="text1"/>
              </w:rPr>
            </w:pPr>
            <w:r w:rsidRPr="00F672A6">
              <w:rPr>
                <w:color w:val="000000" w:themeColor="text1"/>
              </w:rPr>
              <w:t xml:space="preserve">Nonetheless, ADB, GOI and DFAT will seek opportunities to </w:t>
            </w:r>
            <w:r w:rsidR="00C04E5A" w:rsidRPr="00F672A6">
              <w:rPr>
                <w:color w:val="000000" w:themeColor="text1"/>
              </w:rPr>
              <w:t>support GEDSI-focused activities under the knowledge window for the remainder of the current program.</w:t>
            </w:r>
          </w:p>
        </w:tc>
      </w:tr>
      <w:tr w:rsidR="00F672A6" w:rsidRPr="00F672A6" w14:paraId="045F8F04" w14:textId="3A733A30" w:rsidTr="00F67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8" w:type="dxa"/>
            <w:shd w:val="clear" w:color="auto" w:fill="auto"/>
          </w:tcPr>
          <w:p w14:paraId="10A28926" w14:textId="52EA9819" w:rsidR="00C23DA4" w:rsidRPr="00F672A6" w:rsidRDefault="00C23DA4" w:rsidP="00A6203B">
            <w:pPr>
              <w:spacing w:after="120" w:line="240" w:lineRule="atLeast"/>
              <w:rPr>
                <w:b/>
                <w:bCs/>
                <w:color w:val="000000" w:themeColor="text1"/>
              </w:rPr>
            </w:pPr>
            <w:r w:rsidRPr="00F672A6">
              <w:rPr>
                <w:b/>
                <w:bCs/>
                <w:color w:val="000000" w:themeColor="text1"/>
                <w:lang w:val="en-AU"/>
              </w:rPr>
              <w:lastRenderedPageBreak/>
              <w:t xml:space="preserve">3. </w:t>
            </w:r>
            <w:r w:rsidRPr="00F672A6">
              <w:rPr>
                <w:b/>
                <w:bCs/>
                <w:color w:val="000000" w:themeColor="text1"/>
              </w:rPr>
              <w:t xml:space="preserve">Review SIAP2 resourcing </w:t>
            </w:r>
          </w:p>
          <w:p w14:paraId="18F27AA9" w14:textId="39ADD5E5" w:rsidR="00C23DA4" w:rsidRPr="00F672A6" w:rsidRDefault="00A6203B" w:rsidP="00133F9B">
            <w:pPr>
              <w:suppressAutoHyphens w:val="0"/>
              <w:spacing w:after="120" w:line="240" w:lineRule="atLeast"/>
              <w:rPr>
                <w:color w:val="000000" w:themeColor="text1"/>
              </w:rPr>
            </w:pPr>
            <w:r w:rsidRPr="00F672A6">
              <w:rPr>
                <w:color w:val="000000" w:themeColor="text1"/>
              </w:rPr>
              <w:t xml:space="preserve">ADB to review the adequacy of safeguards, gender, </w:t>
            </w:r>
            <w:proofErr w:type="gramStart"/>
            <w:r w:rsidRPr="00F672A6">
              <w:rPr>
                <w:color w:val="000000" w:themeColor="text1"/>
              </w:rPr>
              <w:t>disability</w:t>
            </w:r>
            <w:proofErr w:type="gramEnd"/>
            <w:r w:rsidRPr="00F672A6">
              <w:rPr>
                <w:color w:val="000000" w:themeColor="text1"/>
              </w:rPr>
              <w:t xml:space="preserve"> and M&amp;E resourcing in terms of capability and available budget, in the core team related to SIAP2 projects, as well as on loan specific project teams and to ensure that comprehensive support in these aspects can be provided to SIAP2 subprojects.</w:t>
            </w:r>
          </w:p>
        </w:tc>
        <w:tc>
          <w:tcPr>
            <w:tcW w:w="1092" w:type="dxa"/>
            <w:shd w:val="clear" w:color="auto" w:fill="92D050"/>
            <w:hideMark/>
          </w:tcPr>
          <w:p w14:paraId="29587352" w14:textId="60FC6698" w:rsidR="00C23DA4" w:rsidRPr="00F672A6" w:rsidRDefault="00C23DA4" w:rsidP="00F672A6">
            <w:pPr>
              <w:cnfStyle w:val="000000100000" w:firstRow="0" w:lastRow="0" w:firstColumn="0" w:lastColumn="0" w:oddVBand="0" w:evenVBand="0" w:oddHBand="1" w:evenHBand="0" w:firstRowFirstColumn="0" w:firstRowLastColumn="0" w:lastRowFirstColumn="0" w:lastRowLastColumn="0"/>
              <w:rPr>
                <w:b/>
                <w:color w:val="auto"/>
                <w:sz w:val="24"/>
                <w:szCs w:val="24"/>
              </w:rPr>
            </w:pPr>
            <w:r w:rsidRPr="00F672A6">
              <w:rPr>
                <w:b/>
                <w:color w:val="auto"/>
              </w:rPr>
              <w:t xml:space="preserve">Agree </w:t>
            </w:r>
          </w:p>
        </w:tc>
        <w:tc>
          <w:tcPr>
            <w:tcW w:w="4814" w:type="dxa"/>
            <w:shd w:val="clear" w:color="auto" w:fill="auto"/>
          </w:tcPr>
          <w:p w14:paraId="414CE708" w14:textId="6DE01970" w:rsidR="00C23DA4" w:rsidRPr="00F672A6" w:rsidRDefault="00C23DA4" w:rsidP="009263A7">
            <w:pPr>
              <w:pStyle w:val="BodyText"/>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F672A6">
              <w:rPr>
                <w:color w:val="000000" w:themeColor="text1"/>
              </w:rPr>
              <w:t xml:space="preserve">DFAT will request the ADB to </w:t>
            </w:r>
            <w:r w:rsidR="00A80358" w:rsidRPr="00F672A6">
              <w:rPr>
                <w:color w:val="000000" w:themeColor="text1"/>
              </w:rPr>
              <w:t xml:space="preserve">report on </w:t>
            </w:r>
            <w:r w:rsidRPr="00F672A6">
              <w:rPr>
                <w:color w:val="000000" w:themeColor="text1"/>
              </w:rPr>
              <w:t xml:space="preserve">its safeguards, gender, disability, and M&amp;E resourcing </w:t>
            </w:r>
            <w:r w:rsidR="00A80358" w:rsidRPr="00F672A6">
              <w:rPr>
                <w:color w:val="000000" w:themeColor="text1"/>
              </w:rPr>
              <w:t>at the next Steering Committee</w:t>
            </w:r>
            <w:r w:rsidR="000673ED" w:rsidRPr="00F672A6">
              <w:rPr>
                <w:color w:val="000000" w:themeColor="text1"/>
              </w:rPr>
              <w:t xml:space="preserve"> meeting in February 2024</w:t>
            </w:r>
            <w:r w:rsidR="00133F9B" w:rsidRPr="00F672A6">
              <w:rPr>
                <w:color w:val="000000" w:themeColor="text1"/>
              </w:rPr>
              <w:t>, to ensure appropriate support is provided to SIAP2 activities.</w:t>
            </w:r>
          </w:p>
        </w:tc>
      </w:tr>
      <w:tr w:rsidR="00F672A6" w:rsidRPr="00F672A6" w14:paraId="6E850E8A" w14:textId="0C0F26B1" w:rsidTr="00F672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8" w:type="dxa"/>
            <w:shd w:val="clear" w:color="auto" w:fill="auto"/>
          </w:tcPr>
          <w:p w14:paraId="5BA78A51" w14:textId="4F7AF75D" w:rsidR="00C23DA4" w:rsidRPr="00F672A6" w:rsidRDefault="00C23DA4" w:rsidP="009263A7">
            <w:pPr>
              <w:spacing w:after="120" w:line="240" w:lineRule="atLeast"/>
              <w:rPr>
                <w:b/>
                <w:bCs/>
                <w:color w:val="000000" w:themeColor="text1"/>
                <w:sz w:val="24"/>
                <w:szCs w:val="24"/>
              </w:rPr>
            </w:pPr>
            <w:r w:rsidRPr="00F672A6">
              <w:rPr>
                <w:b/>
                <w:bCs/>
                <w:color w:val="000000" w:themeColor="text1"/>
              </w:rPr>
              <w:t>4. Extension of SIAP2 beyond June 2024</w:t>
            </w:r>
            <w:r w:rsidRPr="00F672A6">
              <w:rPr>
                <w:b/>
                <w:bCs/>
                <w:color w:val="000000" w:themeColor="text1"/>
                <w:sz w:val="24"/>
                <w:szCs w:val="24"/>
              </w:rPr>
              <w:t xml:space="preserve"> </w:t>
            </w:r>
          </w:p>
          <w:p w14:paraId="4C3AC986" w14:textId="4E30E9F7" w:rsidR="00C23DA4" w:rsidRPr="00F672A6" w:rsidRDefault="008A4D27" w:rsidP="00592B1F">
            <w:pPr>
              <w:suppressAutoHyphens w:val="0"/>
              <w:spacing w:after="120" w:line="240" w:lineRule="atLeast"/>
              <w:jc w:val="both"/>
              <w:rPr>
                <w:color w:val="000000" w:themeColor="text1"/>
              </w:rPr>
            </w:pPr>
            <w:r w:rsidRPr="00F672A6">
              <w:rPr>
                <w:color w:val="000000" w:themeColor="text1"/>
              </w:rPr>
              <w:lastRenderedPageBreak/>
              <w:t xml:space="preserve">Based on the findings of this MTR, it is recommended that the program duration for SIAP2 should be extended beyond June 2024, to enable the M&amp;E Indicators, including Indicator 4 on leverage, to be </w:t>
            </w:r>
            <w:proofErr w:type="gramStart"/>
            <w:r w:rsidRPr="00F672A6">
              <w:rPr>
                <w:color w:val="000000" w:themeColor="text1"/>
              </w:rPr>
              <w:t>achieved to the fullest extent</w:t>
            </w:r>
            <w:proofErr w:type="gramEnd"/>
            <w:r w:rsidRPr="00F672A6">
              <w:rPr>
                <w:color w:val="000000" w:themeColor="text1"/>
              </w:rPr>
              <w:t xml:space="preserve"> possible. SIAP2 offers the ability to leverage investments to a much greater extent through ADB loans and co-financing than via independently implemented programs. At the same time, SIAP2 funding is enabling effective institutional reform and infrastructure development in critical sectors across Indonesia.</w:t>
            </w:r>
          </w:p>
        </w:tc>
        <w:tc>
          <w:tcPr>
            <w:tcW w:w="1092" w:type="dxa"/>
            <w:shd w:val="clear" w:color="auto" w:fill="92D050"/>
            <w:hideMark/>
          </w:tcPr>
          <w:p w14:paraId="2CDD53AD" w14:textId="62749F8C" w:rsidR="00C23DA4" w:rsidRPr="00F672A6" w:rsidRDefault="00C23DA4" w:rsidP="00F672A6">
            <w:pPr>
              <w:cnfStyle w:val="000000010000" w:firstRow="0" w:lastRow="0" w:firstColumn="0" w:lastColumn="0" w:oddVBand="0" w:evenVBand="0" w:oddHBand="0" w:evenHBand="1" w:firstRowFirstColumn="0" w:firstRowLastColumn="0" w:lastRowFirstColumn="0" w:lastRowLastColumn="0"/>
              <w:rPr>
                <w:b/>
                <w:color w:val="auto"/>
              </w:rPr>
            </w:pPr>
            <w:r w:rsidRPr="00F672A6">
              <w:rPr>
                <w:b/>
                <w:color w:val="auto"/>
              </w:rPr>
              <w:lastRenderedPageBreak/>
              <w:t xml:space="preserve">Agree </w:t>
            </w:r>
          </w:p>
          <w:p w14:paraId="0651E968" w14:textId="078EE487" w:rsidR="00C23DA4" w:rsidRPr="00F672A6" w:rsidRDefault="00C23DA4" w:rsidP="00F672A6">
            <w:pPr>
              <w:cnfStyle w:val="000000010000" w:firstRow="0" w:lastRow="0" w:firstColumn="0" w:lastColumn="0" w:oddVBand="0" w:evenVBand="0" w:oddHBand="0" w:evenHBand="1" w:firstRowFirstColumn="0" w:firstRowLastColumn="0" w:lastRowFirstColumn="0" w:lastRowLastColumn="0"/>
              <w:rPr>
                <w:color w:val="auto"/>
                <w:sz w:val="24"/>
                <w:szCs w:val="24"/>
              </w:rPr>
            </w:pPr>
          </w:p>
        </w:tc>
        <w:tc>
          <w:tcPr>
            <w:tcW w:w="4814" w:type="dxa"/>
            <w:shd w:val="clear" w:color="auto" w:fill="auto"/>
          </w:tcPr>
          <w:p w14:paraId="0F73F873" w14:textId="1FF0A4E4" w:rsidR="00C23DA4" w:rsidRPr="00F672A6" w:rsidRDefault="00FC1C68" w:rsidP="0023545C">
            <w:pPr>
              <w:pStyle w:val="BodyText"/>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F672A6">
              <w:rPr>
                <w:color w:val="000000" w:themeColor="text1"/>
              </w:rPr>
              <w:t xml:space="preserve">Subject to </w:t>
            </w:r>
            <w:r w:rsidR="00B34178" w:rsidRPr="00F672A6">
              <w:rPr>
                <w:color w:val="000000" w:themeColor="text1"/>
              </w:rPr>
              <w:t xml:space="preserve">internal approvals, </w:t>
            </w:r>
            <w:r w:rsidR="00C23DA4" w:rsidRPr="00F672A6">
              <w:rPr>
                <w:color w:val="000000" w:themeColor="text1"/>
              </w:rPr>
              <w:t xml:space="preserve">DFAT </w:t>
            </w:r>
            <w:r w:rsidR="00B34178" w:rsidRPr="00F672A6">
              <w:rPr>
                <w:color w:val="000000" w:themeColor="text1"/>
              </w:rPr>
              <w:t xml:space="preserve">will </w:t>
            </w:r>
            <w:r w:rsidR="00657A67" w:rsidRPr="00F672A6">
              <w:rPr>
                <w:color w:val="000000" w:themeColor="text1"/>
              </w:rPr>
              <w:t xml:space="preserve">work with ADB on extending SIAP2 to end December 2025 at no </w:t>
            </w:r>
            <w:r w:rsidR="00C17D6E" w:rsidRPr="00F672A6">
              <w:rPr>
                <w:color w:val="000000" w:themeColor="text1"/>
              </w:rPr>
              <w:t xml:space="preserve">cost to </w:t>
            </w:r>
            <w:r w:rsidR="00C23DA4" w:rsidRPr="00F672A6">
              <w:rPr>
                <w:color w:val="000000" w:themeColor="text1"/>
              </w:rPr>
              <w:t xml:space="preserve">enable the M&amp;E </w:t>
            </w:r>
            <w:r w:rsidR="00C17D6E" w:rsidRPr="00F672A6">
              <w:rPr>
                <w:color w:val="000000" w:themeColor="text1"/>
              </w:rPr>
              <w:t>i</w:t>
            </w:r>
            <w:r w:rsidR="00C23DA4" w:rsidRPr="00F672A6">
              <w:rPr>
                <w:color w:val="000000" w:themeColor="text1"/>
              </w:rPr>
              <w:t xml:space="preserve">ndicators, including Indicator 4 on leverage, to be fully achieved. </w:t>
            </w:r>
            <w:r w:rsidR="005D05B2" w:rsidRPr="00F672A6">
              <w:rPr>
                <w:color w:val="000000" w:themeColor="text1"/>
              </w:rPr>
              <w:t xml:space="preserve">This </w:t>
            </w:r>
            <w:r w:rsidR="005D05B2" w:rsidRPr="00F672A6">
              <w:rPr>
                <w:color w:val="000000" w:themeColor="text1"/>
              </w:rPr>
              <w:lastRenderedPageBreak/>
              <w:t>e</w:t>
            </w:r>
            <w:r w:rsidR="00144656" w:rsidRPr="00F672A6">
              <w:rPr>
                <w:color w:val="000000" w:themeColor="text1"/>
              </w:rPr>
              <w:t>xtension will enable ADB and DFAT to address some of the other recommendations of this MTR, including</w:t>
            </w:r>
            <w:r w:rsidR="00DC37A1" w:rsidRPr="00F672A6">
              <w:rPr>
                <w:color w:val="000000" w:themeColor="text1"/>
              </w:rPr>
              <w:t xml:space="preserve"> recommendations 1, 2, 6 and 8.</w:t>
            </w:r>
            <w:r w:rsidR="00DA669B" w:rsidRPr="00F672A6">
              <w:rPr>
                <w:rStyle w:val="Heading1Char"/>
                <w:color w:val="000000" w:themeColor="text1"/>
              </w:rPr>
              <w:t xml:space="preserve"> </w:t>
            </w:r>
            <w:r w:rsidR="00DA669B" w:rsidRPr="00F672A6">
              <w:rPr>
                <w:color w:val="000000" w:themeColor="text1"/>
              </w:rPr>
              <w:t xml:space="preserve">A no-cost extension would support portfolio level planning and optimise efficiencies and complementarity between DFAT’s infrastructure and energy investments in Indonesia.  </w:t>
            </w:r>
          </w:p>
        </w:tc>
      </w:tr>
    </w:tbl>
    <w:p w14:paraId="5DACFCA7" w14:textId="3B7E87F9" w:rsidR="00F672A6" w:rsidRDefault="00F672A6" w:rsidP="005E6C16">
      <w:pPr>
        <w:pStyle w:val="Heading2"/>
        <w:spacing w:before="240" w:after="240"/>
      </w:pPr>
      <w:r w:rsidRPr="00F672A6">
        <w:lastRenderedPageBreak/>
        <w:t>Recommendations for longer term programming</w:t>
      </w:r>
    </w:p>
    <w:tbl>
      <w:tblPr>
        <w:tblStyle w:val="DFATTable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dividual management response to the recommendations."/>
        <w:tblDescription w:val="Recommendation: Recommendation 1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
      </w:tblPr>
      <w:tblGrid>
        <w:gridCol w:w="3728"/>
        <w:gridCol w:w="1092"/>
        <w:gridCol w:w="4814"/>
      </w:tblGrid>
      <w:tr w:rsidR="00F672A6" w:rsidRPr="00F672A6" w14:paraId="5A0CE373" w14:textId="77777777" w:rsidTr="005D0BB4">
        <w:trPr>
          <w:cnfStyle w:val="100000000000" w:firstRow="1" w:lastRow="0" w:firstColumn="0" w:lastColumn="0" w:oddVBand="0" w:evenVBand="0" w:oddHBand="0"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3728" w:type="dxa"/>
            <w:tcBorders>
              <w:top w:val="single" w:sz="4" w:space="0" w:color="auto"/>
              <w:bottom w:val="single" w:sz="4" w:space="0" w:color="auto"/>
            </w:tcBorders>
            <w:shd w:val="clear" w:color="auto" w:fill="DEEAF6" w:themeFill="accent1" w:themeFillTint="33"/>
            <w:hideMark/>
          </w:tcPr>
          <w:p w14:paraId="69692BCF" w14:textId="77777777" w:rsidR="00F672A6" w:rsidRPr="00F672A6" w:rsidRDefault="00F672A6" w:rsidP="00F672A6">
            <w:pPr>
              <w:pStyle w:val="TableHeaderRow"/>
              <w:rPr>
                <w:color w:val="auto"/>
              </w:rPr>
            </w:pPr>
            <w:r w:rsidRPr="00F672A6">
              <w:rPr>
                <w:color w:val="auto"/>
              </w:rPr>
              <w:t>Recommendations</w:t>
            </w:r>
          </w:p>
        </w:tc>
        <w:tc>
          <w:tcPr>
            <w:tcW w:w="1092" w:type="dxa"/>
            <w:tcBorders>
              <w:top w:val="single" w:sz="4" w:space="0" w:color="auto"/>
              <w:bottom w:val="single" w:sz="4" w:space="0" w:color="auto"/>
            </w:tcBorders>
            <w:shd w:val="clear" w:color="auto" w:fill="DEEAF6" w:themeFill="accent1" w:themeFillTint="33"/>
            <w:hideMark/>
          </w:tcPr>
          <w:p w14:paraId="02C2A12F" w14:textId="77777777" w:rsidR="00F672A6" w:rsidRPr="00F672A6" w:rsidRDefault="00F672A6" w:rsidP="00F672A6">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F672A6">
              <w:rPr>
                <w:color w:val="auto"/>
              </w:rPr>
              <w:t xml:space="preserve">Response </w:t>
            </w:r>
          </w:p>
        </w:tc>
        <w:tc>
          <w:tcPr>
            <w:tcW w:w="4814" w:type="dxa"/>
            <w:tcBorders>
              <w:top w:val="single" w:sz="4" w:space="0" w:color="auto"/>
              <w:bottom w:val="single" w:sz="4" w:space="0" w:color="auto"/>
            </w:tcBorders>
            <w:shd w:val="clear" w:color="auto" w:fill="DEEAF6" w:themeFill="accent1" w:themeFillTint="33"/>
            <w:hideMark/>
          </w:tcPr>
          <w:p w14:paraId="7FAE3AA6" w14:textId="77777777" w:rsidR="00F672A6" w:rsidRPr="00F672A6" w:rsidRDefault="00F672A6" w:rsidP="00F672A6">
            <w:pPr>
              <w:pStyle w:val="TableHeaderRow"/>
              <w:cnfStyle w:val="100000000000" w:firstRow="1" w:lastRow="0" w:firstColumn="0" w:lastColumn="0" w:oddVBand="0" w:evenVBand="0" w:oddHBand="0" w:evenHBand="0" w:firstRowFirstColumn="0" w:firstRowLastColumn="0" w:lastRowFirstColumn="0" w:lastRowLastColumn="0"/>
              <w:rPr>
                <w:color w:val="auto"/>
              </w:rPr>
            </w:pPr>
            <w:r w:rsidRPr="00F672A6">
              <w:rPr>
                <w:color w:val="auto"/>
              </w:rPr>
              <w:t xml:space="preserve">Explanation </w:t>
            </w:r>
          </w:p>
        </w:tc>
      </w:tr>
      <w:tr w:rsidR="00F672A6" w:rsidRPr="00F672A6" w14:paraId="6E58B0D5" w14:textId="7222CD6B" w:rsidTr="00F67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8" w:type="dxa"/>
            <w:shd w:val="clear" w:color="auto" w:fill="auto"/>
          </w:tcPr>
          <w:p w14:paraId="52F40221" w14:textId="77777777" w:rsidR="004243F5" w:rsidRPr="00F672A6" w:rsidRDefault="00C23DA4" w:rsidP="002130E5">
            <w:pPr>
              <w:spacing w:after="120" w:line="240" w:lineRule="atLeast"/>
              <w:rPr>
                <w:b/>
                <w:bCs/>
                <w:color w:val="000000" w:themeColor="text1"/>
              </w:rPr>
            </w:pPr>
            <w:r w:rsidRPr="00F672A6">
              <w:rPr>
                <w:b/>
                <w:bCs/>
                <w:color w:val="000000" w:themeColor="text1"/>
              </w:rPr>
              <w:t xml:space="preserve">5. </w:t>
            </w:r>
            <w:r w:rsidR="004243F5" w:rsidRPr="00F672A6">
              <w:rPr>
                <w:b/>
                <w:bCs/>
                <w:color w:val="000000" w:themeColor="text1"/>
              </w:rPr>
              <w:t>Policy</w:t>
            </w:r>
          </w:p>
          <w:p w14:paraId="50D945A4" w14:textId="37E5862C" w:rsidR="002130E5" w:rsidRPr="00F672A6" w:rsidRDefault="002130E5" w:rsidP="009263A7">
            <w:pPr>
              <w:spacing w:after="120" w:line="240" w:lineRule="atLeast"/>
              <w:rPr>
                <w:color w:val="000000" w:themeColor="text1"/>
              </w:rPr>
            </w:pPr>
            <w:proofErr w:type="gramStart"/>
            <w:r w:rsidRPr="00F672A6">
              <w:rPr>
                <w:color w:val="000000" w:themeColor="text1"/>
              </w:rPr>
              <w:t>Take into account</w:t>
            </w:r>
            <w:proofErr w:type="gramEnd"/>
            <w:r w:rsidRPr="00F672A6">
              <w:rPr>
                <w:color w:val="000000" w:themeColor="text1"/>
              </w:rPr>
              <w:t xml:space="preserve"> relevant GOI’s changing political priorities and GOA’s updated policy on international development and infrastructure financing, as well as other relevant projects in Indonesia, such as the Climate and Infrastructure Partnership with Indonesia.</w:t>
            </w:r>
          </w:p>
        </w:tc>
        <w:tc>
          <w:tcPr>
            <w:tcW w:w="1092" w:type="dxa"/>
            <w:shd w:val="clear" w:color="auto" w:fill="92D050"/>
          </w:tcPr>
          <w:p w14:paraId="3A5172CE" w14:textId="24152A73" w:rsidR="00C23DA4" w:rsidRPr="00F672A6" w:rsidRDefault="00C23DA4" w:rsidP="00F672A6">
            <w:pPr>
              <w:cnfStyle w:val="000000100000" w:firstRow="0" w:lastRow="0" w:firstColumn="0" w:lastColumn="0" w:oddVBand="0" w:evenVBand="0" w:oddHBand="1" w:evenHBand="0" w:firstRowFirstColumn="0" w:firstRowLastColumn="0" w:lastRowFirstColumn="0" w:lastRowLastColumn="0"/>
              <w:rPr>
                <w:color w:val="auto"/>
                <w:sz w:val="24"/>
                <w:szCs w:val="24"/>
              </w:rPr>
            </w:pPr>
            <w:r w:rsidRPr="00F672A6">
              <w:rPr>
                <w:b/>
                <w:color w:val="auto"/>
              </w:rPr>
              <w:t>Agree</w:t>
            </w:r>
          </w:p>
        </w:tc>
        <w:tc>
          <w:tcPr>
            <w:tcW w:w="4814" w:type="dxa"/>
            <w:shd w:val="clear" w:color="auto" w:fill="auto"/>
          </w:tcPr>
          <w:p w14:paraId="61AE1496" w14:textId="5A91E73A" w:rsidR="00C23DA4" w:rsidRPr="00F672A6" w:rsidRDefault="009E0543" w:rsidP="0023545C">
            <w:pPr>
              <w:pStyle w:val="BodyText"/>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F672A6">
              <w:rPr>
                <w:color w:val="000000" w:themeColor="text1"/>
              </w:rPr>
              <w:t>New policies, particularly those issued by the Governments of Indonesia and Australia,</w:t>
            </w:r>
            <w:r w:rsidR="004243F5" w:rsidRPr="00F672A6">
              <w:rPr>
                <w:color w:val="000000" w:themeColor="text1"/>
              </w:rPr>
              <w:t xml:space="preserve"> are routinely considered </w:t>
            </w:r>
            <w:r w:rsidRPr="00F672A6">
              <w:rPr>
                <w:color w:val="000000" w:themeColor="text1"/>
              </w:rPr>
              <w:t>in managing existing development programs and in designing new programs.</w:t>
            </w:r>
            <w:r w:rsidRPr="00F672A6">
              <w:rPr>
                <w:color w:val="000000" w:themeColor="text1"/>
                <w:sz w:val="24"/>
                <w:szCs w:val="24"/>
              </w:rPr>
              <w:t xml:space="preserve"> </w:t>
            </w:r>
            <w:r w:rsidR="00DA669B" w:rsidRPr="00F672A6">
              <w:rPr>
                <w:color w:val="000000" w:themeColor="text1"/>
              </w:rPr>
              <w:t>The implementation of Australia’s new international development policy</w:t>
            </w:r>
            <w:r w:rsidR="00EB4F04" w:rsidRPr="00F672A6">
              <w:rPr>
                <w:color w:val="000000" w:themeColor="text1"/>
              </w:rPr>
              <w:t xml:space="preserve"> (August 2023)</w:t>
            </w:r>
            <w:r w:rsidR="00DA669B" w:rsidRPr="00F672A6">
              <w:rPr>
                <w:color w:val="000000" w:themeColor="text1"/>
              </w:rPr>
              <w:t xml:space="preserve">, </w:t>
            </w:r>
            <w:r w:rsidR="00DA669B" w:rsidRPr="00F672A6">
              <w:rPr>
                <w:i/>
                <w:iCs/>
                <w:color w:val="000000" w:themeColor="text1"/>
              </w:rPr>
              <w:t xml:space="preserve">Invested: Australia’s </w:t>
            </w:r>
            <w:r w:rsidR="00EB4F04" w:rsidRPr="00F672A6">
              <w:rPr>
                <w:i/>
                <w:iCs/>
                <w:color w:val="000000" w:themeColor="text1"/>
              </w:rPr>
              <w:t xml:space="preserve">Southeast Asia </w:t>
            </w:r>
            <w:r w:rsidR="00DA669B" w:rsidRPr="00F672A6">
              <w:rPr>
                <w:i/>
                <w:iCs/>
                <w:color w:val="000000" w:themeColor="text1"/>
              </w:rPr>
              <w:t>Economic Strategy to 2040</w:t>
            </w:r>
            <w:r w:rsidR="00EB4F04" w:rsidRPr="00F672A6">
              <w:rPr>
                <w:i/>
                <w:iCs/>
                <w:color w:val="000000" w:themeColor="text1"/>
              </w:rPr>
              <w:t xml:space="preserve"> </w:t>
            </w:r>
            <w:r w:rsidR="00EB4F04" w:rsidRPr="00F672A6">
              <w:rPr>
                <w:color w:val="000000" w:themeColor="text1"/>
              </w:rPr>
              <w:t>(September 2023)</w:t>
            </w:r>
            <w:r w:rsidR="00DA669B" w:rsidRPr="00F672A6">
              <w:rPr>
                <w:color w:val="000000" w:themeColor="text1"/>
              </w:rPr>
              <w:t xml:space="preserve">, and </w:t>
            </w:r>
            <w:r w:rsidR="00EB4F04" w:rsidRPr="00F672A6">
              <w:rPr>
                <w:color w:val="000000" w:themeColor="text1"/>
              </w:rPr>
              <w:t>the Indonesia-Australia Climate and Infrastructure Partnership are all relevant for SIAP2.</w:t>
            </w:r>
          </w:p>
        </w:tc>
      </w:tr>
      <w:tr w:rsidR="00F672A6" w:rsidRPr="00F672A6" w14:paraId="3552421C" w14:textId="51A872C6" w:rsidTr="00F672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8" w:type="dxa"/>
            <w:shd w:val="clear" w:color="auto" w:fill="auto"/>
          </w:tcPr>
          <w:p w14:paraId="78C1041F" w14:textId="30990348" w:rsidR="00C23DA4" w:rsidRPr="00F672A6" w:rsidRDefault="00C23DA4" w:rsidP="009263A7">
            <w:pPr>
              <w:spacing w:after="120" w:line="240" w:lineRule="atLeast"/>
              <w:rPr>
                <w:b/>
                <w:bCs/>
                <w:color w:val="000000" w:themeColor="text1"/>
              </w:rPr>
            </w:pPr>
            <w:r w:rsidRPr="00F672A6">
              <w:rPr>
                <w:b/>
                <w:bCs/>
                <w:color w:val="000000" w:themeColor="text1"/>
              </w:rPr>
              <w:t xml:space="preserve">6.  </w:t>
            </w:r>
            <w:r w:rsidR="00291FF9" w:rsidRPr="00F672A6">
              <w:rPr>
                <w:b/>
                <w:bCs/>
                <w:color w:val="000000" w:themeColor="text1"/>
              </w:rPr>
              <w:t>Gender Equality, Disability and Social Inclusion</w:t>
            </w:r>
          </w:p>
          <w:p w14:paraId="31A705D5" w14:textId="5D422DEB" w:rsidR="00291FF9" w:rsidRPr="00F672A6" w:rsidRDefault="00291FF9" w:rsidP="005950C9">
            <w:pPr>
              <w:suppressAutoHyphens w:val="0"/>
              <w:spacing w:after="120" w:line="240" w:lineRule="atLeast"/>
              <w:jc w:val="both"/>
              <w:rPr>
                <w:color w:val="000000" w:themeColor="text1"/>
              </w:rPr>
            </w:pPr>
            <w:r w:rsidRPr="00F672A6">
              <w:rPr>
                <w:color w:val="000000" w:themeColor="text1"/>
              </w:rPr>
              <w:t>ADB and DFAT to revise the current gender indicator in the M&amp;E framework to meet DFAT standards, noting that any new investment will require a gender equality objective and meet related OECD DAC requirements.</w:t>
            </w:r>
          </w:p>
        </w:tc>
        <w:tc>
          <w:tcPr>
            <w:tcW w:w="1092" w:type="dxa"/>
            <w:shd w:val="clear" w:color="auto" w:fill="92D050"/>
          </w:tcPr>
          <w:p w14:paraId="6F9783A2" w14:textId="24A97170" w:rsidR="00C23DA4" w:rsidRPr="00F672A6" w:rsidRDefault="00C23DA4" w:rsidP="00F672A6">
            <w:pPr>
              <w:cnfStyle w:val="000000010000" w:firstRow="0" w:lastRow="0" w:firstColumn="0" w:lastColumn="0" w:oddVBand="0" w:evenVBand="0" w:oddHBand="0" w:evenHBand="1" w:firstRowFirstColumn="0" w:firstRowLastColumn="0" w:lastRowFirstColumn="0" w:lastRowLastColumn="0"/>
              <w:rPr>
                <w:color w:val="auto"/>
                <w:sz w:val="24"/>
                <w:szCs w:val="24"/>
              </w:rPr>
            </w:pPr>
            <w:r w:rsidRPr="00F672A6">
              <w:rPr>
                <w:b/>
                <w:color w:val="auto"/>
              </w:rPr>
              <w:t>Agree</w:t>
            </w:r>
          </w:p>
        </w:tc>
        <w:tc>
          <w:tcPr>
            <w:tcW w:w="4814" w:type="dxa"/>
            <w:shd w:val="clear" w:color="auto" w:fill="auto"/>
          </w:tcPr>
          <w:p w14:paraId="22A1D417" w14:textId="7EEDC141" w:rsidR="00C23DA4" w:rsidRPr="00F672A6" w:rsidRDefault="00801FEF" w:rsidP="0023545C">
            <w:pPr>
              <w:pStyle w:val="BodyText"/>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F672A6">
              <w:rPr>
                <w:color w:val="000000" w:themeColor="text1"/>
              </w:rPr>
              <w:t>DFAT and ADB will update t</w:t>
            </w:r>
            <w:r w:rsidR="00C23DA4" w:rsidRPr="00F672A6">
              <w:rPr>
                <w:color w:val="000000" w:themeColor="text1"/>
              </w:rPr>
              <w:t>he gender indicator</w:t>
            </w:r>
            <w:r w:rsidR="006402F9" w:rsidRPr="00F672A6">
              <w:rPr>
                <w:color w:val="000000" w:themeColor="text1"/>
              </w:rPr>
              <w:t xml:space="preserve"> as part of the </w:t>
            </w:r>
            <w:r w:rsidR="00931647" w:rsidRPr="00F672A6">
              <w:rPr>
                <w:color w:val="000000" w:themeColor="text1"/>
              </w:rPr>
              <w:t>review</w:t>
            </w:r>
            <w:r w:rsidR="00C20F62" w:rsidRPr="00F672A6">
              <w:rPr>
                <w:color w:val="000000" w:themeColor="text1"/>
              </w:rPr>
              <w:t xml:space="preserve"> of program</w:t>
            </w:r>
            <w:r w:rsidR="005950C9" w:rsidRPr="00F672A6">
              <w:rPr>
                <w:color w:val="000000" w:themeColor="text1"/>
              </w:rPr>
              <w:t xml:space="preserve"> </w:t>
            </w:r>
            <w:r w:rsidRPr="00F672A6">
              <w:rPr>
                <w:color w:val="000000" w:themeColor="text1"/>
              </w:rPr>
              <w:t xml:space="preserve">targets (per </w:t>
            </w:r>
            <w:r w:rsidR="00931647" w:rsidRPr="00F672A6">
              <w:rPr>
                <w:color w:val="000000" w:themeColor="text1"/>
              </w:rPr>
              <w:t>recommendation 8). A</w:t>
            </w:r>
            <w:r w:rsidR="00C23DA4" w:rsidRPr="00F672A6">
              <w:rPr>
                <w:color w:val="000000" w:themeColor="text1"/>
              </w:rPr>
              <w:t xml:space="preserve">ny </w:t>
            </w:r>
            <w:r w:rsidRPr="00F672A6">
              <w:rPr>
                <w:color w:val="000000" w:themeColor="text1"/>
              </w:rPr>
              <w:t>successor program</w:t>
            </w:r>
            <w:r w:rsidR="00C23DA4" w:rsidRPr="00F672A6">
              <w:rPr>
                <w:color w:val="000000" w:themeColor="text1"/>
              </w:rPr>
              <w:t xml:space="preserve"> </w:t>
            </w:r>
            <w:r w:rsidRPr="00F672A6">
              <w:rPr>
                <w:color w:val="000000" w:themeColor="text1"/>
              </w:rPr>
              <w:t xml:space="preserve">would </w:t>
            </w:r>
            <w:r w:rsidR="00C23DA4" w:rsidRPr="00F672A6">
              <w:rPr>
                <w:color w:val="000000" w:themeColor="text1"/>
              </w:rPr>
              <w:t xml:space="preserve">be required to meet </w:t>
            </w:r>
            <w:r w:rsidR="0097339D" w:rsidRPr="00F672A6">
              <w:rPr>
                <w:color w:val="000000" w:themeColor="text1"/>
              </w:rPr>
              <w:t>DFAT’s international development policy objectives regarding gender equality</w:t>
            </w:r>
            <w:r w:rsidR="00C23DA4" w:rsidRPr="00F672A6">
              <w:rPr>
                <w:color w:val="000000" w:themeColor="text1"/>
              </w:rPr>
              <w:t>.</w:t>
            </w:r>
          </w:p>
        </w:tc>
      </w:tr>
      <w:tr w:rsidR="00F672A6" w:rsidRPr="00F672A6" w14:paraId="2C82C82C" w14:textId="0430361F" w:rsidTr="00F672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8" w:type="dxa"/>
            <w:shd w:val="clear" w:color="auto" w:fill="auto"/>
          </w:tcPr>
          <w:p w14:paraId="6FF964C0" w14:textId="725D539C" w:rsidR="00521B59" w:rsidRPr="00F672A6" w:rsidRDefault="00C23DA4" w:rsidP="00521B59">
            <w:pPr>
              <w:spacing w:after="120" w:line="240" w:lineRule="atLeast"/>
              <w:rPr>
                <w:color w:val="000000" w:themeColor="text1"/>
              </w:rPr>
            </w:pPr>
            <w:r w:rsidRPr="00F672A6">
              <w:rPr>
                <w:b/>
                <w:bCs/>
                <w:color w:val="000000" w:themeColor="text1"/>
              </w:rPr>
              <w:lastRenderedPageBreak/>
              <w:t>7.</w:t>
            </w:r>
            <w:r w:rsidRPr="00F672A6">
              <w:rPr>
                <w:color w:val="000000" w:themeColor="text1"/>
              </w:rPr>
              <w:t xml:space="preserve">  </w:t>
            </w:r>
            <w:r w:rsidR="00521B59" w:rsidRPr="00F672A6">
              <w:rPr>
                <w:b/>
                <w:bCs/>
                <w:color w:val="000000" w:themeColor="text1"/>
              </w:rPr>
              <w:t>Risks</w:t>
            </w:r>
          </w:p>
          <w:p w14:paraId="4D9AFC5B" w14:textId="77777777" w:rsidR="00521B59" w:rsidRPr="00F672A6" w:rsidRDefault="00521B59" w:rsidP="00521B59">
            <w:pPr>
              <w:suppressAutoHyphens w:val="0"/>
              <w:spacing w:after="120" w:line="240" w:lineRule="atLeast"/>
              <w:jc w:val="both"/>
              <w:rPr>
                <w:color w:val="000000" w:themeColor="text1"/>
              </w:rPr>
            </w:pPr>
            <w:r w:rsidRPr="00F672A6">
              <w:rPr>
                <w:color w:val="000000" w:themeColor="text1"/>
              </w:rPr>
              <w:t>ADB to strengthen role in advocating with GOI on local content requirements and their impacts on projects including those supporting energy transition.</w:t>
            </w:r>
          </w:p>
          <w:p w14:paraId="651F91E9" w14:textId="48F2D680" w:rsidR="00521B59" w:rsidRPr="00F672A6" w:rsidRDefault="00521B59" w:rsidP="009263A7">
            <w:pPr>
              <w:spacing w:after="120" w:line="240" w:lineRule="atLeast"/>
              <w:rPr>
                <w:color w:val="000000" w:themeColor="text1"/>
              </w:rPr>
            </w:pPr>
          </w:p>
        </w:tc>
        <w:tc>
          <w:tcPr>
            <w:tcW w:w="1092" w:type="dxa"/>
            <w:shd w:val="clear" w:color="auto" w:fill="92D050"/>
          </w:tcPr>
          <w:p w14:paraId="072D7396" w14:textId="6E65657A" w:rsidR="00C23DA4" w:rsidRPr="00F672A6" w:rsidRDefault="00C23DA4" w:rsidP="00F672A6">
            <w:pPr>
              <w:cnfStyle w:val="000000100000" w:firstRow="0" w:lastRow="0" w:firstColumn="0" w:lastColumn="0" w:oddVBand="0" w:evenVBand="0" w:oddHBand="1" w:evenHBand="0" w:firstRowFirstColumn="0" w:firstRowLastColumn="0" w:lastRowFirstColumn="0" w:lastRowLastColumn="0"/>
              <w:rPr>
                <w:color w:val="auto"/>
                <w:sz w:val="24"/>
                <w:szCs w:val="24"/>
              </w:rPr>
            </w:pPr>
            <w:r w:rsidRPr="00F672A6">
              <w:rPr>
                <w:b/>
                <w:color w:val="auto"/>
              </w:rPr>
              <w:t>A</w:t>
            </w:r>
            <w:r w:rsidRPr="00F672A6">
              <w:rPr>
                <w:b/>
                <w:color w:val="auto"/>
                <w:shd w:val="clear" w:color="auto" w:fill="92D050"/>
              </w:rPr>
              <w:t xml:space="preserve">gree </w:t>
            </w:r>
          </w:p>
        </w:tc>
        <w:tc>
          <w:tcPr>
            <w:tcW w:w="4814" w:type="dxa"/>
            <w:shd w:val="clear" w:color="auto" w:fill="auto"/>
          </w:tcPr>
          <w:p w14:paraId="75B7F018" w14:textId="35287D47" w:rsidR="00C23DA4" w:rsidRPr="00F672A6" w:rsidRDefault="00C23DA4" w:rsidP="0023545C">
            <w:pPr>
              <w:pStyle w:val="BodyText"/>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F672A6">
              <w:rPr>
                <w:color w:val="000000" w:themeColor="text1"/>
              </w:rPr>
              <w:t>DFAT</w:t>
            </w:r>
            <w:r w:rsidR="00D12138" w:rsidRPr="00F672A6">
              <w:rPr>
                <w:color w:val="000000" w:themeColor="text1"/>
              </w:rPr>
              <w:t xml:space="preserve"> agrees </w:t>
            </w:r>
            <w:r w:rsidR="00DA669B" w:rsidRPr="00F672A6">
              <w:rPr>
                <w:color w:val="000000" w:themeColor="text1"/>
              </w:rPr>
              <w:t>and</w:t>
            </w:r>
            <w:r w:rsidR="00D12138" w:rsidRPr="00F672A6">
              <w:rPr>
                <w:color w:val="000000" w:themeColor="text1"/>
              </w:rPr>
              <w:t xml:space="preserve"> acknowledg</w:t>
            </w:r>
            <w:r w:rsidR="00DA669B" w:rsidRPr="00F672A6">
              <w:rPr>
                <w:color w:val="000000" w:themeColor="text1"/>
              </w:rPr>
              <w:t>es</w:t>
            </w:r>
            <w:r w:rsidRPr="00F672A6">
              <w:rPr>
                <w:color w:val="000000" w:themeColor="text1"/>
              </w:rPr>
              <w:t xml:space="preserve"> the challenges related to local content requirement</w:t>
            </w:r>
            <w:r w:rsidR="00D6260D" w:rsidRPr="00F672A6">
              <w:rPr>
                <w:color w:val="000000" w:themeColor="text1"/>
              </w:rPr>
              <w:t xml:space="preserve">s </w:t>
            </w:r>
            <w:r w:rsidR="00C65C89" w:rsidRPr="00F672A6">
              <w:rPr>
                <w:color w:val="000000" w:themeColor="text1"/>
              </w:rPr>
              <w:t>and the impact on</w:t>
            </w:r>
            <w:r w:rsidRPr="00F672A6">
              <w:rPr>
                <w:color w:val="000000" w:themeColor="text1"/>
              </w:rPr>
              <w:t xml:space="preserve"> ADB projects</w:t>
            </w:r>
            <w:r w:rsidR="00C65C89" w:rsidRPr="00F672A6">
              <w:rPr>
                <w:color w:val="000000" w:themeColor="text1"/>
              </w:rPr>
              <w:t>.</w:t>
            </w:r>
            <w:r w:rsidRPr="00F672A6">
              <w:rPr>
                <w:color w:val="000000" w:themeColor="text1"/>
              </w:rPr>
              <w:t xml:space="preserve"> DFAT </w:t>
            </w:r>
            <w:r w:rsidR="005B214E" w:rsidRPr="00F672A6">
              <w:rPr>
                <w:color w:val="000000" w:themeColor="text1"/>
              </w:rPr>
              <w:t>further</w:t>
            </w:r>
            <w:r w:rsidRPr="00F672A6">
              <w:rPr>
                <w:color w:val="000000" w:themeColor="text1"/>
              </w:rPr>
              <w:t xml:space="preserve"> </w:t>
            </w:r>
            <w:r w:rsidR="00D55799" w:rsidRPr="00F672A6">
              <w:rPr>
                <w:color w:val="000000" w:themeColor="text1"/>
              </w:rPr>
              <w:t>notes</w:t>
            </w:r>
            <w:r w:rsidR="008C701E" w:rsidRPr="00F672A6">
              <w:rPr>
                <w:color w:val="000000" w:themeColor="text1"/>
              </w:rPr>
              <w:t xml:space="preserve"> </w:t>
            </w:r>
            <w:r w:rsidR="007E6D84" w:rsidRPr="00F672A6">
              <w:rPr>
                <w:color w:val="000000" w:themeColor="text1"/>
              </w:rPr>
              <w:t xml:space="preserve">Indonesia’s </w:t>
            </w:r>
            <w:r w:rsidR="008C701E" w:rsidRPr="00F672A6">
              <w:rPr>
                <w:color w:val="000000" w:themeColor="text1"/>
              </w:rPr>
              <w:t xml:space="preserve">recent policy decision </w:t>
            </w:r>
            <w:r w:rsidR="007E6D84" w:rsidRPr="00F672A6">
              <w:rPr>
                <w:color w:val="000000" w:themeColor="text1"/>
              </w:rPr>
              <w:t xml:space="preserve">on the application of </w:t>
            </w:r>
            <w:r w:rsidR="00E16CAA" w:rsidRPr="00F672A6">
              <w:rPr>
                <w:color w:val="000000" w:themeColor="text1"/>
              </w:rPr>
              <w:t>these requirements.</w:t>
            </w:r>
            <w:r w:rsidR="005B214E" w:rsidRPr="00F672A6">
              <w:rPr>
                <w:color w:val="000000" w:themeColor="text1"/>
              </w:rPr>
              <w:t>, which may help to overcome the</w:t>
            </w:r>
            <w:r w:rsidR="006527FB" w:rsidRPr="00F672A6">
              <w:rPr>
                <w:color w:val="000000" w:themeColor="text1"/>
              </w:rPr>
              <w:t>se challenges.</w:t>
            </w:r>
          </w:p>
        </w:tc>
      </w:tr>
      <w:tr w:rsidR="00F672A6" w:rsidRPr="00F672A6" w14:paraId="076A4D01" w14:textId="3145291C" w:rsidTr="00F672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8" w:type="dxa"/>
          </w:tcPr>
          <w:p w14:paraId="19C66513" w14:textId="2AB739B5" w:rsidR="005447E7" w:rsidRPr="00F672A6" w:rsidRDefault="00C23DA4" w:rsidP="005447E7">
            <w:pPr>
              <w:spacing w:after="120" w:line="240" w:lineRule="atLeast"/>
              <w:rPr>
                <w:color w:val="000000" w:themeColor="text1"/>
              </w:rPr>
            </w:pPr>
            <w:r w:rsidRPr="00F672A6">
              <w:rPr>
                <w:b/>
                <w:bCs/>
                <w:color w:val="000000" w:themeColor="text1"/>
              </w:rPr>
              <w:t>8.</w:t>
            </w:r>
            <w:r w:rsidRPr="00F672A6">
              <w:rPr>
                <w:color w:val="000000" w:themeColor="text1"/>
              </w:rPr>
              <w:t xml:space="preserve"> </w:t>
            </w:r>
            <w:r w:rsidR="005447E7" w:rsidRPr="00F672A6">
              <w:rPr>
                <w:b/>
                <w:bCs/>
                <w:color w:val="000000" w:themeColor="text1"/>
              </w:rPr>
              <w:t>Monitoring and evaluation</w:t>
            </w:r>
          </w:p>
          <w:p w14:paraId="4B283D95" w14:textId="4E33F65E" w:rsidR="005447E7" w:rsidRPr="00F672A6" w:rsidRDefault="005447E7" w:rsidP="005447E7">
            <w:pPr>
              <w:suppressAutoHyphens w:val="0"/>
              <w:spacing w:after="120" w:line="240" w:lineRule="atLeast"/>
              <w:jc w:val="both"/>
              <w:rPr>
                <w:color w:val="000000" w:themeColor="text1"/>
              </w:rPr>
            </w:pPr>
            <w:r w:rsidRPr="00F672A6">
              <w:rPr>
                <w:color w:val="000000" w:themeColor="text1"/>
              </w:rPr>
              <w:t xml:space="preserve">Review the appropriateness of SIAP2 M&amp;E targets including those that have been achieved, helping to define new and more robust indicators for subsequent programming. These could include clear targets for cross-cutting aspects and to enable wider replication of program approaches and outcomes. </w:t>
            </w:r>
          </w:p>
        </w:tc>
        <w:tc>
          <w:tcPr>
            <w:tcW w:w="1092" w:type="dxa"/>
            <w:shd w:val="clear" w:color="auto" w:fill="92D050"/>
          </w:tcPr>
          <w:p w14:paraId="61CF5A1D" w14:textId="6F47A5F2" w:rsidR="00C23DA4" w:rsidRPr="00F672A6" w:rsidRDefault="00C23DA4" w:rsidP="00F672A6">
            <w:pPr>
              <w:cnfStyle w:val="000000010000" w:firstRow="0" w:lastRow="0" w:firstColumn="0" w:lastColumn="0" w:oddVBand="0" w:evenVBand="0" w:oddHBand="0" w:evenHBand="1" w:firstRowFirstColumn="0" w:firstRowLastColumn="0" w:lastRowFirstColumn="0" w:lastRowLastColumn="0"/>
              <w:rPr>
                <w:color w:val="auto"/>
                <w:sz w:val="24"/>
                <w:szCs w:val="24"/>
              </w:rPr>
            </w:pPr>
            <w:r w:rsidRPr="00F672A6">
              <w:rPr>
                <w:b/>
                <w:color w:val="auto"/>
              </w:rPr>
              <w:t>Agree</w:t>
            </w:r>
          </w:p>
        </w:tc>
        <w:tc>
          <w:tcPr>
            <w:tcW w:w="4814" w:type="dxa"/>
            <w:shd w:val="clear" w:color="auto" w:fill="auto"/>
          </w:tcPr>
          <w:p w14:paraId="6AC0F455" w14:textId="1F80DA75" w:rsidR="00C23DA4" w:rsidRPr="00F672A6" w:rsidRDefault="005447E7" w:rsidP="0023545C">
            <w:pPr>
              <w:pStyle w:val="BodyText"/>
              <w:cnfStyle w:val="000000010000" w:firstRow="0" w:lastRow="0" w:firstColumn="0" w:lastColumn="0" w:oddVBand="0" w:evenVBand="0" w:oddHBand="0" w:evenHBand="1" w:firstRowFirstColumn="0" w:firstRowLastColumn="0" w:lastRowFirstColumn="0" w:lastRowLastColumn="0"/>
              <w:rPr>
                <w:color w:val="000000" w:themeColor="text1"/>
                <w:sz w:val="24"/>
                <w:szCs w:val="24"/>
              </w:rPr>
            </w:pPr>
            <w:r w:rsidRPr="00F672A6">
              <w:rPr>
                <w:color w:val="000000" w:themeColor="text1"/>
              </w:rPr>
              <w:t xml:space="preserve">DFAT and ADB will jointly review </w:t>
            </w:r>
            <w:r w:rsidR="00C23DA4" w:rsidRPr="00F672A6">
              <w:rPr>
                <w:color w:val="000000" w:themeColor="text1"/>
              </w:rPr>
              <w:t xml:space="preserve">M&amp;E targets </w:t>
            </w:r>
            <w:r w:rsidRPr="00F672A6">
              <w:rPr>
                <w:color w:val="000000" w:themeColor="text1"/>
              </w:rPr>
              <w:t>a</w:t>
            </w:r>
            <w:r w:rsidR="00EA5267" w:rsidRPr="00F672A6">
              <w:rPr>
                <w:color w:val="000000" w:themeColor="text1"/>
              </w:rPr>
              <w:t xml:space="preserve">nd </w:t>
            </w:r>
            <w:r w:rsidR="00C15913" w:rsidRPr="00F672A6">
              <w:rPr>
                <w:color w:val="000000" w:themeColor="text1"/>
              </w:rPr>
              <w:t xml:space="preserve">submit an update to the Steering Committee in February 2024. </w:t>
            </w:r>
          </w:p>
        </w:tc>
      </w:tr>
    </w:tbl>
    <w:p w14:paraId="36295D17" w14:textId="77777777" w:rsidR="004F7592" w:rsidRPr="00F672A6" w:rsidRDefault="004F7592" w:rsidP="004F7592">
      <w:pPr>
        <w:pStyle w:val="BodyText"/>
        <w:rPr>
          <w:rFonts w:ascii="Franklin Gothic Book" w:hAnsi="Franklin Gothic Book"/>
          <w:color w:val="000000" w:themeColor="text1"/>
          <w:sz w:val="21"/>
        </w:rPr>
      </w:pPr>
    </w:p>
    <w:p w14:paraId="0FF39384" w14:textId="77777777" w:rsidR="0076281C" w:rsidRPr="00F672A6" w:rsidRDefault="0076281C" w:rsidP="004F7592">
      <w:pPr>
        <w:pStyle w:val="BodyText"/>
        <w:rPr>
          <w:rFonts w:ascii="Franklin Gothic Book" w:hAnsi="Franklin Gothic Book"/>
          <w:color w:val="000000" w:themeColor="text1"/>
          <w:sz w:val="21"/>
        </w:rPr>
      </w:pPr>
    </w:p>
    <w:p w14:paraId="6BE51B7C" w14:textId="77777777" w:rsidR="003252D3" w:rsidRPr="00F672A6" w:rsidRDefault="003252D3">
      <w:pPr>
        <w:rPr>
          <w:color w:val="000000" w:themeColor="text1"/>
        </w:rPr>
      </w:pPr>
    </w:p>
    <w:sectPr w:rsidR="003252D3" w:rsidRPr="00F672A6" w:rsidSect="009D4E0F">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4BFDB" w14:textId="77777777" w:rsidR="00AC3DED" w:rsidRDefault="00AC3DED" w:rsidP="0034362D">
      <w:pPr>
        <w:spacing w:before="0" w:after="0" w:line="240" w:lineRule="auto"/>
      </w:pPr>
      <w:r>
        <w:separator/>
      </w:r>
    </w:p>
  </w:endnote>
  <w:endnote w:type="continuationSeparator" w:id="0">
    <w:p w14:paraId="63F12BBD" w14:textId="77777777" w:rsidR="00AC3DED" w:rsidRDefault="00AC3DED" w:rsidP="003436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6F783" w14:textId="77777777" w:rsidR="00AC3DED" w:rsidRDefault="00AC3DED" w:rsidP="0034362D">
      <w:pPr>
        <w:spacing w:before="0" w:after="0" w:line="240" w:lineRule="auto"/>
      </w:pPr>
      <w:r>
        <w:separator/>
      </w:r>
    </w:p>
  </w:footnote>
  <w:footnote w:type="continuationSeparator" w:id="0">
    <w:p w14:paraId="11F1AA66" w14:textId="77777777" w:rsidR="00AC3DED" w:rsidRDefault="00AC3DED" w:rsidP="0034362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86B"/>
    <w:multiLevelType w:val="hybridMultilevel"/>
    <w:tmpl w:val="504E49F8"/>
    <w:lvl w:ilvl="0" w:tplc="68D4F21C">
      <w:start w:val="1"/>
      <w:numFmt w:val="bullet"/>
      <w:lvlText w:val=""/>
      <w:lvlJc w:val="left"/>
      <w:pPr>
        <w:ind w:left="1996" w:hanging="360"/>
      </w:pPr>
      <w:rPr>
        <w:rFonts w:ascii="Symbol" w:hAnsi="Symbol" w:hint="default"/>
        <w:color w:val="5B9BD5" w:themeColor="accent1"/>
      </w:rPr>
    </w:lvl>
    <w:lvl w:ilvl="1" w:tplc="08090003">
      <w:start w:val="1"/>
      <w:numFmt w:val="bullet"/>
      <w:lvlText w:val="o"/>
      <w:lvlJc w:val="left"/>
      <w:pPr>
        <w:ind w:left="2716" w:hanging="360"/>
      </w:pPr>
      <w:rPr>
        <w:rFonts w:ascii="Courier New" w:hAnsi="Courier New" w:cs="Courier New" w:hint="default"/>
      </w:rPr>
    </w:lvl>
    <w:lvl w:ilvl="2" w:tplc="08090005">
      <w:start w:val="1"/>
      <w:numFmt w:val="bullet"/>
      <w:lvlText w:val=""/>
      <w:lvlJc w:val="left"/>
      <w:pPr>
        <w:ind w:left="3436" w:hanging="360"/>
      </w:pPr>
      <w:rPr>
        <w:rFonts w:ascii="Wingdings" w:hAnsi="Wingdings" w:hint="default"/>
      </w:rPr>
    </w:lvl>
    <w:lvl w:ilvl="3" w:tplc="08090001">
      <w:start w:val="1"/>
      <w:numFmt w:val="bullet"/>
      <w:lvlText w:val=""/>
      <w:lvlJc w:val="left"/>
      <w:pPr>
        <w:ind w:left="4156" w:hanging="360"/>
      </w:pPr>
      <w:rPr>
        <w:rFonts w:ascii="Symbol" w:hAnsi="Symbol" w:hint="default"/>
      </w:rPr>
    </w:lvl>
    <w:lvl w:ilvl="4" w:tplc="08090003">
      <w:start w:val="1"/>
      <w:numFmt w:val="bullet"/>
      <w:lvlText w:val="o"/>
      <w:lvlJc w:val="left"/>
      <w:pPr>
        <w:ind w:left="4876" w:hanging="360"/>
      </w:pPr>
      <w:rPr>
        <w:rFonts w:ascii="Courier New" w:hAnsi="Courier New" w:cs="Courier New" w:hint="default"/>
      </w:rPr>
    </w:lvl>
    <w:lvl w:ilvl="5" w:tplc="08090005">
      <w:start w:val="1"/>
      <w:numFmt w:val="bullet"/>
      <w:lvlText w:val=""/>
      <w:lvlJc w:val="left"/>
      <w:pPr>
        <w:ind w:left="5596" w:hanging="360"/>
      </w:pPr>
      <w:rPr>
        <w:rFonts w:ascii="Wingdings" w:hAnsi="Wingdings" w:hint="default"/>
      </w:rPr>
    </w:lvl>
    <w:lvl w:ilvl="6" w:tplc="08090001">
      <w:start w:val="1"/>
      <w:numFmt w:val="bullet"/>
      <w:lvlText w:val=""/>
      <w:lvlJc w:val="left"/>
      <w:pPr>
        <w:ind w:left="6316" w:hanging="360"/>
      </w:pPr>
      <w:rPr>
        <w:rFonts w:ascii="Symbol" w:hAnsi="Symbol" w:hint="default"/>
      </w:rPr>
    </w:lvl>
    <w:lvl w:ilvl="7" w:tplc="08090003">
      <w:start w:val="1"/>
      <w:numFmt w:val="bullet"/>
      <w:lvlText w:val="o"/>
      <w:lvlJc w:val="left"/>
      <w:pPr>
        <w:ind w:left="7036" w:hanging="360"/>
      </w:pPr>
      <w:rPr>
        <w:rFonts w:ascii="Courier New" w:hAnsi="Courier New" w:cs="Courier New" w:hint="default"/>
      </w:rPr>
    </w:lvl>
    <w:lvl w:ilvl="8" w:tplc="08090005">
      <w:start w:val="1"/>
      <w:numFmt w:val="bullet"/>
      <w:lvlText w:val=""/>
      <w:lvlJc w:val="left"/>
      <w:pPr>
        <w:ind w:left="7756" w:hanging="360"/>
      </w:pPr>
      <w:rPr>
        <w:rFonts w:ascii="Wingdings" w:hAnsi="Wingdings" w:hint="default"/>
      </w:rPr>
    </w:lvl>
  </w:abstractNum>
  <w:abstractNum w:abstractNumId="1" w15:restartNumberingAfterBreak="0">
    <w:nsid w:val="070B4E2B"/>
    <w:multiLevelType w:val="hybridMultilevel"/>
    <w:tmpl w:val="680612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BE6339"/>
    <w:multiLevelType w:val="hybridMultilevel"/>
    <w:tmpl w:val="90DEF926"/>
    <w:lvl w:ilvl="0" w:tplc="B0FC1EF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DE62C6"/>
    <w:multiLevelType w:val="hybridMultilevel"/>
    <w:tmpl w:val="896C8DCC"/>
    <w:lvl w:ilvl="0" w:tplc="6492BDC4">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531B85"/>
    <w:multiLevelType w:val="hybridMultilevel"/>
    <w:tmpl w:val="5C6AD5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8C282B"/>
    <w:multiLevelType w:val="hybridMultilevel"/>
    <w:tmpl w:val="C02CE946"/>
    <w:lvl w:ilvl="0" w:tplc="16C6216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3F3148"/>
    <w:multiLevelType w:val="hybridMultilevel"/>
    <w:tmpl w:val="F692CD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D56043A"/>
    <w:multiLevelType w:val="multilevel"/>
    <w:tmpl w:val="69AEB596"/>
    <w:numStyleLink w:val="BulletsList"/>
  </w:abstractNum>
  <w:abstractNum w:abstractNumId="8" w15:restartNumberingAfterBreak="0">
    <w:nsid w:val="62907AF7"/>
    <w:multiLevelType w:val="hybridMultilevel"/>
    <w:tmpl w:val="E498239A"/>
    <w:lvl w:ilvl="0" w:tplc="85FEE19E">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44640D"/>
    <w:multiLevelType w:val="hybridMultilevel"/>
    <w:tmpl w:val="F66ADD48"/>
    <w:lvl w:ilvl="0" w:tplc="FFFFFFFF">
      <w:start w:val="1"/>
      <w:numFmt w:val="bullet"/>
      <w:lvlText w:val=""/>
      <w:lvlJc w:val="left"/>
      <w:pPr>
        <w:ind w:left="1996" w:hanging="360"/>
      </w:pPr>
      <w:rPr>
        <w:rFonts w:ascii="Symbol" w:hAnsi="Symbol" w:hint="default"/>
        <w:color w:val="5B9BD5" w:themeColor="accent1"/>
      </w:rPr>
    </w:lvl>
    <w:lvl w:ilvl="1" w:tplc="0A6E643A">
      <w:start w:val="1"/>
      <w:numFmt w:val="bullet"/>
      <w:lvlText w:val="o"/>
      <w:lvlJc w:val="left"/>
      <w:pPr>
        <w:ind w:left="1440" w:hanging="360"/>
      </w:pPr>
      <w:rPr>
        <w:rFonts w:ascii="Courier New" w:hAnsi="Courier New" w:cs="Times New Roman" w:hint="default"/>
        <w:color w:val="5B9BD5" w:themeColor="accent1"/>
      </w:rPr>
    </w:lvl>
    <w:lvl w:ilvl="2" w:tplc="FFFFFFFF">
      <w:start w:val="1"/>
      <w:numFmt w:val="bullet"/>
      <w:lvlText w:val=""/>
      <w:lvlJc w:val="left"/>
      <w:pPr>
        <w:ind w:left="3436" w:hanging="360"/>
      </w:pPr>
      <w:rPr>
        <w:rFonts w:ascii="Wingdings" w:hAnsi="Wingdings" w:hint="default"/>
      </w:rPr>
    </w:lvl>
    <w:lvl w:ilvl="3" w:tplc="FFFFFFFF">
      <w:start w:val="1"/>
      <w:numFmt w:val="bullet"/>
      <w:lvlText w:val=""/>
      <w:lvlJc w:val="left"/>
      <w:pPr>
        <w:ind w:left="4156" w:hanging="360"/>
      </w:pPr>
      <w:rPr>
        <w:rFonts w:ascii="Symbol" w:hAnsi="Symbol" w:hint="default"/>
      </w:rPr>
    </w:lvl>
    <w:lvl w:ilvl="4" w:tplc="FFFFFFFF">
      <w:start w:val="1"/>
      <w:numFmt w:val="bullet"/>
      <w:lvlText w:val="o"/>
      <w:lvlJc w:val="left"/>
      <w:pPr>
        <w:ind w:left="4876" w:hanging="360"/>
      </w:pPr>
      <w:rPr>
        <w:rFonts w:ascii="Courier New" w:hAnsi="Courier New" w:cs="Courier New" w:hint="default"/>
      </w:rPr>
    </w:lvl>
    <w:lvl w:ilvl="5" w:tplc="FFFFFFFF">
      <w:start w:val="1"/>
      <w:numFmt w:val="bullet"/>
      <w:lvlText w:val=""/>
      <w:lvlJc w:val="left"/>
      <w:pPr>
        <w:ind w:left="5596" w:hanging="360"/>
      </w:pPr>
      <w:rPr>
        <w:rFonts w:ascii="Wingdings" w:hAnsi="Wingdings" w:hint="default"/>
      </w:rPr>
    </w:lvl>
    <w:lvl w:ilvl="6" w:tplc="FFFFFFFF">
      <w:start w:val="1"/>
      <w:numFmt w:val="bullet"/>
      <w:lvlText w:val=""/>
      <w:lvlJc w:val="left"/>
      <w:pPr>
        <w:ind w:left="6316" w:hanging="360"/>
      </w:pPr>
      <w:rPr>
        <w:rFonts w:ascii="Symbol" w:hAnsi="Symbol" w:hint="default"/>
      </w:rPr>
    </w:lvl>
    <w:lvl w:ilvl="7" w:tplc="FFFFFFFF">
      <w:start w:val="1"/>
      <w:numFmt w:val="bullet"/>
      <w:lvlText w:val="o"/>
      <w:lvlJc w:val="left"/>
      <w:pPr>
        <w:ind w:left="7036" w:hanging="360"/>
      </w:pPr>
      <w:rPr>
        <w:rFonts w:ascii="Courier New" w:hAnsi="Courier New" w:cs="Courier New" w:hint="default"/>
      </w:rPr>
    </w:lvl>
    <w:lvl w:ilvl="8" w:tplc="FFFFFFFF">
      <w:start w:val="1"/>
      <w:numFmt w:val="bullet"/>
      <w:lvlText w:val=""/>
      <w:lvlJc w:val="left"/>
      <w:pPr>
        <w:ind w:left="7756" w:hanging="360"/>
      </w:pPr>
      <w:rPr>
        <w:rFonts w:ascii="Wingdings" w:hAnsi="Wingdings" w:hint="default"/>
      </w:rPr>
    </w:lvl>
  </w:abstractNum>
  <w:abstractNum w:abstractNumId="10" w15:restartNumberingAfterBreak="0">
    <w:nsid w:val="6BC23306"/>
    <w:multiLevelType w:val="hybridMultilevel"/>
    <w:tmpl w:val="D70C6D7E"/>
    <w:lvl w:ilvl="0" w:tplc="68D4F21C">
      <w:start w:val="1"/>
      <w:numFmt w:val="bullet"/>
      <w:lvlText w:val=""/>
      <w:lvlJc w:val="left"/>
      <w:pPr>
        <w:ind w:left="720" w:hanging="360"/>
      </w:pPr>
      <w:rPr>
        <w:rFonts w:ascii="Symbol" w:hAnsi="Symbol" w:hint="default"/>
        <w:color w:val="5B9BD5" w:themeColor="accent1"/>
      </w:rPr>
    </w:lvl>
    <w:lvl w:ilvl="1" w:tplc="0A6E643A">
      <w:start w:val="1"/>
      <w:numFmt w:val="bullet"/>
      <w:lvlText w:val="o"/>
      <w:lvlJc w:val="left"/>
      <w:pPr>
        <w:ind w:left="1440" w:hanging="360"/>
      </w:pPr>
      <w:rPr>
        <w:rFonts w:ascii="Courier New" w:hAnsi="Courier New" w:hint="default"/>
        <w:color w:val="5B9BD5" w:themeColor="accent1"/>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107305"/>
    <w:multiLevelType w:val="multilevel"/>
    <w:tmpl w:val="69AEB596"/>
    <w:styleLink w:val="BulletsList"/>
    <w:lvl w:ilvl="0">
      <w:start w:val="1"/>
      <w:numFmt w:val="bullet"/>
      <w:pStyle w:val="Bullet1"/>
      <w:lvlText w:val=""/>
      <w:lvlJc w:val="left"/>
      <w:pPr>
        <w:tabs>
          <w:tab w:val="num" w:pos="284"/>
        </w:tabs>
        <w:ind w:left="284" w:hanging="284"/>
      </w:pPr>
      <w:rPr>
        <w:rFonts w:ascii="Symbol" w:hAnsi="Symbol" w:hint="default"/>
        <w:color w:val="5B9BD5" w:themeColor="accent1"/>
      </w:rPr>
    </w:lvl>
    <w:lvl w:ilvl="1">
      <w:start w:val="1"/>
      <w:numFmt w:val="bullet"/>
      <w:pStyle w:val="Bullet2"/>
      <w:lvlText w:val="–"/>
      <w:lvlJc w:val="left"/>
      <w:pPr>
        <w:tabs>
          <w:tab w:val="num" w:pos="568"/>
        </w:tabs>
        <w:ind w:left="568" w:hanging="284"/>
      </w:pPr>
      <w:rPr>
        <w:rFonts w:ascii="Arial" w:hAnsi="Arial" w:hint="default"/>
        <w:color w:val="5B9BD5" w:themeColor="accent1"/>
      </w:rPr>
    </w:lvl>
    <w:lvl w:ilvl="2">
      <w:start w:val="1"/>
      <w:numFmt w:val="bullet"/>
      <w:pStyle w:val="Bullet3"/>
      <w:lvlText w:val="»"/>
      <w:lvlJc w:val="left"/>
      <w:pPr>
        <w:tabs>
          <w:tab w:val="num" w:pos="852"/>
        </w:tabs>
        <w:ind w:left="852" w:hanging="285"/>
      </w:pPr>
      <w:rPr>
        <w:rFonts w:ascii="Arial" w:hAnsi="Arial" w:hint="default"/>
        <w:color w:val="5B9BD5" w:themeColor="accent1"/>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2" w15:restartNumberingAfterBreak="0">
    <w:nsid w:val="7AAD1B7A"/>
    <w:multiLevelType w:val="hybridMultilevel"/>
    <w:tmpl w:val="B8D0A6FA"/>
    <w:lvl w:ilvl="0" w:tplc="1E34F96C">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2568001">
    <w:abstractNumId w:val="11"/>
  </w:num>
  <w:num w:numId="2" w16cid:durableId="1920287962">
    <w:abstractNumId w:val="7"/>
  </w:num>
  <w:num w:numId="3" w16cid:durableId="558975785">
    <w:abstractNumId w:val="1"/>
  </w:num>
  <w:num w:numId="4" w16cid:durableId="891814586">
    <w:abstractNumId w:val="2"/>
  </w:num>
  <w:num w:numId="5" w16cid:durableId="126750704">
    <w:abstractNumId w:val="4"/>
  </w:num>
  <w:num w:numId="6" w16cid:durableId="1943148470">
    <w:abstractNumId w:val="12"/>
  </w:num>
  <w:num w:numId="7" w16cid:durableId="1773433516">
    <w:abstractNumId w:val="6"/>
  </w:num>
  <w:num w:numId="8" w16cid:durableId="1113403843">
    <w:abstractNumId w:val="0"/>
  </w:num>
  <w:num w:numId="9" w16cid:durableId="2134404097">
    <w:abstractNumId w:val="9"/>
  </w:num>
  <w:num w:numId="10" w16cid:durableId="1737242295">
    <w:abstractNumId w:val="10"/>
  </w:num>
  <w:num w:numId="11" w16cid:durableId="1667778064">
    <w:abstractNumId w:val="5"/>
  </w:num>
  <w:num w:numId="12" w16cid:durableId="189689397">
    <w:abstractNumId w:val="3"/>
  </w:num>
  <w:num w:numId="13" w16cid:durableId="20203505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592"/>
    <w:rsid w:val="0001459F"/>
    <w:rsid w:val="000404CE"/>
    <w:rsid w:val="000415F3"/>
    <w:rsid w:val="00041D90"/>
    <w:rsid w:val="00047FCC"/>
    <w:rsid w:val="00060D98"/>
    <w:rsid w:val="0006145A"/>
    <w:rsid w:val="000673ED"/>
    <w:rsid w:val="00071F08"/>
    <w:rsid w:val="0008341E"/>
    <w:rsid w:val="00083E7B"/>
    <w:rsid w:val="000930D7"/>
    <w:rsid w:val="000938F2"/>
    <w:rsid w:val="000974AD"/>
    <w:rsid w:val="000C305A"/>
    <w:rsid w:val="000C5CA1"/>
    <w:rsid w:val="000D02EB"/>
    <w:rsid w:val="000E200F"/>
    <w:rsid w:val="000E531D"/>
    <w:rsid w:val="000F346F"/>
    <w:rsid w:val="000F3D48"/>
    <w:rsid w:val="00107382"/>
    <w:rsid w:val="001107F6"/>
    <w:rsid w:val="00123B9D"/>
    <w:rsid w:val="00133F9B"/>
    <w:rsid w:val="00140CC3"/>
    <w:rsid w:val="00142333"/>
    <w:rsid w:val="00144298"/>
    <w:rsid w:val="00144656"/>
    <w:rsid w:val="00154087"/>
    <w:rsid w:val="00155537"/>
    <w:rsid w:val="001608F1"/>
    <w:rsid w:val="00163B7F"/>
    <w:rsid w:val="00170295"/>
    <w:rsid w:val="00170472"/>
    <w:rsid w:val="00172600"/>
    <w:rsid w:val="00174824"/>
    <w:rsid w:val="00176941"/>
    <w:rsid w:val="00180AF2"/>
    <w:rsid w:val="001818C5"/>
    <w:rsid w:val="001841E5"/>
    <w:rsid w:val="0019224C"/>
    <w:rsid w:val="00193ED1"/>
    <w:rsid w:val="001977CF"/>
    <w:rsid w:val="001A03A4"/>
    <w:rsid w:val="001A4C5D"/>
    <w:rsid w:val="001A6BFF"/>
    <w:rsid w:val="001B1117"/>
    <w:rsid w:val="001B2CE4"/>
    <w:rsid w:val="001B511D"/>
    <w:rsid w:val="001C02DD"/>
    <w:rsid w:val="001D12D7"/>
    <w:rsid w:val="001D1771"/>
    <w:rsid w:val="001D43E5"/>
    <w:rsid w:val="001D5B3F"/>
    <w:rsid w:val="001D5DDA"/>
    <w:rsid w:val="001E0913"/>
    <w:rsid w:val="001F0FD1"/>
    <w:rsid w:val="001F4F3C"/>
    <w:rsid w:val="001F5770"/>
    <w:rsid w:val="00206B5B"/>
    <w:rsid w:val="002130E5"/>
    <w:rsid w:val="00215F6B"/>
    <w:rsid w:val="002325AC"/>
    <w:rsid w:val="0023404E"/>
    <w:rsid w:val="0023545C"/>
    <w:rsid w:val="002354D9"/>
    <w:rsid w:val="00245074"/>
    <w:rsid w:val="00252333"/>
    <w:rsid w:val="002574B9"/>
    <w:rsid w:val="00264328"/>
    <w:rsid w:val="002652C0"/>
    <w:rsid w:val="002701BF"/>
    <w:rsid w:val="00280CB8"/>
    <w:rsid w:val="00283BDC"/>
    <w:rsid w:val="00286319"/>
    <w:rsid w:val="00291FF9"/>
    <w:rsid w:val="002B3936"/>
    <w:rsid w:val="002B7837"/>
    <w:rsid w:val="002C2D3C"/>
    <w:rsid w:val="002C4BDB"/>
    <w:rsid w:val="002C5156"/>
    <w:rsid w:val="002C6B85"/>
    <w:rsid w:val="002D4ED7"/>
    <w:rsid w:val="002E541A"/>
    <w:rsid w:val="002F1654"/>
    <w:rsid w:val="002F5016"/>
    <w:rsid w:val="003109D8"/>
    <w:rsid w:val="00310C86"/>
    <w:rsid w:val="003115F1"/>
    <w:rsid w:val="003242FC"/>
    <w:rsid w:val="003252D3"/>
    <w:rsid w:val="003259AD"/>
    <w:rsid w:val="00330745"/>
    <w:rsid w:val="00333AF8"/>
    <w:rsid w:val="0033670D"/>
    <w:rsid w:val="00337ED9"/>
    <w:rsid w:val="00342255"/>
    <w:rsid w:val="0034362D"/>
    <w:rsid w:val="0034553F"/>
    <w:rsid w:val="00345854"/>
    <w:rsid w:val="00361A74"/>
    <w:rsid w:val="003621F3"/>
    <w:rsid w:val="00366B0F"/>
    <w:rsid w:val="0038505F"/>
    <w:rsid w:val="00386F07"/>
    <w:rsid w:val="003966BF"/>
    <w:rsid w:val="003A2FA4"/>
    <w:rsid w:val="003C3744"/>
    <w:rsid w:val="003C39C7"/>
    <w:rsid w:val="003D195D"/>
    <w:rsid w:val="003E0368"/>
    <w:rsid w:val="003E063C"/>
    <w:rsid w:val="003E4E38"/>
    <w:rsid w:val="004035E1"/>
    <w:rsid w:val="004117FC"/>
    <w:rsid w:val="004243F5"/>
    <w:rsid w:val="00427C6C"/>
    <w:rsid w:val="00433C81"/>
    <w:rsid w:val="004344B5"/>
    <w:rsid w:val="00441498"/>
    <w:rsid w:val="00443B6B"/>
    <w:rsid w:val="004566CC"/>
    <w:rsid w:val="00457C7B"/>
    <w:rsid w:val="004657E8"/>
    <w:rsid w:val="00471EE7"/>
    <w:rsid w:val="00477D73"/>
    <w:rsid w:val="00480A36"/>
    <w:rsid w:val="004851C3"/>
    <w:rsid w:val="0048770A"/>
    <w:rsid w:val="00491EDE"/>
    <w:rsid w:val="004952F8"/>
    <w:rsid w:val="00495A8D"/>
    <w:rsid w:val="00495B9E"/>
    <w:rsid w:val="00495E8B"/>
    <w:rsid w:val="0049619E"/>
    <w:rsid w:val="00496764"/>
    <w:rsid w:val="004A5155"/>
    <w:rsid w:val="004C0282"/>
    <w:rsid w:val="004D0DFA"/>
    <w:rsid w:val="004D2550"/>
    <w:rsid w:val="004D7AED"/>
    <w:rsid w:val="004E0166"/>
    <w:rsid w:val="004E449C"/>
    <w:rsid w:val="004F7592"/>
    <w:rsid w:val="00505F8A"/>
    <w:rsid w:val="0051078E"/>
    <w:rsid w:val="00516A08"/>
    <w:rsid w:val="00517BAA"/>
    <w:rsid w:val="00521B59"/>
    <w:rsid w:val="005238C0"/>
    <w:rsid w:val="0053032E"/>
    <w:rsid w:val="00537BA3"/>
    <w:rsid w:val="005447E7"/>
    <w:rsid w:val="00546560"/>
    <w:rsid w:val="005541C3"/>
    <w:rsid w:val="00555F6C"/>
    <w:rsid w:val="00580982"/>
    <w:rsid w:val="00584901"/>
    <w:rsid w:val="00592B1F"/>
    <w:rsid w:val="005950C9"/>
    <w:rsid w:val="005A0512"/>
    <w:rsid w:val="005A05CF"/>
    <w:rsid w:val="005A3830"/>
    <w:rsid w:val="005B214E"/>
    <w:rsid w:val="005B4DB4"/>
    <w:rsid w:val="005B4FDE"/>
    <w:rsid w:val="005C1509"/>
    <w:rsid w:val="005C1D0B"/>
    <w:rsid w:val="005C71AA"/>
    <w:rsid w:val="005D05B2"/>
    <w:rsid w:val="005D11E7"/>
    <w:rsid w:val="005E454B"/>
    <w:rsid w:val="005E6C16"/>
    <w:rsid w:val="005F0BB1"/>
    <w:rsid w:val="0060014D"/>
    <w:rsid w:val="00605134"/>
    <w:rsid w:val="00612F6F"/>
    <w:rsid w:val="006223C8"/>
    <w:rsid w:val="00622645"/>
    <w:rsid w:val="00623B2A"/>
    <w:rsid w:val="006272FC"/>
    <w:rsid w:val="006301E8"/>
    <w:rsid w:val="006334AF"/>
    <w:rsid w:val="00636FB7"/>
    <w:rsid w:val="006401CD"/>
    <w:rsid w:val="006402F9"/>
    <w:rsid w:val="00640E98"/>
    <w:rsid w:val="0064180A"/>
    <w:rsid w:val="00643102"/>
    <w:rsid w:val="00644001"/>
    <w:rsid w:val="006519C2"/>
    <w:rsid w:val="006527FB"/>
    <w:rsid w:val="006546A5"/>
    <w:rsid w:val="00657A67"/>
    <w:rsid w:val="00660338"/>
    <w:rsid w:val="00660606"/>
    <w:rsid w:val="00663806"/>
    <w:rsid w:val="00670156"/>
    <w:rsid w:val="006734E6"/>
    <w:rsid w:val="006775AB"/>
    <w:rsid w:val="006901BA"/>
    <w:rsid w:val="0069492B"/>
    <w:rsid w:val="00696B73"/>
    <w:rsid w:val="006A0AE1"/>
    <w:rsid w:val="006A75AB"/>
    <w:rsid w:val="006C1E31"/>
    <w:rsid w:val="006C256E"/>
    <w:rsid w:val="006C537C"/>
    <w:rsid w:val="007015C0"/>
    <w:rsid w:val="007148FB"/>
    <w:rsid w:val="00715E7F"/>
    <w:rsid w:val="0072088E"/>
    <w:rsid w:val="007223DD"/>
    <w:rsid w:val="00733881"/>
    <w:rsid w:val="00735204"/>
    <w:rsid w:val="00737AFA"/>
    <w:rsid w:val="00744A8E"/>
    <w:rsid w:val="00751012"/>
    <w:rsid w:val="007547DB"/>
    <w:rsid w:val="0076150A"/>
    <w:rsid w:val="0076281C"/>
    <w:rsid w:val="00764CC5"/>
    <w:rsid w:val="0076501A"/>
    <w:rsid w:val="007659EC"/>
    <w:rsid w:val="0076677C"/>
    <w:rsid w:val="00775CFA"/>
    <w:rsid w:val="00775D0C"/>
    <w:rsid w:val="00777EDB"/>
    <w:rsid w:val="0078448D"/>
    <w:rsid w:val="00784E88"/>
    <w:rsid w:val="007925B9"/>
    <w:rsid w:val="00794A23"/>
    <w:rsid w:val="007A25D1"/>
    <w:rsid w:val="007B241C"/>
    <w:rsid w:val="007C6F42"/>
    <w:rsid w:val="007C7D82"/>
    <w:rsid w:val="007D0819"/>
    <w:rsid w:val="007E6D84"/>
    <w:rsid w:val="007F0C78"/>
    <w:rsid w:val="00801FEF"/>
    <w:rsid w:val="008102C6"/>
    <w:rsid w:val="008105B9"/>
    <w:rsid w:val="00812F27"/>
    <w:rsid w:val="00813FE3"/>
    <w:rsid w:val="00817C82"/>
    <w:rsid w:val="00824DE0"/>
    <w:rsid w:val="00837CFB"/>
    <w:rsid w:val="008477F0"/>
    <w:rsid w:val="00850C5A"/>
    <w:rsid w:val="00857009"/>
    <w:rsid w:val="0085795F"/>
    <w:rsid w:val="00857A84"/>
    <w:rsid w:val="008761BA"/>
    <w:rsid w:val="008766E2"/>
    <w:rsid w:val="008852B3"/>
    <w:rsid w:val="00892454"/>
    <w:rsid w:val="008949FE"/>
    <w:rsid w:val="008A0010"/>
    <w:rsid w:val="008A1703"/>
    <w:rsid w:val="008A4D27"/>
    <w:rsid w:val="008C634A"/>
    <w:rsid w:val="008C701E"/>
    <w:rsid w:val="008D4392"/>
    <w:rsid w:val="008D70E6"/>
    <w:rsid w:val="008E613A"/>
    <w:rsid w:val="008F0B56"/>
    <w:rsid w:val="00902609"/>
    <w:rsid w:val="00904343"/>
    <w:rsid w:val="00905F93"/>
    <w:rsid w:val="0090667A"/>
    <w:rsid w:val="00917020"/>
    <w:rsid w:val="00921B9B"/>
    <w:rsid w:val="00924969"/>
    <w:rsid w:val="009263A7"/>
    <w:rsid w:val="00931647"/>
    <w:rsid w:val="009352FF"/>
    <w:rsid w:val="00945D4C"/>
    <w:rsid w:val="00947D89"/>
    <w:rsid w:val="009521EE"/>
    <w:rsid w:val="009545B4"/>
    <w:rsid w:val="009557A1"/>
    <w:rsid w:val="009622BE"/>
    <w:rsid w:val="00967E89"/>
    <w:rsid w:val="00972E87"/>
    <w:rsid w:val="0097339D"/>
    <w:rsid w:val="009739D8"/>
    <w:rsid w:val="0097535B"/>
    <w:rsid w:val="00975BF2"/>
    <w:rsid w:val="00997017"/>
    <w:rsid w:val="009A1E13"/>
    <w:rsid w:val="009A45B8"/>
    <w:rsid w:val="009A4713"/>
    <w:rsid w:val="009B0D2F"/>
    <w:rsid w:val="009B1AC2"/>
    <w:rsid w:val="009B5119"/>
    <w:rsid w:val="009B6006"/>
    <w:rsid w:val="009C2900"/>
    <w:rsid w:val="009C5FE7"/>
    <w:rsid w:val="009C6760"/>
    <w:rsid w:val="009C7BFE"/>
    <w:rsid w:val="009D0228"/>
    <w:rsid w:val="009D22B7"/>
    <w:rsid w:val="009D418B"/>
    <w:rsid w:val="009D4E0F"/>
    <w:rsid w:val="009D571D"/>
    <w:rsid w:val="009D7517"/>
    <w:rsid w:val="009E0543"/>
    <w:rsid w:val="009F0A70"/>
    <w:rsid w:val="009F12D0"/>
    <w:rsid w:val="009F3477"/>
    <w:rsid w:val="009F475D"/>
    <w:rsid w:val="009F6EA1"/>
    <w:rsid w:val="009F725A"/>
    <w:rsid w:val="00A21C0C"/>
    <w:rsid w:val="00A24643"/>
    <w:rsid w:val="00A27D1D"/>
    <w:rsid w:val="00A402F1"/>
    <w:rsid w:val="00A4564F"/>
    <w:rsid w:val="00A55FB5"/>
    <w:rsid w:val="00A616E2"/>
    <w:rsid w:val="00A6203B"/>
    <w:rsid w:val="00A6587F"/>
    <w:rsid w:val="00A676AF"/>
    <w:rsid w:val="00A755EC"/>
    <w:rsid w:val="00A7733F"/>
    <w:rsid w:val="00A80358"/>
    <w:rsid w:val="00A840AC"/>
    <w:rsid w:val="00A843D0"/>
    <w:rsid w:val="00A9639D"/>
    <w:rsid w:val="00AA3182"/>
    <w:rsid w:val="00AA4511"/>
    <w:rsid w:val="00AA572E"/>
    <w:rsid w:val="00AB4F46"/>
    <w:rsid w:val="00AB5016"/>
    <w:rsid w:val="00AB6771"/>
    <w:rsid w:val="00AB7B9A"/>
    <w:rsid w:val="00AC3AEF"/>
    <w:rsid w:val="00AC3DED"/>
    <w:rsid w:val="00AD2364"/>
    <w:rsid w:val="00AD77C5"/>
    <w:rsid w:val="00AE6A9F"/>
    <w:rsid w:val="00AF1269"/>
    <w:rsid w:val="00AF1FBD"/>
    <w:rsid w:val="00AF5AA0"/>
    <w:rsid w:val="00B053E0"/>
    <w:rsid w:val="00B05846"/>
    <w:rsid w:val="00B063E3"/>
    <w:rsid w:val="00B10914"/>
    <w:rsid w:val="00B34178"/>
    <w:rsid w:val="00B43E64"/>
    <w:rsid w:val="00B476CF"/>
    <w:rsid w:val="00B517BE"/>
    <w:rsid w:val="00B55177"/>
    <w:rsid w:val="00B61E45"/>
    <w:rsid w:val="00B62EAF"/>
    <w:rsid w:val="00B6423B"/>
    <w:rsid w:val="00B67E00"/>
    <w:rsid w:val="00B7415D"/>
    <w:rsid w:val="00B74949"/>
    <w:rsid w:val="00B77B9A"/>
    <w:rsid w:val="00B87347"/>
    <w:rsid w:val="00B91F7F"/>
    <w:rsid w:val="00B93F58"/>
    <w:rsid w:val="00B944BE"/>
    <w:rsid w:val="00BA4A1C"/>
    <w:rsid w:val="00BC7C1E"/>
    <w:rsid w:val="00BD096F"/>
    <w:rsid w:val="00BD1D7B"/>
    <w:rsid w:val="00BE13E1"/>
    <w:rsid w:val="00BF3C82"/>
    <w:rsid w:val="00C04E5A"/>
    <w:rsid w:val="00C05147"/>
    <w:rsid w:val="00C14518"/>
    <w:rsid w:val="00C1487E"/>
    <w:rsid w:val="00C15913"/>
    <w:rsid w:val="00C15C2A"/>
    <w:rsid w:val="00C17D6E"/>
    <w:rsid w:val="00C20F62"/>
    <w:rsid w:val="00C23DA4"/>
    <w:rsid w:val="00C24718"/>
    <w:rsid w:val="00C27BD5"/>
    <w:rsid w:val="00C3100B"/>
    <w:rsid w:val="00C328E2"/>
    <w:rsid w:val="00C47A4F"/>
    <w:rsid w:val="00C5247D"/>
    <w:rsid w:val="00C6019F"/>
    <w:rsid w:val="00C61679"/>
    <w:rsid w:val="00C65930"/>
    <w:rsid w:val="00C65C89"/>
    <w:rsid w:val="00C67A52"/>
    <w:rsid w:val="00C81E7B"/>
    <w:rsid w:val="00C97596"/>
    <w:rsid w:val="00CA0F93"/>
    <w:rsid w:val="00CB6699"/>
    <w:rsid w:val="00CC0F51"/>
    <w:rsid w:val="00CC1342"/>
    <w:rsid w:val="00CC3502"/>
    <w:rsid w:val="00CC3911"/>
    <w:rsid w:val="00CC7336"/>
    <w:rsid w:val="00CE550C"/>
    <w:rsid w:val="00CF25BE"/>
    <w:rsid w:val="00CF2DB8"/>
    <w:rsid w:val="00CF3673"/>
    <w:rsid w:val="00CF5160"/>
    <w:rsid w:val="00CF54D9"/>
    <w:rsid w:val="00CF5615"/>
    <w:rsid w:val="00D0494C"/>
    <w:rsid w:val="00D12138"/>
    <w:rsid w:val="00D14EAD"/>
    <w:rsid w:val="00D37479"/>
    <w:rsid w:val="00D450E5"/>
    <w:rsid w:val="00D51F73"/>
    <w:rsid w:val="00D55799"/>
    <w:rsid w:val="00D573A3"/>
    <w:rsid w:val="00D57A59"/>
    <w:rsid w:val="00D60A1D"/>
    <w:rsid w:val="00D6260D"/>
    <w:rsid w:val="00D63E2E"/>
    <w:rsid w:val="00D754A6"/>
    <w:rsid w:val="00D83B2B"/>
    <w:rsid w:val="00D92B38"/>
    <w:rsid w:val="00D94D3B"/>
    <w:rsid w:val="00DA4FFA"/>
    <w:rsid w:val="00DA6663"/>
    <w:rsid w:val="00DA669B"/>
    <w:rsid w:val="00DB689B"/>
    <w:rsid w:val="00DC0323"/>
    <w:rsid w:val="00DC139A"/>
    <w:rsid w:val="00DC37A1"/>
    <w:rsid w:val="00DC401B"/>
    <w:rsid w:val="00DC6266"/>
    <w:rsid w:val="00DC7165"/>
    <w:rsid w:val="00DC7E52"/>
    <w:rsid w:val="00E034AE"/>
    <w:rsid w:val="00E07FBD"/>
    <w:rsid w:val="00E101AB"/>
    <w:rsid w:val="00E16CAA"/>
    <w:rsid w:val="00E238ED"/>
    <w:rsid w:val="00E27A12"/>
    <w:rsid w:val="00E30036"/>
    <w:rsid w:val="00E304B8"/>
    <w:rsid w:val="00E34F2C"/>
    <w:rsid w:val="00E376B1"/>
    <w:rsid w:val="00E376DB"/>
    <w:rsid w:val="00E4690A"/>
    <w:rsid w:val="00E50707"/>
    <w:rsid w:val="00E556E8"/>
    <w:rsid w:val="00E63BF7"/>
    <w:rsid w:val="00E66B4E"/>
    <w:rsid w:val="00E732F9"/>
    <w:rsid w:val="00E757CC"/>
    <w:rsid w:val="00E8407A"/>
    <w:rsid w:val="00E876B4"/>
    <w:rsid w:val="00E87C12"/>
    <w:rsid w:val="00E937FE"/>
    <w:rsid w:val="00E94CE8"/>
    <w:rsid w:val="00EA2B8F"/>
    <w:rsid w:val="00EA5267"/>
    <w:rsid w:val="00EA6760"/>
    <w:rsid w:val="00EB13AC"/>
    <w:rsid w:val="00EB4F04"/>
    <w:rsid w:val="00EB503F"/>
    <w:rsid w:val="00EC1857"/>
    <w:rsid w:val="00EC410B"/>
    <w:rsid w:val="00ED7EFF"/>
    <w:rsid w:val="00EE022A"/>
    <w:rsid w:val="00EE419E"/>
    <w:rsid w:val="00EE449A"/>
    <w:rsid w:val="00EE4B31"/>
    <w:rsid w:val="00EE6B93"/>
    <w:rsid w:val="00EF14C5"/>
    <w:rsid w:val="00F002BB"/>
    <w:rsid w:val="00F0365E"/>
    <w:rsid w:val="00F056FB"/>
    <w:rsid w:val="00F1242D"/>
    <w:rsid w:val="00F20D3B"/>
    <w:rsid w:val="00F3619F"/>
    <w:rsid w:val="00F36781"/>
    <w:rsid w:val="00F56BDB"/>
    <w:rsid w:val="00F609A1"/>
    <w:rsid w:val="00F6408F"/>
    <w:rsid w:val="00F64DF8"/>
    <w:rsid w:val="00F64F7B"/>
    <w:rsid w:val="00F672A6"/>
    <w:rsid w:val="00F72AA1"/>
    <w:rsid w:val="00F80B3F"/>
    <w:rsid w:val="00F85147"/>
    <w:rsid w:val="00FA01BD"/>
    <w:rsid w:val="00FA28EC"/>
    <w:rsid w:val="00FA2F3C"/>
    <w:rsid w:val="00FB2F94"/>
    <w:rsid w:val="00FB6ACE"/>
    <w:rsid w:val="00FC1318"/>
    <w:rsid w:val="00FC1C68"/>
    <w:rsid w:val="00FC1D4D"/>
    <w:rsid w:val="00FC6734"/>
    <w:rsid w:val="00FD41D5"/>
    <w:rsid w:val="00FD4C99"/>
    <w:rsid w:val="00FD7EDB"/>
    <w:rsid w:val="00FE1A86"/>
    <w:rsid w:val="00FE3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5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92"/>
    <w:pPr>
      <w:suppressAutoHyphens/>
      <w:spacing w:before="120" w:after="60" w:line="260" w:lineRule="atLeast"/>
    </w:pPr>
    <w:rPr>
      <w:color w:val="44546A" w:themeColor="text2"/>
      <w:lang w:val="en-GB"/>
    </w:rPr>
  </w:style>
  <w:style w:type="paragraph" w:styleId="Heading1">
    <w:name w:val="heading 1"/>
    <w:basedOn w:val="Normal"/>
    <w:next w:val="Normal"/>
    <w:link w:val="Heading1Char"/>
    <w:qFormat/>
    <w:rsid w:val="004F7592"/>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BodyText"/>
    <w:next w:val="Normal"/>
    <w:link w:val="Heading2Char"/>
    <w:uiPriority w:val="9"/>
    <w:unhideWhenUsed/>
    <w:qFormat/>
    <w:rsid w:val="00F672A6"/>
    <w:pPr>
      <w:outlineLvl w:val="1"/>
    </w:pPr>
    <w:rPr>
      <w:b/>
      <w:bCs/>
      <w:color w:val="000000" w:themeColor="text1"/>
      <w:sz w:val="24"/>
      <w:szCs w:val="24"/>
    </w:rPr>
  </w:style>
  <w:style w:type="paragraph" w:styleId="Heading3">
    <w:name w:val="heading 3"/>
    <w:basedOn w:val="Heading2"/>
    <w:next w:val="Normal"/>
    <w:link w:val="Heading3Char"/>
    <w:unhideWhenUsed/>
    <w:qFormat/>
    <w:rsid w:val="004F7592"/>
    <w:pPr>
      <w:spacing w:before="480" w:after="120" w:line="360" w:lineRule="atLeast"/>
      <w:contextualSpacing/>
      <w:outlineLvl w:val="2"/>
    </w:pPr>
    <w:rPr>
      <w:bCs w:val="0"/>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592"/>
    <w:rPr>
      <w:rFonts w:asciiTheme="majorHAnsi" w:eastAsiaTheme="majorEastAsia" w:hAnsiTheme="majorHAnsi" w:cstheme="majorBidi"/>
      <w:b/>
      <w:bCs/>
      <w:caps/>
      <w:color w:val="FFFFFF" w:themeColor="background1"/>
      <w:sz w:val="38"/>
      <w:szCs w:val="28"/>
      <w:lang w:val="en-GB"/>
    </w:rPr>
  </w:style>
  <w:style w:type="character" w:customStyle="1" w:styleId="Heading3Char">
    <w:name w:val="Heading 3 Char"/>
    <w:basedOn w:val="DefaultParagraphFont"/>
    <w:link w:val="Heading3"/>
    <w:rsid w:val="004F7592"/>
    <w:rPr>
      <w:rFonts w:asciiTheme="majorHAnsi" w:eastAsiaTheme="majorEastAsia" w:hAnsiTheme="majorHAnsi" w:cstheme="majorBidi"/>
      <w:bCs/>
      <w:color w:val="44546A" w:themeColor="text2"/>
      <w:sz w:val="30"/>
      <w:szCs w:val="26"/>
    </w:rPr>
  </w:style>
  <w:style w:type="paragraph" w:customStyle="1" w:styleId="Bullet1">
    <w:name w:val="Bullet 1"/>
    <w:basedOn w:val="Normal"/>
    <w:qFormat/>
    <w:rsid w:val="004F7592"/>
    <w:pPr>
      <w:numPr>
        <w:numId w:val="2"/>
      </w:numPr>
      <w:tabs>
        <w:tab w:val="left" w:pos="567"/>
      </w:tabs>
      <w:spacing w:before="60"/>
    </w:pPr>
  </w:style>
  <w:style w:type="paragraph" w:customStyle="1" w:styleId="Bullet2">
    <w:name w:val="Bullet 2"/>
    <w:basedOn w:val="Bullet1"/>
    <w:qFormat/>
    <w:rsid w:val="004F7592"/>
    <w:pPr>
      <w:numPr>
        <w:ilvl w:val="1"/>
      </w:numPr>
      <w:tabs>
        <w:tab w:val="clear" w:pos="568"/>
        <w:tab w:val="left" w:pos="851"/>
      </w:tabs>
    </w:pPr>
  </w:style>
  <w:style w:type="paragraph" w:customStyle="1" w:styleId="Bullet3">
    <w:name w:val="Bullet 3"/>
    <w:basedOn w:val="Bullet2"/>
    <w:qFormat/>
    <w:rsid w:val="004F7592"/>
    <w:pPr>
      <w:numPr>
        <w:ilvl w:val="2"/>
      </w:numPr>
      <w:tabs>
        <w:tab w:val="clear" w:pos="852"/>
        <w:tab w:val="left" w:pos="1134"/>
      </w:tabs>
    </w:pPr>
  </w:style>
  <w:style w:type="numbering" w:customStyle="1" w:styleId="BulletsList">
    <w:name w:val="Bullets List"/>
    <w:uiPriority w:val="99"/>
    <w:rsid w:val="004F7592"/>
    <w:pPr>
      <w:numPr>
        <w:numId w:val="1"/>
      </w:numPr>
    </w:pPr>
  </w:style>
  <w:style w:type="paragraph" w:customStyle="1" w:styleId="TableHeaderRow">
    <w:name w:val="Table Header Row"/>
    <w:basedOn w:val="Normal"/>
    <w:qFormat/>
    <w:rsid w:val="004F7592"/>
    <w:pPr>
      <w:spacing w:before="60"/>
    </w:pPr>
    <w:rPr>
      <w:rFonts w:ascii="Calibri" w:hAnsi="Calibri"/>
      <w:b/>
      <w:color w:val="FFFFFF" w:themeColor="background1"/>
      <w:szCs w:val="21"/>
    </w:rPr>
  </w:style>
  <w:style w:type="table" w:customStyle="1" w:styleId="DFATTable1">
    <w:name w:val="DFAT Table 1"/>
    <w:basedOn w:val="TableNormal"/>
    <w:uiPriority w:val="99"/>
    <w:rsid w:val="004F7592"/>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4F7592"/>
  </w:style>
  <w:style w:type="character" w:customStyle="1" w:styleId="BodyTextChar">
    <w:name w:val="Body Text Char"/>
    <w:basedOn w:val="DefaultParagraphFont"/>
    <w:link w:val="BodyText"/>
    <w:uiPriority w:val="99"/>
    <w:rsid w:val="004F7592"/>
    <w:rPr>
      <w:color w:val="44546A" w:themeColor="text2"/>
      <w:lang w:val="en-GB"/>
    </w:rPr>
  </w:style>
  <w:style w:type="character" w:customStyle="1" w:styleId="Heading2Char">
    <w:name w:val="Heading 2 Char"/>
    <w:basedOn w:val="DefaultParagraphFont"/>
    <w:link w:val="Heading2"/>
    <w:uiPriority w:val="9"/>
    <w:rsid w:val="00F672A6"/>
    <w:rPr>
      <w:b/>
      <w:bCs/>
      <w:color w:val="000000" w:themeColor="text1"/>
      <w:sz w:val="24"/>
      <w:szCs w:val="24"/>
      <w:lang w:val="en-GB"/>
    </w:rPr>
  </w:style>
  <w:style w:type="paragraph" w:styleId="ListParagraph">
    <w:name w:val="List Paragraph"/>
    <w:aliases w:val="Citation List,Bullet Styles para,Figure_name,Equipment,Numbered Indented Text,List Paragraph Char Char,lp1,List Paragraph11,kepala,Graphic,Table of contents numbered,Bullet 1 List,3,List bullets,Resume Title,List_Paragraph,Bullets,Ha,H,L"/>
    <w:basedOn w:val="Normal"/>
    <w:link w:val="ListParagraphChar"/>
    <w:uiPriority w:val="34"/>
    <w:qFormat/>
    <w:rsid w:val="005C71AA"/>
    <w:pPr>
      <w:ind w:left="720"/>
      <w:contextualSpacing/>
    </w:pPr>
  </w:style>
  <w:style w:type="paragraph" w:styleId="Revision">
    <w:name w:val="Revision"/>
    <w:hidden/>
    <w:uiPriority w:val="99"/>
    <w:semiHidden/>
    <w:rsid w:val="00D57A59"/>
    <w:pPr>
      <w:spacing w:after="0" w:line="240" w:lineRule="auto"/>
    </w:pPr>
    <w:rPr>
      <w:color w:val="44546A" w:themeColor="text2"/>
      <w:lang w:val="en-GB"/>
    </w:rPr>
  </w:style>
  <w:style w:type="character" w:customStyle="1" w:styleId="ListParagraphChar">
    <w:name w:val="List Paragraph Char"/>
    <w:aliases w:val="Citation List Char,Bullet Styles para Char,Figure_name Char,Equipment Char,Numbered Indented Text Char,List Paragraph Char Char Char,lp1 Char,List Paragraph11 Char,kepala Char,Graphic Char,Table of contents numbered Char,3 Char"/>
    <w:link w:val="ListParagraph"/>
    <w:uiPriority w:val="34"/>
    <w:qFormat/>
    <w:locked/>
    <w:rsid w:val="00DC0323"/>
    <w:rPr>
      <w:color w:val="44546A" w:themeColor="text2"/>
      <w:lang w:val="en-GB"/>
    </w:rPr>
  </w:style>
  <w:style w:type="character" w:styleId="CommentReference">
    <w:name w:val="annotation reference"/>
    <w:basedOn w:val="DefaultParagraphFont"/>
    <w:uiPriority w:val="99"/>
    <w:semiHidden/>
    <w:unhideWhenUsed/>
    <w:rsid w:val="00D12138"/>
    <w:rPr>
      <w:sz w:val="16"/>
      <w:szCs w:val="16"/>
    </w:rPr>
  </w:style>
  <w:style w:type="paragraph" w:styleId="CommentText">
    <w:name w:val="annotation text"/>
    <w:basedOn w:val="Normal"/>
    <w:link w:val="CommentTextChar"/>
    <w:uiPriority w:val="99"/>
    <w:unhideWhenUsed/>
    <w:rsid w:val="00D12138"/>
    <w:pPr>
      <w:spacing w:line="240" w:lineRule="auto"/>
    </w:pPr>
    <w:rPr>
      <w:sz w:val="20"/>
      <w:szCs w:val="20"/>
    </w:rPr>
  </w:style>
  <w:style w:type="character" w:customStyle="1" w:styleId="CommentTextChar">
    <w:name w:val="Comment Text Char"/>
    <w:basedOn w:val="DefaultParagraphFont"/>
    <w:link w:val="CommentText"/>
    <w:uiPriority w:val="99"/>
    <w:rsid w:val="00D12138"/>
    <w:rPr>
      <w:color w:val="44546A" w:themeColor="text2"/>
      <w:sz w:val="20"/>
      <w:szCs w:val="20"/>
      <w:lang w:val="en-GB"/>
    </w:rPr>
  </w:style>
  <w:style w:type="paragraph" w:styleId="CommentSubject">
    <w:name w:val="annotation subject"/>
    <w:basedOn w:val="CommentText"/>
    <w:next w:val="CommentText"/>
    <w:link w:val="CommentSubjectChar"/>
    <w:uiPriority w:val="99"/>
    <w:semiHidden/>
    <w:unhideWhenUsed/>
    <w:rsid w:val="00D12138"/>
    <w:rPr>
      <w:b/>
      <w:bCs/>
    </w:rPr>
  </w:style>
  <w:style w:type="character" w:customStyle="1" w:styleId="CommentSubjectChar">
    <w:name w:val="Comment Subject Char"/>
    <w:basedOn w:val="CommentTextChar"/>
    <w:link w:val="CommentSubject"/>
    <w:uiPriority w:val="99"/>
    <w:semiHidden/>
    <w:rsid w:val="00D12138"/>
    <w:rPr>
      <w:b/>
      <w:bCs/>
      <w:color w:val="44546A" w:themeColor="text2"/>
      <w:sz w:val="20"/>
      <w:szCs w:val="20"/>
      <w:lang w:val="en-GB"/>
    </w:rPr>
  </w:style>
  <w:style w:type="character" w:customStyle="1" w:styleId="cf01">
    <w:name w:val="cf01"/>
    <w:basedOn w:val="DefaultParagraphFont"/>
    <w:rsid w:val="00DA669B"/>
    <w:rPr>
      <w:rFonts w:ascii="Segoe UI" w:hAnsi="Segoe UI" w:cs="Segoe UI" w:hint="default"/>
      <w:color w:val="44546A"/>
      <w:sz w:val="18"/>
      <w:szCs w:val="18"/>
    </w:rPr>
  </w:style>
  <w:style w:type="paragraph" w:styleId="Header">
    <w:name w:val="header"/>
    <w:basedOn w:val="Normal"/>
    <w:link w:val="HeaderChar"/>
    <w:uiPriority w:val="99"/>
    <w:unhideWhenUsed/>
    <w:rsid w:val="00047FC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47FCC"/>
    <w:rPr>
      <w:color w:val="44546A" w:themeColor="text2"/>
      <w:lang w:val="en-GB"/>
    </w:rPr>
  </w:style>
  <w:style w:type="paragraph" w:styleId="Footer">
    <w:name w:val="footer"/>
    <w:basedOn w:val="Normal"/>
    <w:link w:val="FooterChar"/>
    <w:uiPriority w:val="99"/>
    <w:unhideWhenUsed/>
    <w:rsid w:val="00047FC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47FCC"/>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53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6797</Characters>
  <Application>Microsoft Office Word</Application>
  <DocSecurity>0</DocSecurity>
  <Lines>216</Lines>
  <Paragraphs>55</Paragraphs>
  <ScaleCrop>false</ScaleCrop>
  <HeadingPairs>
    <vt:vector size="2" baseType="variant">
      <vt:variant>
        <vt:lpstr>Title</vt:lpstr>
      </vt:variant>
      <vt:variant>
        <vt:i4>1</vt:i4>
      </vt:variant>
    </vt:vector>
  </HeadingPairs>
  <TitlesOfParts>
    <vt:vector size="1" baseType="lpstr">
      <vt:lpstr>DFAT Management Response to the Independent Mid-Term Review of the</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Management Response to the Independent Mid-Term Review of the Sustainable Infrastructure Assistant Program Phase 2 (SIAP2) 2023</dc:title>
  <dc:creator/>
  <cp:keywords>[SEC=UNOFFICIAL]</cp:keywords>
  <cp:lastModifiedBy/>
  <cp:revision>1</cp:revision>
  <dcterms:created xsi:type="dcterms:W3CDTF">2024-01-08T04:25:00Z</dcterms:created>
  <dcterms:modified xsi:type="dcterms:W3CDTF">2024-01-08T04:26:00Z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UNOFFICIAL</vt:lpwstr>
  </property>
  <property fmtid="{D5CDD505-2E9C-101B-9397-08002B2CF9AE}" pid="5" name="PMHMAC">
    <vt:lpwstr>v=2022.1;a=SHA256;h=95718E71F140438C98782A71BC943953B71B54AEDAA32200894F075210DEC451</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UNOFFICIAL</vt:lpwstr>
  </property>
  <property fmtid="{D5CDD505-2E9C-101B-9397-08002B2CF9AE}" pid="9" name="PM_OriginationTimeStamp">
    <vt:lpwstr>2023-08-14T04:03:08Z</vt:lpwstr>
  </property>
  <property fmtid="{D5CDD505-2E9C-101B-9397-08002B2CF9AE}" pid="10" name="PM_Markers">
    <vt:lpwstr/>
  </property>
  <property fmtid="{D5CDD505-2E9C-101B-9397-08002B2CF9AE}" pid="11" name="PM_InsertionValue">
    <vt:lpwstr>UNOFFICIAL</vt:lpwstr>
  </property>
  <property fmtid="{D5CDD505-2E9C-101B-9397-08002B2CF9AE}" pid="12" name="PM_Originator_Hash_SHA1">
    <vt:lpwstr>899E4EA469A04FB023F4432B63374BB33589BF8A</vt:lpwstr>
  </property>
  <property fmtid="{D5CDD505-2E9C-101B-9397-08002B2CF9AE}" pid="13" name="PM_DisplayValueSecClassificationWithQualifier">
    <vt:lpwstr>UNOFFICIAL</vt:lpwstr>
  </property>
  <property fmtid="{D5CDD505-2E9C-101B-9397-08002B2CF9AE}" pid="14" name="PM_ProtectiveMarkingValue_Footer">
    <vt:lpwstr>UNOFFICIAL</vt:lpwstr>
  </property>
  <property fmtid="{D5CDD505-2E9C-101B-9397-08002B2CF9AE}" pid="15" name="PM_Originating_FileId">
    <vt:lpwstr>43386BC30F454AFE85A2E89C11D3E139</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UNOFFICIAL</vt:lpwstr>
  </property>
  <property fmtid="{D5CDD505-2E9C-101B-9397-08002B2CF9AE}" pid="19" name="PM_OriginatorUserAccountName_SHA256">
    <vt:lpwstr>290C9CFCFE70E139C4500567FB5830ACF9049F26A1998DDACA65669D45D5D2AD</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v=2022.2;d=gov.au;g=65417EFE-F3B9-5E66-BD91-1E689FEC2EA6</vt:lpwstr>
  </property>
  <property fmtid="{D5CDD505-2E9C-101B-9397-08002B2CF9AE}" pid="22" name="PM_Hash_Version">
    <vt:lpwstr>2022.1</vt:lpwstr>
  </property>
  <property fmtid="{D5CDD505-2E9C-101B-9397-08002B2CF9AE}" pid="23" name="PM_Hash_Salt_Prev">
    <vt:lpwstr>AF9CA584ED31DAB9D024AFD9A69BC565</vt:lpwstr>
  </property>
  <property fmtid="{D5CDD505-2E9C-101B-9397-08002B2CF9AE}" pid="24" name="PM_Hash_Salt">
    <vt:lpwstr>6898530DF894741E6AE59A706A636F50</vt:lpwstr>
  </property>
  <property fmtid="{D5CDD505-2E9C-101B-9397-08002B2CF9AE}" pid="25" name="PM_Hash_SHA1">
    <vt:lpwstr>B804690537779D2C19BD7192AAAE4075A74DB94E</vt:lpwstr>
  </property>
  <property fmtid="{D5CDD505-2E9C-101B-9397-08002B2CF9AE}" pid="26" name="PM_SecurityClassification_Prev">
    <vt:lpwstr>UNOFFICIAL</vt:lpwstr>
  </property>
  <property fmtid="{D5CDD505-2E9C-101B-9397-08002B2CF9AE}" pid="27" name="PM_Qualifier_Prev">
    <vt:lpwstr/>
  </property>
  <property fmtid="{D5CDD505-2E9C-101B-9397-08002B2CF9AE}" pid="28" name="PM_Caveats_Count">
    <vt:lpwstr>0</vt:lpwstr>
  </property>
</Properties>
</file>