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39" w:rsidRPr="00290C57" w:rsidRDefault="008E5639" w:rsidP="008E5639">
      <w:pPr>
        <w:pStyle w:val="DocName"/>
        <w:pBdr>
          <w:top w:val="single" w:sz="4" w:space="12" w:color="FF9900"/>
          <w:bottom w:val="single" w:sz="4" w:space="5" w:color="FF9900"/>
        </w:pBdr>
        <w:shd w:val="clear" w:color="auto" w:fill="FFFFCC"/>
        <w:spacing w:line="276" w:lineRule="auto"/>
        <w:rPr>
          <w:rFonts w:ascii="Times New Roman" w:hAnsi="Times New Roman"/>
          <w:szCs w:val="28"/>
          <w:lang w:eastAsia="en-AU"/>
        </w:rPr>
      </w:pPr>
      <w:bookmarkStart w:id="0" w:name="_GoBack"/>
      <w:bookmarkEnd w:id="0"/>
      <w:r>
        <w:rPr>
          <w:rFonts w:ascii="Times New Roman" w:hAnsi="Times New Roman"/>
          <w:szCs w:val="28"/>
          <w:lang w:eastAsia="en-AU"/>
        </w:rPr>
        <w:t>Indonesia Transport Safety Assistance Package (ITSAP) &amp; the Australian Maritime Safety Authority Search and Rescue (AMSA SAR) Project</w:t>
      </w:r>
      <w:r w:rsidRPr="00290C57">
        <w:rPr>
          <w:rFonts w:ascii="Times New Roman" w:hAnsi="Times New Roman"/>
          <w:szCs w:val="28"/>
          <w:lang w:eastAsia="en-AU"/>
        </w:rPr>
        <w:t xml:space="preserve"> </w:t>
      </w:r>
      <w:r>
        <w:rPr>
          <w:rFonts w:ascii="Times New Roman" w:hAnsi="Times New Roman"/>
          <w:szCs w:val="28"/>
          <w:lang w:eastAsia="en-AU"/>
        </w:rPr>
        <w:t>Final </w:t>
      </w:r>
      <w:r w:rsidRPr="00290C57">
        <w:rPr>
          <w:rFonts w:ascii="Times New Roman" w:hAnsi="Times New Roman"/>
          <w:szCs w:val="28"/>
          <w:lang w:eastAsia="en-AU"/>
        </w:rPr>
        <w:t>Report</w:t>
      </w:r>
    </w:p>
    <w:p w:rsidR="008E5639" w:rsidRPr="00290C57" w:rsidRDefault="008E5639" w:rsidP="008E5639">
      <w:pPr>
        <w:pStyle w:val="DocName"/>
        <w:pBdr>
          <w:top w:val="single" w:sz="4" w:space="12" w:color="FF9900"/>
          <w:bottom w:val="single" w:sz="4" w:space="5" w:color="FF9900"/>
        </w:pBdr>
        <w:shd w:val="clear" w:color="auto" w:fill="FFFFCC"/>
        <w:spacing w:line="276" w:lineRule="auto"/>
        <w:rPr>
          <w:rFonts w:ascii="Times New Roman" w:hAnsi="Times New Roman"/>
          <w:sz w:val="12"/>
          <w:szCs w:val="28"/>
          <w:lang w:eastAsia="en-AU"/>
        </w:rPr>
      </w:pPr>
    </w:p>
    <w:p w:rsidR="008E5639" w:rsidRPr="00290C57" w:rsidRDefault="008E5639" w:rsidP="008E5639">
      <w:pPr>
        <w:pStyle w:val="DocName"/>
        <w:pBdr>
          <w:top w:val="single" w:sz="4" w:space="12" w:color="FF9900"/>
          <w:bottom w:val="single" w:sz="4" w:space="5" w:color="FF9900"/>
        </w:pBdr>
        <w:shd w:val="clear" w:color="auto" w:fill="FFFFCC"/>
        <w:rPr>
          <w:rFonts w:ascii="Times New Roman" w:hAnsi="Times New Roman"/>
          <w:szCs w:val="28"/>
          <w:lang w:eastAsia="en-AU"/>
        </w:rPr>
      </w:pPr>
      <w:r w:rsidRPr="00290C57">
        <w:rPr>
          <w:rFonts w:ascii="Times New Roman" w:hAnsi="Times New Roman"/>
          <w:szCs w:val="28"/>
          <w:lang w:eastAsia="en-AU"/>
        </w:rPr>
        <w:t>MANAGEMENT RESPONSE</w:t>
      </w:r>
    </w:p>
    <w:p w:rsidR="008E5639" w:rsidRDefault="008E5639" w:rsidP="008E5639">
      <w:pPr>
        <w:tabs>
          <w:tab w:val="left" w:pos="1539"/>
        </w:tabs>
        <w:spacing w:after="0" w:line="240" w:lineRule="auto"/>
        <w:ind w:left="1440" w:hanging="1440"/>
        <w:rPr>
          <w:rFonts w:ascii="Times New Roman" w:hAnsi="Times New Roman" w:cs="Times New Roman"/>
          <w:b/>
          <w:sz w:val="24"/>
          <w:szCs w:val="24"/>
          <w:lang w:eastAsia="en-AU"/>
        </w:rPr>
      </w:pPr>
    </w:p>
    <w:p w:rsidR="008E5639" w:rsidRPr="00290C57" w:rsidRDefault="008E5639" w:rsidP="008E5639">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Aid Activity Objective</w:t>
      </w:r>
    </w:p>
    <w:p w:rsidR="008E5639" w:rsidRPr="00290C57" w:rsidRDefault="008E5639" w:rsidP="008E5639">
      <w:pPr>
        <w:pStyle w:val="Heading2"/>
        <w:spacing w:before="0" w:after="0"/>
        <w:rPr>
          <w:rFonts w:ascii="Times New Roman" w:hAnsi="Times New Roman" w:cs="Times New Roman"/>
          <w:szCs w:val="24"/>
        </w:rPr>
      </w:pPr>
    </w:p>
    <w:p w:rsidR="008E5639" w:rsidRDefault="008E5639" w:rsidP="008E56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Indonesia Transport Safety Assistance Package (ITSAP) was designed to contribute to improved transport safety in Indonesia. ITSAP assisted Indonesia to regulate and promote transport safety in accordance with applicable international standards and contemporary safety management practices. The program responded to requests from the Indonesian Government for technical assistance, capacity building, and advice on improved governance and safety management practices and procedures.  Under ITSAP, the Australian Maritime Safety Authority Search and Rescue (AMSA SAR) worked to improve the capability and coordination of search and rescue activities in the region. </w:t>
      </w:r>
    </w:p>
    <w:p w:rsidR="008E5639" w:rsidRPr="001339C2" w:rsidRDefault="008E5639" w:rsidP="008E5639">
      <w:pPr>
        <w:spacing w:line="240" w:lineRule="auto"/>
        <w:jc w:val="both"/>
        <w:rPr>
          <w:rFonts w:ascii="Times New Roman" w:hAnsi="Times New Roman" w:cs="Times New Roman"/>
          <w:b/>
          <w:sz w:val="24"/>
          <w:szCs w:val="24"/>
        </w:rPr>
      </w:pPr>
      <w:r w:rsidRPr="001339C2">
        <w:rPr>
          <w:rFonts w:ascii="Times New Roman" w:hAnsi="Times New Roman" w:cs="Times New Roman"/>
          <w:b/>
          <w:sz w:val="24"/>
          <w:szCs w:val="24"/>
        </w:rPr>
        <w:t>Aid Activity Summary</w:t>
      </w:r>
      <w:r>
        <w:rPr>
          <w:rFonts w:ascii="Times New Roman" w:hAnsi="Times New Roman" w:cs="Times New Roman"/>
          <w:b/>
          <w:sz w:val="24"/>
          <w:szCs w:val="24"/>
        </w:rPr>
        <w:t>:</w:t>
      </w:r>
    </w:p>
    <w:tbl>
      <w:tblPr>
        <w:tblStyle w:val="Tablewithheader"/>
        <w:tblW w:w="0" w:type="auto"/>
        <w:tblLook w:val="01E0" w:firstRow="1" w:lastRow="1" w:firstColumn="1" w:lastColumn="1" w:noHBand="0" w:noVBand="0"/>
      </w:tblPr>
      <w:tblGrid>
        <w:gridCol w:w="2518"/>
        <w:gridCol w:w="1773"/>
        <w:gridCol w:w="1680"/>
        <w:gridCol w:w="3271"/>
      </w:tblGrid>
      <w:tr w:rsidR="008E5639" w:rsidRPr="00290C57" w:rsidTr="004259B1">
        <w:trPr>
          <w:cnfStyle w:val="100000000000" w:firstRow="1" w:lastRow="0" w:firstColumn="0" w:lastColumn="0" w:oddVBand="0" w:evenVBand="0" w:oddHBand="0" w:evenHBand="0" w:firstRowFirstColumn="0" w:firstRowLastColumn="0" w:lastRowFirstColumn="0" w:lastRowLastColumn="0"/>
        </w:trPr>
        <w:tc>
          <w:tcPr>
            <w:tcW w:w="2518" w:type="dxa"/>
            <w:vAlign w:val="center"/>
          </w:tcPr>
          <w:p w:rsidR="008E5639" w:rsidRPr="00290C57" w:rsidRDefault="008E5639" w:rsidP="004259B1">
            <w:pPr>
              <w:pStyle w:val="Table-normal-text"/>
              <w:jc w:val="left"/>
              <w:rPr>
                <w:rFonts w:ascii="Times New Roman" w:hAnsi="Times New Roman"/>
                <w:sz w:val="24"/>
              </w:rPr>
            </w:pPr>
            <w:r w:rsidRPr="00290C57">
              <w:rPr>
                <w:rFonts w:ascii="Times New Roman" w:hAnsi="Times New Roman"/>
                <w:sz w:val="24"/>
              </w:rPr>
              <w:t>Aid Activity Name</w:t>
            </w:r>
          </w:p>
        </w:tc>
        <w:tc>
          <w:tcPr>
            <w:tcW w:w="6724" w:type="dxa"/>
            <w:gridSpan w:val="3"/>
            <w:vAlign w:val="center"/>
          </w:tcPr>
          <w:p w:rsidR="008E5639" w:rsidRPr="00290C57" w:rsidRDefault="008E5639" w:rsidP="004259B1">
            <w:pPr>
              <w:pStyle w:val="Table-normal-text"/>
              <w:jc w:val="left"/>
              <w:rPr>
                <w:rFonts w:ascii="Times New Roman" w:hAnsi="Times New Roman"/>
                <w:sz w:val="24"/>
              </w:rPr>
            </w:pPr>
            <w:r>
              <w:rPr>
                <w:rFonts w:ascii="Times New Roman" w:hAnsi="Times New Roman"/>
                <w:sz w:val="24"/>
              </w:rPr>
              <w:t>ITSAP &amp; AMSA SAR</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 xml:space="preserve">AidWorks initiative </w:t>
            </w:r>
            <w:r>
              <w:rPr>
                <w:rFonts w:ascii="Times New Roman" w:hAnsi="Times New Roman"/>
                <w:sz w:val="24"/>
              </w:rPr>
              <w:t>no.</w:t>
            </w:r>
          </w:p>
        </w:tc>
        <w:tc>
          <w:tcPr>
            <w:tcW w:w="6724" w:type="dxa"/>
            <w:gridSpan w:val="3"/>
          </w:tcPr>
          <w:p w:rsidR="008E5639" w:rsidRPr="00290C57" w:rsidRDefault="008E5639" w:rsidP="004259B1">
            <w:pPr>
              <w:pStyle w:val="Table-normal-text"/>
              <w:rPr>
                <w:rFonts w:ascii="Times New Roman" w:hAnsi="Times New Roman"/>
                <w:sz w:val="24"/>
              </w:rPr>
            </w:pPr>
            <w:r>
              <w:rPr>
                <w:rFonts w:ascii="Times New Roman" w:hAnsi="Times New Roman"/>
                <w:sz w:val="24"/>
              </w:rPr>
              <w:t>INL502 &amp; INL162</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Commencement date</w:t>
            </w:r>
          </w:p>
        </w:tc>
        <w:tc>
          <w:tcPr>
            <w:tcW w:w="1773" w:type="dxa"/>
          </w:tcPr>
          <w:p w:rsidR="008E5639" w:rsidRDefault="008E5639" w:rsidP="004259B1">
            <w:pPr>
              <w:pStyle w:val="Table-normal-text"/>
              <w:rPr>
                <w:rFonts w:ascii="Times New Roman" w:hAnsi="Times New Roman"/>
                <w:sz w:val="24"/>
              </w:rPr>
            </w:pPr>
            <w:r>
              <w:rPr>
                <w:rFonts w:ascii="Times New Roman" w:hAnsi="Times New Roman"/>
                <w:sz w:val="24"/>
              </w:rPr>
              <w:t xml:space="preserve">1 July 2014   &amp; </w:t>
            </w:r>
          </w:p>
          <w:p w:rsidR="008E5639" w:rsidRPr="00290C57" w:rsidRDefault="008E5639" w:rsidP="004259B1">
            <w:pPr>
              <w:pStyle w:val="Table-normal-text"/>
              <w:rPr>
                <w:rFonts w:ascii="Times New Roman" w:hAnsi="Times New Roman"/>
                <w:sz w:val="24"/>
              </w:rPr>
            </w:pPr>
            <w:r>
              <w:rPr>
                <w:rFonts w:ascii="Times New Roman" w:hAnsi="Times New Roman"/>
                <w:sz w:val="24"/>
              </w:rPr>
              <w:t>18</w:t>
            </w:r>
            <w:r w:rsidRPr="00290C57">
              <w:rPr>
                <w:rFonts w:ascii="Times New Roman" w:hAnsi="Times New Roman"/>
                <w:sz w:val="24"/>
              </w:rPr>
              <w:t xml:space="preserve"> </w:t>
            </w:r>
            <w:r>
              <w:rPr>
                <w:rFonts w:ascii="Times New Roman" w:hAnsi="Times New Roman"/>
                <w:sz w:val="24"/>
              </w:rPr>
              <w:t>July 2013</w:t>
            </w:r>
          </w:p>
        </w:tc>
        <w:tc>
          <w:tcPr>
            <w:tcW w:w="1680"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Completion date</w:t>
            </w:r>
          </w:p>
        </w:tc>
        <w:tc>
          <w:tcPr>
            <w:tcW w:w="3271" w:type="dxa"/>
          </w:tcPr>
          <w:p w:rsidR="008E5639" w:rsidRPr="00290C57" w:rsidRDefault="008E5639" w:rsidP="004259B1">
            <w:pPr>
              <w:pStyle w:val="Table-normal-text"/>
              <w:rPr>
                <w:rFonts w:ascii="Times New Roman" w:hAnsi="Times New Roman"/>
                <w:sz w:val="24"/>
              </w:rPr>
            </w:pPr>
            <w:r>
              <w:rPr>
                <w:rFonts w:ascii="Times New Roman" w:hAnsi="Times New Roman"/>
                <w:sz w:val="24"/>
              </w:rPr>
              <w:t>30 June 2015</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Total Australian $</w:t>
            </w:r>
          </w:p>
        </w:tc>
        <w:tc>
          <w:tcPr>
            <w:tcW w:w="6724" w:type="dxa"/>
            <w:gridSpan w:val="3"/>
          </w:tcPr>
          <w:p w:rsidR="008E5639" w:rsidRDefault="008E5639" w:rsidP="004259B1">
            <w:pPr>
              <w:pStyle w:val="Table-normal-text"/>
              <w:rPr>
                <w:rFonts w:ascii="Times New Roman" w:hAnsi="Times New Roman"/>
                <w:sz w:val="24"/>
              </w:rPr>
            </w:pPr>
            <w:r>
              <w:rPr>
                <w:rFonts w:ascii="Times New Roman" w:hAnsi="Times New Roman"/>
                <w:sz w:val="24"/>
              </w:rPr>
              <w:t>AUD4.6 million to ITSAP (2014-15)</w:t>
            </w:r>
          </w:p>
          <w:p w:rsidR="008E5639" w:rsidRPr="00290C57" w:rsidRDefault="008E5639" w:rsidP="004259B1">
            <w:pPr>
              <w:pStyle w:val="Table-normal-text"/>
              <w:rPr>
                <w:rFonts w:ascii="Times New Roman" w:hAnsi="Times New Roman"/>
                <w:sz w:val="24"/>
              </w:rPr>
            </w:pPr>
            <w:r w:rsidRPr="00290C57">
              <w:rPr>
                <w:rFonts w:ascii="Times New Roman" w:hAnsi="Times New Roman"/>
                <w:sz w:val="24"/>
              </w:rPr>
              <w:t>A</w:t>
            </w:r>
            <w:r>
              <w:rPr>
                <w:rFonts w:ascii="Times New Roman" w:hAnsi="Times New Roman"/>
                <w:sz w:val="24"/>
              </w:rPr>
              <w:t>UD4.417 million to AMSA SAR (2012-15)</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Total other $</w:t>
            </w:r>
          </w:p>
        </w:tc>
        <w:tc>
          <w:tcPr>
            <w:tcW w:w="6724" w:type="dxa"/>
            <w:gridSpan w:val="3"/>
          </w:tcPr>
          <w:p w:rsidR="008E5639" w:rsidRPr="00290C57" w:rsidRDefault="008E5639" w:rsidP="004259B1">
            <w:pPr>
              <w:pStyle w:val="Table-normal-text"/>
              <w:rPr>
                <w:rFonts w:ascii="Times New Roman" w:hAnsi="Times New Roman"/>
                <w:sz w:val="24"/>
              </w:rPr>
            </w:pPr>
            <w:r>
              <w:rPr>
                <w:rFonts w:ascii="Times New Roman" w:hAnsi="Times New Roman"/>
                <w:sz w:val="24"/>
              </w:rPr>
              <w:t>-</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Delivery organisation(s)</w:t>
            </w:r>
          </w:p>
        </w:tc>
        <w:tc>
          <w:tcPr>
            <w:tcW w:w="6724" w:type="dxa"/>
            <w:gridSpan w:val="3"/>
          </w:tcPr>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Australian Maritime Safety Authority (AMSA)</w:t>
            </w:r>
          </w:p>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Airservices Australia</w:t>
            </w:r>
          </w:p>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Australian Transport Safety Bureau</w:t>
            </w:r>
            <w:r>
              <w:rPr>
                <w:rFonts w:ascii="Times New Roman" w:hAnsi="Times New Roman"/>
                <w:sz w:val="24"/>
              </w:rPr>
              <w:t>;</w:t>
            </w:r>
            <w:r w:rsidRPr="003B52C6">
              <w:rPr>
                <w:rFonts w:ascii="Times New Roman" w:hAnsi="Times New Roman"/>
                <w:sz w:val="24"/>
              </w:rPr>
              <w:t xml:space="preserve"> and</w:t>
            </w:r>
          </w:p>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Civil Aviation Safety Authority (CASA)</w:t>
            </w:r>
          </w:p>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Directorate General of Civil Aviation</w:t>
            </w:r>
          </w:p>
          <w:p w:rsidR="008E5639"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 xml:space="preserve">Directorate General of Sea Transportation and </w:t>
            </w:r>
          </w:p>
          <w:p w:rsidR="008E5639" w:rsidRPr="00290C57" w:rsidRDefault="008E5639" w:rsidP="004259B1">
            <w:pPr>
              <w:pStyle w:val="Table-normal-text"/>
              <w:numPr>
                <w:ilvl w:val="0"/>
                <w:numId w:val="17"/>
              </w:numPr>
              <w:ind w:left="342" w:hanging="342"/>
              <w:rPr>
                <w:rFonts w:ascii="Times New Roman" w:hAnsi="Times New Roman"/>
                <w:sz w:val="24"/>
              </w:rPr>
            </w:pPr>
            <w:r w:rsidRPr="003B52C6">
              <w:rPr>
                <w:rFonts w:ascii="Times New Roman" w:hAnsi="Times New Roman"/>
                <w:sz w:val="24"/>
              </w:rPr>
              <w:t>Directorate General of Land Transportation</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Implementing Partner(s)</w:t>
            </w:r>
          </w:p>
        </w:tc>
        <w:tc>
          <w:tcPr>
            <w:tcW w:w="6724" w:type="dxa"/>
            <w:gridSpan w:val="3"/>
          </w:tcPr>
          <w:p w:rsidR="008E5639" w:rsidRDefault="008E5639" w:rsidP="004259B1">
            <w:pPr>
              <w:pStyle w:val="Table-normal-text"/>
              <w:numPr>
                <w:ilvl w:val="0"/>
                <w:numId w:val="17"/>
              </w:numPr>
              <w:ind w:left="342" w:hanging="342"/>
              <w:rPr>
                <w:rFonts w:ascii="Times New Roman" w:hAnsi="Times New Roman"/>
                <w:sz w:val="24"/>
              </w:rPr>
            </w:pPr>
            <w:r>
              <w:rPr>
                <w:rFonts w:ascii="Times New Roman" w:hAnsi="Times New Roman"/>
                <w:sz w:val="24"/>
              </w:rPr>
              <w:t xml:space="preserve">Department of Infrastructure and </w:t>
            </w:r>
            <w:r w:rsidR="00B61671">
              <w:rPr>
                <w:rFonts w:ascii="Times New Roman" w:hAnsi="Times New Roman"/>
                <w:sz w:val="24"/>
              </w:rPr>
              <w:t>Regional</w:t>
            </w:r>
            <w:r>
              <w:rPr>
                <w:rFonts w:ascii="Times New Roman" w:hAnsi="Times New Roman"/>
                <w:sz w:val="24"/>
              </w:rPr>
              <w:t xml:space="preserve"> Development; and </w:t>
            </w:r>
          </w:p>
          <w:p w:rsidR="008E5639" w:rsidRPr="00290C57" w:rsidRDefault="008E5639" w:rsidP="004259B1">
            <w:pPr>
              <w:pStyle w:val="Table-normal-text"/>
              <w:numPr>
                <w:ilvl w:val="0"/>
                <w:numId w:val="17"/>
              </w:numPr>
              <w:ind w:left="342" w:hanging="342"/>
              <w:rPr>
                <w:rFonts w:ascii="Times New Roman" w:hAnsi="Times New Roman"/>
                <w:sz w:val="24"/>
              </w:rPr>
            </w:pPr>
            <w:r>
              <w:rPr>
                <w:rFonts w:ascii="Times New Roman" w:hAnsi="Times New Roman"/>
                <w:sz w:val="24"/>
              </w:rPr>
              <w:t>Government of Indonesia through Ministry of Transportation</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Country/Region</w:t>
            </w:r>
          </w:p>
        </w:tc>
        <w:tc>
          <w:tcPr>
            <w:tcW w:w="6724" w:type="dxa"/>
            <w:gridSpan w:val="3"/>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Indonesia, Asia</w:t>
            </w:r>
          </w:p>
        </w:tc>
      </w:tr>
      <w:tr w:rsidR="008E5639" w:rsidRPr="00290C57" w:rsidTr="004259B1">
        <w:tc>
          <w:tcPr>
            <w:tcW w:w="2518" w:type="dxa"/>
          </w:tcPr>
          <w:p w:rsidR="008E5639" w:rsidRPr="00290C57" w:rsidRDefault="008E5639" w:rsidP="004259B1">
            <w:pPr>
              <w:pStyle w:val="Table-normal-text"/>
              <w:rPr>
                <w:rFonts w:ascii="Times New Roman" w:hAnsi="Times New Roman"/>
                <w:sz w:val="24"/>
              </w:rPr>
            </w:pPr>
            <w:r w:rsidRPr="00290C57">
              <w:rPr>
                <w:rFonts w:ascii="Times New Roman" w:hAnsi="Times New Roman"/>
                <w:sz w:val="24"/>
              </w:rPr>
              <w:t>Primary Sector</w:t>
            </w:r>
          </w:p>
        </w:tc>
        <w:tc>
          <w:tcPr>
            <w:tcW w:w="6724" w:type="dxa"/>
            <w:gridSpan w:val="3"/>
          </w:tcPr>
          <w:p w:rsidR="008E5639" w:rsidRPr="00290C57" w:rsidRDefault="008E5639" w:rsidP="004259B1">
            <w:pPr>
              <w:pStyle w:val="Table-normal-text"/>
              <w:rPr>
                <w:rFonts w:ascii="Times New Roman" w:hAnsi="Times New Roman"/>
                <w:sz w:val="24"/>
              </w:rPr>
            </w:pPr>
            <w:r>
              <w:rPr>
                <w:rFonts w:ascii="Times New Roman" w:hAnsi="Times New Roman"/>
                <w:sz w:val="24"/>
              </w:rPr>
              <w:t>Transport policy and administrative management [21010]</w:t>
            </w:r>
          </w:p>
        </w:tc>
      </w:tr>
    </w:tbl>
    <w:p w:rsidR="008E5639" w:rsidRPr="00290C57" w:rsidRDefault="008E5639" w:rsidP="008E5639">
      <w:pPr>
        <w:spacing w:line="240" w:lineRule="auto"/>
        <w:jc w:val="both"/>
        <w:rPr>
          <w:rFonts w:ascii="Times New Roman" w:eastAsia="Times New Roman" w:hAnsi="Times New Roman" w:cs="Times New Roman"/>
          <w:b/>
          <w:iCs/>
          <w:sz w:val="24"/>
          <w:szCs w:val="24"/>
          <w:lang w:eastAsia="en-AU"/>
        </w:rPr>
      </w:pPr>
    </w:p>
    <w:p w:rsidR="00540E9E" w:rsidRDefault="00540E9E">
      <w:pPr>
        <w:rPr>
          <w:rFonts w:ascii="Times New Roman" w:eastAsia="Times New Roman" w:hAnsi="Times New Roman" w:cs="Times New Roman"/>
          <w:b/>
          <w:bCs/>
          <w:sz w:val="26"/>
          <w:szCs w:val="26"/>
          <w:lang w:eastAsia="en-AU"/>
        </w:rPr>
      </w:pPr>
      <w:r>
        <w:rPr>
          <w:rFonts w:ascii="Times New Roman" w:hAnsi="Times New Roman"/>
          <w:sz w:val="26"/>
          <w:szCs w:val="26"/>
          <w:lang w:eastAsia="en-AU"/>
        </w:rPr>
        <w:br w:type="page"/>
      </w:r>
    </w:p>
    <w:p w:rsidR="008E5639" w:rsidRPr="00290C57" w:rsidRDefault="008E5639" w:rsidP="008E5639">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lastRenderedPageBreak/>
        <w:t>Overview of the Aid Activity</w:t>
      </w:r>
    </w:p>
    <w:p w:rsidR="008E5639" w:rsidRDefault="008E5639" w:rsidP="008E5639">
      <w:pPr>
        <w:spacing w:after="0" w:line="240" w:lineRule="auto"/>
        <w:rPr>
          <w:rFonts w:ascii="Times New Roman" w:hAnsi="Times New Roman" w:cs="Times New Roman"/>
          <w:sz w:val="24"/>
          <w:szCs w:val="24"/>
        </w:rPr>
      </w:pPr>
    </w:p>
    <w:p w:rsidR="008E5639" w:rsidRDefault="008E5639" w:rsidP="008E5639">
      <w:pPr>
        <w:spacing w:line="240" w:lineRule="auto"/>
        <w:rPr>
          <w:rFonts w:ascii="Times New Roman" w:hAnsi="Times New Roman" w:cs="Times New Roman"/>
          <w:sz w:val="24"/>
          <w:szCs w:val="24"/>
        </w:rPr>
      </w:pPr>
      <w:r w:rsidRPr="00D32CEE">
        <w:rPr>
          <w:rFonts w:ascii="Times New Roman" w:hAnsi="Times New Roman" w:cs="Times New Roman"/>
          <w:sz w:val="24"/>
          <w:szCs w:val="24"/>
        </w:rPr>
        <w:t>The first phase of ITSAP began in 2007 following the Garuda air crash in Yogyakarta. Since 2007, the Department of Infrastructure and Regional Development (</w:t>
      </w:r>
      <w:r>
        <w:rPr>
          <w:rFonts w:ascii="Times New Roman" w:hAnsi="Times New Roman" w:cs="Times New Roman"/>
          <w:sz w:val="24"/>
          <w:szCs w:val="24"/>
        </w:rPr>
        <w:t>“Infrastructure”</w:t>
      </w:r>
      <w:r w:rsidRPr="00D32CEE">
        <w:rPr>
          <w:rFonts w:ascii="Times New Roman" w:hAnsi="Times New Roman" w:cs="Times New Roman"/>
          <w:sz w:val="24"/>
          <w:szCs w:val="24"/>
        </w:rPr>
        <w:t>) administered the ITSAP program.</w:t>
      </w:r>
    </w:p>
    <w:p w:rsidR="008E5639" w:rsidRDefault="008E5639" w:rsidP="008E5639">
      <w:pPr>
        <w:spacing w:line="240" w:lineRule="auto"/>
        <w:rPr>
          <w:rFonts w:ascii="Times New Roman" w:hAnsi="Times New Roman" w:cs="Times New Roman"/>
          <w:sz w:val="24"/>
          <w:szCs w:val="24"/>
        </w:rPr>
      </w:pPr>
      <w:r>
        <w:rPr>
          <w:rFonts w:ascii="Times New Roman" w:hAnsi="Times New Roman" w:cs="Times New Roman"/>
          <w:sz w:val="24"/>
          <w:szCs w:val="24"/>
        </w:rPr>
        <w:t xml:space="preserve">Assistance was delivered by a number of Australian agencies to build the capacity of their Indonesian counterparts to meet international maritime, aviation and land safety standards. </w:t>
      </w:r>
    </w:p>
    <w:p w:rsidR="008E5639" w:rsidRDefault="008E5639" w:rsidP="008E5639">
      <w:pPr>
        <w:spacing w:line="240" w:lineRule="auto"/>
        <w:rPr>
          <w:rFonts w:ascii="Times New Roman" w:hAnsi="Times New Roman" w:cs="Times New Roman"/>
          <w:sz w:val="24"/>
          <w:szCs w:val="24"/>
        </w:rPr>
      </w:pPr>
      <w:r>
        <w:rPr>
          <w:rFonts w:ascii="Times New Roman" w:hAnsi="Times New Roman" w:cs="Times New Roman"/>
          <w:sz w:val="24"/>
          <w:szCs w:val="24"/>
        </w:rPr>
        <w:t xml:space="preserve">Since its inception, 97 capacity building projects were approved under ITSAP and over 10,000 Indonesian transport officers received training through workshops, mentoring and officer exchange programs.  </w:t>
      </w:r>
    </w:p>
    <w:p w:rsidR="008E5639" w:rsidRDefault="008E5639" w:rsidP="008E5639">
      <w:pPr>
        <w:spacing w:line="240" w:lineRule="auto"/>
        <w:rPr>
          <w:rFonts w:ascii="Times New Roman" w:hAnsi="Times New Roman" w:cs="Times New Roman"/>
          <w:sz w:val="24"/>
          <w:szCs w:val="24"/>
        </w:rPr>
      </w:pPr>
      <w:r>
        <w:rPr>
          <w:rFonts w:ascii="Times New Roman" w:hAnsi="Times New Roman" w:cs="Times New Roman"/>
          <w:sz w:val="24"/>
          <w:szCs w:val="24"/>
        </w:rPr>
        <w:t xml:space="preserve">ITSAP projects focused on one or more of the following key components: transport safety policy and management; aviation safety; and maritime and surface transport safety. </w:t>
      </w:r>
    </w:p>
    <w:p w:rsidR="008E5639" w:rsidRPr="00290C57" w:rsidRDefault="008E5639" w:rsidP="008E5639">
      <w:pPr>
        <w:pStyle w:val="DocName"/>
        <w:shd w:val="clear" w:color="auto" w:fill="FFFFCC"/>
        <w:jc w:val="left"/>
        <w:rPr>
          <w:rFonts w:ascii="Times New Roman" w:hAnsi="Times New Roman"/>
          <w:sz w:val="26"/>
          <w:szCs w:val="26"/>
          <w:lang w:eastAsia="en-AU"/>
        </w:rPr>
      </w:pPr>
      <w:r>
        <w:rPr>
          <w:rFonts w:ascii="Times New Roman" w:hAnsi="Times New Roman"/>
          <w:sz w:val="26"/>
          <w:szCs w:val="26"/>
          <w:lang w:eastAsia="en-AU"/>
        </w:rPr>
        <w:t>Review of ITSAP and AMSA SAR Final Report</w:t>
      </w:r>
    </w:p>
    <w:p w:rsidR="008E5639" w:rsidRPr="00290C57" w:rsidRDefault="008E5639" w:rsidP="008E5639">
      <w:pPr>
        <w:spacing w:after="0" w:line="240" w:lineRule="auto"/>
        <w:rPr>
          <w:rFonts w:ascii="Times New Roman" w:hAnsi="Times New Roman" w:cs="Times New Roman"/>
          <w:b/>
          <w:sz w:val="24"/>
          <w:szCs w:val="24"/>
        </w:rPr>
      </w:pPr>
    </w:p>
    <w:p w:rsidR="008E5639" w:rsidRPr="001339C2" w:rsidRDefault="008E5639" w:rsidP="008E5639">
      <w:pPr>
        <w:spacing w:line="240" w:lineRule="auto"/>
        <w:rPr>
          <w:rFonts w:ascii="Times New Roman" w:hAnsi="Times New Roman" w:cs="Times New Roman"/>
          <w:b/>
          <w:sz w:val="24"/>
          <w:szCs w:val="24"/>
        </w:rPr>
      </w:pPr>
      <w:r w:rsidRPr="001339C2">
        <w:rPr>
          <w:rFonts w:ascii="Times New Roman" w:hAnsi="Times New Roman" w:cs="Times New Roman"/>
          <w:b/>
          <w:sz w:val="24"/>
          <w:szCs w:val="24"/>
        </w:rPr>
        <w:t>Report Objective:</w:t>
      </w:r>
    </w:p>
    <w:p w:rsidR="008E5639" w:rsidRPr="00290C57" w:rsidRDefault="008E5639" w:rsidP="008E5639">
      <w:pPr>
        <w:spacing w:line="240" w:lineRule="auto"/>
        <w:rPr>
          <w:rFonts w:ascii="Times New Roman" w:hAnsi="Times New Roman" w:cs="Times New Roman"/>
          <w:sz w:val="24"/>
          <w:szCs w:val="24"/>
        </w:rPr>
      </w:pPr>
      <w:r w:rsidRPr="00290C57">
        <w:rPr>
          <w:rFonts w:ascii="Times New Roman" w:hAnsi="Times New Roman" w:cs="Times New Roman"/>
          <w:sz w:val="24"/>
          <w:szCs w:val="24"/>
        </w:rPr>
        <w:t xml:space="preserve">The </w:t>
      </w:r>
      <w:r>
        <w:rPr>
          <w:rFonts w:ascii="Times New Roman" w:hAnsi="Times New Roman" w:cs="Times New Roman"/>
          <w:sz w:val="24"/>
          <w:szCs w:val="24"/>
        </w:rPr>
        <w:t>purpose of the review was to assess whether ITSAP and AMSA SAR activities had performed well and had resulted in the intended institutional and governance outcomes.  The AMSA SAR activities were assessed for the period 2012-14 and other ITSAP activities for the 2014-15 financial year.</w:t>
      </w:r>
    </w:p>
    <w:p w:rsidR="008E5639" w:rsidRDefault="008E5639" w:rsidP="008E56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2015 Final Report Conclusions: </w:t>
      </w:r>
    </w:p>
    <w:p w:rsidR="008E5639" w:rsidRDefault="008E5639" w:rsidP="008E563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review found the program to be strategically relevant, to have been effective, and to have had a positive impact; though some sub-programs were assessed as being more sustainable than others. Generally, the program was judged to be well-conceived, but inevitably there are opportunities for further refinement, especially in light of future funding constraints. </w:t>
      </w:r>
    </w:p>
    <w:p w:rsidR="008E5639" w:rsidRPr="00290C57" w:rsidRDefault="008E5639" w:rsidP="008E5639">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Management Response</w:t>
      </w:r>
    </w:p>
    <w:p w:rsidR="008E5639" w:rsidRDefault="008E5639" w:rsidP="008E5639">
      <w:pPr>
        <w:spacing w:after="0" w:line="240" w:lineRule="auto"/>
        <w:rPr>
          <w:rFonts w:ascii="Times New Roman" w:hAnsi="Times New Roman" w:cs="Times New Roman"/>
          <w:sz w:val="24"/>
          <w:szCs w:val="24"/>
        </w:rPr>
      </w:pPr>
    </w:p>
    <w:p w:rsidR="008E5639" w:rsidRPr="00426A58" w:rsidRDefault="008E5639" w:rsidP="008E5639">
      <w:pPr>
        <w:spacing w:line="240" w:lineRule="auto"/>
        <w:rPr>
          <w:rFonts w:ascii="Times New Roman" w:hAnsi="Times New Roman" w:cs="Times New Roman"/>
          <w:sz w:val="24"/>
          <w:szCs w:val="24"/>
        </w:rPr>
      </w:pPr>
      <w:r w:rsidRPr="00426A58">
        <w:rPr>
          <w:rFonts w:ascii="Times New Roman" w:hAnsi="Times New Roman" w:cs="Times New Roman"/>
          <w:sz w:val="24"/>
          <w:szCs w:val="24"/>
        </w:rPr>
        <w:t>DFAT welcomes the analysis and recommendations presented in the final report. The report has provided valuable opportunities for stakeholders to reflect on the achievements, challenges and future directions of the program.</w:t>
      </w:r>
      <w:r>
        <w:rPr>
          <w:rFonts w:ascii="Times New Roman" w:hAnsi="Times New Roman" w:cs="Times New Roman"/>
          <w:sz w:val="24"/>
          <w:szCs w:val="24"/>
        </w:rPr>
        <w:t xml:space="preserve"> The review is particularly timely as ITSAP prepares to pursue the next phase of implementation through the </w:t>
      </w:r>
      <w:r w:rsidR="00B61671">
        <w:rPr>
          <w:rFonts w:ascii="Times New Roman" w:hAnsi="Times New Roman" w:cs="Times New Roman"/>
          <w:sz w:val="24"/>
          <w:szCs w:val="24"/>
        </w:rPr>
        <w:t>Government</w:t>
      </w:r>
      <w:r>
        <w:rPr>
          <w:rFonts w:ascii="Times New Roman" w:hAnsi="Times New Roman" w:cs="Times New Roman"/>
          <w:sz w:val="24"/>
          <w:szCs w:val="24"/>
        </w:rPr>
        <w:t xml:space="preserve"> Partnerships Fund (GPF).  </w:t>
      </w:r>
    </w:p>
    <w:p w:rsidR="008E5639" w:rsidRPr="00426A58" w:rsidRDefault="008E5639" w:rsidP="008E5639">
      <w:pPr>
        <w:spacing w:line="240" w:lineRule="auto"/>
        <w:rPr>
          <w:rFonts w:ascii="Times New Roman" w:hAnsi="Times New Roman" w:cs="Times New Roman"/>
          <w:sz w:val="24"/>
          <w:szCs w:val="24"/>
        </w:rPr>
      </w:pPr>
      <w:r w:rsidRPr="00426A58">
        <w:rPr>
          <w:rFonts w:ascii="Times New Roman" w:hAnsi="Times New Roman" w:cs="Times New Roman"/>
          <w:sz w:val="24"/>
          <w:szCs w:val="24"/>
        </w:rPr>
        <w:t xml:space="preserve">The report provides eight practical recommendations </w:t>
      </w:r>
      <w:r>
        <w:rPr>
          <w:rFonts w:ascii="Times New Roman" w:hAnsi="Times New Roman" w:cs="Times New Roman"/>
          <w:sz w:val="24"/>
          <w:szCs w:val="24"/>
        </w:rPr>
        <w:t>to</w:t>
      </w:r>
      <w:r w:rsidRPr="00426A58">
        <w:rPr>
          <w:rFonts w:ascii="Times New Roman" w:hAnsi="Times New Roman" w:cs="Times New Roman"/>
          <w:sz w:val="24"/>
          <w:szCs w:val="24"/>
        </w:rPr>
        <w:t xml:space="preserve"> inform </w:t>
      </w:r>
      <w:r>
        <w:rPr>
          <w:rFonts w:ascii="Times New Roman" w:hAnsi="Times New Roman" w:cs="Times New Roman"/>
          <w:sz w:val="24"/>
          <w:szCs w:val="24"/>
        </w:rPr>
        <w:t xml:space="preserve">the implementation of the </w:t>
      </w:r>
      <w:r w:rsidRPr="00426A58">
        <w:rPr>
          <w:rFonts w:ascii="Times New Roman" w:hAnsi="Times New Roman" w:cs="Times New Roman"/>
          <w:sz w:val="24"/>
          <w:szCs w:val="24"/>
        </w:rPr>
        <w:t xml:space="preserve">future ITSAP </w:t>
      </w:r>
      <w:r>
        <w:rPr>
          <w:rFonts w:ascii="Times New Roman" w:hAnsi="Times New Roman" w:cs="Times New Roman"/>
          <w:sz w:val="24"/>
          <w:szCs w:val="24"/>
        </w:rPr>
        <w:t>program</w:t>
      </w:r>
      <w:r w:rsidRPr="00426A58">
        <w:rPr>
          <w:rFonts w:ascii="Times New Roman" w:hAnsi="Times New Roman" w:cs="Times New Roman"/>
          <w:sz w:val="24"/>
          <w:szCs w:val="24"/>
        </w:rPr>
        <w:t xml:space="preserve">. DFAT agrees with seven of the recommendations and partially agrees with one. </w:t>
      </w:r>
    </w:p>
    <w:p w:rsidR="008E5639" w:rsidRDefault="008E5639" w:rsidP="008E5639">
      <w:pPr>
        <w:spacing w:line="240" w:lineRule="auto"/>
        <w:rPr>
          <w:rFonts w:ascii="Times New Roman" w:hAnsi="Times New Roman" w:cs="Times New Roman"/>
          <w:b/>
          <w:sz w:val="24"/>
          <w:szCs w:val="24"/>
        </w:rPr>
        <w:sectPr w:rsidR="008E5639" w:rsidSect="00A71114">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851" w:left="1440" w:header="708" w:footer="708" w:gutter="0"/>
          <w:cols w:space="708"/>
          <w:docGrid w:linePitch="360"/>
        </w:sectPr>
      </w:pPr>
      <w:r w:rsidRPr="00426A58">
        <w:rPr>
          <w:rFonts w:ascii="Times New Roman" w:hAnsi="Times New Roman" w:cs="Times New Roman"/>
          <w:sz w:val="24"/>
          <w:szCs w:val="24"/>
        </w:rPr>
        <w:t>The report’s recommendations and DFAT’s management responses are set out below</w:t>
      </w:r>
      <w:r w:rsidR="002F1842">
        <w:rPr>
          <w:rFonts w:ascii="Times New Roman" w:hAnsi="Times New Roman" w:cs="Times New Roman"/>
          <w:sz w:val="24"/>
          <w:szCs w:val="24"/>
        </w:rPr>
        <w:t xml:space="preserve"> and have been made in consultation with </w:t>
      </w:r>
      <w:r>
        <w:rPr>
          <w:rFonts w:ascii="Times New Roman" w:hAnsi="Times New Roman" w:cs="Times New Roman"/>
          <w:sz w:val="24"/>
          <w:szCs w:val="24"/>
        </w:rPr>
        <w:t>DFAT’s</w:t>
      </w:r>
      <w:r w:rsidRPr="00426A58">
        <w:rPr>
          <w:rFonts w:ascii="Times New Roman" w:hAnsi="Times New Roman" w:cs="Times New Roman"/>
          <w:sz w:val="24"/>
          <w:szCs w:val="24"/>
        </w:rPr>
        <w:t xml:space="preserve"> Indonesia Economics and Trade Section</w:t>
      </w:r>
      <w:r w:rsidR="002F1842">
        <w:rPr>
          <w:rFonts w:ascii="Times New Roman" w:hAnsi="Times New Roman" w:cs="Times New Roman"/>
          <w:sz w:val="24"/>
          <w:szCs w:val="24"/>
        </w:rPr>
        <w:t xml:space="preserve"> (ITE)</w:t>
      </w:r>
      <w:r w:rsidRPr="00426A58">
        <w:rPr>
          <w:rFonts w:ascii="Times New Roman" w:hAnsi="Times New Roman" w:cs="Times New Roman"/>
          <w:sz w:val="24"/>
          <w:szCs w:val="24"/>
        </w:rPr>
        <w:t>.  ITE manage</w:t>
      </w:r>
      <w:r>
        <w:rPr>
          <w:rFonts w:ascii="Times New Roman" w:hAnsi="Times New Roman" w:cs="Times New Roman"/>
          <w:sz w:val="24"/>
          <w:szCs w:val="24"/>
        </w:rPr>
        <w:t>s</w:t>
      </w:r>
      <w:r w:rsidRPr="00426A58">
        <w:rPr>
          <w:rFonts w:ascii="Times New Roman" w:hAnsi="Times New Roman" w:cs="Times New Roman"/>
          <w:sz w:val="24"/>
          <w:szCs w:val="24"/>
        </w:rPr>
        <w:t xml:space="preserve"> the</w:t>
      </w:r>
      <w:r>
        <w:rPr>
          <w:rFonts w:ascii="Times New Roman" w:hAnsi="Times New Roman" w:cs="Times New Roman"/>
          <w:sz w:val="24"/>
          <w:szCs w:val="24"/>
        </w:rPr>
        <w:t xml:space="preserve"> GPF through which future ITSAP funding </w:t>
      </w:r>
      <w:r w:rsidR="002F1842">
        <w:rPr>
          <w:rFonts w:ascii="Times New Roman" w:hAnsi="Times New Roman" w:cs="Times New Roman"/>
          <w:sz w:val="24"/>
          <w:szCs w:val="24"/>
        </w:rPr>
        <w:t xml:space="preserve">is being </w:t>
      </w:r>
      <w:r>
        <w:rPr>
          <w:rFonts w:ascii="Times New Roman" w:hAnsi="Times New Roman" w:cs="Times New Roman"/>
          <w:sz w:val="24"/>
          <w:szCs w:val="24"/>
        </w:rPr>
        <w:t>considered. The</w:t>
      </w:r>
      <w:r w:rsidR="002F1842">
        <w:rPr>
          <w:rFonts w:ascii="Times New Roman" w:hAnsi="Times New Roman" w:cs="Times New Roman"/>
          <w:sz w:val="24"/>
          <w:szCs w:val="24"/>
        </w:rPr>
        <w:t xml:space="preserve"> management response w</w:t>
      </w:r>
      <w:r>
        <w:rPr>
          <w:rFonts w:ascii="Times New Roman" w:hAnsi="Times New Roman" w:cs="Times New Roman"/>
          <w:sz w:val="24"/>
          <w:szCs w:val="24"/>
        </w:rPr>
        <w:t xml:space="preserve">ill inform the design of the future ITSAP program and the assessment of Infrastructure’s proposal for GPF funding. </w:t>
      </w:r>
    </w:p>
    <w:tbl>
      <w:tblPr>
        <w:tblStyle w:val="TableGrid"/>
        <w:tblW w:w="14992" w:type="dxa"/>
        <w:tblLook w:val="04A0" w:firstRow="1" w:lastRow="0" w:firstColumn="1" w:lastColumn="0" w:noHBand="0" w:noVBand="1"/>
      </w:tblPr>
      <w:tblGrid>
        <w:gridCol w:w="5353"/>
        <w:gridCol w:w="1563"/>
        <w:gridCol w:w="8076"/>
      </w:tblGrid>
      <w:tr w:rsidR="008E5639" w:rsidRPr="00EF51ED" w:rsidTr="004259B1">
        <w:trPr>
          <w:tblHeader/>
        </w:trPr>
        <w:tc>
          <w:tcPr>
            <w:tcW w:w="5353" w:type="dxa"/>
          </w:tcPr>
          <w:p w:rsidR="008E5639" w:rsidRPr="00EF51ED" w:rsidRDefault="008E5639" w:rsidP="004259B1">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lastRenderedPageBreak/>
              <w:t xml:space="preserve">Recommendation </w:t>
            </w:r>
          </w:p>
        </w:tc>
        <w:tc>
          <w:tcPr>
            <w:tcW w:w="1563" w:type="dxa"/>
          </w:tcPr>
          <w:p w:rsidR="008E5639" w:rsidRPr="00EF51ED" w:rsidRDefault="008E5639" w:rsidP="004259B1">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 xml:space="preserve">Management Response </w:t>
            </w:r>
          </w:p>
        </w:tc>
        <w:tc>
          <w:tcPr>
            <w:tcW w:w="8076" w:type="dxa"/>
          </w:tcPr>
          <w:p w:rsidR="008E5639" w:rsidRPr="00EF51ED" w:rsidRDefault="008E5639" w:rsidP="004259B1">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Actions</w:t>
            </w:r>
          </w:p>
        </w:tc>
      </w:tr>
      <w:tr w:rsidR="008E5639" w:rsidRPr="00EF51ED" w:rsidTr="004259B1">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sidRPr="00656EB0">
              <w:rPr>
                <w:rFonts w:ascii="Times New Roman" w:hAnsi="Times New Roman" w:cs="Times New Roman"/>
                <w:b/>
                <w:sz w:val="24"/>
                <w:szCs w:val="24"/>
              </w:rPr>
              <w:t xml:space="preserve">1 </w:t>
            </w:r>
          </w:p>
          <w:p w:rsidR="008E5639" w:rsidRPr="009405F8" w:rsidRDefault="008E5639" w:rsidP="004259B1">
            <w:pPr>
              <w:pStyle w:val="Default"/>
              <w:rPr>
                <w:rFonts w:ascii="Times New Roman" w:hAnsi="Times New Roman" w:cs="Times New Roman"/>
                <w:color w:val="auto"/>
              </w:rPr>
            </w:pPr>
            <w:r w:rsidRPr="00656EB0">
              <w:rPr>
                <w:rFonts w:ascii="Times New Roman" w:hAnsi="Times New Roman" w:cs="Times New Roman"/>
                <w:color w:val="auto"/>
              </w:rPr>
              <w:t xml:space="preserve">The ITSAP program provides significant benefits and there is no need to fundamentally change the concept if it is continued. </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Pr="00EF51ED" w:rsidRDefault="008E5639" w:rsidP="004259B1">
            <w:pPr>
              <w:spacing w:before="60" w:after="60"/>
              <w:jc w:val="both"/>
              <w:rPr>
                <w:rFonts w:ascii="Times New Roman" w:hAnsi="Times New Roman" w:cs="Times New Roman"/>
                <w:sz w:val="24"/>
                <w:szCs w:val="24"/>
              </w:rPr>
            </w:pPr>
          </w:p>
        </w:tc>
        <w:tc>
          <w:tcPr>
            <w:tcW w:w="8076" w:type="dxa"/>
            <w:shd w:val="clear" w:color="auto" w:fill="CDFFCD"/>
          </w:tcPr>
          <w:p w:rsidR="008E5639" w:rsidRPr="00EF51ED" w:rsidRDefault="008E5639"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The government to government approach ITSAP takes towards maritime and aviation transport safety in Indonesia remains relevant and the submission for the next phase of the program through the Government Partnerships Fund (GPF) is not expected to change this significantly.</w:t>
            </w:r>
          </w:p>
        </w:tc>
      </w:tr>
      <w:tr w:rsidR="008E5639" w:rsidRPr="00EF51ED" w:rsidTr="004259B1">
        <w:trPr>
          <w:cantSplit/>
        </w:trPr>
        <w:tc>
          <w:tcPr>
            <w:tcW w:w="5353" w:type="dxa"/>
            <w:shd w:val="clear" w:color="auto" w:fill="CCFFCC"/>
          </w:tcPr>
          <w:p w:rsidR="008E5639" w:rsidRPr="00656EB0" w:rsidRDefault="008E5639" w:rsidP="004259B1">
            <w:pPr>
              <w:spacing w:before="60" w:after="60"/>
              <w:jc w:val="both"/>
              <w:rPr>
                <w:rFonts w:ascii="Times New Roman" w:hAnsi="Times New Roman" w:cs="Times New Roman"/>
                <w:b/>
                <w:sz w:val="24"/>
                <w:szCs w:val="24"/>
              </w:rPr>
            </w:pPr>
            <w:r w:rsidRPr="00656EB0">
              <w:rPr>
                <w:rFonts w:ascii="Times New Roman" w:hAnsi="Times New Roman" w:cs="Times New Roman"/>
                <w:b/>
                <w:sz w:val="24"/>
                <w:szCs w:val="24"/>
              </w:rPr>
              <w:t>2</w:t>
            </w:r>
          </w:p>
          <w:p w:rsidR="008E5639" w:rsidRPr="00656EB0" w:rsidRDefault="008E5639" w:rsidP="004259B1">
            <w:pPr>
              <w:pStyle w:val="Default"/>
              <w:rPr>
                <w:rFonts w:ascii="Times New Roman" w:hAnsi="Times New Roman" w:cs="Times New Roman"/>
                <w:color w:val="auto"/>
              </w:rPr>
            </w:pPr>
            <w:r w:rsidRPr="00656EB0">
              <w:rPr>
                <w:rFonts w:ascii="Times New Roman" w:hAnsi="Times New Roman" w:cs="Times New Roman"/>
                <w:color w:val="auto"/>
              </w:rPr>
              <w:t xml:space="preserve">If funding is constrained, emphasis should be given to projects that support operational matters that routinely or occasionally involve participation by both Indonesia and Australia and to projects with activities in localities in Indonesia where Australians are most at risk. </w:t>
            </w:r>
          </w:p>
          <w:p w:rsidR="008E5639" w:rsidRPr="00EF51ED" w:rsidRDefault="008E5639" w:rsidP="004259B1">
            <w:pPr>
              <w:spacing w:before="60" w:after="60"/>
              <w:jc w:val="both"/>
              <w:rPr>
                <w:rFonts w:ascii="Times New Roman" w:hAnsi="Times New Roman" w:cs="Times New Roman"/>
                <w:sz w:val="24"/>
                <w:szCs w:val="24"/>
              </w:rPr>
            </w:pPr>
          </w:p>
        </w:tc>
        <w:tc>
          <w:tcPr>
            <w:tcW w:w="1563" w:type="dxa"/>
            <w:shd w:val="clear" w:color="auto" w:fill="CCFFCC"/>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Partially Agree</w:t>
            </w:r>
            <w:r w:rsidRPr="00EF51ED">
              <w:rPr>
                <w:rFonts w:ascii="Times New Roman" w:hAnsi="Times New Roman" w:cs="Times New Roman"/>
                <w:b/>
                <w:sz w:val="24"/>
                <w:szCs w:val="24"/>
              </w:rPr>
              <w:t xml:space="preserve"> </w:t>
            </w:r>
          </w:p>
          <w:p w:rsidR="008E5639" w:rsidRPr="00EF51ED" w:rsidRDefault="008E5639" w:rsidP="004259B1">
            <w:pPr>
              <w:spacing w:before="60" w:after="60"/>
              <w:jc w:val="both"/>
              <w:rPr>
                <w:rFonts w:ascii="Times New Roman" w:hAnsi="Times New Roman" w:cs="Times New Roman"/>
                <w:sz w:val="24"/>
                <w:szCs w:val="24"/>
              </w:rPr>
            </w:pPr>
          </w:p>
        </w:tc>
        <w:tc>
          <w:tcPr>
            <w:tcW w:w="8076" w:type="dxa"/>
            <w:shd w:val="clear" w:color="auto" w:fill="CCFFCC"/>
          </w:tcPr>
          <w:p w:rsidR="008E5639" w:rsidRDefault="008E5639"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The recommended imperative to work in areas where existing collaboration between Australian and Indonesian agencies can be leveraged is sound. The notion that Australia’s ODA should be focused on areas where Australians are most at risk is not. ODA is about supporting Indonesia’s economic growth with Indonesia’s welfare the main objective. It is not about directing funds to specifically support Australians overseas.   </w:t>
            </w:r>
          </w:p>
          <w:p w:rsidR="008E5639" w:rsidRPr="00EF51ED" w:rsidRDefault="008E5639"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DFAT will encourage Infrastructure to look at leveraging existing working relationships in prioritising future programming.</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sidRPr="00656EB0">
              <w:rPr>
                <w:rFonts w:ascii="Times New Roman" w:hAnsi="Times New Roman" w:cs="Times New Roman"/>
                <w:b/>
                <w:sz w:val="24"/>
                <w:szCs w:val="24"/>
              </w:rPr>
              <w:t>3</w:t>
            </w:r>
          </w:p>
          <w:p w:rsidR="008E5639" w:rsidRPr="009405F8" w:rsidRDefault="008E5639" w:rsidP="004259B1">
            <w:pPr>
              <w:pStyle w:val="Default"/>
              <w:rPr>
                <w:rFonts w:ascii="Times New Roman" w:hAnsi="Times New Roman" w:cs="Times New Roman"/>
                <w:color w:val="auto"/>
              </w:rPr>
            </w:pPr>
            <w:r w:rsidRPr="00656EB0">
              <w:rPr>
                <w:rFonts w:ascii="Times New Roman" w:hAnsi="Times New Roman" w:cs="Times New Roman"/>
                <w:color w:val="auto"/>
              </w:rPr>
              <w:t>A stronger thematic approach should be taken to sub-programs to give them more coherence and to m</w:t>
            </w:r>
            <w:r>
              <w:rPr>
                <w:rFonts w:ascii="Times New Roman" w:hAnsi="Times New Roman" w:cs="Times New Roman"/>
                <w:color w:val="auto"/>
              </w:rPr>
              <w:t>ake them more outcome oriented.</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Pr="00EF51ED"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Pr="00EF51ED" w:rsidRDefault="008E5639" w:rsidP="0044775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A theory of change for the next phase of ITSAP has been prepared. </w:t>
            </w:r>
            <w:r w:rsidR="00447758">
              <w:rPr>
                <w:rFonts w:ascii="Times New Roman" w:hAnsi="Times New Roman" w:cs="Times New Roman"/>
                <w:sz w:val="24"/>
                <w:szCs w:val="24"/>
              </w:rPr>
              <w:t xml:space="preserve">DFAT will ask that this </w:t>
            </w:r>
            <w:r>
              <w:rPr>
                <w:rFonts w:ascii="Times New Roman" w:hAnsi="Times New Roman" w:cs="Times New Roman"/>
                <w:sz w:val="24"/>
                <w:szCs w:val="24"/>
              </w:rPr>
              <w:t>reviewed</w:t>
            </w:r>
            <w:r w:rsidR="00447758">
              <w:rPr>
                <w:rFonts w:ascii="Times New Roman" w:hAnsi="Times New Roman" w:cs="Times New Roman"/>
                <w:sz w:val="24"/>
                <w:szCs w:val="24"/>
              </w:rPr>
              <w:t xml:space="preserve"> in the future phase to </w:t>
            </w:r>
            <w:r>
              <w:rPr>
                <w:rFonts w:ascii="Times New Roman" w:hAnsi="Times New Roman" w:cs="Times New Roman"/>
                <w:sz w:val="24"/>
                <w:szCs w:val="24"/>
              </w:rPr>
              <w:t xml:space="preserve">support greater coherence of program activities. </w:t>
            </w:r>
            <w:r w:rsidR="00447758">
              <w:rPr>
                <w:rFonts w:ascii="Times New Roman" w:hAnsi="Times New Roman" w:cs="Times New Roman"/>
                <w:sz w:val="24"/>
                <w:szCs w:val="24"/>
              </w:rPr>
              <w:t>DFAT will work with Infrastructure to ensure that p</w:t>
            </w:r>
            <w:r>
              <w:rPr>
                <w:rFonts w:ascii="Times New Roman" w:hAnsi="Times New Roman" w:cs="Times New Roman"/>
                <w:sz w:val="24"/>
                <w:szCs w:val="24"/>
              </w:rPr>
              <w:t xml:space="preserve">roposed activities and sub-programs </w:t>
            </w:r>
            <w:r w:rsidR="00447758">
              <w:rPr>
                <w:rFonts w:ascii="Times New Roman" w:hAnsi="Times New Roman" w:cs="Times New Roman"/>
                <w:sz w:val="24"/>
                <w:szCs w:val="24"/>
              </w:rPr>
              <w:t>are</w:t>
            </w:r>
            <w:r>
              <w:rPr>
                <w:rFonts w:ascii="Times New Roman" w:hAnsi="Times New Roman" w:cs="Times New Roman"/>
                <w:sz w:val="24"/>
                <w:szCs w:val="24"/>
              </w:rPr>
              <w:t xml:space="preserve"> measurable </w:t>
            </w:r>
            <w:r w:rsidR="00447758">
              <w:rPr>
                <w:rFonts w:ascii="Times New Roman" w:hAnsi="Times New Roman" w:cs="Times New Roman"/>
                <w:sz w:val="24"/>
                <w:szCs w:val="24"/>
              </w:rPr>
              <w:t xml:space="preserve">and that </w:t>
            </w:r>
            <w:r>
              <w:rPr>
                <w:rFonts w:ascii="Times New Roman" w:hAnsi="Times New Roman" w:cs="Times New Roman"/>
                <w:sz w:val="24"/>
                <w:szCs w:val="24"/>
              </w:rPr>
              <w:t>the</w:t>
            </w:r>
            <w:r w:rsidR="00447758">
              <w:rPr>
                <w:rFonts w:ascii="Times New Roman" w:hAnsi="Times New Roman" w:cs="Times New Roman"/>
                <w:sz w:val="24"/>
                <w:szCs w:val="24"/>
              </w:rPr>
              <w:t>ir</w:t>
            </w:r>
            <w:r>
              <w:rPr>
                <w:rFonts w:ascii="Times New Roman" w:hAnsi="Times New Roman" w:cs="Times New Roman"/>
                <w:sz w:val="24"/>
                <w:szCs w:val="24"/>
              </w:rPr>
              <w:t xml:space="preserve"> design demonstrat</w:t>
            </w:r>
            <w:r w:rsidR="00447758">
              <w:rPr>
                <w:rFonts w:ascii="Times New Roman" w:hAnsi="Times New Roman" w:cs="Times New Roman"/>
                <w:sz w:val="24"/>
                <w:szCs w:val="24"/>
              </w:rPr>
              <w:t xml:space="preserve">es linkages to </w:t>
            </w:r>
            <w:r>
              <w:rPr>
                <w:rFonts w:ascii="Times New Roman" w:hAnsi="Times New Roman" w:cs="Times New Roman"/>
                <w:sz w:val="24"/>
                <w:szCs w:val="24"/>
              </w:rPr>
              <w:t>high level outcomes.</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sidRPr="00656EB0">
              <w:rPr>
                <w:rFonts w:ascii="Times New Roman" w:hAnsi="Times New Roman" w:cs="Times New Roman"/>
                <w:b/>
                <w:sz w:val="24"/>
                <w:szCs w:val="24"/>
              </w:rPr>
              <w:t>4</w:t>
            </w:r>
          </w:p>
          <w:p w:rsidR="008E5639" w:rsidRPr="009405F8" w:rsidRDefault="008E5639" w:rsidP="004259B1">
            <w:pPr>
              <w:pStyle w:val="Default"/>
              <w:rPr>
                <w:rFonts w:ascii="Times New Roman" w:hAnsi="Times New Roman" w:cs="Times New Roman"/>
                <w:color w:val="auto"/>
              </w:rPr>
            </w:pPr>
            <w:r w:rsidRPr="00656EB0">
              <w:rPr>
                <w:rFonts w:ascii="Times New Roman" w:hAnsi="Times New Roman" w:cs="Times New Roman"/>
                <w:color w:val="auto"/>
              </w:rPr>
              <w:t xml:space="preserve">An overview of the activities of other donors that may be related to ITSAP should be maintained to ensure coordination and complementarity are achieved where necessary. </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Pr="00EF51ED"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Pr="00EF51ED" w:rsidRDefault="008E5639" w:rsidP="00700B7E">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A stakeholder analysis will be requested in the design of the next phase of ITSAP to pursue greater degrees of coordination with other donors’ programs.  ITSAP will </w:t>
            </w:r>
            <w:r w:rsidR="00700B7E">
              <w:rPr>
                <w:rFonts w:ascii="Times New Roman" w:hAnsi="Times New Roman" w:cs="Times New Roman"/>
                <w:sz w:val="24"/>
                <w:szCs w:val="24"/>
              </w:rPr>
              <w:t xml:space="preserve">be required to </w:t>
            </w:r>
            <w:r>
              <w:rPr>
                <w:rFonts w:ascii="Times New Roman" w:hAnsi="Times New Roman" w:cs="Times New Roman"/>
                <w:sz w:val="24"/>
                <w:szCs w:val="24"/>
              </w:rPr>
              <w:t>keep up-to-date with what others are doing and seek opportunities for collaboration where appropriate.</w:t>
            </w:r>
          </w:p>
        </w:tc>
      </w:tr>
      <w:tr w:rsidR="008E5639" w:rsidRPr="00EF51ED" w:rsidTr="004259B1">
        <w:trPr>
          <w:cantSplit/>
        </w:trPr>
        <w:tc>
          <w:tcPr>
            <w:tcW w:w="5353" w:type="dxa"/>
            <w:shd w:val="clear" w:color="auto" w:fill="CDFFCD"/>
          </w:tcPr>
          <w:p w:rsidR="008E5639" w:rsidRPr="00174594" w:rsidRDefault="008E5639" w:rsidP="004259B1">
            <w:pPr>
              <w:spacing w:before="60" w:after="60"/>
              <w:jc w:val="both"/>
              <w:rPr>
                <w:rFonts w:ascii="Times New Roman" w:hAnsi="Times New Roman" w:cs="Times New Roman"/>
                <w:b/>
                <w:sz w:val="24"/>
                <w:szCs w:val="24"/>
              </w:rPr>
            </w:pPr>
            <w:r w:rsidRPr="00174594">
              <w:rPr>
                <w:rFonts w:ascii="Times New Roman" w:hAnsi="Times New Roman" w:cs="Times New Roman"/>
                <w:b/>
                <w:sz w:val="24"/>
                <w:szCs w:val="24"/>
              </w:rPr>
              <w:t>5</w:t>
            </w:r>
          </w:p>
          <w:p w:rsidR="008E5639" w:rsidRPr="00174594" w:rsidRDefault="008E5639" w:rsidP="004259B1">
            <w:pPr>
              <w:pStyle w:val="Default"/>
              <w:rPr>
                <w:rFonts w:ascii="Times New Roman" w:hAnsi="Times New Roman" w:cs="Times New Roman"/>
                <w:color w:val="auto"/>
              </w:rPr>
            </w:pPr>
            <w:r w:rsidRPr="00174594">
              <w:rPr>
                <w:rFonts w:ascii="Times New Roman" w:hAnsi="Times New Roman" w:cs="Times New Roman"/>
                <w:color w:val="auto"/>
              </w:rPr>
              <w:t>Explicit consideration should be given to efficiency in project design to demonstrate that projects are</w:t>
            </w:r>
            <w:r>
              <w:rPr>
                <w:rFonts w:ascii="Times New Roman" w:hAnsi="Times New Roman" w:cs="Times New Roman"/>
                <w:color w:val="auto"/>
              </w:rPr>
              <w:t xml:space="preserve"> as cost-effective as possible.</w:t>
            </w:r>
          </w:p>
        </w:tc>
        <w:tc>
          <w:tcPr>
            <w:tcW w:w="1563" w:type="dxa"/>
            <w:shd w:val="clear" w:color="auto" w:fill="CDFFCD"/>
          </w:tcPr>
          <w:p w:rsidR="008E5639" w:rsidRPr="00174594" w:rsidRDefault="008E5639" w:rsidP="004259B1">
            <w:pPr>
              <w:spacing w:before="60" w:after="60"/>
              <w:jc w:val="both"/>
              <w:rPr>
                <w:rFonts w:ascii="Times New Roman" w:hAnsi="Times New Roman" w:cs="Times New Roman"/>
                <w:b/>
                <w:sz w:val="24"/>
                <w:szCs w:val="24"/>
              </w:rPr>
            </w:pPr>
            <w:r w:rsidRPr="00174594">
              <w:rPr>
                <w:rFonts w:ascii="Times New Roman" w:hAnsi="Times New Roman" w:cs="Times New Roman"/>
                <w:b/>
                <w:sz w:val="24"/>
                <w:szCs w:val="24"/>
              </w:rPr>
              <w:t>Agree</w:t>
            </w:r>
          </w:p>
        </w:tc>
        <w:tc>
          <w:tcPr>
            <w:tcW w:w="8076" w:type="dxa"/>
            <w:shd w:val="clear" w:color="auto" w:fill="CDFFCD"/>
          </w:tcPr>
          <w:p w:rsidR="008E5639" w:rsidRPr="00174594" w:rsidRDefault="008E5639" w:rsidP="00447758">
            <w:pPr>
              <w:spacing w:before="60" w:after="60"/>
              <w:jc w:val="both"/>
              <w:rPr>
                <w:rFonts w:ascii="Times New Roman" w:hAnsi="Times New Roman" w:cs="Times New Roman"/>
                <w:sz w:val="24"/>
                <w:szCs w:val="24"/>
              </w:rPr>
            </w:pPr>
            <w:r w:rsidRPr="00174594">
              <w:rPr>
                <w:rFonts w:ascii="Times New Roman" w:hAnsi="Times New Roman" w:cs="Times New Roman"/>
                <w:sz w:val="24"/>
                <w:szCs w:val="24"/>
              </w:rPr>
              <w:t>ITSAP will be delivered through the GPF</w:t>
            </w:r>
            <w:r w:rsidR="002F1842">
              <w:rPr>
                <w:rFonts w:ascii="Times New Roman" w:hAnsi="Times New Roman" w:cs="Times New Roman"/>
                <w:sz w:val="24"/>
                <w:szCs w:val="24"/>
              </w:rPr>
              <w:t xml:space="preserve"> in 2016</w:t>
            </w:r>
            <w:r w:rsidRPr="00174594">
              <w:rPr>
                <w:rFonts w:ascii="Times New Roman" w:hAnsi="Times New Roman" w:cs="Times New Roman"/>
                <w:sz w:val="24"/>
                <w:szCs w:val="24"/>
              </w:rPr>
              <w:t>. DFAT ha</w:t>
            </w:r>
            <w:r w:rsidR="00E80909">
              <w:rPr>
                <w:rFonts w:ascii="Times New Roman" w:hAnsi="Times New Roman" w:cs="Times New Roman"/>
                <w:sz w:val="24"/>
                <w:szCs w:val="24"/>
              </w:rPr>
              <w:t>s</w:t>
            </w:r>
            <w:r w:rsidRPr="00174594">
              <w:rPr>
                <w:rFonts w:ascii="Times New Roman" w:hAnsi="Times New Roman" w:cs="Times New Roman"/>
                <w:sz w:val="24"/>
                <w:szCs w:val="24"/>
              </w:rPr>
              <w:t xml:space="preserve"> </w:t>
            </w:r>
            <w:r w:rsidR="00447758">
              <w:rPr>
                <w:rFonts w:ascii="Times New Roman" w:hAnsi="Times New Roman" w:cs="Times New Roman"/>
                <w:sz w:val="24"/>
                <w:szCs w:val="24"/>
              </w:rPr>
              <w:t>agreed</w:t>
            </w:r>
            <w:r w:rsidRPr="00174594">
              <w:rPr>
                <w:rFonts w:ascii="Times New Roman" w:hAnsi="Times New Roman" w:cs="Times New Roman"/>
                <w:sz w:val="24"/>
                <w:szCs w:val="24"/>
              </w:rPr>
              <w:t xml:space="preserve"> with Infrastructure that all ITSAP activities and deployment conditions </w:t>
            </w:r>
            <w:r w:rsidR="00447758">
              <w:rPr>
                <w:rFonts w:ascii="Times New Roman" w:hAnsi="Times New Roman" w:cs="Times New Roman"/>
                <w:sz w:val="24"/>
                <w:szCs w:val="24"/>
              </w:rPr>
              <w:t xml:space="preserve">will </w:t>
            </w:r>
            <w:r w:rsidRPr="00174594">
              <w:rPr>
                <w:rFonts w:ascii="Times New Roman" w:hAnsi="Times New Roman" w:cs="Times New Roman"/>
                <w:sz w:val="24"/>
                <w:szCs w:val="24"/>
              </w:rPr>
              <w:t xml:space="preserve">be in line with the GPF budget parameters and the </w:t>
            </w:r>
            <w:r>
              <w:rPr>
                <w:rFonts w:ascii="Times New Roman" w:hAnsi="Times New Roman" w:cs="Times New Roman"/>
                <w:sz w:val="24"/>
                <w:szCs w:val="24"/>
              </w:rPr>
              <w:t>W</w:t>
            </w:r>
            <w:r w:rsidR="002F1842">
              <w:rPr>
                <w:rFonts w:ascii="Times New Roman" w:hAnsi="Times New Roman" w:cs="Times New Roman"/>
                <w:sz w:val="24"/>
                <w:szCs w:val="24"/>
              </w:rPr>
              <w:t xml:space="preserve">hole of </w:t>
            </w:r>
            <w:r w:rsidRPr="00174594">
              <w:rPr>
                <w:rFonts w:ascii="Times New Roman" w:hAnsi="Times New Roman" w:cs="Times New Roman"/>
                <w:sz w:val="24"/>
                <w:szCs w:val="24"/>
              </w:rPr>
              <w:t xml:space="preserve">Government Overseas Conditions </w:t>
            </w:r>
            <w:r w:rsidR="002F1842">
              <w:rPr>
                <w:rFonts w:ascii="Times New Roman" w:hAnsi="Times New Roman" w:cs="Times New Roman"/>
                <w:sz w:val="24"/>
                <w:szCs w:val="24"/>
              </w:rPr>
              <w:t>of</w:t>
            </w:r>
            <w:r w:rsidRPr="00174594">
              <w:rPr>
                <w:rFonts w:ascii="Times New Roman" w:hAnsi="Times New Roman" w:cs="Times New Roman"/>
                <w:sz w:val="24"/>
                <w:szCs w:val="24"/>
              </w:rPr>
              <w:t xml:space="preserve"> Service to achieve value-for-money and program efficiencies. </w:t>
            </w:r>
            <w:r w:rsidR="002F1842">
              <w:rPr>
                <w:rFonts w:ascii="Times New Roman" w:hAnsi="Times New Roman" w:cs="Times New Roman"/>
                <w:sz w:val="24"/>
                <w:szCs w:val="24"/>
              </w:rPr>
              <w:t>In 2016,</w:t>
            </w:r>
            <w:r w:rsidRPr="00174594">
              <w:rPr>
                <w:rFonts w:ascii="Times New Roman" w:hAnsi="Times New Roman" w:cs="Times New Roman"/>
                <w:sz w:val="24"/>
                <w:szCs w:val="24"/>
              </w:rPr>
              <w:t xml:space="preserve"> funding for ITSAP </w:t>
            </w:r>
            <w:r w:rsidR="002F1842">
              <w:rPr>
                <w:rFonts w:ascii="Times New Roman" w:hAnsi="Times New Roman" w:cs="Times New Roman"/>
                <w:sz w:val="24"/>
                <w:szCs w:val="24"/>
              </w:rPr>
              <w:t>will</w:t>
            </w:r>
            <w:r>
              <w:rPr>
                <w:rFonts w:ascii="Times New Roman" w:hAnsi="Times New Roman" w:cs="Times New Roman"/>
                <w:sz w:val="24"/>
                <w:szCs w:val="24"/>
              </w:rPr>
              <w:t xml:space="preserve"> </w:t>
            </w:r>
            <w:r w:rsidRPr="00174594">
              <w:rPr>
                <w:rFonts w:ascii="Times New Roman" w:hAnsi="Times New Roman" w:cs="Times New Roman"/>
                <w:sz w:val="24"/>
                <w:szCs w:val="24"/>
              </w:rPr>
              <w:t xml:space="preserve">be reduced to reflect budget conditions following </w:t>
            </w:r>
            <w:r w:rsidR="002F1842">
              <w:rPr>
                <w:rFonts w:ascii="Times New Roman" w:hAnsi="Times New Roman" w:cs="Times New Roman"/>
                <w:sz w:val="24"/>
                <w:szCs w:val="24"/>
              </w:rPr>
              <w:t xml:space="preserve">the 40% </w:t>
            </w:r>
            <w:r w:rsidRPr="00174594">
              <w:rPr>
                <w:rFonts w:ascii="Times New Roman" w:hAnsi="Times New Roman" w:cs="Times New Roman"/>
                <w:sz w:val="24"/>
                <w:szCs w:val="24"/>
              </w:rPr>
              <w:t xml:space="preserve">cut in aid funding to Indonesia. Infrastructure has prioritised its activities </w:t>
            </w:r>
            <w:r w:rsidR="002F1842">
              <w:rPr>
                <w:rFonts w:ascii="Times New Roman" w:hAnsi="Times New Roman" w:cs="Times New Roman"/>
                <w:sz w:val="24"/>
                <w:szCs w:val="24"/>
              </w:rPr>
              <w:t xml:space="preserve">on this basis </w:t>
            </w:r>
            <w:r w:rsidRPr="00174594">
              <w:rPr>
                <w:rFonts w:ascii="Times New Roman" w:hAnsi="Times New Roman" w:cs="Times New Roman"/>
                <w:sz w:val="24"/>
                <w:szCs w:val="24"/>
              </w:rPr>
              <w:t>for the 2016 funding cycle t</w:t>
            </w:r>
            <w:r>
              <w:rPr>
                <w:rFonts w:ascii="Times New Roman" w:hAnsi="Times New Roman" w:cs="Times New Roman"/>
                <w:sz w:val="24"/>
                <w:szCs w:val="24"/>
              </w:rPr>
              <w:t>o achieve program efficiencies.</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6</w:t>
            </w:r>
          </w:p>
          <w:p w:rsidR="008E5639" w:rsidRPr="00656EB0" w:rsidRDefault="008E5639" w:rsidP="004259B1">
            <w:pPr>
              <w:spacing w:before="60" w:after="60"/>
              <w:jc w:val="both"/>
              <w:rPr>
                <w:rFonts w:ascii="Times New Roman" w:hAnsi="Times New Roman" w:cs="Times New Roman"/>
                <w:sz w:val="24"/>
                <w:szCs w:val="24"/>
              </w:rPr>
            </w:pPr>
            <w:r w:rsidRPr="00656EB0">
              <w:rPr>
                <w:rFonts w:ascii="Times New Roman" w:hAnsi="Times New Roman" w:cs="Times New Roman"/>
                <w:sz w:val="24"/>
                <w:szCs w:val="24"/>
              </w:rPr>
              <w:t xml:space="preserve">Lessons learned from past ITSAP projects should </w:t>
            </w:r>
            <w:r>
              <w:rPr>
                <w:rFonts w:ascii="Times New Roman" w:hAnsi="Times New Roman" w:cs="Times New Roman"/>
                <w:sz w:val="24"/>
                <w:szCs w:val="24"/>
              </w:rPr>
              <w:t xml:space="preserve">be built into future projects. </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Default="008E5639"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DFAT will request that lessons learned from ITSAP projects inform decisions and project selection in any further funding of activities and that this is adequately addressed in design documentation. </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7</w:t>
            </w:r>
          </w:p>
          <w:p w:rsidR="008E5639" w:rsidRPr="00656EB0" w:rsidRDefault="008E5639" w:rsidP="004259B1">
            <w:pPr>
              <w:spacing w:before="60" w:after="60"/>
              <w:jc w:val="both"/>
              <w:rPr>
                <w:rFonts w:ascii="Times New Roman" w:hAnsi="Times New Roman" w:cs="Times New Roman"/>
                <w:sz w:val="24"/>
                <w:szCs w:val="24"/>
              </w:rPr>
            </w:pPr>
            <w:r w:rsidRPr="00656EB0">
              <w:rPr>
                <w:rFonts w:ascii="Times New Roman" w:hAnsi="Times New Roman" w:cs="Times New Roman"/>
                <w:sz w:val="24"/>
                <w:szCs w:val="24"/>
              </w:rPr>
              <w:t xml:space="preserve">The relationships developed to date should be sustained and reinforced to further develop the technical capacity of Indonesian agencies and to </w:t>
            </w:r>
            <w:r>
              <w:rPr>
                <w:rFonts w:ascii="Times New Roman" w:hAnsi="Times New Roman" w:cs="Times New Roman"/>
                <w:sz w:val="24"/>
                <w:szCs w:val="24"/>
              </w:rPr>
              <w:t xml:space="preserve">support Australia’s interests. </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Default="002F1842"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In 2016,</w:t>
            </w:r>
            <w:r w:rsidR="008E5639">
              <w:rPr>
                <w:rFonts w:ascii="Times New Roman" w:hAnsi="Times New Roman" w:cs="Times New Roman"/>
                <w:sz w:val="24"/>
                <w:szCs w:val="24"/>
              </w:rPr>
              <w:t xml:space="preserve"> ITSAP will sustain existing relationships with the Ministry of Transport and Indonesian transport safety agencies and continue capacity building programs that build on existing achievements.</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8</w:t>
            </w:r>
          </w:p>
          <w:p w:rsidR="008E5639" w:rsidRDefault="008E5639" w:rsidP="004259B1">
            <w:pPr>
              <w:spacing w:before="60" w:after="60"/>
              <w:jc w:val="both"/>
              <w:rPr>
                <w:rFonts w:ascii="Times New Roman" w:hAnsi="Times New Roman" w:cs="Times New Roman"/>
                <w:sz w:val="24"/>
                <w:szCs w:val="24"/>
              </w:rPr>
            </w:pPr>
            <w:r w:rsidRPr="00656EB0">
              <w:rPr>
                <w:rFonts w:ascii="Times New Roman" w:hAnsi="Times New Roman" w:cs="Times New Roman"/>
                <w:sz w:val="24"/>
                <w:szCs w:val="24"/>
              </w:rPr>
              <w:t xml:space="preserve">The monitoring and evaluation framework for the program should be developed to more explicitly record and report the achievements of projects. </w:t>
            </w:r>
          </w:p>
          <w:p w:rsidR="008E5639" w:rsidRPr="00656EB0" w:rsidRDefault="008E5639" w:rsidP="004259B1">
            <w:pPr>
              <w:spacing w:before="60" w:after="60"/>
              <w:jc w:val="both"/>
              <w:rPr>
                <w:rFonts w:ascii="Times New Roman" w:hAnsi="Times New Roman" w:cs="Times New Roman"/>
                <w:sz w:val="24"/>
                <w:szCs w:val="24"/>
              </w:rPr>
            </w:pP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Default="00700B7E" w:rsidP="004259B1">
            <w:pPr>
              <w:spacing w:before="60" w:after="60"/>
              <w:jc w:val="both"/>
              <w:rPr>
                <w:rFonts w:ascii="Times New Roman" w:hAnsi="Times New Roman" w:cs="Times New Roman"/>
                <w:sz w:val="24"/>
                <w:szCs w:val="24"/>
              </w:rPr>
            </w:pPr>
            <w:r>
              <w:rPr>
                <w:rFonts w:ascii="Times New Roman" w:hAnsi="Times New Roman" w:cs="Times New Roman"/>
                <w:sz w:val="24"/>
                <w:szCs w:val="24"/>
              </w:rPr>
              <w:t>DFAT will work with Infrastructure to support improvements to the ITSAP re</w:t>
            </w:r>
            <w:r w:rsidR="008E5639" w:rsidRPr="00EA1A67">
              <w:rPr>
                <w:rFonts w:ascii="Times New Roman" w:hAnsi="Times New Roman" w:cs="Times New Roman"/>
                <w:sz w:val="24"/>
                <w:szCs w:val="24"/>
              </w:rPr>
              <w:t>porting framework</w:t>
            </w:r>
            <w:r w:rsidR="008E5639">
              <w:rPr>
                <w:rFonts w:ascii="Times New Roman" w:hAnsi="Times New Roman" w:cs="Times New Roman"/>
                <w:sz w:val="24"/>
                <w:szCs w:val="24"/>
              </w:rPr>
              <w:t xml:space="preserve"> in the next phase of the </w:t>
            </w:r>
            <w:r>
              <w:rPr>
                <w:rFonts w:ascii="Times New Roman" w:hAnsi="Times New Roman" w:cs="Times New Roman"/>
                <w:sz w:val="24"/>
                <w:szCs w:val="24"/>
              </w:rPr>
              <w:t>program. We will seek m</w:t>
            </w:r>
            <w:r w:rsidR="008E5639" w:rsidRPr="00EA1A67">
              <w:rPr>
                <w:rFonts w:ascii="Times New Roman" w:hAnsi="Times New Roman" w:cs="Times New Roman"/>
                <w:sz w:val="24"/>
                <w:szCs w:val="24"/>
              </w:rPr>
              <w:t>ore rigorous qualitative and quant</w:t>
            </w:r>
            <w:r w:rsidR="008E5639">
              <w:rPr>
                <w:rFonts w:ascii="Times New Roman" w:hAnsi="Times New Roman" w:cs="Times New Roman"/>
                <w:sz w:val="24"/>
                <w:szCs w:val="24"/>
              </w:rPr>
              <w:t>itative measurement of results that demonstrate contribution to agreed outcomes.</w:t>
            </w:r>
          </w:p>
          <w:p w:rsidR="008E5639" w:rsidRPr="0002702F" w:rsidRDefault="0002702F" w:rsidP="00447758">
            <w:pPr>
              <w:rPr>
                <w:color w:val="1F497D"/>
              </w:rPr>
            </w:pPr>
            <w:r>
              <w:rPr>
                <w:rFonts w:ascii="Times New Roman" w:hAnsi="Times New Roman" w:cs="Times New Roman"/>
                <w:sz w:val="24"/>
                <w:szCs w:val="24"/>
              </w:rPr>
              <w:t xml:space="preserve">Furthermore, ITSAP has scored poorly on gender measures since being assessed against this criteria (from 2013). DFAT has committed through its management response to the 2015 GPF Aid Quality Check that gender training will be made available to all GPF agencies in 2016. We will also work with Infrastructure to ensure that the future M&amp;E framework reports on gender outcomes </w:t>
            </w:r>
            <w:r w:rsidR="00447758">
              <w:rPr>
                <w:rFonts w:ascii="Times New Roman" w:hAnsi="Times New Roman" w:cs="Times New Roman"/>
                <w:sz w:val="24"/>
                <w:szCs w:val="24"/>
              </w:rPr>
              <w:t>for</w:t>
            </w:r>
            <w:r>
              <w:rPr>
                <w:rFonts w:ascii="Times New Roman" w:hAnsi="Times New Roman" w:cs="Times New Roman"/>
                <w:sz w:val="24"/>
                <w:szCs w:val="24"/>
              </w:rPr>
              <w:t xml:space="preserve"> the program.</w:t>
            </w:r>
          </w:p>
        </w:tc>
      </w:tr>
      <w:tr w:rsidR="008E5639" w:rsidRPr="00EF51ED" w:rsidTr="004259B1">
        <w:trPr>
          <w:cantSplit/>
        </w:trPr>
        <w:tc>
          <w:tcPr>
            <w:tcW w:w="5353" w:type="dxa"/>
            <w:shd w:val="clear" w:color="auto" w:fill="CDFFCD"/>
          </w:tcPr>
          <w:p w:rsidR="008E5639" w:rsidRPr="00656EB0" w:rsidRDefault="008E5639" w:rsidP="004259B1">
            <w:pPr>
              <w:spacing w:before="60" w:after="60"/>
              <w:jc w:val="both"/>
              <w:rPr>
                <w:rFonts w:ascii="Times New Roman" w:hAnsi="Times New Roman" w:cs="Times New Roman"/>
                <w:b/>
                <w:sz w:val="24"/>
                <w:szCs w:val="24"/>
              </w:rPr>
            </w:pPr>
            <w:r w:rsidRPr="00656EB0">
              <w:rPr>
                <w:rFonts w:ascii="Times New Roman" w:hAnsi="Times New Roman" w:cs="Times New Roman"/>
                <w:b/>
                <w:sz w:val="24"/>
                <w:szCs w:val="24"/>
              </w:rPr>
              <w:t>9</w:t>
            </w:r>
          </w:p>
          <w:p w:rsidR="008E5639" w:rsidRPr="00656EB0" w:rsidRDefault="008E5639" w:rsidP="004259B1">
            <w:pPr>
              <w:spacing w:before="60" w:after="60"/>
              <w:jc w:val="both"/>
              <w:rPr>
                <w:rFonts w:ascii="Times New Roman" w:hAnsi="Times New Roman" w:cs="Times New Roman"/>
                <w:sz w:val="24"/>
                <w:szCs w:val="24"/>
              </w:rPr>
            </w:pPr>
            <w:r w:rsidRPr="00656EB0">
              <w:rPr>
                <w:rFonts w:ascii="Times New Roman" w:hAnsi="Times New Roman" w:cs="Times New Roman"/>
                <w:sz w:val="24"/>
                <w:szCs w:val="24"/>
              </w:rPr>
              <w:t>Consideration should be given to reducing the role and scale of the Project Review Group in favour of more formal coordin</w:t>
            </w:r>
            <w:r>
              <w:rPr>
                <w:rFonts w:ascii="Times New Roman" w:hAnsi="Times New Roman" w:cs="Times New Roman"/>
                <w:sz w:val="24"/>
                <w:szCs w:val="24"/>
              </w:rPr>
              <w:t>ation at the sub-program level.</w:t>
            </w:r>
          </w:p>
        </w:tc>
        <w:tc>
          <w:tcPr>
            <w:tcW w:w="1563" w:type="dxa"/>
            <w:shd w:val="clear" w:color="auto" w:fill="CDFFCD"/>
          </w:tcPr>
          <w:p w:rsidR="008E5639" w:rsidRPr="00EF51ED" w:rsidRDefault="008E5639" w:rsidP="004259B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8E5639" w:rsidRDefault="008E5639" w:rsidP="004259B1">
            <w:pPr>
              <w:spacing w:before="60" w:after="60"/>
              <w:jc w:val="both"/>
              <w:rPr>
                <w:rFonts w:ascii="Times New Roman" w:hAnsi="Times New Roman" w:cs="Times New Roman"/>
                <w:b/>
                <w:sz w:val="24"/>
                <w:szCs w:val="24"/>
              </w:rPr>
            </w:pPr>
          </w:p>
        </w:tc>
        <w:tc>
          <w:tcPr>
            <w:tcW w:w="8076" w:type="dxa"/>
            <w:shd w:val="clear" w:color="auto" w:fill="CDFFCD"/>
          </w:tcPr>
          <w:p w:rsidR="008E5639" w:rsidRDefault="002F1842" w:rsidP="002F1842">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The </w:t>
            </w:r>
            <w:r w:rsidR="008E5639">
              <w:rPr>
                <w:rFonts w:ascii="Times New Roman" w:hAnsi="Times New Roman" w:cs="Times New Roman"/>
                <w:sz w:val="24"/>
                <w:szCs w:val="24"/>
              </w:rPr>
              <w:t xml:space="preserve">Project Review Group </w:t>
            </w:r>
            <w:r>
              <w:rPr>
                <w:rFonts w:ascii="Times New Roman" w:hAnsi="Times New Roman" w:cs="Times New Roman"/>
                <w:sz w:val="24"/>
                <w:szCs w:val="24"/>
              </w:rPr>
              <w:t xml:space="preserve">will cease in 2016 to align with GPF governance arrangements, specifically the submission and approval of activity proposals through the GPF Steering Committee. </w:t>
            </w:r>
          </w:p>
        </w:tc>
      </w:tr>
    </w:tbl>
    <w:p w:rsidR="005619E6" w:rsidRPr="008E5639" w:rsidRDefault="005619E6" w:rsidP="008E5639"/>
    <w:sectPr w:rsidR="005619E6" w:rsidRPr="008E5639" w:rsidSect="00DB4C6A">
      <w:pgSz w:w="16838" w:h="11906" w:orient="landscape"/>
      <w:pgMar w:top="1134" w:right="1276"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13" w:rsidRDefault="00BE0E13" w:rsidP="00E31C06">
      <w:pPr>
        <w:spacing w:after="0" w:line="240" w:lineRule="auto"/>
      </w:pPr>
      <w:r>
        <w:separator/>
      </w:r>
    </w:p>
  </w:endnote>
  <w:endnote w:type="continuationSeparator" w:id="0">
    <w:p w:rsidR="00BE0E13" w:rsidRDefault="00BE0E13" w:rsidP="00E3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13" w:rsidRDefault="00BE0E13" w:rsidP="00E31C06">
      <w:pPr>
        <w:spacing w:after="0" w:line="240" w:lineRule="auto"/>
      </w:pPr>
      <w:r>
        <w:separator/>
      </w:r>
    </w:p>
  </w:footnote>
  <w:footnote w:type="continuationSeparator" w:id="0">
    <w:p w:rsidR="00BE0E13" w:rsidRDefault="00BE0E13" w:rsidP="00E31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0A" w:rsidRDefault="00015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19"/>
    <w:multiLevelType w:val="hybridMultilevel"/>
    <w:tmpl w:val="5F3631A8"/>
    <w:lvl w:ilvl="0" w:tplc="EB3C19B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96D60"/>
    <w:multiLevelType w:val="hybridMultilevel"/>
    <w:tmpl w:val="A4F6F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341C1"/>
    <w:multiLevelType w:val="hybridMultilevel"/>
    <w:tmpl w:val="A964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6F2E38"/>
    <w:multiLevelType w:val="hybridMultilevel"/>
    <w:tmpl w:val="8764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7496892"/>
    <w:multiLevelType w:val="hybridMultilevel"/>
    <w:tmpl w:val="8FDC6FE4"/>
    <w:lvl w:ilvl="0" w:tplc="F7D2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A81434"/>
    <w:multiLevelType w:val="hybridMultilevel"/>
    <w:tmpl w:val="6A40853A"/>
    <w:lvl w:ilvl="0" w:tplc="669495FA">
      <w:start w:val="1"/>
      <w:numFmt w:val="decimal"/>
      <w:pStyle w:val="SCC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3C26043A">
      <w:numFmt w:val="bullet"/>
      <w:lvlText w:val="–"/>
      <w:lvlJc w:val="left"/>
      <w:pPr>
        <w:ind w:left="1980" w:hanging="360"/>
      </w:pPr>
      <w:rPr>
        <w:rFonts w:ascii="Arial" w:eastAsia="Times New Roman" w:hAnsi="Arial" w:hint="default"/>
      </w:rPr>
    </w:lvl>
    <w:lvl w:ilvl="3" w:tplc="2FFACECE">
      <w:start w:val="1"/>
      <w:numFmt w:val="lowerRoman"/>
      <w:lvlText w:val="(%4)"/>
      <w:lvlJc w:val="left"/>
      <w:pPr>
        <w:tabs>
          <w:tab w:val="num" w:pos="2880"/>
        </w:tabs>
        <w:ind w:left="2880" w:hanging="720"/>
      </w:pPr>
      <w:rPr>
        <w:rFonts w:cs="Times New Roman"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31B65EC6"/>
    <w:multiLevelType w:val="hybridMultilevel"/>
    <w:tmpl w:val="147887E4"/>
    <w:lvl w:ilvl="0" w:tplc="7DAC981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4E407D"/>
    <w:multiLevelType w:val="hybridMultilevel"/>
    <w:tmpl w:val="6B2032C8"/>
    <w:lvl w:ilvl="0" w:tplc="EB3C19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FB4847"/>
    <w:multiLevelType w:val="hybridMultilevel"/>
    <w:tmpl w:val="6BA4F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AC6C7F"/>
    <w:multiLevelType w:val="hybridMultilevel"/>
    <w:tmpl w:val="3C72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D42E18"/>
    <w:multiLevelType w:val="hybridMultilevel"/>
    <w:tmpl w:val="91CC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A32EC2"/>
    <w:multiLevelType w:val="hybridMultilevel"/>
    <w:tmpl w:val="E71E0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5C9168B"/>
    <w:multiLevelType w:val="hybridMultilevel"/>
    <w:tmpl w:val="1FA21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AC0E3D"/>
    <w:multiLevelType w:val="hybridMultilevel"/>
    <w:tmpl w:val="B224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2E13E1"/>
    <w:multiLevelType w:val="hybridMultilevel"/>
    <w:tmpl w:val="A140AB4A"/>
    <w:lvl w:ilvl="0" w:tplc="FFFFFFFF">
      <w:numFmt w:val="bullet"/>
      <w:lvlText w:val=""/>
      <w:lvlJc w:val="left"/>
      <w:pPr>
        <w:tabs>
          <w:tab w:val="num" w:pos="360"/>
        </w:tabs>
        <w:ind w:left="360" w:hanging="360"/>
      </w:pPr>
      <w:rPr>
        <w:rFonts w:ascii="Symbol" w:eastAsia="Times New Roman" w:hAnsi="Symbol"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7A8D57A9"/>
    <w:multiLevelType w:val="hybridMultilevel"/>
    <w:tmpl w:val="3FCCC858"/>
    <w:lvl w:ilvl="0" w:tplc="EB3C19B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DC674A"/>
    <w:multiLevelType w:val="hybridMultilevel"/>
    <w:tmpl w:val="80524D3A"/>
    <w:lvl w:ilvl="0" w:tplc="D4F8D3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13"/>
  </w:num>
  <w:num w:numId="8">
    <w:abstractNumId w:val="18"/>
  </w:num>
  <w:num w:numId="9">
    <w:abstractNumId w:val="8"/>
  </w:num>
  <w:num w:numId="10">
    <w:abstractNumId w:val="11"/>
  </w:num>
  <w:num w:numId="11">
    <w:abstractNumId w:val="17"/>
  </w:num>
  <w:num w:numId="12">
    <w:abstractNumId w:val="15"/>
  </w:num>
  <w:num w:numId="13">
    <w:abstractNumId w:val="16"/>
  </w:num>
  <w:num w:numId="14">
    <w:abstractNumId w:val="2"/>
  </w:num>
  <w:num w:numId="15">
    <w:abstractNumId w:val="10"/>
  </w:num>
  <w:num w:numId="16">
    <w:abstractNumId w:val="3"/>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4"/>
    <w:rsid w:val="000046FF"/>
    <w:rsid w:val="000110CD"/>
    <w:rsid w:val="00015F0A"/>
    <w:rsid w:val="0001632D"/>
    <w:rsid w:val="00022F9A"/>
    <w:rsid w:val="00024FC2"/>
    <w:rsid w:val="0002702F"/>
    <w:rsid w:val="00034A50"/>
    <w:rsid w:val="00043CE0"/>
    <w:rsid w:val="00053263"/>
    <w:rsid w:val="00054B75"/>
    <w:rsid w:val="00057D38"/>
    <w:rsid w:val="000612B9"/>
    <w:rsid w:val="0006465A"/>
    <w:rsid w:val="0006578D"/>
    <w:rsid w:val="000705AB"/>
    <w:rsid w:val="00077A25"/>
    <w:rsid w:val="000A35FC"/>
    <w:rsid w:val="000B21CD"/>
    <w:rsid w:val="000B35C4"/>
    <w:rsid w:val="000C6FC6"/>
    <w:rsid w:val="000D069A"/>
    <w:rsid w:val="000D2966"/>
    <w:rsid w:val="000D3DB2"/>
    <w:rsid w:val="000D50A3"/>
    <w:rsid w:val="000E10C6"/>
    <w:rsid w:val="000E2D8E"/>
    <w:rsid w:val="000E4021"/>
    <w:rsid w:val="000E4944"/>
    <w:rsid w:val="000E6D57"/>
    <w:rsid w:val="000F66FC"/>
    <w:rsid w:val="00120DAF"/>
    <w:rsid w:val="001339C2"/>
    <w:rsid w:val="0015224C"/>
    <w:rsid w:val="001545CB"/>
    <w:rsid w:val="001570DA"/>
    <w:rsid w:val="00162A47"/>
    <w:rsid w:val="00174594"/>
    <w:rsid w:val="00174CF3"/>
    <w:rsid w:val="001754CD"/>
    <w:rsid w:val="00183BAF"/>
    <w:rsid w:val="0018736A"/>
    <w:rsid w:val="001A0341"/>
    <w:rsid w:val="001A1D96"/>
    <w:rsid w:val="001A4021"/>
    <w:rsid w:val="001B07A5"/>
    <w:rsid w:val="001C0FB7"/>
    <w:rsid w:val="001C509E"/>
    <w:rsid w:val="001C63B4"/>
    <w:rsid w:val="001C7AF7"/>
    <w:rsid w:val="001D1469"/>
    <w:rsid w:val="001E04F1"/>
    <w:rsid w:val="001E2049"/>
    <w:rsid w:val="001E7059"/>
    <w:rsid w:val="001F6C60"/>
    <w:rsid w:val="00206431"/>
    <w:rsid w:val="002217A0"/>
    <w:rsid w:val="00225F8D"/>
    <w:rsid w:val="00240D74"/>
    <w:rsid w:val="002427CD"/>
    <w:rsid w:val="00252BD8"/>
    <w:rsid w:val="00252D55"/>
    <w:rsid w:val="0025473E"/>
    <w:rsid w:val="00265593"/>
    <w:rsid w:val="002678DF"/>
    <w:rsid w:val="002842D0"/>
    <w:rsid w:val="00290C57"/>
    <w:rsid w:val="00297CE4"/>
    <w:rsid w:val="002B0474"/>
    <w:rsid w:val="002B262D"/>
    <w:rsid w:val="002C5209"/>
    <w:rsid w:val="002D0E19"/>
    <w:rsid w:val="002F11E2"/>
    <w:rsid w:val="002F1842"/>
    <w:rsid w:val="002F190B"/>
    <w:rsid w:val="002F4598"/>
    <w:rsid w:val="002F6225"/>
    <w:rsid w:val="002F7E58"/>
    <w:rsid w:val="00302F39"/>
    <w:rsid w:val="00306B02"/>
    <w:rsid w:val="00325FB9"/>
    <w:rsid w:val="00330F2C"/>
    <w:rsid w:val="00336C2B"/>
    <w:rsid w:val="00340741"/>
    <w:rsid w:val="00350745"/>
    <w:rsid w:val="00364205"/>
    <w:rsid w:val="0037590B"/>
    <w:rsid w:val="003947B1"/>
    <w:rsid w:val="003A161C"/>
    <w:rsid w:val="003A66D8"/>
    <w:rsid w:val="003A7159"/>
    <w:rsid w:val="003A76B4"/>
    <w:rsid w:val="003B52C6"/>
    <w:rsid w:val="003C0703"/>
    <w:rsid w:val="003D7186"/>
    <w:rsid w:val="003E3E88"/>
    <w:rsid w:val="003E4095"/>
    <w:rsid w:val="003F30CC"/>
    <w:rsid w:val="003F4ADA"/>
    <w:rsid w:val="00404AD8"/>
    <w:rsid w:val="004062CF"/>
    <w:rsid w:val="004107AD"/>
    <w:rsid w:val="00415CCC"/>
    <w:rsid w:val="00425BF7"/>
    <w:rsid w:val="00426A58"/>
    <w:rsid w:val="00427397"/>
    <w:rsid w:val="00447758"/>
    <w:rsid w:val="00454D0F"/>
    <w:rsid w:val="00462D2A"/>
    <w:rsid w:val="004642DC"/>
    <w:rsid w:val="00470F07"/>
    <w:rsid w:val="00482A1A"/>
    <w:rsid w:val="00486FF8"/>
    <w:rsid w:val="004A44D9"/>
    <w:rsid w:val="004A57D6"/>
    <w:rsid w:val="004B7B0D"/>
    <w:rsid w:val="004C0713"/>
    <w:rsid w:val="004C1F8D"/>
    <w:rsid w:val="004C204C"/>
    <w:rsid w:val="004C211A"/>
    <w:rsid w:val="004D5F8F"/>
    <w:rsid w:val="004E0FCB"/>
    <w:rsid w:val="00501815"/>
    <w:rsid w:val="00511C70"/>
    <w:rsid w:val="00540E9E"/>
    <w:rsid w:val="005421C1"/>
    <w:rsid w:val="005578A4"/>
    <w:rsid w:val="005619E6"/>
    <w:rsid w:val="0056259F"/>
    <w:rsid w:val="00567C32"/>
    <w:rsid w:val="00580846"/>
    <w:rsid w:val="005832B0"/>
    <w:rsid w:val="005B6B35"/>
    <w:rsid w:val="005B7BFB"/>
    <w:rsid w:val="005C3204"/>
    <w:rsid w:val="005C7465"/>
    <w:rsid w:val="005D3CAB"/>
    <w:rsid w:val="005E4E86"/>
    <w:rsid w:val="005E75E5"/>
    <w:rsid w:val="005F0968"/>
    <w:rsid w:val="00605D35"/>
    <w:rsid w:val="00612780"/>
    <w:rsid w:val="006203D1"/>
    <w:rsid w:val="00621FBF"/>
    <w:rsid w:val="0062759C"/>
    <w:rsid w:val="00635A1A"/>
    <w:rsid w:val="00645A65"/>
    <w:rsid w:val="00650AFB"/>
    <w:rsid w:val="00651316"/>
    <w:rsid w:val="0065418E"/>
    <w:rsid w:val="00656EB0"/>
    <w:rsid w:val="00661302"/>
    <w:rsid w:val="00663CAA"/>
    <w:rsid w:val="00666987"/>
    <w:rsid w:val="006715ED"/>
    <w:rsid w:val="00675818"/>
    <w:rsid w:val="00680F36"/>
    <w:rsid w:val="006820CE"/>
    <w:rsid w:val="00692348"/>
    <w:rsid w:val="006A66B6"/>
    <w:rsid w:val="006B4946"/>
    <w:rsid w:val="006D1F3A"/>
    <w:rsid w:val="006F3519"/>
    <w:rsid w:val="006F6306"/>
    <w:rsid w:val="006F763B"/>
    <w:rsid w:val="00700B7E"/>
    <w:rsid w:val="007012F2"/>
    <w:rsid w:val="00725887"/>
    <w:rsid w:val="00741BE6"/>
    <w:rsid w:val="00745D6C"/>
    <w:rsid w:val="00751C4F"/>
    <w:rsid w:val="00774D48"/>
    <w:rsid w:val="00780E67"/>
    <w:rsid w:val="0078178D"/>
    <w:rsid w:val="00783CC7"/>
    <w:rsid w:val="00787D7D"/>
    <w:rsid w:val="007A0214"/>
    <w:rsid w:val="007A5BE4"/>
    <w:rsid w:val="007A6D40"/>
    <w:rsid w:val="007B2256"/>
    <w:rsid w:val="007C1667"/>
    <w:rsid w:val="007C6E42"/>
    <w:rsid w:val="007D1E80"/>
    <w:rsid w:val="007E06BF"/>
    <w:rsid w:val="007E454F"/>
    <w:rsid w:val="007F3947"/>
    <w:rsid w:val="0080184F"/>
    <w:rsid w:val="00803961"/>
    <w:rsid w:val="008057D7"/>
    <w:rsid w:val="0080778F"/>
    <w:rsid w:val="008229F3"/>
    <w:rsid w:val="0083339C"/>
    <w:rsid w:val="008353E7"/>
    <w:rsid w:val="00835E45"/>
    <w:rsid w:val="0083621C"/>
    <w:rsid w:val="008403CB"/>
    <w:rsid w:val="00842720"/>
    <w:rsid w:val="00874B77"/>
    <w:rsid w:val="008813EA"/>
    <w:rsid w:val="00894438"/>
    <w:rsid w:val="00894FCF"/>
    <w:rsid w:val="008B185C"/>
    <w:rsid w:val="008B73E8"/>
    <w:rsid w:val="008C2468"/>
    <w:rsid w:val="008C46F1"/>
    <w:rsid w:val="008C5C27"/>
    <w:rsid w:val="008C733B"/>
    <w:rsid w:val="008D1A91"/>
    <w:rsid w:val="008D66E3"/>
    <w:rsid w:val="008E5639"/>
    <w:rsid w:val="008E7338"/>
    <w:rsid w:val="00902D4B"/>
    <w:rsid w:val="00913585"/>
    <w:rsid w:val="00920284"/>
    <w:rsid w:val="009274DB"/>
    <w:rsid w:val="00945FBF"/>
    <w:rsid w:val="00947C7E"/>
    <w:rsid w:val="00963D5E"/>
    <w:rsid w:val="00974DDA"/>
    <w:rsid w:val="00981B45"/>
    <w:rsid w:val="0099736A"/>
    <w:rsid w:val="009A2EF0"/>
    <w:rsid w:val="009B4362"/>
    <w:rsid w:val="009B65D3"/>
    <w:rsid w:val="009D0643"/>
    <w:rsid w:val="009D0CC8"/>
    <w:rsid w:val="009D51E6"/>
    <w:rsid w:val="009D66CE"/>
    <w:rsid w:val="009F0C1E"/>
    <w:rsid w:val="009F7A1E"/>
    <w:rsid w:val="00A00164"/>
    <w:rsid w:val="00A00D78"/>
    <w:rsid w:val="00A07733"/>
    <w:rsid w:val="00A07D4A"/>
    <w:rsid w:val="00A10B53"/>
    <w:rsid w:val="00A1758C"/>
    <w:rsid w:val="00A17951"/>
    <w:rsid w:val="00A22E16"/>
    <w:rsid w:val="00A27469"/>
    <w:rsid w:val="00A313C9"/>
    <w:rsid w:val="00A370A6"/>
    <w:rsid w:val="00A45B7A"/>
    <w:rsid w:val="00A61A6C"/>
    <w:rsid w:val="00A668C0"/>
    <w:rsid w:val="00A7022E"/>
    <w:rsid w:val="00A71114"/>
    <w:rsid w:val="00A77D1E"/>
    <w:rsid w:val="00A870B5"/>
    <w:rsid w:val="00A95A98"/>
    <w:rsid w:val="00AA1F0D"/>
    <w:rsid w:val="00AC0C26"/>
    <w:rsid w:val="00AC214A"/>
    <w:rsid w:val="00AC7C6E"/>
    <w:rsid w:val="00AD2679"/>
    <w:rsid w:val="00AD62B4"/>
    <w:rsid w:val="00AD67AE"/>
    <w:rsid w:val="00AE395C"/>
    <w:rsid w:val="00AE3E2C"/>
    <w:rsid w:val="00AF5D2D"/>
    <w:rsid w:val="00B044FD"/>
    <w:rsid w:val="00B07DA1"/>
    <w:rsid w:val="00B1217C"/>
    <w:rsid w:val="00B153B9"/>
    <w:rsid w:val="00B24B6D"/>
    <w:rsid w:val="00B32886"/>
    <w:rsid w:val="00B33C3A"/>
    <w:rsid w:val="00B33EF4"/>
    <w:rsid w:val="00B353F4"/>
    <w:rsid w:val="00B47F4D"/>
    <w:rsid w:val="00B47FF4"/>
    <w:rsid w:val="00B55DB1"/>
    <w:rsid w:val="00B61671"/>
    <w:rsid w:val="00B72B5B"/>
    <w:rsid w:val="00B76BC5"/>
    <w:rsid w:val="00B76EE1"/>
    <w:rsid w:val="00B85774"/>
    <w:rsid w:val="00BB6CC6"/>
    <w:rsid w:val="00BC14D5"/>
    <w:rsid w:val="00BD215F"/>
    <w:rsid w:val="00BD2348"/>
    <w:rsid w:val="00BE0E13"/>
    <w:rsid w:val="00BF000D"/>
    <w:rsid w:val="00BF39F9"/>
    <w:rsid w:val="00BF58A6"/>
    <w:rsid w:val="00C00DAD"/>
    <w:rsid w:val="00C255B8"/>
    <w:rsid w:val="00C36710"/>
    <w:rsid w:val="00C42DB0"/>
    <w:rsid w:val="00C57F17"/>
    <w:rsid w:val="00CA011D"/>
    <w:rsid w:val="00CA2664"/>
    <w:rsid w:val="00CB1187"/>
    <w:rsid w:val="00CB3A6A"/>
    <w:rsid w:val="00CB6740"/>
    <w:rsid w:val="00CC2E79"/>
    <w:rsid w:val="00CC53E2"/>
    <w:rsid w:val="00CC79D7"/>
    <w:rsid w:val="00CD49C6"/>
    <w:rsid w:val="00CD7626"/>
    <w:rsid w:val="00CF5183"/>
    <w:rsid w:val="00D04443"/>
    <w:rsid w:val="00D07D0C"/>
    <w:rsid w:val="00D23516"/>
    <w:rsid w:val="00D32CEE"/>
    <w:rsid w:val="00D349F8"/>
    <w:rsid w:val="00D51547"/>
    <w:rsid w:val="00D545A7"/>
    <w:rsid w:val="00D62806"/>
    <w:rsid w:val="00D72256"/>
    <w:rsid w:val="00D819EC"/>
    <w:rsid w:val="00D86987"/>
    <w:rsid w:val="00D86EC9"/>
    <w:rsid w:val="00D87D84"/>
    <w:rsid w:val="00D87FAB"/>
    <w:rsid w:val="00D94A74"/>
    <w:rsid w:val="00D96FC5"/>
    <w:rsid w:val="00DA006D"/>
    <w:rsid w:val="00DA1CC5"/>
    <w:rsid w:val="00DB4C6A"/>
    <w:rsid w:val="00DD3DB3"/>
    <w:rsid w:val="00DD4B59"/>
    <w:rsid w:val="00DD78A5"/>
    <w:rsid w:val="00DF2ECE"/>
    <w:rsid w:val="00DF5235"/>
    <w:rsid w:val="00E177B8"/>
    <w:rsid w:val="00E214A5"/>
    <w:rsid w:val="00E259D6"/>
    <w:rsid w:val="00E30572"/>
    <w:rsid w:val="00E31C06"/>
    <w:rsid w:val="00E33698"/>
    <w:rsid w:val="00E35E33"/>
    <w:rsid w:val="00E36C29"/>
    <w:rsid w:val="00E3795F"/>
    <w:rsid w:val="00E631C9"/>
    <w:rsid w:val="00E7305E"/>
    <w:rsid w:val="00E80909"/>
    <w:rsid w:val="00E80E8B"/>
    <w:rsid w:val="00E811A9"/>
    <w:rsid w:val="00E910C3"/>
    <w:rsid w:val="00E92F6F"/>
    <w:rsid w:val="00E94A36"/>
    <w:rsid w:val="00EA1A67"/>
    <w:rsid w:val="00EA2BE1"/>
    <w:rsid w:val="00EA49F8"/>
    <w:rsid w:val="00EA682D"/>
    <w:rsid w:val="00EA7826"/>
    <w:rsid w:val="00EB3E1A"/>
    <w:rsid w:val="00EB6165"/>
    <w:rsid w:val="00EC65AB"/>
    <w:rsid w:val="00ED21A8"/>
    <w:rsid w:val="00EF51ED"/>
    <w:rsid w:val="00EF64D0"/>
    <w:rsid w:val="00F01E4E"/>
    <w:rsid w:val="00F11DC7"/>
    <w:rsid w:val="00F21EDA"/>
    <w:rsid w:val="00F305BE"/>
    <w:rsid w:val="00F35A3E"/>
    <w:rsid w:val="00F477BB"/>
    <w:rsid w:val="00F54F1C"/>
    <w:rsid w:val="00F559B8"/>
    <w:rsid w:val="00F60A73"/>
    <w:rsid w:val="00F62212"/>
    <w:rsid w:val="00F73671"/>
    <w:rsid w:val="00F872D7"/>
    <w:rsid w:val="00F91CFC"/>
    <w:rsid w:val="00F97384"/>
    <w:rsid w:val="00FB2FE3"/>
    <w:rsid w:val="00FD2B3E"/>
    <w:rsid w:val="00FD3DE6"/>
    <w:rsid w:val="00FE1D37"/>
    <w:rsid w:val="00FE2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paragraph" w:customStyle="1" w:styleId="Default">
    <w:name w:val="Default"/>
    <w:rsid w:val="00656EB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511C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1C70"/>
    <w:rPr>
      <w:rFonts w:ascii="Calibri" w:hAnsi="Calibri"/>
      <w:szCs w:val="21"/>
    </w:rPr>
  </w:style>
  <w:style w:type="paragraph" w:styleId="Header">
    <w:name w:val="header"/>
    <w:basedOn w:val="Normal"/>
    <w:link w:val="HeaderChar"/>
    <w:uiPriority w:val="99"/>
    <w:unhideWhenUsed/>
    <w:rsid w:val="0001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0A"/>
  </w:style>
  <w:style w:type="paragraph" w:styleId="Footer">
    <w:name w:val="footer"/>
    <w:basedOn w:val="Normal"/>
    <w:link w:val="FooterChar"/>
    <w:uiPriority w:val="99"/>
    <w:unhideWhenUsed/>
    <w:rsid w:val="0001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paragraph" w:customStyle="1" w:styleId="Default">
    <w:name w:val="Default"/>
    <w:rsid w:val="00656EB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511C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1C70"/>
    <w:rPr>
      <w:rFonts w:ascii="Calibri" w:hAnsi="Calibri"/>
      <w:szCs w:val="21"/>
    </w:rPr>
  </w:style>
  <w:style w:type="paragraph" w:styleId="Header">
    <w:name w:val="header"/>
    <w:basedOn w:val="Normal"/>
    <w:link w:val="HeaderChar"/>
    <w:uiPriority w:val="99"/>
    <w:unhideWhenUsed/>
    <w:rsid w:val="0001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0A"/>
  </w:style>
  <w:style w:type="paragraph" w:styleId="Footer">
    <w:name w:val="footer"/>
    <w:basedOn w:val="Normal"/>
    <w:link w:val="FooterChar"/>
    <w:uiPriority w:val="99"/>
    <w:unhideWhenUsed/>
    <w:rsid w:val="0001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3353">
      <w:bodyDiv w:val="1"/>
      <w:marLeft w:val="0"/>
      <w:marRight w:val="0"/>
      <w:marTop w:val="0"/>
      <w:marBottom w:val="0"/>
      <w:divBdr>
        <w:top w:val="none" w:sz="0" w:space="0" w:color="auto"/>
        <w:left w:val="none" w:sz="0" w:space="0" w:color="auto"/>
        <w:bottom w:val="none" w:sz="0" w:space="0" w:color="auto"/>
        <w:right w:val="none" w:sz="0" w:space="0" w:color="auto"/>
      </w:divBdr>
    </w:div>
    <w:div w:id="6717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8EBF5-0C77-49FE-8D64-E04EDC1D1213}"/>
</file>

<file path=customXml/itemProps2.xml><?xml version="1.0" encoding="utf-8"?>
<ds:datastoreItem xmlns:ds="http://schemas.openxmlformats.org/officeDocument/2006/customXml" ds:itemID="{0CFF372D-BA60-411A-9C37-DFCDF4B3DE8C}"/>
</file>

<file path=customXml/itemProps3.xml><?xml version="1.0" encoding="utf-8"?>
<ds:datastoreItem xmlns:ds="http://schemas.openxmlformats.org/officeDocument/2006/customXml" ds:itemID="{4A05E7F0-D13B-4DBD-9F12-21DB2306C205}"/>
</file>

<file path=customXml/itemProps4.xml><?xml version="1.0" encoding="utf-8"?>
<ds:datastoreItem xmlns:ds="http://schemas.openxmlformats.org/officeDocument/2006/customXml" ds:itemID="{BFC17556-5E37-42B7-A87E-69AA79629434}"/>
</file>

<file path=docProps/app.xml><?xml version="1.0" encoding="utf-8"?>
<Properties xmlns="http://schemas.openxmlformats.org/officeDocument/2006/extended-properties" xmlns:vt="http://schemas.openxmlformats.org/officeDocument/2006/docPropsVTypes">
  <Template>CD66CBFC</Template>
  <TotalTime>0</TotalTime>
  <Pages>4</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2016-01-21T23:27:00Z</dcterms:created>
  <dcterms:modified xsi:type="dcterms:W3CDTF">2016-01-21T23:27:00Z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0dc3a2b4-37d6-4477-9aa5-7754a919d280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1007200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