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FATAdditionalInfo"/>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801DAA" w:rsidRPr="009423B7" w14:paraId="7873C862" w14:textId="77777777" w:rsidTr="2338B082">
        <w:tc>
          <w:tcPr>
            <w:tcW w:w="10490" w:type="dxa"/>
            <w:gridSpan w:val="2"/>
          </w:tcPr>
          <w:p w14:paraId="499872AA" w14:textId="35C01C3F" w:rsidR="00801DAA" w:rsidRPr="009423B7" w:rsidRDefault="00801DAA" w:rsidP="009423B7">
            <w:pPr>
              <w:pStyle w:val="TableHeading1"/>
              <w:rPr>
                <w:rFonts w:ascii="Arial" w:hAnsi="Arial" w:cs="Arial"/>
              </w:rPr>
            </w:pPr>
            <w:r w:rsidRPr="2338B082">
              <w:rPr>
                <w:rFonts w:ascii="Arial" w:hAnsi="Arial" w:cs="Arial"/>
              </w:rPr>
              <w:t>Glossary</w:t>
            </w:r>
            <w:r w:rsidR="00892E53" w:rsidRPr="2338B082">
              <w:rPr>
                <w:rFonts w:ascii="Arial" w:hAnsi="Arial" w:cs="Arial"/>
              </w:rPr>
              <w:t xml:space="preserve"> – </w:t>
            </w:r>
            <w:r w:rsidR="31A04C66" w:rsidRPr="2338B082">
              <w:rPr>
                <w:rFonts w:ascii="Arial" w:hAnsi="Arial" w:cs="Arial"/>
              </w:rPr>
              <w:t xml:space="preserve">International Development </w:t>
            </w:r>
            <w:r w:rsidR="00892E53" w:rsidRPr="2338B082">
              <w:rPr>
                <w:rFonts w:ascii="Arial" w:hAnsi="Arial" w:cs="Arial"/>
              </w:rPr>
              <w:t>Programming Guide</w:t>
            </w:r>
          </w:p>
        </w:tc>
      </w:tr>
      <w:tr w:rsidR="0073185E" w:rsidRPr="009423B7" w14:paraId="689D5487" w14:textId="77777777" w:rsidTr="2338B082">
        <w:tc>
          <w:tcPr>
            <w:tcW w:w="2127" w:type="dxa"/>
            <w:vAlign w:val="center"/>
          </w:tcPr>
          <w:p w14:paraId="0CDB55A2" w14:textId="77777777" w:rsidR="00801DAA" w:rsidRPr="009423B7" w:rsidRDefault="00801DAA" w:rsidP="00801DAA">
            <w:pPr>
              <w:pStyle w:val="TableText"/>
              <w:rPr>
                <w:rFonts w:ascii="Arial" w:hAnsi="Arial" w:cs="Arial"/>
                <w:sz w:val="22"/>
                <w:szCs w:val="22"/>
              </w:rPr>
            </w:pPr>
            <w:r w:rsidRPr="009423B7">
              <w:rPr>
                <w:rFonts w:ascii="Arial" w:hAnsi="Arial" w:cs="Arial"/>
                <w:b/>
                <w:bCs/>
                <w:sz w:val="22"/>
                <w:szCs w:val="22"/>
              </w:rPr>
              <w:t>Activity</w:t>
            </w:r>
          </w:p>
        </w:tc>
        <w:tc>
          <w:tcPr>
            <w:tcW w:w="8363" w:type="dxa"/>
            <w:vAlign w:val="center"/>
          </w:tcPr>
          <w:p w14:paraId="5570EF68" w14:textId="2D181DA3" w:rsidR="00801DAA" w:rsidRPr="009423B7" w:rsidRDefault="00801DAA" w:rsidP="009423B7">
            <w:pPr>
              <w:pStyle w:val="BodyText"/>
              <w:rPr>
                <w:rFonts w:ascii="Arial" w:hAnsi="Arial" w:cs="Arial"/>
                <w:sz w:val="22"/>
                <w:szCs w:val="22"/>
              </w:rPr>
            </w:pPr>
            <w:r w:rsidRPr="009423B7">
              <w:rPr>
                <w:rFonts w:ascii="Arial" w:hAnsi="Arial" w:cs="Arial"/>
                <w:sz w:val="22"/>
                <w:szCs w:val="22"/>
              </w:rPr>
              <w:t xml:space="preserve">Actions taken or work performed through which inputs, such as funds, technical </w:t>
            </w:r>
            <w:proofErr w:type="gramStart"/>
            <w:r w:rsidRPr="009423B7">
              <w:rPr>
                <w:rFonts w:ascii="Arial" w:hAnsi="Arial" w:cs="Arial"/>
                <w:sz w:val="22"/>
                <w:szCs w:val="22"/>
              </w:rPr>
              <w:t>assistance</w:t>
            </w:r>
            <w:proofErr w:type="gramEnd"/>
            <w:r w:rsidRPr="009423B7">
              <w:rPr>
                <w:rFonts w:ascii="Arial" w:hAnsi="Arial" w:cs="Arial"/>
                <w:sz w:val="22"/>
                <w:szCs w:val="22"/>
              </w:rPr>
              <w:t xml:space="preserve"> and other types of resources, are mobilised to produce specific outputs or outcomes. An investment may comprise several </w:t>
            </w:r>
            <w:r w:rsidR="009423B7" w:rsidRPr="009423B7">
              <w:rPr>
                <w:rFonts w:ascii="Arial" w:hAnsi="Arial" w:cs="Arial"/>
                <w:sz w:val="22"/>
                <w:szCs w:val="22"/>
              </w:rPr>
              <w:t>development</w:t>
            </w:r>
            <w:r w:rsidRPr="009423B7">
              <w:rPr>
                <w:rFonts w:ascii="Arial" w:hAnsi="Arial" w:cs="Arial"/>
                <w:sz w:val="22"/>
                <w:szCs w:val="22"/>
              </w:rPr>
              <w:t xml:space="preserve"> activities. In SAP terminology an activity is called </w:t>
            </w:r>
            <w:proofErr w:type="gramStart"/>
            <w:r w:rsidRPr="009423B7">
              <w:rPr>
                <w:rFonts w:ascii="Arial" w:hAnsi="Arial" w:cs="Arial"/>
                <w:sz w:val="22"/>
                <w:szCs w:val="22"/>
              </w:rPr>
              <w:t>a</w:t>
            </w:r>
            <w:proofErr w:type="gramEnd"/>
            <w:r w:rsidRPr="009423B7">
              <w:rPr>
                <w:rFonts w:ascii="Arial" w:hAnsi="Arial" w:cs="Arial"/>
                <w:sz w:val="22"/>
                <w:szCs w:val="22"/>
              </w:rPr>
              <w:t xml:space="preserve"> SAP WBS element.</w:t>
            </w:r>
          </w:p>
        </w:tc>
      </w:tr>
      <w:tr w:rsidR="00694C21" w:rsidRPr="009423B7" w14:paraId="55F45810" w14:textId="77777777" w:rsidTr="2338B082">
        <w:tc>
          <w:tcPr>
            <w:tcW w:w="2127" w:type="dxa"/>
            <w:vAlign w:val="center"/>
          </w:tcPr>
          <w:p w14:paraId="61A7793E" w14:textId="56EB4A83" w:rsidR="00694C21" w:rsidRPr="009423B7" w:rsidRDefault="00694C21" w:rsidP="00801DAA">
            <w:pPr>
              <w:pStyle w:val="TableText"/>
              <w:rPr>
                <w:rFonts w:ascii="Arial" w:hAnsi="Arial" w:cs="Arial"/>
                <w:b/>
                <w:bCs/>
                <w:sz w:val="22"/>
                <w:szCs w:val="22"/>
              </w:rPr>
            </w:pPr>
            <w:r>
              <w:rPr>
                <w:rFonts w:ascii="Arial" w:hAnsi="Arial" w:cs="Arial"/>
                <w:b/>
                <w:bCs/>
                <w:sz w:val="22"/>
                <w:szCs w:val="22"/>
              </w:rPr>
              <w:t>Activity Manager</w:t>
            </w:r>
          </w:p>
        </w:tc>
        <w:tc>
          <w:tcPr>
            <w:tcW w:w="8363" w:type="dxa"/>
            <w:vAlign w:val="center"/>
          </w:tcPr>
          <w:p w14:paraId="70E32AF8" w14:textId="641B9EB9" w:rsidR="00694C21" w:rsidRPr="009423B7" w:rsidRDefault="00694C21" w:rsidP="00694C21">
            <w:pPr>
              <w:pStyle w:val="BodyText"/>
              <w:rPr>
                <w:rFonts w:ascii="Arial" w:hAnsi="Arial" w:cs="Arial"/>
                <w:sz w:val="22"/>
                <w:szCs w:val="22"/>
              </w:rPr>
            </w:pPr>
            <w:r w:rsidRPr="008D5423">
              <w:rPr>
                <w:rFonts w:ascii="Arial" w:hAnsi="Arial" w:cs="Arial"/>
                <w:sz w:val="22"/>
                <w:szCs w:val="22"/>
              </w:rPr>
              <w:t xml:space="preserve">Activity managers are responsible for the delivery of the activity, ensuring that the activity will deliver the outcomes set out in the investment design, managing the performance of the activity and reporting on the progress of the activity to the investment manager in line with subsection 23(1) of the PGPA Act or subsection 32B(1) of the FF(SP) Act and align with </w:t>
            </w:r>
            <w:hyperlink r:id="rId8" w:history="1">
              <w:r w:rsidRPr="008D5423">
                <w:rPr>
                  <w:rFonts w:ascii="Arial" w:hAnsi="Arial" w:cs="Arial"/>
                  <w:i/>
                  <w:iCs/>
                  <w:sz w:val="22"/>
                  <w:szCs w:val="22"/>
                </w:rPr>
                <w:t>Developing good performance information</w:t>
              </w:r>
            </w:hyperlink>
            <w:r w:rsidRPr="008D5423">
              <w:rPr>
                <w:rFonts w:ascii="Arial" w:hAnsi="Arial" w:cs="Arial"/>
                <w:i/>
                <w:iCs/>
                <w:sz w:val="22"/>
                <w:szCs w:val="22"/>
              </w:rPr>
              <w:t xml:space="preserve"> (RMG 131)</w:t>
            </w:r>
            <w:r w:rsidRPr="008D5423">
              <w:rPr>
                <w:rFonts w:ascii="Arial" w:hAnsi="Arial" w:cs="Arial"/>
                <w:sz w:val="22"/>
                <w:szCs w:val="22"/>
              </w:rPr>
              <w:t>, primarily section 4 and 6.  An Activity Manager reports to an Investment Manager.</w:t>
            </w:r>
            <w:r>
              <w:rPr>
                <w:rFonts w:asciiTheme="majorHAnsi" w:hAnsiTheme="majorHAnsi"/>
                <w:color w:val="495965"/>
              </w:rPr>
              <w:t xml:space="preserve"> </w:t>
            </w:r>
          </w:p>
        </w:tc>
      </w:tr>
      <w:tr w:rsidR="0073185E" w:rsidRPr="009423B7" w14:paraId="624A1EB0" w14:textId="77777777" w:rsidTr="2338B082">
        <w:tc>
          <w:tcPr>
            <w:tcW w:w="2127" w:type="dxa"/>
            <w:vAlign w:val="center"/>
          </w:tcPr>
          <w:p w14:paraId="0A0EBCB3"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t>Agreement</w:t>
            </w:r>
          </w:p>
        </w:tc>
        <w:tc>
          <w:tcPr>
            <w:tcW w:w="8363" w:type="dxa"/>
            <w:vAlign w:val="center"/>
          </w:tcPr>
          <w:p w14:paraId="7269DCD7" w14:textId="0616590F" w:rsidR="00801DAA" w:rsidRPr="009423B7" w:rsidRDefault="00801DAA" w:rsidP="00801DAA">
            <w:pPr>
              <w:pStyle w:val="BodyText"/>
              <w:rPr>
                <w:rFonts w:ascii="Arial" w:hAnsi="Arial" w:cs="Arial"/>
                <w:sz w:val="22"/>
                <w:szCs w:val="22"/>
              </w:rPr>
            </w:pPr>
            <w:r w:rsidRPr="5F903D0E">
              <w:rPr>
                <w:rFonts w:ascii="Arial" w:hAnsi="Arial" w:cs="Arial"/>
                <w:sz w:val="22"/>
                <w:szCs w:val="22"/>
              </w:rPr>
              <w:t>An agreement between two or more authorised persons on behalf of themselves or their organisations to perform specific acts that are enforceable in law (referred in AidWorks as an Agreement). This agreement gives effect to the actions being undertaken by a</w:t>
            </w:r>
            <w:r w:rsidR="00793012" w:rsidRPr="5F903D0E">
              <w:rPr>
                <w:rFonts w:ascii="Arial" w:hAnsi="Arial" w:cs="Arial"/>
                <w:sz w:val="22"/>
                <w:szCs w:val="22"/>
              </w:rPr>
              <w:t xml:space="preserve"> development </w:t>
            </w:r>
            <w:r w:rsidRPr="5F903D0E">
              <w:rPr>
                <w:rFonts w:ascii="Arial" w:hAnsi="Arial" w:cs="Arial"/>
                <w:sz w:val="22"/>
                <w:szCs w:val="22"/>
              </w:rPr>
              <w:t xml:space="preserve">investment. </w:t>
            </w:r>
            <w:r w:rsidR="0076256B" w:rsidRPr="5F903D0E">
              <w:rPr>
                <w:sz w:val="24"/>
              </w:rPr>
              <w:t>It may be a procurement contract (or services order) to procure goods and services for the Australian Government or a contribution (grant</w:t>
            </w:r>
            <w:r w:rsidR="2BD35F4A" w:rsidRPr="5F903D0E">
              <w:rPr>
                <w:sz w:val="24"/>
              </w:rPr>
              <w:t>-</w:t>
            </w:r>
            <w:r w:rsidR="0076256B" w:rsidRPr="5F903D0E">
              <w:rPr>
                <w:sz w:val="24"/>
              </w:rPr>
              <w:t>like arrangement).</w:t>
            </w:r>
          </w:p>
        </w:tc>
      </w:tr>
      <w:tr w:rsidR="000242F5" w:rsidRPr="009423B7" w14:paraId="3FBF69D8" w14:textId="77777777" w:rsidTr="2338B082">
        <w:tc>
          <w:tcPr>
            <w:tcW w:w="2127" w:type="dxa"/>
            <w:vAlign w:val="center"/>
          </w:tcPr>
          <w:p w14:paraId="0B4A15D1" w14:textId="1083EF0E" w:rsidR="000242F5" w:rsidRPr="009423B7" w:rsidRDefault="000242F5" w:rsidP="00801DAA">
            <w:pPr>
              <w:pStyle w:val="TableText"/>
              <w:rPr>
                <w:rFonts w:ascii="Arial" w:hAnsi="Arial" w:cs="Arial"/>
                <w:b/>
                <w:bCs/>
                <w:sz w:val="22"/>
                <w:szCs w:val="22"/>
              </w:rPr>
            </w:pPr>
            <w:r>
              <w:rPr>
                <w:rFonts w:ascii="Arial" w:hAnsi="Arial" w:cs="Arial"/>
                <w:b/>
                <w:bCs/>
                <w:sz w:val="22"/>
                <w:szCs w:val="22"/>
              </w:rPr>
              <w:t>Agreement Manager</w:t>
            </w:r>
          </w:p>
        </w:tc>
        <w:tc>
          <w:tcPr>
            <w:tcW w:w="8363" w:type="dxa"/>
            <w:vAlign w:val="center"/>
          </w:tcPr>
          <w:p w14:paraId="3433BBFB" w14:textId="213B61DB" w:rsidR="000242F5" w:rsidRPr="009423B7" w:rsidRDefault="00694C21" w:rsidP="005E19BE">
            <w:pPr>
              <w:pStyle w:val="BodyText"/>
              <w:rPr>
                <w:rFonts w:ascii="Arial" w:hAnsi="Arial" w:cs="Arial"/>
                <w:sz w:val="22"/>
                <w:szCs w:val="22"/>
              </w:rPr>
            </w:pPr>
            <w:r w:rsidRPr="008D5423">
              <w:rPr>
                <w:rFonts w:ascii="Arial" w:hAnsi="Arial" w:cs="Arial"/>
                <w:sz w:val="22"/>
                <w:szCs w:val="22"/>
              </w:rPr>
              <w:t xml:space="preserve">Agreement managers are responsible for administering an agreement throughout the life of the agreement in line with subsection 23(1) of the PGPA Act or subsection 32B(1) of the FF(SP) Act and align with </w:t>
            </w:r>
            <w:hyperlink r:id="rId9" w:history="1">
              <w:r w:rsidRPr="008D5423">
                <w:rPr>
                  <w:rFonts w:ascii="Arial" w:hAnsi="Arial" w:cs="Arial"/>
                  <w:i/>
                  <w:iCs/>
                  <w:sz w:val="22"/>
                  <w:szCs w:val="22"/>
                </w:rPr>
                <w:t>Developing good performance information</w:t>
              </w:r>
            </w:hyperlink>
            <w:r w:rsidRPr="008D5423">
              <w:rPr>
                <w:rFonts w:ascii="Arial" w:hAnsi="Arial" w:cs="Arial"/>
                <w:sz w:val="22"/>
                <w:szCs w:val="22"/>
              </w:rPr>
              <w:t xml:space="preserve"> (RMG 131), primarily section 4 and 6.  They are responsible for drafting and maintaining agreements, including creating and activating new agreements and amendments; editing agreement details; suspending, terminating and completing agreements, and approving agreement milestones, deliverables and payment authorisations. The Agreement Manager will administer the investment to ensure the proper use of public resources and ensure that resources are used to achieve the purposes and outcomes of the Department. An Agreement Manager reports to an Activity Manager.</w:t>
            </w:r>
          </w:p>
        </w:tc>
      </w:tr>
      <w:tr w:rsidR="0073185E" w:rsidRPr="009423B7" w14:paraId="12210F99" w14:textId="77777777" w:rsidTr="2338B082">
        <w:tc>
          <w:tcPr>
            <w:tcW w:w="2127" w:type="dxa"/>
            <w:vAlign w:val="center"/>
          </w:tcPr>
          <w:p w14:paraId="1C21DFA8"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t>Aid quality</w:t>
            </w:r>
          </w:p>
        </w:tc>
        <w:tc>
          <w:tcPr>
            <w:tcW w:w="8363" w:type="dxa"/>
            <w:vAlign w:val="center"/>
          </w:tcPr>
          <w:p w14:paraId="5A8DEF45" w14:textId="7A0A2145" w:rsidR="00801DAA" w:rsidRPr="009423B7" w:rsidRDefault="00801DAA" w:rsidP="005E19BE">
            <w:pPr>
              <w:pStyle w:val="BodyText"/>
              <w:rPr>
                <w:rFonts w:ascii="Arial" w:hAnsi="Arial" w:cs="Arial"/>
                <w:sz w:val="22"/>
                <w:szCs w:val="22"/>
              </w:rPr>
            </w:pPr>
            <w:r w:rsidRPr="009423B7">
              <w:rPr>
                <w:rFonts w:ascii="Arial" w:hAnsi="Arial" w:cs="Arial"/>
                <w:sz w:val="22"/>
                <w:szCs w:val="22"/>
              </w:rPr>
              <w:t xml:space="preserve">The extent to which </w:t>
            </w:r>
            <w:r w:rsidR="009423B7">
              <w:rPr>
                <w:rFonts w:ascii="Arial" w:hAnsi="Arial" w:cs="Arial"/>
                <w:sz w:val="22"/>
                <w:szCs w:val="22"/>
              </w:rPr>
              <w:t>development assistance</w:t>
            </w:r>
            <w:r w:rsidRPr="009423B7">
              <w:rPr>
                <w:rFonts w:ascii="Arial" w:hAnsi="Arial" w:cs="Arial"/>
                <w:sz w:val="22"/>
                <w:szCs w:val="22"/>
              </w:rPr>
              <w:t xml:space="preserve"> is provided in accordance with the department’s quality standards, which reflect best practice principles or agreed international approaches (for instance </w:t>
            </w:r>
            <w:r w:rsidR="005E19BE">
              <w:rPr>
                <w:rFonts w:ascii="Arial" w:hAnsi="Arial" w:cs="Arial"/>
                <w:sz w:val="22"/>
                <w:szCs w:val="22"/>
              </w:rPr>
              <w:t xml:space="preserve">alignment with </w:t>
            </w:r>
            <w:r w:rsidRPr="009423B7">
              <w:rPr>
                <w:rFonts w:ascii="Arial" w:hAnsi="Arial" w:cs="Arial"/>
                <w:sz w:val="22"/>
                <w:szCs w:val="22"/>
              </w:rPr>
              <w:t xml:space="preserve">the </w:t>
            </w:r>
            <w:r w:rsidR="005E19BE">
              <w:rPr>
                <w:rFonts w:ascii="Arial" w:hAnsi="Arial" w:cs="Arial"/>
                <w:sz w:val="22"/>
                <w:szCs w:val="22"/>
              </w:rPr>
              <w:t>OECD DAC criteria</w:t>
            </w:r>
            <w:r w:rsidRPr="009423B7">
              <w:rPr>
                <w:rFonts w:ascii="Arial" w:hAnsi="Arial" w:cs="Arial"/>
                <w:sz w:val="22"/>
                <w:szCs w:val="22"/>
              </w:rPr>
              <w:t>).</w:t>
            </w:r>
          </w:p>
        </w:tc>
      </w:tr>
      <w:tr w:rsidR="0073185E" w:rsidRPr="009423B7" w14:paraId="606D372E" w14:textId="77777777" w:rsidTr="2338B082">
        <w:trPr>
          <w:trHeight w:val="1137"/>
        </w:trPr>
        <w:tc>
          <w:tcPr>
            <w:tcW w:w="2127" w:type="dxa"/>
            <w:vAlign w:val="center"/>
          </w:tcPr>
          <w:p w14:paraId="196018C8"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lastRenderedPageBreak/>
              <w:t>AidWorks</w:t>
            </w:r>
          </w:p>
        </w:tc>
        <w:tc>
          <w:tcPr>
            <w:tcW w:w="8363" w:type="dxa"/>
            <w:vAlign w:val="center"/>
          </w:tcPr>
          <w:p w14:paraId="2C660226" w14:textId="71AB3F23" w:rsidR="00801DAA" w:rsidRPr="009423B7" w:rsidRDefault="00083781" w:rsidP="009423B7">
            <w:pPr>
              <w:pStyle w:val="BodyText"/>
              <w:rPr>
                <w:rFonts w:ascii="Arial" w:hAnsi="Arial" w:cs="Arial"/>
                <w:sz w:val="22"/>
                <w:szCs w:val="22"/>
              </w:rPr>
            </w:pPr>
            <w:r w:rsidRPr="009423B7">
              <w:rPr>
                <w:rFonts w:ascii="Arial" w:hAnsi="Arial" w:cs="Arial"/>
                <w:sz w:val="22"/>
                <w:szCs w:val="22"/>
              </w:rPr>
              <w:t xml:space="preserve">AidWorks is DFAT’s IT system used to administer the Australian </w:t>
            </w:r>
            <w:r w:rsidR="009423B7" w:rsidRPr="009423B7">
              <w:rPr>
                <w:rFonts w:ascii="Arial" w:hAnsi="Arial" w:cs="Arial"/>
                <w:sz w:val="22"/>
                <w:szCs w:val="22"/>
              </w:rPr>
              <w:t>development</w:t>
            </w:r>
            <w:r w:rsidRPr="009423B7">
              <w:rPr>
                <w:rFonts w:ascii="Arial" w:hAnsi="Arial" w:cs="Arial"/>
                <w:sz w:val="22"/>
                <w:szCs w:val="22"/>
              </w:rPr>
              <w:t xml:space="preserve"> program. It is integral to</w:t>
            </w:r>
            <w:r w:rsidR="0073185E" w:rsidRPr="009423B7">
              <w:rPr>
                <w:rFonts w:ascii="Arial" w:hAnsi="Arial" w:cs="Arial"/>
                <w:sz w:val="22"/>
                <w:szCs w:val="22"/>
              </w:rPr>
              <w:t xml:space="preserve"> </w:t>
            </w:r>
            <w:r w:rsidR="009423B7" w:rsidRPr="009423B7">
              <w:rPr>
                <w:rFonts w:ascii="Arial" w:hAnsi="Arial" w:cs="Arial"/>
                <w:sz w:val="22"/>
                <w:szCs w:val="22"/>
              </w:rPr>
              <w:t xml:space="preserve">development </w:t>
            </w:r>
            <w:r w:rsidRPr="009423B7">
              <w:rPr>
                <w:rFonts w:ascii="Arial" w:hAnsi="Arial" w:cs="Arial"/>
                <w:sz w:val="22"/>
                <w:szCs w:val="22"/>
              </w:rPr>
              <w:t>program planning, investment management and agreement management, as well as program reporting</w:t>
            </w:r>
            <w:r w:rsidR="0073185E" w:rsidRPr="009423B7">
              <w:rPr>
                <w:rFonts w:ascii="Arial" w:hAnsi="Arial" w:cs="Arial"/>
                <w:sz w:val="22"/>
                <w:szCs w:val="22"/>
              </w:rPr>
              <w:t xml:space="preserve"> </w:t>
            </w:r>
            <w:r w:rsidRPr="009423B7">
              <w:rPr>
                <w:rFonts w:ascii="Arial" w:hAnsi="Arial" w:cs="Arial"/>
                <w:sz w:val="22"/>
                <w:szCs w:val="22"/>
              </w:rPr>
              <w:t>and analysis. AidWorks supports key business functions including budget and financial management,</w:t>
            </w:r>
            <w:r w:rsidR="0073185E" w:rsidRPr="009423B7">
              <w:rPr>
                <w:rFonts w:ascii="Arial" w:hAnsi="Arial" w:cs="Arial"/>
                <w:sz w:val="22"/>
                <w:szCs w:val="22"/>
              </w:rPr>
              <w:t xml:space="preserve"> </w:t>
            </w:r>
            <w:r w:rsidRPr="009423B7">
              <w:rPr>
                <w:rFonts w:ascii="Arial" w:hAnsi="Arial" w:cs="Arial"/>
                <w:sz w:val="22"/>
                <w:szCs w:val="22"/>
              </w:rPr>
              <w:t>procurement, and agreement and performance management.</w:t>
            </w:r>
          </w:p>
        </w:tc>
      </w:tr>
      <w:tr w:rsidR="0073185E" w:rsidRPr="009423B7" w14:paraId="61D26053" w14:textId="77777777" w:rsidTr="2338B082">
        <w:tc>
          <w:tcPr>
            <w:tcW w:w="2127" w:type="dxa"/>
            <w:vAlign w:val="center"/>
          </w:tcPr>
          <w:p w14:paraId="18DA8A37"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t>Appraisal</w:t>
            </w:r>
          </w:p>
        </w:tc>
        <w:tc>
          <w:tcPr>
            <w:tcW w:w="8363" w:type="dxa"/>
            <w:vAlign w:val="center"/>
          </w:tcPr>
          <w:p w14:paraId="12F5267E" w14:textId="17C39557" w:rsidR="00801DAA" w:rsidRPr="009423B7" w:rsidRDefault="00801DAA" w:rsidP="00083781">
            <w:pPr>
              <w:pStyle w:val="BodyText"/>
              <w:rPr>
                <w:rFonts w:ascii="Arial" w:hAnsi="Arial" w:cs="Arial"/>
                <w:sz w:val="22"/>
                <w:szCs w:val="22"/>
              </w:rPr>
            </w:pPr>
            <w:r w:rsidRPr="009423B7">
              <w:rPr>
                <w:rFonts w:ascii="Arial" w:hAnsi="Arial" w:cs="Arial"/>
                <w:sz w:val="22"/>
                <w:szCs w:val="22"/>
              </w:rPr>
              <w:t xml:space="preserve">An overall </w:t>
            </w:r>
            <w:r w:rsidR="00083781" w:rsidRPr="009423B7">
              <w:rPr>
                <w:rFonts w:ascii="Arial" w:hAnsi="Arial" w:cs="Arial"/>
                <w:sz w:val="22"/>
                <w:szCs w:val="22"/>
              </w:rPr>
              <w:t xml:space="preserve">assessment </w:t>
            </w:r>
            <w:r w:rsidRPr="009423B7">
              <w:rPr>
                <w:rFonts w:ascii="Arial" w:hAnsi="Arial" w:cs="Arial"/>
                <w:sz w:val="22"/>
                <w:szCs w:val="22"/>
              </w:rPr>
              <w:t>of the relevance, feasibility, likely effectiveness</w:t>
            </w:r>
            <w:r w:rsidR="00C2194E">
              <w:rPr>
                <w:rFonts w:ascii="Arial" w:hAnsi="Arial" w:cs="Arial"/>
                <w:sz w:val="22"/>
                <w:szCs w:val="22"/>
              </w:rPr>
              <w:t xml:space="preserve">, </w:t>
            </w:r>
            <w:proofErr w:type="gramStart"/>
            <w:r w:rsidR="00C2194E">
              <w:rPr>
                <w:rFonts w:ascii="Arial" w:hAnsi="Arial" w:cs="Arial"/>
                <w:sz w:val="22"/>
                <w:szCs w:val="22"/>
              </w:rPr>
              <w:t>efficiency</w:t>
            </w:r>
            <w:proofErr w:type="gramEnd"/>
            <w:r w:rsidRPr="009423B7">
              <w:rPr>
                <w:rFonts w:ascii="Arial" w:hAnsi="Arial" w:cs="Arial"/>
                <w:sz w:val="22"/>
                <w:szCs w:val="22"/>
              </w:rPr>
              <w:t xml:space="preserve"> and sustainability of a proposed investment, made before deciding whether to fund it.</w:t>
            </w:r>
          </w:p>
        </w:tc>
      </w:tr>
      <w:tr w:rsidR="0073185E" w:rsidRPr="009423B7" w14:paraId="69F2F3F1" w14:textId="77777777" w:rsidTr="2338B082">
        <w:tc>
          <w:tcPr>
            <w:tcW w:w="2127" w:type="dxa"/>
            <w:vAlign w:val="center"/>
          </w:tcPr>
          <w:p w14:paraId="5EC644F7"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t>Assumption</w:t>
            </w:r>
          </w:p>
        </w:tc>
        <w:tc>
          <w:tcPr>
            <w:tcW w:w="8363" w:type="dxa"/>
            <w:vAlign w:val="center"/>
          </w:tcPr>
          <w:p w14:paraId="77509863" w14:textId="51A21148" w:rsidR="00801DAA" w:rsidRPr="009423B7" w:rsidRDefault="00801DAA" w:rsidP="00801DAA">
            <w:pPr>
              <w:pStyle w:val="BodyText"/>
              <w:rPr>
                <w:rFonts w:ascii="Arial" w:hAnsi="Arial" w:cs="Arial"/>
                <w:sz w:val="22"/>
                <w:szCs w:val="22"/>
              </w:rPr>
            </w:pPr>
            <w:r w:rsidRPr="009423B7">
              <w:rPr>
                <w:rFonts w:ascii="Arial" w:hAnsi="Arial" w:cs="Arial"/>
                <w:sz w:val="22"/>
                <w:szCs w:val="22"/>
              </w:rPr>
              <w:t>Hypotheses about factors or risks that could affect the progress or success of an investment.</w:t>
            </w:r>
          </w:p>
        </w:tc>
      </w:tr>
      <w:tr w:rsidR="0073185E" w:rsidRPr="009423B7" w14:paraId="685FDD5C" w14:textId="77777777" w:rsidTr="2338B082">
        <w:tc>
          <w:tcPr>
            <w:tcW w:w="2127" w:type="dxa"/>
            <w:vAlign w:val="center"/>
          </w:tcPr>
          <w:p w14:paraId="288546A2" w14:textId="77777777" w:rsidR="00801DAA" w:rsidRPr="009423B7" w:rsidRDefault="00801DAA" w:rsidP="00801DAA">
            <w:pPr>
              <w:pStyle w:val="TableText"/>
              <w:rPr>
                <w:rFonts w:ascii="Arial" w:hAnsi="Arial" w:cs="Arial"/>
                <w:b/>
                <w:bCs/>
                <w:sz w:val="22"/>
                <w:szCs w:val="22"/>
              </w:rPr>
            </w:pPr>
            <w:r w:rsidRPr="009423B7">
              <w:rPr>
                <w:rFonts w:ascii="Arial" w:hAnsi="Arial" w:cs="Arial"/>
                <w:b/>
                <w:bCs/>
                <w:sz w:val="22"/>
                <w:szCs w:val="22"/>
              </w:rPr>
              <w:t>Baseline study</w:t>
            </w:r>
          </w:p>
        </w:tc>
        <w:tc>
          <w:tcPr>
            <w:tcW w:w="8363" w:type="dxa"/>
            <w:vAlign w:val="center"/>
          </w:tcPr>
          <w:p w14:paraId="1BF385C7" w14:textId="517DE2D4" w:rsidR="00801DAA" w:rsidRPr="009423B7" w:rsidRDefault="00801DAA" w:rsidP="00801DAA">
            <w:pPr>
              <w:pStyle w:val="BodyText"/>
              <w:rPr>
                <w:rFonts w:ascii="Arial" w:hAnsi="Arial" w:cs="Arial"/>
                <w:sz w:val="22"/>
                <w:szCs w:val="22"/>
              </w:rPr>
            </w:pPr>
            <w:r w:rsidRPr="009423B7">
              <w:rPr>
                <w:rFonts w:ascii="Arial" w:hAnsi="Arial" w:cs="Arial"/>
                <w:sz w:val="22"/>
                <w:szCs w:val="22"/>
              </w:rPr>
              <w:t>An analysis describing the situation before a</w:t>
            </w:r>
            <w:r w:rsidR="00793012">
              <w:rPr>
                <w:rFonts w:ascii="Arial" w:hAnsi="Arial" w:cs="Arial"/>
                <w:sz w:val="22"/>
                <w:szCs w:val="22"/>
              </w:rPr>
              <w:t>n investment</w:t>
            </w:r>
            <w:r w:rsidRPr="009423B7">
              <w:rPr>
                <w:rFonts w:ascii="Arial" w:hAnsi="Arial" w:cs="Arial"/>
                <w:sz w:val="22"/>
                <w:szCs w:val="22"/>
              </w:rPr>
              <w:t>, against which progress can be assessed or comparisons made.</w:t>
            </w:r>
          </w:p>
        </w:tc>
      </w:tr>
      <w:tr w:rsidR="00682E69" w:rsidRPr="00682E69" w14:paraId="675A045B" w14:textId="77777777" w:rsidTr="2338B082">
        <w:tc>
          <w:tcPr>
            <w:tcW w:w="2127" w:type="dxa"/>
            <w:vAlign w:val="center"/>
          </w:tcPr>
          <w:p w14:paraId="01E29CDB" w14:textId="5A0772A1" w:rsidR="00682E69" w:rsidRPr="008D0F9A" w:rsidRDefault="00682E69" w:rsidP="00682E69">
            <w:pPr>
              <w:pStyle w:val="TableText"/>
              <w:rPr>
                <w:rFonts w:ascii="Arial" w:hAnsi="Arial" w:cs="Arial"/>
                <w:b/>
                <w:bCs/>
                <w:sz w:val="22"/>
                <w:szCs w:val="22"/>
              </w:rPr>
            </w:pPr>
            <w:r w:rsidRPr="00314B03">
              <w:rPr>
                <w:rFonts w:ascii="Arial" w:hAnsi="Arial" w:cs="Arial"/>
                <w:b/>
                <w:bCs/>
                <w:sz w:val="22"/>
                <w:szCs w:val="22"/>
              </w:rPr>
              <w:t>Contract (procurement contract)</w:t>
            </w:r>
          </w:p>
        </w:tc>
        <w:tc>
          <w:tcPr>
            <w:tcW w:w="8363" w:type="dxa"/>
            <w:vAlign w:val="center"/>
          </w:tcPr>
          <w:p w14:paraId="6DA829D7" w14:textId="329D2FD0" w:rsidR="00682E69" w:rsidRPr="008D0F9A" w:rsidRDefault="00682E69" w:rsidP="00682E69">
            <w:pPr>
              <w:pStyle w:val="BodyText"/>
              <w:rPr>
                <w:rFonts w:ascii="Arial" w:hAnsi="Arial" w:cs="Arial"/>
                <w:sz w:val="22"/>
                <w:szCs w:val="22"/>
              </w:rPr>
            </w:pPr>
            <w:r w:rsidRPr="008D0F9A">
              <w:rPr>
                <w:rFonts w:ascii="Arial" w:hAnsi="Arial" w:cs="Arial"/>
                <w:sz w:val="22"/>
                <w:szCs w:val="22"/>
              </w:rPr>
              <w:t xml:space="preserve">A form of investment agreement. See </w:t>
            </w:r>
            <w:hyperlink r:id="rId10" w:history="1">
              <w:r w:rsidRPr="008D0F9A">
                <w:rPr>
                  <w:rStyle w:val="Hyperlink"/>
                  <w:rFonts w:ascii="Arial" w:hAnsi="Arial" w:cs="Arial"/>
                  <w:sz w:val="22"/>
                  <w:szCs w:val="22"/>
                </w:rPr>
                <w:t>Section 5.3</w:t>
              </w:r>
            </w:hyperlink>
            <w:r w:rsidRPr="008D0F9A">
              <w:rPr>
                <w:rFonts w:ascii="Arial" w:hAnsi="Arial" w:cs="Arial"/>
                <w:sz w:val="22"/>
                <w:szCs w:val="22"/>
              </w:rPr>
              <w:t xml:space="preserve"> of the </w:t>
            </w:r>
            <w:r w:rsidR="00E80275">
              <w:rPr>
                <w:rFonts w:ascii="Arial" w:hAnsi="Arial" w:cs="Arial"/>
                <w:sz w:val="22"/>
                <w:szCs w:val="22"/>
              </w:rPr>
              <w:t>International Development</w:t>
            </w:r>
            <w:r w:rsidRPr="008D0F9A">
              <w:rPr>
                <w:rFonts w:ascii="Arial" w:hAnsi="Arial" w:cs="Arial"/>
                <w:sz w:val="22"/>
                <w:szCs w:val="22"/>
              </w:rPr>
              <w:t xml:space="preserve"> Programming Guide for a full definition.</w:t>
            </w:r>
          </w:p>
        </w:tc>
      </w:tr>
      <w:tr w:rsidR="00682E69" w:rsidRPr="009423B7" w14:paraId="05D58F53" w14:textId="77777777" w:rsidTr="2338B082">
        <w:tc>
          <w:tcPr>
            <w:tcW w:w="2127" w:type="dxa"/>
            <w:vAlign w:val="center"/>
          </w:tcPr>
          <w:p w14:paraId="4CB25FDA" w14:textId="3CAD94C6" w:rsidR="00682E69" w:rsidRPr="008D0F9A" w:rsidRDefault="00682E69" w:rsidP="00682E69">
            <w:pPr>
              <w:pStyle w:val="TableText"/>
              <w:rPr>
                <w:rFonts w:ascii="Arial" w:hAnsi="Arial" w:cs="Arial"/>
                <w:b/>
                <w:bCs/>
                <w:sz w:val="22"/>
                <w:szCs w:val="22"/>
              </w:rPr>
            </w:pPr>
            <w:r w:rsidRPr="008D0F9A">
              <w:rPr>
                <w:rFonts w:ascii="Arial" w:hAnsi="Arial" w:cs="Arial"/>
                <w:b/>
                <w:bCs/>
                <w:sz w:val="22"/>
                <w:szCs w:val="22"/>
              </w:rPr>
              <w:t>Contribution (grant like arrangement)</w:t>
            </w:r>
          </w:p>
        </w:tc>
        <w:tc>
          <w:tcPr>
            <w:tcW w:w="8363" w:type="dxa"/>
            <w:vAlign w:val="center"/>
          </w:tcPr>
          <w:p w14:paraId="72140A21" w14:textId="6B4AB703" w:rsidR="00682E69" w:rsidRPr="008D0F9A" w:rsidRDefault="00682E69" w:rsidP="00682E69">
            <w:pPr>
              <w:pStyle w:val="BodyText"/>
              <w:rPr>
                <w:rFonts w:ascii="Arial" w:hAnsi="Arial" w:cs="Arial"/>
                <w:sz w:val="22"/>
                <w:szCs w:val="22"/>
              </w:rPr>
            </w:pPr>
            <w:r w:rsidRPr="008D0F9A">
              <w:rPr>
                <w:rFonts w:ascii="Arial" w:hAnsi="Arial" w:cs="Arial"/>
                <w:sz w:val="22"/>
                <w:szCs w:val="22"/>
              </w:rPr>
              <w:t xml:space="preserve">A form of investment agreement. See </w:t>
            </w:r>
            <w:hyperlink r:id="rId11" w:history="1">
              <w:r w:rsidR="00314B03" w:rsidRPr="009F5922">
                <w:rPr>
                  <w:rStyle w:val="Hyperlink"/>
                  <w:rFonts w:ascii="Arial" w:hAnsi="Arial" w:cs="Arial"/>
                  <w:sz w:val="22"/>
                  <w:szCs w:val="22"/>
                </w:rPr>
                <w:t>Section 5.3</w:t>
              </w:r>
            </w:hyperlink>
            <w:r w:rsidR="00314B03" w:rsidRPr="009F5922">
              <w:rPr>
                <w:rFonts w:ascii="Arial" w:hAnsi="Arial" w:cs="Arial"/>
                <w:sz w:val="22"/>
                <w:szCs w:val="22"/>
              </w:rPr>
              <w:t xml:space="preserve"> of the </w:t>
            </w:r>
            <w:r w:rsidR="00E80275">
              <w:rPr>
                <w:rFonts w:ascii="Arial" w:hAnsi="Arial" w:cs="Arial"/>
                <w:sz w:val="22"/>
                <w:szCs w:val="22"/>
              </w:rPr>
              <w:t>International Development</w:t>
            </w:r>
            <w:r w:rsidR="00E80275" w:rsidRPr="008D0F9A">
              <w:rPr>
                <w:rFonts w:ascii="Arial" w:hAnsi="Arial" w:cs="Arial"/>
                <w:sz w:val="22"/>
                <w:szCs w:val="22"/>
              </w:rPr>
              <w:t xml:space="preserve"> </w:t>
            </w:r>
            <w:r w:rsidR="00314B03" w:rsidRPr="009F5922">
              <w:rPr>
                <w:rFonts w:ascii="Arial" w:hAnsi="Arial" w:cs="Arial"/>
                <w:sz w:val="22"/>
                <w:szCs w:val="22"/>
              </w:rPr>
              <w:t>Programming Guide</w:t>
            </w:r>
            <w:r w:rsidRPr="008D0F9A">
              <w:rPr>
                <w:rFonts w:ascii="Arial" w:hAnsi="Arial" w:cs="Arial"/>
                <w:sz w:val="22"/>
                <w:szCs w:val="22"/>
              </w:rPr>
              <w:t xml:space="preserve"> for a full definition.</w:t>
            </w:r>
          </w:p>
        </w:tc>
      </w:tr>
      <w:tr w:rsidR="00682E69" w:rsidRPr="009423B7" w14:paraId="1B2A1F14" w14:textId="77777777" w:rsidTr="2338B082">
        <w:tc>
          <w:tcPr>
            <w:tcW w:w="2127" w:type="dxa"/>
            <w:vAlign w:val="center"/>
          </w:tcPr>
          <w:p w14:paraId="6065F100"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Cross-cutting</w:t>
            </w:r>
          </w:p>
        </w:tc>
        <w:tc>
          <w:tcPr>
            <w:tcW w:w="8363" w:type="dxa"/>
            <w:vAlign w:val="center"/>
          </w:tcPr>
          <w:p w14:paraId="41DB7527" w14:textId="5B0794AB" w:rsidR="00682E69" w:rsidRPr="009423B7" w:rsidRDefault="00682E69" w:rsidP="00682E69">
            <w:pPr>
              <w:pStyle w:val="BodyText"/>
              <w:rPr>
                <w:rFonts w:ascii="Arial" w:hAnsi="Arial" w:cs="Arial"/>
                <w:sz w:val="22"/>
                <w:szCs w:val="22"/>
              </w:rPr>
            </w:pPr>
            <w:r w:rsidRPr="009423B7">
              <w:rPr>
                <w:rFonts w:ascii="Arial" w:hAnsi="Arial" w:cs="Arial"/>
                <w:sz w:val="22"/>
                <w:szCs w:val="22"/>
              </w:rPr>
              <w:t>Cross-cutting issues are matters to be considered throughout the</w:t>
            </w:r>
            <w:r>
              <w:rPr>
                <w:rFonts w:ascii="Arial" w:hAnsi="Arial" w:cs="Arial"/>
                <w:sz w:val="22"/>
                <w:szCs w:val="22"/>
              </w:rPr>
              <w:t xml:space="preserve"> development program</w:t>
            </w:r>
            <w:r w:rsidRPr="009423B7">
              <w:rPr>
                <w:rFonts w:ascii="Arial" w:hAnsi="Arial" w:cs="Arial"/>
                <w:sz w:val="22"/>
                <w:szCs w:val="22"/>
              </w:rPr>
              <w:t xml:space="preserve"> management cycle. Examples include gender equality, disability-inclusive development, </w:t>
            </w:r>
            <w:r w:rsidR="00FB629E">
              <w:rPr>
                <w:rFonts w:ascii="Arial" w:hAnsi="Arial" w:cs="Arial"/>
                <w:sz w:val="22"/>
                <w:szCs w:val="22"/>
              </w:rPr>
              <w:t>First Nations and indigenous</w:t>
            </w:r>
            <w:r w:rsidRPr="009423B7">
              <w:rPr>
                <w:rFonts w:ascii="Arial" w:hAnsi="Arial" w:cs="Arial"/>
                <w:sz w:val="22"/>
                <w:szCs w:val="22"/>
              </w:rPr>
              <w:t xml:space="preserve"> peoples</w:t>
            </w:r>
            <w:r w:rsidR="00FB629E">
              <w:rPr>
                <w:rFonts w:ascii="Arial" w:hAnsi="Arial" w:cs="Arial"/>
                <w:sz w:val="22"/>
                <w:szCs w:val="22"/>
              </w:rPr>
              <w:t>,</w:t>
            </w:r>
            <w:r w:rsidRPr="009423B7">
              <w:rPr>
                <w:rFonts w:ascii="Arial" w:hAnsi="Arial" w:cs="Arial"/>
                <w:sz w:val="22"/>
                <w:szCs w:val="22"/>
              </w:rPr>
              <w:t xml:space="preserve"> and climate change.</w:t>
            </w:r>
          </w:p>
        </w:tc>
      </w:tr>
      <w:tr w:rsidR="007752E0" w:rsidRPr="00C02481" w14:paraId="748FFD83" w14:textId="77777777" w:rsidTr="2338B082">
        <w:tc>
          <w:tcPr>
            <w:tcW w:w="2127" w:type="dxa"/>
            <w:tcBorders>
              <w:top w:val="single" w:sz="4" w:space="0" w:color="auto"/>
              <w:left w:val="single" w:sz="4" w:space="0" w:color="auto"/>
              <w:bottom w:val="single" w:sz="4" w:space="0" w:color="auto"/>
              <w:right w:val="single" w:sz="4" w:space="0" w:color="auto"/>
            </w:tcBorders>
          </w:tcPr>
          <w:p w14:paraId="4141489A" w14:textId="4271E2A1" w:rsidR="007752E0" w:rsidRPr="003634FD" w:rsidRDefault="007752E0" w:rsidP="00C02481">
            <w:pPr>
              <w:pStyle w:val="BodyText"/>
              <w:rPr>
                <w:rFonts w:ascii="Arial" w:hAnsi="Arial" w:cs="Arial"/>
                <w:b/>
                <w:bCs/>
                <w:sz w:val="22"/>
                <w:szCs w:val="22"/>
              </w:rPr>
            </w:pPr>
            <w:r w:rsidRPr="003634FD">
              <w:rPr>
                <w:rFonts w:ascii="Arial" w:hAnsi="Arial" w:cs="Arial"/>
                <w:b/>
                <w:bCs/>
                <w:sz w:val="22"/>
                <w:szCs w:val="22"/>
              </w:rPr>
              <w:t>Development Partnership Plans</w:t>
            </w:r>
          </w:p>
        </w:tc>
        <w:tc>
          <w:tcPr>
            <w:tcW w:w="8363" w:type="dxa"/>
            <w:tcBorders>
              <w:top w:val="single" w:sz="4" w:space="0" w:color="auto"/>
              <w:left w:val="single" w:sz="4" w:space="0" w:color="auto"/>
              <w:bottom w:val="single" w:sz="4" w:space="0" w:color="auto"/>
              <w:right w:val="single" w:sz="4" w:space="0" w:color="auto"/>
            </w:tcBorders>
          </w:tcPr>
          <w:p w14:paraId="008B217A" w14:textId="26CE892D" w:rsidR="007752E0" w:rsidRPr="008D0F9A" w:rsidRDefault="0F972A01" w:rsidP="008D0F9A">
            <w:pPr>
              <w:pStyle w:val="BodyText"/>
              <w:rPr>
                <w:rFonts w:ascii="Arial" w:hAnsi="Arial" w:cs="Arial"/>
                <w:sz w:val="22"/>
                <w:szCs w:val="22"/>
              </w:rPr>
            </w:pPr>
            <w:r w:rsidRPr="00C02481">
              <w:rPr>
                <w:rFonts w:ascii="Arial" w:hAnsi="Arial" w:cs="Arial"/>
                <w:sz w:val="22"/>
                <w:szCs w:val="22"/>
              </w:rPr>
              <w:t>Development Partnership Plans (DPPs) are regional</w:t>
            </w:r>
            <w:r w:rsidR="3EC6E5E7" w:rsidRPr="00C02481">
              <w:rPr>
                <w:rFonts w:ascii="Arial" w:hAnsi="Arial" w:cs="Arial"/>
                <w:sz w:val="22"/>
                <w:szCs w:val="22"/>
              </w:rPr>
              <w:t>/country program planning tools for</w:t>
            </w:r>
            <w:r w:rsidRPr="00C02481">
              <w:rPr>
                <w:rFonts w:ascii="Arial" w:hAnsi="Arial" w:cs="Arial"/>
                <w:sz w:val="22"/>
                <w:szCs w:val="22"/>
              </w:rPr>
              <w:t xml:space="preserve"> the Performance and Delivery Framework</w:t>
            </w:r>
            <w:r w:rsidR="008D0F9A">
              <w:rPr>
                <w:rFonts w:ascii="Arial" w:hAnsi="Arial" w:cs="Arial"/>
                <w:sz w:val="22"/>
                <w:szCs w:val="22"/>
              </w:rPr>
              <w:t>,</w:t>
            </w:r>
            <w:r w:rsidRPr="00C02481">
              <w:rPr>
                <w:rFonts w:ascii="Arial" w:hAnsi="Arial" w:cs="Arial"/>
                <w:sz w:val="22"/>
                <w:szCs w:val="22"/>
              </w:rPr>
              <w:t xml:space="preserve"> </w:t>
            </w:r>
            <w:r w:rsidR="5665E067" w:rsidRPr="00C02481">
              <w:rPr>
                <w:rFonts w:ascii="Arial" w:hAnsi="Arial" w:cs="Arial"/>
                <w:sz w:val="22"/>
                <w:szCs w:val="22"/>
              </w:rPr>
              <w:t xml:space="preserve">used to </w:t>
            </w:r>
            <w:r w:rsidRPr="00C02481">
              <w:rPr>
                <w:rFonts w:ascii="Arial" w:hAnsi="Arial" w:cs="Arial"/>
                <w:sz w:val="22"/>
                <w:szCs w:val="22"/>
              </w:rPr>
              <w:t xml:space="preserve">deliver on the priorities of </w:t>
            </w:r>
            <w:r w:rsidR="0A95326C" w:rsidRPr="00C02481">
              <w:rPr>
                <w:rFonts w:ascii="Arial" w:hAnsi="Arial" w:cs="Arial"/>
                <w:sz w:val="22"/>
                <w:szCs w:val="22"/>
              </w:rPr>
              <w:t xml:space="preserve">the </w:t>
            </w:r>
            <w:r w:rsidRPr="00C02481">
              <w:rPr>
                <w:rFonts w:ascii="Arial" w:hAnsi="Arial" w:cs="Arial"/>
                <w:sz w:val="22"/>
                <w:szCs w:val="22"/>
              </w:rPr>
              <w:t>international development policy, including the Government's partnering objectives.</w:t>
            </w:r>
            <w:r w:rsidR="68913F4F" w:rsidRPr="00C02481">
              <w:rPr>
                <w:rFonts w:ascii="Arial" w:hAnsi="Arial" w:cs="Arial"/>
                <w:sz w:val="22"/>
                <w:szCs w:val="22"/>
              </w:rPr>
              <w:t xml:space="preserve"> </w:t>
            </w:r>
          </w:p>
        </w:tc>
      </w:tr>
      <w:tr w:rsidR="00682E69" w:rsidRPr="009423B7" w14:paraId="3D2F27BF" w14:textId="77777777" w:rsidTr="2338B082">
        <w:tc>
          <w:tcPr>
            <w:tcW w:w="2127" w:type="dxa"/>
            <w:vAlign w:val="center"/>
          </w:tcPr>
          <w:p w14:paraId="0E21C529" w14:textId="607F29F6" w:rsidR="00682E69" w:rsidRPr="009423B7" w:rsidRDefault="00682E69" w:rsidP="00682E69">
            <w:pPr>
              <w:pStyle w:val="TableText"/>
              <w:rPr>
                <w:rFonts w:ascii="Arial" w:hAnsi="Arial" w:cs="Arial"/>
                <w:b/>
                <w:bCs/>
                <w:sz w:val="22"/>
                <w:szCs w:val="22"/>
              </w:rPr>
            </w:pPr>
            <w:r>
              <w:rPr>
                <w:rFonts w:ascii="Arial" w:hAnsi="Arial" w:cs="Arial"/>
                <w:b/>
                <w:bCs/>
                <w:sz w:val="22"/>
                <w:szCs w:val="22"/>
              </w:rPr>
              <w:t>Development Program</w:t>
            </w:r>
            <w:r w:rsidRPr="009423B7">
              <w:rPr>
                <w:rFonts w:ascii="Arial" w:hAnsi="Arial" w:cs="Arial"/>
                <w:b/>
                <w:bCs/>
                <w:sz w:val="22"/>
                <w:szCs w:val="22"/>
              </w:rPr>
              <w:t xml:space="preserve"> Management Cycle </w:t>
            </w:r>
          </w:p>
        </w:tc>
        <w:tc>
          <w:tcPr>
            <w:tcW w:w="8363" w:type="dxa"/>
            <w:vAlign w:val="center"/>
          </w:tcPr>
          <w:p w14:paraId="40955D75" w14:textId="3FB2E847"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management of a development program follows a defined process known as the </w:t>
            </w:r>
            <w:r>
              <w:rPr>
                <w:rFonts w:ascii="Arial" w:hAnsi="Arial" w:cs="Arial"/>
                <w:sz w:val="22"/>
                <w:szCs w:val="22"/>
              </w:rPr>
              <w:t>Development Program</w:t>
            </w:r>
            <w:r w:rsidRPr="009423B7">
              <w:rPr>
                <w:rFonts w:ascii="Arial" w:hAnsi="Arial" w:cs="Arial"/>
                <w:sz w:val="22"/>
                <w:szCs w:val="22"/>
              </w:rPr>
              <w:t xml:space="preserve"> Management Cycle. The development and delivery of individual investments move through a </w:t>
            </w:r>
            <w:r w:rsidR="008D0F9A" w:rsidRPr="009423B7">
              <w:rPr>
                <w:rFonts w:ascii="Arial" w:hAnsi="Arial" w:cs="Arial"/>
                <w:sz w:val="22"/>
                <w:szCs w:val="22"/>
              </w:rPr>
              <w:t>life cycle</w:t>
            </w:r>
            <w:r w:rsidRPr="009423B7">
              <w:rPr>
                <w:rFonts w:ascii="Arial" w:hAnsi="Arial" w:cs="Arial"/>
                <w:sz w:val="22"/>
                <w:szCs w:val="22"/>
              </w:rPr>
              <w:t xml:space="preserve"> with a start, middle and end. Lessons learned from implementation and evaluations feed back into identifying and preparing new investments and so support continuous improvement. </w:t>
            </w:r>
          </w:p>
        </w:tc>
      </w:tr>
      <w:tr w:rsidR="00111E55" w:rsidRPr="009423B7" w14:paraId="69409AED" w14:textId="77777777" w:rsidTr="2338B082">
        <w:tc>
          <w:tcPr>
            <w:tcW w:w="2127" w:type="dxa"/>
            <w:vAlign w:val="center"/>
          </w:tcPr>
          <w:p w14:paraId="19F3BC86" w14:textId="5C801B7A" w:rsidR="00111E55" w:rsidRPr="009423B7" w:rsidRDefault="00111E55" w:rsidP="00682E69">
            <w:pPr>
              <w:pStyle w:val="TableText"/>
              <w:rPr>
                <w:rFonts w:ascii="Arial" w:hAnsi="Arial" w:cs="Arial"/>
                <w:b/>
                <w:bCs/>
                <w:sz w:val="22"/>
                <w:szCs w:val="22"/>
              </w:rPr>
            </w:pPr>
            <w:r>
              <w:rPr>
                <w:rFonts w:ascii="Arial" w:hAnsi="Arial" w:cs="Arial"/>
                <w:b/>
                <w:bCs/>
                <w:sz w:val="22"/>
                <w:szCs w:val="22"/>
              </w:rPr>
              <w:lastRenderedPageBreak/>
              <w:t>Economical</w:t>
            </w:r>
          </w:p>
        </w:tc>
        <w:tc>
          <w:tcPr>
            <w:tcW w:w="8363" w:type="dxa"/>
            <w:vAlign w:val="center"/>
          </w:tcPr>
          <w:p w14:paraId="36941043" w14:textId="6EC25AFE" w:rsidR="00111E55" w:rsidRPr="009423B7" w:rsidRDefault="00111E55" w:rsidP="00682E69">
            <w:pPr>
              <w:pStyle w:val="BodyText"/>
              <w:rPr>
                <w:rFonts w:ascii="Arial" w:hAnsi="Arial" w:cs="Arial"/>
                <w:sz w:val="22"/>
                <w:szCs w:val="22"/>
              </w:rPr>
            </w:pPr>
            <w:r w:rsidRPr="001124CB">
              <w:rPr>
                <w:rFonts w:ascii="Arial" w:hAnsi="Arial" w:cs="Arial"/>
                <w:sz w:val="22"/>
                <w:szCs w:val="22"/>
              </w:rPr>
              <w:t xml:space="preserve">The extent to which the proposed use </w:t>
            </w:r>
            <w:r w:rsidR="00AF1AB7">
              <w:rPr>
                <w:rFonts w:ascii="Arial" w:hAnsi="Arial" w:cs="Arial"/>
                <w:sz w:val="22"/>
                <w:szCs w:val="22"/>
              </w:rPr>
              <w:t xml:space="preserve">of Commonwealth resources </w:t>
            </w:r>
            <w:r w:rsidRPr="001124CB">
              <w:rPr>
                <w:rFonts w:ascii="Arial" w:hAnsi="Arial" w:cs="Arial"/>
                <w:sz w:val="22"/>
                <w:szCs w:val="22"/>
              </w:rPr>
              <w:t xml:space="preserve">avoids waste and sharpens the focus on the level of resources that the Commonwealth applies to deliver results. This generally relates to approving the best cost option to deliver the expected results. </w:t>
            </w:r>
            <w:proofErr w:type="spellStart"/>
            <w:r w:rsidRPr="001124CB">
              <w:rPr>
                <w:rFonts w:ascii="Arial" w:hAnsi="Arial" w:cs="Arial"/>
                <w:sz w:val="22"/>
                <w:szCs w:val="22"/>
              </w:rPr>
              <w:t>Economical</w:t>
            </w:r>
            <w:proofErr w:type="spellEnd"/>
            <w:r w:rsidRPr="001124CB">
              <w:rPr>
                <w:rFonts w:ascii="Arial" w:hAnsi="Arial" w:cs="Arial"/>
                <w:sz w:val="22"/>
                <w:szCs w:val="22"/>
              </w:rPr>
              <w:t xml:space="preserve"> considerations must be balanced with whether the use will also be efficient, </w:t>
            </w:r>
            <w:proofErr w:type="gramStart"/>
            <w:r w:rsidRPr="001124CB">
              <w:rPr>
                <w:rFonts w:ascii="Arial" w:hAnsi="Arial" w:cs="Arial"/>
                <w:sz w:val="22"/>
                <w:szCs w:val="22"/>
              </w:rPr>
              <w:t>effective</w:t>
            </w:r>
            <w:proofErr w:type="gramEnd"/>
            <w:r w:rsidRPr="001124CB">
              <w:rPr>
                <w:rFonts w:ascii="Arial" w:hAnsi="Arial" w:cs="Arial"/>
                <w:sz w:val="22"/>
                <w:szCs w:val="22"/>
              </w:rPr>
              <w:t xml:space="preserve"> and ethical. </w:t>
            </w:r>
            <w:r w:rsidRPr="001124CB">
              <w:rPr>
                <w:rFonts w:ascii="Arial" w:hAnsi="Arial" w:cs="Arial"/>
                <w:i/>
                <w:iCs/>
                <w:sz w:val="22"/>
                <w:szCs w:val="22"/>
              </w:rPr>
              <w:t>(</w:t>
            </w:r>
            <w:proofErr w:type="gramStart"/>
            <w:r w:rsidR="001E40A1">
              <w:rPr>
                <w:rFonts w:ascii="Arial" w:hAnsi="Arial" w:cs="Arial"/>
                <w:i/>
                <w:iCs/>
                <w:sz w:val="22"/>
                <w:szCs w:val="22"/>
              </w:rPr>
              <w:t>via</w:t>
            </w:r>
            <w:proofErr w:type="gramEnd"/>
            <w:r w:rsidR="00465E1E">
              <w:rPr>
                <w:rFonts w:ascii="Arial" w:hAnsi="Arial" w:cs="Arial"/>
                <w:i/>
                <w:iCs/>
                <w:sz w:val="22"/>
                <w:szCs w:val="22"/>
              </w:rPr>
              <w:t xml:space="preserve"> </w:t>
            </w:r>
            <w:r w:rsidR="00465E1E" w:rsidRPr="00346958">
              <w:rPr>
                <w:rFonts w:ascii="Arial" w:hAnsi="Arial" w:cs="Arial"/>
                <w:i/>
                <w:iCs/>
                <w:sz w:val="22"/>
                <w:szCs w:val="22"/>
              </w:rPr>
              <w:t>Department of Finance</w:t>
            </w:r>
            <w:r w:rsidR="00465E1E">
              <w:rPr>
                <w:rFonts w:ascii="Arial" w:hAnsi="Arial" w:cs="Arial"/>
                <w:i/>
                <w:iCs/>
                <w:sz w:val="22"/>
                <w:szCs w:val="22"/>
              </w:rPr>
              <w:t xml:space="preserve"> -</w:t>
            </w:r>
            <w:r w:rsidR="001E40A1">
              <w:rPr>
                <w:rFonts w:ascii="Arial" w:hAnsi="Arial" w:cs="Arial"/>
                <w:i/>
                <w:iCs/>
                <w:sz w:val="22"/>
                <w:szCs w:val="22"/>
              </w:rPr>
              <w:t xml:space="preserve"> </w:t>
            </w:r>
            <w:hyperlink r:id="rId12" w:history="1">
              <w:r w:rsidRPr="001124CB">
                <w:rPr>
                  <w:rStyle w:val="Hyperlink"/>
                  <w:rFonts w:ascii="Arial" w:hAnsi="Arial" w:cs="Arial"/>
                  <w:i/>
                  <w:iCs/>
                  <w:sz w:val="22"/>
                  <w:szCs w:val="22"/>
                </w:rPr>
                <w:t>PGPA Glossary</w:t>
              </w:r>
            </w:hyperlink>
            <w:r w:rsidRPr="001124CB">
              <w:rPr>
                <w:rFonts w:ascii="Arial" w:hAnsi="Arial" w:cs="Arial"/>
                <w:i/>
                <w:iCs/>
                <w:sz w:val="22"/>
                <w:szCs w:val="22"/>
              </w:rPr>
              <w:t>)</w:t>
            </w:r>
          </w:p>
        </w:tc>
      </w:tr>
      <w:tr w:rsidR="00682E69" w:rsidRPr="009423B7" w14:paraId="0B3474B5" w14:textId="77777777" w:rsidTr="2338B082">
        <w:tc>
          <w:tcPr>
            <w:tcW w:w="2127" w:type="dxa"/>
            <w:vAlign w:val="center"/>
          </w:tcPr>
          <w:p w14:paraId="39F707C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Effectiveness</w:t>
            </w:r>
          </w:p>
        </w:tc>
        <w:tc>
          <w:tcPr>
            <w:tcW w:w="8363" w:type="dxa"/>
            <w:vAlign w:val="center"/>
          </w:tcPr>
          <w:p w14:paraId="54F30C87" w14:textId="74ADC249" w:rsidR="00211185" w:rsidRPr="009423B7" w:rsidRDefault="00682E69" w:rsidP="00211185">
            <w:pPr>
              <w:pStyle w:val="BodyText"/>
              <w:rPr>
                <w:rFonts w:ascii="Arial" w:hAnsi="Arial" w:cs="Arial"/>
                <w:sz w:val="22"/>
                <w:szCs w:val="22"/>
              </w:rPr>
            </w:pPr>
            <w:r w:rsidRPr="009423B7">
              <w:rPr>
                <w:rFonts w:ascii="Arial" w:hAnsi="Arial" w:cs="Arial"/>
                <w:sz w:val="22"/>
                <w:szCs w:val="22"/>
              </w:rPr>
              <w:t>The extent to which an investment or a program’s outcomes and objectives were achieved, relative to progress expected.</w:t>
            </w:r>
            <w:r w:rsidR="00211185" w:rsidRPr="001124CB">
              <w:rPr>
                <w:rFonts w:ascii="Arial" w:hAnsi="Arial" w:cs="Arial"/>
                <w:sz w:val="22"/>
                <w:szCs w:val="22"/>
              </w:rPr>
              <w:t xml:space="preserve"> Effectiveness considerations must be balanced with whether the use of Commonwealth resources will also be efficient, </w:t>
            </w:r>
            <w:proofErr w:type="gramStart"/>
            <w:r w:rsidR="00211185" w:rsidRPr="001124CB">
              <w:rPr>
                <w:rFonts w:ascii="Arial" w:hAnsi="Arial" w:cs="Arial"/>
                <w:sz w:val="22"/>
                <w:szCs w:val="22"/>
              </w:rPr>
              <w:t>economical</w:t>
            </w:r>
            <w:proofErr w:type="gramEnd"/>
            <w:r w:rsidR="00211185" w:rsidRPr="001124CB">
              <w:rPr>
                <w:rFonts w:ascii="Arial" w:hAnsi="Arial" w:cs="Arial"/>
                <w:sz w:val="22"/>
                <w:szCs w:val="22"/>
              </w:rPr>
              <w:t xml:space="preserve"> and ethical.</w:t>
            </w:r>
          </w:p>
        </w:tc>
      </w:tr>
      <w:tr w:rsidR="00682E69" w:rsidRPr="009423B7" w14:paraId="50DDFA5B" w14:textId="77777777" w:rsidTr="2338B082">
        <w:tc>
          <w:tcPr>
            <w:tcW w:w="2127" w:type="dxa"/>
            <w:vAlign w:val="center"/>
          </w:tcPr>
          <w:p w14:paraId="766DF92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Efficiency</w:t>
            </w:r>
          </w:p>
        </w:tc>
        <w:tc>
          <w:tcPr>
            <w:tcW w:w="8363" w:type="dxa"/>
            <w:vAlign w:val="center"/>
          </w:tcPr>
          <w:p w14:paraId="73FD20BD" w14:textId="29A670E1"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A measure of how well resources (for example, funds, </w:t>
            </w:r>
            <w:proofErr w:type="gramStart"/>
            <w:r w:rsidRPr="009423B7">
              <w:rPr>
                <w:rFonts w:ascii="Arial" w:hAnsi="Arial" w:cs="Arial"/>
                <w:sz w:val="22"/>
                <w:szCs w:val="22"/>
              </w:rPr>
              <w:t>expertise</w:t>
            </w:r>
            <w:proofErr w:type="gramEnd"/>
            <w:r w:rsidRPr="009423B7">
              <w:rPr>
                <w:rFonts w:ascii="Arial" w:hAnsi="Arial" w:cs="Arial"/>
                <w:sz w:val="22"/>
                <w:szCs w:val="22"/>
              </w:rPr>
              <w:t xml:space="preserve"> and time) </w:t>
            </w:r>
            <w:r w:rsidR="00432C78" w:rsidRPr="001124CB">
              <w:rPr>
                <w:rFonts w:ascii="Arial" w:hAnsi="Arial" w:cs="Arial"/>
                <w:sz w:val="22"/>
                <w:szCs w:val="22"/>
              </w:rPr>
              <w:t xml:space="preserve">are minimised for a given level of activity outputs, or the extent to which outputs are maximised for a given level of inputs. Efficiency considerations must be balanced with whether the use </w:t>
            </w:r>
            <w:r w:rsidR="00A44CFE" w:rsidRPr="00346958">
              <w:rPr>
                <w:rFonts w:ascii="Arial" w:hAnsi="Arial" w:cs="Arial"/>
                <w:sz w:val="22"/>
                <w:szCs w:val="22"/>
              </w:rPr>
              <w:t xml:space="preserve">of Commonwealth resources </w:t>
            </w:r>
            <w:r w:rsidR="00432C78" w:rsidRPr="001124CB">
              <w:rPr>
                <w:rFonts w:ascii="Arial" w:hAnsi="Arial" w:cs="Arial"/>
                <w:sz w:val="22"/>
                <w:szCs w:val="22"/>
              </w:rPr>
              <w:t xml:space="preserve">will also be effective, </w:t>
            </w:r>
            <w:proofErr w:type="gramStart"/>
            <w:r w:rsidR="00432C78" w:rsidRPr="001124CB">
              <w:rPr>
                <w:rFonts w:ascii="Arial" w:hAnsi="Arial" w:cs="Arial"/>
                <w:sz w:val="22"/>
                <w:szCs w:val="22"/>
              </w:rPr>
              <w:t>economical</w:t>
            </w:r>
            <w:proofErr w:type="gramEnd"/>
            <w:r w:rsidR="00432C78" w:rsidRPr="001124CB">
              <w:rPr>
                <w:rFonts w:ascii="Arial" w:hAnsi="Arial" w:cs="Arial"/>
                <w:sz w:val="22"/>
                <w:szCs w:val="22"/>
              </w:rPr>
              <w:t xml:space="preserve"> and ethical.</w:t>
            </w:r>
          </w:p>
        </w:tc>
      </w:tr>
      <w:tr w:rsidR="005963A7" w:rsidRPr="009423B7" w14:paraId="61750723" w14:textId="77777777" w:rsidTr="2338B082">
        <w:tc>
          <w:tcPr>
            <w:tcW w:w="2127" w:type="dxa"/>
            <w:vAlign w:val="center"/>
          </w:tcPr>
          <w:p w14:paraId="52EB03E7" w14:textId="09F56CA2" w:rsidR="005963A7" w:rsidRPr="009423B7" w:rsidRDefault="005963A7" w:rsidP="00682E69">
            <w:pPr>
              <w:pStyle w:val="TableText"/>
              <w:rPr>
                <w:rFonts w:ascii="Arial" w:hAnsi="Arial" w:cs="Arial"/>
                <w:b/>
                <w:bCs/>
                <w:sz w:val="22"/>
                <w:szCs w:val="22"/>
              </w:rPr>
            </w:pPr>
            <w:r>
              <w:rPr>
                <w:rFonts w:ascii="Arial" w:hAnsi="Arial" w:cs="Arial"/>
                <w:b/>
                <w:bCs/>
                <w:sz w:val="22"/>
                <w:szCs w:val="22"/>
              </w:rPr>
              <w:t>Ethical</w:t>
            </w:r>
          </w:p>
        </w:tc>
        <w:tc>
          <w:tcPr>
            <w:tcW w:w="8363" w:type="dxa"/>
            <w:vAlign w:val="center"/>
          </w:tcPr>
          <w:p w14:paraId="1D0199C6" w14:textId="146081A6" w:rsidR="005963A7" w:rsidRDefault="00930844" w:rsidP="00682E69">
            <w:pPr>
              <w:pStyle w:val="BodyText"/>
              <w:rPr>
                <w:rFonts w:ascii="Arial" w:hAnsi="Arial" w:cs="Arial"/>
                <w:sz w:val="22"/>
                <w:szCs w:val="22"/>
              </w:rPr>
            </w:pPr>
            <w:r w:rsidRPr="001124CB">
              <w:rPr>
                <w:rFonts w:ascii="Arial" w:hAnsi="Arial" w:cs="Arial"/>
                <w:sz w:val="22"/>
                <w:szCs w:val="22"/>
              </w:rPr>
              <w:t>(</w:t>
            </w:r>
            <w:r>
              <w:rPr>
                <w:rFonts w:ascii="Arial" w:hAnsi="Arial" w:cs="Arial"/>
                <w:b/>
                <w:bCs/>
                <w:sz w:val="22"/>
                <w:szCs w:val="22"/>
              </w:rPr>
              <w:t>I</w:t>
            </w:r>
            <w:r w:rsidRPr="001124CB">
              <w:rPr>
                <w:rFonts w:ascii="Arial" w:hAnsi="Arial" w:cs="Arial"/>
                <w:sz w:val="22"/>
                <w:szCs w:val="22"/>
              </w:rPr>
              <w:t>n relation to the proper use of public resources)</w:t>
            </w:r>
            <w:r w:rsidR="008D0F9A">
              <w:rPr>
                <w:rFonts w:ascii="Arial" w:hAnsi="Arial" w:cs="Arial"/>
                <w:sz w:val="22"/>
                <w:szCs w:val="22"/>
              </w:rPr>
              <w:t xml:space="preserve"> </w:t>
            </w:r>
            <w:r w:rsidRPr="001124CB">
              <w:rPr>
                <w:rFonts w:ascii="Arial" w:hAnsi="Arial" w:cs="Arial"/>
                <w:sz w:val="22"/>
                <w:szCs w:val="22"/>
              </w:rPr>
              <w:t xml:space="preserve">The extent to which the proposed use </w:t>
            </w:r>
            <w:r w:rsidR="00696BE8">
              <w:rPr>
                <w:rFonts w:ascii="Arial" w:hAnsi="Arial" w:cs="Arial"/>
                <w:sz w:val="22"/>
                <w:szCs w:val="22"/>
              </w:rPr>
              <w:t xml:space="preserve">of Commonwealth resources </w:t>
            </w:r>
            <w:r w:rsidRPr="001124CB">
              <w:rPr>
                <w:rFonts w:ascii="Arial" w:hAnsi="Arial" w:cs="Arial"/>
                <w:sz w:val="22"/>
                <w:szCs w:val="22"/>
              </w:rPr>
              <w:t>is consistent with the core beliefs and values of society</w:t>
            </w:r>
            <w:r>
              <w:rPr>
                <w:rFonts w:ascii="Arial" w:hAnsi="Arial" w:cs="Arial"/>
                <w:sz w:val="22"/>
                <w:szCs w:val="22"/>
              </w:rPr>
              <w:t>..</w:t>
            </w:r>
            <w:r w:rsidRPr="001124CB">
              <w:rPr>
                <w:rFonts w:ascii="Arial" w:hAnsi="Arial" w:cs="Arial"/>
                <w:sz w:val="22"/>
                <w:szCs w:val="22"/>
              </w:rPr>
              <w:t>.For the approval of proposed commitments of relevant money, an ethical use of resources involves managing conflicts of interests and</w:t>
            </w:r>
            <w:r w:rsidR="00A44CFE">
              <w:rPr>
                <w:rFonts w:ascii="Arial" w:hAnsi="Arial" w:cs="Arial"/>
                <w:sz w:val="22"/>
                <w:szCs w:val="22"/>
              </w:rPr>
              <w:t>…</w:t>
            </w:r>
            <w:r w:rsidRPr="001124CB">
              <w:rPr>
                <w:rFonts w:ascii="Arial" w:hAnsi="Arial" w:cs="Arial"/>
                <w:sz w:val="22"/>
                <w:szCs w:val="22"/>
              </w:rPr>
              <w:t>personal bias. Ethical considerations must be balanced with whether the use will also be efficient, effective</w:t>
            </w:r>
            <w:r w:rsidR="008D0F9A">
              <w:rPr>
                <w:rFonts w:ascii="Arial" w:hAnsi="Arial" w:cs="Arial"/>
                <w:sz w:val="22"/>
                <w:szCs w:val="22"/>
              </w:rPr>
              <w:t>,</w:t>
            </w:r>
            <w:r w:rsidRPr="001124CB">
              <w:rPr>
                <w:rFonts w:ascii="Arial" w:hAnsi="Arial" w:cs="Arial"/>
                <w:sz w:val="22"/>
                <w:szCs w:val="22"/>
              </w:rPr>
              <w:t xml:space="preserve"> and economical.</w:t>
            </w:r>
            <w:r w:rsidR="000E03F4">
              <w:rPr>
                <w:rFonts w:ascii="Arial" w:hAnsi="Arial" w:cs="Arial"/>
                <w:sz w:val="22"/>
                <w:szCs w:val="22"/>
              </w:rPr>
              <w:t xml:space="preserve"> </w:t>
            </w:r>
            <w:r w:rsidR="000E03F4" w:rsidRPr="00346958">
              <w:rPr>
                <w:rFonts w:ascii="Arial" w:hAnsi="Arial" w:cs="Arial"/>
                <w:i/>
                <w:iCs/>
                <w:sz w:val="22"/>
                <w:szCs w:val="22"/>
              </w:rPr>
              <w:t>(</w:t>
            </w:r>
            <w:proofErr w:type="gramStart"/>
            <w:r w:rsidR="000E03F4">
              <w:rPr>
                <w:rFonts w:ascii="Arial" w:hAnsi="Arial" w:cs="Arial"/>
                <w:i/>
                <w:iCs/>
                <w:sz w:val="22"/>
                <w:szCs w:val="22"/>
              </w:rPr>
              <w:t>via</w:t>
            </w:r>
            <w:proofErr w:type="gramEnd"/>
            <w:r w:rsidR="000E03F4">
              <w:rPr>
                <w:rFonts w:ascii="Arial" w:hAnsi="Arial" w:cs="Arial"/>
                <w:i/>
                <w:iCs/>
                <w:sz w:val="22"/>
                <w:szCs w:val="22"/>
              </w:rPr>
              <w:t xml:space="preserve"> </w:t>
            </w:r>
            <w:r w:rsidR="000E03F4" w:rsidRPr="00346958">
              <w:rPr>
                <w:rFonts w:ascii="Arial" w:hAnsi="Arial" w:cs="Arial"/>
                <w:i/>
                <w:iCs/>
                <w:sz w:val="22"/>
                <w:szCs w:val="22"/>
              </w:rPr>
              <w:t>Department of Finance</w:t>
            </w:r>
            <w:r w:rsidR="000E03F4">
              <w:rPr>
                <w:rFonts w:ascii="Arial" w:hAnsi="Arial" w:cs="Arial"/>
                <w:i/>
                <w:iCs/>
                <w:sz w:val="22"/>
                <w:szCs w:val="22"/>
              </w:rPr>
              <w:t xml:space="preserve"> - </w:t>
            </w:r>
            <w:hyperlink r:id="rId13" w:history="1">
              <w:r w:rsidR="000E03F4" w:rsidRPr="000E03F4">
                <w:rPr>
                  <w:rStyle w:val="Hyperlink"/>
                  <w:rFonts w:ascii="Arial" w:hAnsi="Arial" w:cs="Arial"/>
                  <w:i/>
                  <w:iCs/>
                  <w:sz w:val="22"/>
                  <w:szCs w:val="22"/>
                </w:rPr>
                <w:t>PGPA Glossary</w:t>
              </w:r>
            </w:hyperlink>
            <w:r w:rsidR="000E03F4" w:rsidRPr="00346958">
              <w:rPr>
                <w:rFonts w:ascii="Arial" w:hAnsi="Arial" w:cs="Arial"/>
                <w:i/>
                <w:iCs/>
                <w:sz w:val="22"/>
                <w:szCs w:val="22"/>
              </w:rPr>
              <w:t>)</w:t>
            </w:r>
          </w:p>
        </w:tc>
      </w:tr>
      <w:tr w:rsidR="00682E69" w:rsidRPr="009423B7" w14:paraId="107C603D" w14:textId="77777777" w:rsidTr="2338B082">
        <w:tc>
          <w:tcPr>
            <w:tcW w:w="2127" w:type="dxa"/>
            <w:vAlign w:val="center"/>
          </w:tcPr>
          <w:p w14:paraId="6EDA4D19"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Evaluation</w:t>
            </w:r>
          </w:p>
        </w:tc>
        <w:tc>
          <w:tcPr>
            <w:tcW w:w="8363" w:type="dxa"/>
            <w:vAlign w:val="center"/>
          </w:tcPr>
          <w:p w14:paraId="47CCA255" w14:textId="630B87B8" w:rsidR="00682E69" w:rsidRPr="009423B7" w:rsidRDefault="00682E69" w:rsidP="00682E69">
            <w:pPr>
              <w:pStyle w:val="BodyText"/>
              <w:rPr>
                <w:rFonts w:ascii="Arial" w:hAnsi="Arial" w:cs="Arial"/>
                <w:sz w:val="22"/>
                <w:szCs w:val="22"/>
              </w:rPr>
            </w:pPr>
            <w:r>
              <w:rPr>
                <w:rFonts w:ascii="Arial" w:hAnsi="Arial" w:cs="Arial"/>
                <w:sz w:val="22"/>
                <w:szCs w:val="22"/>
              </w:rPr>
              <w:t>T</w:t>
            </w:r>
            <w:r w:rsidRPr="009423B7">
              <w:rPr>
                <w:rFonts w:ascii="Arial" w:hAnsi="Arial" w:cs="Arial"/>
                <w:sz w:val="22"/>
                <w:szCs w:val="22"/>
              </w:rPr>
              <w:t xml:space="preserve">he systematic and objective assessment of an ongoing or completed investment or policy. Evaluation aims to provide credible evidence which can inform major program management and policy decisions and highlight important development lessons. </w:t>
            </w:r>
          </w:p>
        </w:tc>
      </w:tr>
      <w:tr w:rsidR="00682E69" w:rsidRPr="009423B7" w14:paraId="663076E4" w14:textId="77777777" w:rsidTr="2338B082">
        <w:tc>
          <w:tcPr>
            <w:tcW w:w="2127" w:type="dxa"/>
            <w:vAlign w:val="center"/>
          </w:tcPr>
          <w:p w14:paraId="61223942" w14:textId="48F89269"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Final Investment Monitoring Report (FIMR)</w:t>
            </w:r>
          </w:p>
        </w:tc>
        <w:tc>
          <w:tcPr>
            <w:tcW w:w="8363" w:type="dxa"/>
            <w:vAlign w:val="center"/>
          </w:tcPr>
          <w:p w14:paraId="78FB9282" w14:textId="44EB99E6" w:rsidR="00682E69" w:rsidRPr="009423B7" w:rsidRDefault="00682E69" w:rsidP="00682E69">
            <w:pPr>
              <w:pStyle w:val="BodyText"/>
              <w:rPr>
                <w:rFonts w:ascii="Arial" w:hAnsi="Arial" w:cs="Arial"/>
                <w:sz w:val="22"/>
                <w:szCs w:val="22"/>
              </w:rPr>
            </w:pPr>
            <w:r w:rsidRPr="009423B7">
              <w:rPr>
                <w:rFonts w:ascii="Arial" w:hAnsi="Arial" w:cs="Arial"/>
                <w:sz w:val="22"/>
                <w:szCs w:val="22"/>
              </w:rPr>
              <w:t>FIMRs are completed for investments in their last year. FIMR provide an assessment of overall achievement against the planned outcomes for an investment over its lifetime. FIMR also record lessons learned to inform the strategic directions of subsequent or follow on investments, or in the design of future similar investments. FIMR results are used for external reporting.</w:t>
            </w:r>
          </w:p>
        </w:tc>
      </w:tr>
      <w:tr w:rsidR="00682E69" w:rsidRPr="009423B7" w14:paraId="12BE4297" w14:textId="77777777" w:rsidTr="2338B082">
        <w:tc>
          <w:tcPr>
            <w:tcW w:w="2127" w:type="dxa"/>
            <w:vAlign w:val="center"/>
          </w:tcPr>
          <w:p w14:paraId="0E84B0F8"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lastRenderedPageBreak/>
              <w:t>Gender equality</w:t>
            </w:r>
          </w:p>
        </w:tc>
        <w:tc>
          <w:tcPr>
            <w:tcW w:w="8363" w:type="dxa"/>
            <w:vAlign w:val="center"/>
          </w:tcPr>
          <w:p w14:paraId="1385E566" w14:textId="445657F2" w:rsidR="00682E69" w:rsidRPr="009423B7" w:rsidRDefault="00682E69" w:rsidP="00682E69">
            <w:pPr>
              <w:pStyle w:val="BodyText"/>
              <w:rPr>
                <w:rFonts w:ascii="Arial" w:hAnsi="Arial" w:cs="Arial"/>
                <w:sz w:val="22"/>
                <w:szCs w:val="22"/>
              </w:rPr>
            </w:pPr>
            <w:r w:rsidRPr="009423B7">
              <w:rPr>
                <w:rFonts w:ascii="Arial" w:hAnsi="Arial" w:cs="Arial"/>
                <w:sz w:val="22"/>
                <w:szCs w:val="22"/>
              </w:rPr>
              <w:t>Refers to equal opportunities, rights and responsibilities of women and men, boys</w:t>
            </w:r>
            <w:r w:rsidR="008D0F9A">
              <w:rPr>
                <w:rFonts w:ascii="Arial" w:hAnsi="Arial" w:cs="Arial"/>
                <w:sz w:val="22"/>
                <w:szCs w:val="22"/>
              </w:rPr>
              <w:t>,</w:t>
            </w:r>
            <w:r w:rsidRPr="009423B7">
              <w:rPr>
                <w:rFonts w:ascii="Arial" w:hAnsi="Arial" w:cs="Arial"/>
                <w:sz w:val="22"/>
                <w:szCs w:val="22"/>
              </w:rPr>
              <w:t xml:space="preserve"> and girls, and requires the closing of gender gaps, particularly in relation to economic outcomes, leadership at all levels and experience of violence. It ensures that the interests, needs and priorities of women and men are </w:t>
            </w:r>
            <w:proofErr w:type="gramStart"/>
            <w:r w:rsidRPr="009423B7">
              <w:rPr>
                <w:rFonts w:ascii="Arial" w:hAnsi="Arial" w:cs="Arial"/>
                <w:sz w:val="22"/>
                <w:szCs w:val="22"/>
              </w:rPr>
              <w:t>taken into account</w:t>
            </w:r>
            <w:proofErr w:type="gramEnd"/>
            <w:r w:rsidRPr="009423B7">
              <w:rPr>
                <w:rFonts w:ascii="Arial" w:hAnsi="Arial" w:cs="Arial"/>
                <w:sz w:val="22"/>
                <w:szCs w:val="22"/>
              </w:rPr>
              <w:t xml:space="preserve"> in decision making.</w:t>
            </w:r>
          </w:p>
        </w:tc>
      </w:tr>
      <w:tr w:rsidR="00682E69" w:rsidRPr="009423B7" w14:paraId="4D52683C" w14:textId="77777777" w:rsidTr="2338B082">
        <w:tc>
          <w:tcPr>
            <w:tcW w:w="2127" w:type="dxa"/>
            <w:vAlign w:val="center"/>
          </w:tcPr>
          <w:p w14:paraId="280D47B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Global programs</w:t>
            </w:r>
          </w:p>
        </w:tc>
        <w:tc>
          <w:tcPr>
            <w:tcW w:w="8363" w:type="dxa"/>
            <w:vAlign w:val="center"/>
          </w:tcPr>
          <w:p w14:paraId="2085EFEF" w14:textId="0613F3D8"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Global programs deliver </w:t>
            </w:r>
            <w:r>
              <w:rPr>
                <w:rFonts w:ascii="Arial" w:hAnsi="Arial" w:cs="Arial"/>
                <w:sz w:val="22"/>
                <w:szCs w:val="22"/>
              </w:rPr>
              <w:t>global</w:t>
            </w:r>
            <w:r w:rsidRPr="009423B7">
              <w:rPr>
                <w:rFonts w:ascii="Arial" w:hAnsi="Arial" w:cs="Arial"/>
                <w:sz w:val="22"/>
                <w:szCs w:val="22"/>
              </w:rPr>
              <w:t xml:space="preserve"> and/or multi-country development benefit</w:t>
            </w:r>
            <w:r>
              <w:rPr>
                <w:rFonts w:ascii="Arial" w:hAnsi="Arial" w:cs="Arial"/>
                <w:sz w:val="22"/>
                <w:szCs w:val="22"/>
              </w:rPr>
              <w:t>s</w:t>
            </w:r>
            <w:r w:rsidRPr="009423B7">
              <w:rPr>
                <w:rFonts w:ascii="Arial" w:hAnsi="Arial" w:cs="Arial"/>
                <w:sz w:val="22"/>
                <w:szCs w:val="22"/>
              </w:rPr>
              <w:t xml:space="preserve">. They include contributions to international organisations; emergency, </w:t>
            </w:r>
            <w:proofErr w:type="gramStart"/>
            <w:r w:rsidRPr="009423B7">
              <w:rPr>
                <w:rFonts w:ascii="Arial" w:hAnsi="Arial" w:cs="Arial"/>
                <w:sz w:val="22"/>
                <w:szCs w:val="22"/>
              </w:rPr>
              <w:t>humanitarian</w:t>
            </w:r>
            <w:proofErr w:type="gramEnd"/>
            <w:r w:rsidRPr="009423B7">
              <w:rPr>
                <w:rFonts w:ascii="Arial" w:hAnsi="Arial" w:cs="Arial"/>
                <w:sz w:val="22"/>
                <w:szCs w:val="22"/>
              </w:rPr>
              <w:t xml:space="preserve"> and refugee programs; contributions to NGOs and volunteer programs; development education and public information; and development research.</w:t>
            </w:r>
          </w:p>
        </w:tc>
      </w:tr>
      <w:tr w:rsidR="00682E69" w:rsidRPr="009423B7" w14:paraId="26D2E602" w14:textId="77777777" w:rsidTr="2338B082">
        <w:tc>
          <w:tcPr>
            <w:tcW w:w="2127" w:type="dxa"/>
            <w:vAlign w:val="center"/>
          </w:tcPr>
          <w:p w14:paraId="6D75996A"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Goal</w:t>
            </w:r>
          </w:p>
        </w:tc>
        <w:tc>
          <w:tcPr>
            <w:tcW w:w="8363" w:type="dxa"/>
            <w:vAlign w:val="center"/>
          </w:tcPr>
          <w:p w14:paraId="538B6C9F"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The higher-order purpose to which an objective is intended to contribute. Goals are normally specified in national development plans and shared goals may also be identified in agreements between the Australian Government and a development partner.</w:t>
            </w:r>
          </w:p>
        </w:tc>
      </w:tr>
      <w:tr w:rsidR="00682E69" w:rsidRPr="009423B7" w14:paraId="6A83CBB5" w14:textId="77777777" w:rsidTr="2338B082">
        <w:tc>
          <w:tcPr>
            <w:tcW w:w="2127" w:type="dxa"/>
            <w:vAlign w:val="center"/>
          </w:tcPr>
          <w:p w14:paraId="7CD3D4C8" w14:textId="6B21C035"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Humanitarian Investment Monitoring Report (HIMR)</w:t>
            </w:r>
          </w:p>
        </w:tc>
        <w:tc>
          <w:tcPr>
            <w:tcW w:w="8363" w:type="dxa"/>
            <w:vAlign w:val="center"/>
          </w:tcPr>
          <w:p w14:paraId="6596F00B" w14:textId="75D2CA94" w:rsidR="00682E69" w:rsidRPr="009423B7" w:rsidRDefault="00682E69" w:rsidP="00682E69">
            <w:pPr>
              <w:pStyle w:val="BodyText"/>
              <w:rPr>
                <w:rFonts w:ascii="Arial" w:hAnsi="Arial" w:cs="Arial"/>
                <w:sz w:val="22"/>
                <w:szCs w:val="22"/>
              </w:rPr>
            </w:pPr>
            <w:r>
              <w:rPr>
                <w:rFonts w:ascii="Arial" w:hAnsi="Arial" w:cs="Arial"/>
                <w:sz w:val="22"/>
                <w:szCs w:val="22"/>
              </w:rPr>
              <w:t>The annual reporting system used for humanitarian investments.</w:t>
            </w:r>
            <w:r w:rsidRPr="009423B7">
              <w:rPr>
                <w:rFonts w:ascii="Arial" w:hAnsi="Arial" w:cs="Arial"/>
                <w:sz w:val="22"/>
                <w:szCs w:val="22"/>
              </w:rPr>
              <w:t xml:space="preserve"> Reporting for humanitarian response investments is completed using slightly different assessment criteria to annual IMRs. The provisions made for seeking exemptions, moderations and approvals are the same as those for an annual IMR. </w:t>
            </w:r>
          </w:p>
        </w:tc>
      </w:tr>
      <w:tr w:rsidR="00682E69" w:rsidRPr="009423B7" w14:paraId="1225F325" w14:textId="77777777" w:rsidTr="2338B082">
        <w:tc>
          <w:tcPr>
            <w:tcW w:w="2127" w:type="dxa"/>
            <w:vAlign w:val="center"/>
          </w:tcPr>
          <w:p w14:paraId="53B58338"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Investment Monitoring Report (IMR)</w:t>
            </w:r>
          </w:p>
        </w:tc>
        <w:tc>
          <w:tcPr>
            <w:tcW w:w="8363" w:type="dxa"/>
            <w:vAlign w:val="center"/>
          </w:tcPr>
          <w:p w14:paraId="7577DB53" w14:textId="1D1B92F0" w:rsidR="00682E69" w:rsidRPr="009423B7" w:rsidRDefault="00682E69" w:rsidP="00A9650C">
            <w:pPr>
              <w:pStyle w:val="BodyText"/>
              <w:rPr>
                <w:rFonts w:ascii="Arial" w:hAnsi="Arial" w:cs="Arial"/>
                <w:sz w:val="22"/>
                <w:szCs w:val="22"/>
              </w:rPr>
            </w:pPr>
            <w:r w:rsidRPr="009423B7">
              <w:rPr>
                <w:rFonts w:ascii="Arial" w:hAnsi="Arial" w:cs="Arial"/>
                <w:sz w:val="22"/>
                <w:szCs w:val="22"/>
              </w:rPr>
              <w:t>IMRs are the mechanism by which investment managers review performance of their investments against standard quality criteria. IMRs collectively provide DFAT with an overall</w:t>
            </w:r>
            <w:r w:rsidRPr="009423B7" w:rsidDel="00490C66">
              <w:rPr>
                <w:rFonts w:ascii="Arial" w:hAnsi="Arial" w:cs="Arial"/>
                <w:sz w:val="22"/>
                <w:szCs w:val="22"/>
              </w:rPr>
              <w:t xml:space="preserve"> </w:t>
            </w:r>
            <w:r w:rsidRPr="009423B7">
              <w:rPr>
                <w:rFonts w:ascii="Arial" w:hAnsi="Arial" w:cs="Arial"/>
                <w:sz w:val="22"/>
                <w:szCs w:val="22"/>
              </w:rPr>
              <w:t>assessment of the effectiveness and achievements of the Australian development program.</w:t>
            </w:r>
          </w:p>
        </w:tc>
      </w:tr>
      <w:tr w:rsidR="00682E69" w:rsidRPr="009423B7" w14:paraId="026B11E1" w14:textId="77777777" w:rsidTr="2338B082">
        <w:tc>
          <w:tcPr>
            <w:tcW w:w="2127" w:type="dxa"/>
            <w:vAlign w:val="center"/>
          </w:tcPr>
          <w:p w14:paraId="03CE90D4"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Impact</w:t>
            </w:r>
          </w:p>
        </w:tc>
        <w:tc>
          <w:tcPr>
            <w:tcW w:w="8363" w:type="dxa"/>
            <w:vAlign w:val="center"/>
          </w:tcPr>
          <w:p w14:paraId="2696CE0A" w14:textId="69F3C1B4"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overall long-term effect produced by an investment. This includes positive and negative changes (directly or indirectly, </w:t>
            </w:r>
            <w:proofErr w:type="gramStart"/>
            <w:r w:rsidRPr="009423B7">
              <w:rPr>
                <w:rFonts w:ascii="Arial" w:hAnsi="Arial" w:cs="Arial"/>
                <w:sz w:val="22"/>
                <w:szCs w:val="22"/>
              </w:rPr>
              <w:t>intended</w:t>
            </w:r>
            <w:proofErr w:type="gramEnd"/>
            <w:r w:rsidRPr="009423B7">
              <w:rPr>
                <w:rFonts w:ascii="Arial" w:hAnsi="Arial" w:cs="Arial"/>
                <w:sz w:val="22"/>
                <w:szCs w:val="22"/>
              </w:rPr>
              <w:t xml:space="preserve"> or unintended).</w:t>
            </w:r>
          </w:p>
        </w:tc>
      </w:tr>
      <w:tr w:rsidR="00682E69" w:rsidRPr="009423B7" w14:paraId="555707DF" w14:textId="77777777" w:rsidTr="2338B082">
        <w:tc>
          <w:tcPr>
            <w:tcW w:w="2127" w:type="dxa"/>
            <w:vAlign w:val="center"/>
          </w:tcPr>
          <w:p w14:paraId="609999B6"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Indicator</w:t>
            </w:r>
          </w:p>
        </w:tc>
        <w:tc>
          <w:tcPr>
            <w:tcW w:w="8363" w:type="dxa"/>
            <w:vAlign w:val="center"/>
          </w:tcPr>
          <w:p w14:paraId="7FAAC511"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A quantitative or qualitative variable that forms a simple and reliable means to measure achievement, to reflect the changes expected from an investment, or to help assess the performance of a development actor.</w:t>
            </w:r>
          </w:p>
        </w:tc>
      </w:tr>
      <w:tr w:rsidR="00682E69" w:rsidRPr="009423B7" w14:paraId="2039AC4E" w14:textId="77777777" w:rsidTr="2338B082">
        <w:tc>
          <w:tcPr>
            <w:tcW w:w="2127" w:type="dxa"/>
            <w:vAlign w:val="center"/>
          </w:tcPr>
          <w:p w14:paraId="06D5E908"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Inputs</w:t>
            </w:r>
          </w:p>
        </w:tc>
        <w:tc>
          <w:tcPr>
            <w:tcW w:w="8363" w:type="dxa"/>
            <w:vAlign w:val="center"/>
          </w:tcPr>
          <w:p w14:paraId="5759846A" w14:textId="475B11A6"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financial, human, material and intellectual resources used in </w:t>
            </w:r>
            <w:r>
              <w:rPr>
                <w:rFonts w:ascii="Arial" w:hAnsi="Arial" w:cs="Arial"/>
                <w:sz w:val="22"/>
                <w:szCs w:val="22"/>
              </w:rPr>
              <w:t>an</w:t>
            </w:r>
            <w:r w:rsidRPr="009423B7">
              <w:rPr>
                <w:rFonts w:ascii="Arial" w:hAnsi="Arial" w:cs="Arial"/>
                <w:sz w:val="22"/>
                <w:szCs w:val="22"/>
              </w:rPr>
              <w:t xml:space="preserve"> investment’s implementation.</w:t>
            </w:r>
          </w:p>
        </w:tc>
      </w:tr>
      <w:tr w:rsidR="00682E69" w:rsidRPr="009423B7" w14:paraId="5C554A63" w14:textId="77777777" w:rsidTr="2338B082">
        <w:tc>
          <w:tcPr>
            <w:tcW w:w="2127" w:type="dxa"/>
            <w:vAlign w:val="center"/>
          </w:tcPr>
          <w:p w14:paraId="5F93DEFC"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Investment</w:t>
            </w:r>
          </w:p>
        </w:tc>
        <w:tc>
          <w:tcPr>
            <w:tcW w:w="8363" w:type="dxa"/>
            <w:vAlign w:val="center"/>
          </w:tcPr>
          <w:p w14:paraId="46DE61A8" w14:textId="611AFC1E" w:rsidR="00682E69" w:rsidRPr="009423B7" w:rsidRDefault="00682E69" w:rsidP="00682E69">
            <w:pPr>
              <w:pStyle w:val="BodyText"/>
              <w:rPr>
                <w:rFonts w:ascii="Arial" w:hAnsi="Arial" w:cs="Arial"/>
                <w:sz w:val="22"/>
                <w:szCs w:val="22"/>
              </w:rPr>
            </w:pPr>
            <w:r w:rsidRPr="009423B7">
              <w:rPr>
                <w:rFonts w:ascii="Arial" w:hAnsi="Arial" w:cs="Arial"/>
                <w:sz w:val="22"/>
                <w:szCs w:val="22"/>
              </w:rPr>
              <w:t>A commitment of resources to achieve defined outputs and outcomes. An investment may have multiple components called activities.</w:t>
            </w:r>
          </w:p>
        </w:tc>
      </w:tr>
      <w:tr w:rsidR="00682E69" w:rsidRPr="009423B7" w14:paraId="449A0899" w14:textId="77777777" w:rsidTr="2338B082">
        <w:tc>
          <w:tcPr>
            <w:tcW w:w="2127" w:type="dxa"/>
            <w:vAlign w:val="center"/>
          </w:tcPr>
          <w:p w14:paraId="4F13A86E"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lastRenderedPageBreak/>
              <w:t xml:space="preserve">Investment Concept </w:t>
            </w:r>
          </w:p>
        </w:tc>
        <w:tc>
          <w:tcPr>
            <w:tcW w:w="8363" w:type="dxa"/>
            <w:vAlign w:val="center"/>
          </w:tcPr>
          <w:p w14:paraId="40317674" w14:textId="2A5666E0"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w:t>
            </w:r>
            <w:r>
              <w:rPr>
                <w:rFonts w:ascii="Arial" w:hAnsi="Arial" w:cs="Arial"/>
                <w:sz w:val="22"/>
                <w:szCs w:val="22"/>
              </w:rPr>
              <w:t>initial analysis that</w:t>
            </w:r>
            <w:r w:rsidRPr="009423B7">
              <w:rPr>
                <w:rFonts w:ascii="Arial" w:hAnsi="Arial" w:cs="Arial"/>
                <w:sz w:val="22"/>
                <w:szCs w:val="22"/>
              </w:rPr>
              <w:t xml:space="preserve"> outlines broad options and risks for a</w:t>
            </w:r>
            <w:r w:rsidR="000750AD">
              <w:rPr>
                <w:rFonts w:ascii="Arial" w:hAnsi="Arial" w:cs="Arial"/>
                <w:sz w:val="22"/>
                <w:szCs w:val="22"/>
              </w:rPr>
              <w:t xml:space="preserve"> development program </w:t>
            </w:r>
            <w:r w:rsidRPr="009423B7">
              <w:rPr>
                <w:rFonts w:ascii="Arial" w:hAnsi="Arial" w:cs="Arial"/>
                <w:sz w:val="22"/>
                <w:szCs w:val="22"/>
              </w:rPr>
              <w:t xml:space="preserve">investment. Used to stimulate discussion around where a particular investment might be directed and whether more effort to develop a detailed design is justified. Prepared in advance of an investment design and subject to </w:t>
            </w:r>
            <w:r w:rsidR="00614F5B">
              <w:rPr>
                <w:rFonts w:ascii="Arial" w:hAnsi="Arial" w:cs="Arial"/>
                <w:sz w:val="22"/>
                <w:szCs w:val="22"/>
              </w:rPr>
              <w:t>informal quality assurance.</w:t>
            </w:r>
          </w:p>
        </w:tc>
      </w:tr>
      <w:tr w:rsidR="00682E69" w:rsidRPr="009423B7" w14:paraId="42342676" w14:textId="77777777" w:rsidTr="2338B082">
        <w:tc>
          <w:tcPr>
            <w:tcW w:w="2127" w:type="dxa"/>
            <w:vAlign w:val="center"/>
          </w:tcPr>
          <w:p w14:paraId="6448A1DB"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Investment Design</w:t>
            </w:r>
          </w:p>
        </w:tc>
        <w:tc>
          <w:tcPr>
            <w:tcW w:w="8363" w:type="dxa"/>
            <w:vAlign w:val="center"/>
          </w:tcPr>
          <w:p w14:paraId="51764B50" w14:textId="01483570"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documentation produced to explain the context, logic, implementation arrangements and monitoring and evaluation requirements for an investment. Typically subject to appraisal before an investment is approved. </w:t>
            </w:r>
          </w:p>
        </w:tc>
      </w:tr>
      <w:tr w:rsidR="00682E69" w:rsidRPr="009423B7" w14:paraId="0CE4D645" w14:textId="77777777" w:rsidTr="2338B082">
        <w:tc>
          <w:tcPr>
            <w:tcW w:w="2127" w:type="dxa"/>
            <w:vAlign w:val="center"/>
          </w:tcPr>
          <w:p w14:paraId="13734D6A" w14:textId="7E2C00AD" w:rsidR="00682E69" w:rsidRPr="009423B7" w:rsidRDefault="00682E69" w:rsidP="00682E69">
            <w:pPr>
              <w:pStyle w:val="TableText"/>
              <w:rPr>
                <w:rFonts w:ascii="Arial" w:hAnsi="Arial" w:cs="Arial"/>
                <w:b/>
                <w:bCs/>
                <w:sz w:val="22"/>
                <w:szCs w:val="22"/>
              </w:rPr>
            </w:pPr>
            <w:r>
              <w:rPr>
                <w:rFonts w:ascii="Arial" w:hAnsi="Arial" w:cs="Arial"/>
                <w:b/>
                <w:bCs/>
                <w:sz w:val="22"/>
                <w:szCs w:val="22"/>
              </w:rPr>
              <w:t>Investment Manager</w:t>
            </w:r>
          </w:p>
        </w:tc>
        <w:tc>
          <w:tcPr>
            <w:tcW w:w="8363" w:type="dxa"/>
            <w:vAlign w:val="center"/>
          </w:tcPr>
          <w:p w14:paraId="496D9B1F" w14:textId="698EEDA9" w:rsidR="00682E69" w:rsidRPr="009423B7" w:rsidRDefault="00682E69" w:rsidP="00682E69">
            <w:pPr>
              <w:pStyle w:val="BodyText"/>
              <w:rPr>
                <w:rFonts w:ascii="Arial" w:hAnsi="Arial" w:cs="Arial"/>
                <w:sz w:val="22"/>
                <w:szCs w:val="22"/>
              </w:rPr>
            </w:pPr>
            <w:r w:rsidRPr="00103220">
              <w:rPr>
                <w:rFonts w:ascii="Arial" w:hAnsi="Arial" w:cs="Arial"/>
                <w:sz w:val="22"/>
                <w:szCs w:val="22"/>
              </w:rPr>
              <w:t xml:space="preserve">An investment manager is responsible for administering an investment through all phases of its lifecycle in line with subsection 23(1) of the PGPA Act or subsection 32B(1) of the FF(SP) Act and align with </w:t>
            </w:r>
            <w:hyperlink r:id="rId14" w:history="1">
              <w:r w:rsidRPr="00103220">
                <w:rPr>
                  <w:rFonts w:ascii="Arial" w:hAnsi="Arial" w:cs="Arial"/>
                  <w:i/>
                  <w:iCs/>
                  <w:sz w:val="22"/>
                  <w:szCs w:val="22"/>
                </w:rPr>
                <w:t>Developing good performance information</w:t>
              </w:r>
            </w:hyperlink>
            <w:r w:rsidRPr="00103220">
              <w:rPr>
                <w:rFonts w:ascii="Arial" w:hAnsi="Arial" w:cs="Arial"/>
                <w:i/>
                <w:iCs/>
                <w:sz w:val="22"/>
                <w:szCs w:val="22"/>
              </w:rPr>
              <w:t xml:space="preserve"> (RMG 131)</w:t>
            </w:r>
            <w:r w:rsidRPr="00103220">
              <w:rPr>
                <w:rFonts w:ascii="Arial" w:hAnsi="Arial" w:cs="Arial"/>
                <w:sz w:val="22"/>
                <w:szCs w:val="22"/>
              </w:rPr>
              <w:t xml:space="preserve">, primarily section 4 and 6. The investment manager is responsible for ensuring alignment of the investment with program objectives; design of the investment; identification and management of investment risks; implementation and delivery of the investment and monitoring and reporting the performance of the investment. </w:t>
            </w:r>
            <w:r>
              <w:rPr>
                <w:rFonts w:ascii="Arial" w:hAnsi="Arial" w:cs="Arial"/>
                <w:sz w:val="22"/>
                <w:szCs w:val="22"/>
              </w:rPr>
              <w:t>In AidWorks, t</w:t>
            </w:r>
            <w:r w:rsidRPr="00103220">
              <w:rPr>
                <w:rFonts w:ascii="Arial" w:hAnsi="Arial" w:cs="Arial"/>
                <w:sz w:val="22"/>
                <w:szCs w:val="22"/>
              </w:rPr>
              <w:t>here can only be one user assigned to an individual investment as the Investment Manager. A User must be assigned both the role of investment manager and be assigned to an investment record to have write access. The Investment Manager will administer the investment to ensure the proper use of public resources and ensure that resources are used to achieve the purposes and outcomes of the Department.</w:t>
            </w:r>
          </w:p>
        </w:tc>
      </w:tr>
      <w:tr w:rsidR="00682E69" w:rsidRPr="009423B7" w14:paraId="2AA1BDF1" w14:textId="77777777" w:rsidTr="2338B082">
        <w:tc>
          <w:tcPr>
            <w:tcW w:w="2127" w:type="dxa"/>
            <w:vAlign w:val="center"/>
          </w:tcPr>
          <w:p w14:paraId="32E40DD6"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Investment requiring improvement (IRI)</w:t>
            </w:r>
          </w:p>
        </w:tc>
        <w:tc>
          <w:tcPr>
            <w:tcW w:w="8363" w:type="dxa"/>
            <w:vAlign w:val="center"/>
          </w:tcPr>
          <w:p w14:paraId="71F3A22E" w14:textId="610B253F" w:rsidR="00682E69" w:rsidRPr="009423B7" w:rsidRDefault="00682E69" w:rsidP="00682E69">
            <w:pPr>
              <w:pStyle w:val="BodyText"/>
              <w:rPr>
                <w:rFonts w:ascii="Arial" w:hAnsi="Arial" w:cs="Arial"/>
                <w:sz w:val="22"/>
                <w:szCs w:val="22"/>
              </w:rPr>
            </w:pPr>
            <w:proofErr w:type="gramStart"/>
            <w:r w:rsidRPr="009423B7">
              <w:rPr>
                <w:rFonts w:ascii="Arial" w:hAnsi="Arial" w:cs="Arial"/>
                <w:sz w:val="22"/>
                <w:szCs w:val="22"/>
              </w:rPr>
              <w:t>IRIs</w:t>
            </w:r>
            <w:proofErr w:type="gramEnd"/>
            <w:r w:rsidRPr="009423B7">
              <w:rPr>
                <w:rFonts w:ascii="Arial" w:hAnsi="Arial" w:cs="Arial"/>
                <w:sz w:val="22"/>
                <w:szCs w:val="22"/>
              </w:rPr>
              <w:t xml:space="preserve"> are investments that are not delivering adequate value for money based on a range of performance factors, including receiving an unsatisfactory rating for both the effectiveness and efficiency criteria in their annual IMR. IRIs must demonstrate improvement within 12 months, or be cancelled.</w:t>
            </w:r>
          </w:p>
        </w:tc>
      </w:tr>
      <w:tr w:rsidR="00682E69" w:rsidRPr="009423B7" w14:paraId="2F562D51" w14:textId="77777777" w:rsidTr="2338B082">
        <w:tc>
          <w:tcPr>
            <w:tcW w:w="2127" w:type="dxa"/>
            <w:vAlign w:val="center"/>
          </w:tcPr>
          <w:p w14:paraId="52DFA20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Monitoring</w:t>
            </w:r>
          </w:p>
        </w:tc>
        <w:tc>
          <w:tcPr>
            <w:tcW w:w="8363" w:type="dxa"/>
            <w:vAlign w:val="center"/>
          </w:tcPr>
          <w:p w14:paraId="6858BCF7"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The ongoing systematic collection of data on specified indicators to enable tracking of investment progress. It is common to monitor expenditure, commitments, activities, the achievement of milestones and results.</w:t>
            </w:r>
          </w:p>
        </w:tc>
      </w:tr>
      <w:tr w:rsidR="00682E69" w:rsidRPr="009423B7" w14:paraId="5393C597" w14:textId="77777777" w:rsidTr="2338B082">
        <w:tc>
          <w:tcPr>
            <w:tcW w:w="2127" w:type="dxa"/>
            <w:vAlign w:val="center"/>
          </w:tcPr>
          <w:p w14:paraId="1815513F" w14:textId="287B6D16"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Monitoring and evaluation plan</w:t>
            </w:r>
          </w:p>
        </w:tc>
        <w:tc>
          <w:tcPr>
            <w:tcW w:w="8363" w:type="dxa"/>
            <w:vAlign w:val="center"/>
          </w:tcPr>
          <w:p w14:paraId="04DAA90B" w14:textId="0412E395" w:rsidR="00682E69" w:rsidRPr="009423B7" w:rsidRDefault="00682E69" w:rsidP="00682E69">
            <w:pPr>
              <w:pStyle w:val="BodyText"/>
              <w:rPr>
                <w:rFonts w:ascii="Arial" w:hAnsi="Arial" w:cs="Arial"/>
                <w:sz w:val="22"/>
                <w:szCs w:val="22"/>
              </w:rPr>
            </w:pPr>
            <w:r w:rsidRPr="009423B7">
              <w:rPr>
                <w:rFonts w:ascii="Arial" w:hAnsi="Arial" w:cs="Arial"/>
                <w:sz w:val="22"/>
                <w:szCs w:val="22"/>
              </w:rPr>
              <w:t>A stand-alone document prepared during the investment design or start-up phase of an investment that specifies arrangements for monitoring and evaluating the investment.  It includes a Monitoring and Evaluation Framework (MEF).</w:t>
            </w:r>
          </w:p>
        </w:tc>
      </w:tr>
      <w:tr w:rsidR="00682E69" w:rsidRPr="009423B7" w14:paraId="47EB3F3A" w14:textId="77777777" w:rsidTr="2338B082">
        <w:tc>
          <w:tcPr>
            <w:tcW w:w="2127" w:type="dxa"/>
            <w:vAlign w:val="center"/>
          </w:tcPr>
          <w:p w14:paraId="67100D57"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lastRenderedPageBreak/>
              <w:t>Mutual obligation</w:t>
            </w:r>
          </w:p>
        </w:tc>
        <w:tc>
          <w:tcPr>
            <w:tcW w:w="8363" w:type="dxa"/>
            <w:vAlign w:val="center"/>
          </w:tcPr>
          <w:p w14:paraId="6DDCBA7D" w14:textId="31516271" w:rsidR="00682E69" w:rsidRPr="009423B7" w:rsidRDefault="00682E69" w:rsidP="00682E69">
            <w:pPr>
              <w:pStyle w:val="BodyText"/>
              <w:rPr>
                <w:rFonts w:ascii="Arial" w:hAnsi="Arial" w:cs="Arial"/>
                <w:sz w:val="22"/>
                <w:szCs w:val="22"/>
              </w:rPr>
            </w:pPr>
            <w:r w:rsidRPr="009423B7">
              <w:rPr>
                <w:rFonts w:ascii="Arial" w:hAnsi="Arial" w:cs="Arial"/>
                <w:sz w:val="22"/>
                <w:szCs w:val="22"/>
              </w:rPr>
              <w:t>The commitments made by Australia and partner governments that reflect the contribution of each party towards shared development goals. For Australia, mutual obligations are normally to deliver a</w:t>
            </w:r>
            <w:r>
              <w:rPr>
                <w:rFonts w:ascii="Arial" w:hAnsi="Arial" w:cs="Arial"/>
                <w:sz w:val="22"/>
                <w:szCs w:val="22"/>
              </w:rPr>
              <w:t xml:space="preserve">ssistance </w:t>
            </w:r>
            <w:r w:rsidRPr="009423B7">
              <w:rPr>
                <w:rFonts w:ascii="Arial" w:hAnsi="Arial" w:cs="Arial"/>
                <w:sz w:val="22"/>
                <w:szCs w:val="22"/>
              </w:rPr>
              <w:t xml:space="preserve">in line with partner policies and priorities and against the performance benchmarks identified. For partner governments, mutual obligations generally reflect pre-existing reform commitments that are of </w:t>
            </w:r>
            <w:proofErr w:type="gramStart"/>
            <w:r w:rsidRPr="009423B7">
              <w:rPr>
                <w:rFonts w:ascii="Arial" w:hAnsi="Arial" w:cs="Arial"/>
                <w:sz w:val="22"/>
                <w:szCs w:val="22"/>
              </w:rPr>
              <w:t>particular relevance</w:t>
            </w:r>
            <w:proofErr w:type="gramEnd"/>
            <w:r w:rsidRPr="009423B7">
              <w:rPr>
                <w:rFonts w:ascii="Arial" w:hAnsi="Arial" w:cs="Arial"/>
                <w:sz w:val="22"/>
                <w:szCs w:val="22"/>
              </w:rPr>
              <w:t xml:space="preserve"> to Australia’s </w:t>
            </w:r>
            <w:r>
              <w:rPr>
                <w:rFonts w:ascii="Arial" w:hAnsi="Arial" w:cs="Arial"/>
                <w:sz w:val="22"/>
                <w:szCs w:val="22"/>
              </w:rPr>
              <w:t>interests</w:t>
            </w:r>
            <w:r w:rsidRPr="009423B7">
              <w:rPr>
                <w:rFonts w:ascii="Arial" w:hAnsi="Arial" w:cs="Arial"/>
                <w:sz w:val="22"/>
                <w:szCs w:val="22"/>
              </w:rPr>
              <w:t xml:space="preserve"> and the partner government’s development priorities. </w:t>
            </w:r>
          </w:p>
        </w:tc>
      </w:tr>
      <w:tr w:rsidR="00682E69" w:rsidRPr="009423B7" w14:paraId="5BD9AAA0" w14:textId="77777777" w:rsidTr="2338B082">
        <w:tc>
          <w:tcPr>
            <w:tcW w:w="2127" w:type="dxa"/>
            <w:vAlign w:val="center"/>
          </w:tcPr>
          <w:p w14:paraId="26E56A9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Objective</w:t>
            </w:r>
          </w:p>
        </w:tc>
        <w:tc>
          <w:tcPr>
            <w:tcW w:w="8363" w:type="dxa"/>
            <w:vAlign w:val="center"/>
          </w:tcPr>
          <w:p w14:paraId="4A37DB02" w14:textId="026CA43A" w:rsidR="00682E69" w:rsidRPr="009423B7" w:rsidRDefault="00682E69" w:rsidP="00682E69">
            <w:pPr>
              <w:pStyle w:val="BodyText"/>
              <w:rPr>
                <w:rFonts w:ascii="Arial" w:hAnsi="Arial" w:cs="Arial"/>
                <w:sz w:val="22"/>
                <w:szCs w:val="22"/>
              </w:rPr>
            </w:pPr>
            <w:r w:rsidRPr="009423B7">
              <w:rPr>
                <w:rFonts w:ascii="Arial" w:hAnsi="Arial" w:cs="Arial"/>
                <w:sz w:val="22"/>
                <w:szCs w:val="22"/>
              </w:rPr>
              <w:t>The physical, financial, institutional, social, environmental, or other benefits to a society, community, or group of people produced through one or more investments. Australia’s objectives contribute to the achievement of higher-level national development goals.</w:t>
            </w:r>
          </w:p>
        </w:tc>
      </w:tr>
      <w:tr w:rsidR="00682E69" w:rsidRPr="009423B7" w14:paraId="367B5FE7" w14:textId="77777777" w:rsidTr="2338B082">
        <w:trPr>
          <w:trHeight w:val="1890"/>
        </w:trPr>
        <w:tc>
          <w:tcPr>
            <w:tcW w:w="2127" w:type="dxa"/>
            <w:vAlign w:val="center"/>
          </w:tcPr>
          <w:p w14:paraId="4873A03B" w14:textId="15009CFB"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 xml:space="preserve">Official </w:t>
            </w:r>
            <w:r>
              <w:rPr>
                <w:rFonts w:ascii="Arial" w:hAnsi="Arial" w:cs="Arial"/>
                <w:b/>
                <w:bCs/>
                <w:sz w:val="22"/>
                <w:szCs w:val="22"/>
              </w:rPr>
              <w:t>D</w:t>
            </w:r>
            <w:r w:rsidRPr="009423B7">
              <w:rPr>
                <w:rFonts w:ascii="Arial" w:hAnsi="Arial" w:cs="Arial"/>
                <w:b/>
                <w:bCs/>
                <w:sz w:val="22"/>
                <w:szCs w:val="22"/>
              </w:rPr>
              <w:t xml:space="preserve">evelopment </w:t>
            </w:r>
            <w:r>
              <w:rPr>
                <w:rFonts w:ascii="Arial" w:hAnsi="Arial" w:cs="Arial"/>
                <w:b/>
                <w:bCs/>
                <w:sz w:val="22"/>
                <w:szCs w:val="22"/>
              </w:rPr>
              <w:t>A</w:t>
            </w:r>
            <w:r w:rsidRPr="009423B7">
              <w:rPr>
                <w:rFonts w:ascii="Arial" w:hAnsi="Arial" w:cs="Arial"/>
                <w:b/>
                <w:bCs/>
                <w:sz w:val="22"/>
                <w:szCs w:val="22"/>
              </w:rPr>
              <w:t>ssistance (ODA)</w:t>
            </w:r>
          </w:p>
        </w:tc>
        <w:tc>
          <w:tcPr>
            <w:tcW w:w="8363" w:type="dxa"/>
            <w:vAlign w:val="center"/>
          </w:tcPr>
          <w:p w14:paraId="16D6C4B0" w14:textId="689E8DDD"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ODA, as defined by the Development Assistance Committee (DAC) of the OECD, consists of </w:t>
            </w:r>
            <w:r>
              <w:rPr>
                <w:rFonts w:ascii="Arial" w:hAnsi="Arial" w:cs="Arial"/>
                <w:sz w:val="22"/>
                <w:szCs w:val="22"/>
              </w:rPr>
              <w:t xml:space="preserve">financial </w:t>
            </w:r>
            <w:r w:rsidRPr="009423B7">
              <w:rPr>
                <w:rFonts w:ascii="Arial" w:hAnsi="Arial" w:cs="Arial"/>
                <w:sz w:val="22"/>
                <w:szCs w:val="22"/>
              </w:rPr>
              <w:t>flows to countries and territories on the DAC List of ODA Recipients and to multilateral development institutions which are:</w:t>
            </w:r>
          </w:p>
          <w:p w14:paraId="3BDEC140" w14:textId="1172AE2D" w:rsidR="00682E69" w:rsidRPr="009423B7" w:rsidRDefault="00682E69" w:rsidP="00682E69">
            <w:pPr>
              <w:pStyle w:val="BodyText"/>
              <w:numPr>
                <w:ilvl w:val="0"/>
                <w:numId w:val="1"/>
              </w:numPr>
              <w:rPr>
                <w:rFonts w:ascii="Arial" w:hAnsi="Arial" w:cs="Arial"/>
                <w:sz w:val="22"/>
                <w:szCs w:val="22"/>
              </w:rPr>
            </w:pPr>
            <w:r w:rsidRPr="009423B7">
              <w:rPr>
                <w:rFonts w:ascii="Arial" w:hAnsi="Arial" w:cs="Arial"/>
                <w:sz w:val="22"/>
                <w:szCs w:val="22"/>
              </w:rPr>
              <w:t>provided by official agencies, including state and local government, or by their executive agencies</w:t>
            </w:r>
          </w:p>
          <w:p w14:paraId="32C91399" w14:textId="77777777" w:rsidR="000C127E" w:rsidRDefault="00682E69" w:rsidP="00682E69">
            <w:pPr>
              <w:pStyle w:val="BodyText"/>
              <w:numPr>
                <w:ilvl w:val="0"/>
                <w:numId w:val="1"/>
              </w:numPr>
              <w:rPr>
                <w:rFonts w:ascii="Arial" w:hAnsi="Arial" w:cs="Arial"/>
                <w:sz w:val="22"/>
                <w:szCs w:val="22"/>
              </w:rPr>
            </w:pPr>
            <w:r w:rsidRPr="009423B7">
              <w:rPr>
                <w:rFonts w:ascii="Arial" w:hAnsi="Arial" w:cs="Arial"/>
                <w:sz w:val="22"/>
                <w:szCs w:val="22"/>
              </w:rPr>
              <w:t xml:space="preserve">each transaction of which is administered with the promotion of the economic development and welfare of developing countries as its main objective; and </w:t>
            </w:r>
          </w:p>
          <w:p w14:paraId="00040D35" w14:textId="41213A5F" w:rsidR="00682E69" w:rsidRPr="009423B7" w:rsidRDefault="00682E69" w:rsidP="000C127E">
            <w:pPr>
              <w:pStyle w:val="BodyText"/>
              <w:numPr>
                <w:ilvl w:val="0"/>
                <w:numId w:val="1"/>
              </w:numPr>
              <w:rPr>
                <w:rFonts w:ascii="Arial" w:hAnsi="Arial" w:cs="Arial"/>
                <w:sz w:val="22"/>
                <w:szCs w:val="22"/>
              </w:rPr>
            </w:pPr>
            <w:r w:rsidRPr="5F903D0E">
              <w:rPr>
                <w:rFonts w:ascii="Arial" w:hAnsi="Arial" w:cs="Arial"/>
                <w:sz w:val="22"/>
                <w:szCs w:val="22"/>
              </w:rPr>
              <w:t>is concessional in character and conveys a grant element of at least 25 per cent (calculated at a rate of discount of 10 per cent).</w:t>
            </w:r>
          </w:p>
        </w:tc>
      </w:tr>
      <w:tr w:rsidR="00682E69" w:rsidRPr="009423B7" w14:paraId="4C85418C" w14:textId="77777777" w:rsidTr="2338B082">
        <w:trPr>
          <w:trHeight w:val="1124"/>
        </w:trPr>
        <w:tc>
          <w:tcPr>
            <w:tcW w:w="2127" w:type="dxa"/>
            <w:vAlign w:val="center"/>
          </w:tcPr>
          <w:p w14:paraId="361AFCDB" w14:textId="4B893CCA"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lastRenderedPageBreak/>
              <w:t>Outcome</w:t>
            </w:r>
          </w:p>
        </w:tc>
        <w:tc>
          <w:tcPr>
            <w:tcW w:w="8363" w:type="dxa"/>
          </w:tcPr>
          <w:p w14:paraId="249D64B5" w14:textId="666564B2" w:rsidR="00682E69" w:rsidRPr="009423B7" w:rsidRDefault="00682E69" w:rsidP="00682E69">
            <w:pPr>
              <w:pStyle w:val="BodyText"/>
              <w:rPr>
                <w:rFonts w:ascii="Arial" w:hAnsi="Arial" w:cs="Arial"/>
                <w:sz w:val="22"/>
                <w:szCs w:val="22"/>
              </w:rPr>
            </w:pPr>
            <w:r w:rsidRPr="009423B7">
              <w:rPr>
                <w:rFonts w:ascii="Arial" w:hAnsi="Arial" w:cs="Arial"/>
                <w:b/>
                <w:bCs/>
                <w:iCs/>
                <w:noProof/>
                <w:sz w:val="22"/>
                <w:szCs w:val="22"/>
              </w:rPr>
              <w:t>End-of-</w:t>
            </w:r>
            <w:r>
              <w:rPr>
                <w:rFonts w:ascii="Arial" w:hAnsi="Arial" w:cs="Arial"/>
                <w:b/>
                <w:bCs/>
                <w:iCs/>
                <w:noProof/>
                <w:sz w:val="22"/>
                <w:szCs w:val="22"/>
              </w:rPr>
              <w:t>Program</w:t>
            </w:r>
            <w:r w:rsidRPr="009423B7">
              <w:rPr>
                <w:rFonts w:ascii="Arial" w:hAnsi="Arial" w:cs="Arial"/>
                <w:b/>
                <w:bCs/>
                <w:iCs/>
                <w:noProof/>
                <w:sz w:val="22"/>
                <w:szCs w:val="22"/>
              </w:rPr>
              <w:t xml:space="preserve"> Outcome</w:t>
            </w:r>
            <w:r w:rsidR="00F45CE3">
              <w:rPr>
                <w:rFonts w:ascii="Arial" w:hAnsi="Arial" w:cs="Arial"/>
                <w:b/>
                <w:bCs/>
                <w:iCs/>
                <w:noProof/>
                <w:sz w:val="22"/>
                <w:szCs w:val="22"/>
              </w:rPr>
              <w:t xml:space="preserve"> (EOPO)</w:t>
            </w:r>
            <w:r w:rsidRPr="009423B7">
              <w:rPr>
                <w:rFonts w:ascii="Arial" w:hAnsi="Arial" w:cs="Arial"/>
                <w:sz w:val="22"/>
                <w:szCs w:val="22"/>
              </w:rPr>
              <w:br/>
              <w:t xml:space="preserve">The desired development change </w:t>
            </w:r>
            <w:r>
              <w:rPr>
                <w:rFonts w:ascii="Arial" w:hAnsi="Arial" w:cs="Arial"/>
                <w:sz w:val="22"/>
                <w:szCs w:val="22"/>
              </w:rPr>
              <w:t xml:space="preserve">among counterparts, change agents or beneficiaries </w:t>
            </w:r>
            <w:r w:rsidRPr="009423B7">
              <w:rPr>
                <w:rFonts w:ascii="Arial" w:hAnsi="Arial" w:cs="Arial"/>
                <w:sz w:val="22"/>
                <w:szCs w:val="22"/>
              </w:rPr>
              <w:t xml:space="preserve">that can be achieved within the timeframe of the investment. </w:t>
            </w:r>
          </w:p>
          <w:p w14:paraId="452D4055" w14:textId="4852B84F" w:rsidR="00682E69" w:rsidRPr="009423B7" w:rsidRDefault="00682E69" w:rsidP="00682E69">
            <w:pPr>
              <w:pStyle w:val="BodyText"/>
              <w:rPr>
                <w:rFonts w:ascii="Arial" w:hAnsi="Arial" w:cs="Arial"/>
                <w:sz w:val="22"/>
                <w:szCs w:val="22"/>
              </w:rPr>
            </w:pPr>
            <w:r>
              <w:rPr>
                <w:rFonts w:ascii="Arial" w:hAnsi="Arial" w:cs="Arial"/>
                <w:sz w:val="22"/>
                <w:szCs w:val="22"/>
              </w:rPr>
              <w:t>Outcomes should</w:t>
            </w:r>
            <w:r w:rsidRPr="009423B7">
              <w:rPr>
                <w:rFonts w:ascii="Arial" w:hAnsi="Arial" w:cs="Arial"/>
                <w:sz w:val="22"/>
                <w:szCs w:val="22"/>
              </w:rPr>
              <w:t xml:space="preserve"> define: an ‘end state’ when the outcome has been achieved; who or what is expected to change; the type of change expected to occur: knowledge (awareness of new ideas, techniques or strategies); action (behaviour change based upon new information/ideas); or condition (organisational or societal conditions changes due to the stakeholder’s actions); and the time by which the change is expected to occur.</w:t>
            </w:r>
          </w:p>
          <w:p w14:paraId="383E63BE" w14:textId="7409C8C7" w:rsidR="00682E69" w:rsidRPr="009423B7" w:rsidRDefault="00682E69" w:rsidP="00682E69">
            <w:pPr>
              <w:pStyle w:val="BodyText"/>
              <w:rPr>
                <w:rFonts w:ascii="Arial" w:hAnsi="Arial" w:cs="Arial"/>
                <w:sz w:val="22"/>
                <w:szCs w:val="22"/>
              </w:rPr>
            </w:pPr>
            <w:r w:rsidRPr="009423B7">
              <w:rPr>
                <w:rFonts w:ascii="Arial" w:hAnsi="Arial" w:cs="Arial"/>
                <w:b/>
                <w:bCs/>
                <w:noProof/>
                <w:sz w:val="22"/>
                <w:szCs w:val="22"/>
              </w:rPr>
              <w:t>Intermediate Outcome</w:t>
            </w:r>
            <w:r w:rsidRPr="009423B7">
              <w:rPr>
                <w:rFonts w:ascii="Arial" w:hAnsi="Arial" w:cs="Arial"/>
                <w:b/>
                <w:sz w:val="22"/>
                <w:szCs w:val="22"/>
              </w:rPr>
              <w:br/>
            </w:r>
            <w:r w:rsidRPr="009423B7">
              <w:rPr>
                <w:rFonts w:ascii="Arial" w:hAnsi="Arial" w:cs="Arial"/>
                <w:sz w:val="22"/>
                <w:szCs w:val="22"/>
              </w:rPr>
              <w:t xml:space="preserve">The short and medium-term effects of an investment’s outputs. Short term outcomes include changes in knowledge, attitudes, skills, while medium term outcomes often reflect changes in behaviour, </w:t>
            </w:r>
            <w:proofErr w:type="gramStart"/>
            <w:r w:rsidRPr="009423B7">
              <w:rPr>
                <w:rFonts w:ascii="Arial" w:hAnsi="Arial" w:cs="Arial"/>
                <w:sz w:val="22"/>
                <w:szCs w:val="22"/>
              </w:rPr>
              <w:t>practice</w:t>
            </w:r>
            <w:proofErr w:type="gramEnd"/>
            <w:r w:rsidRPr="009423B7">
              <w:rPr>
                <w:rFonts w:ascii="Arial" w:hAnsi="Arial" w:cs="Arial"/>
                <w:sz w:val="22"/>
                <w:szCs w:val="22"/>
              </w:rPr>
              <w:t xml:space="preserve"> and decisions.</w:t>
            </w:r>
          </w:p>
        </w:tc>
      </w:tr>
      <w:tr w:rsidR="00682E69" w:rsidRPr="009423B7" w14:paraId="458C8E69" w14:textId="77777777" w:rsidTr="2338B082">
        <w:tc>
          <w:tcPr>
            <w:tcW w:w="2127" w:type="dxa"/>
            <w:vAlign w:val="center"/>
          </w:tcPr>
          <w:p w14:paraId="2F306350"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Output</w:t>
            </w:r>
          </w:p>
        </w:tc>
        <w:tc>
          <w:tcPr>
            <w:tcW w:w="8363" w:type="dxa"/>
            <w:vAlign w:val="center"/>
          </w:tcPr>
          <w:p w14:paraId="6E5ECA87" w14:textId="4009A78C"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The products, goods and services </w:t>
            </w:r>
            <w:r>
              <w:rPr>
                <w:rFonts w:ascii="Arial" w:hAnsi="Arial" w:cs="Arial"/>
                <w:sz w:val="22"/>
                <w:szCs w:val="22"/>
              </w:rPr>
              <w:t>delivered by</w:t>
            </w:r>
            <w:r w:rsidRPr="009423B7">
              <w:rPr>
                <w:rFonts w:ascii="Arial" w:hAnsi="Arial" w:cs="Arial"/>
                <w:sz w:val="22"/>
                <w:szCs w:val="22"/>
              </w:rPr>
              <w:t xml:space="preserve"> a development investment. </w:t>
            </w:r>
            <w:r>
              <w:rPr>
                <w:rFonts w:ascii="Arial" w:hAnsi="Arial" w:cs="Arial"/>
                <w:sz w:val="22"/>
                <w:szCs w:val="22"/>
              </w:rPr>
              <w:t xml:space="preserve"> Outputs are delivered to influence the performance or behaviour of counterparts or change agents.  </w:t>
            </w:r>
          </w:p>
        </w:tc>
      </w:tr>
      <w:tr w:rsidR="00682E69" w:rsidRPr="009423B7" w14:paraId="7CF2E792" w14:textId="77777777" w:rsidTr="2338B082">
        <w:tc>
          <w:tcPr>
            <w:tcW w:w="2127" w:type="dxa"/>
            <w:vAlign w:val="center"/>
          </w:tcPr>
          <w:p w14:paraId="3C40253E"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Performance Assessment Framework (PAF)</w:t>
            </w:r>
          </w:p>
        </w:tc>
        <w:tc>
          <w:tcPr>
            <w:tcW w:w="8363" w:type="dxa"/>
            <w:vAlign w:val="center"/>
          </w:tcPr>
          <w:p w14:paraId="03E17FDD" w14:textId="7B7B56B3"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A planning and management tool to help programs manage for and report on </w:t>
            </w:r>
            <w:r>
              <w:rPr>
                <w:rFonts w:ascii="Arial" w:hAnsi="Arial" w:cs="Arial"/>
                <w:sz w:val="22"/>
                <w:szCs w:val="22"/>
              </w:rPr>
              <w:t xml:space="preserve">intended/projected/planned </w:t>
            </w:r>
            <w:r w:rsidRPr="009423B7">
              <w:rPr>
                <w:rFonts w:ascii="Arial" w:hAnsi="Arial" w:cs="Arial"/>
                <w:sz w:val="22"/>
                <w:szCs w:val="22"/>
              </w:rPr>
              <w:t>results. Fulfils the same function as a monitoring and evaluation framework for an investment, but for country and regional programs</w:t>
            </w:r>
            <w:r>
              <w:rPr>
                <w:rFonts w:ascii="Arial" w:hAnsi="Arial" w:cs="Arial"/>
                <w:sz w:val="22"/>
                <w:szCs w:val="22"/>
              </w:rPr>
              <w:t xml:space="preserve">, </w:t>
            </w:r>
            <w:proofErr w:type="gramStart"/>
            <w:r>
              <w:rPr>
                <w:rFonts w:ascii="Arial" w:hAnsi="Arial" w:cs="Arial"/>
                <w:sz w:val="22"/>
                <w:szCs w:val="22"/>
              </w:rPr>
              <w:t>facilities</w:t>
            </w:r>
            <w:proofErr w:type="gramEnd"/>
            <w:r>
              <w:rPr>
                <w:rFonts w:ascii="Arial" w:hAnsi="Arial" w:cs="Arial"/>
                <w:sz w:val="22"/>
                <w:szCs w:val="22"/>
              </w:rPr>
              <w:t xml:space="preserve"> or sector portfolios</w:t>
            </w:r>
            <w:r w:rsidRPr="009423B7">
              <w:rPr>
                <w:rFonts w:ascii="Arial" w:hAnsi="Arial" w:cs="Arial"/>
                <w:sz w:val="22"/>
                <w:szCs w:val="22"/>
              </w:rPr>
              <w:t>. A Performance Assessment Framework should set out, in a concise way, a program’s objectives, the cause-and-effect logic underlying the program, and how progress will be monitored and evaluated.</w:t>
            </w:r>
          </w:p>
        </w:tc>
      </w:tr>
      <w:tr w:rsidR="00682E69" w:rsidRPr="009423B7" w14:paraId="697A2597" w14:textId="77777777" w:rsidTr="2338B082">
        <w:tc>
          <w:tcPr>
            <w:tcW w:w="2127" w:type="dxa"/>
            <w:vAlign w:val="center"/>
          </w:tcPr>
          <w:p w14:paraId="343E9161"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Program</w:t>
            </w:r>
          </w:p>
        </w:tc>
        <w:tc>
          <w:tcPr>
            <w:tcW w:w="8363" w:type="dxa"/>
            <w:vAlign w:val="center"/>
          </w:tcPr>
          <w:p w14:paraId="5F5C0D61"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A group of related investments managed in a coordinated way to achieve objectives and outcomes. The department has regional, country, global and thematic programs.</w:t>
            </w:r>
          </w:p>
        </w:tc>
      </w:tr>
      <w:tr w:rsidR="00682E69" w:rsidRPr="009423B7" w14:paraId="118F2D58" w14:textId="77777777" w:rsidTr="2338B082">
        <w:trPr>
          <w:trHeight w:val="1459"/>
        </w:trPr>
        <w:tc>
          <w:tcPr>
            <w:tcW w:w="2127" w:type="dxa"/>
            <w:vAlign w:val="center"/>
          </w:tcPr>
          <w:p w14:paraId="6ED544B2" w14:textId="2B86960B" w:rsidR="00682E69" w:rsidRPr="009423B7" w:rsidRDefault="00682E69" w:rsidP="00682E69">
            <w:pPr>
              <w:pStyle w:val="TableText"/>
              <w:rPr>
                <w:rFonts w:ascii="Arial" w:hAnsi="Arial" w:cs="Arial"/>
                <w:b/>
                <w:bCs/>
                <w:sz w:val="22"/>
                <w:szCs w:val="22"/>
              </w:rPr>
            </w:pPr>
            <w:r>
              <w:rPr>
                <w:rFonts w:ascii="Arial" w:hAnsi="Arial" w:cs="Arial"/>
                <w:b/>
                <w:bCs/>
                <w:sz w:val="22"/>
                <w:szCs w:val="22"/>
              </w:rPr>
              <w:t>Program Fund Manager</w:t>
            </w:r>
          </w:p>
        </w:tc>
        <w:tc>
          <w:tcPr>
            <w:tcW w:w="8363" w:type="dxa"/>
            <w:vAlign w:val="center"/>
          </w:tcPr>
          <w:p w14:paraId="06B9661D" w14:textId="3AA9BABC" w:rsidR="00682E69" w:rsidRPr="009423B7" w:rsidRDefault="00682E69" w:rsidP="00682E69">
            <w:pPr>
              <w:pStyle w:val="BodyText"/>
              <w:rPr>
                <w:rFonts w:ascii="Arial" w:hAnsi="Arial" w:cs="Arial"/>
                <w:sz w:val="22"/>
                <w:szCs w:val="22"/>
              </w:rPr>
            </w:pPr>
            <w:r w:rsidRPr="00103220">
              <w:rPr>
                <w:rFonts w:ascii="Arial" w:hAnsi="Arial" w:cs="Arial"/>
                <w:sz w:val="22"/>
                <w:szCs w:val="22"/>
              </w:rPr>
              <w:t xml:space="preserve">The Program Fund Manager is responsible for managing the Program Fund and associated Program Fund budget. The Program Fund Manager also has oversight of the Program Fund Plan that outlines the forward years spending across objectives, </w:t>
            </w:r>
            <w:proofErr w:type="gramStart"/>
            <w:r w:rsidRPr="00103220">
              <w:rPr>
                <w:rFonts w:ascii="Arial" w:hAnsi="Arial" w:cs="Arial"/>
                <w:sz w:val="22"/>
                <w:szCs w:val="22"/>
              </w:rPr>
              <w:t>sectors</w:t>
            </w:r>
            <w:proofErr w:type="gramEnd"/>
            <w:r w:rsidRPr="00103220">
              <w:rPr>
                <w:rFonts w:ascii="Arial" w:hAnsi="Arial" w:cs="Arial"/>
                <w:sz w:val="22"/>
                <w:szCs w:val="22"/>
              </w:rPr>
              <w:t xml:space="preserve"> and thematic areas. The Program Fund Manager can update their Program Fund details; create new program fund plans, add countries to their program fund and create new business groups.</w:t>
            </w:r>
          </w:p>
        </w:tc>
      </w:tr>
      <w:tr w:rsidR="00682E69" w:rsidRPr="009423B7" w14:paraId="737033AF" w14:textId="77777777" w:rsidTr="2338B082">
        <w:trPr>
          <w:trHeight w:val="1459"/>
        </w:trPr>
        <w:tc>
          <w:tcPr>
            <w:tcW w:w="2127" w:type="dxa"/>
            <w:vAlign w:val="center"/>
          </w:tcPr>
          <w:p w14:paraId="588886ED" w14:textId="67780E4F" w:rsidR="00682E69" w:rsidRPr="009423B7" w:rsidRDefault="00682E69" w:rsidP="00682E69">
            <w:pPr>
              <w:pStyle w:val="TableText"/>
              <w:rPr>
                <w:rFonts w:ascii="Arial" w:hAnsi="Arial" w:cs="Arial"/>
                <w:b/>
                <w:bCs/>
                <w:sz w:val="22"/>
                <w:szCs w:val="22"/>
              </w:rPr>
            </w:pPr>
            <w:r>
              <w:rPr>
                <w:rFonts w:ascii="Arial" w:hAnsi="Arial" w:cs="Arial"/>
                <w:b/>
                <w:bCs/>
                <w:sz w:val="22"/>
                <w:szCs w:val="22"/>
              </w:rPr>
              <w:lastRenderedPageBreak/>
              <w:t>Program Fund Plan Coordinator</w:t>
            </w:r>
          </w:p>
        </w:tc>
        <w:tc>
          <w:tcPr>
            <w:tcW w:w="8363" w:type="dxa"/>
            <w:vAlign w:val="center"/>
          </w:tcPr>
          <w:p w14:paraId="08AD17A1" w14:textId="44F86732" w:rsidR="00682E69" w:rsidRPr="00A278F8" w:rsidRDefault="00682E69" w:rsidP="00682E69">
            <w:pPr>
              <w:pStyle w:val="BodyText"/>
              <w:rPr>
                <w:rFonts w:ascii="Arial" w:hAnsi="Arial" w:cs="Arial"/>
                <w:sz w:val="22"/>
                <w:szCs w:val="22"/>
              </w:rPr>
            </w:pPr>
            <w:r w:rsidRPr="00103220">
              <w:rPr>
                <w:rFonts w:ascii="Arial" w:hAnsi="Arial" w:cs="Arial"/>
                <w:sz w:val="22"/>
                <w:szCs w:val="22"/>
              </w:rPr>
              <w:t xml:space="preserve">The Program Fund Plan Coordinator is responsible for managing the Program Fund Plan and the pipeline of investments over forward financial years; creating new investments; submitting significant PFP changes to the Program Fund Manager for approval and monitoring underlying investments. The PFP coordinator also has access to the Program and Program Fund level </w:t>
            </w:r>
            <w:proofErr w:type="gramStart"/>
            <w:r w:rsidRPr="00103220">
              <w:rPr>
                <w:rFonts w:ascii="Arial" w:hAnsi="Arial" w:cs="Arial"/>
                <w:sz w:val="22"/>
                <w:szCs w:val="22"/>
              </w:rPr>
              <w:t>in order to</w:t>
            </w:r>
            <w:proofErr w:type="gramEnd"/>
            <w:r w:rsidRPr="00103220">
              <w:rPr>
                <w:rFonts w:ascii="Arial" w:hAnsi="Arial" w:cs="Arial"/>
                <w:sz w:val="22"/>
                <w:szCs w:val="22"/>
              </w:rPr>
              <w:t xml:space="preserve"> maintain countries and objectives.</w:t>
            </w:r>
          </w:p>
        </w:tc>
      </w:tr>
      <w:tr w:rsidR="00682E69" w:rsidRPr="009423B7" w14:paraId="453F70D1" w14:textId="77777777" w:rsidTr="2338B082">
        <w:trPr>
          <w:trHeight w:val="1459"/>
        </w:trPr>
        <w:tc>
          <w:tcPr>
            <w:tcW w:w="2127" w:type="dxa"/>
            <w:vAlign w:val="center"/>
          </w:tcPr>
          <w:p w14:paraId="149C1EE4"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Program logic</w:t>
            </w:r>
          </w:p>
        </w:tc>
        <w:tc>
          <w:tcPr>
            <w:tcW w:w="8363" w:type="dxa"/>
            <w:vAlign w:val="center"/>
          </w:tcPr>
          <w:p w14:paraId="4459D4A4" w14:textId="3F560654" w:rsidR="00682E69" w:rsidRPr="009423B7" w:rsidRDefault="00682E69" w:rsidP="00682E69">
            <w:pPr>
              <w:pStyle w:val="BodyText"/>
              <w:rPr>
                <w:rFonts w:ascii="Arial" w:hAnsi="Arial" w:cs="Arial"/>
                <w:sz w:val="22"/>
                <w:szCs w:val="22"/>
              </w:rPr>
            </w:pPr>
            <w:r w:rsidRPr="009423B7">
              <w:rPr>
                <w:rFonts w:ascii="Arial" w:hAnsi="Arial" w:cs="Arial"/>
                <w:sz w:val="22"/>
                <w:szCs w:val="22"/>
              </w:rPr>
              <w:t>The causal sequence for an investment or program that stipulates the proposed sequence to achieve desired objectives—beginning with inputs, moving through activities, outputs</w:t>
            </w:r>
            <w:r>
              <w:rPr>
                <w:rFonts w:ascii="Arial" w:hAnsi="Arial" w:cs="Arial"/>
                <w:sz w:val="22"/>
                <w:szCs w:val="22"/>
              </w:rPr>
              <w:t xml:space="preserve">, intermediate </w:t>
            </w:r>
            <w:proofErr w:type="gramStart"/>
            <w:r>
              <w:rPr>
                <w:rFonts w:ascii="Arial" w:hAnsi="Arial" w:cs="Arial"/>
                <w:sz w:val="22"/>
                <w:szCs w:val="22"/>
              </w:rPr>
              <w:t>outcomes</w:t>
            </w:r>
            <w:proofErr w:type="gramEnd"/>
            <w:r w:rsidRPr="009423B7">
              <w:rPr>
                <w:rFonts w:ascii="Arial" w:hAnsi="Arial" w:cs="Arial"/>
                <w:sz w:val="22"/>
                <w:szCs w:val="22"/>
              </w:rPr>
              <w:t xml:space="preserve"> and </w:t>
            </w:r>
            <w:r>
              <w:rPr>
                <w:rFonts w:ascii="Arial" w:hAnsi="Arial" w:cs="Arial"/>
                <w:sz w:val="22"/>
                <w:szCs w:val="22"/>
              </w:rPr>
              <w:t xml:space="preserve">end-of-program </w:t>
            </w:r>
            <w:r w:rsidRPr="009423B7">
              <w:rPr>
                <w:rFonts w:ascii="Arial" w:hAnsi="Arial" w:cs="Arial"/>
                <w:sz w:val="22"/>
                <w:szCs w:val="22"/>
              </w:rPr>
              <w:t xml:space="preserve">outcomes and culminating in impacts. This is also sometimes referred to as a results chain or theory of change. </w:t>
            </w:r>
          </w:p>
        </w:tc>
      </w:tr>
      <w:tr w:rsidR="00682E69" w:rsidRPr="009423B7" w14:paraId="67855F69" w14:textId="77777777" w:rsidTr="2338B082">
        <w:tc>
          <w:tcPr>
            <w:tcW w:w="2127" w:type="dxa"/>
            <w:vAlign w:val="center"/>
          </w:tcPr>
          <w:p w14:paraId="1FE74E2F" w14:textId="211FB461" w:rsidR="00682E69" w:rsidRPr="009423B7" w:rsidRDefault="00682E69" w:rsidP="00682E69">
            <w:pPr>
              <w:pStyle w:val="TableText"/>
              <w:rPr>
                <w:rFonts w:ascii="Arial" w:hAnsi="Arial" w:cs="Arial"/>
                <w:b/>
                <w:bCs/>
                <w:sz w:val="22"/>
                <w:szCs w:val="22"/>
              </w:rPr>
            </w:pPr>
            <w:r>
              <w:rPr>
                <w:rFonts w:ascii="Arial" w:hAnsi="Arial" w:cs="Arial"/>
                <w:b/>
                <w:bCs/>
                <w:sz w:val="22"/>
                <w:szCs w:val="22"/>
              </w:rPr>
              <w:t>Program Manager</w:t>
            </w:r>
          </w:p>
        </w:tc>
        <w:tc>
          <w:tcPr>
            <w:tcW w:w="8363" w:type="dxa"/>
            <w:vAlign w:val="center"/>
          </w:tcPr>
          <w:p w14:paraId="07AF34B3" w14:textId="77B2A040" w:rsidR="00682E69" w:rsidRPr="009423B7" w:rsidRDefault="00682E69" w:rsidP="00682E69">
            <w:pPr>
              <w:pStyle w:val="BodyText"/>
              <w:rPr>
                <w:rFonts w:ascii="Arial" w:hAnsi="Arial" w:cs="Arial"/>
                <w:sz w:val="22"/>
                <w:szCs w:val="22"/>
              </w:rPr>
            </w:pPr>
            <w:r w:rsidRPr="00103220">
              <w:rPr>
                <w:rFonts w:ascii="Arial" w:hAnsi="Arial" w:cs="Arial"/>
                <w:sz w:val="22"/>
                <w:szCs w:val="22"/>
              </w:rPr>
              <w:t xml:space="preserve">The Program Manager is responsible for overall management of the program. There can only be one </w:t>
            </w:r>
            <w:r>
              <w:rPr>
                <w:rFonts w:ascii="Arial" w:hAnsi="Arial" w:cs="Arial"/>
                <w:sz w:val="22"/>
                <w:szCs w:val="22"/>
              </w:rPr>
              <w:t xml:space="preserve">AidWorks </w:t>
            </w:r>
            <w:r w:rsidRPr="00103220">
              <w:rPr>
                <w:rFonts w:ascii="Arial" w:hAnsi="Arial" w:cs="Arial"/>
                <w:sz w:val="22"/>
                <w:szCs w:val="22"/>
              </w:rPr>
              <w:t>user with the role of Program Manager for a particular Program.</w:t>
            </w:r>
          </w:p>
        </w:tc>
      </w:tr>
      <w:tr w:rsidR="00682E69" w:rsidRPr="009423B7" w14:paraId="531D0A75" w14:textId="77777777" w:rsidTr="2338B082">
        <w:tc>
          <w:tcPr>
            <w:tcW w:w="2127" w:type="dxa"/>
            <w:vAlign w:val="center"/>
          </w:tcPr>
          <w:p w14:paraId="659B3919"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Quality assurance</w:t>
            </w:r>
          </w:p>
        </w:tc>
        <w:tc>
          <w:tcPr>
            <w:tcW w:w="8363" w:type="dxa"/>
            <w:vAlign w:val="center"/>
          </w:tcPr>
          <w:p w14:paraId="0EEA71D1" w14:textId="77B25EB3"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Any activity concerned with assessing and improving the merit or worth of a management process or investment or its compliance with accepted standards. Peer review and appraisal are the most common forms of </w:t>
            </w:r>
            <w:r w:rsidR="000750AD">
              <w:rPr>
                <w:rFonts w:ascii="Arial" w:hAnsi="Arial" w:cs="Arial"/>
                <w:sz w:val="22"/>
                <w:szCs w:val="22"/>
              </w:rPr>
              <w:t>development program</w:t>
            </w:r>
            <w:r w:rsidRPr="009423B7">
              <w:rPr>
                <w:rFonts w:ascii="Arial" w:hAnsi="Arial" w:cs="Arial"/>
                <w:sz w:val="22"/>
                <w:szCs w:val="22"/>
              </w:rPr>
              <w:t xml:space="preserve"> quality assurance.</w:t>
            </w:r>
          </w:p>
        </w:tc>
      </w:tr>
      <w:tr w:rsidR="00682E69" w:rsidRPr="009423B7" w14:paraId="4D6ADA1E" w14:textId="77777777" w:rsidTr="2338B082">
        <w:tc>
          <w:tcPr>
            <w:tcW w:w="2127" w:type="dxa"/>
            <w:vAlign w:val="center"/>
          </w:tcPr>
          <w:p w14:paraId="1C2718CD"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Relevance</w:t>
            </w:r>
          </w:p>
        </w:tc>
        <w:tc>
          <w:tcPr>
            <w:tcW w:w="8363" w:type="dxa"/>
            <w:vAlign w:val="center"/>
          </w:tcPr>
          <w:p w14:paraId="22EF3256"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An investment is relevant if it is consistent with beneficiary requirements, country needs, national priorities and partner and donor policies.</w:t>
            </w:r>
          </w:p>
        </w:tc>
      </w:tr>
      <w:tr w:rsidR="00682E69" w:rsidRPr="009423B7" w14:paraId="33E7CE94" w14:textId="77777777" w:rsidTr="2338B082">
        <w:tc>
          <w:tcPr>
            <w:tcW w:w="2127" w:type="dxa"/>
            <w:vAlign w:val="center"/>
          </w:tcPr>
          <w:p w14:paraId="4202DF02"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Results</w:t>
            </w:r>
          </w:p>
        </w:tc>
        <w:tc>
          <w:tcPr>
            <w:tcW w:w="8363" w:type="dxa"/>
            <w:vAlign w:val="center"/>
          </w:tcPr>
          <w:p w14:paraId="033218A3" w14:textId="105DBCED" w:rsidR="00682E69" w:rsidRPr="009423B7" w:rsidRDefault="00682E69" w:rsidP="00682E69">
            <w:pPr>
              <w:pStyle w:val="BodyText"/>
              <w:rPr>
                <w:rFonts w:ascii="Arial" w:hAnsi="Arial" w:cs="Arial"/>
                <w:sz w:val="22"/>
                <w:szCs w:val="22"/>
              </w:rPr>
            </w:pPr>
            <w:r w:rsidRPr="009423B7">
              <w:rPr>
                <w:rFonts w:ascii="Arial" w:hAnsi="Arial" w:cs="Arial"/>
                <w:sz w:val="22"/>
                <w:szCs w:val="22"/>
              </w:rPr>
              <w:t>A generic term for an investment’s outputs, outcomes</w:t>
            </w:r>
            <w:r w:rsidR="00A02326">
              <w:rPr>
                <w:rFonts w:ascii="Arial" w:hAnsi="Arial" w:cs="Arial"/>
                <w:sz w:val="22"/>
                <w:szCs w:val="22"/>
              </w:rPr>
              <w:t>,</w:t>
            </w:r>
            <w:r w:rsidRPr="009423B7">
              <w:rPr>
                <w:rFonts w:ascii="Arial" w:hAnsi="Arial" w:cs="Arial"/>
                <w:sz w:val="22"/>
                <w:szCs w:val="22"/>
              </w:rPr>
              <w:t xml:space="preserve"> and long-term impacts.</w:t>
            </w:r>
          </w:p>
        </w:tc>
      </w:tr>
      <w:tr w:rsidR="00682E69" w:rsidRPr="009423B7" w14:paraId="2715EBFC" w14:textId="77777777" w:rsidTr="2338B082">
        <w:tc>
          <w:tcPr>
            <w:tcW w:w="2127" w:type="dxa"/>
            <w:vAlign w:val="center"/>
          </w:tcPr>
          <w:p w14:paraId="5EECC16F"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Results chain</w:t>
            </w:r>
          </w:p>
        </w:tc>
        <w:tc>
          <w:tcPr>
            <w:tcW w:w="8363" w:type="dxa"/>
            <w:vAlign w:val="center"/>
          </w:tcPr>
          <w:p w14:paraId="3BC59C9C"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See: </w:t>
            </w:r>
            <w:r w:rsidRPr="009423B7">
              <w:rPr>
                <w:rFonts w:ascii="Arial" w:hAnsi="Arial" w:cs="Arial"/>
                <w:b/>
                <w:sz w:val="22"/>
                <w:szCs w:val="22"/>
              </w:rPr>
              <w:t>Program logic</w:t>
            </w:r>
            <w:r w:rsidRPr="009423B7">
              <w:rPr>
                <w:rFonts w:ascii="Arial" w:hAnsi="Arial" w:cs="Arial"/>
                <w:sz w:val="22"/>
                <w:szCs w:val="22"/>
              </w:rPr>
              <w:t xml:space="preserve"> and </w:t>
            </w:r>
            <w:r w:rsidRPr="009423B7">
              <w:rPr>
                <w:rFonts w:ascii="Arial" w:hAnsi="Arial" w:cs="Arial"/>
                <w:b/>
                <w:sz w:val="22"/>
                <w:szCs w:val="22"/>
              </w:rPr>
              <w:t>theory of change.</w:t>
            </w:r>
          </w:p>
        </w:tc>
      </w:tr>
      <w:tr w:rsidR="00682E69" w:rsidRPr="009423B7" w14:paraId="486CF2F6" w14:textId="77777777" w:rsidTr="2338B082">
        <w:tc>
          <w:tcPr>
            <w:tcW w:w="2127" w:type="dxa"/>
            <w:vAlign w:val="center"/>
          </w:tcPr>
          <w:p w14:paraId="0F0AD7D3"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Review</w:t>
            </w:r>
          </w:p>
        </w:tc>
        <w:tc>
          <w:tcPr>
            <w:tcW w:w="8363" w:type="dxa"/>
            <w:vAlign w:val="center"/>
          </w:tcPr>
          <w:p w14:paraId="2E0672C0"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An evaluation with limited scope and scale. A review is a constrained evaluation, undertaken at a point of time using existing data, or data that can be quickly gathered.</w:t>
            </w:r>
          </w:p>
        </w:tc>
      </w:tr>
      <w:tr w:rsidR="00682E69" w:rsidRPr="003E5888" w14:paraId="073AC651" w14:textId="77777777" w:rsidTr="2338B082">
        <w:tc>
          <w:tcPr>
            <w:tcW w:w="2127" w:type="dxa"/>
            <w:vAlign w:val="center"/>
          </w:tcPr>
          <w:p w14:paraId="16B19E96" w14:textId="77777777" w:rsidR="00682E69" w:rsidRPr="003E5888" w:rsidRDefault="00682E69" w:rsidP="00682E69">
            <w:pPr>
              <w:pStyle w:val="TableText"/>
              <w:rPr>
                <w:rFonts w:ascii="Arial" w:hAnsi="Arial" w:cs="Arial"/>
                <w:b/>
                <w:bCs/>
                <w:sz w:val="22"/>
                <w:szCs w:val="22"/>
              </w:rPr>
            </w:pPr>
            <w:r w:rsidRPr="003E5888">
              <w:rPr>
                <w:rFonts w:ascii="Arial" w:hAnsi="Arial" w:cs="Arial"/>
                <w:b/>
                <w:bCs/>
                <w:sz w:val="22"/>
                <w:szCs w:val="22"/>
              </w:rPr>
              <w:t>Risk</w:t>
            </w:r>
          </w:p>
        </w:tc>
        <w:tc>
          <w:tcPr>
            <w:tcW w:w="8363" w:type="dxa"/>
            <w:vAlign w:val="center"/>
          </w:tcPr>
          <w:p w14:paraId="371DA474" w14:textId="1035F09B" w:rsidR="00682E69" w:rsidRPr="003E5888" w:rsidRDefault="00682E69" w:rsidP="00682E69">
            <w:pPr>
              <w:pStyle w:val="BodyText"/>
              <w:rPr>
                <w:rFonts w:ascii="Arial" w:hAnsi="Arial" w:cs="Arial"/>
                <w:sz w:val="22"/>
                <w:szCs w:val="22"/>
              </w:rPr>
            </w:pPr>
            <w:r w:rsidRPr="003E5888">
              <w:rPr>
                <w:rFonts w:ascii="Arial" w:hAnsi="Arial" w:cs="Arial"/>
                <w:sz w:val="22"/>
                <w:szCs w:val="22"/>
              </w:rPr>
              <w:t>The effect of uncertainty on the achievement of results.</w:t>
            </w:r>
          </w:p>
        </w:tc>
      </w:tr>
      <w:tr w:rsidR="00682E69" w:rsidRPr="003E5888" w14:paraId="733DEC1B" w14:textId="77777777" w:rsidTr="2338B082">
        <w:tc>
          <w:tcPr>
            <w:tcW w:w="2127" w:type="dxa"/>
            <w:vAlign w:val="center"/>
          </w:tcPr>
          <w:p w14:paraId="49066D62" w14:textId="77777777" w:rsidR="00682E69" w:rsidRPr="003E5888" w:rsidRDefault="00682E69" w:rsidP="00682E69">
            <w:pPr>
              <w:pStyle w:val="TableText"/>
              <w:rPr>
                <w:rFonts w:ascii="Arial" w:hAnsi="Arial" w:cs="Arial"/>
                <w:b/>
                <w:bCs/>
                <w:sz w:val="22"/>
                <w:szCs w:val="22"/>
              </w:rPr>
            </w:pPr>
            <w:r w:rsidRPr="003E5888">
              <w:rPr>
                <w:rFonts w:ascii="Arial" w:hAnsi="Arial" w:cs="Arial"/>
                <w:b/>
                <w:bCs/>
                <w:sz w:val="22"/>
                <w:szCs w:val="22"/>
              </w:rPr>
              <w:t>Risk analysis</w:t>
            </w:r>
          </w:p>
        </w:tc>
        <w:tc>
          <w:tcPr>
            <w:tcW w:w="8363" w:type="dxa"/>
            <w:vAlign w:val="center"/>
          </w:tcPr>
          <w:p w14:paraId="169F2AE9" w14:textId="77777777" w:rsidR="00682E69" w:rsidRPr="003E5888" w:rsidRDefault="00682E69" w:rsidP="00682E69">
            <w:pPr>
              <w:pStyle w:val="BodyText"/>
              <w:rPr>
                <w:rFonts w:ascii="Arial" w:hAnsi="Arial" w:cs="Arial"/>
                <w:sz w:val="22"/>
                <w:szCs w:val="22"/>
              </w:rPr>
            </w:pPr>
            <w:r w:rsidRPr="003E5888">
              <w:rPr>
                <w:rFonts w:ascii="Arial" w:hAnsi="Arial" w:cs="Arial"/>
                <w:sz w:val="22"/>
                <w:szCs w:val="22"/>
              </w:rPr>
              <w:t>An assessment of the factors affecting or likely to affect the probity of the department’s expenditure and operations or the successful achievement of results.</w:t>
            </w:r>
          </w:p>
        </w:tc>
      </w:tr>
      <w:tr w:rsidR="00682E69" w:rsidRPr="003E5888" w:rsidDel="00103220" w14:paraId="66E0E1F7" w14:textId="77777777" w:rsidTr="2338B082">
        <w:tc>
          <w:tcPr>
            <w:tcW w:w="2127" w:type="dxa"/>
            <w:vAlign w:val="center"/>
          </w:tcPr>
          <w:p w14:paraId="710E00B0" w14:textId="49D4DEBE" w:rsidR="00682E69" w:rsidRPr="003E5888" w:rsidRDefault="00682E69" w:rsidP="00682E69">
            <w:pPr>
              <w:pStyle w:val="TableText"/>
              <w:rPr>
                <w:rFonts w:ascii="Arial" w:hAnsi="Arial" w:cs="Arial"/>
                <w:b/>
                <w:bCs/>
                <w:sz w:val="22"/>
                <w:szCs w:val="22"/>
              </w:rPr>
            </w:pPr>
            <w:r w:rsidRPr="003E5888">
              <w:rPr>
                <w:rFonts w:ascii="Arial" w:hAnsi="Arial" w:cs="Arial"/>
                <w:b/>
                <w:bCs/>
                <w:sz w:val="22"/>
                <w:szCs w:val="22"/>
              </w:rPr>
              <w:t>Risk control</w:t>
            </w:r>
          </w:p>
        </w:tc>
        <w:tc>
          <w:tcPr>
            <w:tcW w:w="8363" w:type="dxa"/>
            <w:vAlign w:val="center"/>
          </w:tcPr>
          <w:p w14:paraId="413D4730" w14:textId="577CCA27" w:rsidR="00682E69" w:rsidRPr="003E5888" w:rsidRDefault="00682E69" w:rsidP="00682E69">
            <w:pPr>
              <w:pStyle w:val="BodyText"/>
              <w:rPr>
                <w:rFonts w:ascii="Arial" w:hAnsi="Arial" w:cs="Arial"/>
                <w:sz w:val="22"/>
                <w:szCs w:val="22"/>
              </w:rPr>
            </w:pPr>
            <w:r w:rsidRPr="003E5888">
              <w:rPr>
                <w:rFonts w:ascii="Arial" w:hAnsi="Arial" w:cs="Arial"/>
                <w:sz w:val="22"/>
                <w:szCs w:val="22"/>
              </w:rPr>
              <w:t>Measures in place to manage a risk.</w:t>
            </w:r>
          </w:p>
        </w:tc>
      </w:tr>
      <w:tr w:rsidR="00682E69" w:rsidRPr="003E5888" w:rsidDel="00103220" w14:paraId="4CA63B93" w14:textId="77777777" w:rsidTr="2338B082">
        <w:tc>
          <w:tcPr>
            <w:tcW w:w="2127" w:type="dxa"/>
            <w:vAlign w:val="center"/>
          </w:tcPr>
          <w:p w14:paraId="409DD3BF" w14:textId="5CF4B106" w:rsidR="00682E69" w:rsidRPr="003E5888" w:rsidDel="00103220" w:rsidRDefault="00682E69" w:rsidP="00682E69">
            <w:pPr>
              <w:pStyle w:val="TableText"/>
              <w:rPr>
                <w:rFonts w:ascii="Arial" w:hAnsi="Arial" w:cs="Arial"/>
                <w:b/>
                <w:bCs/>
                <w:sz w:val="22"/>
                <w:szCs w:val="22"/>
              </w:rPr>
            </w:pPr>
            <w:r w:rsidRPr="003E5888">
              <w:rPr>
                <w:rFonts w:ascii="Arial" w:hAnsi="Arial" w:cs="Arial"/>
                <w:b/>
                <w:bCs/>
                <w:sz w:val="22"/>
                <w:szCs w:val="22"/>
              </w:rPr>
              <w:lastRenderedPageBreak/>
              <w:t>Risk escalation</w:t>
            </w:r>
          </w:p>
        </w:tc>
        <w:tc>
          <w:tcPr>
            <w:tcW w:w="8363" w:type="dxa"/>
            <w:vAlign w:val="center"/>
          </w:tcPr>
          <w:p w14:paraId="01D111D8" w14:textId="5EE0989B" w:rsidR="00682E69" w:rsidRPr="003E5888" w:rsidDel="00103220" w:rsidRDefault="00682E69" w:rsidP="00682E69">
            <w:pPr>
              <w:pStyle w:val="BodyText"/>
              <w:rPr>
                <w:rFonts w:ascii="Arial" w:hAnsi="Arial" w:cs="Arial"/>
                <w:sz w:val="22"/>
                <w:szCs w:val="22"/>
              </w:rPr>
            </w:pPr>
            <w:r w:rsidRPr="003E5888">
              <w:rPr>
                <w:rFonts w:ascii="Arial" w:hAnsi="Arial" w:cs="Arial"/>
                <w:sz w:val="22"/>
                <w:szCs w:val="22"/>
              </w:rPr>
              <w:t>Raising awareness of risk with higher forums or decision-makers.</w:t>
            </w:r>
          </w:p>
        </w:tc>
      </w:tr>
      <w:tr w:rsidR="00682E69" w:rsidRPr="003E5888" w14:paraId="2DA0FB2F" w14:textId="77777777" w:rsidTr="2338B082">
        <w:tc>
          <w:tcPr>
            <w:tcW w:w="2127" w:type="dxa"/>
            <w:vAlign w:val="center"/>
          </w:tcPr>
          <w:p w14:paraId="671E4902" w14:textId="77777777" w:rsidR="00682E69" w:rsidRPr="003E5888" w:rsidRDefault="00682E69" w:rsidP="00682E69">
            <w:pPr>
              <w:pStyle w:val="TableText"/>
              <w:rPr>
                <w:rFonts w:ascii="Arial" w:hAnsi="Arial" w:cs="Arial"/>
                <w:b/>
                <w:bCs/>
                <w:sz w:val="22"/>
                <w:szCs w:val="22"/>
              </w:rPr>
            </w:pPr>
            <w:r w:rsidRPr="003E5888">
              <w:rPr>
                <w:rFonts w:ascii="Arial" w:hAnsi="Arial" w:cs="Arial"/>
                <w:b/>
                <w:bCs/>
                <w:sz w:val="22"/>
                <w:szCs w:val="22"/>
              </w:rPr>
              <w:t>Risk management</w:t>
            </w:r>
          </w:p>
        </w:tc>
        <w:tc>
          <w:tcPr>
            <w:tcW w:w="8363" w:type="dxa"/>
            <w:vAlign w:val="center"/>
          </w:tcPr>
          <w:p w14:paraId="0FE3B4EF" w14:textId="0273A25E" w:rsidR="00682E69" w:rsidRPr="003E5888" w:rsidRDefault="00682E69" w:rsidP="00682E69">
            <w:pPr>
              <w:pStyle w:val="BodyText"/>
              <w:rPr>
                <w:rFonts w:ascii="Arial" w:hAnsi="Arial" w:cs="Arial"/>
                <w:sz w:val="22"/>
                <w:szCs w:val="22"/>
              </w:rPr>
            </w:pPr>
            <w:r w:rsidRPr="003E5888">
              <w:rPr>
                <w:rFonts w:ascii="Arial" w:hAnsi="Arial" w:cs="Arial"/>
                <w:sz w:val="22"/>
                <w:szCs w:val="22"/>
              </w:rPr>
              <w:t>Identifying and analysing potential risks and opportunities, then developing proportionate, defensible management strategies that balance risk and treatment against benefits.</w:t>
            </w:r>
          </w:p>
        </w:tc>
      </w:tr>
      <w:tr w:rsidR="00682E69" w:rsidRPr="009423B7" w14:paraId="4263E034" w14:textId="77777777" w:rsidTr="2338B082">
        <w:trPr>
          <w:trHeight w:val="558"/>
        </w:trPr>
        <w:tc>
          <w:tcPr>
            <w:tcW w:w="2127" w:type="dxa"/>
            <w:vAlign w:val="center"/>
          </w:tcPr>
          <w:p w14:paraId="13D1030F" w14:textId="0C50C84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Safeguards</w:t>
            </w:r>
          </w:p>
        </w:tc>
        <w:tc>
          <w:tcPr>
            <w:tcW w:w="8363" w:type="dxa"/>
            <w:vAlign w:val="center"/>
          </w:tcPr>
          <w:p w14:paraId="546F06C7" w14:textId="282CA0BF" w:rsidR="00682E69" w:rsidRPr="009423B7" w:rsidRDefault="00682E69" w:rsidP="00682E69">
            <w:pPr>
              <w:pStyle w:val="BodyText"/>
              <w:rPr>
                <w:rFonts w:ascii="Arial" w:hAnsi="Arial" w:cs="Arial"/>
                <w:sz w:val="22"/>
                <w:szCs w:val="22"/>
              </w:rPr>
            </w:pPr>
            <w:r w:rsidRPr="009423B7">
              <w:rPr>
                <w:rFonts w:ascii="Arial" w:hAnsi="Arial" w:cs="Arial"/>
                <w:sz w:val="22"/>
                <w:szCs w:val="22"/>
              </w:rPr>
              <w:t>Mandatory requirements that apply to all investments to ensure potential adverse social and environmental impacts are identified and adequately addressed. Mandatory safeguard requirements are in place for environmental protection</w:t>
            </w:r>
            <w:r>
              <w:rPr>
                <w:rFonts w:ascii="Arial" w:hAnsi="Arial" w:cs="Arial"/>
                <w:sz w:val="22"/>
                <w:szCs w:val="22"/>
              </w:rPr>
              <w:t xml:space="preserve">, displacement and resettlement, </w:t>
            </w:r>
            <w:r w:rsidRPr="009423B7">
              <w:rPr>
                <w:rFonts w:ascii="Arial" w:hAnsi="Arial" w:cs="Arial"/>
                <w:sz w:val="22"/>
                <w:szCs w:val="22"/>
              </w:rPr>
              <w:t>child protection</w:t>
            </w:r>
            <w:r>
              <w:rPr>
                <w:rFonts w:ascii="Arial" w:hAnsi="Arial" w:cs="Arial"/>
                <w:sz w:val="22"/>
                <w:szCs w:val="22"/>
              </w:rPr>
              <w:t xml:space="preserve"> and prevention of sexual exploitation, </w:t>
            </w:r>
            <w:proofErr w:type="gramStart"/>
            <w:r>
              <w:rPr>
                <w:rFonts w:ascii="Arial" w:hAnsi="Arial" w:cs="Arial"/>
                <w:sz w:val="22"/>
                <w:szCs w:val="22"/>
              </w:rPr>
              <w:t>abuse</w:t>
            </w:r>
            <w:proofErr w:type="gramEnd"/>
            <w:r>
              <w:rPr>
                <w:rFonts w:ascii="Arial" w:hAnsi="Arial" w:cs="Arial"/>
                <w:sz w:val="22"/>
                <w:szCs w:val="22"/>
              </w:rPr>
              <w:t xml:space="preserve"> and harassment</w:t>
            </w:r>
            <w:r w:rsidRPr="009423B7">
              <w:rPr>
                <w:rFonts w:ascii="Arial" w:hAnsi="Arial" w:cs="Arial"/>
                <w:sz w:val="22"/>
                <w:szCs w:val="22"/>
              </w:rPr>
              <w:t>.</w:t>
            </w:r>
          </w:p>
        </w:tc>
      </w:tr>
      <w:tr w:rsidR="00682E69" w:rsidRPr="009423B7" w14:paraId="7C926694" w14:textId="77777777" w:rsidTr="2338B082">
        <w:tc>
          <w:tcPr>
            <w:tcW w:w="2127" w:type="dxa"/>
            <w:vAlign w:val="center"/>
          </w:tcPr>
          <w:p w14:paraId="62B3973E"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Sustainability</w:t>
            </w:r>
          </w:p>
        </w:tc>
        <w:tc>
          <w:tcPr>
            <w:tcW w:w="8363" w:type="dxa"/>
            <w:vAlign w:val="center"/>
          </w:tcPr>
          <w:p w14:paraId="1EBE10AC"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Whether the benefits of the activity will continue after Australia’s funding has ceased, with due account of partner government systems, stakeholder ownership and the phase-out strategy.</w:t>
            </w:r>
          </w:p>
        </w:tc>
      </w:tr>
      <w:tr w:rsidR="00682E69" w:rsidRPr="009423B7" w14:paraId="78728ADC" w14:textId="77777777" w:rsidTr="2338B082">
        <w:tc>
          <w:tcPr>
            <w:tcW w:w="2127" w:type="dxa"/>
            <w:vAlign w:val="center"/>
          </w:tcPr>
          <w:p w14:paraId="177642A4"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Terms of reference</w:t>
            </w:r>
          </w:p>
        </w:tc>
        <w:tc>
          <w:tcPr>
            <w:tcW w:w="8363" w:type="dxa"/>
            <w:vAlign w:val="center"/>
          </w:tcPr>
          <w:p w14:paraId="2EE73F42" w14:textId="77777777"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Written document detailing the requirements of a specific task. It typically outlines approach, methods, standards, reporting requirements and resources. </w:t>
            </w:r>
          </w:p>
        </w:tc>
      </w:tr>
      <w:tr w:rsidR="00682E69" w:rsidRPr="009423B7" w14:paraId="4FFBBC24" w14:textId="77777777" w:rsidTr="2338B082">
        <w:trPr>
          <w:trHeight w:val="1691"/>
        </w:trPr>
        <w:tc>
          <w:tcPr>
            <w:tcW w:w="2127" w:type="dxa"/>
            <w:vAlign w:val="center"/>
          </w:tcPr>
          <w:p w14:paraId="3F3A2077" w14:textId="77777777"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t>Theory of change</w:t>
            </w:r>
          </w:p>
          <w:p w14:paraId="5D46097D" w14:textId="57BE6BCB" w:rsidR="00682E69" w:rsidRPr="009423B7" w:rsidRDefault="00682E69" w:rsidP="00682E69">
            <w:pPr>
              <w:pStyle w:val="TableText"/>
              <w:rPr>
                <w:rFonts w:ascii="Arial" w:hAnsi="Arial" w:cs="Arial"/>
                <w:b/>
                <w:bCs/>
                <w:sz w:val="22"/>
                <w:szCs w:val="22"/>
              </w:rPr>
            </w:pPr>
          </w:p>
        </w:tc>
        <w:tc>
          <w:tcPr>
            <w:tcW w:w="8363" w:type="dxa"/>
            <w:vAlign w:val="center"/>
          </w:tcPr>
          <w:p w14:paraId="62E6EC15" w14:textId="0C921EFF" w:rsidR="00682E69" w:rsidRPr="009423B7" w:rsidRDefault="00682E69" w:rsidP="00682E69">
            <w:pPr>
              <w:pStyle w:val="BodyText"/>
              <w:rPr>
                <w:rFonts w:ascii="Arial" w:hAnsi="Arial" w:cs="Arial"/>
                <w:sz w:val="22"/>
                <w:szCs w:val="22"/>
              </w:rPr>
            </w:pPr>
            <w:r w:rsidRPr="009423B7">
              <w:rPr>
                <w:rFonts w:ascii="Arial" w:hAnsi="Arial" w:cs="Arial"/>
                <w:sz w:val="22"/>
                <w:szCs w:val="22"/>
              </w:rPr>
              <w:t xml:space="preserve">A diagram or description of how change is understood to occur in a particular context. For an investment, theory of change explains the mechanism of change by specifying the causal linkages in the investment (the relationship between outputs, intermediate </w:t>
            </w:r>
            <w:proofErr w:type="gramStart"/>
            <w:r w:rsidRPr="009423B7">
              <w:rPr>
                <w:rFonts w:ascii="Arial" w:hAnsi="Arial" w:cs="Arial"/>
                <w:sz w:val="22"/>
                <w:szCs w:val="22"/>
              </w:rPr>
              <w:t>outcomes</w:t>
            </w:r>
            <w:proofErr w:type="gramEnd"/>
            <w:r w:rsidRPr="009423B7">
              <w:rPr>
                <w:rFonts w:ascii="Arial" w:hAnsi="Arial" w:cs="Arial"/>
                <w:sz w:val="22"/>
                <w:szCs w:val="22"/>
              </w:rPr>
              <w:t xml:space="preserve"> and end of investment outcomes). In</w:t>
            </w:r>
            <w:r>
              <w:rPr>
                <w:rFonts w:ascii="Arial" w:hAnsi="Arial" w:cs="Arial"/>
                <w:sz w:val="22"/>
                <w:szCs w:val="22"/>
              </w:rPr>
              <w:t xml:space="preserve"> a</w:t>
            </w:r>
            <w:r w:rsidRPr="009423B7">
              <w:rPr>
                <w:rFonts w:ascii="Arial" w:hAnsi="Arial" w:cs="Arial"/>
                <w:sz w:val="22"/>
                <w:szCs w:val="22"/>
              </w:rPr>
              <w:t xml:space="preserve"> </w:t>
            </w:r>
            <w:r>
              <w:rPr>
                <w:rFonts w:ascii="Arial" w:hAnsi="Arial" w:cs="Arial"/>
                <w:sz w:val="22"/>
                <w:szCs w:val="22"/>
              </w:rPr>
              <w:t>portfolio</w:t>
            </w:r>
            <w:r w:rsidRPr="009423B7">
              <w:rPr>
                <w:rFonts w:ascii="Arial" w:hAnsi="Arial" w:cs="Arial"/>
                <w:sz w:val="22"/>
                <w:szCs w:val="22"/>
              </w:rPr>
              <w:t>, theory of change explains how a group of related investments work together to support the attainment of a higher-level objective.</w:t>
            </w:r>
          </w:p>
        </w:tc>
      </w:tr>
      <w:tr w:rsidR="00682E69" w:rsidRPr="001124CB" w14:paraId="0F62F039" w14:textId="77777777" w:rsidTr="2338B082">
        <w:trPr>
          <w:trHeight w:val="84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5A6FEB7" w14:textId="4B47B92F" w:rsidR="00682E69" w:rsidRPr="003634FD" w:rsidRDefault="00682E69" w:rsidP="001124CB">
            <w:pPr>
              <w:pStyle w:val="BodyText"/>
              <w:rPr>
                <w:rFonts w:ascii="Arial" w:hAnsi="Arial" w:cs="Arial"/>
                <w:b/>
                <w:bCs/>
                <w:sz w:val="22"/>
                <w:szCs w:val="22"/>
              </w:rPr>
            </w:pPr>
            <w:r w:rsidRPr="003634FD">
              <w:rPr>
                <w:rFonts w:ascii="Arial" w:hAnsi="Arial" w:cs="Arial"/>
                <w:b/>
                <w:bCs/>
                <w:sz w:val="22"/>
                <w:szCs w:val="22"/>
              </w:rPr>
              <w:t>Tier 2 Indicators</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2869084" w14:textId="61F25900" w:rsidR="00682E69" w:rsidRPr="001124CB" w:rsidRDefault="008136B2" w:rsidP="001124CB">
            <w:pPr>
              <w:pStyle w:val="BodyText"/>
              <w:rPr>
                <w:rFonts w:ascii="Arial" w:hAnsi="Arial" w:cs="Arial"/>
                <w:sz w:val="22"/>
                <w:szCs w:val="22"/>
              </w:rPr>
            </w:pPr>
            <w:r w:rsidRPr="001124CB">
              <w:rPr>
                <w:rFonts w:ascii="Arial" w:hAnsi="Arial" w:cs="Arial"/>
                <w:sz w:val="22"/>
                <w:szCs w:val="22"/>
              </w:rPr>
              <w:t xml:space="preserve">Tier 2 reporting provides results and narrative case studies against </w:t>
            </w:r>
            <w:r w:rsidR="00EC3F6C">
              <w:rPr>
                <w:rFonts w:ascii="Arial" w:hAnsi="Arial" w:cs="Arial"/>
                <w:sz w:val="22"/>
                <w:szCs w:val="22"/>
              </w:rPr>
              <w:t>a</w:t>
            </w:r>
            <w:r w:rsidR="00B74335" w:rsidRPr="001124CB">
              <w:rPr>
                <w:rFonts w:ascii="Arial" w:hAnsi="Arial" w:cs="Arial"/>
                <w:sz w:val="22"/>
                <w:szCs w:val="22"/>
              </w:rPr>
              <w:t xml:space="preserve"> set </w:t>
            </w:r>
            <w:r w:rsidRPr="001124CB">
              <w:rPr>
                <w:rFonts w:ascii="Arial" w:hAnsi="Arial" w:cs="Arial"/>
                <w:sz w:val="22"/>
                <w:szCs w:val="22"/>
              </w:rPr>
              <w:t>of quantitative and qualitative measures</w:t>
            </w:r>
            <w:r w:rsidR="00B74335" w:rsidRPr="001124CB">
              <w:rPr>
                <w:rFonts w:ascii="Arial" w:hAnsi="Arial" w:cs="Arial"/>
                <w:sz w:val="22"/>
                <w:szCs w:val="22"/>
              </w:rPr>
              <w:t xml:space="preserve"> </w:t>
            </w:r>
            <w:r w:rsidR="001D7DA1" w:rsidRPr="001124CB">
              <w:rPr>
                <w:rFonts w:ascii="Arial" w:hAnsi="Arial" w:cs="Arial"/>
                <w:sz w:val="22"/>
                <w:szCs w:val="22"/>
              </w:rPr>
              <w:t xml:space="preserve">used to </w:t>
            </w:r>
            <w:r w:rsidR="009427A7" w:rsidRPr="001124CB">
              <w:rPr>
                <w:rFonts w:ascii="Arial" w:hAnsi="Arial" w:cs="Arial"/>
                <w:sz w:val="22"/>
                <w:szCs w:val="22"/>
              </w:rPr>
              <w:t>provide results and narrative case studies to track performance against Australia’s contribution to development</w:t>
            </w:r>
            <w:r w:rsidR="00AD2129" w:rsidRPr="001124CB">
              <w:rPr>
                <w:rFonts w:ascii="Arial" w:hAnsi="Arial" w:cs="Arial"/>
                <w:sz w:val="22"/>
                <w:szCs w:val="22"/>
              </w:rPr>
              <w:t xml:space="preserve"> (Tier 2 of the three</w:t>
            </w:r>
            <w:r w:rsidR="001124CB" w:rsidRPr="001124CB">
              <w:rPr>
                <w:rFonts w:ascii="Arial" w:hAnsi="Arial" w:cs="Arial"/>
                <w:sz w:val="22"/>
                <w:szCs w:val="22"/>
              </w:rPr>
              <w:t>-</w:t>
            </w:r>
            <w:r w:rsidR="00AD2129" w:rsidRPr="001124CB">
              <w:rPr>
                <w:rFonts w:ascii="Arial" w:hAnsi="Arial" w:cs="Arial"/>
                <w:sz w:val="22"/>
                <w:szCs w:val="22"/>
              </w:rPr>
              <w:t>tier performance structure of A</w:t>
            </w:r>
            <w:r w:rsidR="001124CB" w:rsidRPr="001124CB">
              <w:rPr>
                <w:rFonts w:ascii="Arial" w:hAnsi="Arial" w:cs="Arial"/>
                <w:sz w:val="22"/>
                <w:szCs w:val="22"/>
              </w:rPr>
              <w:t>ustralia’s international development policy).</w:t>
            </w:r>
          </w:p>
        </w:tc>
      </w:tr>
      <w:tr w:rsidR="00682E69" w:rsidRPr="009423B7" w14:paraId="6ABB85EF" w14:textId="77777777" w:rsidTr="2338B082">
        <w:trPr>
          <w:trHeight w:val="841"/>
        </w:trPr>
        <w:tc>
          <w:tcPr>
            <w:tcW w:w="2127" w:type="dxa"/>
            <w:vAlign w:val="center"/>
          </w:tcPr>
          <w:p w14:paraId="145916DC" w14:textId="687F8B64" w:rsidR="00682E69" w:rsidRPr="009423B7" w:rsidRDefault="00682E69" w:rsidP="00682E69">
            <w:pPr>
              <w:pStyle w:val="TableText"/>
              <w:rPr>
                <w:rFonts w:ascii="Arial" w:hAnsi="Arial" w:cs="Arial"/>
                <w:b/>
                <w:bCs/>
                <w:sz w:val="22"/>
                <w:szCs w:val="22"/>
              </w:rPr>
            </w:pPr>
            <w:r w:rsidRPr="009423B7">
              <w:rPr>
                <w:rFonts w:ascii="Arial" w:hAnsi="Arial" w:cs="Arial"/>
                <w:b/>
                <w:bCs/>
                <w:sz w:val="22"/>
                <w:szCs w:val="22"/>
              </w:rPr>
              <w:lastRenderedPageBreak/>
              <w:t>Value for money</w:t>
            </w:r>
          </w:p>
        </w:tc>
        <w:tc>
          <w:tcPr>
            <w:tcW w:w="8363" w:type="dxa"/>
            <w:vAlign w:val="center"/>
          </w:tcPr>
          <w:p w14:paraId="38CEA5CD" w14:textId="736452A0" w:rsidR="00682E69" w:rsidRPr="009423B7" w:rsidRDefault="00682E69" w:rsidP="00682E69">
            <w:pPr>
              <w:pStyle w:val="BodyText"/>
              <w:rPr>
                <w:rFonts w:ascii="Arial" w:hAnsi="Arial" w:cs="Arial"/>
                <w:sz w:val="22"/>
                <w:szCs w:val="22"/>
              </w:rPr>
            </w:pPr>
            <w:r w:rsidRPr="5F903D0E">
              <w:rPr>
                <w:rFonts w:ascii="Arial" w:hAnsi="Arial" w:cs="Arial"/>
                <w:sz w:val="22"/>
                <w:szCs w:val="22"/>
              </w:rPr>
              <w:t>In the context of the Australian development program and consistent with the Public Governance, Performance and Accountability (PGPA) Act</w:t>
            </w:r>
            <w:r w:rsidRPr="5F903D0E">
              <w:rPr>
                <w:rFonts w:ascii="Arial" w:hAnsi="Arial" w:cs="Arial"/>
                <w:color w:val="0000FF"/>
                <w:sz w:val="22"/>
                <w:szCs w:val="22"/>
              </w:rPr>
              <w:t xml:space="preserve">, </w:t>
            </w:r>
            <w:r w:rsidRPr="5F903D0E">
              <w:rPr>
                <w:rFonts w:ascii="Arial" w:hAnsi="Arial" w:cs="Arial"/>
                <w:sz w:val="22"/>
                <w:szCs w:val="22"/>
              </w:rPr>
              <w:t xml:space="preserve">value for money refers to maximising the results achieved from taxpayer-funded </w:t>
            </w:r>
            <w:r w:rsidR="001E7BD5">
              <w:rPr>
                <w:rFonts w:ascii="Arial" w:hAnsi="Arial" w:cs="Arial"/>
                <w:sz w:val="22"/>
                <w:szCs w:val="22"/>
              </w:rPr>
              <w:t>development program</w:t>
            </w:r>
            <w:r w:rsidRPr="5F903D0E">
              <w:rPr>
                <w:rFonts w:ascii="Arial" w:hAnsi="Arial" w:cs="Arial"/>
                <w:sz w:val="22"/>
                <w:szCs w:val="22"/>
              </w:rPr>
              <w:t xml:space="preserve"> spending. It involves the systematic application of nine key principles across the entire </w:t>
            </w:r>
            <w:r w:rsidR="001E7BD5">
              <w:rPr>
                <w:rFonts w:ascii="Arial" w:hAnsi="Arial" w:cs="Arial"/>
                <w:sz w:val="22"/>
                <w:szCs w:val="22"/>
              </w:rPr>
              <w:t>development</w:t>
            </w:r>
            <w:r w:rsidRPr="5F903D0E">
              <w:rPr>
                <w:rFonts w:ascii="Arial" w:hAnsi="Arial" w:cs="Arial"/>
                <w:sz w:val="22"/>
                <w:szCs w:val="22"/>
              </w:rPr>
              <w:t xml:space="preserve"> management cycle: (a) cost consciousness; (b) encouraging competition; (c) evidence-based decision making; (d) proportionality; (e) performance and risk management; (f) results focus; (g) experimentation and innovation; (h) accountability and transparency; and (</w:t>
            </w:r>
            <w:proofErr w:type="spellStart"/>
            <w:r w:rsidRPr="5F903D0E">
              <w:rPr>
                <w:rFonts w:ascii="Arial" w:hAnsi="Arial" w:cs="Arial"/>
                <w:sz w:val="22"/>
                <w:szCs w:val="22"/>
              </w:rPr>
              <w:t>i</w:t>
            </w:r>
            <w:proofErr w:type="spellEnd"/>
            <w:r w:rsidRPr="5F903D0E">
              <w:rPr>
                <w:rFonts w:ascii="Arial" w:hAnsi="Arial" w:cs="Arial"/>
                <w:sz w:val="22"/>
                <w:szCs w:val="22"/>
              </w:rPr>
              <w:t>) ensuring there are no conflicts of interest.</w:t>
            </w:r>
          </w:p>
        </w:tc>
      </w:tr>
    </w:tbl>
    <w:p w14:paraId="2FFDAA8F" w14:textId="77777777" w:rsidR="00801DAA" w:rsidRPr="009423B7" w:rsidRDefault="00801DAA" w:rsidP="00A100BF">
      <w:pPr>
        <w:rPr>
          <w:rFonts w:ascii="Arial" w:hAnsi="Arial" w:cs="Arial"/>
          <w:sz w:val="22"/>
          <w:szCs w:val="22"/>
        </w:rPr>
      </w:pPr>
    </w:p>
    <w:sectPr w:rsidR="00801DAA" w:rsidRPr="009423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F132" w14:textId="77777777" w:rsidR="00801DAA" w:rsidRDefault="00801DAA" w:rsidP="00801DAA">
      <w:r>
        <w:separator/>
      </w:r>
    </w:p>
  </w:endnote>
  <w:endnote w:type="continuationSeparator" w:id="0">
    <w:p w14:paraId="131DB913" w14:textId="77777777" w:rsidR="00801DAA" w:rsidRDefault="00801DAA" w:rsidP="0080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2E7B" w14:textId="77777777" w:rsidR="00801DAA" w:rsidRDefault="00801DAA" w:rsidP="00801DAA">
      <w:r>
        <w:separator/>
      </w:r>
    </w:p>
  </w:footnote>
  <w:footnote w:type="continuationSeparator" w:id="0">
    <w:p w14:paraId="31802413" w14:textId="77777777" w:rsidR="00801DAA" w:rsidRDefault="00801DAA" w:rsidP="0080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0BA"/>
    <w:multiLevelType w:val="hybridMultilevel"/>
    <w:tmpl w:val="DB8AC442"/>
    <w:lvl w:ilvl="0" w:tplc="C5981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286B71"/>
    <w:multiLevelType w:val="hybridMultilevel"/>
    <w:tmpl w:val="5FD61A44"/>
    <w:lvl w:ilvl="0" w:tplc="D5A481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0C6C9F"/>
    <w:multiLevelType w:val="hybridMultilevel"/>
    <w:tmpl w:val="8A5092B6"/>
    <w:lvl w:ilvl="0" w:tplc="067864D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AF62E1A"/>
    <w:multiLevelType w:val="hybridMultilevel"/>
    <w:tmpl w:val="5FD61A44"/>
    <w:lvl w:ilvl="0" w:tplc="D5A481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0834449">
    <w:abstractNumId w:val="0"/>
  </w:num>
  <w:num w:numId="2" w16cid:durableId="308093130">
    <w:abstractNumId w:val="1"/>
  </w:num>
  <w:num w:numId="3" w16cid:durableId="1782721709">
    <w:abstractNumId w:val="3"/>
  </w:num>
  <w:num w:numId="4" w16cid:durableId="196045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AA"/>
    <w:rsid w:val="000242F5"/>
    <w:rsid w:val="0006767D"/>
    <w:rsid w:val="000750AD"/>
    <w:rsid w:val="00083289"/>
    <w:rsid w:val="00083781"/>
    <w:rsid w:val="00084EE2"/>
    <w:rsid w:val="00091251"/>
    <w:rsid w:val="000B4FEF"/>
    <w:rsid w:val="000C127E"/>
    <w:rsid w:val="000C5565"/>
    <w:rsid w:val="000E03F4"/>
    <w:rsid w:val="000E496F"/>
    <w:rsid w:val="000E7AD0"/>
    <w:rsid w:val="00103220"/>
    <w:rsid w:val="00111E55"/>
    <w:rsid w:val="001124CB"/>
    <w:rsid w:val="001208DD"/>
    <w:rsid w:val="001411AD"/>
    <w:rsid w:val="00143A3D"/>
    <w:rsid w:val="0014613C"/>
    <w:rsid w:val="00162157"/>
    <w:rsid w:val="00170C4D"/>
    <w:rsid w:val="00172AA6"/>
    <w:rsid w:val="001759AD"/>
    <w:rsid w:val="001D04EA"/>
    <w:rsid w:val="001D7DA1"/>
    <w:rsid w:val="001E40A1"/>
    <w:rsid w:val="001E7BD5"/>
    <w:rsid w:val="002063B7"/>
    <w:rsid w:val="00211185"/>
    <w:rsid w:val="0021214D"/>
    <w:rsid w:val="002205AA"/>
    <w:rsid w:val="00242C2B"/>
    <w:rsid w:val="002C7830"/>
    <w:rsid w:val="002E67D6"/>
    <w:rsid w:val="00314B03"/>
    <w:rsid w:val="00344A74"/>
    <w:rsid w:val="003634FD"/>
    <w:rsid w:val="00377366"/>
    <w:rsid w:val="003A4827"/>
    <w:rsid w:val="003B0093"/>
    <w:rsid w:val="003C6CBF"/>
    <w:rsid w:val="003D630E"/>
    <w:rsid w:val="003E5888"/>
    <w:rsid w:val="003E657D"/>
    <w:rsid w:val="00401FBA"/>
    <w:rsid w:val="004213DA"/>
    <w:rsid w:val="00432C78"/>
    <w:rsid w:val="0046077B"/>
    <w:rsid w:val="00465E1E"/>
    <w:rsid w:val="00474A3F"/>
    <w:rsid w:val="004F121D"/>
    <w:rsid w:val="0050120D"/>
    <w:rsid w:val="00536998"/>
    <w:rsid w:val="00545C53"/>
    <w:rsid w:val="00553219"/>
    <w:rsid w:val="005812D8"/>
    <w:rsid w:val="005963A7"/>
    <w:rsid w:val="005A6281"/>
    <w:rsid w:val="005B701B"/>
    <w:rsid w:val="005C3D38"/>
    <w:rsid w:val="005E19BE"/>
    <w:rsid w:val="00600E43"/>
    <w:rsid w:val="00614E2E"/>
    <w:rsid w:val="00614F5B"/>
    <w:rsid w:val="00621C6E"/>
    <w:rsid w:val="006248EE"/>
    <w:rsid w:val="00682E69"/>
    <w:rsid w:val="00694C21"/>
    <w:rsid w:val="00695957"/>
    <w:rsid w:val="00696BE8"/>
    <w:rsid w:val="0073185E"/>
    <w:rsid w:val="0073405A"/>
    <w:rsid w:val="0076256B"/>
    <w:rsid w:val="007752E0"/>
    <w:rsid w:val="00793012"/>
    <w:rsid w:val="007A2E64"/>
    <w:rsid w:val="007B529B"/>
    <w:rsid w:val="007C4E87"/>
    <w:rsid w:val="007F082D"/>
    <w:rsid w:val="007F5ADA"/>
    <w:rsid w:val="00801DAA"/>
    <w:rsid w:val="008136B2"/>
    <w:rsid w:val="00824BFB"/>
    <w:rsid w:val="008465C3"/>
    <w:rsid w:val="00867168"/>
    <w:rsid w:val="00892E53"/>
    <w:rsid w:val="008D0F9A"/>
    <w:rsid w:val="008D5423"/>
    <w:rsid w:val="008D5F85"/>
    <w:rsid w:val="008E6A76"/>
    <w:rsid w:val="00911D03"/>
    <w:rsid w:val="00912AE1"/>
    <w:rsid w:val="00913F38"/>
    <w:rsid w:val="009219D8"/>
    <w:rsid w:val="00930844"/>
    <w:rsid w:val="009423B7"/>
    <w:rsid w:val="009427A7"/>
    <w:rsid w:val="00952ED4"/>
    <w:rsid w:val="00953C9E"/>
    <w:rsid w:val="00983E53"/>
    <w:rsid w:val="0099301F"/>
    <w:rsid w:val="009C3F09"/>
    <w:rsid w:val="00A02326"/>
    <w:rsid w:val="00A100BF"/>
    <w:rsid w:val="00A14383"/>
    <w:rsid w:val="00A278F8"/>
    <w:rsid w:val="00A44CFE"/>
    <w:rsid w:val="00A47677"/>
    <w:rsid w:val="00A6246A"/>
    <w:rsid w:val="00A63BFB"/>
    <w:rsid w:val="00A9105E"/>
    <w:rsid w:val="00A9650C"/>
    <w:rsid w:val="00A97EE1"/>
    <w:rsid w:val="00AB720E"/>
    <w:rsid w:val="00AD2129"/>
    <w:rsid w:val="00AD3BF4"/>
    <w:rsid w:val="00AF1AB7"/>
    <w:rsid w:val="00B57083"/>
    <w:rsid w:val="00B62778"/>
    <w:rsid w:val="00B71C80"/>
    <w:rsid w:val="00B74335"/>
    <w:rsid w:val="00B7655F"/>
    <w:rsid w:val="00B8535E"/>
    <w:rsid w:val="00BB5879"/>
    <w:rsid w:val="00C02481"/>
    <w:rsid w:val="00C17DEB"/>
    <w:rsid w:val="00C2194E"/>
    <w:rsid w:val="00C33655"/>
    <w:rsid w:val="00C5592D"/>
    <w:rsid w:val="00C63A5F"/>
    <w:rsid w:val="00CD713B"/>
    <w:rsid w:val="00CE2108"/>
    <w:rsid w:val="00D03DA8"/>
    <w:rsid w:val="00D33A98"/>
    <w:rsid w:val="00D43166"/>
    <w:rsid w:val="00D64185"/>
    <w:rsid w:val="00D9076A"/>
    <w:rsid w:val="00D93A95"/>
    <w:rsid w:val="00DB72EA"/>
    <w:rsid w:val="00DF12FA"/>
    <w:rsid w:val="00E23018"/>
    <w:rsid w:val="00E26B10"/>
    <w:rsid w:val="00E27498"/>
    <w:rsid w:val="00E7580C"/>
    <w:rsid w:val="00E80275"/>
    <w:rsid w:val="00E83855"/>
    <w:rsid w:val="00EC3F6C"/>
    <w:rsid w:val="00EC7B79"/>
    <w:rsid w:val="00F17711"/>
    <w:rsid w:val="00F45CE3"/>
    <w:rsid w:val="00F46D07"/>
    <w:rsid w:val="00FB629E"/>
    <w:rsid w:val="00FC68FB"/>
    <w:rsid w:val="00FD6B31"/>
    <w:rsid w:val="00FF23A2"/>
    <w:rsid w:val="00FF561E"/>
    <w:rsid w:val="04C282EE"/>
    <w:rsid w:val="0A95326C"/>
    <w:rsid w:val="0F972A01"/>
    <w:rsid w:val="15412F9A"/>
    <w:rsid w:val="2338B082"/>
    <w:rsid w:val="2BD35F4A"/>
    <w:rsid w:val="31A04C66"/>
    <w:rsid w:val="34931906"/>
    <w:rsid w:val="3EC6E5E7"/>
    <w:rsid w:val="4A7070E6"/>
    <w:rsid w:val="5649F624"/>
    <w:rsid w:val="5665E067"/>
    <w:rsid w:val="5F903D0E"/>
    <w:rsid w:val="68913F4F"/>
    <w:rsid w:val="68EFAD42"/>
    <w:rsid w:val="6B4B6FEB"/>
    <w:rsid w:val="6CD74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84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172A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172AA6"/>
    <w:pPr>
      <w:suppressAutoHyphens/>
      <w:spacing w:before="480" w:after="120" w:line="360" w:lineRule="atLeast"/>
      <w:contextualSpacing/>
      <w:outlineLvl w:val="2"/>
    </w:pPr>
    <w:rPr>
      <w:bCs/>
      <w:color w:val="1F497D" w:themeColor="text2"/>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DAA"/>
    <w:rPr>
      <w:b/>
      <w:bCs/>
    </w:rPr>
  </w:style>
  <w:style w:type="character" w:styleId="Emphasis">
    <w:name w:val="Emphasis"/>
    <w:basedOn w:val="DefaultParagraphFont"/>
    <w:uiPriority w:val="20"/>
    <w:qFormat/>
    <w:rsid w:val="00801DAA"/>
    <w:rPr>
      <w:i/>
      <w:iCs/>
    </w:rPr>
  </w:style>
  <w:style w:type="paragraph" w:styleId="BodyText">
    <w:name w:val="Body Text"/>
    <w:basedOn w:val="Normal"/>
    <w:link w:val="BodyTextChar"/>
    <w:qFormat/>
    <w:rsid w:val="00801DAA"/>
    <w:pPr>
      <w:spacing w:before="80" w:after="160" w:line="360" w:lineRule="auto"/>
    </w:pPr>
    <w:rPr>
      <w:rFonts w:ascii="Franklin Gothic Book" w:hAnsi="Franklin Gothic Book"/>
      <w:sz w:val="21"/>
      <w:lang w:eastAsia="en-AU"/>
    </w:rPr>
  </w:style>
  <w:style w:type="character" w:customStyle="1" w:styleId="BodyTextChar">
    <w:name w:val="Body Text Char"/>
    <w:basedOn w:val="DefaultParagraphFont"/>
    <w:link w:val="BodyText"/>
    <w:rsid w:val="00801DAA"/>
    <w:rPr>
      <w:rFonts w:ascii="Franklin Gothic Book" w:hAnsi="Franklin Gothic Book"/>
      <w:sz w:val="21"/>
      <w:szCs w:val="24"/>
    </w:rPr>
  </w:style>
  <w:style w:type="paragraph" w:customStyle="1" w:styleId="TableText">
    <w:name w:val="Table Text"/>
    <w:basedOn w:val="Normal"/>
    <w:qFormat/>
    <w:rsid w:val="00801DAA"/>
    <w:pPr>
      <w:spacing w:before="80" w:after="120"/>
    </w:pPr>
    <w:rPr>
      <w:rFonts w:ascii="Franklin Gothic Book" w:hAnsi="Franklin Gothic Book"/>
      <w:noProof/>
      <w:sz w:val="21"/>
      <w:lang w:eastAsia="en-AU"/>
    </w:rPr>
  </w:style>
  <w:style w:type="character" w:styleId="Hyperlink">
    <w:name w:val="Hyperlink"/>
    <w:uiPriority w:val="99"/>
    <w:rsid w:val="00801DAA"/>
    <w:rPr>
      <w:color w:val="1F497D" w:themeColor="text2"/>
      <w:u w:val="none"/>
    </w:rPr>
  </w:style>
  <w:style w:type="paragraph" w:customStyle="1" w:styleId="TableHeading1">
    <w:name w:val="Table Heading 1"/>
    <w:basedOn w:val="Normal"/>
    <w:next w:val="TableText"/>
    <w:qFormat/>
    <w:rsid w:val="00801DAA"/>
    <w:pPr>
      <w:spacing w:before="120" w:after="160"/>
    </w:pPr>
    <w:rPr>
      <w:rFonts w:ascii="Franklin Gothic Book" w:hAnsi="Franklin Gothic Book"/>
      <w:b/>
      <w:noProof/>
      <w:lang w:eastAsia="en-AU"/>
    </w:rPr>
  </w:style>
  <w:style w:type="table" w:customStyle="1" w:styleId="DFATAdditionalInfo">
    <w:name w:val="DFAT Additional Info"/>
    <w:basedOn w:val="TableNormal"/>
    <w:uiPriority w:val="99"/>
    <w:rsid w:val="00801DAA"/>
    <w:tblPr>
      <w:tblInd w:w="142"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trPr>
      <w:cantSplit/>
    </w:trPr>
  </w:style>
  <w:style w:type="character" w:styleId="FootnoteReference">
    <w:name w:val="footnote reference"/>
    <w:rsid w:val="00801DAA"/>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801DAA"/>
    <w:pPr>
      <w:tabs>
        <w:tab w:val="left" w:pos="357"/>
      </w:tabs>
      <w:spacing w:after="0"/>
      <w:ind w:left="113" w:hanging="113"/>
    </w:pPr>
    <w:rPr>
      <w:sz w:val="16"/>
      <w:szCs w:val="14"/>
    </w:rPr>
  </w:style>
  <w:style w:type="character" w:customStyle="1" w:styleId="FootnoteTextChar">
    <w:name w:val="Footnote Text Char"/>
    <w:basedOn w:val="DefaultParagraphFont"/>
    <w:link w:val="FootnoteText"/>
    <w:rsid w:val="00801DAA"/>
    <w:rPr>
      <w:rFonts w:ascii="Franklin Gothic Book" w:hAnsi="Franklin Gothic Book"/>
      <w:sz w:val="16"/>
      <w:szCs w:val="14"/>
    </w:rPr>
  </w:style>
  <w:style w:type="paragraph" w:styleId="BalloonText">
    <w:name w:val="Balloon Text"/>
    <w:basedOn w:val="Normal"/>
    <w:link w:val="BalloonTextChar"/>
    <w:rsid w:val="005A6281"/>
    <w:rPr>
      <w:rFonts w:ascii="Tahoma" w:hAnsi="Tahoma" w:cs="Tahoma"/>
      <w:sz w:val="16"/>
      <w:szCs w:val="16"/>
    </w:rPr>
  </w:style>
  <w:style w:type="character" w:customStyle="1" w:styleId="BalloonTextChar">
    <w:name w:val="Balloon Text Char"/>
    <w:basedOn w:val="DefaultParagraphFont"/>
    <w:link w:val="BalloonText"/>
    <w:rsid w:val="005A6281"/>
    <w:rPr>
      <w:rFonts w:ascii="Tahoma" w:hAnsi="Tahoma" w:cs="Tahoma"/>
      <w:sz w:val="16"/>
      <w:szCs w:val="16"/>
      <w:lang w:eastAsia="en-US"/>
    </w:rPr>
  </w:style>
  <w:style w:type="character" w:styleId="CommentReference">
    <w:name w:val="annotation reference"/>
    <w:basedOn w:val="DefaultParagraphFont"/>
    <w:semiHidden/>
    <w:unhideWhenUsed/>
    <w:rsid w:val="002C7830"/>
    <w:rPr>
      <w:sz w:val="16"/>
      <w:szCs w:val="16"/>
    </w:rPr>
  </w:style>
  <w:style w:type="paragraph" w:styleId="CommentText">
    <w:name w:val="annotation text"/>
    <w:basedOn w:val="Normal"/>
    <w:link w:val="CommentTextChar"/>
    <w:unhideWhenUsed/>
    <w:rsid w:val="002C7830"/>
    <w:rPr>
      <w:sz w:val="20"/>
      <w:szCs w:val="20"/>
    </w:rPr>
  </w:style>
  <w:style w:type="character" w:customStyle="1" w:styleId="CommentTextChar">
    <w:name w:val="Comment Text Char"/>
    <w:basedOn w:val="DefaultParagraphFont"/>
    <w:link w:val="CommentText"/>
    <w:rsid w:val="002C7830"/>
    <w:rPr>
      <w:lang w:eastAsia="en-US"/>
    </w:rPr>
  </w:style>
  <w:style w:type="paragraph" w:styleId="CommentSubject">
    <w:name w:val="annotation subject"/>
    <w:basedOn w:val="CommentText"/>
    <w:next w:val="CommentText"/>
    <w:link w:val="CommentSubjectChar"/>
    <w:semiHidden/>
    <w:unhideWhenUsed/>
    <w:rsid w:val="002C7830"/>
    <w:rPr>
      <w:b/>
      <w:bCs/>
    </w:rPr>
  </w:style>
  <w:style w:type="character" w:customStyle="1" w:styleId="CommentSubjectChar">
    <w:name w:val="Comment Subject Char"/>
    <w:basedOn w:val="CommentTextChar"/>
    <w:link w:val="CommentSubject"/>
    <w:semiHidden/>
    <w:rsid w:val="002C7830"/>
    <w:rPr>
      <w:b/>
      <w:bCs/>
      <w:lang w:eastAsia="en-US"/>
    </w:rPr>
  </w:style>
  <w:style w:type="character" w:customStyle="1" w:styleId="Heading3Char">
    <w:name w:val="Heading 3 Char"/>
    <w:basedOn w:val="DefaultParagraphFont"/>
    <w:link w:val="Heading3"/>
    <w:uiPriority w:val="9"/>
    <w:rsid w:val="00172AA6"/>
    <w:rPr>
      <w:rFonts w:asciiTheme="majorHAnsi" w:eastAsiaTheme="majorEastAsia" w:hAnsiTheme="majorHAnsi" w:cstheme="majorBidi"/>
      <w:bCs/>
      <w:color w:val="1F497D" w:themeColor="text2"/>
      <w:sz w:val="30"/>
      <w:szCs w:val="26"/>
      <w:lang w:val="en-GB" w:eastAsia="en-US"/>
    </w:rPr>
  </w:style>
  <w:style w:type="paragraph" w:customStyle="1" w:styleId="BoxStyle-Content">
    <w:name w:val="Box Style - Content"/>
    <w:basedOn w:val="Normal"/>
    <w:link w:val="BoxStyle-ContentChar"/>
    <w:qFormat/>
    <w:rsid w:val="00172AA6"/>
    <w:pPr>
      <w:spacing w:after="120"/>
      <w:ind w:left="284"/>
      <w:mirrorIndents/>
    </w:pPr>
    <w:rPr>
      <w:rFonts w:ascii="Franklin Gothic Book" w:eastAsia="Calibri" w:hAnsi="Franklin Gothic Book"/>
      <w:iCs/>
      <w:sz w:val="22"/>
      <w:szCs w:val="21"/>
      <w:lang w:eastAsia="en-AU"/>
    </w:rPr>
  </w:style>
  <w:style w:type="character" w:customStyle="1" w:styleId="BoxStyle-ContentChar">
    <w:name w:val="Box Style - Content Char"/>
    <w:basedOn w:val="DefaultParagraphFont"/>
    <w:link w:val="BoxStyle-Content"/>
    <w:rsid w:val="00172AA6"/>
    <w:rPr>
      <w:rFonts w:ascii="Franklin Gothic Book" w:eastAsia="Calibri" w:hAnsi="Franklin Gothic Book"/>
      <w:iCs/>
      <w:sz w:val="22"/>
      <w:szCs w:val="21"/>
    </w:rPr>
  </w:style>
  <w:style w:type="character" w:customStyle="1" w:styleId="Heading2Char">
    <w:name w:val="Heading 2 Char"/>
    <w:basedOn w:val="DefaultParagraphFont"/>
    <w:link w:val="Heading2"/>
    <w:semiHidden/>
    <w:rsid w:val="00172AA6"/>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8465C3"/>
    <w:pPr>
      <w:ind w:left="720"/>
    </w:pPr>
    <w:rPr>
      <w:rFonts w:ascii="Calibri" w:eastAsiaTheme="minorHAnsi" w:hAnsi="Calibri" w:cs="Calibri"/>
      <w:sz w:val="22"/>
      <w:szCs w:val="22"/>
    </w:rPr>
  </w:style>
  <w:style w:type="paragraph" w:customStyle="1" w:styleId="Box2Text">
    <w:name w:val="Box 2 Text"/>
    <w:basedOn w:val="Normal"/>
    <w:uiPriority w:val="99"/>
    <w:qFormat/>
    <w:rsid w:val="00103220"/>
    <w:pPr>
      <w:pBdr>
        <w:top w:val="single" w:sz="4" w:space="14" w:color="ECEDED"/>
        <w:left w:val="single" w:sz="4" w:space="14" w:color="ECEDED"/>
        <w:bottom w:val="single" w:sz="4" w:space="14" w:color="ECEDED"/>
        <w:right w:val="single" w:sz="4" w:space="14" w:color="ECEDED"/>
      </w:pBdr>
      <w:shd w:val="clear" w:color="auto" w:fill="ECEDED"/>
      <w:suppressAutoHyphens/>
      <w:spacing w:before="120" w:after="80" w:line="260" w:lineRule="atLeast"/>
      <w:ind w:left="1248" w:right="284" w:hanging="964"/>
    </w:pPr>
    <w:rPr>
      <w:rFonts w:asciiTheme="minorHAnsi" w:eastAsiaTheme="minorHAnsi" w:hAnsiTheme="minorHAnsi" w:cstheme="minorBidi"/>
      <w:color w:val="1F497D" w:themeColor="text2"/>
      <w:sz w:val="22"/>
      <w:szCs w:val="22"/>
    </w:rPr>
  </w:style>
  <w:style w:type="paragraph" w:styleId="Revision">
    <w:name w:val="Revision"/>
    <w:hidden/>
    <w:uiPriority w:val="99"/>
    <w:semiHidden/>
    <w:rsid w:val="0076256B"/>
    <w:rPr>
      <w:sz w:val="24"/>
      <w:szCs w:val="24"/>
      <w:lang w:eastAsia="en-US"/>
    </w:rPr>
  </w:style>
  <w:style w:type="character" w:styleId="UnresolvedMention">
    <w:name w:val="Unresolved Mention"/>
    <w:basedOn w:val="DefaultParagraphFont"/>
    <w:uiPriority w:val="99"/>
    <w:semiHidden/>
    <w:unhideWhenUsed/>
    <w:rsid w:val="00A6246A"/>
    <w:rPr>
      <w:color w:val="605E5C"/>
      <w:shd w:val="clear" w:color="auto" w:fill="E1DFDD"/>
    </w:rPr>
  </w:style>
  <w:style w:type="paragraph" w:customStyle="1" w:styleId="paragraph">
    <w:name w:val="paragraph"/>
    <w:basedOn w:val="Normal"/>
    <w:rsid w:val="008136B2"/>
    <w:pPr>
      <w:spacing w:before="100" w:beforeAutospacing="1" w:after="100" w:afterAutospacing="1"/>
    </w:pPr>
    <w:rPr>
      <w:lang w:eastAsia="en-AU"/>
    </w:rPr>
  </w:style>
  <w:style w:type="character" w:customStyle="1" w:styleId="normaltextrun">
    <w:name w:val="normaltextrun"/>
    <w:basedOn w:val="DefaultParagraphFont"/>
    <w:rsid w:val="008136B2"/>
  </w:style>
  <w:style w:type="character" w:customStyle="1" w:styleId="eop">
    <w:name w:val="eop"/>
    <w:basedOn w:val="DefaultParagraphFont"/>
    <w:rsid w:val="008136B2"/>
  </w:style>
  <w:style w:type="paragraph" w:styleId="Header">
    <w:name w:val="header"/>
    <w:basedOn w:val="Normal"/>
    <w:link w:val="HeaderChar"/>
    <w:unhideWhenUsed/>
    <w:rsid w:val="00DB72EA"/>
    <w:pPr>
      <w:tabs>
        <w:tab w:val="center" w:pos="4513"/>
        <w:tab w:val="right" w:pos="9026"/>
      </w:tabs>
    </w:pPr>
  </w:style>
  <w:style w:type="character" w:customStyle="1" w:styleId="HeaderChar">
    <w:name w:val="Header Char"/>
    <w:basedOn w:val="DefaultParagraphFont"/>
    <w:link w:val="Header"/>
    <w:rsid w:val="00DB72EA"/>
    <w:rPr>
      <w:sz w:val="24"/>
      <w:szCs w:val="24"/>
      <w:lang w:eastAsia="en-US"/>
    </w:rPr>
  </w:style>
  <w:style w:type="paragraph" w:styleId="Footer">
    <w:name w:val="footer"/>
    <w:basedOn w:val="Normal"/>
    <w:link w:val="FooterChar"/>
    <w:unhideWhenUsed/>
    <w:rsid w:val="00DB72EA"/>
    <w:pPr>
      <w:tabs>
        <w:tab w:val="center" w:pos="4513"/>
        <w:tab w:val="right" w:pos="9026"/>
      </w:tabs>
    </w:pPr>
  </w:style>
  <w:style w:type="character" w:customStyle="1" w:styleId="FooterChar">
    <w:name w:val="Footer Char"/>
    <w:basedOn w:val="DefaultParagraphFont"/>
    <w:link w:val="Footer"/>
    <w:rsid w:val="00DB72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19">
      <w:bodyDiv w:val="1"/>
      <w:marLeft w:val="0"/>
      <w:marRight w:val="0"/>
      <w:marTop w:val="0"/>
      <w:marBottom w:val="0"/>
      <w:divBdr>
        <w:top w:val="none" w:sz="0" w:space="0" w:color="auto"/>
        <w:left w:val="none" w:sz="0" w:space="0" w:color="auto"/>
        <w:bottom w:val="none" w:sz="0" w:space="0" w:color="auto"/>
        <w:right w:val="none" w:sz="0" w:space="0" w:color="auto"/>
      </w:divBdr>
    </w:div>
    <w:div w:id="33888979">
      <w:bodyDiv w:val="1"/>
      <w:marLeft w:val="0"/>
      <w:marRight w:val="0"/>
      <w:marTop w:val="0"/>
      <w:marBottom w:val="0"/>
      <w:divBdr>
        <w:top w:val="none" w:sz="0" w:space="0" w:color="auto"/>
        <w:left w:val="none" w:sz="0" w:space="0" w:color="auto"/>
        <w:bottom w:val="none" w:sz="0" w:space="0" w:color="auto"/>
        <w:right w:val="none" w:sz="0" w:space="0" w:color="auto"/>
      </w:divBdr>
    </w:div>
    <w:div w:id="124005470">
      <w:bodyDiv w:val="1"/>
      <w:marLeft w:val="0"/>
      <w:marRight w:val="0"/>
      <w:marTop w:val="0"/>
      <w:marBottom w:val="0"/>
      <w:divBdr>
        <w:top w:val="none" w:sz="0" w:space="0" w:color="auto"/>
        <w:left w:val="none" w:sz="0" w:space="0" w:color="auto"/>
        <w:bottom w:val="none" w:sz="0" w:space="0" w:color="auto"/>
        <w:right w:val="none" w:sz="0" w:space="0" w:color="auto"/>
      </w:divBdr>
    </w:div>
    <w:div w:id="425999382">
      <w:bodyDiv w:val="1"/>
      <w:marLeft w:val="0"/>
      <w:marRight w:val="0"/>
      <w:marTop w:val="0"/>
      <w:marBottom w:val="0"/>
      <w:divBdr>
        <w:top w:val="none" w:sz="0" w:space="0" w:color="auto"/>
        <w:left w:val="none" w:sz="0" w:space="0" w:color="auto"/>
        <w:bottom w:val="none" w:sz="0" w:space="0" w:color="auto"/>
        <w:right w:val="none" w:sz="0" w:space="0" w:color="auto"/>
      </w:divBdr>
      <w:divsChild>
        <w:div w:id="1711110678">
          <w:marLeft w:val="0"/>
          <w:marRight w:val="0"/>
          <w:marTop w:val="0"/>
          <w:marBottom w:val="0"/>
          <w:divBdr>
            <w:top w:val="none" w:sz="0" w:space="0" w:color="auto"/>
            <w:left w:val="none" w:sz="0" w:space="0" w:color="auto"/>
            <w:bottom w:val="none" w:sz="0" w:space="0" w:color="auto"/>
            <w:right w:val="none" w:sz="0" w:space="0" w:color="auto"/>
          </w:divBdr>
        </w:div>
        <w:div w:id="935088938">
          <w:marLeft w:val="0"/>
          <w:marRight w:val="0"/>
          <w:marTop w:val="0"/>
          <w:marBottom w:val="0"/>
          <w:divBdr>
            <w:top w:val="none" w:sz="0" w:space="0" w:color="auto"/>
            <w:left w:val="none" w:sz="0" w:space="0" w:color="auto"/>
            <w:bottom w:val="none" w:sz="0" w:space="0" w:color="auto"/>
            <w:right w:val="none" w:sz="0" w:space="0" w:color="auto"/>
          </w:divBdr>
        </w:div>
      </w:divsChild>
    </w:div>
    <w:div w:id="465244249">
      <w:bodyDiv w:val="1"/>
      <w:marLeft w:val="0"/>
      <w:marRight w:val="0"/>
      <w:marTop w:val="0"/>
      <w:marBottom w:val="0"/>
      <w:divBdr>
        <w:top w:val="none" w:sz="0" w:space="0" w:color="auto"/>
        <w:left w:val="none" w:sz="0" w:space="0" w:color="auto"/>
        <w:bottom w:val="none" w:sz="0" w:space="0" w:color="auto"/>
        <w:right w:val="none" w:sz="0" w:space="0" w:color="auto"/>
      </w:divBdr>
    </w:div>
    <w:div w:id="549922386">
      <w:bodyDiv w:val="1"/>
      <w:marLeft w:val="0"/>
      <w:marRight w:val="0"/>
      <w:marTop w:val="0"/>
      <w:marBottom w:val="0"/>
      <w:divBdr>
        <w:top w:val="none" w:sz="0" w:space="0" w:color="auto"/>
        <w:left w:val="none" w:sz="0" w:space="0" w:color="auto"/>
        <w:bottom w:val="none" w:sz="0" w:space="0" w:color="auto"/>
        <w:right w:val="none" w:sz="0" w:space="0" w:color="auto"/>
      </w:divBdr>
    </w:div>
    <w:div w:id="613680574">
      <w:bodyDiv w:val="1"/>
      <w:marLeft w:val="0"/>
      <w:marRight w:val="0"/>
      <w:marTop w:val="0"/>
      <w:marBottom w:val="0"/>
      <w:divBdr>
        <w:top w:val="none" w:sz="0" w:space="0" w:color="auto"/>
        <w:left w:val="none" w:sz="0" w:space="0" w:color="auto"/>
        <w:bottom w:val="none" w:sz="0" w:space="0" w:color="auto"/>
        <w:right w:val="none" w:sz="0" w:space="0" w:color="auto"/>
      </w:divBdr>
      <w:divsChild>
        <w:div w:id="227422269">
          <w:marLeft w:val="0"/>
          <w:marRight w:val="0"/>
          <w:marTop w:val="0"/>
          <w:marBottom w:val="0"/>
          <w:divBdr>
            <w:top w:val="none" w:sz="0" w:space="0" w:color="auto"/>
            <w:left w:val="none" w:sz="0" w:space="0" w:color="auto"/>
            <w:bottom w:val="none" w:sz="0" w:space="0" w:color="auto"/>
            <w:right w:val="none" w:sz="0" w:space="0" w:color="auto"/>
          </w:divBdr>
          <w:divsChild>
            <w:div w:id="1451704602">
              <w:marLeft w:val="0"/>
              <w:marRight w:val="0"/>
              <w:marTop w:val="0"/>
              <w:marBottom w:val="0"/>
              <w:divBdr>
                <w:top w:val="none" w:sz="0" w:space="0" w:color="auto"/>
                <w:left w:val="none" w:sz="0" w:space="0" w:color="auto"/>
                <w:bottom w:val="none" w:sz="0" w:space="0" w:color="auto"/>
                <w:right w:val="none" w:sz="0" w:space="0" w:color="auto"/>
              </w:divBdr>
              <w:divsChild>
                <w:div w:id="205066810">
                  <w:marLeft w:val="0"/>
                  <w:marRight w:val="0"/>
                  <w:marTop w:val="375"/>
                  <w:marBottom w:val="375"/>
                  <w:divBdr>
                    <w:top w:val="none" w:sz="0" w:space="0" w:color="auto"/>
                    <w:left w:val="none" w:sz="0" w:space="0" w:color="auto"/>
                    <w:bottom w:val="none" w:sz="0" w:space="0" w:color="auto"/>
                    <w:right w:val="none" w:sz="0" w:space="0" w:color="auto"/>
                  </w:divBdr>
                  <w:divsChild>
                    <w:div w:id="1952736964">
                      <w:marLeft w:val="0"/>
                      <w:marRight w:val="0"/>
                      <w:marTop w:val="0"/>
                      <w:marBottom w:val="0"/>
                      <w:divBdr>
                        <w:top w:val="none" w:sz="0" w:space="0" w:color="auto"/>
                        <w:left w:val="none" w:sz="0" w:space="0" w:color="auto"/>
                        <w:bottom w:val="none" w:sz="0" w:space="0" w:color="auto"/>
                        <w:right w:val="none" w:sz="0" w:space="0" w:color="auto"/>
                      </w:divBdr>
                      <w:divsChild>
                        <w:div w:id="1582566851">
                          <w:marLeft w:val="0"/>
                          <w:marRight w:val="0"/>
                          <w:marTop w:val="0"/>
                          <w:marBottom w:val="0"/>
                          <w:divBdr>
                            <w:top w:val="none" w:sz="0" w:space="0" w:color="auto"/>
                            <w:left w:val="none" w:sz="0" w:space="0" w:color="auto"/>
                            <w:bottom w:val="none" w:sz="0" w:space="0" w:color="auto"/>
                            <w:right w:val="none" w:sz="0" w:space="0" w:color="auto"/>
                          </w:divBdr>
                          <w:divsChild>
                            <w:div w:id="1560287443">
                              <w:marLeft w:val="0"/>
                              <w:marRight w:val="0"/>
                              <w:marTop w:val="0"/>
                              <w:marBottom w:val="0"/>
                              <w:divBdr>
                                <w:top w:val="none" w:sz="0" w:space="0" w:color="auto"/>
                                <w:left w:val="none" w:sz="0" w:space="0" w:color="auto"/>
                                <w:bottom w:val="none" w:sz="0" w:space="0" w:color="auto"/>
                                <w:right w:val="none" w:sz="0" w:space="0" w:color="auto"/>
                              </w:divBdr>
                              <w:divsChild>
                                <w:div w:id="629169928">
                                  <w:marLeft w:val="0"/>
                                  <w:marRight w:val="0"/>
                                  <w:marTop w:val="0"/>
                                  <w:marBottom w:val="0"/>
                                  <w:divBdr>
                                    <w:top w:val="none" w:sz="0" w:space="0" w:color="auto"/>
                                    <w:left w:val="none" w:sz="0" w:space="0" w:color="auto"/>
                                    <w:bottom w:val="none" w:sz="0" w:space="0" w:color="auto"/>
                                    <w:right w:val="none" w:sz="0" w:space="0" w:color="auto"/>
                                  </w:divBdr>
                                  <w:divsChild>
                                    <w:div w:id="64841339">
                                      <w:marLeft w:val="0"/>
                                      <w:marRight w:val="0"/>
                                      <w:marTop w:val="0"/>
                                      <w:marBottom w:val="0"/>
                                      <w:divBdr>
                                        <w:top w:val="none" w:sz="0" w:space="0" w:color="auto"/>
                                        <w:left w:val="none" w:sz="0" w:space="0" w:color="auto"/>
                                        <w:bottom w:val="none" w:sz="0" w:space="0" w:color="auto"/>
                                        <w:right w:val="none" w:sz="0" w:space="0" w:color="auto"/>
                                      </w:divBdr>
                                      <w:divsChild>
                                        <w:div w:id="519509287">
                                          <w:marLeft w:val="0"/>
                                          <w:marRight w:val="0"/>
                                          <w:marTop w:val="0"/>
                                          <w:marBottom w:val="0"/>
                                          <w:divBdr>
                                            <w:top w:val="none" w:sz="0" w:space="0" w:color="auto"/>
                                            <w:left w:val="none" w:sz="0" w:space="0" w:color="auto"/>
                                            <w:bottom w:val="none" w:sz="0" w:space="0" w:color="auto"/>
                                            <w:right w:val="none" w:sz="0" w:space="0" w:color="auto"/>
                                          </w:divBdr>
                                          <w:divsChild>
                                            <w:div w:id="1403406909">
                                              <w:marLeft w:val="0"/>
                                              <w:marRight w:val="0"/>
                                              <w:marTop w:val="0"/>
                                              <w:marBottom w:val="0"/>
                                              <w:divBdr>
                                                <w:top w:val="none" w:sz="0" w:space="0" w:color="auto"/>
                                                <w:left w:val="none" w:sz="0" w:space="0" w:color="auto"/>
                                                <w:bottom w:val="none" w:sz="0" w:space="0" w:color="auto"/>
                                                <w:right w:val="none" w:sz="0" w:space="0" w:color="auto"/>
                                              </w:divBdr>
                                              <w:divsChild>
                                                <w:div w:id="14473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863985">
      <w:bodyDiv w:val="1"/>
      <w:marLeft w:val="0"/>
      <w:marRight w:val="0"/>
      <w:marTop w:val="0"/>
      <w:marBottom w:val="0"/>
      <w:divBdr>
        <w:top w:val="none" w:sz="0" w:space="0" w:color="auto"/>
        <w:left w:val="none" w:sz="0" w:space="0" w:color="auto"/>
        <w:bottom w:val="none" w:sz="0" w:space="0" w:color="auto"/>
        <w:right w:val="none" w:sz="0" w:space="0" w:color="auto"/>
      </w:divBdr>
    </w:div>
    <w:div w:id="987855940">
      <w:bodyDiv w:val="1"/>
      <w:marLeft w:val="0"/>
      <w:marRight w:val="0"/>
      <w:marTop w:val="0"/>
      <w:marBottom w:val="0"/>
      <w:divBdr>
        <w:top w:val="none" w:sz="0" w:space="0" w:color="auto"/>
        <w:left w:val="none" w:sz="0" w:space="0" w:color="auto"/>
        <w:bottom w:val="none" w:sz="0" w:space="0" w:color="auto"/>
        <w:right w:val="none" w:sz="0" w:space="0" w:color="auto"/>
      </w:divBdr>
    </w:div>
    <w:div w:id="1875575816">
      <w:bodyDiv w:val="1"/>
      <w:marLeft w:val="0"/>
      <w:marRight w:val="0"/>
      <w:marTop w:val="0"/>
      <w:marBottom w:val="0"/>
      <w:divBdr>
        <w:top w:val="none" w:sz="0" w:space="0" w:color="auto"/>
        <w:left w:val="none" w:sz="0" w:space="0" w:color="auto"/>
        <w:bottom w:val="none" w:sz="0" w:space="0" w:color="auto"/>
        <w:right w:val="none" w:sz="0" w:space="0" w:color="auto"/>
      </w:divBdr>
    </w:div>
    <w:div w:id="20895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finance.gov.au%2Fgovernment%2Fmanaging-commonwealth-resources%2Fdeveloping-good-performance-information-rmg-131%23-4-collecting-performance-information-&amp;data=04%7C01%7CGlenn.Williams%40dfat.gov.au%7Cd0276eafe13c4cc980e708d9a32c4fc4%7C9b7f23b30e8347a58a40ffa8a6fea536%7C0%7C0%7C637720232975537637%7CUnknown%7CTWFpbGZsb3d8eyJWIjoiMC4wLjAwMDAiLCJQIjoiV2luMzIiLCJBTiI6Ik1haWwiLCJXVCI6Mn0%3D%7C1000&amp;sdata=dLk9uzkpeFT4uzR190hG600MoN9nF1Y6IQAn0ONpyoE%3D&amp;reserved=0" TargetMode="External"/><Relationship Id="rId13" Type="http://schemas.openxmlformats.org/officeDocument/2006/relationships/hyperlink" Target="https://www.finance.gov.au/about-us/glossary/pgpa/term-ethic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e.gov.au/about-us/glossary/pgpa/term-economic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managing-aid/aid-programming-guide/Pages/chapter-5.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fatintranet.titan.satin.lo/managing-aid/aid-programming-guide/Pages/chapter-5.aspx"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finance.gov.au%2Fgovernment%2Fmanaging-commonwealth-resources%2Fdeveloping-good-performance-information-rmg-131%23-4-collecting-performance-information-&amp;data=04%7C01%7CGlenn.Williams%40dfat.gov.au%7Cd0276eafe13c4cc980e708d9a32c4fc4%7C9b7f23b30e8347a58a40ffa8a6fea536%7C0%7C0%7C637720232975537637%7CUnknown%7CTWFpbGZsb3d8eyJWIjoiMC4wLjAwMDAiLCJQIjoiV2luMzIiLCJBTiI6Ik1haWwiLCJXVCI6Mn0%3D%7C1000&amp;sdata=dLk9uzkpeFT4uzR190hG600MoN9nF1Y6IQAn0ONpyoE%3D&amp;reserved=0" TargetMode="External"/><Relationship Id="rId14" Type="http://schemas.openxmlformats.org/officeDocument/2006/relationships/hyperlink" Target="https://aus01.safelinks.protection.outlook.com/?url=https%3A%2F%2Fwww.finance.gov.au%2Fgovernment%2Fmanaging-commonwealth-resources%2Fdeveloping-good-performance-information-rmg-131%23-4-collecting-performance-information-&amp;data=04%7C01%7CGlenn.Williams%40dfat.gov.au%7Cd0276eafe13c4cc980e708d9a32c4fc4%7C9b7f23b30e8347a58a40ffa8a6fea536%7C0%7C0%7C637720232975527642%7CUnknown%7CTWFpbGZsb3d8eyJWIjoiMC4wLjAwMDAiLCJQIjoiV2luMzIiLCJBTiI6Ik1haWwiLCJXVCI6Mn0%3D%7C1000&amp;sdata=%2FvU9C7ZSPYy4XZSaH%2BBIIdQTQwUrlW3pD85%2Fvl62zb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11D2-F425-42C0-886C-A1BFE7F2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2741</Words>
  <Characters>16568</Characters>
  <Application>Microsoft Office Word</Application>
  <DocSecurity>0</DocSecurity>
  <Lines>364</Lines>
  <Paragraphs>130</Paragraphs>
  <ScaleCrop>false</ScaleCrop>
  <HeadingPairs>
    <vt:vector size="2" baseType="variant">
      <vt:variant>
        <vt:lpstr>Title</vt:lpstr>
      </vt:variant>
      <vt:variant>
        <vt:i4>1</vt:i4>
      </vt:variant>
    </vt:vector>
  </HeadingPairs>
  <TitlesOfParts>
    <vt:vector size="1" baseType="lpstr">
      <vt:lpstr>International Development Programming Guide – Glossary</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Development Programming Guide – Glossary</dc:title>
  <dc:creator/>
  <cp:keywords>[SEC=OFFICIAL]</cp:keywords>
  <cp:lastModifiedBy/>
  <cp:revision>1</cp:revision>
  <dcterms:created xsi:type="dcterms:W3CDTF">2023-09-11T04:35:00Z</dcterms:created>
  <dcterms:modified xsi:type="dcterms:W3CDTF">2023-09-11T04:36:00Z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SecurityClassification">
    <vt:lpwstr>OFFICIAL</vt:lpwstr>
  </property>
  <property fmtid="{D5CDD505-2E9C-101B-9397-08002B2CF9AE}" pid="4" name="PMHMAC">
    <vt:lpwstr>v=2022.1;a=SHA256;h=8578145CEF7A585AA11E5BCDB2E75B4F82A8D18DD5E72366C795A0ED75AED732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2DF482D7E76040AD8878D4BC27CAADF2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2023-06-14T00:56:50Z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9DAEB6D2AA4B5D889E6519C755F5B558</vt:lpwstr>
  </property>
  <property fmtid="{D5CDD505-2E9C-101B-9397-08002B2CF9AE}" pid="21" name="PM_Hash_Salt">
    <vt:lpwstr>48DB6E632AFD5D47CC15AB32DA3FA721</vt:lpwstr>
  </property>
  <property fmtid="{D5CDD505-2E9C-101B-9397-08002B2CF9AE}" pid="22" name="PM_Hash_SHA1">
    <vt:lpwstr>88A40857B97DFF85C86E47606635575799CB24B5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v=2022.2;d=gov.au;g=46DD6D7C-8107-577B-BC6E-F348953B2E44</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y fmtid="{D5CDD505-2E9C-101B-9397-08002B2CF9AE}" pid="29" name="PM_Caveats_Count">
    <vt:lpwstr>0</vt:lpwstr>
  </property>
</Properties>
</file>