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A3BC5" w14:textId="77777777" w:rsidR="009D4DB8" w:rsidRDefault="009D4DB8" w:rsidP="00D84DB0">
      <w:bookmarkStart w:id="0" w:name="_Hlk88660357"/>
      <w:bookmarkStart w:id="1" w:name="_Toc457299792"/>
      <w:bookmarkEnd w:id="0"/>
    </w:p>
    <w:p w14:paraId="5B13D765" w14:textId="77777777" w:rsidR="00D84DB0" w:rsidRDefault="00D84DB0" w:rsidP="00D84DB0"/>
    <w:p w14:paraId="233B2DF0" w14:textId="77777777" w:rsidR="00D84DB0" w:rsidRDefault="00D84DB0" w:rsidP="00D84DB0"/>
    <w:p w14:paraId="305E0769" w14:textId="77777777" w:rsidR="00D84DB0" w:rsidRDefault="00D84DB0" w:rsidP="00D84DB0"/>
    <w:p w14:paraId="224F1BF7" w14:textId="77777777" w:rsidR="00D84DB0" w:rsidRDefault="00D84DB0" w:rsidP="00D84DB0"/>
    <w:p w14:paraId="4FF09DE2" w14:textId="77777777" w:rsidR="007C41DA" w:rsidRDefault="007C41DA" w:rsidP="00D84DB0"/>
    <w:p w14:paraId="5CE5C80F" w14:textId="77777777" w:rsidR="00AB227C" w:rsidRDefault="00AB227C" w:rsidP="00D84DB0"/>
    <w:p w14:paraId="7638C2EF" w14:textId="77777777" w:rsidR="00A35B93" w:rsidRDefault="00A35B93" w:rsidP="00D84DB0"/>
    <w:p w14:paraId="7A9B42B5" w14:textId="77777777" w:rsidR="009D4DB8" w:rsidRDefault="009D4DB8" w:rsidP="00D84DB0"/>
    <w:p w14:paraId="4A84441A" w14:textId="1A5DCB9A" w:rsidR="00D84DB0" w:rsidRPr="00D84DB0" w:rsidRDefault="00196154" w:rsidP="00D84DB0">
      <w:r w:rsidRPr="00406AD4">
        <w:rPr>
          <w:noProof/>
          <w:lang w:val="en-AU"/>
        </w:rPr>
        <mc:AlternateContent>
          <mc:Choice Requires="wps">
            <w:drawing>
              <wp:anchor distT="45720" distB="45720" distL="114300" distR="114300" simplePos="0" relativeHeight="251659264" behindDoc="0" locked="0" layoutInCell="1" allowOverlap="1" wp14:anchorId="42E68A6A" wp14:editId="77437D1E">
                <wp:simplePos x="0" y="0"/>
                <wp:positionH relativeFrom="margin">
                  <wp:posOffset>491490</wp:posOffset>
                </wp:positionH>
                <wp:positionV relativeFrom="paragraph">
                  <wp:posOffset>1056005</wp:posOffset>
                </wp:positionV>
                <wp:extent cx="5142865" cy="1494155"/>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2865" cy="1494155"/>
                        </a:xfrm>
                        <a:prstGeom prst="rect">
                          <a:avLst/>
                        </a:prstGeom>
                        <a:noFill/>
                        <a:ln w="9525">
                          <a:noFill/>
                          <a:miter lim="800000"/>
                          <a:headEnd/>
                          <a:tailEnd/>
                        </a:ln>
                      </wps:spPr>
                      <wps:txbx>
                        <w:txbxContent>
                          <w:p w14:paraId="2889EEA6" w14:textId="02BDFE87" w:rsidR="00196154" w:rsidRPr="00196154" w:rsidRDefault="00196154" w:rsidP="00196154">
                            <w:pPr>
                              <w:pStyle w:val="Heading2"/>
                              <w:jc w:val="center"/>
                              <w:rPr>
                                <w:b/>
                                <w:bCs/>
                                <w:color w:val="FFFFFF" w:themeColor="background1"/>
                                <w:sz w:val="60"/>
                                <w:szCs w:val="60"/>
                              </w:rPr>
                            </w:pPr>
                            <w:r w:rsidRPr="00196154">
                              <w:rPr>
                                <w:b/>
                                <w:bCs/>
                                <w:color w:val="FFFFFF" w:themeColor="background1"/>
                                <w:sz w:val="60"/>
                                <w:szCs w:val="60"/>
                              </w:rPr>
                              <w:t xml:space="preserve">Technical </w:t>
                            </w:r>
                            <w:r>
                              <w:rPr>
                                <w:b/>
                                <w:bCs/>
                                <w:color w:val="FFFFFF" w:themeColor="background1"/>
                                <w:sz w:val="60"/>
                                <w:szCs w:val="60"/>
                              </w:rPr>
                              <w:t>a</w:t>
                            </w:r>
                            <w:r w:rsidRPr="00196154">
                              <w:rPr>
                                <w:b/>
                                <w:bCs/>
                                <w:color w:val="FFFFFF" w:themeColor="background1"/>
                                <w:sz w:val="60"/>
                                <w:szCs w:val="60"/>
                              </w:rPr>
                              <w:t>ppendices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E68A6A" id="_x0000_t202" coordsize="21600,21600" o:spt="202" path="m,l,21600r21600,l21600,xe">
                <v:stroke joinstyle="miter"/>
                <v:path gradientshapeok="t" o:connecttype="rect"/>
              </v:shapetype>
              <v:shape id="Text Box 2" o:spid="_x0000_s1026" type="#_x0000_t202" alt="&quot;&quot;" style="position:absolute;margin-left:38.7pt;margin-top:83.15pt;width:404.95pt;height:117.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" filled="f" stroked="f">
                <v:textbox>
                  <w:txbxContent>
                    <w:p w14:paraId="2889EEA6" w14:textId="02BDFE87" w:rsidR="00196154" w:rsidRPr="00196154" w:rsidRDefault="00196154" w:rsidP="00196154">
                      <w:pPr>
                        <w:pStyle w:val="Heading2"/>
                        <w:jc w:val="center"/>
                        <w:rPr>
                          <w:b/>
                          <w:bCs/>
                          <w:color w:val="FFFFFF" w:themeColor="background1"/>
                          <w:sz w:val="60"/>
                          <w:szCs w:val="60"/>
                        </w:rPr>
                      </w:pPr>
                      <w:r w:rsidRPr="00196154">
                        <w:rPr>
                          <w:b/>
                          <w:bCs/>
                          <w:color w:val="FFFFFF" w:themeColor="background1"/>
                          <w:sz w:val="60"/>
                          <w:szCs w:val="60"/>
                        </w:rPr>
                        <w:t xml:space="preserve">Technical </w:t>
                      </w:r>
                      <w:r>
                        <w:rPr>
                          <w:b/>
                          <w:bCs/>
                          <w:color w:val="FFFFFF" w:themeColor="background1"/>
                          <w:sz w:val="60"/>
                          <w:szCs w:val="60"/>
                        </w:rPr>
                        <w:t>a</w:t>
                      </w:r>
                      <w:r w:rsidRPr="00196154">
                        <w:rPr>
                          <w:b/>
                          <w:bCs/>
                          <w:color w:val="FFFFFF" w:themeColor="background1"/>
                          <w:sz w:val="60"/>
                          <w:szCs w:val="60"/>
                        </w:rPr>
                        <w:t>ppendices</w:t>
                      </w:r>
                    </w:p>
                  </w:txbxContent>
                </v:textbox>
                <w10:wrap anchorx="margin"/>
              </v:shape>
            </w:pict>
          </mc:Fallback>
        </mc:AlternateContent>
      </w:r>
      <w:r>
        <w:rPr>
          <w:noProof/>
        </w:rPr>
        <w:drawing>
          <wp:inline distT="0" distB="0" distL="0" distR="0" wp14:anchorId="18729E16" wp14:editId="002774FB">
            <wp:extent cx="6120000" cy="3646500"/>
            <wp:effectExtent l="0" t="0" r="0" b="0"/>
            <wp:docPr id="1869117837" name="Picture 1869117837" descr="International Investment Australia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117837" name="Picture 1869117837" descr="International Investment Australia 2021"/>
                    <pic:cNvPicPr/>
                  </pic:nvPicPr>
                  <pic:blipFill>
                    <a:blip r:embed="rId8">
                      <a:extLst>
                        <a:ext uri="{28A0092B-C50C-407E-A947-70E740481C1C}">
                          <a14:useLocalDpi xmlns:a14="http://schemas.microsoft.com/office/drawing/2010/main" val="0"/>
                        </a:ext>
                      </a:extLst>
                    </a:blip>
                    <a:stretch>
                      <a:fillRect/>
                    </a:stretch>
                  </pic:blipFill>
                  <pic:spPr>
                    <a:xfrm>
                      <a:off x="0" y="0"/>
                      <a:ext cx="6120000" cy="3646500"/>
                    </a:xfrm>
                    <a:prstGeom prst="rect">
                      <a:avLst/>
                    </a:prstGeom>
                  </pic:spPr>
                </pic:pic>
              </a:graphicData>
            </a:graphic>
          </wp:inline>
        </w:drawing>
      </w:r>
    </w:p>
    <w:p w14:paraId="4F356858" w14:textId="259D3097" w:rsidR="00D84DB0" w:rsidRDefault="00D84DB0" w:rsidP="00D84DB0"/>
    <w:p w14:paraId="4EF0DC13" w14:textId="77777777" w:rsidR="00D84DB0" w:rsidRDefault="00D84DB0" w:rsidP="00D84DB0"/>
    <w:p w14:paraId="09379228" w14:textId="77777777" w:rsidR="00D84DB0" w:rsidRDefault="00D84DB0" w:rsidP="00D84DB0"/>
    <w:p w14:paraId="33EEC66C" w14:textId="77777777" w:rsidR="00D84DB0" w:rsidRDefault="00D84DB0" w:rsidP="00D84DB0"/>
    <w:p w14:paraId="6A3EF86B" w14:textId="77777777" w:rsidR="00D84DB0" w:rsidRDefault="00D84DB0" w:rsidP="00D84DB0"/>
    <w:p w14:paraId="0CCD2340" w14:textId="77777777" w:rsidR="00D84DB0" w:rsidRDefault="00D84DB0" w:rsidP="003A5358">
      <w:pPr>
        <w:pStyle w:val="Heading1smallspaceafter"/>
        <w:sectPr w:rsidR="00D84DB0" w:rsidSect="00693DA8">
          <w:footerReference w:type="default" r:id="rId9"/>
          <w:headerReference w:type="first" r:id="rId10"/>
          <w:footerReference w:type="first" r:id="rId11"/>
          <w:pgSz w:w="11906" w:h="16838" w:code="9"/>
          <w:pgMar w:top="1985" w:right="1134" w:bottom="1701" w:left="1134" w:header="567" w:footer="567" w:gutter="0"/>
          <w:pgNumType w:start="69"/>
          <w:cols w:space="708"/>
          <w:docGrid w:linePitch="360"/>
        </w:sectPr>
      </w:pPr>
    </w:p>
    <w:bookmarkEnd w:id="1"/>
    <w:p w14:paraId="34CE03D3" w14:textId="77777777" w:rsidR="004D0AEE" w:rsidRPr="00AA7D09" w:rsidRDefault="00D84DB0" w:rsidP="00AA7D09">
      <w:pPr>
        <w:pStyle w:val="Heading1smallspaceafter"/>
      </w:pPr>
      <w:r w:rsidRPr="00AA7D09">
        <w:lastRenderedPageBreak/>
        <w:t>Appendix A – Explanatory notes</w:t>
      </w:r>
    </w:p>
    <w:p w14:paraId="5E758A9F" w14:textId="77777777" w:rsidR="008E5270" w:rsidRPr="00AA7D09" w:rsidRDefault="008E5270" w:rsidP="00AA7D09">
      <w:pPr>
        <w:pStyle w:val="Heading2"/>
      </w:pPr>
      <w:r w:rsidRPr="00AA7D09">
        <w:t>Introduction</w:t>
      </w:r>
    </w:p>
    <w:p w14:paraId="5E53CEDA" w14:textId="6201D156" w:rsidR="00562C69" w:rsidRDefault="00562C69" w:rsidP="00562C69">
      <w:r w:rsidRPr="004E690D">
        <w:t xml:space="preserve">The </w:t>
      </w:r>
      <w:r w:rsidRPr="004E690D">
        <w:rPr>
          <w:i/>
        </w:rPr>
        <w:t>International Investment Australia</w:t>
      </w:r>
      <w:r w:rsidRPr="004E690D">
        <w:t xml:space="preserve"> publication provides summary data on Australia's international investment relationships with the world.</w:t>
      </w:r>
    </w:p>
    <w:p w14:paraId="503359E9" w14:textId="513F5587" w:rsidR="00562C69" w:rsidRPr="004E690D" w:rsidRDefault="00EF409D" w:rsidP="00562C69">
      <w:bookmarkStart w:id="2" w:name="_Hlk87518618"/>
      <w:r>
        <w:t>Following the key points and summary of main investment trends this publication</w:t>
      </w:r>
      <w:r w:rsidR="00562C69" w:rsidRPr="004E690D">
        <w:t xml:space="preserve"> is divided into five sections.</w:t>
      </w:r>
    </w:p>
    <w:bookmarkEnd w:id="2"/>
    <w:p w14:paraId="5D0D1BE1" w14:textId="6485539F" w:rsidR="00562C69" w:rsidRPr="004E690D" w:rsidRDefault="00562C69" w:rsidP="00562C69">
      <w:r w:rsidRPr="004E690D">
        <w:rPr>
          <w:b/>
          <w:i/>
        </w:rPr>
        <w:t>Section 1</w:t>
      </w:r>
      <w:r w:rsidRPr="004E690D">
        <w:t xml:space="preserve"> – </w:t>
      </w:r>
      <w:r w:rsidRPr="004E690D">
        <w:rPr>
          <w:i/>
        </w:rPr>
        <w:t>Australia’s international investment</w:t>
      </w:r>
      <w:r w:rsidR="000361E2">
        <w:rPr>
          <w:i/>
        </w:rPr>
        <w:t xml:space="preserve"> position</w:t>
      </w:r>
      <w:r w:rsidRPr="004E690D">
        <w:rPr>
          <w:i/>
        </w:rPr>
        <w:t xml:space="preserve"> – definitions and concepts</w:t>
      </w:r>
      <w:r w:rsidR="00503304" w:rsidRPr="004E690D">
        <w:rPr>
          <w:i/>
        </w:rPr>
        <w:t xml:space="preserve"> – </w:t>
      </w:r>
      <w:r w:rsidRPr="004E690D">
        <w:t xml:space="preserve">contains information boxes which are designed to give the user background information on Australian Bureau of Statistics (ABS) international investment statistical concepts in an </w:t>
      </w:r>
      <w:r w:rsidR="00503304" w:rsidRPr="004E690D">
        <w:t>easy-to-understand</w:t>
      </w:r>
      <w:r w:rsidRPr="004E690D">
        <w:t xml:space="preserve"> format. These information boxes however do not cover all concepts and should be read in conjunction with these explanatory notes.</w:t>
      </w:r>
    </w:p>
    <w:p w14:paraId="5AF37794" w14:textId="17516996" w:rsidR="00562C69" w:rsidRPr="004E690D" w:rsidRDefault="00562C69" w:rsidP="00562C69">
      <w:r w:rsidRPr="004E690D">
        <w:rPr>
          <w:b/>
          <w:i/>
        </w:rPr>
        <w:t>Section 2</w:t>
      </w:r>
      <w:r w:rsidRPr="004E690D">
        <w:t xml:space="preserve"> – </w:t>
      </w:r>
      <w:r w:rsidRPr="004E690D">
        <w:rPr>
          <w:i/>
        </w:rPr>
        <w:t>Australia’s international investmen</w:t>
      </w:r>
      <w:r w:rsidR="000361E2">
        <w:rPr>
          <w:i/>
        </w:rPr>
        <w:t>t position</w:t>
      </w:r>
      <w:r w:rsidRPr="004E690D">
        <w:rPr>
          <w:i/>
          <w:iCs/>
        </w:rPr>
        <w:t xml:space="preserve"> – summary tables </w:t>
      </w:r>
      <w:r w:rsidRPr="004E690D">
        <w:t>– presents information on Foreign Investment in Australia (FIA), and Australian Investment Abroad (AIA), in terms of flows, stocks and related income, rankings tables, as well as selected indicators on the openness of the Australian economy to international investment, including foreign ownership and ratios.</w:t>
      </w:r>
    </w:p>
    <w:p w14:paraId="493F57BC" w14:textId="77777777" w:rsidR="00562C69" w:rsidRPr="004E690D" w:rsidRDefault="00562C69" w:rsidP="00562C69">
      <w:r w:rsidRPr="004E690D">
        <w:rPr>
          <w:b/>
          <w:i/>
        </w:rPr>
        <w:t xml:space="preserve">Section 3 </w:t>
      </w:r>
      <w:r w:rsidRPr="004E690D">
        <w:t xml:space="preserve">– </w:t>
      </w:r>
      <w:r w:rsidRPr="004E690D">
        <w:rPr>
          <w:i/>
        </w:rPr>
        <w:t>International investment comparisons</w:t>
      </w:r>
      <w:r w:rsidRPr="004E690D">
        <w:rPr>
          <w:i/>
          <w:iCs/>
        </w:rPr>
        <w:t xml:space="preserve"> </w:t>
      </w:r>
      <w:r w:rsidRPr="004E690D">
        <w:t>– presents information on where Australia ranks in the world economy in terms of direct investment flows and stocks.</w:t>
      </w:r>
    </w:p>
    <w:p w14:paraId="1E15A183" w14:textId="77777777" w:rsidR="00562C69" w:rsidRPr="00562C69" w:rsidRDefault="00562C69" w:rsidP="00562C69">
      <w:r w:rsidRPr="004E690D">
        <w:rPr>
          <w:b/>
          <w:i/>
        </w:rPr>
        <w:t xml:space="preserve">Section 4 </w:t>
      </w:r>
      <w:r w:rsidRPr="004E690D">
        <w:t xml:space="preserve">– </w:t>
      </w:r>
      <w:r w:rsidRPr="004E690D">
        <w:rPr>
          <w:i/>
        </w:rPr>
        <w:t>Australia’s international investment – detailed tables</w:t>
      </w:r>
      <w:r w:rsidRPr="004E690D">
        <w:rPr>
          <w:i/>
          <w:iCs/>
        </w:rPr>
        <w:t xml:space="preserve"> </w:t>
      </w:r>
      <w:r w:rsidRPr="004E690D">
        <w:t xml:space="preserve">– presents information on AIA and FIA for total and direct investment by selected countries, </w:t>
      </w:r>
      <w:proofErr w:type="gramStart"/>
      <w:r w:rsidRPr="004E690D">
        <w:t>regions</w:t>
      </w:r>
      <w:proofErr w:type="gramEnd"/>
      <w:r w:rsidRPr="004E690D">
        <w:t xml:space="preserve"> and industry.</w:t>
      </w:r>
    </w:p>
    <w:p w14:paraId="769CA37C" w14:textId="42C2B667" w:rsidR="00503304" w:rsidRPr="00503304" w:rsidRDefault="00562C69" w:rsidP="00562C69">
      <w:r w:rsidRPr="004E690D">
        <w:rPr>
          <w:b/>
          <w:i/>
        </w:rPr>
        <w:t xml:space="preserve">Section </w:t>
      </w:r>
      <w:r w:rsidR="00F62B9D">
        <w:rPr>
          <w:b/>
          <w:i/>
        </w:rPr>
        <w:t>5</w:t>
      </w:r>
      <w:r w:rsidRPr="004E690D">
        <w:rPr>
          <w:b/>
          <w:i/>
        </w:rPr>
        <w:t xml:space="preserve"> </w:t>
      </w:r>
      <w:r w:rsidRPr="004E690D">
        <w:t xml:space="preserve">– </w:t>
      </w:r>
      <w:r w:rsidRPr="004E690D">
        <w:rPr>
          <w:i/>
          <w:iCs/>
        </w:rPr>
        <w:t>Technical appendices</w:t>
      </w:r>
      <w:r w:rsidR="00503304">
        <w:rPr>
          <w:i/>
          <w:iCs/>
        </w:rPr>
        <w:t xml:space="preserve"> </w:t>
      </w:r>
      <w:r w:rsidR="00503304">
        <w:t xml:space="preserve">– </w:t>
      </w:r>
      <w:r w:rsidR="00CC4F85">
        <w:t>provides explanatory notes surrounding the key concepts and terms used in this publication.</w:t>
      </w:r>
    </w:p>
    <w:p w14:paraId="7C43F9CE" w14:textId="77777777" w:rsidR="00562C69" w:rsidRPr="004E690D" w:rsidRDefault="00562C69" w:rsidP="00562C69">
      <w:r w:rsidRPr="004E690D">
        <w:t xml:space="preserve">In </w:t>
      </w:r>
      <w:r w:rsidRPr="004E690D">
        <w:rPr>
          <w:b/>
          <w:i/>
        </w:rPr>
        <w:t>Section 1, 2</w:t>
      </w:r>
      <w:r w:rsidR="00F62B9D">
        <w:rPr>
          <w:b/>
          <w:i/>
        </w:rPr>
        <w:t xml:space="preserve"> and</w:t>
      </w:r>
      <w:r w:rsidRPr="004E690D">
        <w:rPr>
          <w:b/>
          <w:i/>
        </w:rPr>
        <w:t xml:space="preserve"> 4</w:t>
      </w:r>
      <w:r w:rsidRPr="004E690D">
        <w:t xml:space="preserve">, all values are presented in Australian dollar terms. In </w:t>
      </w:r>
      <w:r w:rsidRPr="004E690D">
        <w:rPr>
          <w:b/>
          <w:i/>
        </w:rPr>
        <w:t>Section 3,</w:t>
      </w:r>
      <w:r w:rsidRPr="004E690D">
        <w:t xml:space="preserve"> all values are presented in US dollars unless otherwise specified.</w:t>
      </w:r>
    </w:p>
    <w:p w14:paraId="56D34A4C" w14:textId="0E4FDE12" w:rsidR="00562C69" w:rsidRPr="004E690D" w:rsidRDefault="00562C69" w:rsidP="00562C69">
      <w:r w:rsidRPr="004E690D">
        <w:t>The terminology used in this publication has been simplified were possible, to make it easier for novice users of international investment data to understand the concepts being covered.</w:t>
      </w:r>
      <w:r w:rsidRPr="004E690D">
        <w:rPr>
          <w:color w:val="000000"/>
        </w:rPr>
        <w:t xml:space="preserve"> </w:t>
      </w:r>
      <w:r w:rsidRPr="004E690D">
        <w:t xml:space="preserve">In </w:t>
      </w:r>
      <w:r w:rsidR="00F832AF" w:rsidRPr="004E690D">
        <w:t>addition,</w:t>
      </w:r>
      <w:r w:rsidRPr="004E690D">
        <w:t xml:space="preserve"> the balance of payments signage applied to ABS investment statistics has been removed.</w:t>
      </w:r>
    </w:p>
    <w:p w14:paraId="02D62632" w14:textId="77777777" w:rsidR="008E5270" w:rsidRPr="008E5270" w:rsidRDefault="008E5270" w:rsidP="00AA7D09">
      <w:pPr>
        <w:pStyle w:val="Heading2"/>
      </w:pPr>
      <w:r w:rsidRPr="008E5270">
        <w:t>Data sources</w:t>
      </w:r>
    </w:p>
    <w:p w14:paraId="6C8404CF" w14:textId="77777777" w:rsidR="00562C69" w:rsidRPr="00562C69" w:rsidRDefault="00562C69" w:rsidP="00562C69">
      <w:pPr>
        <w:pStyle w:val="BodyText"/>
        <w:rPr>
          <w:rStyle w:val="bodytext1"/>
          <w:rFonts w:asciiTheme="minorHAnsi" w:hAnsiTheme="minorHAnsi"/>
          <w:color w:val="495965" w:themeColor="text2"/>
          <w:sz w:val="22"/>
          <w:szCs w:val="22"/>
        </w:rPr>
      </w:pPr>
      <w:r w:rsidRPr="00562C69">
        <w:rPr>
          <w:rStyle w:val="bodytext1"/>
          <w:rFonts w:asciiTheme="minorHAnsi" w:hAnsiTheme="minorHAnsi"/>
          <w:color w:val="495965" w:themeColor="text2"/>
          <w:sz w:val="22"/>
          <w:szCs w:val="22"/>
        </w:rPr>
        <w:t>The international investment statistics used to compile this publication have been obtained from the following sources:</w:t>
      </w:r>
    </w:p>
    <w:p w14:paraId="1FB95F55" w14:textId="692A876E" w:rsidR="00562C69" w:rsidRPr="00562C69" w:rsidRDefault="00562C69" w:rsidP="00AC5D7D">
      <w:pPr>
        <w:pStyle w:val="Bullet1"/>
        <w:rPr>
          <w:rStyle w:val="bodytext1"/>
          <w:rFonts w:asciiTheme="minorHAnsi" w:hAnsiTheme="minorHAnsi"/>
          <w:color w:val="495965" w:themeColor="text2"/>
          <w:sz w:val="22"/>
          <w:szCs w:val="22"/>
        </w:rPr>
      </w:pPr>
      <w:r w:rsidRPr="00562C69">
        <w:rPr>
          <w:rStyle w:val="bodytext1"/>
          <w:rFonts w:asciiTheme="minorHAnsi" w:hAnsiTheme="minorHAnsi"/>
          <w:color w:val="495965" w:themeColor="text2"/>
          <w:sz w:val="22"/>
          <w:szCs w:val="22"/>
        </w:rPr>
        <w:t xml:space="preserve">ABS – </w:t>
      </w:r>
      <w:r w:rsidRPr="00562C69">
        <w:rPr>
          <w:rStyle w:val="bodytext1"/>
          <w:rFonts w:asciiTheme="minorHAnsi" w:hAnsiTheme="minorHAnsi"/>
          <w:i/>
          <w:color w:val="495965" w:themeColor="text2"/>
          <w:sz w:val="22"/>
          <w:szCs w:val="22"/>
        </w:rPr>
        <w:t>Balance of Payments and International Investment Position</w:t>
      </w:r>
      <w:r w:rsidRPr="00562C69">
        <w:rPr>
          <w:rStyle w:val="bodytext1"/>
          <w:rFonts w:asciiTheme="minorHAnsi" w:hAnsiTheme="minorHAnsi"/>
          <w:color w:val="495965" w:themeColor="text2"/>
          <w:sz w:val="22"/>
          <w:szCs w:val="22"/>
        </w:rPr>
        <w:t xml:space="preserve">, </w:t>
      </w:r>
      <w:r w:rsidR="007A26CE">
        <w:rPr>
          <w:rStyle w:val="bodytext1"/>
          <w:rFonts w:asciiTheme="minorHAnsi" w:hAnsiTheme="minorHAnsi"/>
          <w:color w:val="495965" w:themeColor="text2"/>
          <w:sz w:val="22"/>
          <w:szCs w:val="22"/>
        </w:rPr>
        <w:t>December</w:t>
      </w:r>
      <w:r w:rsidRPr="00562C69">
        <w:rPr>
          <w:rStyle w:val="bodytext1"/>
          <w:rFonts w:asciiTheme="minorHAnsi" w:hAnsiTheme="minorHAnsi"/>
          <w:color w:val="495965" w:themeColor="text2"/>
          <w:sz w:val="22"/>
          <w:szCs w:val="22"/>
        </w:rPr>
        <w:t xml:space="preserve"> quarter 20</w:t>
      </w:r>
      <w:r w:rsidR="00152C3F">
        <w:rPr>
          <w:rStyle w:val="bodytext1"/>
          <w:rFonts w:asciiTheme="minorHAnsi" w:hAnsiTheme="minorHAnsi"/>
          <w:color w:val="495965" w:themeColor="text2"/>
          <w:sz w:val="22"/>
          <w:szCs w:val="22"/>
        </w:rPr>
        <w:t>2</w:t>
      </w:r>
      <w:r w:rsidR="00E31636">
        <w:rPr>
          <w:rStyle w:val="bodytext1"/>
          <w:rFonts w:asciiTheme="minorHAnsi" w:hAnsiTheme="minorHAnsi"/>
          <w:color w:val="495965" w:themeColor="text2"/>
          <w:sz w:val="22"/>
          <w:szCs w:val="22"/>
        </w:rPr>
        <w:t>1</w:t>
      </w:r>
      <w:r w:rsidRPr="00562C69">
        <w:rPr>
          <w:rStyle w:val="bodytext1"/>
          <w:rFonts w:asciiTheme="minorHAnsi" w:hAnsiTheme="minorHAnsi"/>
          <w:color w:val="495965" w:themeColor="text2"/>
          <w:sz w:val="22"/>
          <w:szCs w:val="22"/>
        </w:rPr>
        <w:t xml:space="preserve"> (ABS catalogue 5302.0)</w:t>
      </w:r>
    </w:p>
    <w:p w14:paraId="258AFA1A" w14:textId="02CDAFA3" w:rsidR="00562C69" w:rsidRPr="00562C69" w:rsidRDefault="00562C69" w:rsidP="00AC5D7D">
      <w:pPr>
        <w:pStyle w:val="Bullet1"/>
        <w:rPr>
          <w:rStyle w:val="bodytext1"/>
          <w:rFonts w:asciiTheme="minorHAnsi" w:hAnsiTheme="minorHAnsi"/>
          <w:color w:val="495965" w:themeColor="text2"/>
          <w:sz w:val="22"/>
          <w:szCs w:val="22"/>
        </w:rPr>
      </w:pPr>
      <w:r w:rsidRPr="00562C69">
        <w:rPr>
          <w:rStyle w:val="bodytext1"/>
          <w:rFonts w:asciiTheme="minorHAnsi" w:hAnsiTheme="minorHAnsi"/>
          <w:color w:val="495965" w:themeColor="text2"/>
          <w:sz w:val="22"/>
          <w:szCs w:val="22"/>
        </w:rPr>
        <w:t xml:space="preserve">ABS – </w:t>
      </w:r>
      <w:r w:rsidRPr="00562C69">
        <w:rPr>
          <w:rStyle w:val="bodytext1"/>
          <w:rFonts w:asciiTheme="minorHAnsi" w:hAnsiTheme="minorHAnsi"/>
          <w:i/>
          <w:color w:val="495965" w:themeColor="text2"/>
          <w:sz w:val="22"/>
          <w:szCs w:val="22"/>
        </w:rPr>
        <w:t>International Investment Position, Australia: Supplementary Statistics,</w:t>
      </w:r>
      <w:r w:rsidRPr="00562C69">
        <w:rPr>
          <w:rStyle w:val="bodytext1"/>
          <w:rFonts w:asciiTheme="minorHAnsi" w:hAnsiTheme="minorHAnsi"/>
          <w:color w:val="495965" w:themeColor="text2"/>
          <w:sz w:val="22"/>
          <w:szCs w:val="22"/>
        </w:rPr>
        <w:t xml:space="preserve"> </w:t>
      </w:r>
      <w:r w:rsidR="00152C3F">
        <w:rPr>
          <w:rStyle w:val="bodytext1"/>
          <w:rFonts w:asciiTheme="minorHAnsi" w:hAnsiTheme="minorHAnsi"/>
          <w:color w:val="495965" w:themeColor="text2"/>
          <w:sz w:val="22"/>
          <w:szCs w:val="22"/>
        </w:rPr>
        <w:t>202</w:t>
      </w:r>
      <w:r w:rsidR="007A26CE">
        <w:rPr>
          <w:rStyle w:val="bodytext1"/>
          <w:rFonts w:asciiTheme="minorHAnsi" w:hAnsiTheme="minorHAnsi"/>
          <w:color w:val="495965" w:themeColor="text2"/>
          <w:sz w:val="22"/>
          <w:szCs w:val="22"/>
        </w:rPr>
        <w:t>1</w:t>
      </w:r>
      <w:r w:rsidRPr="00562C69">
        <w:rPr>
          <w:rStyle w:val="bodytext1"/>
          <w:rFonts w:asciiTheme="minorHAnsi" w:hAnsiTheme="minorHAnsi"/>
          <w:color w:val="495965" w:themeColor="text2"/>
          <w:sz w:val="22"/>
          <w:szCs w:val="22"/>
        </w:rPr>
        <w:t xml:space="preserve"> (ABS catalogue 5352.0) </w:t>
      </w:r>
    </w:p>
    <w:p w14:paraId="5FA97017" w14:textId="5F904BBF" w:rsidR="00562C69" w:rsidRPr="00562C69" w:rsidRDefault="00562C69" w:rsidP="00AC5D7D">
      <w:pPr>
        <w:pStyle w:val="Bullet1"/>
        <w:rPr>
          <w:rStyle w:val="bodytext1"/>
          <w:rFonts w:asciiTheme="minorHAnsi" w:hAnsiTheme="minorHAnsi"/>
          <w:color w:val="495965" w:themeColor="text2"/>
          <w:sz w:val="22"/>
          <w:szCs w:val="22"/>
        </w:rPr>
      </w:pPr>
      <w:r w:rsidRPr="00562C69">
        <w:rPr>
          <w:rStyle w:val="bodytext1"/>
          <w:rFonts w:asciiTheme="minorHAnsi" w:hAnsiTheme="minorHAnsi"/>
          <w:color w:val="495965" w:themeColor="text2"/>
          <w:sz w:val="22"/>
          <w:szCs w:val="22"/>
        </w:rPr>
        <w:t xml:space="preserve">ABS – </w:t>
      </w:r>
      <w:r w:rsidRPr="00562C69">
        <w:rPr>
          <w:rStyle w:val="bodytext1"/>
          <w:rFonts w:asciiTheme="minorHAnsi" w:hAnsiTheme="minorHAnsi"/>
          <w:i/>
          <w:color w:val="495965" w:themeColor="text2"/>
          <w:sz w:val="22"/>
          <w:szCs w:val="22"/>
        </w:rPr>
        <w:t xml:space="preserve">Australian National Accounts, </w:t>
      </w:r>
      <w:r w:rsidR="007A26CE">
        <w:rPr>
          <w:rStyle w:val="bodytext1"/>
          <w:rFonts w:asciiTheme="minorHAnsi" w:hAnsiTheme="minorHAnsi"/>
          <w:color w:val="495965" w:themeColor="text2"/>
          <w:sz w:val="22"/>
          <w:szCs w:val="22"/>
        </w:rPr>
        <w:t>December</w:t>
      </w:r>
      <w:r w:rsidRPr="00562C69">
        <w:rPr>
          <w:rStyle w:val="bodytext1"/>
          <w:rFonts w:asciiTheme="minorHAnsi" w:hAnsiTheme="minorHAnsi"/>
          <w:color w:val="495965" w:themeColor="text2"/>
          <w:sz w:val="22"/>
          <w:szCs w:val="22"/>
        </w:rPr>
        <w:t xml:space="preserve"> quarter 20</w:t>
      </w:r>
      <w:r w:rsidR="00152C3F">
        <w:rPr>
          <w:rStyle w:val="bodytext1"/>
          <w:rFonts w:asciiTheme="minorHAnsi" w:hAnsiTheme="minorHAnsi"/>
          <w:color w:val="495965" w:themeColor="text2"/>
          <w:sz w:val="22"/>
          <w:szCs w:val="22"/>
        </w:rPr>
        <w:t>2</w:t>
      </w:r>
      <w:r w:rsidR="00E31636">
        <w:rPr>
          <w:rStyle w:val="bodytext1"/>
          <w:rFonts w:asciiTheme="minorHAnsi" w:hAnsiTheme="minorHAnsi"/>
          <w:color w:val="495965" w:themeColor="text2"/>
          <w:sz w:val="22"/>
          <w:szCs w:val="22"/>
        </w:rPr>
        <w:t>1</w:t>
      </w:r>
      <w:r w:rsidRPr="00562C69">
        <w:rPr>
          <w:rStyle w:val="bodytext1"/>
          <w:rFonts w:asciiTheme="minorHAnsi" w:hAnsiTheme="minorHAnsi"/>
          <w:color w:val="495965" w:themeColor="text2"/>
          <w:sz w:val="22"/>
          <w:szCs w:val="22"/>
        </w:rPr>
        <w:t xml:space="preserve"> (ABS catalogue 5206.0)</w:t>
      </w:r>
    </w:p>
    <w:p w14:paraId="023E087D" w14:textId="77777777" w:rsidR="00562C69" w:rsidRPr="00562C69" w:rsidRDefault="00562C69" w:rsidP="00AC5D7D">
      <w:pPr>
        <w:pStyle w:val="Bullet1"/>
        <w:rPr>
          <w:rStyle w:val="bodytext1"/>
          <w:rFonts w:asciiTheme="minorHAnsi" w:hAnsiTheme="minorHAnsi"/>
          <w:color w:val="495965" w:themeColor="text2"/>
          <w:sz w:val="22"/>
          <w:szCs w:val="22"/>
        </w:rPr>
      </w:pPr>
      <w:r w:rsidRPr="00562C69">
        <w:rPr>
          <w:rStyle w:val="bodytext1"/>
          <w:rFonts w:asciiTheme="minorHAnsi" w:hAnsiTheme="minorHAnsi"/>
          <w:color w:val="495965" w:themeColor="text2"/>
          <w:sz w:val="22"/>
          <w:szCs w:val="22"/>
        </w:rPr>
        <w:t xml:space="preserve">ABS – </w:t>
      </w:r>
      <w:r w:rsidRPr="00562C69">
        <w:rPr>
          <w:rStyle w:val="bodytext1"/>
          <w:rFonts w:asciiTheme="minorHAnsi" w:hAnsiTheme="minorHAnsi"/>
          <w:i/>
          <w:color w:val="495965" w:themeColor="text2"/>
          <w:sz w:val="22"/>
          <w:szCs w:val="22"/>
        </w:rPr>
        <w:t>Selected Characteristics of Australian Businesses,</w:t>
      </w:r>
      <w:r w:rsidRPr="00562C69">
        <w:rPr>
          <w:rStyle w:val="bodytext1"/>
          <w:rFonts w:asciiTheme="minorHAnsi" w:hAnsiTheme="minorHAnsi"/>
          <w:color w:val="495965" w:themeColor="text2"/>
          <w:sz w:val="22"/>
          <w:szCs w:val="22"/>
        </w:rPr>
        <w:t xml:space="preserve"> </w:t>
      </w:r>
      <w:r w:rsidRPr="00A607C4">
        <w:rPr>
          <w:rStyle w:val="bodytext1"/>
          <w:rFonts w:asciiTheme="minorHAnsi" w:hAnsiTheme="minorHAnsi"/>
          <w:color w:val="495965" w:themeColor="text2"/>
          <w:sz w:val="22"/>
          <w:szCs w:val="22"/>
        </w:rPr>
        <w:t>201</w:t>
      </w:r>
      <w:r w:rsidR="00AD042A" w:rsidRPr="00A607C4">
        <w:rPr>
          <w:rStyle w:val="bodytext1"/>
          <w:rFonts w:asciiTheme="minorHAnsi" w:hAnsiTheme="minorHAnsi"/>
          <w:color w:val="495965" w:themeColor="text2"/>
          <w:sz w:val="22"/>
          <w:szCs w:val="22"/>
        </w:rPr>
        <w:t>8-19</w:t>
      </w:r>
      <w:r w:rsidRPr="00562C69">
        <w:rPr>
          <w:rStyle w:val="bodytext1"/>
          <w:rFonts w:asciiTheme="minorHAnsi" w:hAnsiTheme="minorHAnsi"/>
          <w:color w:val="495965" w:themeColor="text2"/>
          <w:sz w:val="22"/>
          <w:szCs w:val="22"/>
        </w:rPr>
        <w:t xml:space="preserve"> (ABS catalogue 8167.0)</w:t>
      </w:r>
    </w:p>
    <w:p w14:paraId="20D846A1" w14:textId="14AEC331" w:rsidR="00562C69" w:rsidRPr="00562C69" w:rsidRDefault="00562C69" w:rsidP="00AC5D7D">
      <w:pPr>
        <w:pStyle w:val="Bullet1"/>
        <w:rPr>
          <w:rStyle w:val="bodytext1"/>
          <w:rFonts w:asciiTheme="minorHAnsi" w:hAnsiTheme="minorHAnsi"/>
          <w:color w:val="495965" w:themeColor="text2"/>
          <w:sz w:val="22"/>
          <w:szCs w:val="22"/>
        </w:rPr>
      </w:pPr>
      <w:r w:rsidRPr="00562C69">
        <w:rPr>
          <w:rStyle w:val="bodytext1"/>
          <w:rFonts w:asciiTheme="minorHAnsi" w:hAnsiTheme="minorHAnsi"/>
          <w:color w:val="495965" w:themeColor="text2"/>
          <w:sz w:val="22"/>
          <w:szCs w:val="22"/>
        </w:rPr>
        <w:t xml:space="preserve">ABS – </w:t>
      </w:r>
      <w:r w:rsidRPr="00562C69">
        <w:rPr>
          <w:rStyle w:val="bodytext1"/>
          <w:rFonts w:asciiTheme="minorHAnsi" w:hAnsiTheme="minorHAnsi"/>
          <w:i/>
          <w:color w:val="495965" w:themeColor="text2"/>
          <w:sz w:val="22"/>
          <w:szCs w:val="22"/>
        </w:rPr>
        <w:t xml:space="preserve">Australian National Accounts: Financial Accounts, </w:t>
      </w:r>
      <w:r w:rsidR="007A26CE">
        <w:rPr>
          <w:rStyle w:val="bodytext1"/>
          <w:rFonts w:asciiTheme="minorHAnsi" w:hAnsiTheme="minorHAnsi"/>
          <w:color w:val="495965" w:themeColor="text2"/>
          <w:sz w:val="22"/>
          <w:szCs w:val="22"/>
        </w:rPr>
        <w:t>December</w:t>
      </w:r>
      <w:r w:rsidRPr="00562C69">
        <w:rPr>
          <w:rStyle w:val="bodytext1"/>
          <w:rFonts w:asciiTheme="minorHAnsi" w:hAnsiTheme="minorHAnsi"/>
          <w:color w:val="495965" w:themeColor="text2"/>
          <w:sz w:val="22"/>
          <w:szCs w:val="22"/>
        </w:rPr>
        <w:t xml:space="preserve"> 20</w:t>
      </w:r>
      <w:r w:rsidR="00152C3F">
        <w:rPr>
          <w:rStyle w:val="bodytext1"/>
          <w:rFonts w:asciiTheme="minorHAnsi" w:hAnsiTheme="minorHAnsi"/>
          <w:color w:val="495965" w:themeColor="text2"/>
          <w:sz w:val="22"/>
          <w:szCs w:val="22"/>
        </w:rPr>
        <w:t>2</w:t>
      </w:r>
      <w:r w:rsidR="00E31636">
        <w:rPr>
          <w:rStyle w:val="bodytext1"/>
          <w:rFonts w:asciiTheme="minorHAnsi" w:hAnsiTheme="minorHAnsi"/>
          <w:color w:val="495965" w:themeColor="text2"/>
          <w:sz w:val="22"/>
          <w:szCs w:val="22"/>
        </w:rPr>
        <w:t>1</w:t>
      </w:r>
      <w:r w:rsidRPr="00562C69">
        <w:rPr>
          <w:rStyle w:val="bodytext1"/>
          <w:rFonts w:asciiTheme="minorHAnsi" w:hAnsiTheme="minorHAnsi"/>
          <w:i/>
          <w:color w:val="495965" w:themeColor="text2"/>
          <w:sz w:val="22"/>
          <w:szCs w:val="22"/>
        </w:rPr>
        <w:t xml:space="preserve"> </w:t>
      </w:r>
      <w:r w:rsidRPr="00562C69">
        <w:rPr>
          <w:rStyle w:val="bodytext1"/>
          <w:rFonts w:asciiTheme="minorHAnsi" w:hAnsiTheme="minorHAnsi"/>
          <w:color w:val="495965" w:themeColor="text2"/>
          <w:sz w:val="22"/>
          <w:szCs w:val="22"/>
        </w:rPr>
        <w:t>(ABS catalogue 5232.0)</w:t>
      </w:r>
    </w:p>
    <w:p w14:paraId="241A5034" w14:textId="56CA99BB" w:rsidR="00562C69" w:rsidRPr="00562C69" w:rsidRDefault="00562C69" w:rsidP="00AC5D7D">
      <w:pPr>
        <w:pStyle w:val="Bullet1"/>
        <w:rPr>
          <w:rStyle w:val="bodytext1"/>
          <w:rFonts w:asciiTheme="minorHAnsi" w:hAnsiTheme="minorHAnsi"/>
          <w:color w:val="495965" w:themeColor="text2"/>
          <w:sz w:val="22"/>
          <w:szCs w:val="22"/>
        </w:rPr>
      </w:pPr>
      <w:r w:rsidRPr="00562C69">
        <w:rPr>
          <w:rStyle w:val="bodytext1"/>
          <w:rFonts w:asciiTheme="minorHAnsi" w:hAnsiTheme="minorHAnsi"/>
          <w:color w:val="495965" w:themeColor="text2"/>
          <w:sz w:val="22"/>
          <w:szCs w:val="22"/>
        </w:rPr>
        <w:lastRenderedPageBreak/>
        <w:t xml:space="preserve">FIRB – </w:t>
      </w:r>
      <w:r w:rsidRPr="00562C69">
        <w:rPr>
          <w:rStyle w:val="bodytext1"/>
          <w:rFonts w:asciiTheme="minorHAnsi" w:hAnsiTheme="minorHAnsi"/>
          <w:i/>
          <w:color w:val="495965" w:themeColor="text2"/>
          <w:sz w:val="22"/>
          <w:szCs w:val="22"/>
        </w:rPr>
        <w:t>Annual Report</w:t>
      </w:r>
      <w:r w:rsidRPr="00562C69">
        <w:rPr>
          <w:rStyle w:val="bodytext1"/>
          <w:rFonts w:asciiTheme="minorHAnsi" w:hAnsiTheme="minorHAnsi"/>
          <w:color w:val="495965" w:themeColor="text2"/>
          <w:sz w:val="22"/>
          <w:szCs w:val="22"/>
        </w:rPr>
        <w:t>,</w:t>
      </w:r>
      <w:r w:rsidR="00F86743">
        <w:rPr>
          <w:rStyle w:val="bodytext1"/>
          <w:rFonts w:asciiTheme="minorHAnsi" w:hAnsiTheme="minorHAnsi"/>
          <w:color w:val="495965" w:themeColor="text2"/>
          <w:sz w:val="22"/>
          <w:szCs w:val="22"/>
        </w:rPr>
        <w:t xml:space="preserve"> 20</w:t>
      </w:r>
      <w:r w:rsidR="007A26CE">
        <w:rPr>
          <w:rStyle w:val="bodytext1"/>
          <w:rFonts w:asciiTheme="minorHAnsi" w:hAnsiTheme="minorHAnsi"/>
          <w:color w:val="495965" w:themeColor="text2"/>
          <w:sz w:val="22"/>
          <w:szCs w:val="22"/>
        </w:rPr>
        <w:t>20-21</w:t>
      </w:r>
    </w:p>
    <w:p w14:paraId="2083B0D6" w14:textId="65037B27" w:rsidR="00562C69" w:rsidRPr="00562C69" w:rsidRDefault="00562C69" w:rsidP="00AC5D7D">
      <w:pPr>
        <w:pStyle w:val="Bullet1"/>
        <w:rPr>
          <w:rStyle w:val="bodytext1"/>
          <w:rFonts w:asciiTheme="minorHAnsi" w:hAnsiTheme="minorHAnsi"/>
          <w:color w:val="495965" w:themeColor="text2"/>
          <w:sz w:val="22"/>
          <w:szCs w:val="22"/>
        </w:rPr>
      </w:pPr>
      <w:r w:rsidRPr="00562C69">
        <w:rPr>
          <w:rStyle w:val="bodytext1"/>
          <w:rFonts w:asciiTheme="minorHAnsi" w:hAnsiTheme="minorHAnsi"/>
          <w:color w:val="495965" w:themeColor="text2"/>
          <w:sz w:val="22"/>
          <w:szCs w:val="22"/>
        </w:rPr>
        <w:t xml:space="preserve">UNCTAD – </w:t>
      </w:r>
      <w:r w:rsidRPr="00562C69">
        <w:rPr>
          <w:rStyle w:val="bodytext1"/>
          <w:rFonts w:asciiTheme="minorHAnsi" w:hAnsiTheme="minorHAnsi"/>
          <w:i/>
          <w:color w:val="495965" w:themeColor="text2"/>
          <w:sz w:val="22"/>
          <w:szCs w:val="22"/>
        </w:rPr>
        <w:t>World Investment Report, 20</w:t>
      </w:r>
      <w:r w:rsidR="00152C3F">
        <w:rPr>
          <w:rStyle w:val="bodytext1"/>
          <w:rFonts w:asciiTheme="minorHAnsi" w:hAnsiTheme="minorHAnsi"/>
          <w:i/>
          <w:color w:val="495965" w:themeColor="text2"/>
          <w:sz w:val="22"/>
          <w:szCs w:val="22"/>
        </w:rPr>
        <w:t>2</w:t>
      </w:r>
      <w:r w:rsidR="007A26CE">
        <w:rPr>
          <w:rStyle w:val="bodytext1"/>
          <w:rFonts w:asciiTheme="minorHAnsi" w:hAnsiTheme="minorHAnsi"/>
          <w:i/>
          <w:color w:val="495965" w:themeColor="text2"/>
          <w:sz w:val="22"/>
          <w:szCs w:val="22"/>
        </w:rPr>
        <w:t>2</w:t>
      </w:r>
      <w:r w:rsidRPr="00562C69">
        <w:rPr>
          <w:rStyle w:val="bodytext1"/>
          <w:rFonts w:asciiTheme="minorHAnsi" w:hAnsiTheme="minorHAnsi"/>
          <w:color w:val="495965" w:themeColor="text2"/>
          <w:sz w:val="22"/>
          <w:szCs w:val="22"/>
        </w:rPr>
        <w:t xml:space="preserve"> and </w:t>
      </w:r>
      <w:r w:rsidRPr="00562C69">
        <w:rPr>
          <w:rStyle w:val="bodytext1"/>
          <w:rFonts w:asciiTheme="minorHAnsi" w:hAnsiTheme="minorHAnsi"/>
          <w:i/>
          <w:color w:val="495965" w:themeColor="text2"/>
          <w:sz w:val="22"/>
          <w:szCs w:val="22"/>
        </w:rPr>
        <w:t xml:space="preserve">Foreign Direct Investment </w:t>
      </w:r>
      <w:r w:rsidRPr="0056104C">
        <w:rPr>
          <w:rStyle w:val="bodytext1"/>
          <w:rFonts w:asciiTheme="minorHAnsi" w:hAnsiTheme="minorHAnsi"/>
          <w:color w:val="495965" w:themeColor="text2"/>
          <w:sz w:val="22"/>
          <w:szCs w:val="22"/>
        </w:rPr>
        <w:t>database</w:t>
      </w:r>
    </w:p>
    <w:p w14:paraId="7723C254" w14:textId="6967D3FA" w:rsidR="00562C69" w:rsidRPr="00562C69" w:rsidRDefault="00562C69" w:rsidP="00AC5D7D">
      <w:pPr>
        <w:pStyle w:val="Bullet1"/>
        <w:rPr>
          <w:rStyle w:val="bodytext1"/>
          <w:rFonts w:asciiTheme="minorHAnsi" w:hAnsiTheme="minorHAnsi"/>
          <w:color w:val="495965" w:themeColor="text2"/>
          <w:sz w:val="22"/>
          <w:szCs w:val="22"/>
        </w:rPr>
      </w:pPr>
      <w:r w:rsidRPr="00562C69">
        <w:rPr>
          <w:rStyle w:val="bodytext1"/>
          <w:rFonts w:asciiTheme="minorHAnsi" w:hAnsiTheme="minorHAnsi"/>
          <w:color w:val="495965" w:themeColor="text2"/>
          <w:sz w:val="22"/>
          <w:szCs w:val="22"/>
        </w:rPr>
        <w:t xml:space="preserve">WTO – </w:t>
      </w:r>
      <w:r w:rsidRPr="00562C69">
        <w:rPr>
          <w:rStyle w:val="bodytext1"/>
          <w:rFonts w:asciiTheme="minorHAnsi" w:hAnsiTheme="minorHAnsi"/>
          <w:i/>
          <w:color w:val="495965" w:themeColor="text2"/>
          <w:sz w:val="22"/>
          <w:szCs w:val="22"/>
        </w:rPr>
        <w:t>World Trade Organization</w:t>
      </w:r>
      <w:r w:rsidR="00E77422">
        <w:rPr>
          <w:rStyle w:val="bodytext1"/>
          <w:rFonts w:asciiTheme="minorHAnsi" w:hAnsiTheme="minorHAnsi"/>
          <w:color w:val="495965" w:themeColor="text2"/>
          <w:sz w:val="22"/>
          <w:szCs w:val="22"/>
        </w:rPr>
        <w:t xml:space="preserve">, </w:t>
      </w:r>
      <w:r w:rsidR="007A26CE">
        <w:rPr>
          <w:rStyle w:val="bodytext1"/>
          <w:rFonts w:asciiTheme="minorHAnsi" w:hAnsiTheme="minorHAnsi"/>
          <w:color w:val="495965" w:themeColor="text2"/>
          <w:sz w:val="22"/>
          <w:szCs w:val="22"/>
        </w:rPr>
        <w:t>April 2022</w:t>
      </w:r>
      <w:r w:rsidRPr="00562C69">
        <w:rPr>
          <w:rStyle w:val="bodytext1"/>
          <w:rFonts w:asciiTheme="minorHAnsi" w:hAnsiTheme="minorHAnsi"/>
          <w:color w:val="495965" w:themeColor="text2"/>
          <w:sz w:val="22"/>
          <w:szCs w:val="22"/>
        </w:rPr>
        <w:t xml:space="preserve"> database</w:t>
      </w:r>
    </w:p>
    <w:p w14:paraId="31E30062" w14:textId="4C704ADB" w:rsidR="00562C69" w:rsidRPr="00562C69" w:rsidRDefault="00562C69" w:rsidP="00AC5D7D">
      <w:pPr>
        <w:pStyle w:val="Bullet1"/>
      </w:pPr>
      <w:r w:rsidRPr="00562C69">
        <w:rPr>
          <w:rStyle w:val="bodytext1"/>
          <w:rFonts w:asciiTheme="minorHAnsi" w:hAnsiTheme="minorHAnsi"/>
          <w:color w:val="495965" w:themeColor="text2"/>
          <w:sz w:val="22"/>
          <w:szCs w:val="22"/>
        </w:rPr>
        <w:t xml:space="preserve">IMF WEO – </w:t>
      </w:r>
      <w:r w:rsidRPr="00562C69">
        <w:rPr>
          <w:rStyle w:val="bodytext1"/>
          <w:rFonts w:asciiTheme="minorHAnsi" w:hAnsiTheme="minorHAnsi"/>
          <w:i/>
          <w:color w:val="495965" w:themeColor="text2"/>
          <w:sz w:val="22"/>
          <w:szCs w:val="22"/>
        </w:rPr>
        <w:t>International Monetary Fund World Economic Outlook</w:t>
      </w:r>
      <w:r w:rsidRPr="00562C69">
        <w:rPr>
          <w:rStyle w:val="bodytext1"/>
          <w:rFonts w:asciiTheme="minorHAnsi" w:hAnsiTheme="minorHAnsi"/>
          <w:color w:val="495965" w:themeColor="text2"/>
          <w:sz w:val="22"/>
          <w:szCs w:val="22"/>
        </w:rPr>
        <w:t xml:space="preserve">, </w:t>
      </w:r>
      <w:r w:rsidR="00E31636">
        <w:rPr>
          <w:rStyle w:val="bodytext1"/>
          <w:rFonts w:asciiTheme="minorHAnsi" w:hAnsiTheme="minorHAnsi"/>
          <w:color w:val="495965" w:themeColor="text2"/>
          <w:sz w:val="22"/>
          <w:szCs w:val="22"/>
        </w:rPr>
        <w:t>April 202</w:t>
      </w:r>
      <w:r w:rsidR="007A26CE">
        <w:rPr>
          <w:rStyle w:val="bodytext1"/>
          <w:rFonts w:asciiTheme="minorHAnsi" w:hAnsiTheme="minorHAnsi"/>
          <w:color w:val="495965" w:themeColor="text2"/>
          <w:sz w:val="22"/>
          <w:szCs w:val="22"/>
        </w:rPr>
        <w:t>2</w:t>
      </w:r>
      <w:r w:rsidRPr="00562C69">
        <w:rPr>
          <w:rStyle w:val="bodytext1"/>
          <w:rFonts w:asciiTheme="minorHAnsi" w:hAnsiTheme="minorHAnsi"/>
          <w:color w:val="495965" w:themeColor="text2"/>
          <w:sz w:val="22"/>
          <w:szCs w:val="22"/>
        </w:rPr>
        <w:t xml:space="preserve"> database.</w:t>
      </w:r>
    </w:p>
    <w:p w14:paraId="6C9290C8" w14:textId="77777777" w:rsidR="00562C69" w:rsidRPr="004E690D" w:rsidRDefault="00562C69" w:rsidP="00AA7D09">
      <w:pPr>
        <w:pStyle w:val="Heading2"/>
      </w:pPr>
      <w:r w:rsidRPr="004E690D">
        <w:t>Revisions to data</w:t>
      </w:r>
    </w:p>
    <w:p w14:paraId="4DC9390C" w14:textId="6121351E" w:rsidR="00562C69" w:rsidRPr="004E690D" w:rsidRDefault="00562C69" w:rsidP="00562C69">
      <w:r w:rsidRPr="004E690D">
        <w:t>ABS editing procedures frequently lead to revisions of previously published international investment data. Figures in this publication contain all amendments made by the ABS up to May 20</w:t>
      </w:r>
      <w:r w:rsidR="00152C3F">
        <w:t>2</w:t>
      </w:r>
      <w:r w:rsidR="007A26CE">
        <w:t>2</w:t>
      </w:r>
      <w:r w:rsidRPr="004E690D">
        <w:t xml:space="preserve">. </w:t>
      </w:r>
    </w:p>
    <w:p w14:paraId="3B9E6CE2" w14:textId="77777777" w:rsidR="00562C69" w:rsidRPr="004E690D" w:rsidRDefault="00562C69" w:rsidP="00AA7D09">
      <w:pPr>
        <w:pStyle w:val="Heading2"/>
      </w:pPr>
      <w:r w:rsidRPr="004E690D">
        <w:t>Confidential data</w:t>
      </w:r>
    </w:p>
    <w:p w14:paraId="47C3E6AE" w14:textId="77777777" w:rsidR="00562C69" w:rsidRPr="004E690D" w:rsidRDefault="00562C69" w:rsidP="00AA7D09">
      <w:pPr>
        <w:pStyle w:val="Heading3"/>
      </w:pPr>
      <w:r w:rsidRPr="004E690D">
        <w:t>International investment data</w:t>
      </w:r>
    </w:p>
    <w:p w14:paraId="41756D1D" w14:textId="52EAEE7A" w:rsidR="00562C69" w:rsidRPr="004E690D" w:rsidRDefault="00562C69" w:rsidP="00562C69">
      <w:r w:rsidRPr="004E690D">
        <w:t xml:space="preserve">To avoid divulging </w:t>
      </w:r>
      <w:r w:rsidR="00CC4F85" w:rsidRPr="004E690D">
        <w:t>commercially sensitive</w:t>
      </w:r>
      <w:r w:rsidRPr="004E690D">
        <w:t xml:space="preserve"> details of individual firms, the ABS restricts the release of certain statistics. In international investment statistics the ABS uses a ‘suppression’ methodology. Under this methodology, if a data cell is deemed to be confidential, the ABS would close that cell and flag it as ‘not published (np). As it is possible to calculate this cell by subtracting all other cells in the row from a total (or sub-total) series the ABS is also forced to suppress a non-confidential cell (called sequential confidentiality). As a </w:t>
      </w:r>
      <w:r w:rsidR="00CC4F85" w:rsidRPr="004E690D">
        <w:t>result,</w:t>
      </w:r>
      <w:r w:rsidRPr="004E690D">
        <w:t xml:space="preserve"> the number of cells suppressed can grow exponentially. </w:t>
      </w:r>
      <w:r w:rsidR="00CC4F85" w:rsidRPr="004E690D">
        <w:t>Therefore,</w:t>
      </w:r>
      <w:r w:rsidRPr="004E690D">
        <w:t xml:space="preserve"> a significant proportion of international investment data (especially at the partner </w:t>
      </w:r>
      <w:r w:rsidR="00810798">
        <w:t>economy</w:t>
      </w:r>
      <w:r w:rsidRPr="004E690D">
        <w:t xml:space="preserve"> level) is not published by the ABS. </w:t>
      </w:r>
    </w:p>
    <w:p w14:paraId="50E7CB73" w14:textId="5BAC8AFE" w:rsidR="00562C69" w:rsidRPr="004E690D" w:rsidRDefault="00562C69" w:rsidP="00562C69">
      <w:r>
        <w:t xml:space="preserve">This can make it difficult for users of ABS international investment to analyse trends in ABS international investment data, especially for compiling ranking tables. </w:t>
      </w:r>
      <w:r w:rsidR="00CC4F85">
        <w:t>Therefore,</w:t>
      </w:r>
      <w:r>
        <w:t xml:space="preserve"> the rankings for FIA and AIA (both total and direct) in </w:t>
      </w:r>
      <w:r w:rsidRPr="605AC6C3">
        <w:rPr>
          <w:b/>
          <w:bCs/>
          <w:i/>
          <w:iCs/>
        </w:rPr>
        <w:t>Tables 5 to 8</w:t>
      </w:r>
      <w:r>
        <w:t xml:space="preserve"> have been compiled by DFAT after carefully analysing not just the current year’s data but also the underlying series for </w:t>
      </w:r>
      <w:proofErr w:type="spellStart"/>
      <w:r>
        <w:t>confidentialised</w:t>
      </w:r>
      <w:proofErr w:type="spellEnd"/>
      <w:r>
        <w:t xml:space="preserve"> countries and previous years’ data. If a ranking has not been </w:t>
      </w:r>
      <w:r w:rsidR="00CC4F85">
        <w:t>supplied,</w:t>
      </w:r>
      <w:r>
        <w:t xml:space="preserve"> it indicates that it is not possible to accurately determine the ranking for the </w:t>
      </w:r>
      <w:r w:rsidR="00810798">
        <w:t>economy</w:t>
      </w:r>
      <w:r>
        <w:t xml:space="preserve"> from the data published by the ABS.</w:t>
      </w:r>
    </w:p>
    <w:p w14:paraId="6774D36A" w14:textId="77777777" w:rsidR="00562C69" w:rsidRPr="004E690D" w:rsidRDefault="00562C69" w:rsidP="00FB22E4">
      <w:pPr>
        <w:pStyle w:val="Heading2"/>
      </w:pPr>
      <w:r w:rsidRPr="004E690D">
        <w:t xml:space="preserve">ABS international investment statistics </w:t>
      </w:r>
    </w:p>
    <w:p w14:paraId="07DF8525" w14:textId="77777777" w:rsidR="00562C69" w:rsidRPr="004E690D" w:rsidRDefault="00562C69" w:rsidP="00640615">
      <w:pPr>
        <w:pStyle w:val="Heading3"/>
      </w:pPr>
      <w:r w:rsidRPr="004E690D">
        <w:t>Overview</w:t>
      </w:r>
    </w:p>
    <w:p w14:paraId="250384AE" w14:textId="77777777" w:rsidR="00562C69" w:rsidRPr="004E690D" w:rsidRDefault="00562C69" w:rsidP="00562C69">
      <w:r w:rsidRPr="004E690D">
        <w:t>ABS international investment statistics are compiled in accordance with the International Monetary Fund (IMF</w:t>
      </w:r>
      <w:r w:rsidRPr="004E690D">
        <w:rPr>
          <w:i/>
        </w:rPr>
        <w:t>) Balance of Payments and International Investment Position Manual</w:t>
      </w:r>
      <w:r w:rsidRPr="004E690D">
        <w:t xml:space="preserve">, sixth edition, 2008 (BPM6). Australia’s international investment position statistics measure the level (or stock) of foreign liabilities in Australia and Australian foreign assets abroad at the end of a period. The difference between stock of foreign liabilities and foreign assets is referred to as Australia’s net international investment position. </w:t>
      </w:r>
    </w:p>
    <w:p w14:paraId="1305CF72" w14:textId="77777777" w:rsidR="00562C69" w:rsidRPr="004E690D" w:rsidRDefault="00562C69" w:rsidP="00640615">
      <w:pPr>
        <w:pStyle w:val="Heading3"/>
      </w:pPr>
      <w:r w:rsidRPr="004E690D">
        <w:t>Type of investment</w:t>
      </w:r>
    </w:p>
    <w:p w14:paraId="60F3FFC9" w14:textId="77777777" w:rsidR="00562C69" w:rsidRPr="004E690D" w:rsidRDefault="00562C69" w:rsidP="00562C69">
      <w:r w:rsidRPr="004E690D">
        <w:t>The type of investment classification used in the international investment position consists of five broad categories:</w:t>
      </w:r>
    </w:p>
    <w:p w14:paraId="0BA8A4C7" w14:textId="77777777" w:rsidR="00562C69" w:rsidRPr="005B55AA" w:rsidRDefault="00562C69" w:rsidP="00562C69">
      <w:r w:rsidRPr="004E690D">
        <w:rPr>
          <w:b/>
        </w:rPr>
        <w:t>Direct investment</w:t>
      </w:r>
      <w:r w:rsidRPr="004E690D">
        <w:t xml:space="preserve"> </w:t>
      </w:r>
      <w:r w:rsidRPr="005B55AA">
        <w:t xml:space="preserve">is investment, undertaken by an entity resident in one economy, in an enterprise resident in another economy, with the objectives of obtaining or sustaining a lasting interest in the enterprise and exercising a significant degree of influence in its management. A 10% equity investment threshold is applied as evidence of such a direct interest. The entity undertaking the investment is referred to as the direct investor and the enterprise in which the investment takes place is referred to as the direct investment enterprise. </w:t>
      </w:r>
    </w:p>
    <w:p w14:paraId="5FC62934" w14:textId="5F3E64CB" w:rsidR="00562C69" w:rsidRPr="004E690D" w:rsidRDefault="00562C69" w:rsidP="005B55AA">
      <w:r w:rsidRPr="004E690D">
        <w:t>A direct investment enterprise in an economy is an incorporated or unincorporated enterprise in which a foreign direct investor owns 10</w:t>
      </w:r>
      <w:r w:rsidR="002160E5">
        <w:t xml:space="preserve"> per cent</w:t>
      </w:r>
      <w:r w:rsidRPr="004E690D">
        <w:t xml:space="preserve"> or more of the ordinary shares or voting power (for an incorporated </w:t>
      </w:r>
      <w:r w:rsidRPr="004E690D">
        <w:lastRenderedPageBreak/>
        <w:t>enterprise) or the equivalent (for an unincorporated enterprise). Direct investment enterprises comprise branches (</w:t>
      </w:r>
      <w:proofErr w:type="gramStart"/>
      <w:r w:rsidRPr="004E690D">
        <w:t>i.e.</w:t>
      </w:r>
      <w:proofErr w:type="gramEnd"/>
      <w:r w:rsidRPr="004E690D">
        <w:t xml:space="preserve"> where fully owned by the direct investor but not incorporated in the economy where the branch is located), subsidiaries (where at least 50</w:t>
      </w:r>
      <w:r w:rsidR="002160E5">
        <w:t xml:space="preserve"> per cent</w:t>
      </w:r>
      <w:r w:rsidRPr="004E690D">
        <w:t xml:space="preserve"> </w:t>
      </w:r>
      <w:r w:rsidR="00EB25F0">
        <w:t xml:space="preserve">is </w:t>
      </w:r>
      <w:r w:rsidRPr="004E690D">
        <w:t>owned by the direct investor) and associates (where</w:t>
      </w:r>
      <w:r w:rsidR="002160E5">
        <w:t xml:space="preserve"> </w:t>
      </w:r>
      <w:r w:rsidRPr="004E690D">
        <w:t>between 10</w:t>
      </w:r>
      <w:r w:rsidR="002160E5">
        <w:t xml:space="preserve"> per cent</w:t>
      </w:r>
      <w:r w:rsidRPr="004E690D">
        <w:t xml:space="preserve"> and 50</w:t>
      </w:r>
      <w:r w:rsidR="002160E5">
        <w:t xml:space="preserve"> per cent</w:t>
      </w:r>
      <w:r w:rsidRPr="004E690D">
        <w:t xml:space="preserve"> </w:t>
      </w:r>
      <w:r w:rsidR="002160E5">
        <w:t xml:space="preserve">is owned </w:t>
      </w:r>
      <w:r w:rsidRPr="004E690D">
        <w:t>by the direct investor).</w:t>
      </w:r>
    </w:p>
    <w:p w14:paraId="50279199" w14:textId="77ADAF9C" w:rsidR="00562C69" w:rsidRPr="004E690D" w:rsidRDefault="00562C69" w:rsidP="005B55AA">
      <w:r w:rsidRPr="004E690D">
        <w:t>A direct investor may be an individual; an incorporated or unincorporated private or public enterprise; an associated group of individuals or enterprises; a government or a government agency; an estate or trust; or an international organisation which has an investment of 10</w:t>
      </w:r>
      <w:r w:rsidR="002160E5">
        <w:t xml:space="preserve"> per cent</w:t>
      </w:r>
      <w:r w:rsidRPr="004E690D">
        <w:t xml:space="preserve"> or more in a direct investment enterprise in an economy other than the one in which the direct investor resides.</w:t>
      </w:r>
    </w:p>
    <w:p w14:paraId="19096F07" w14:textId="77777777" w:rsidR="00562C69" w:rsidRPr="004E690D" w:rsidRDefault="00562C69" w:rsidP="005B55AA">
      <w:r w:rsidRPr="004E690D">
        <w:t>An enterprise that has significant long-term operations in more than one economy is divided into separate entities in each economy. These entities are always in a direct investment relationship: the head office constitutes the direct investor, and its branches constitute the direct investment enterprises.</w:t>
      </w:r>
    </w:p>
    <w:p w14:paraId="19F52E38" w14:textId="77777777" w:rsidR="00562C69" w:rsidRPr="005B55AA" w:rsidRDefault="00562C69" w:rsidP="00562C69">
      <w:r w:rsidRPr="004E690D">
        <w:rPr>
          <w:b/>
        </w:rPr>
        <w:t>Portfolio investment</w:t>
      </w:r>
      <w:r w:rsidRPr="004E690D">
        <w:t xml:space="preserve"> </w:t>
      </w:r>
      <w:r w:rsidRPr="005B55AA">
        <w:t>consists of equity (shares) and debt securities (bonds, bills, money market instruments) not classified to either direct investment, or reserve assets. Debt securities are further subdivided into two categories: bonds and notes; and money market instruments. Portfolio investment indicates investment in an enterprise where the investor has no appreciable say in the operation of the enterprise.</w:t>
      </w:r>
    </w:p>
    <w:p w14:paraId="6DFAE98A" w14:textId="77777777" w:rsidR="00562C69" w:rsidRPr="005B55AA" w:rsidRDefault="00562C69" w:rsidP="00562C69">
      <w:r w:rsidRPr="004E690D">
        <w:rPr>
          <w:b/>
        </w:rPr>
        <w:t>Financial derivatives</w:t>
      </w:r>
      <w:r w:rsidRPr="004E690D">
        <w:t xml:space="preserve">, </w:t>
      </w:r>
      <w:r w:rsidRPr="005B55AA">
        <w:t>such as futures, swaps, forward rate agreements and forward foreign exchange agreements, are financial instruments that are linked to a specific financial instrument or indicator (foreign currencies, government bonds, share price indexes, interest rates), or to a particular commodity (gold, sugar, etc.). They provide a hedge for market financial risk in a form that can be traded or otherwise offset in the market.</w:t>
      </w:r>
    </w:p>
    <w:p w14:paraId="4DDE531C" w14:textId="77777777" w:rsidR="00562C69" w:rsidRPr="005B55AA" w:rsidRDefault="00562C69" w:rsidP="00562C69">
      <w:r w:rsidRPr="004E690D">
        <w:rPr>
          <w:b/>
        </w:rPr>
        <w:t>Reserve assets</w:t>
      </w:r>
      <w:r w:rsidRPr="004E690D">
        <w:t xml:space="preserve"> </w:t>
      </w:r>
      <w:r w:rsidRPr="005B55AA">
        <w:t xml:space="preserve">refer to those foreign financial assets available to, and controlled by the Reserve Bank of Australia, for meeting balance of payments needs. </w:t>
      </w:r>
    </w:p>
    <w:p w14:paraId="65273C4D" w14:textId="77777777" w:rsidR="00562C69" w:rsidRPr="005B55AA" w:rsidRDefault="00562C69" w:rsidP="00562C69">
      <w:r w:rsidRPr="004E690D">
        <w:rPr>
          <w:b/>
        </w:rPr>
        <w:t>Other investment</w:t>
      </w:r>
      <w:r w:rsidRPr="004E690D">
        <w:t xml:space="preserve"> </w:t>
      </w:r>
      <w:r w:rsidRPr="005B55AA">
        <w:t xml:space="preserve">is a residual category that captures transactions not classified to direct investment, portfolio investment, financial </w:t>
      </w:r>
      <w:proofErr w:type="gramStart"/>
      <w:r w:rsidRPr="005B55AA">
        <w:t>derivatives</w:t>
      </w:r>
      <w:proofErr w:type="gramEnd"/>
      <w:r w:rsidRPr="005B55AA">
        <w:t xml:space="preserve"> or reserve assets. It covers trade credits, loans, currency and deposits, and a residual category for any other assets and liabilities.</w:t>
      </w:r>
    </w:p>
    <w:p w14:paraId="2D413BBA" w14:textId="77777777" w:rsidR="00562C69" w:rsidRPr="004E690D" w:rsidRDefault="00562C69" w:rsidP="00640615">
      <w:pPr>
        <w:pStyle w:val="Heading3"/>
      </w:pPr>
      <w:r w:rsidRPr="004E690D">
        <w:t>Assets and Liabilities</w:t>
      </w:r>
    </w:p>
    <w:p w14:paraId="3A9D1BAC" w14:textId="77777777" w:rsidR="00562C69" w:rsidRPr="004E690D" w:rsidRDefault="00562C69" w:rsidP="005B55AA">
      <w:r w:rsidRPr="004E690D">
        <w:t xml:space="preserve">A financial asset is generally in the form of a financial claim by Australia on the rest of the world. It is either represented by a contractual obligation (such as a loan) or is evidenced by a security (such as a share certificate). A financial liability on the other hand, represents a financial claim of the rest of the world </w:t>
      </w:r>
      <w:proofErr w:type="gramStart"/>
      <w:r w:rsidRPr="004E690D">
        <w:t>on</w:t>
      </w:r>
      <w:proofErr w:type="gramEnd"/>
      <w:r w:rsidRPr="004E690D">
        <w:t xml:space="preserve"> Australia. </w:t>
      </w:r>
    </w:p>
    <w:p w14:paraId="383B6BCD" w14:textId="77777777" w:rsidR="00562C69" w:rsidRPr="004E690D" w:rsidRDefault="00562C69" w:rsidP="00640615">
      <w:pPr>
        <w:pStyle w:val="Heading3"/>
      </w:pPr>
      <w:r w:rsidRPr="004E690D">
        <w:t>International investment position (IIP)</w:t>
      </w:r>
    </w:p>
    <w:p w14:paraId="5AA37AE7" w14:textId="77777777" w:rsidR="00562C69" w:rsidRPr="004E690D" w:rsidRDefault="00562C69" w:rsidP="005B55AA">
      <w:r w:rsidRPr="004E690D">
        <w:t>Australia’s IIP is a balance sheet of the stock of foreign financial assets and liabilities at a point in time. The IIP may be viewed more broadly as a reconciliation statement showing the levels of Australia’s international assets and liabilities at two points of time and the components of change, namely flows and other changes (such as price changes, exchange rate movements and other adjustments).</w:t>
      </w:r>
    </w:p>
    <w:p w14:paraId="4CAECB2E" w14:textId="77777777" w:rsidR="00562C69" w:rsidRPr="004E690D" w:rsidRDefault="00562C69" w:rsidP="00640615">
      <w:pPr>
        <w:pStyle w:val="Heading3"/>
      </w:pPr>
      <w:r w:rsidRPr="004E690D">
        <w:t>Direction of investment</w:t>
      </w:r>
    </w:p>
    <w:p w14:paraId="68B586B0" w14:textId="774E238C" w:rsidR="00562C69" w:rsidRDefault="00562C69" w:rsidP="005B55AA">
      <w:r w:rsidRPr="004E690D">
        <w:t>The direction of investment refers to whether a transaction or investment position i</w:t>
      </w:r>
      <w:r w:rsidR="00DB171B">
        <w:t>s</w:t>
      </w:r>
      <w:r w:rsidRPr="004E690D">
        <w:t xml:space="preserve"> Australian investment abroad (AIA) or foreign investment in Australia (FIA). Total AIA and FIA are the same as foreign assets and foreign liabilities, respectively, except for an adjustment made to assets and liabilities to net off certain direct investment claims.</w:t>
      </w:r>
    </w:p>
    <w:p w14:paraId="2E101F2D" w14:textId="52CDDB28" w:rsidR="00C82DDF" w:rsidRDefault="00C82DDF" w:rsidP="00843F5C">
      <w:pPr>
        <w:spacing w:before="240" w:after="120"/>
        <w:jc w:val="center"/>
      </w:pPr>
      <w:r w:rsidRPr="006B23B7">
        <w:rPr>
          <w:rFonts w:ascii="Calibri" w:eastAsia="Times New Roman" w:hAnsi="Calibri" w:cs="Times New Roman"/>
          <w:b/>
          <w:bCs/>
          <w:color w:val="000000"/>
          <w:sz w:val="24"/>
          <w:szCs w:val="24"/>
          <w:lang w:val="en-AU" w:eastAsia="en-AU"/>
        </w:rPr>
        <w:t>Table: Foreign assets and liabilities vs FIA and AIA</w:t>
      </w:r>
      <w:r w:rsidR="005F17B9">
        <w:rPr>
          <w:rFonts w:ascii="Calibri" w:eastAsia="Times New Roman" w:hAnsi="Calibri" w:cs="Times New Roman"/>
          <w:b/>
          <w:bCs/>
          <w:color w:val="000000"/>
          <w:sz w:val="24"/>
          <w:szCs w:val="24"/>
          <w:lang w:val="en-AU" w:eastAsia="en-AU"/>
        </w:rPr>
        <w:br/>
        <w:t>Stock at the end of the period</w:t>
      </w:r>
      <w:r w:rsidR="005F17B9">
        <w:rPr>
          <w:rFonts w:ascii="Calibri" w:eastAsia="Times New Roman" w:hAnsi="Calibri" w:cs="Times New Roman"/>
          <w:b/>
          <w:bCs/>
          <w:color w:val="000000"/>
          <w:sz w:val="24"/>
          <w:szCs w:val="24"/>
          <w:lang w:val="en-AU" w:eastAsia="en-AU"/>
        </w:rPr>
        <w:br/>
        <w:t>A$ million</w:t>
      </w:r>
    </w:p>
    <w:tbl>
      <w:tblPr>
        <w:tblStyle w:val="DFATTable2"/>
        <w:tblW w:w="8140" w:type="dxa"/>
        <w:jc w:val="center"/>
        <w:tblLook w:val="04A0" w:firstRow="1" w:lastRow="0" w:firstColumn="1" w:lastColumn="0" w:noHBand="0" w:noVBand="1"/>
      </w:tblPr>
      <w:tblGrid>
        <w:gridCol w:w="2581"/>
        <w:gridCol w:w="1853"/>
        <w:gridCol w:w="1853"/>
        <w:gridCol w:w="1853"/>
      </w:tblGrid>
      <w:tr w:rsidR="00640615" w:rsidRPr="00601BFA" w14:paraId="03EFDA7D" w14:textId="77777777" w:rsidTr="00640615">
        <w:trPr>
          <w:cnfStyle w:val="100000000000" w:firstRow="1" w:lastRow="0" w:firstColumn="0" w:lastColumn="0" w:oddVBand="0" w:evenVBand="0" w:oddHBand="0" w:evenHBand="0" w:firstRowFirstColumn="0" w:firstRowLastColumn="0" w:lastRowFirstColumn="0" w:lastRowLastColumn="0"/>
          <w:trHeight w:val="283"/>
          <w:jc w:val="center"/>
        </w:trPr>
        <w:tc>
          <w:tcPr>
            <w:tcW w:w="2581" w:type="dxa"/>
            <w:tcBorders>
              <w:bottom w:val="single" w:sz="4" w:space="0" w:color="F6F6F8"/>
            </w:tcBorders>
            <w:shd w:val="clear" w:color="auto" w:fill="495965" w:themeFill="text2"/>
            <w:noWrap/>
            <w:hideMark/>
          </w:tcPr>
          <w:p w14:paraId="11C14CEA" w14:textId="5E2DE4AD" w:rsidR="00640615" w:rsidRPr="00640615" w:rsidRDefault="00640615" w:rsidP="00451AED">
            <w:pPr>
              <w:suppressAutoHyphens w:val="0"/>
              <w:spacing w:before="0" w:after="0" w:line="240" w:lineRule="auto"/>
              <w:rPr>
                <w:rFonts w:eastAsia="Times New Roman" w:cs="Calibri"/>
                <w:color w:val="FFFFFF"/>
                <w:sz w:val="20"/>
                <w:szCs w:val="20"/>
                <w:lang w:val="en-AU" w:eastAsia="en-AU"/>
              </w:rPr>
            </w:pPr>
            <w:r w:rsidRPr="00640615">
              <w:rPr>
                <w:rFonts w:eastAsia="Times New Roman" w:cs="Calibri"/>
                <w:color w:val="FFFFFF"/>
                <w:sz w:val="20"/>
                <w:szCs w:val="20"/>
                <w:lang w:val="en-AU" w:eastAsia="en-AU"/>
              </w:rPr>
              <w:t>Investment type</w:t>
            </w:r>
          </w:p>
        </w:tc>
        <w:tc>
          <w:tcPr>
            <w:tcW w:w="1853" w:type="dxa"/>
            <w:tcBorders>
              <w:bottom w:val="single" w:sz="4" w:space="0" w:color="F6F6F8"/>
            </w:tcBorders>
            <w:shd w:val="clear" w:color="auto" w:fill="495965" w:themeFill="text2"/>
            <w:noWrap/>
            <w:hideMark/>
          </w:tcPr>
          <w:p w14:paraId="3FB06AF9" w14:textId="2E7FB1E3" w:rsidR="00640615" w:rsidRPr="00640615" w:rsidRDefault="00640615" w:rsidP="00451AED">
            <w:pPr>
              <w:suppressAutoHyphens w:val="0"/>
              <w:spacing w:before="0" w:after="0" w:line="240" w:lineRule="auto"/>
              <w:jc w:val="right"/>
              <w:rPr>
                <w:rFonts w:eastAsia="Times New Roman" w:cs="Calibri"/>
                <w:color w:val="FFFFFF"/>
                <w:sz w:val="20"/>
                <w:szCs w:val="20"/>
                <w:lang w:val="en-AU" w:eastAsia="en-AU"/>
              </w:rPr>
            </w:pPr>
            <w:r w:rsidRPr="00640615">
              <w:rPr>
                <w:rFonts w:eastAsia="Times New Roman" w:cs="Calibri"/>
                <w:color w:val="FFFFFF"/>
                <w:sz w:val="20"/>
                <w:szCs w:val="20"/>
                <w:lang w:val="en-AU" w:eastAsia="en-AU"/>
              </w:rPr>
              <w:t>201</w:t>
            </w:r>
            <w:r w:rsidR="00FC7643">
              <w:rPr>
                <w:rFonts w:eastAsia="Times New Roman" w:cs="Calibri"/>
                <w:color w:val="FFFFFF"/>
                <w:sz w:val="20"/>
                <w:szCs w:val="20"/>
                <w:lang w:val="en-AU" w:eastAsia="en-AU"/>
              </w:rPr>
              <w:t>9</w:t>
            </w:r>
          </w:p>
        </w:tc>
        <w:tc>
          <w:tcPr>
            <w:tcW w:w="1853" w:type="dxa"/>
            <w:tcBorders>
              <w:bottom w:val="single" w:sz="4" w:space="0" w:color="F6F6F8"/>
            </w:tcBorders>
            <w:shd w:val="clear" w:color="auto" w:fill="495965" w:themeFill="text2"/>
            <w:noWrap/>
            <w:hideMark/>
          </w:tcPr>
          <w:p w14:paraId="6E04B49C" w14:textId="561334C0" w:rsidR="00640615" w:rsidRPr="00640615" w:rsidRDefault="00640615" w:rsidP="00451AED">
            <w:pPr>
              <w:suppressAutoHyphens w:val="0"/>
              <w:spacing w:before="0" w:after="0" w:line="240" w:lineRule="auto"/>
              <w:jc w:val="right"/>
              <w:rPr>
                <w:rFonts w:eastAsia="Times New Roman" w:cs="Calibri"/>
                <w:color w:val="FFFFFF"/>
                <w:sz w:val="20"/>
                <w:szCs w:val="20"/>
                <w:lang w:val="en-AU" w:eastAsia="en-AU"/>
              </w:rPr>
            </w:pPr>
            <w:r w:rsidRPr="00640615">
              <w:rPr>
                <w:rFonts w:eastAsia="Times New Roman" w:cs="Calibri"/>
                <w:color w:val="FFFFFF"/>
                <w:sz w:val="20"/>
                <w:szCs w:val="20"/>
                <w:lang w:val="en-AU" w:eastAsia="en-AU"/>
              </w:rPr>
              <w:t>20</w:t>
            </w:r>
            <w:r w:rsidR="00FC7643">
              <w:rPr>
                <w:rFonts w:eastAsia="Times New Roman" w:cs="Calibri"/>
                <w:color w:val="FFFFFF"/>
                <w:sz w:val="20"/>
                <w:szCs w:val="20"/>
                <w:lang w:val="en-AU" w:eastAsia="en-AU"/>
              </w:rPr>
              <w:t>20</w:t>
            </w:r>
          </w:p>
        </w:tc>
        <w:tc>
          <w:tcPr>
            <w:tcW w:w="1853" w:type="dxa"/>
            <w:tcBorders>
              <w:bottom w:val="single" w:sz="4" w:space="0" w:color="F6F6F8"/>
            </w:tcBorders>
            <w:shd w:val="clear" w:color="auto" w:fill="495965" w:themeFill="text2"/>
            <w:noWrap/>
            <w:hideMark/>
          </w:tcPr>
          <w:p w14:paraId="4591C2ED" w14:textId="38F47FC1" w:rsidR="00640615" w:rsidRPr="00640615" w:rsidRDefault="00640615" w:rsidP="00451AED">
            <w:pPr>
              <w:suppressAutoHyphens w:val="0"/>
              <w:spacing w:before="0" w:after="0" w:line="240" w:lineRule="auto"/>
              <w:jc w:val="right"/>
              <w:rPr>
                <w:rFonts w:eastAsia="Times New Roman" w:cs="Calibri"/>
                <w:color w:val="FFFFFF"/>
                <w:sz w:val="20"/>
                <w:szCs w:val="20"/>
                <w:lang w:val="en-AU" w:eastAsia="en-AU"/>
              </w:rPr>
            </w:pPr>
            <w:r w:rsidRPr="00640615">
              <w:rPr>
                <w:rFonts w:eastAsia="Times New Roman" w:cs="Calibri"/>
                <w:color w:val="FFFFFF"/>
                <w:sz w:val="20"/>
                <w:szCs w:val="20"/>
                <w:lang w:val="en-AU" w:eastAsia="en-AU"/>
              </w:rPr>
              <w:t>202</w:t>
            </w:r>
            <w:r w:rsidR="00FC7643">
              <w:rPr>
                <w:rFonts w:eastAsia="Times New Roman" w:cs="Calibri"/>
                <w:color w:val="FFFFFF"/>
                <w:sz w:val="20"/>
                <w:szCs w:val="20"/>
                <w:lang w:val="en-AU" w:eastAsia="en-AU"/>
              </w:rPr>
              <w:t>1</w:t>
            </w:r>
          </w:p>
        </w:tc>
      </w:tr>
      <w:tr w:rsidR="00FC7643" w:rsidRPr="00601BFA" w14:paraId="77B5C0D3" w14:textId="77777777" w:rsidTr="00451AED">
        <w:trPr>
          <w:trHeight w:val="222"/>
          <w:jc w:val="center"/>
        </w:trPr>
        <w:tc>
          <w:tcPr>
            <w:tcW w:w="2581" w:type="dxa"/>
            <w:tcBorders>
              <w:bottom w:val="dotted" w:sz="4" w:space="0" w:color="495965" w:themeColor="text2"/>
            </w:tcBorders>
            <w:noWrap/>
            <w:hideMark/>
          </w:tcPr>
          <w:p w14:paraId="239D9F77" w14:textId="5E9EFAE9" w:rsidR="00FC7643" w:rsidRPr="00601BFA" w:rsidRDefault="00FC7643" w:rsidP="00FC7643">
            <w:pPr>
              <w:suppressAutoHyphens w:val="0"/>
              <w:spacing w:before="0" w:after="0" w:line="240" w:lineRule="auto"/>
              <w:rPr>
                <w:rFonts w:eastAsia="Times New Roman" w:cs="Calibri"/>
                <w:color w:val="FFFFFF"/>
                <w:sz w:val="20"/>
                <w:szCs w:val="20"/>
                <w:lang w:val="en-AU" w:eastAsia="en-AU"/>
              </w:rPr>
            </w:pPr>
            <w:r w:rsidRPr="00CF6B72">
              <w:rPr>
                <w:rFonts w:ascii="Calibri Light" w:eastAsia="Times New Roman" w:hAnsi="Calibri Light" w:cs="Calibri Light"/>
                <w:sz w:val="19"/>
                <w:szCs w:val="19"/>
                <w:lang w:val="en-AU" w:eastAsia="en-AU"/>
              </w:rPr>
              <w:t>Foreign assets</w:t>
            </w:r>
          </w:p>
        </w:tc>
        <w:tc>
          <w:tcPr>
            <w:tcW w:w="1853" w:type="dxa"/>
            <w:tcBorders>
              <w:bottom w:val="dotted" w:sz="4" w:space="0" w:color="495965" w:themeColor="text2"/>
            </w:tcBorders>
            <w:noWrap/>
            <w:vAlign w:val="bottom"/>
            <w:hideMark/>
          </w:tcPr>
          <w:p w14:paraId="70FB5897" w14:textId="2868EA7F" w:rsidR="00FC7643" w:rsidRPr="00601BFA" w:rsidRDefault="00FC7643" w:rsidP="00FC7643">
            <w:pPr>
              <w:suppressAutoHyphens w:val="0"/>
              <w:spacing w:before="0" w:after="0" w:line="240" w:lineRule="auto"/>
              <w:jc w:val="right"/>
              <w:rPr>
                <w:rFonts w:eastAsia="Times New Roman" w:cs="Calibri"/>
                <w:b/>
                <w:bCs/>
                <w:color w:val="FFFFFF"/>
                <w:sz w:val="20"/>
                <w:szCs w:val="20"/>
                <w:lang w:val="en-AU" w:eastAsia="en-AU"/>
              </w:rPr>
            </w:pPr>
            <w:r>
              <w:rPr>
                <w:rFonts w:ascii="Calibri Light" w:hAnsi="Calibri Light" w:cs="Calibri Light"/>
                <w:color w:val="000000"/>
                <w:sz w:val="19"/>
                <w:szCs w:val="19"/>
              </w:rPr>
              <w:t>3,019,850</w:t>
            </w:r>
          </w:p>
        </w:tc>
        <w:tc>
          <w:tcPr>
            <w:tcW w:w="1853" w:type="dxa"/>
            <w:tcBorders>
              <w:bottom w:val="dotted" w:sz="4" w:space="0" w:color="495965" w:themeColor="text2"/>
            </w:tcBorders>
            <w:noWrap/>
            <w:vAlign w:val="bottom"/>
            <w:hideMark/>
          </w:tcPr>
          <w:p w14:paraId="75829A2E" w14:textId="74EA4F87" w:rsidR="00FC7643" w:rsidRPr="00601BFA" w:rsidRDefault="00FC7643" w:rsidP="00FC7643">
            <w:pPr>
              <w:suppressAutoHyphens w:val="0"/>
              <w:spacing w:before="0" w:after="0" w:line="240" w:lineRule="auto"/>
              <w:jc w:val="right"/>
              <w:rPr>
                <w:rFonts w:eastAsia="Times New Roman" w:cs="Calibri"/>
                <w:b/>
                <w:bCs/>
                <w:color w:val="FFFFFF"/>
                <w:sz w:val="20"/>
                <w:szCs w:val="20"/>
                <w:lang w:val="en-AU" w:eastAsia="en-AU"/>
              </w:rPr>
            </w:pPr>
            <w:r>
              <w:rPr>
                <w:rFonts w:ascii="Calibri Light" w:hAnsi="Calibri Light" w:cs="Calibri Light"/>
                <w:color w:val="000000"/>
                <w:sz w:val="19"/>
                <w:szCs w:val="19"/>
              </w:rPr>
              <w:t>3,106,687</w:t>
            </w:r>
          </w:p>
        </w:tc>
        <w:tc>
          <w:tcPr>
            <w:tcW w:w="1853" w:type="dxa"/>
            <w:tcBorders>
              <w:bottom w:val="dotted" w:sz="4" w:space="0" w:color="495965" w:themeColor="text2"/>
            </w:tcBorders>
            <w:noWrap/>
            <w:vAlign w:val="bottom"/>
            <w:hideMark/>
          </w:tcPr>
          <w:p w14:paraId="2E61C455" w14:textId="1A3C266B" w:rsidR="00FC7643" w:rsidRPr="00601BFA" w:rsidRDefault="00FC7643" w:rsidP="00FC7643">
            <w:pPr>
              <w:suppressAutoHyphens w:val="0"/>
              <w:spacing w:before="0" w:after="0" w:line="240" w:lineRule="auto"/>
              <w:jc w:val="right"/>
              <w:rPr>
                <w:rFonts w:eastAsia="Times New Roman" w:cs="Calibri"/>
                <w:b/>
                <w:bCs/>
                <w:color w:val="FFFFFF"/>
                <w:sz w:val="20"/>
                <w:szCs w:val="20"/>
                <w:lang w:val="en-AU" w:eastAsia="en-AU"/>
              </w:rPr>
            </w:pPr>
            <w:r>
              <w:rPr>
                <w:rFonts w:ascii="Calibri Light" w:hAnsi="Calibri Light" w:cs="Calibri Light"/>
                <w:color w:val="000000"/>
                <w:sz w:val="19"/>
                <w:szCs w:val="19"/>
              </w:rPr>
              <w:t>3,388,949</w:t>
            </w:r>
          </w:p>
        </w:tc>
      </w:tr>
      <w:tr w:rsidR="00FC7643" w:rsidRPr="00601BFA" w14:paraId="761FF276" w14:textId="77777777" w:rsidTr="00451AED">
        <w:trPr>
          <w:trHeight w:val="285"/>
          <w:jc w:val="center"/>
        </w:trPr>
        <w:tc>
          <w:tcPr>
            <w:tcW w:w="2581" w:type="dxa"/>
            <w:tcBorders>
              <w:top w:val="dotted" w:sz="4" w:space="0" w:color="495965" w:themeColor="text2"/>
              <w:bottom w:val="dotted" w:sz="4" w:space="0" w:color="495965" w:themeColor="text2"/>
            </w:tcBorders>
            <w:noWrap/>
            <w:hideMark/>
          </w:tcPr>
          <w:p w14:paraId="356E562C" w14:textId="1B1D9F5F" w:rsidR="00FC7643" w:rsidRPr="00CF6B72" w:rsidRDefault="00FC7643" w:rsidP="00FC7643">
            <w:pPr>
              <w:suppressAutoHyphens w:val="0"/>
              <w:spacing w:before="0" w:after="0" w:line="240" w:lineRule="auto"/>
              <w:rPr>
                <w:rFonts w:ascii="Calibri Light" w:eastAsia="Times New Roman" w:hAnsi="Calibri Light" w:cs="Calibri Light"/>
                <w:sz w:val="19"/>
                <w:szCs w:val="19"/>
                <w:lang w:val="en-AU" w:eastAsia="en-AU"/>
              </w:rPr>
            </w:pPr>
            <w:r w:rsidRPr="00CF6B72">
              <w:rPr>
                <w:rFonts w:ascii="Calibri Light" w:eastAsia="Times New Roman" w:hAnsi="Calibri Light" w:cs="Calibri Light"/>
                <w:b/>
                <w:bCs/>
                <w:sz w:val="19"/>
                <w:szCs w:val="19"/>
                <w:lang w:val="en-AU" w:eastAsia="en-AU"/>
              </w:rPr>
              <w:t>AIA</w:t>
            </w:r>
          </w:p>
        </w:tc>
        <w:tc>
          <w:tcPr>
            <w:tcW w:w="1853" w:type="dxa"/>
            <w:tcBorders>
              <w:top w:val="dotted" w:sz="4" w:space="0" w:color="495965" w:themeColor="text2"/>
              <w:bottom w:val="dotted" w:sz="4" w:space="0" w:color="495965" w:themeColor="text2"/>
            </w:tcBorders>
            <w:noWrap/>
            <w:vAlign w:val="bottom"/>
            <w:hideMark/>
          </w:tcPr>
          <w:p w14:paraId="64EC9DFD" w14:textId="14DC9CF2" w:rsidR="00FC7643" w:rsidRPr="00CF6B72" w:rsidRDefault="00FC7643" w:rsidP="00FC7643">
            <w:pPr>
              <w:suppressAutoHyphens w:val="0"/>
              <w:spacing w:before="0" w:after="0" w:line="240" w:lineRule="auto"/>
              <w:jc w:val="right"/>
              <w:rPr>
                <w:rFonts w:ascii="Calibri Light" w:eastAsia="Times New Roman" w:hAnsi="Calibri Light" w:cs="Calibri Light"/>
                <w:sz w:val="19"/>
                <w:szCs w:val="19"/>
                <w:lang w:val="en-AU" w:eastAsia="en-AU"/>
              </w:rPr>
            </w:pPr>
            <w:r>
              <w:rPr>
                <w:rFonts w:ascii="Calibri Light" w:hAnsi="Calibri Light" w:cs="Calibri Light"/>
                <w:b/>
                <w:bCs/>
                <w:color w:val="000000"/>
                <w:sz w:val="19"/>
                <w:szCs w:val="19"/>
              </w:rPr>
              <w:t>2,966,459</w:t>
            </w:r>
          </w:p>
        </w:tc>
        <w:tc>
          <w:tcPr>
            <w:tcW w:w="1853" w:type="dxa"/>
            <w:tcBorders>
              <w:top w:val="dotted" w:sz="4" w:space="0" w:color="495965" w:themeColor="text2"/>
              <w:bottom w:val="dotted" w:sz="4" w:space="0" w:color="495965" w:themeColor="text2"/>
            </w:tcBorders>
            <w:noWrap/>
            <w:vAlign w:val="bottom"/>
            <w:hideMark/>
          </w:tcPr>
          <w:p w14:paraId="6475E21A" w14:textId="65BE1BD1" w:rsidR="00FC7643" w:rsidRPr="00CF6B72" w:rsidRDefault="00FC7643" w:rsidP="00FC7643">
            <w:pPr>
              <w:suppressAutoHyphens w:val="0"/>
              <w:spacing w:before="0" w:after="0" w:line="240" w:lineRule="auto"/>
              <w:jc w:val="right"/>
              <w:rPr>
                <w:rFonts w:ascii="Calibri Light" w:eastAsia="Times New Roman" w:hAnsi="Calibri Light" w:cs="Calibri Light"/>
                <w:sz w:val="19"/>
                <w:szCs w:val="19"/>
                <w:lang w:val="en-AU" w:eastAsia="en-AU"/>
              </w:rPr>
            </w:pPr>
            <w:r>
              <w:rPr>
                <w:rFonts w:ascii="Calibri Light" w:hAnsi="Calibri Light" w:cs="Calibri Light"/>
                <w:b/>
                <w:bCs/>
                <w:color w:val="000000"/>
                <w:sz w:val="19"/>
                <w:szCs w:val="19"/>
              </w:rPr>
              <w:t>3,051,389</w:t>
            </w:r>
          </w:p>
        </w:tc>
        <w:tc>
          <w:tcPr>
            <w:tcW w:w="1853" w:type="dxa"/>
            <w:tcBorders>
              <w:top w:val="dotted" w:sz="4" w:space="0" w:color="495965" w:themeColor="text2"/>
              <w:bottom w:val="dotted" w:sz="4" w:space="0" w:color="495965" w:themeColor="text2"/>
            </w:tcBorders>
            <w:noWrap/>
            <w:vAlign w:val="bottom"/>
            <w:hideMark/>
          </w:tcPr>
          <w:p w14:paraId="196FEE91" w14:textId="6BE0AAD1" w:rsidR="00FC7643" w:rsidRPr="00CF6B72" w:rsidRDefault="00FC7643" w:rsidP="00FC7643">
            <w:pPr>
              <w:suppressAutoHyphens w:val="0"/>
              <w:spacing w:before="0" w:after="0" w:line="240" w:lineRule="auto"/>
              <w:jc w:val="right"/>
              <w:rPr>
                <w:rFonts w:ascii="Calibri Light" w:eastAsia="Times New Roman" w:hAnsi="Calibri Light" w:cs="Calibri Light"/>
                <w:sz w:val="19"/>
                <w:szCs w:val="19"/>
                <w:lang w:val="en-AU" w:eastAsia="en-AU"/>
              </w:rPr>
            </w:pPr>
            <w:r>
              <w:rPr>
                <w:rFonts w:ascii="Calibri Light" w:hAnsi="Calibri Light" w:cs="Calibri Light"/>
                <w:b/>
                <w:bCs/>
                <w:color w:val="000000"/>
                <w:sz w:val="19"/>
                <w:szCs w:val="19"/>
              </w:rPr>
              <w:t>3,326,724</w:t>
            </w:r>
          </w:p>
        </w:tc>
      </w:tr>
      <w:tr w:rsidR="00FC7643" w:rsidRPr="00601BFA" w14:paraId="25890C72" w14:textId="77777777" w:rsidTr="00451AED">
        <w:trPr>
          <w:trHeight w:val="162"/>
          <w:jc w:val="center"/>
        </w:trPr>
        <w:tc>
          <w:tcPr>
            <w:tcW w:w="2581" w:type="dxa"/>
            <w:tcBorders>
              <w:top w:val="dotted" w:sz="4" w:space="0" w:color="495965" w:themeColor="text2"/>
              <w:bottom w:val="dotted" w:sz="4" w:space="0" w:color="495965" w:themeColor="text2"/>
            </w:tcBorders>
            <w:noWrap/>
            <w:hideMark/>
          </w:tcPr>
          <w:p w14:paraId="42A58524" w14:textId="407C1BF6" w:rsidR="00FC7643" w:rsidRPr="00CF6B72" w:rsidRDefault="00FC7643" w:rsidP="00FC7643">
            <w:pPr>
              <w:suppressAutoHyphens w:val="0"/>
              <w:spacing w:before="0" w:after="0" w:line="240" w:lineRule="auto"/>
              <w:rPr>
                <w:rFonts w:ascii="Calibri Light" w:eastAsia="Times New Roman" w:hAnsi="Calibri Light" w:cs="Calibri Light"/>
                <w:b/>
                <w:bCs/>
                <w:sz w:val="19"/>
                <w:szCs w:val="19"/>
                <w:lang w:val="en-AU" w:eastAsia="en-AU"/>
              </w:rPr>
            </w:pPr>
            <w:r w:rsidRPr="00CF6B72">
              <w:rPr>
                <w:rFonts w:ascii="Calibri Light" w:eastAsia="Times New Roman" w:hAnsi="Calibri Light" w:cs="Calibri Light"/>
                <w:sz w:val="19"/>
                <w:szCs w:val="19"/>
                <w:lang w:val="en-AU" w:eastAsia="en-AU"/>
              </w:rPr>
              <w:t>Difference</w:t>
            </w:r>
          </w:p>
        </w:tc>
        <w:tc>
          <w:tcPr>
            <w:tcW w:w="1853" w:type="dxa"/>
            <w:tcBorders>
              <w:top w:val="dotted" w:sz="4" w:space="0" w:color="495965" w:themeColor="text2"/>
              <w:bottom w:val="dotted" w:sz="4" w:space="0" w:color="495965" w:themeColor="text2"/>
            </w:tcBorders>
            <w:noWrap/>
            <w:vAlign w:val="bottom"/>
            <w:hideMark/>
          </w:tcPr>
          <w:p w14:paraId="62F17BAF" w14:textId="754A8737" w:rsidR="00FC7643" w:rsidRPr="00CF6B72" w:rsidRDefault="00FC7643" w:rsidP="00FC7643">
            <w:pPr>
              <w:suppressAutoHyphens w:val="0"/>
              <w:spacing w:before="0" w:after="0" w:line="240" w:lineRule="auto"/>
              <w:jc w:val="right"/>
              <w:rPr>
                <w:rFonts w:ascii="Calibri Light" w:eastAsia="Times New Roman" w:hAnsi="Calibri Light" w:cs="Calibri Light"/>
                <w:b/>
                <w:bCs/>
                <w:sz w:val="19"/>
                <w:szCs w:val="19"/>
                <w:lang w:val="en-AU" w:eastAsia="en-AU"/>
              </w:rPr>
            </w:pPr>
            <w:r>
              <w:rPr>
                <w:rFonts w:ascii="Calibri Light" w:hAnsi="Calibri Light" w:cs="Calibri Light"/>
                <w:color w:val="000000"/>
                <w:sz w:val="19"/>
                <w:szCs w:val="19"/>
              </w:rPr>
              <w:t>53,391</w:t>
            </w:r>
          </w:p>
        </w:tc>
        <w:tc>
          <w:tcPr>
            <w:tcW w:w="1853" w:type="dxa"/>
            <w:tcBorders>
              <w:top w:val="dotted" w:sz="4" w:space="0" w:color="495965" w:themeColor="text2"/>
              <w:bottom w:val="dotted" w:sz="4" w:space="0" w:color="495965" w:themeColor="text2"/>
            </w:tcBorders>
            <w:noWrap/>
            <w:vAlign w:val="bottom"/>
            <w:hideMark/>
          </w:tcPr>
          <w:p w14:paraId="6522DEF5" w14:textId="6DB01318" w:rsidR="00FC7643" w:rsidRPr="00CF6B72" w:rsidRDefault="00FC7643" w:rsidP="00FC7643">
            <w:pPr>
              <w:suppressAutoHyphens w:val="0"/>
              <w:spacing w:before="0" w:after="0" w:line="240" w:lineRule="auto"/>
              <w:jc w:val="right"/>
              <w:rPr>
                <w:rFonts w:ascii="Calibri Light" w:eastAsia="Times New Roman" w:hAnsi="Calibri Light" w:cs="Calibri Light"/>
                <w:b/>
                <w:bCs/>
                <w:sz w:val="19"/>
                <w:szCs w:val="19"/>
                <w:lang w:val="en-AU" w:eastAsia="en-AU"/>
              </w:rPr>
            </w:pPr>
            <w:r>
              <w:rPr>
                <w:rFonts w:ascii="Calibri Light" w:hAnsi="Calibri Light" w:cs="Calibri Light"/>
                <w:color w:val="000000"/>
                <w:sz w:val="19"/>
                <w:szCs w:val="19"/>
              </w:rPr>
              <w:t>55,298</w:t>
            </w:r>
          </w:p>
        </w:tc>
        <w:tc>
          <w:tcPr>
            <w:tcW w:w="1853" w:type="dxa"/>
            <w:tcBorders>
              <w:top w:val="dotted" w:sz="4" w:space="0" w:color="495965" w:themeColor="text2"/>
              <w:bottom w:val="dotted" w:sz="4" w:space="0" w:color="495965" w:themeColor="text2"/>
            </w:tcBorders>
            <w:noWrap/>
            <w:vAlign w:val="bottom"/>
            <w:hideMark/>
          </w:tcPr>
          <w:p w14:paraId="05D05CE9" w14:textId="2EF98A7C" w:rsidR="00FC7643" w:rsidRPr="00CF6B72" w:rsidRDefault="00FC7643" w:rsidP="00FC7643">
            <w:pPr>
              <w:suppressAutoHyphens w:val="0"/>
              <w:spacing w:before="0" w:after="0" w:line="240" w:lineRule="auto"/>
              <w:jc w:val="right"/>
              <w:rPr>
                <w:rFonts w:ascii="Calibri Light" w:eastAsia="Times New Roman" w:hAnsi="Calibri Light" w:cs="Calibri Light"/>
                <w:b/>
                <w:bCs/>
                <w:sz w:val="19"/>
                <w:szCs w:val="19"/>
                <w:lang w:val="en-AU" w:eastAsia="en-AU"/>
              </w:rPr>
            </w:pPr>
            <w:r>
              <w:rPr>
                <w:rFonts w:ascii="Calibri Light" w:hAnsi="Calibri Light" w:cs="Calibri Light"/>
                <w:color w:val="000000"/>
                <w:sz w:val="19"/>
                <w:szCs w:val="19"/>
              </w:rPr>
              <w:t>62,225</w:t>
            </w:r>
          </w:p>
        </w:tc>
      </w:tr>
      <w:tr w:rsidR="00FC7643" w:rsidRPr="00601BFA" w14:paraId="452011AD" w14:textId="77777777" w:rsidTr="00451AED">
        <w:trPr>
          <w:trHeight w:val="283"/>
          <w:jc w:val="center"/>
        </w:trPr>
        <w:tc>
          <w:tcPr>
            <w:tcW w:w="2581" w:type="dxa"/>
            <w:tcBorders>
              <w:top w:val="dotted" w:sz="4" w:space="0" w:color="495965" w:themeColor="text2"/>
              <w:bottom w:val="dotted" w:sz="4" w:space="0" w:color="495965" w:themeColor="text2"/>
            </w:tcBorders>
            <w:noWrap/>
            <w:hideMark/>
          </w:tcPr>
          <w:p w14:paraId="15AF34ED" w14:textId="795A8E71" w:rsidR="00FC7643" w:rsidRPr="00CF6B72" w:rsidRDefault="00FC7643" w:rsidP="00FC7643">
            <w:pPr>
              <w:suppressAutoHyphens w:val="0"/>
              <w:spacing w:after="0" w:line="240" w:lineRule="auto"/>
              <w:rPr>
                <w:rFonts w:ascii="Calibri Light" w:eastAsia="Times New Roman" w:hAnsi="Calibri Light" w:cs="Calibri Light"/>
                <w:sz w:val="19"/>
                <w:szCs w:val="19"/>
                <w:lang w:val="en-AU" w:eastAsia="en-AU"/>
              </w:rPr>
            </w:pPr>
            <w:r w:rsidRPr="00CF6B72">
              <w:rPr>
                <w:rFonts w:ascii="Calibri Light" w:eastAsia="Times New Roman" w:hAnsi="Calibri Light" w:cs="Calibri Light"/>
                <w:sz w:val="19"/>
                <w:szCs w:val="19"/>
                <w:lang w:val="en-AU" w:eastAsia="en-AU"/>
              </w:rPr>
              <w:t>Foreign liabilities</w:t>
            </w:r>
          </w:p>
        </w:tc>
        <w:tc>
          <w:tcPr>
            <w:tcW w:w="1853" w:type="dxa"/>
            <w:tcBorders>
              <w:top w:val="dotted" w:sz="4" w:space="0" w:color="495965" w:themeColor="text2"/>
              <w:bottom w:val="dotted" w:sz="4" w:space="0" w:color="495965" w:themeColor="text2"/>
            </w:tcBorders>
            <w:noWrap/>
            <w:vAlign w:val="bottom"/>
            <w:hideMark/>
          </w:tcPr>
          <w:p w14:paraId="7D8E34D2" w14:textId="2E47F97B" w:rsidR="00FC7643" w:rsidRPr="00CF6B72" w:rsidRDefault="00FC7643" w:rsidP="00FC7643">
            <w:pPr>
              <w:suppressAutoHyphens w:val="0"/>
              <w:spacing w:after="0" w:line="240" w:lineRule="auto"/>
              <w:jc w:val="right"/>
              <w:rPr>
                <w:rFonts w:ascii="Calibri Light" w:eastAsia="Times New Roman" w:hAnsi="Calibri Light" w:cs="Calibri Light"/>
                <w:sz w:val="19"/>
                <w:szCs w:val="19"/>
                <w:lang w:val="en-AU" w:eastAsia="en-AU"/>
              </w:rPr>
            </w:pPr>
            <w:r>
              <w:rPr>
                <w:rFonts w:ascii="Calibri Light" w:hAnsi="Calibri Light" w:cs="Calibri Light"/>
                <w:color w:val="000000"/>
                <w:sz w:val="19"/>
                <w:szCs w:val="19"/>
              </w:rPr>
              <w:t>3,977,077</w:t>
            </w:r>
          </w:p>
        </w:tc>
        <w:tc>
          <w:tcPr>
            <w:tcW w:w="1853" w:type="dxa"/>
            <w:tcBorders>
              <w:top w:val="dotted" w:sz="4" w:space="0" w:color="495965" w:themeColor="text2"/>
              <w:bottom w:val="dotted" w:sz="4" w:space="0" w:color="495965" w:themeColor="text2"/>
            </w:tcBorders>
            <w:noWrap/>
            <w:vAlign w:val="bottom"/>
            <w:hideMark/>
          </w:tcPr>
          <w:p w14:paraId="538D5C7E" w14:textId="586C0789" w:rsidR="00FC7643" w:rsidRPr="00CF6B72" w:rsidRDefault="00FC7643" w:rsidP="00FC7643">
            <w:pPr>
              <w:suppressAutoHyphens w:val="0"/>
              <w:spacing w:after="0" w:line="240" w:lineRule="auto"/>
              <w:jc w:val="right"/>
              <w:rPr>
                <w:rFonts w:ascii="Calibri Light" w:eastAsia="Times New Roman" w:hAnsi="Calibri Light" w:cs="Calibri Light"/>
                <w:sz w:val="19"/>
                <w:szCs w:val="19"/>
                <w:lang w:val="en-AU" w:eastAsia="en-AU"/>
              </w:rPr>
            </w:pPr>
            <w:r>
              <w:rPr>
                <w:rFonts w:ascii="Calibri Light" w:hAnsi="Calibri Light" w:cs="Calibri Light"/>
                <w:color w:val="000000"/>
                <w:sz w:val="19"/>
                <w:szCs w:val="19"/>
              </w:rPr>
              <w:t>4,099,072</w:t>
            </w:r>
          </w:p>
        </w:tc>
        <w:tc>
          <w:tcPr>
            <w:tcW w:w="1853" w:type="dxa"/>
            <w:tcBorders>
              <w:top w:val="dotted" w:sz="4" w:space="0" w:color="495965" w:themeColor="text2"/>
              <w:bottom w:val="dotted" w:sz="4" w:space="0" w:color="495965" w:themeColor="text2"/>
            </w:tcBorders>
            <w:noWrap/>
            <w:vAlign w:val="bottom"/>
            <w:hideMark/>
          </w:tcPr>
          <w:p w14:paraId="71221F84" w14:textId="5217094D" w:rsidR="00FC7643" w:rsidRPr="00CF6B72" w:rsidRDefault="00FC7643" w:rsidP="00FC7643">
            <w:pPr>
              <w:suppressAutoHyphens w:val="0"/>
              <w:spacing w:after="0" w:line="240" w:lineRule="auto"/>
              <w:jc w:val="right"/>
              <w:rPr>
                <w:rFonts w:ascii="Calibri Light" w:eastAsia="Times New Roman" w:hAnsi="Calibri Light" w:cs="Calibri Light"/>
                <w:sz w:val="19"/>
                <w:szCs w:val="19"/>
                <w:lang w:val="en-AU" w:eastAsia="en-AU"/>
              </w:rPr>
            </w:pPr>
            <w:r>
              <w:rPr>
                <w:rFonts w:ascii="Calibri Light" w:hAnsi="Calibri Light" w:cs="Calibri Light"/>
                <w:color w:val="000000"/>
                <w:sz w:val="19"/>
                <w:szCs w:val="19"/>
              </w:rPr>
              <w:t>4,198,345</w:t>
            </w:r>
          </w:p>
        </w:tc>
      </w:tr>
      <w:tr w:rsidR="00FC7643" w:rsidRPr="00601BFA" w14:paraId="25F6E86B" w14:textId="77777777" w:rsidTr="00451AED">
        <w:trPr>
          <w:trHeight w:val="188"/>
          <w:jc w:val="center"/>
        </w:trPr>
        <w:tc>
          <w:tcPr>
            <w:tcW w:w="2581" w:type="dxa"/>
            <w:tcBorders>
              <w:top w:val="dotted" w:sz="4" w:space="0" w:color="495965" w:themeColor="text2"/>
              <w:bottom w:val="dotted" w:sz="4" w:space="0" w:color="495965" w:themeColor="text2"/>
            </w:tcBorders>
            <w:noWrap/>
            <w:hideMark/>
          </w:tcPr>
          <w:p w14:paraId="7A52E419" w14:textId="0AB0DFD0" w:rsidR="00FC7643" w:rsidRPr="00CF6B72" w:rsidRDefault="00FC7643" w:rsidP="00FC7643">
            <w:pPr>
              <w:suppressAutoHyphens w:val="0"/>
              <w:spacing w:before="0" w:after="0" w:line="240" w:lineRule="auto"/>
              <w:rPr>
                <w:rFonts w:ascii="Calibri Light" w:eastAsia="Times New Roman" w:hAnsi="Calibri Light" w:cs="Calibri Light"/>
                <w:sz w:val="19"/>
                <w:szCs w:val="19"/>
                <w:lang w:val="en-AU" w:eastAsia="en-AU"/>
              </w:rPr>
            </w:pPr>
            <w:r w:rsidRPr="00CF6B72">
              <w:rPr>
                <w:rFonts w:ascii="Calibri Light" w:eastAsia="Times New Roman" w:hAnsi="Calibri Light" w:cs="Calibri Light"/>
                <w:b/>
                <w:bCs/>
                <w:sz w:val="19"/>
                <w:szCs w:val="19"/>
                <w:lang w:val="en-AU" w:eastAsia="en-AU"/>
              </w:rPr>
              <w:t>FIA</w:t>
            </w:r>
          </w:p>
        </w:tc>
        <w:tc>
          <w:tcPr>
            <w:tcW w:w="1853" w:type="dxa"/>
            <w:tcBorders>
              <w:top w:val="dotted" w:sz="4" w:space="0" w:color="495965" w:themeColor="text2"/>
              <w:bottom w:val="dotted" w:sz="4" w:space="0" w:color="495965" w:themeColor="text2"/>
            </w:tcBorders>
            <w:noWrap/>
            <w:vAlign w:val="bottom"/>
            <w:hideMark/>
          </w:tcPr>
          <w:p w14:paraId="59059382" w14:textId="3D4CF28E" w:rsidR="00FC7643" w:rsidRPr="00CF6B72" w:rsidRDefault="00FC7643" w:rsidP="00FC7643">
            <w:pPr>
              <w:suppressAutoHyphens w:val="0"/>
              <w:spacing w:before="0" w:after="0" w:line="240" w:lineRule="auto"/>
              <w:jc w:val="right"/>
              <w:rPr>
                <w:rFonts w:ascii="Calibri Light" w:eastAsia="Times New Roman" w:hAnsi="Calibri Light" w:cs="Calibri Light"/>
                <w:sz w:val="19"/>
                <w:szCs w:val="19"/>
                <w:lang w:val="en-AU" w:eastAsia="en-AU"/>
              </w:rPr>
            </w:pPr>
            <w:r>
              <w:rPr>
                <w:rFonts w:ascii="Calibri Light" w:hAnsi="Calibri Light" w:cs="Calibri Light"/>
                <w:b/>
                <w:bCs/>
                <w:color w:val="000000"/>
                <w:sz w:val="19"/>
                <w:szCs w:val="19"/>
              </w:rPr>
              <w:t>3,923,686</w:t>
            </w:r>
          </w:p>
        </w:tc>
        <w:tc>
          <w:tcPr>
            <w:tcW w:w="1853" w:type="dxa"/>
            <w:tcBorders>
              <w:top w:val="dotted" w:sz="4" w:space="0" w:color="495965" w:themeColor="text2"/>
              <w:bottom w:val="dotted" w:sz="4" w:space="0" w:color="495965" w:themeColor="text2"/>
            </w:tcBorders>
            <w:noWrap/>
            <w:vAlign w:val="bottom"/>
            <w:hideMark/>
          </w:tcPr>
          <w:p w14:paraId="45F8C8F4" w14:textId="05CAC2C8" w:rsidR="00FC7643" w:rsidRPr="00CF6B72" w:rsidRDefault="00FC7643" w:rsidP="00FC7643">
            <w:pPr>
              <w:suppressAutoHyphens w:val="0"/>
              <w:spacing w:before="0" w:after="0" w:line="240" w:lineRule="auto"/>
              <w:jc w:val="right"/>
              <w:rPr>
                <w:rFonts w:ascii="Calibri Light" w:eastAsia="Times New Roman" w:hAnsi="Calibri Light" w:cs="Calibri Light"/>
                <w:sz w:val="19"/>
                <w:szCs w:val="19"/>
                <w:lang w:val="en-AU" w:eastAsia="en-AU"/>
              </w:rPr>
            </w:pPr>
            <w:r>
              <w:rPr>
                <w:rFonts w:ascii="Calibri Light" w:hAnsi="Calibri Light" w:cs="Calibri Light"/>
                <w:b/>
                <w:bCs/>
                <w:color w:val="000000"/>
                <w:sz w:val="19"/>
                <w:szCs w:val="19"/>
              </w:rPr>
              <w:t>4,043,774</w:t>
            </w:r>
          </w:p>
        </w:tc>
        <w:tc>
          <w:tcPr>
            <w:tcW w:w="1853" w:type="dxa"/>
            <w:tcBorders>
              <w:top w:val="dotted" w:sz="4" w:space="0" w:color="495965" w:themeColor="text2"/>
              <w:bottom w:val="dotted" w:sz="4" w:space="0" w:color="495965" w:themeColor="text2"/>
            </w:tcBorders>
            <w:noWrap/>
            <w:vAlign w:val="bottom"/>
            <w:hideMark/>
          </w:tcPr>
          <w:p w14:paraId="7442139A" w14:textId="4B081234" w:rsidR="00FC7643" w:rsidRPr="00CF6B72" w:rsidRDefault="00FC7643" w:rsidP="00FC7643">
            <w:pPr>
              <w:suppressAutoHyphens w:val="0"/>
              <w:spacing w:before="0" w:after="0" w:line="240" w:lineRule="auto"/>
              <w:jc w:val="right"/>
              <w:rPr>
                <w:rFonts w:ascii="Calibri Light" w:eastAsia="Times New Roman" w:hAnsi="Calibri Light" w:cs="Calibri Light"/>
                <w:sz w:val="19"/>
                <w:szCs w:val="19"/>
                <w:lang w:val="en-AU" w:eastAsia="en-AU"/>
              </w:rPr>
            </w:pPr>
            <w:r>
              <w:rPr>
                <w:rFonts w:ascii="Calibri Light" w:hAnsi="Calibri Light" w:cs="Calibri Light"/>
                <w:b/>
                <w:bCs/>
                <w:color w:val="000000"/>
                <w:sz w:val="19"/>
                <w:szCs w:val="19"/>
              </w:rPr>
              <w:t>4,136,120</w:t>
            </w:r>
          </w:p>
        </w:tc>
      </w:tr>
      <w:tr w:rsidR="00FC7643" w:rsidRPr="00601BFA" w14:paraId="100CBFD1" w14:textId="77777777" w:rsidTr="00451AED">
        <w:trPr>
          <w:trHeight w:val="250"/>
          <w:jc w:val="center"/>
        </w:trPr>
        <w:tc>
          <w:tcPr>
            <w:tcW w:w="2581" w:type="dxa"/>
            <w:tcBorders>
              <w:top w:val="dotted" w:sz="4" w:space="0" w:color="495965" w:themeColor="text2"/>
              <w:bottom w:val="single" w:sz="4" w:space="0" w:color="495965" w:themeColor="text2"/>
            </w:tcBorders>
            <w:noWrap/>
            <w:hideMark/>
          </w:tcPr>
          <w:p w14:paraId="0C3F12E3" w14:textId="702ABC62" w:rsidR="00FC7643" w:rsidRPr="00CF6B72" w:rsidRDefault="00FC7643" w:rsidP="00FC7643">
            <w:pPr>
              <w:suppressAutoHyphens w:val="0"/>
              <w:spacing w:before="0" w:after="0" w:line="240" w:lineRule="auto"/>
              <w:rPr>
                <w:rFonts w:ascii="Calibri Light" w:eastAsia="Times New Roman" w:hAnsi="Calibri Light" w:cs="Calibri Light"/>
                <w:b/>
                <w:bCs/>
                <w:sz w:val="19"/>
                <w:szCs w:val="19"/>
                <w:lang w:val="en-AU" w:eastAsia="en-AU"/>
              </w:rPr>
            </w:pPr>
            <w:r w:rsidRPr="00CF6B72">
              <w:rPr>
                <w:rFonts w:ascii="Calibri Light" w:eastAsia="Times New Roman" w:hAnsi="Calibri Light" w:cs="Calibri Light"/>
                <w:sz w:val="19"/>
                <w:szCs w:val="19"/>
                <w:lang w:val="en-AU" w:eastAsia="en-AU"/>
              </w:rPr>
              <w:t>Difference</w:t>
            </w:r>
          </w:p>
        </w:tc>
        <w:tc>
          <w:tcPr>
            <w:tcW w:w="1853" w:type="dxa"/>
            <w:tcBorders>
              <w:top w:val="dotted" w:sz="4" w:space="0" w:color="495965" w:themeColor="text2"/>
              <w:bottom w:val="single" w:sz="4" w:space="0" w:color="495965" w:themeColor="text2"/>
            </w:tcBorders>
            <w:noWrap/>
            <w:vAlign w:val="bottom"/>
            <w:hideMark/>
          </w:tcPr>
          <w:p w14:paraId="6AC442EA" w14:textId="4F83A363" w:rsidR="00FC7643" w:rsidRPr="00CF6B72" w:rsidRDefault="00FC7643" w:rsidP="00FC7643">
            <w:pPr>
              <w:suppressAutoHyphens w:val="0"/>
              <w:spacing w:before="0" w:after="0" w:line="240" w:lineRule="auto"/>
              <w:jc w:val="right"/>
              <w:rPr>
                <w:rFonts w:ascii="Calibri Light" w:eastAsia="Times New Roman" w:hAnsi="Calibri Light" w:cs="Calibri Light"/>
                <w:b/>
                <w:bCs/>
                <w:sz w:val="19"/>
                <w:szCs w:val="19"/>
                <w:lang w:val="en-AU" w:eastAsia="en-AU"/>
              </w:rPr>
            </w:pPr>
            <w:r>
              <w:rPr>
                <w:rFonts w:ascii="Calibri Light" w:hAnsi="Calibri Light" w:cs="Calibri Light"/>
                <w:color w:val="000000"/>
                <w:sz w:val="19"/>
                <w:szCs w:val="19"/>
              </w:rPr>
              <w:t>53,391</w:t>
            </w:r>
          </w:p>
        </w:tc>
        <w:tc>
          <w:tcPr>
            <w:tcW w:w="1853" w:type="dxa"/>
            <w:tcBorders>
              <w:top w:val="dotted" w:sz="4" w:space="0" w:color="495965" w:themeColor="text2"/>
              <w:bottom w:val="single" w:sz="4" w:space="0" w:color="495965" w:themeColor="text2"/>
            </w:tcBorders>
            <w:noWrap/>
            <w:vAlign w:val="bottom"/>
            <w:hideMark/>
          </w:tcPr>
          <w:p w14:paraId="0647EA8C" w14:textId="4DC8FD45" w:rsidR="00FC7643" w:rsidRPr="00CF6B72" w:rsidRDefault="00FC7643" w:rsidP="00FC7643">
            <w:pPr>
              <w:suppressAutoHyphens w:val="0"/>
              <w:spacing w:before="0" w:after="0" w:line="240" w:lineRule="auto"/>
              <w:jc w:val="right"/>
              <w:rPr>
                <w:rFonts w:ascii="Calibri Light" w:eastAsia="Times New Roman" w:hAnsi="Calibri Light" w:cs="Calibri Light"/>
                <w:b/>
                <w:bCs/>
                <w:sz w:val="19"/>
                <w:szCs w:val="19"/>
                <w:lang w:val="en-AU" w:eastAsia="en-AU"/>
              </w:rPr>
            </w:pPr>
            <w:r>
              <w:rPr>
                <w:rFonts w:ascii="Calibri Light" w:hAnsi="Calibri Light" w:cs="Calibri Light"/>
                <w:color w:val="000000"/>
                <w:sz w:val="19"/>
                <w:szCs w:val="19"/>
              </w:rPr>
              <w:t>55,298</w:t>
            </w:r>
          </w:p>
        </w:tc>
        <w:tc>
          <w:tcPr>
            <w:tcW w:w="1853" w:type="dxa"/>
            <w:tcBorders>
              <w:top w:val="dotted" w:sz="4" w:space="0" w:color="495965" w:themeColor="text2"/>
              <w:bottom w:val="single" w:sz="4" w:space="0" w:color="495965" w:themeColor="text2"/>
            </w:tcBorders>
            <w:noWrap/>
            <w:vAlign w:val="bottom"/>
            <w:hideMark/>
          </w:tcPr>
          <w:p w14:paraId="0FFDA0C1" w14:textId="1E8431BD" w:rsidR="00FC7643" w:rsidRPr="00CF6B72" w:rsidRDefault="00FC7643" w:rsidP="00FC7643">
            <w:pPr>
              <w:suppressAutoHyphens w:val="0"/>
              <w:spacing w:before="0" w:after="0" w:line="240" w:lineRule="auto"/>
              <w:jc w:val="right"/>
              <w:rPr>
                <w:rFonts w:ascii="Calibri Light" w:eastAsia="Times New Roman" w:hAnsi="Calibri Light" w:cs="Calibri Light"/>
                <w:b/>
                <w:bCs/>
                <w:sz w:val="19"/>
                <w:szCs w:val="19"/>
                <w:lang w:val="en-AU" w:eastAsia="en-AU"/>
              </w:rPr>
            </w:pPr>
            <w:r>
              <w:rPr>
                <w:rFonts w:ascii="Calibri Light" w:hAnsi="Calibri Light" w:cs="Calibri Light"/>
                <w:color w:val="000000"/>
                <w:sz w:val="19"/>
                <w:szCs w:val="19"/>
              </w:rPr>
              <w:t>62,225</w:t>
            </w:r>
          </w:p>
        </w:tc>
      </w:tr>
    </w:tbl>
    <w:p w14:paraId="5ED3CB50" w14:textId="17AE2EF7" w:rsidR="00640615" w:rsidRDefault="00640615" w:rsidP="00640615">
      <w:pPr>
        <w:tabs>
          <w:tab w:val="left" w:pos="709"/>
        </w:tabs>
        <w:spacing w:before="0"/>
      </w:pPr>
      <w:r>
        <w:rPr>
          <w:rFonts w:ascii="Calibri Light" w:eastAsia="Times New Roman" w:hAnsi="Calibri Light" w:cs="Times New Roman"/>
          <w:sz w:val="16"/>
          <w:szCs w:val="16"/>
          <w:lang w:val="en-AU" w:eastAsia="en-AU"/>
        </w:rPr>
        <w:tab/>
      </w:r>
      <w:r w:rsidRPr="00C75EE8">
        <w:rPr>
          <w:rFonts w:ascii="Calibri Light" w:eastAsia="Times New Roman" w:hAnsi="Calibri Light" w:cs="Times New Roman"/>
          <w:sz w:val="16"/>
          <w:szCs w:val="16"/>
          <w:lang w:val="en-AU" w:eastAsia="en-AU"/>
        </w:rPr>
        <w:t>Based on ABS catalogues 5302.0 &amp; 5352.0.</w:t>
      </w:r>
    </w:p>
    <w:p w14:paraId="0A703D47" w14:textId="516818A2" w:rsidR="00562C69" w:rsidRPr="004E690D" w:rsidRDefault="00562C69" w:rsidP="00C82DDF">
      <w:pPr>
        <w:spacing w:before="240"/>
      </w:pPr>
      <w:r w:rsidRPr="004E690D">
        <w:t>For example, reverse direct investment (where a foreign parent company borrows from its own Australian subsidiary) is treated as a foreign asset, while under the FIA concept the reverse direct investment is treated as negative direct FIA (</w:t>
      </w:r>
      <w:proofErr w:type="gramStart"/>
      <w:r w:rsidRPr="004E690D">
        <w:t>i</w:t>
      </w:r>
      <w:r w:rsidR="00F04B1B">
        <w:t>.</w:t>
      </w:r>
      <w:r w:rsidRPr="004E690D">
        <w:t>e</w:t>
      </w:r>
      <w:r w:rsidR="00F04B1B">
        <w:t>.</w:t>
      </w:r>
      <w:proofErr w:type="gramEnd"/>
      <w:r w:rsidRPr="004E690D">
        <w:t xml:space="preserve"> a negative liability). When an Australian parent company borrows from its foreign subsidiary it is treated as a foreign liability, while under AIA it is treated as negative direct AIA. The table above shows that the values between the two concepts are marginal in difference.</w:t>
      </w:r>
    </w:p>
    <w:p w14:paraId="0EEB7914" w14:textId="77777777" w:rsidR="00562C69" w:rsidRPr="004E690D" w:rsidRDefault="00562C69" w:rsidP="005B55AA">
      <w:r w:rsidRPr="004E690D">
        <w:t>For simplicity in this publication all tables use the terminology FIA or AIA, regardless of whether it is based on FIA/AIA or foreign liabilities/assets. Footnotes in the tables identify when the foreign liability/asset concepts are being used.</w:t>
      </w:r>
    </w:p>
    <w:p w14:paraId="7A90B526" w14:textId="77777777" w:rsidR="00562C69" w:rsidRPr="004E690D" w:rsidRDefault="00562C69" w:rsidP="00640615">
      <w:pPr>
        <w:pStyle w:val="Heading3"/>
      </w:pPr>
      <w:r w:rsidRPr="004E690D">
        <w:t>Instruments of investment</w:t>
      </w:r>
    </w:p>
    <w:p w14:paraId="1C827E8C" w14:textId="77777777" w:rsidR="00562C69" w:rsidRPr="004E690D" w:rsidRDefault="00562C69" w:rsidP="005B55AA">
      <w:r w:rsidRPr="004E690D">
        <w:t xml:space="preserve">In the international investment position, all assets and liabilities can be classified to </w:t>
      </w:r>
      <w:proofErr w:type="gramStart"/>
      <w:r w:rsidRPr="004E690D">
        <w:t>particular instruments</w:t>
      </w:r>
      <w:proofErr w:type="gramEnd"/>
      <w:r w:rsidRPr="004E690D">
        <w:t xml:space="preserve"> of investment. The primary classification of instrument is by equity or by debt. All instruments can be classified under one of these headings.</w:t>
      </w:r>
    </w:p>
    <w:p w14:paraId="553D918E" w14:textId="77777777" w:rsidR="00DA5AE1" w:rsidRDefault="00562C69" w:rsidP="005B55AA">
      <w:r w:rsidRPr="004E690D">
        <w:t>For more information concerning the definitions and classifications used by the ABS in the compilation of balance of payments and IIP statistics, please refer to</w:t>
      </w:r>
    </w:p>
    <w:p w14:paraId="3605E67A" w14:textId="77777777" w:rsidR="00DA5AE1" w:rsidRDefault="00562C69" w:rsidP="00DA5AE1">
      <w:pPr>
        <w:pStyle w:val="Bullet1"/>
      </w:pPr>
      <w:r w:rsidRPr="004E690D">
        <w:t xml:space="preserve">ABS publication </w:t>
      </w:r>
      <w:r w:rsidRPr="004E690D">
        <w:rPr>
          <w:iCs/>
        </w:rPr>
        <w:t xml:space="preserve">Balance of Payments and International Investment Position, Australia, Concepts Sources and Methods 1998 and 2011 </w:t>
      </w:r>
      <w:r w:rsidRPr="004E690D">
        <w:t xml:space="preserve">(ABS </w:t>
      </w:r>
      <w:hyperlink r:id="rId12" w:history="1">
        <w:r w:rsidRPr="00DA5AE1">
          <w:rPr>
            <w:rStyle w:val="Hyperlink"/>
            <w:rFonts w:cs="Arial"/>
          </w:rPr>
          <w:t>catalogue 5331.0</w:t>
        </w:r>
      </w:hyperlink>
      <w:r w:rsidRPr="004E690D">
        <w:t>)</w:t>
      </w:r>
    </w:p>
    <w:p w14:paraId="1B67B3C2" w14:textId="77777777" w:rsidR="00DA5AE1" w:rsidRDefault="00562C69" w:rsidP="00DA5AE1">
      <w:pPr>
        <w:pStyle w:val="Bullet1"/>
      </w:pPr>
      <w:r w:rsidRPr="004E690D">
        <w:t>A Guide to Australian Balance of Payments and International Investment Position Statistics, 200</w:t>
      </w:r>
      <w:r w:rsidR="00DA5AE1">
        <w:t xml:space="preserve">4 (ABS </w:t>
      </w:r>
      <w:hyperlink r:id="rId13" w:history="1">
        <w:r w:rsidR="00DA5AE1" w:rsidRPr="00DA5AE1">
          <w:rPr>
            <w:rStyle w:val="Hyperlink"/>
            <w:rFonts w:cs="Arial"/>
          </w:rPr>
          <w:t>catalogue 5362.0.55.001</w:t>
        </w:r>
      </w:hyperlink>
      <w:r w:rsidR="00DA5AE1">
        <w:t>)</w:t>
      </w:r>
    </w:p>
    <w:p w14:paraId="7467E05B" w14:textId="77777777" w:rsidR="00562C69" w:rsidRPr="004E690D" w:rsidRDefault="00562C69" w:rsidP="00DA5AE1">
      <w:pPr>
        <w:pStyle w:val="Bullet1"/>
      </w:pPr>
      <w:r w:rsidRPr="004E690D">
        <w:t>IMF Balance of Payments and International Investment Position Manual, sixth edition, 2008 (BPM6)</w:t>
      </w:r>
      <w:r w:rsidR="005B55AA">
        <w:t>.</w:t>
      </w:r>
    </w:p>
    <w:p w14:paraId="5016FCD1" w14:textId="77777777" w:rsidR="00562C69" w:rsidRPr="00C82DDF" w:rsidRDefault="00562C69" w:rsidP="00640615">
      <w:pPr>
        <w:pStyle w:val="Heading2"/>
      </w:pPr>
      <w:r w:rsidRPr="00C82DDF">
        <w:t>Gross direct investment flows</w:t>
      </w:r>
    </w:p>
    <w:p w14:paraId="1CEDBE36" w14:textId="77777777" w:rsidR="00562C69" w:rsidRPr="004E690D" w:rsidRDefault="00562C69" w:rsidP="005B55AA">
      <w:r w:rsidRPr="004E690D">
        <w:t xml:space="preserve">Net inflows and net outflows of Australian direct investment have been split into their gross components (refer to </w:t>
      </w:r>
      <w:r w:rsidRPr="004E690D">
        <w:rPr>
          <w:b/>
          <w:i/>
        </w:rPr>
        <w:t>Tables 3 and 4</w:t>
      </w:r>
      <w:r w:rsidRPr="004E690D">
        <w:t xml:space="preserve"> in this publication) based on a special data service from the ABS. Data is shown for injections of direct investment (new investment), reinvested earnings (profits that are retained in Australia rather than repatriated abroad) and withdrawals of existing direct investment.</w:t>
      </w:r>
    </w:p>
    <w:p w14:paraId="67A6E0C0" w14:textId="77777777" w:rsidR="00562C69" w:rsidRPr="004E690D" w:rsidRDefault="00562C69" w:rsidP="005B55AA">
      <w:r w:rsidRPr="004E690D">
        <w:t>It is possible to have negative injections if the parent company borrows funds from the direct investment enterprise (</w:t>
      </w:r>
      <w:proofErr w:type="gramStart"/>
      <w:r w:rsidRPr="004E690D">
        <w:t>i.e.</w:t>
      </w:r>
      <w:proofErr w:type="gramEnd"/>
      <w:r w:rsidRPr="004E690D">
        <w:t xml:space="preserve"> its affiliate in Australia - branch, subsidiaries etc). When the parent company repays the </w:t>
      </w:r>
      <w:proofErr w:type="gramStart"/>
      <w:r w:rsidRPr="004E690D">
        <w:t>funds</w:t>
      </w:r>
      <w:proofErr w:type="gramEnd"/>
      <w:r w:rsidRPr="004E690D">
        <w:t xml:space="preserve"> it will be treated as a negative withdrawal (i.e. analogous to an injection). </w:t>
      </w:r>
    </w:p>
    <w:p w14:paraId="08091C5D" w14:textId="77777777" w:rsidR="00562C69" w:rsidRPr="004E690D" w:rsidRDefault="00562C69" w:rsidP="005B55AA">
      <w:r>
        <w:t>Negative reinvested earnings may also occur in some cases, for example, if losses are recorded by the direct investment enterprise or where dividends payable in a period is larger than net earnings in that period. Just as positive reinvested earnings are treated as being an injection of equity into the direct investment enterprise by the direct investor, negative reinvested earnings are treated as a withdrawal of equity.</w:t>
      </w:r>
    </w:p>
    <w:p w14:paraId="6091E3DD" w14:textId="77777777" w:rsidR="00562C69" w:rsidRPr="004E690D" w:rsidRDefault="00562C69" w:rsidP="00640615">
      <w:pPr>
        <w:pStyle w:val="Heading3"/>
      </w:pPr>
      <w:r w:rsidRPr="004E690D">
        <w:t>Quantum of new investment</w:t>
      </w:r>
    </w:p>
    <w:p w14:paraId="57DF8B72" w14:textId="77777777" w:rsidR="00562C69" w:rsidRPr="004E690D" w:rsidRDefault="00562C69" w:rsidP="00562C69">
      <w:r w:rsidRPr="004E690D">
        <w:t xml:space="preserve">The quantum of new direct investment in Australia (refer to </w:t>
      </w:r>
      <w:r w:rsidRPr="004E690D">
        <w:rPr>
          <w:b/>
          <w:i/>
        </w:rPr>
        <w:t>Box A</w:t>
      </w:r>
      <w:r w:rsidRPr="004E690D">
        <w:t xml:space="preserve"> in this publication) is the sum of the gross inflows (injections) of foreign direct investment into Australia over the year plus any reinvested earnings for the same period. Reinvested earnings in Australia are treated as new direct investment as the foreign investor in Australia has </w:t>
      </w:r>
      <w:proofErr w:type="gramStart"/>
      <w:r w:rsidRPr="004E690D">
        <w:t>made a decision</w:t>
      </w:r>
      <w:proofErr w:type="gramEnd"/>
      <w:r w:rsidRPr="004E690D">
        <w:t xml:space="preserve"> to increase the amount of its foreign investment in Australia rather than repatriate the profits to its parent company abroad. </w:t>
      </w:r>
    </w:p>
    <w:p w14:paraId="35F57F6A" w14:textId="77777777" w:rsidR="00562C69" w:rsidRPr="004E690D" w:rsidRDefault="00562C69" w:rsidP="005B55AA">
      <w:r w:rsidRPr="004E690D">
        <w:t>Note that some of the new gross inflows of foreign direct investment may be replacing existing foreign investment in Australia, for example if a foreign investor takes over a company in Australia that is already foreign owned. These transactions could not be separated by the ABS in its international investment statistics.</w:t>
      </w:r>
    </w:p>
    <w:p w14:paraId="2625C7AC" w14:textId="77777777" w:rsidR="00562C69" w:rsidRPr="004E690D" w:rsidRDefault="00661566" w:rsidP="00640615">
      <w:pPr>
        <w:pStyle w:val="Heading2"/>
      </w:pPr>
      <w:r>
        <w:t>Economy</w:t>
      </w:r>
    </w:p>
    <w:p w14:paraId="1269D3E0" w14:textId="77777777" w:rsidR="00562C69" w:rsidRPr="004E690D" w:rsidRDefault="00562C69" w:rsidP="005B55AA">
      <w:r w:rsidRPr="004E690D">
        <w:t xml:space="preserve">The ABS can usually only identify the </w:t>
      </w:r>
      <w:r w:rsidR="00661566">
        <w:t>economy</w:t>
      </w:r>
      <w:r w:rsidRPr="004E690D">
        <w:t xml:space="preserve"> of the immediate source for foreign investment in Australia, or the first destination for Australian investment abroad. </w:t>
      </w:r>
    </w:p>
    <w:p w14:paraId="00F1E94F" w14:textId="1ABF41EB" w:rsidR="00562C69" w:rsidRPr="004E690D" w:rsidRDefault="00DA5638" w:rsidP="005B55AA">
      <w:r w:rsidRPr="004E690D">
        <w:t>Therefore,</w:t>
      </w:r>
      <w:r w:rsidR="00562C69" w:rsidRPr="004E690D">
        <w:t xml:space="preserve"> care should be exercised in interpreting ABS partner </w:t>
      </w:r>
      <w:r w:rsidR="00661566">
        <w:t>economy</w:t>
      </w:r>
      <w:r w:rsidR="00562C69" w:rsidRPr="004E690D">
        <w:t xml:space="preserve"> or UNCTAD world investment data as the investment data reflects the </w:t>
      </w:r>
      <w:r w:rsidR="00661566">
        <w:t>economy</w:t>
      </w:r>
      <w:r w:rsidR="00562C69" w:rsidRPr="004E690D">
        <w:t xml:space="preserve"> of the immediate investor, rather than the </w:t>
      </w:r>
      <w:r w:rsidR="00661566">
        <w:t>economy</w:t>
      </w:r>
      <w:r w:rsidR="00562C69" w:rsidRPr="004E690D">
        <w:t xml:space="preserve"> of the ultimate owner or investor. Many international investments are made through financial intermediaries, holding companies or investment managers which are often incorporated in third-party </w:t>
      </w:r>
      <w:r w:rsidR="00661566">
        <w:t>economies</w:t>
      </w:r>
      <w:r w:rsidR="00562C69" w:rsidRPr="004E690D">
        <w:t>.</w:t>
      </w:r>
    </w:p>
    <w:p w14:paraId="5B902043" w14:textId="6B4AB22E" w:rsidR="00562C69" w:rsidRPr="004E690D" w:rsidRDefault="00562C69" w:rsidP="005B55AA">
      <w:r w:rsidRPr="004E690D">
        <w:t xml:space="preserve">There are </w:t>
      </w:r>
      <w:proofErr w:type="gramStart"/>
      <w:r w:rsidRPr="004E690D">
        <w:t>a number of</w:t>
      </w:r>
      <w:proofErr w:type="gramEnd"/>
      <w:r w:rsidRPr="004E690D">
        <w:t xml:space="preserve"> </w:t>
      </w:r>
      <w:r w:rsidR="00661566">
        <w:t>economies</w:t>
      </w:r>
      <w:r w:rsidRPr="004E690D">
        <w:t xml:space="preserve"> which have become hubs as financial intermediaries and investment centres for global clientele. Examples include the British Virgin Islands and the Cayman Islands in the Caribbean, Hong Kong</w:t>
      </w:r>
      <w:r w:rsidR="00661566">
        <w:t xml:space="preserve"> (SAR of China)</w:t>
      </w:r>
      <w:r w:rsidRPr="004E690D">
        <w:t xml:space="preserve"> and Singapore in Asia, and </w:t>
      </w:r>
      <w:r w:rsidR="00661566">
        <w:t>Belgium,</w:t>
      </w:r>
      <w:r w:rsidRPr="004E690D">
        <w:t xml:space="preserve"> </w:t>
      </w:r>
      <w:proofErr w:type="gramStart"/>
      <w:r w:rsidRPr="004E690D">
        <w:t>Switzerland</w:t>
      </w:r>
      <w:proofErr w:type="gramEnd"/>
      <w:r w:rsidRPr="004E690D">
        <w:t xml:space="preserve"> and Luxembourg in Europe. In some </w:t>
      </w:r>
      <w:r w:rsidR="00DA5638" w:rsidRPr="004E690D">
        <w:t>cases,</w:t>
      </w:r>
      <w:r w:rsidRPr="004E690D">
        <w:t xml:space="preserve"> these centres are the result of preferential tax arrangements.</w:t>
      </w:r>
    </w:p>
    <w:p w14:paraId="43329CC2" w14:textId="77777777" w:rsidR="00562C69" w:rsidRPr="004E690D" w:rsidRDefault="00562C69" w:rsidP="00640615">
      <w:pPr>
        <w:pStyle w:val="Heading2"/>
      </w:pPr>
      <w:r w:rsidRPr="004E690D">
        <w:t>Two-way investment</w:t>
      </w:r>
    </w:p>
    <w:p w14:paraId="07B48B6F" w14:textId="77777777" w:rsidR="00562C69" w:rsidRPr="004E690D" w:rsidRDefault="00562C69" w:rsidP="005B55AA">
      <w:r w:rsidRPr="004E690D">
        <w:t>Two-way (or mutual investment) is the sum of the stock of FIA and AIA. This is a useful measurement of the overall investment relationship between Australia and its investment partners. Two-way investment is useful in ranking Australia’s major investment partners, without a bias towards ranking only the larger foreign investment sources or the larger destinations for Australian investment abroad.</w:t>
      </w:r>
    </w:p>
    <w:p w14:paraId="3455C358" w14:textId="77777777" w:rsidR="00562C69" w:rsidRPr="004E690D" w:rsidRDefault="00562C69" w:rsidP="00640615">
      <w:pPr>
        <w:pStyle w:val="Heading2"/>
      </w:pPr>
      <w:r w:rsidRPr="004E690D">
        <w:t>Net international investment position to GDP ratio</w:t>
      </w:r>
    </w:p>
    <w:p w14:paraId="5933CC47" w14:textId="77777777" w:rsidR="00562C69" w:rsidRPr="004E690D" w:rsidRDefault="00562C69" w:rsidP="005B55AA">
      <w:r w:rsidRPr="004E690D">
        <w:t>The net international investment position to GDP ratio is derived from net foreign liabilities at the end of the period and GDP for the year ended with that period. The ratio is split at its two broad components: net foreign equity; and net foreign debt, as percentages of annual GDP as well as on a gross FIA and AIA basis.</w:t>
      </w:r>
    </w:p>
    <w:p w14:paraId="33309A4F" w14:textId="77777777" w:rsidR="00562C69" w:rsidRPr="004E690D" w:rsidRDefault="00562C69" w:rsidP="00640615">
      <w:pPr>
        <w:pStyle w:val="Heading2"/>
      </w:pPr>
      <w:r w:rsidRPr="004E690D">
        <w:t>Openness: total trade and total FDI to GDP ratios</w:t>
      </w:r>
    </w:p>
    <w:p w14:paraId="6A9C8C5B" w14:textId="3BBC94C3" w:rsidR="00562C69" w:rsidRPr="004E690D" w:rsidRDefault="00562C69" w:rsidP="005B55AA">
      <w:r w:rsidRPr="004E690D">
        <w:t>The total trade to GDP ratio, constructed as ((total exports + total imports)/GDP) is one of the most widely used measures of trade openness. The higher the ratio, the more ‘open’ the economy</w:t>
      </w:r>
      <w:r w:rsidR="00C261F4">
        <w:t xml:space="preserve"> is</w:t>
      </w:r>
      <w:r w:rsidRPr="004E690D">
        <w:t xml:space="preserve"> with respect to international trade. Similarly, the ratio of two-way FDI (Foreign Direct Investment) to GDP provides an indication of openness with respect to foreign direct investment (both in terms of willingness to accept investment from abroad and to make investments abroad).</w:t>
      </w:r>
    </w:p>
    <w:p w14:paraId="12C18017" w14:textId="77777777" w:rsidR="00562C69" w:rsidRDefault="00562C69" w:rsidP="005B55AA">
      <w:r w:rsidRPr="004E690D">
        <w:t>These measures of openness are influenced by a broad range of factors, including policy settings, geographic location, economy size and specialisation within economies. Users should be careful when using the ratios for comparison against one dimension (</w:t>
      </w:r>
      <w:proofErr w:type="gramStart"/>
      <w:r w:rsidRPr="004E690D">
        <w:t>e.g.</w:t>
      </w:r>
      <w:proofErr w:type="gramEnd"/>
      <w:r w:rsidRPr="004E690D">
        <w:t xml:space="preserve"> policy settings) when other factors may have a bigger influence. For </w:t>
      </w:r>
      <w:proofErr w:type="gramStart"/>
      <w:r w:rsidRPr="004E690D">
        <w:t>instance</w:t>
      </w:r>
      <w:proofErr w:type="gramEnd"/>
      <w:r w:rsidRPr="004E690D">
        <w:t xml:space="preserve"> when analysing Singapore and Hong Kong</w:t>
      </w:r>
      <w:r w:rsidR="00AC5D7D">
        <w:t xml:space="preserve"> (SAR of China)</w:t>
      </w:r>
      <w:r w:rsidRPr="004E690D">
        <w:t xml:space="preserve"> trade data users should be aware they are trade </w:t>
      </w:r>
      <w:r w:rsidR="004C405F">
        <w:t>entrepôts</w:t>
      </w:r>
      <w:r w:rsidR="004C405F" w:rsidRPr="005B55AA">
        <w:t xml:space="preserve"> </w:t>
      </w:r>
      <w:r w:rsidRPr="004E690D">
        <w:t>which has the impact of inflating the total trade to GDP ratio. Similar cautions apply to the investment ratios where, for example, a</w:t>
      </w:r>
      <w:r w:rsidR="00AC5D7D">
        <w:t>n economy</w:t>
      </w:r>
      <w:r w:rsidRPr="004E690D">
        <w:t xml:space="preserve"> is used as an international investment hub.</w:t>
      </w:r>
    </w:p>
    <w:p w14:paraId="245B9D97" w14:textId="77777777" w:rsidR="00562C69" w:rsidRPr="004E690D" w:rsidRDefault="00562C69" w:rsidP="00640615">
      <w:pPr>
        <w:pStyle w:val="Heading2"/>
      </w:pPr>
      <w:r w:rsidRPr="004E690D">
        <w:t>Foreign ownership of Australian business by industry</w:t>
      </w:r>
    </w:p>
    <w:p w14:paraId="69B97C46" w14:textId="77777777" w:rsidR="00562C69" w:rsidRPr="004E690D" w:rsidRDefault="00562C69" w:rsidP="00562C69">
      <w:r w:rsidRPr="004E690D">
        <w:t xml:space="preserve">The ABS’s Business Characteristics Survey (BCS) is an annual survey based on a random sample of approximately 6,500 businesses using a mail-out questionnaire. The sample was stratified by industry and an </w:t>
      </w:r>
      <w:proofErr w:type="gramStart"/>
      <w:r w:rsidRPr="004E690D">
        <w:t>employment based</w:t>
      </w:r>
      <w:proofErr w:type="gramEnd"/>
      <w:r w:rsidRPr="004E690D">
        <w:t xml:space="preserve"> size indicator. All businesses on the ABS Business Register that identified as having 300 or more employees were included in the sample. The BCS included a question on whether the Australian business was foreign owned. </w:t>
      </w:r>
    </w:p>
    <w:p w14:paraId="0BE18225" w14:textId="77777777" w:rsidR="00562C69" w:rsidRPr="004E690D" w:rsidRDefault="00562C69" w:rsidP="00640615">
      <w:pPr>
        <w:pStyle w:val="Heading2"/>
      </w:pPr>
      <w:r w:rsidRPr="004E690D">
        <w:t>Australian investment flows – domestic vs foreign</w:t>
      </w:r>
    </w:p>
    <w:p w14:paraId="654A6A74" w14:textId="77777777" w:rsidR="00562C69" w:rsidRPr="004E690D" w:rsidRDefault="00562C69" w:rsidP="00562C69">
      <w:r w:rsidRPr="004E690D">
        <w:t xml:space="preserve">Australian investment flows sourced from domestic or foreign sources has been sourced from the National Capital Account in the ABS publication Australia’s National Accounts </w:t>
      </w:r>
      <w:r w:rsidRPr="002825E8">
        <w:t>(catalogue number 5206.0).</w:t>
      </w:r>
      <w:r w:rsidRPr="004E690D">
        <w:t xml:space="preserve"> The </w:t>
      </w:r>
      <w:r w:rsidRPr="004E690D">
        <w:rPr>
          <w:i/>
        </w:rPr>
        <w:t>Net lending to non-resident</w:t>
      </w:r>
      <w:r w:rsidRPr="004E690D">
        <w:t xml:space="preserve"> series has been used to calculate the foreign sources while the domestic sources have been calculated as the differences between the </w:t>
      </w:r>
      <w:r w:rsidRPr="004E690D">
        <w:rPr>
          <w:i/>
        </w:rPr>
        <w:t xml:space="preserve">Total capital accumulation </w:t>
      </w:r>
      <w:r w:rsidRPr="004E690D">
        <w:t xml:space="preserve">minus </w:t>
      </w:r>
      <w:r w:rsidRPr="004E690D">
        <w:rPr>
          <w:i/>
        </w:rPr>
        <w:t>Net lending to non-residents</w:t>
      </w:r>
      <w:r w:rsidRPr="004E690D">
        <w:t xml:space="preserve">. </w:t>
      </w:r>
      <w:r w:rsidRPr="004E690D">
        <w:rPr>
          <w:i/>
        </w:rPr>
        <w:t>Net lending to non-residents</w:t>
      </w:r>
      <w:r w:rsidRPr="004E690D">
        <w:t xml:space="preserve"> is the sum of the following two balance of payments items </w:t>
      </w:r>
      <w:r w:rsidR="00AC5D7D">
        <w:t>–</w:t>
      </w:r>
      <w:r w:rsidRPr="004E690D">
        <w:t xml:space="preserve"> </w:t>
      </w:r>
      <w:r w:rsidRPr="004E690D">
        <w:rPr>
          <w:i/>
        </w:rPr>
        <w:t>Financial account balance</w:t>
      </w:r>
      <w:r w:rsidRPr="004E690D">
        <w:t xml:space="preserve"> plus </w:t>
      </w:r>
      <w:r w:rsidRPr="004E690D">
        <w:rPr>
          <w:i/>
        </w:rPr>
        <w:t>Net errors and omissions</w:t>
      </w:r>
      <w:r w:rsidRPr="004E690D">
        <w:t>.</w:t>
      </w:r>
    </w:p>
    <w:p w14:paraId="72E2DA00" w14:textId="77777777" w:rsidR="00562C69" w:rsidRPr="004E690D" w:rsidRDefault="00562C69" w:rsidP="00640615">
      <w:pPr>
        <w:pStyle w:val="Heading2"/>
      </w:pPr>
      <w:r w:rsidRPr="004E690D">
        <w:t>Foreign Investment Review Board statistics</w:t>
      </w:r>
    </w:p>
    <w:p w14:paraId="03D2277E" w14:textId="77777777" w:rsidR="00562C69" w:rsidRPr="002825E8" w:rsidRDefault="00562C69" w:rsidP="00562C69">
      <w:pPr>
        <w:rPr>
          <w:bCs/>
        </w:rPr>
      </w:pPr>
      <w:r w:rsidRPr="004E690D">
        <w:t xml:space="preserve">Foreign Investment Review Board (FIRB) approvals statistics presented in </w:t>
      </w:r>
      <w:r w:rsidR="00F62B9D" w:rsidRPr="00F62B9D">
        <w:rPr>
          <w:b/>
          <w:i/>
        </w:rPr>
        <w:t>Box B</w:t>
      </w:r>
      <w:r w:rsidRPr="00F62B9D">
        <w:rPr>
          <w:b/>
        </w:rPr>
        <w:t xml:space="preserve"> </w:t>
      </w:r>
      <w:r w:rsidRPr="004E690D">
        <w:t xml:space="preserve">of this publication provide information about proposed applications considered and approved by the FIRB. Depending on the type of investment, they will be made up of intended acquisition costs, establishment costs and development costs. </w:t>
      </w:r>
    </w:p>
    <w:p w14:paraId="3041B90F" w14:textId="77777777" w:rsidR="00562C69" w:rsidRPr="002825E8" w:rsidRDefault="00562C69" w:rsidP="00562C69">
      <w:pPr>
        <w:rPr>
          <w:bCs/>
        </w:rPr>
      </w:pPr>
      <w:r w:rsidRPr="004E690D">
        <w:t xml:space="preserve">These ‘proposed’ investments differ markedly from the ‘actual’ investments reported by the Australian Bureau of Statistics (ABS). Users need to be aware that the FIRB data are not comprehensive in measuring transactions between Australian residents and non-residents and nor do they measure changes in net foreign ownership levels. FIRB only measures proposed investments falling within prescribed thresholds. Foreign investments by Australian residents are not in the scope of FIRB. </w:t>
      </w:r>
    </w:p>
    <w:p w14:paraId="64653556" w14:textId="1ABD6C51" w:rsidR="00562C69" w:rsidRPr="002825E8" w:rsidRDefault="00562C69" w:rsidP="00562C69">
      <w:pPr>
        <w:rPr>
          <w:bCs/>
        </w:rPr>
      </w:pPr>
      <w:r w:rsidRPr="004E690D">
        <w:t>For more information on FIRB and FIRB statistics, and the differences between them and ABS statistics, refer to the information</w:t>
      </w:r>
      <w:r w:rsidR="00427573">
        <w:t xml:space="preserve"> in</w:t>
      </w:r>
      <w:r w:rsidRPr="004E690D">
        <w:t xml:space="preserve"> </w:t>
      </w:r>
      <w:r w:rsidR="00427573" w:rsidRPr="00427573">
        <w:rPr>
          <w:i/>
          <w:iCs/>
        </w:rPr>
        <w:t>Box B</w:t>
      </w:r>
      <w:r w:rsidRPr="004E690D">
        <w:t xml:space="preserve"> of this publication.</w:t>
      </w:r>
    </w:p>
    <w:p w14:paraId="19BC099F" w14:textId="77777777" w:rsidR="00562C69" w:rsidRPr="004E690D" w:rsidRDefault="00562C69" w:rsidP="00640615">
      <w:pPr>
        <w:pStyle w:val="Heading2"/>
      </w:pPr>
      <w:r w:rsidRPr="004E690D">
        <w:t xml:space="preserve">UNCTAD international investment statistics </w:t>
      </w:r>
    </w:p>
    <w:p w14:paraId="5DC9E962" w14:textId="77777777" w:rsidR="00562C69" w:rsidRPr="004E690D" w:rsidRDefault="00562C69" w:rsidP="00640615">
      <w:pPr>
        <w:pStyle w:val="Heading3"/>
      </w:pPr>
      <w:r w:rsidRPr="004E690D">
        <w:t>Overview</w:t>
      </w:r>
    </w:p>
    <w:p w14:paraId="260B3F87" w14:textId="1F17A61B" w:rsidR="00562C69" w:rsidRPr="004E690D" w:rsidRDefault="00562C69" w:rsidP="00562C69">
      <w:r w:rsidRPr="004E690D">
        <w:t>United Nations Conference on Trade and Development (UNCTAD) international investment statistics are compiled in accordance with the International Monetary Fund (IMF</w:t>
      </w:r>
      <w:r w:rsidRPr="004E690D">
        <w:rPr>
          <w:i/>
        </w:rPr>
        <w:t>) Balance of Payments and International Investment Position Manual</w:t>
      </w:r>
      <w:r w:rsidRPr="004E690D">
        <w:t xml:space="preserve">, fifth edition, 1993 (BPM5). </w:t>
      </w:r>
    </w:p>
    <w:p w14:paraId="1890D93D" w14:textId="77777777" w:rsidR="00562C69" w:rsidRPr="004E690D" w:rsidRDefault="00562C69" w:rsidP="00640615">
      <w:pPr>
        <w:pStyle w:val="Heading3"/>
      </w:pPr>
      <w:r w:rsidRPr="004E690D">
        <w:t xml:space="preserve">Methodology for compiling </w:t>
      </w:r>
      <w:r w:rsidR="00AC5D7D">
        <w:t>economy</w:t>
      </w:r>
      <w:r w:rsidRPr="004E690D">
        <w:t>-level stocks data</w:t>
      </w:r>
    </w:p>
    <w:p w14:paraId="07EABFAC" w14:textId="515ECB39" w:rsidR="00562C69" w:rsidRPr="004E690D" w:rsidRDefault="00562C69" w:rsidP="00562C69">
      <w:r w:rsidRPr="004E690D">
        <w:t xml:space="preserve">For the international investment stocks information presented in </w:t>
      </w:r>
      <w:r w:rsidRPr="004E690D">
        <w:rPr>
          <w:b/>
          <w:i/>
        </w:rPr>
        <w:t>Tables 13 to 17</w:t>
      </w:r>
      <w:r w:rsidRPr="004E690D">
        <w:t xml:space="preserve"> of this publication UNCTAD has used a variety of sources and methods to compile stocks for individual </w:t>
      </w:r>
      <w:r w:rsidR="00AC5D7D">
        <w:t>economies</w:t>
      </w:r>
      <w:r w:rsidRPr="004E690D">
        <w:t xml:space="preserve">. Where available the stocks data have been sourced directly from </w:t>
      </w:r>
      <w:r w:rsidR="00AC5D7D">
        <w:t>economies</w:t>
      </w:r>
      <w:r w:rsidRPr="004E690D">
        <w:t xml:space="preserve">’ national bodies, which is the ideal outcome. </w:t>
      </w:r>
      <w:r w:rsidR="00052CD8" w:rsidRPr="004E690D">
        <w:t>However,</w:t>
      </w:r>
      <w:r w:rsidRPr="004E690D">
        <w:t xml:space="preserve"> many </w:t>
      </w:r>
      <w:r w:rsidR="00AC5D7D">
        <w:t>economie</w:t>
      </w:r>
      <w:r w:rsidRPr="004E690D">
        <w:t xml:space="preserve">s’ datasets for international investment data are either not complete, not compiled in line with international standards or simply not available. </w:t>
      </w:r>
    </w:p>
    <w:p w14:paraId="53C7DA09" w14:textId="77777777" w:rsidR="00562C69" w:rsidRPr="004E690D" w:rsidRDefault="00562C69" w:rsidP="00562C69">
      <w:r w:rsidRPr="004E690D">
        <w:t xml:space="preserve">Datasets that are not complete might, for example, have stocks information available for some years but not others. Datasets not compiled in line with international standards might have the stocks valued </w:t>
      </w:r>
      <w:proofErr w:type="gramStart"/>
      <w:r w:rsidRPr="004E690D">
        <w:t>on the basis of</w:t>
      </w:r>
      <w:proofErr w:type="gramEnd"/>
      <w:r w:rsidRPr="004E690D">
        <w:t xml:space="preserve"> historical cost rather than (the recommended) market value.</w:t>
      </w:r>
    </w:p>
    <w:p w14:paraId="35048015" w14:textId="77777777" w:rsidR="00562C69" w:rsidRDefault="00562C69" w:rsidP="00562C69">
      <w:r w:rsidRPr="004E690D">
        <w:t>To overcome missing or incomplete datasets UNCTAD has employed different strategies, including:</w:t>
      </w:r>
    </w:p>
    <w:p w14:paraId="08B2864A" w14:textId="77777777" w:rsidR="00285FAB" w:rsidRPr="00285FAB" w:rsidRDefault="00285FAB" w:rsidP="00AC5D7D">
      <w:pPr>
        <w:pStyle w:val="Bullet1"/>
        <w:rPr>
          <w:rStyle w:val="bodytext1"/>
          <w:rFonts w:asciiTheme="minorHAnsi" w:hAnsiTheme="minorHAnsi"/>
          <w:color w:val="495965" w:themeColor="text2"/>
          <w:sz w:val="22"/>
          <w:szCs w:val="22"/>
        </w:rPr>
      </w:pPr>
      <w:r w:rsidRPr="00285FAB">
        <w:t xml:space="preserve">partner </w:t>
      </w:r>
      <w:r w:rsidR="00AC5D7D">
        <w:t>economy</w:t>
      </w:r>
      <w:r w:rsidRPr="00285FAB">
        <w:t xml:space="preserve"> information</w:t>
      </w:r>
    </w:p>
    <w:p w14:paraId="43D6847F" w14:textId="77777777" w:rsidR="00285FAB" w:rsidRPr="00285FAB" w:rsidRDefault="00285FAB" w:rsidP="00AC5D7D">
      <w:pPr>
        <w:pStyle w:val="Bullet1"/>
        <w:rPr>
          <w:rStyle w:val="bodytext1"/>
          <w:rFonts w:asciiTheme="minorHAnsi" w:hAnsiTheme="minorHAnsi"/>
          <w:color w:val="495965" w:themeColor="text2"/>
          <w:sz w:val="22"/>
          <w:szCs w:val="22"/>
        </w:rPr>
      </w:pPr>
      <w:r w:rsidRPr="00285FAB">
        <w:t>information obtained from international organisations, such as the IMF and the World Bank</w:t>
      </w:r>
    </w:p>
    <w:p w14:paraId="17A5DE25" w14:textId="77777777" w:rsidR="00285FAB" w:rsidRPr="00285FAB" w:rsidRDefault="00285FAB" w:rsidP="00AC5D7D">
      <w:pPr>
        <w:pStyle w:val="Bullet1"/>
        <w:rPr>
          <w:rStyle w:val="bodytext1"/>
          <w:rFonts w:asciiTheme="minorHAnsi" w:hAnsiTheme="minorHAnsi"/>
          <w:color w:val="495965" w:themeColor="text2"/>
          <w:sz w:val="22"/>
          <w:szCs w:val="22"/>
        </w:rPr>
      </w:pPr>
      <w:r w:rsidRPr="00285FAB">
        <w:t>flows information, either summed to estimate stocks or used in conjunction with stocks data that is available only intermittently.</w:t>
      </w:r>
    </w:p>
    <w:p w14:paraId="5147FB65" w14:textId="7E93FB86" w:rsidR="00562C69" w:rsidRPr="00285FAB" w:rsidRDefault="00562C69" w:rsidP="00562C69">
      <w:r w:rsidRPr="004E690D">
        <w:t>Because of this</w:t>
      </w:r>
      <w:r w:rsidR="00052CD8">
        <w:t>,</w:t>
      </w:r>
      <w:r w:rsidRPr="004E690D">
        <w:t xml:space="preserve"> users need to be careful when making inter-</w:t>
      </w:r>
      <w:r w:rsidR="00AC5D7D">
        <w:t>economy</w:t>
      </w:r>
      <w:r w:rsidRPr="004E690D">
        <w:t xml:space="preserve"> comparisons within the tables. The treatment applied to each </w:t>
      </w:r>
      <w:r w:rsidR="00AC5D7D">
        <w:t xml:space="preserve">economy </w:t>
      </w:r>
      <w:r w:rsidRPr="004E690D">
        <w:t xml:space="preserve">by UNCTAD can be accessed via the UNCTAD </w:t>
      </w:r>
      <w:hyperlink r:id="rId14" w:history="1">
        <w:r w:rsidRPr="00A24C86">
          <w:rPr>
            <w:rStyle w:val="Hyperlink"/>
            <w:rFonts w:cstheme="minorBidi"/>
          </w:rPr>
          <w:t>World Investment Report</w:t>
        </w:r>
      </w:hyperlink>
      <w:r w:rsidRPr="004E690D">
        <w:t xml:space="preserve"> </w:t>
      </w:r>
      <w:hyperlink r:id="rId15" w:history="1">
        <w:r w:rsidRPr="00285FAB">
          <w:rPr>
            <w:rStyle w:val="Hyperlink"/>
            <w:rFonts w:cs="Arial"/>
          </w:rPr>
          <w:t>Methodological note.</w:t>
        </w:r>
      </w:hyperlink>
      <w:r w:rsidRPr="00285FAB">
        <w:t xml:space="preserve"> </w:t>
      </w:r>
    </w:p>
    <w:p w14:paraId="268B4906" w14:textId="77777777" w:rsidR="00562C69" w:rsidRPr="004E690D" w:rsidRDefault="00562C69" w:rsidP="00562C69">
      <w:pPr>
        <w:pStyle w:val="Text"/>
        <w:pBdr>
          <w:bottom w:val="single" w:sz="12" w:space="1" w:color="auto"/>
        </w:pBdr>
        <w:spacing w:after="0"/>
        <w:jc w:val="left"/>
        <w:rPr>
          <w:rFonts w:asciiTheme="minorHAnsi" w:hAnsiTheme="minorHAnsi" w:cs="Arial"/>
          <w:sz w:val="20"/>
          <w:szCs w:val="20"/>
        </w:rPr>
      </w:pPr>
    </w:p>
    <w:p w14:paraId="487D2240" w14:textId="77777777" w:rsidR="00562C69" w:rsidRPr="004E690D" w:rsidRDefault="00562C69" w:rsidP="00562C69">
      <w:pPr>
        <w:pStyle w:val="Text"/>
        <w:spacing w:line="240" w:lineRule="exact"/>
        <w:rPr>
          <w:rFonts w:asciiTheme="minorHAnsi" w:hAnsiTheme="minorHAnsi" w:cs="Arial"/>
          <w:sz w:val="20"/>
          <w:szCs w:val="20"/>
        </w:rPr>
      </w:pPr>
    </w:p>
    <w:p w14:paraId="0397DE80" w14:textId="5D36FB24" w:rsidR="00562C69" w:rsidRPr="004E690D" w:rsidRDefault="00562C69" w:rsidP="002825E8">
      <w:r w:rsidRPr="004E690D">
        <w:t>This publication was compiled by</w:t>
      </w:r>
      <w:r w:rsidR="001E7942">
        <w:t xml:space="preserve"> </w:t>
      </w:r>
      <w:r w:rsidRPr="004E690D">
        <w:t>Julie-Anne Andrew</w:t>
      </w:r>
      <w:r w:rsidR="00C75EE8">
        <w:t xml:space="preserve">, </w:t>
      </w:r>
      <w:r w:rsidR="00434616" w:rsidRPr="00434616">
        <w:t xml:space="preserve">Jorge </w:t>
      </w:r>
      <w:proofErr w:type="spellStart"/>
      <w:r w:rsidR="00434616" w:rsidRPr="00434616">
        <w:t>Castiço</w:t>
      </w:r>
      <w:proofErr w:type="spellEnd"/>
      <w:r w:rsidR="00521C84">
        <w:t xml:space="preserve">, </w:t>
      </w:r>
      <w:r w:rsidR="00CD122C">
        <w:t xml:space="preserve">Sergey </w:t>
      </w:r>
      <w:proofErr w:type="spellStart"/>
      <w:r w:rsidR="00CD122C">
        <w:t>Putilin</w:t>
      </w:r>
      <w:proofErr w:type="spellEnd"/>
      <w:r w:rsidR="00521C84">
        <w:t xml:space="preserve"> and Jared Wolfers</w:t>
      </w:r>
      <w:r w:rsidRPr="004E690D">
        <w:t>.</w:t>
      </w:r>
    </w:p>
    <w:p w14:paraId="743F8187" w14:textId="15C2F72C" w:rsidR="00562C69" w:rsidRPr="004E690D" w:rsidRDefault="00562C69" w:rsidP="002825E8">
      <w:r w:rsidRPr="004E690D">
        <w:t xml:space="preserve">If you want to know more about these statistics or about other trade and economic </w:t>
      </w:r>
      <w:r w:rsidR="00764D1B">
        <w:t>products</w:t>
      </w:r>
      <w:r w:rsidRPr="004E690D">
        <w:t xml:space="preserve"> produced by DFAT, please email </w:t>
      </w:r>
      <w:hyperlink r:id="rId16" w:history="1">
        <w:r w:rsidRPr="002825E8">
          <w:rPr>
            <w:rStyle w:val="Hyperlink"/>
            <w:rFonts w:cs="Arial"/>
          </w:rPr>
          <w:t>statssection@dfat.gov.au</w:t>
        </w:r>
      </w:hyperlink>
      <w:r w:rsidRPr="004E690D">
        <w:t>.</w:t>
      </w:r>
    </w:p>
    <w:p w14:paraId="43591E9D" w14:textId="77777777" w:rsidR="008E5270" w:rsidRDefault="008E5270" w:rsidP="002825E8">
      <w:pPr>
        <w:sectPr w:rsidR="008E5270" w:rsidSect="0009158E">
          <w:headerReference w:type="default" r:id="rId17"/>
          <w:footerReference w:type="default" r:id="rId18"/>
          <w:headerReference w:type="first" r:id="rId19"/>
          <w:footerReference w:type="first" r:id="rId20"/>
          <w:pgSz w:w="11906" w:h="16838" w:code="9"/>
          <w:pgMar w:top="1985" w:right="1134" w:bottom="1701" w:left="1134" w:header="567" w:footer="567" w:gutter="0"/>
          <w:cols w:space="708"/>
          <w:titlePg/>
          <w:docGrid w:linePitch="360"/>
        </w:sectPr>
      </w:pPr>
    </w:p>
    <w:p w14:paraId="4CF84F91" w14:textId="77777777" w:rsidR="00B55E19" w:rsidRDefault="00003DAC" w:rsidP="002F2839">
      <w:pPr>
        <w:pStyle w:val="Heading1"/>
      </w:pPr>
      <w:r>
        <w:t xml:space="preserve">Appendix </w:t>
      </w:r>
      <w:r w:rsidR="002825E8">
        <w:t>B</w:t>
      </w:r>
      <w:r>
        <w:t xml:space="preserve"> – Compositio</w:t>
      </w:r>
      <w:r w:rsidR="008E5270">
        <w:t>n of regions and groups</w:t>
      </w:r>
    </w:p>
    <w:p w14:paraId="6D11420B" w14:textId="77777777" w:rsidR="002825E8" w:rsidRPr="002825E8" w:rsidRDefault="002825E8" w:rsidP="00D628B9">
      <w:pPr>
        <w:tabs>
          <w:tab w:val="left" w:pos="1134"/>
        </w:tabs>
        <w:spacing w:after="160"/>
        <w:ind w:left="1134" w:hanging="1134"/>
      </w:pPr>
      <w:r w:rsidRPr="002825E8">
        <w:rPr>
          <w:b/>
        </w:rPr>
        <w:t>APEC</w:t>
      </w:r>
      <w:r w:rsidRPr="002825E8">
        <w:rPr>
          <w:b/>
        </w:rPr>
        <w:tab/>
        <w:t>Asia Pacific Economic Cooperation</w:t>
      </w:r>
      <w:r w:rsidRPr="002825E8">
        <w:rPr>
          <w:b/>
        </w:rPr>
        <w:br/>
      </w:r>
      <w:r w:rsidRPr="002825E8">
        <w:t>Australia; Brunei; Canada; Chile; China; Hong Kong China; Indonesia; Japan; Malaysia; Mexico; New Zealand; Papua New Guinea; Peru; Philippines; Republic of Korea; Russian Federation; Singapore; Chinese Taipei; Thailand; United States (</w:t>
      </w:r>
      <w:proofErr w:type="spellStart"/>
      <w:r w:rsidRPr="002825E8">
        <w:t>incl</w:t>
      </w:r>
      <w:proofErr w:type="spellEnd"/>
      <w:r w:rsidRPr="002825E8">
        <w:t xml:space="preserve"> Puerto Rico and the US Virgin Is.); Vietnam.</w:t>
      </w:r>
    </w:p>
    <w:p w14:paraId="4A1F8E11" w14:textId="77777777" w:rsidR="002825E8" w:rsidRPr="002825E8" w:rsidRDefault="002825E8" w:rsidP="00D628B9">
      <w:pPr>
        <w:tabs>
          <w:tab w:val="left" w:pos="1134"/>
        </w:tabs>
        <w:spacing w:after="160"/>
        <w:ind w:left="1134" w:hanging="1134"/>
      </w:pPr>
      <w:r w:rsidRPr="002825E8">
        <w:rPr>
          <w:b/>
        </w:rPr>
        <w:t>ASEAN</w:t>
      </w:r>
      <w:r w:rsidRPr="002825E8">
        <w:rPr>
          <w:b/>
        </w:rPr>
        <w:tab/>
        <w:t xml:space="preserve">Association of South East Asian Nations </w:t>
      </w:r>
      <w:r w:rsidRPr="002825E8">
        <w:br/>
        <w:t>Brunei; Cambodia; Indonesia; Laos; Malaysia; Myanmar, Philippines; Singapore; Thailand; Vietnam.</w:t>
      </w:r>
    </w:p>
    <w:p w14:paraId="3799F592" w14:textId="77777777" w:rsidR="002825E8" w:rsidRDefault="002825E8" w:rsidP="00D628B9">
      <w:pPr>
        <w:tabs>
          <w:tab w:val="left" w:pos="1134"/>
        </w:tabs>
        <w:spacing w:after="160"/>
        <w:ind w:left="1134" w:hanging="1134"/>
      </w:pPr>
      <w:r w:rsidRPr="002825E8">
        <w:rPr>
          <w:b/>
        </w:rPr>
        <w:t>Asia</w:t>
      </w:r>
      <w:r w:rsidRPr="002825E8">
        <w:tab/>
      </w:r>
      <w:r w:rsidRPr="002825E8">
        <w:rPr>
          <w:b/>
          <w:i/>
        </w:rPr>
        <w:t>Major Asian economies only</w:t>
      </w:r>
      <w:r w:rsidRPr="002825E8">
        <w:rPr>
          <w:i/>
        </w:rPr>
        <w:br/>
      </w:r>
      <w:r w:rsidRPr="002825E8">
        <w:t>Brunei; Cambodia; China; Hong Kong (SAR of China); India; Indonesia; Japan; Laos; Malaysia; Myanmar, Philippines; Republic of Korea; Singapore; Taiwan; Thailand; Vietnam.</w:t>
      </w:r>
    </w:p>
    <w:p w14:paraId="286EC240" w14:textId="77777777" w:rsidR="00940328" w:rsidRDefault="00940328" w:rsidP="00D628B9">
      <w:pPr>
        <w:tabs>
          <w:tab w:val="left" w:pos="1134"/>
        </w:tabs>
        <w:spacing w:after="160"/>
        <w:ind w:left="1134" w:hanging="1134"/>
      </w:pPr>
      <w:r>
        <w:rPr>
          <w:b/>
        </w:rPr>
        <w:t>CPTPP</w:t>
      </w:r>
      <w:r w:rsidRPr="002825E8">
        <w:tab/>
      </w:r>
      <w:r w:rsidRPr="00940328">
        <w:rPr>
          <w:b/>
        </w:rPr>
        <w:t>Comprehensive &amp; Progressive Agreement for Trans-Pacific Partnership</w:t>
      </w:r>
      <w:r w:rsidRPr="002825E8">
        <w:rPr>
          <w:i/>
        </w:rPr>
        <w:br/>
      </w:r>
      <w:r>
        <w:t>Australia, Brunei, Canada, Chile, Japan, Malaysia, Mexico, New Zealand, Peru, Singapore, Vietnam</w:t>
      </w:r>
      <w:r w:rsidRPr="002825E8">
        <w:t>.</w:t>
      </w:r>
    </w:p>
    <w:p w14:paraId="21E8503B" w14:textId="735520E0" w:rsidR="002825E8" w:rsidRPr="002825E8" w:rsidRDefault="002825E8" w:rsidP="00D628B9">
      <w:pPr>
        <w:tabs>
          <w:tab w:val="left" w:pos="1134"/>
        </w:tabs>
        <w:spacing w:after="160"/>
        <w:ind w:left="1134" w:hanging="1134"/>
      </w:pPr>
      <w:r w:rsidRPr="002825E8">
        <w:rPr>
          <w:b/>
        </w:rPr>
        <w:t>EU</w:t>
      </w:r>
      <w:r w:rsidRPr="002825E8">
        <w:rPr>
          <w:b/>
        </w:rPr>
        <w:tab/>
        <w:t xml:space="preserve">European Union </w:t>
      </w:r>
      <w:r w:rsidR="00CF6B72">
        <w:rPr>
          <w:b/>
        </w:rPr>
        <w:t>(</w:t>
      </w:r>
      <w:proofErr w:type="spellStart"/>
      <w:r w:rsidR="00CF6B72">
        <w:rPr>
          <w:b/>
        </w:rPr>
        <w:t>excl</w:t>
      </w:r>
      <w:proofErr w:type="spellEnd"/>
      <w:r w:rsidR="00CF6B72">
        <w:rPr>
          <w:b/>
        </w:rPr>
        <w:t xml:space="preserve"> the UK)</w:t>
      </w:r>
      <w:r w:rsidRPr="002825E8">
        <w:br/>
        <w:t>Austria; Belgium; Bulgaria; Croatia; Cyprus; Czech Republic; Denmark; Estonia; Finland; France; Germany; Greece; Hungary; Ireland; Italy; Latvia; Lithuania; Luxembourg; Malta; Netherlands; Poland; Portugal; Romania; Slovak Republic; Slovenia; Spain; Sweden.</w:t>
      </w:r>
    </w:p>
    <w:p w14:paraId="685ABAC0" w14:textId="41A1CAAA" w:rsidR="002825E8" w:rsidRPr="002825E8" w:rsidRDefault="002825E8" w:rsidP="00D628B9">
      <w:pPr>
        <w:tabs>
          <w:tab w:val="left" w:pos="1134"/>
        </w:tabs>
        <w:spacing w:after="160"/>
        <w:ind w:left="1134" w:hanging="1134"/>
      </w:pPr>
      <w:r w:rsidRPr="002825E8">
        <w:rPr>
          <w:b/>
        </w:rPr>
        <w:t>G20</w:t>
      </w:r>
      <w:r w:rsidRPr="002825E8">
        <w:tab/>
      </w:r>
      <w:r w:rsidRPr="002825E8">
        <w:rPr>
          <w:b/>
        </w:rPr>
        <w:t>Group of Twenty</w:t>
      </w:r>
      <w:r w:rsidRPr="002825E8">
        <w:br/>
        <w:t xml:space="preserve">Argentina; Australia; Brazil; Canada; China; European Union; France; Germany; India; Indonesia; Italy; Japan; Republic of Korea; Mexico; Russian Federation; Saudi Arabia; South Africa; </w:t>
      </w:r>
      <w:proofErr w:type="spellStart"/>
      <w:r w:rsidR="005801D3">
        <w:t>Turkiye</w:t>
      </w:r>
      <w:proofErr w:type="spellEnd"/>
      <w:r w:rsidRPr="002825E8">
        <w:t>; United Kingdom; United States.</w:t>
      </w:r>
    </w:p>
    <w:p w14:paraId="7BBB5759" w14:textId="57F3271B" w:rsidR="002825E8" w:rsidRPr="002825E8" w:rsidRDefault="002825E8" w:rsidP="002825E8">
      <w:pPr>
        <w:tabs>
          <w:tab w:val="left" w:pos="1134"/>
        </w:tabs>
        <w:ind w:left="1134" w:hanging="1134"/>
      </w:pPr>
      <w:r w:rsidRPr="002825E8">
        <w:rPr>
          <w:b/>
        </w:rPr>
        <w:t>OECD</w:t>
      </w:r>
      <w:r w:rsidRPr="002825E8">
        <w:rPr>
          <w:b/>
        </w:rPr>
        <w:tab/>
        <w:t>Organi</w:t>
      </w:r>
      <w:r w:rsidR="006367A2">
        <w:rPr>
          <w:b/>
        </w:rPr>
        <w:t>s</w:t>
      </w:r>
      <w:r w:rsidRPr="002825E8">
        <w:rPr>
          <w:b/>
        </w:rPr>
        <w:t>ation for Economic Cooperation and Development</w:t>
      </w:r>
      <w:r w:rsidRPr="002825E8">
        <w:br/>
        <w:t>Australia; Austria; Belgium; Canada; Chile;</w:t>
      </w:r>
      <w:r w:rsidR="00CF6B72">
        <w:t xml:space="preserve"> Colombia;</w:t>
      </w:r>
      <w:r w:rsidR="00521C84">
        <w:t xml:space="preserve"> Costa Rica;</w:t>
      </w:r>
      <w:r w:rsidRPr="002825E8">
        <w:t xml:space="preserve"> Czech Republic; Denmark; Estonia; Finland; France; Germany; Greece; Hungary; Iceland; Ireland; Israel; Italy; Japan; </w:t>
      </w:r>
      <w:r w:rsidR="00F62B9D">
        <w:t xml:space="preserve">Latvia; Lithuania; </w:t>
      </w:r>
      <w:r w:rsidRPr="002825E8">
        <w:t xml:space="preserve">Luxembourg; Mexico; Netherlands; New Zealand; Norway; Poland; Portugal; Republic of Korea; Slovak Republic; Slovenia; Spain; Sweden; Switzerland; </w:t>
      </w:r>
      <w:proofErr w:type="spellStart"/>
      <w:r w:rsidR="005801D3">
        <w:t>Turkiye</w:t>
      </w:r>
      <w:proofErr w:type="spellEnd"/>
      <w:r w:rsidRPr="002825E8">
        <w:t>; United Kingdom; United States.</w:t>
      </w:r>
    </w:p>
    <w:p w14:paraId="5D12FE58" w14:textId="77777777" w:rsidR="008E5270" w:rsidRPr="002825E8" w:rsidRDefault="008E5270" w:rsidP="002825E8"/>
    <w:p w14:paraId="3CB4707A" w14:textId="77777777" w:rsidR="00003DAC" w:rsidRPr="002825E8" w:rsidRDefault="00003DAC" w:rsidP="002825E8">
      <w:pPr>
        <w:sectPr w:rsidR="00003DAC" w:rsidRPr="002825E8" w:rsidSect="004F3F7A">
          <w:headerReference w:type="default" r:id="rId21"/>
          <w:pgSz w:w="11906" w:h="16838" w:code="9"/>
          <w:pgMar w:top="1985" w:right="1134" w:bottom="1701" w:left="1134" w:header="567" w:footer="567" w:gutter="0"/>
          <w:cols w:space="708"/>
          <w:titlePg/>
          <w:docGrid w:linePitch="360"/>
        </w:sectPr>
      </w:pPr>
    </w:p>
    <w:p w14:paraId="714BD17B" w14:textId="77777777" w:rsidR="00003DAC" w:rsidRPr="002F2839" w:rsidRDefault="00003DAC" w:rsidP="002F2839">
      <w:pPr>
        <w:pStyle w:val="Heading1"/>
      </w:pPr>
      <w:r w:rsidRPr="002F2839">
        <w:t xml:space="preserve">Appendix </w:t>
      </w:r>
      <w:r w:rsidR="002825E8" w:rsidRPr="002F2839">
        <w:t>C</w:t>
      </w:r>
      <w:r w:rsidRPr="002F2839">
        <w:t xml:space="preserve"> – Abbreviations and symbols used in all DFAT trade statistical publications</w:t>
      </w:r>
    </w:p>
    <w:p w14:paraId="04B061BC"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w:t>
      </w:r>
      <w:r w:rsidRPr="004F3F7A">
        <w:rPr>
          <w:rFonts w:asciiTheme="minorHAnsi" w:hAnsiTheme="minorHAnsi" w:cs="Arial"/>
          <w:color w:val="495965" w:themeColor="text2"/>
          <w:sz w:val="18"/>
          <w:szCs w:val="18"/>
        </w:rPr>
        <w:tab/>
        <w:t>not meaningful</w:t>
      </w:r>
    </w:p>
    <w:p w14:paraId="7DA21B1F"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$b</w:t>
      </w:r>
      <w:r w:rsidRPr="004F3F7A">
        <w:rPr>
          <w:rFonts w:asciiTheme="minorHAnsi" w:hAnsiTheme="minorHAnsi" w:cs="Arial"/>
          <w:color w:val="495965" w:themeColor="text2"/>
          <w:sz w:val="18"/>
          <w:szCs w:val="18"/>
        </w:rPr>
        <w:tab/>
        <w:t>$ billion</w:t>
      </w:r>
    </w:p>
    <w:p w14:paraId="4EF76C72"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$m</w:t>
      </w:r>
      <w:r w:rsidRPr="004F3F7A">
        <w:rPr>
          <w:rFonts w:asciiTheme="minorHAnsi" w:hAnsiTheme="minorHAnsi" w:cs="Arial"/>
          <w:color w:val="495965" w:themeColor="text2"/>
          <w:sz w:val="18"/>
          <w:szCs w:val="18"/>
        </w:rPr>
        <w:tab/>
        <w:t>$ million</w:t>
      </w:r>
    </w:p>
    <w:p w14:paraId="050838BE"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ABARES</w:t>
      </w:r>
      <w:r w:rsidRPr="004F3F7A">
        <w:rPr>
          <w:rFonts w:asciiTheme="minorHAnsi" w:hAnsiTheme="minorHAnsi" w:cs="Arial"/>
          <w:color w:val="495965" w:themeColor="text2"/>
          <w:sz w:val="18"/>
          <w:szCs w:val="18"/>
        </w:rPr>
        <w:tab/>
        <w:t>Australian Bureau of Agricultural &amp; Resource Economics &amp; Sciences</w:t>
      </w:r>
    </w:p>
    <w:p w14:paraId="27759702"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ABS</w:t>
      </w:r>
      <w:r w:rsidRPr="004F3F7A">
        <w:rPr>
          <w:rFonts w:asciiTheme="minorHAnsi" w:hAnsiTheme="minorHAnsi" w:cs="Arial"/>
          <w:color w:val="495965" w:themeColor="text2"/>
          <w:sz w:val="18"/>
          <w:szCs w:val="18"/>
        </w:rPr>
        <w:tab/>
        <w:t>Australian Bureau of Statistics</w:t>
      </w:r>
    </w:p>
    <w:p w14:paraId="652EF43A"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adp</w:t>
      </w:r>
      <w:proofErr w:type="spellEnd"/>
      <w:r w:rsidRPr="004F3F7A">
        <w:rPr>
          <w:rFonts w:asciiTheme="minorHAnsi" w:hAnsiTheme="minorHAnsi" w:cs="Arial"/>
          <w:color w:val="495965" w:themeColor="text2"/>
          <w:sz w:val="18"/>
          <w:szCs w:val="18"/>
        </w:rPr>
        <w:tab/>
        <w:t>automatic data processing</w:t>
      </w:r>
    </w:p>
    <w:p w14:paraId="555C405E"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agric</w:t>
      </w:r>
      <w:proofErr w:type="spellEnd"/>
      <w:r w:rsidRPr="004F3F7A">
        <w:rPr>
          <w:rFonts w:asciiTheme="minorHAnsi" w:hAnsiTheme="minorHAnsi" w:cs="Arial"/>
          <w:color w:val="495965" w:themeColor="text2"/>
          <w:sz w:val="18"/>
          <w:szCs w:val="18"/>
        </w:rPr>
        <w:tab/>
        <w:t>agricultural</w:t>
      </w:r>
    </w:p>
    <w:p w14:paraId="4F1E342F"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AHECC</w:t>
      </w:r>
      <w:r w:rsidRPr="004F3F7A">
        <w:rPr>
          <w:rFonts w:asciiTheme="minorHAnsi" w:hAnsiTheme="minorHAnsi" w:cs="Arial"/>
          <w:color w:val="495965" w:themeColor="text2"/>
          <w:sz w:val="18"/>
          <w:szCs w:val="18"/>
        </w:rPr>
        <w:tab/>
        <w:t>Australian Harmonized Export Commodity Classification</w:t>
      </w:r>
    </w:p>
    <w:p w14:paraId="54C4C757"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alum</w:t>
      </w:r>
      <w:r w:rsidRPr="004F3F7A">
        <w:rPr>
          <w:rFonts w:asciiTheme="minorHAnsi" w:hAnsiTheme="minorHAnsi" w:cs="Arial"/>
          <w:color w:val="495965" w:themeColor="text2"/>
          <w:sz w:val="18"/>
          <w:szCs w:val="18"/>
        </w:rPr>
        <w:tab/>
        <w:t>aluminium</w:t>
      </w:r>
    </w:p>
    <w:p w14:paraId="1C202D66"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ANZSIC06</w:t>
      </w:r>
      <w:r w:rsidRPr="004F3F7A">
        <w:rPr>
          <w:rFonts w:asciiTheme="minorHAnsi" w:hAnsiTheme="minorHAnsi" w:cs="Arial"/>
          <w:color w:val="495965" w:themeColor="text2"/>
          <w:sz w:val="18"/>
          <w:szCs w:val="18"/>
        </w:rPr>
        <w:tab/>
        <w:t>Australia and New Zealand Standard Industry Classification 2006</w:t>
      </w:r>
    </w:p>
    <w:p w14:paraId="197A5EE6"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APEC</w:t>
      </w:r>
      <w:r w:rsidRPr="004F3F7A">
        <w:rPr>
          <w:rFonts w:asciiTheme="minorHAnsi" w:hAnsiTheme="minorHAnsi" w:cs="Arial"/>
          <w:color w:val="495965" w:themeColor="text2"/>
          <w:sz w:val="18"/>
          <w:szCs w:val="18"/>
        </w:rPr>
        <w:tab/>
        <w:t>Asia Pacific Economic Cooperation</w:t>
      </w:r>
    </w:p>
    <w:p w14:paraId="069763EB"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bev</w:t>
      </w:r>
      <w:proofErr w:type="spellEnd"/>
      <w:r w:rsidRPr="004F3F7A">
        <w:rPr>
          <w:rFonts w:asciiTheme="minorHAnsi" w:hAnsiTheme="minorHAnsi" w:cs="Arial"/>
          <w:color w:val="495965" w:themeColor="text2"/>
          <w:sz w:val="18"/>
          <w:szCs w:val="18"/>
        </w:rPr>
        <w:tab/>
        <w:t>beverage</w:t>
      </w:r>
    </w:p>
    <w:p w14:paraId="78E0D0FC"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BOP</w:t>
      </w:r>
      <w:r w:rsidRPr="004F3F7A">
        <w:rPr>
          <w:rFonts w:asciiTheme="minorHAnsi" w:hAnsiTheme="minorHAnsi" w:cs="Arial"/>
          <w:color w:val="495965" w:themeColor="text2"/>
          <w:sz w:val="18"/>
          <w:szCs w:val="18"/>
        </w:rPr>
        <w:tab/>
        <w:t>Balance of Payments</w:t>
      </w:r>
    </w:p>
    <w:p w14:paraId="63BE509A"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BPM5</w:t>
      </w:r>
      <w:r w:rsidRPr="004F3F7A">
        <w:rPr>
          <w:rFonts w:asciiTheme="minorHAnsi" w:hAnsiTheme="minorHAnsi" w:cs="Arial"/>
          <w:color w:val="495965" w:themeColor="text2"/>
          <w:sz w:val="18"/>
          <w:szCs w:val="18"/>
        </w:rPr>
        <w:tab/>
        <w:t>IMF Balance of Payments and International Investment Position Manual 5</w:t>
      </w:r>
      <w:r w:rsidRPr="004F3F7A">
        <w:rPr>
          <w:rFonts w:asciiTheme="minorHAnsi" w:hAnsiTheme="minorHAnsi" w:cs="Arial"/>
          <w:color w:val="495965" w:themeColor="text2"/>
          <w:sz w:val="18"/>
          <w:szCs w:val="18"/>
          <w:vertAlign w:val="superscript"/>
        </w:rPr>
        <w:t>th</w:t>
      </w:r>
      <w:r w:rsidRPr="004F3F7A">
        <w:rPr>
          <w:rFonts w:asciiTheme="minorHAnsi" w:hAnsiTheme="minorHAnsi" w:cs="Arial"/>
          <w:color w:val="495965" w:themeColor="text2"/>
          <w:sz w:val="18"/>
          <w:szCs w:val="18"/>
        </w:rPr>
        <w:t xml:space="preserve"> Edition</w:t>
      </w:r>
    </w:p>
    <w:p w14:paraId="172703EE"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BPM6</w:t>
      </w:r>
      <w:r w:rsidRPr="004F3F7A">
        <w:rPr>
          <w:rFonts w:asciiTheme="minorHAnsi" w:hAnsiTheme="minorHAnsi" w:cs="Arial"/>
          <w:color w:val="495965" w:themeColor="text2"/>
          <w:sz w:val="18"/>
          <w:szCs w:val="18"/>
        </w:rPr>
        <w:tab/>
        <w:t>IMF Balance of Payments and International Investment Position Manual 6</w:t>
      </w:r>
      <w:r w:rsidRPr="004F3F7A">
        <w:rPr>
          <w:rFonts w:asciiTheme="minorHAnsi" w:hAnsiTheme="minorHAnsi" w:cs="Arial"/>
          <w:color w:val="495965" w:themeColor="text2"/>
          <w:sz w:val="18"/>
          <w:szCs w:val="18"/>
          <w:vertAlign w:val="superscript"/>
        </w:rPr>
        <w:t>th</w:t>
      </w:r>
      <w:r w:rsidRPr="004F3F7A">
        <w:rPr>
          <w:rFonts w:asciiTheme="minorHAnsi" w:hAnsiTheme="minorHAnsi" w:cs="Arial"/>
          <w:color w:val="495965" w:themeColor="text2"/>
          <w:sz w:val="18"/>
          <w:szCs w:val="18"/>
        </w:rPr>
        <w:t xml:space="preserve"> Edition</w:t>
      </w:r>
    </w:p>
    <w:p w14:paraId="4ECE8F16"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chem</w:t>
      </w:r>
      <w:r w:rsidRPr="004F3F7A">
        <w:rPr>
          <w:rFonts w:asciiTheme="minorHAnsi" w:hAnsiTheme="minorHAnsi" w:cs="Arial"/>
          <w:color w:val="495965" w:themeColor="text2"/>
          <w:sz w:val="18"/>
          <w:szCs w:val="18"/>
        </w:rPr>
        <w:tab/>
        <w:t>chemical</w:t>
      </w:r>
    </w:p>
    <w:p w14:paraId="65541FB9"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c.i.f.</w:t>
      </w:r>
      <w:r w:rsidRPr="004F3F7A">
        <w:rPr>
          <w:rFonts w:asciiTheme="minorHAnsi" w:hAnsiTheme="minorHAnsi" w:cs="Arial"/>
          <w:color w:val="495965" w:themeColor="text2"/>
          <w:sz w:val="18"/>
          <w:szCs w:val="18"/>
        </w:rPr>
        <w:tab/>
        <w:t xml:space="preserve">cost, </w:t>
      </w:r>
      <w:proofErr w:type="gramStart"/>
      <w:r w:rsidRPr="004F3F7A">
        <w:rPr>
          <w:rFonts w:asciiTheme="minorHAnsi" w:hAnsiTheme="minorHAnsi" w:cs="Arial"/>
          <w:color w:val="495965" w:themeColor="text2"/>
          <w:sz w:val="18"/>
          <w:szCs w:val="18"/>
        </w:rPr>
        <w:t>insurance</w:t>
      </w:r>
      <w:proofErr w:type="gramEnd"/>
      <w:r w:rsidRPr="004F3F7A">
        <w:rPr>
          <w:rFonts w:asciiTheme="minorHAnsi" w:hAnsiTheme="minorHAnsi" w:cs="Arial"/>
          <w:color w:val="495965" w:themeColor="text2"/>
          <w:sz w:val="18"/>
          <w:szCs w:val="18"/>
        </w:rPr>
        <w:t xml:space="preserve"> and freight</w:t>
      </w:r>
    </w:p>
    <w:p w14:paraId="6751E927"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comp</w:t>
      </w:r>
      <w:r w:rsidRPr="004F3F7A">
        <w:rPr>
          <w:rFonts w:asciiTheme="minorHAnsi" w:hAnsiTheme="minorHAnsi" w:cs="Arial"/>
          <w:color w:val="495965" w:themeColor="text2"/>
          <w:sz w:val="18"/>
          <w:szCs w:val="18"/>
        </w:rPr>
        <w:tab/>
        <w:t>compounds</w:t>
      </w:r>
    </w:p>
    <w:p w14:paraId="4C6A5B0D"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conc</w:t>
      </w:r>
      <w:proofErr w:type="spellEnd"/>
      <w:r w:rsidRPr="004F3F7A">
        <w:rPr>
          <w:rFonts w:asciiTheme="minorHAnsi" w:hAnsiTheme="minorHAnsi" w:cs="Arial"/>
          <w:color w:val="495965" w:themeColor="text2"/>
          <w:sz w:val="18"/>
          <w:szCs w:val="18"/>
        </w:rPr>
        <w:tab/>
        <w:t>concentrates</w:t>
      </w:r>
    </w:p>
    <w:p w14:paraId="2733F26B" w14:textId="77777777" w:rsidR="00003DAC" w:rsidRPr="004F3F7A" w:rsidRDefault="00003DAC" w:rsidP="00003DAC">
      <w:pPr>
        <w:pStyle w:val="DI"/>
        <w:tabs>
          <w:tab w:val="clear" w:pos="720"/>
          <w:tab w:val="clear" w:pos="1080"/>
          <w:tab w:val="right" w:pos="8789"/>
          <w:tab w:val="right" w:pos="8827"/>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confid</w:t>
      </w:r>
      <w:proofErr w:type="spellEnd"/>
      <w:r w:rsidRPr="004F3F7A">
        <w:rPr>
          <w:rFonts w:asciiTheme="minorHAnsi" w:hAnsiTheme="minorHAnsi" w:cs="Arial"/>
          <w:color w:val="495965" w:themeColor="text2"/>
          <w:sz w:val="18"/>
          <w:szCs w:val="18"/>
        </w:rPr>
        <w:tab/>
        <w:t>confidential</w:t>
      </w:r>
    </w:p>
    <w:p w14:paraId="0EE7AD8B" w14:textId="77777777" w:rsidR="00003DAC" w:rsidRPr="004F3F7A" w:rsidRDefault="00003DAC" w:rsidP="00003DAC">
      <w:pPr>
        <w:pStyle w:val="DI"/>
        <w:tabs>
          <w:tab w:val="clear" w:pos="720"/>
          <w:tab w:val="clear" w:pos="1080"/>
          <w:tab w:val="right" w:pos="8789"/>
          <w:tab w:val="right" w:pos="8827"/>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constr</w:t>
      </w:r>
      <w:proofErr w:type="spellEnd"/>
      <w:r w:rsidRPr="004F3F7A">
        <w:rPr>
          <w:rFonts w:asciiTheme="minorHAnsi" w:hAnsiTheme="minorHAnsi" w:cs="Arial"/>
          <w:color w:val="495965" w:themeColor="text2"/>
          <w:sz w:val="18"/>
          <w:szCs w:val="18"/>
        </w:rPr>
        <w:tab/>
        <w:t>construction</w:t>
      </w:r>
    </w:p>
    <w:p w14:paraId="68F96996" w14:textId="77777777" w:rsidR="00003DAC" w:rsidRPr="004F3F7A" w:rsidRDefault="00003DAC" w:rsidP="00003DAC">
      <w:pPr>
        <w:pStyle w:val="DI"/>
        <w:tabs>
          <w:tab w:val="clear" w:pos="720"/>
          <w:tab w:val="clear" w:pos="1080"/>
          <w:tab w:val="right" w:pos="8789"/>
          <w:tab w:val="right" w:pos="8827"/>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consump</w:t>
      </w:r>
      <w:proofErr w:type="spellEnd"/>
      <w:r w:rsidRPr="004F3F7A">
        <w:rPr>
          <w:rFonts w:asciiTheme="minorHAnsi" w:hAnsiTheme="minorHAnsi" w:cs="Arial"/>
          <w:color w:val="495965" w:themeColor="text2"/>
          <w:sz w:val="18"/>
          <w:szCs w:val="18"/>
        </w:rPr>
        <w:tab/>
        <w:t>consumption</w:t>
      </w:r>
    </w:p>
    <w:p w14:paraId="43549342" w14:textId="77777777" w:rsidR="00003DAC" w:rsidRPr="004F3F7A" w:rsidRDefault="00003DAC" w:rsidP="00003DAC">
      <w:pPr>
        <w:pStyle w:val="DI"/>
        <w:tabs>
          <w:tab w:val="clear" w:pos="720"/>
          <w:tab w:val="clear" w:pos="1080"/>
          <w:tab w:val="right" w:pos="8789"/>
          <w:tab w:val="right" w:pos="8827"/>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cont.</w:t>
      </w:r>
      <w:r w:rsidRPr="004F3F7A">
        <w:rPr>
          <w:rFonts w:asciiTheme="minorHAnsi" w:hAnsiTheme="minorHAnsi" w:cs="Arial"/>
          <w:color w:val="495965" w:themeColor="text2"/>
          <w:sz w:val="18"/>
          <w:szCs w:val="18"/>
        </w:rPr>
        <w:tab/>
        <w:t>continued</w:t>
      </w:r>
    </w:p>
    <w:p w14:paraId="1EA216CE" w14:textId="77777777" w:rsidR="00003DAC" w:rsidRPr="004F3F7A" w:rsidRDefault="00003DAC" w:rsidP="00003DAC">
      <w:pPr>
        <w:pStyle w:val="DI"/>
        <w:tabs>
          <w:tab w:val="clear" w:pos="720"/>
          <w:tab w:val="clear" w:pos="1080"/>
          <w:tab w:val="right" w:pos="8789"/>
          <w:tab w:val="right" w:pos="8827"/>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cool</w:t>
      </w:r>
      <w:r w:rsidRPr="004F3F7A">
        <w:rPr>
          <w:rFonts w:asciiTheme="minorHAnsi" w:hAnsiTheme="minorHAnsi" w:cs="Arial"/>
          <w:color w:val="495965" w:themeColor="text2"/>
          <w:sz w:val="18"/>
          <w:szCs w:val="18"/>
        </w:rPr>
        <w:tab/>
        <w:t>cooling</w:t>
      </w:r>
    </w:p>
    <w:p w14:paraId="4B51AFC8" w14:textId="77777777" w:rsidR="00003DAC" w:rsidRPr="004F3F7A" w:rsidRDefault="00003DAC" w:rsidP="00003DAC">
      <w:pPr>
        <w:pStyle w:val="DI"/>
        <w:tabs>
          <w:tab w:val="clear" w:pos="720"/>
          <w:tab w:val="clear" w:pos="1080"/>
          <w:tab w:val="right" w:pos="8789"/>
          <w:tab w:val="right" w:pos="8827"/>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Curr</w:t>
      </w:r>
      <w:proofErr w:type="spellEnd"/>
      <w:r w:rsidRPr="004F3F7A">
        <w:rPr>
          <w:rFonts w:asciiTheme="minorHAnsi" w:hAnsiTheme="minorHAnsi" w:cs="Arial"/>
          <w:color w:val="495965" w:themeColor="text2"/>
          <w:sz w:val="18"/>
          <w:szCs w:val="18"/>
        </w:rPr>
        <w:t xml:space="preserve"> </w:t>
      </w:r>
      <w:proofErr w:type="spellStart"/>
      <w:r w:rsidRPr="004F3F7A">
        <w:rPr>
          <w:rFonts w:asciiTheme="minorHAnsi" w:hAnsiTheme="minorHAnsi" w:cs="Arial"/>
          <w:color w:val="495965" w:themeColor="text2"/>
          <w:sz w:val="18"/>
          <w:szCs w:val="18"/>
        </w:rPr>
        <w:t>Acc</w:t>
      </w:r>
      <w:proofErr w:type="spellEnd"/>
      <w:r w:rsidRPr="004F3F7A">
        <w:rPr>
          <w:rFonts w:asciiTheme="minorHAnsi" w:hAnsiTheme="minorHAnsi" w:cs="Arial"/>
          <w:color w:val="495965" w:themeColor="text2"/>
          <w:sz w:val="18"/>
          <w:szCs w:val="18"/>
        </w:rPr>
        <w:tab/>
        <w:t>Current Account</w:t>
      </w:r>
    </w:p>
    <w:p w14:paraId="17D1686C" w14:textId="77777777" w:rsidR="00003DAC" w:rsidRPr="004F3F7A" w:rsidRDefault="00003DAC" w:rsidP="00003DAC">
      <w:pPr>
        <w:pStyle w:val="DI"/>
        <w:tabs>
          <w:tab w:val="clear" w:pos="720"/>
          <w:tab w:val="clear" w:pos="1080"/>
          <w:tab w:val="right" w:pos="8789"/>
          <w:tab w:val="right" w:pos="8827"/>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CVM</w:t>
      </w:r>
      <w:r w:rsidRPr="004F3F7A">
        <w:rPr>
          <w:rFonts w:asciiTheme="minorHAnsi" w:hAnsiTheme="minorHAnsi" w:cs="Arial"/>
          <w:color w:val="495965" w:themeColor="text2"/>
          <w:sz w:val="18"/>
          <w:szCs w:val="18"/>
        </w:rPr>
        <w:tab/>
        <w:t>chain volume measure</w:t>
      </w:r>
    </w:p>
    <w:p w14:paraId="579FA5C4" w14:textId="77777777" w:rsidR="00003DAC" w:rsidRPr="004F3F7A" w:rsidRDefault="00003DAC" w:rsidP="00003DAC">
      <w:pPr>
        <w:pStyle w:val="DI"/>
        <w:tabs>
          <w:tab w:val="clear" w:pos="720"/>
          <w:tab w:val="clear" w:pos="1080"/>
          <w:tab w:val="right" w:pos="8789"/>
          <w:tab w:val="right" w:pos="8827"/>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Dem</w:t>
      </w:r>
      <w:r w:rsidRPr="004F3F7A">
        <w:rPr>
          <w:rFonts w:asciiTheme="minorHAnsi" w:hAnsiTheme="minorHAnsi" w:cs="Arial"/>
          <w:color w:val="495965" w:themeColor="text2"/>
          <w:sz w:val="18"/>
          <w:szCs w:val="18"/>
        </w:rPr>
        <w:tab/>
        <w:t>Democratic</w:t>
      </w:r>
    </w:p>
    <w:p w14:paraId="22A72254" w14:textId="77777777" w:rsidR="00003DAC" w:rsidRPr="004F3F7A" w:rsidRDefault="00003DAC" w:rsidP="00003DAC">
      <w:pPr>
        <w:pStyle w:val="DI"/>
        <w:tabs>
          <w:tab w:val="clear" w:pos="720"/>
          <w:tab w:val="clear" w:pos="1080"/>
          <w:tab w:val="right" w:pos="8789"/>
          <w:tab w:val="right" w:pos="8827"/>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DET</w:t>
      </w:r>
      <w:r w:rsidRPr="004F3F7A">
        <w:rPr>
          <w:rFonts w:asciiTheme="minorHAnsi" w:hAnsiTheme="minorHAnsi" w:cs="Arial"/>
          <w:color w:val="495965" w:themeColor="text2"/>
          <w:sz w:val="18"/>
          <w:szCs w:val="18"/>
        </w:rPr>
        <w:tab/>
        <w:t>Department of Education &amp; Training</w:t>
      </w:r>
    </w:p>
    <w:p w14:paraId="00DCA6FE" w14:textId="77777777" w:rsidR="00003DAC" w:rsidRDefault="00003DAC" w:rsidP="00003DAC">
      <w:pPr>
        <w:pStyle w:val="DI"/>
        <w:tabs>
          <w:tab w:val="clear" w:pos="720"/>
          <w:tab w:val="clear" w:pos="1080"/>
          <w:tab w:val="right" w:pos="8789"/>
          <w:tab w:val="right" w:pos="8827"/>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DFAT</w:t>
      </w:r>
      <w:r w:rsidRPr="004F3F7A">
        <w:rPr>
          <w:rFonts w:asciiTheme="minorHAnsi" w:hAnsiTheme="minorHAnsi" w:cs="Arial"/>
          <w:color w:val="495965" w:themeColor="text2"/>
          <w:sz w:val="18"/>
          <w:szCs w:val="18"/>
        </w:rPr>
        <w:tab/>
        <w:t>Department of Foreign Affairs and Trade</w:t>
      </w:r>
    </w:p>
    <w:p w14:paraId="2BFF13C6" w14:textId="5EDCF466" w:rsidR="00D268ED" w:rsidRPr="004F3F7A" w:rsidRDefault="00D268ED" w:rsidP="00003DAC">
      <w:pPr>
        <w:pStyle w:val="DI"/>
        <w:tabs>
          <w:tab w:val="clear" w:pos="720"/>
          <w:tab w:val="clear" w:pos="1080"/>
          <w:tab w:val="right" w:pos="8789"/>
          <w:tab w:val="right" w:pos="8827"/>
        </w:tabs>
        <w:spacing w:after="40" w:line="240" w:lineRule="exact"/>
        <w:ind w:left="851"/>
        <w:rPr>
          <w:rFonts w:asciiTheme="minorHAnsi" w:hAnsiTheme="minorHAnsi" w:cs="Arial"/>
          <w:color w:val="495965" w:themeColor="text2"/>
          <w:sz w:val="18"/>
          <w:szCs w:val="18"/>
        </w:rPr>
      </w:pPr>
      <w:r>
        <w:rPr>
          <w:rFonts w:asciiTheme="minorHAnsi" w:hAnsiTheme="minorHAnsi" w:cs="Arial"/>
          <w:color w:val="495965" w:themeColor="text2"/>
          <w:sz w:val="18"/>
          <w:szCs w:val="18"/>
        </w:rPr>
        <w:t>HA</w:t>
      </w:r>
      <w:r>
        <w:rPr>
          <w:rFonts w:asciiTheme="minorHAnsi" w:hAnsiTheme="minorHAnsi" w:cs="Arial"/>
          <w:color w:val="495965" w:themeColor="text2"/>
          <w:sz w:val="18"/>
          <w:szCs w:val="18"/>
        </w:rPr>
        <w:tab/>
        <w:t>Home Affairs</w:t>
      </w:r>
    </w:p>
    <w:p w14:paraId="73A660EE" w14:textId="77777777" w:rsidR="00003DAC" w:rsidRPr="004F3F7A" w:rsidRDefault="00003DAC" w:rsidP="00003DAC">
      <w:pPr>
        <w:pStyle w:val="DI"/>
        <w:tabs>
          <w:tab w:val="clear" w:pos="720"/>
          <w:tab w:val="clear" w:pos="1080"/>
          <w:tab w:val="right" w:pos="8789"/>
          <w:tab w:val="right" w:pos="8827"/>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DIIS</w:t>
      </w:r>
      <w:r w:rsidRPr="004F3F7A">
        <w:rPr>
          <w:rFonts w:asciiTheme="minorHAnsi" w:hAnsiTheme="minorHAnsi" w:cs="Arial"/>
          <w:color w:val="495965" w:themeColor="text2"/>
          <w:sz w:val="18"/>
          <w:szCs w:val="18"/>
        </w:rPr>
        <w:tab/>
        <w:t>Department of Industry, Innovation &amp; Science</w:t>
      </w:r>
    </w:p>
    <w:p w14:paraId="50E1732C" w14:textId="77777777" w:rsidR="00003DAC" w:rsidRPr="004F3F7A" w:rsidRDefault="00003DAC" w:rsidP="00003DAC">
      <w:pPr>
        <w:pStyle w:val="DI"/>
        <w:tabs>
          <w:tab w:val="clear" w:pos="720"/>
          <w:tab w:val="clear" w:pos="1080"/>
          <w:tab w:val="right" w:pos="8789"/>
          <w:tab w:val="right" w:pos="8827"/>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distrib</w:t>
      </w:r>
      <w:proofErr w:type="spellEnd"/>
      <w:r w:rsidRPr="004F3F7A">
        <w:rPr>
          <w:rFonts w:asciiTheme="minorHAnsi" w:hAnsiTheme="minorHAnsi" w:cs="Arial"/>
          <w:color w:val="495965" w:themeColor="text2"/>
          <w:sz w:val="18"/>
          <w:szCs w:val="18"/>
        </w:rPr>
        <w:tab/>
        <w:t>distributing</w:t>
      </w:r>
    </w:p>
    <w:p w14:paraId="740C4602" w14:textId="77777777" w:rsidR="00003DAC" w:rsidRPr="004F3F7A" w:rsidRDefault="00003DAC" w:rsidP="00003DAC">
      <w:pPr>
        <w:pStyle w:val="DI"/>
        <w:tabs>
          <w:tab w:val="clear" w:pos="720"/>
          <w:tab w:val="clear" w:pos="1080"/>
          <w:tab w:val="right" w:pos="8789"/>
          <w:tab w:val="right" w:pos="8827"/>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EBOP</w:t>
      </w:r>
      <w:r w:rsidRPr="004F3F7A">
        <w:rPr>
          <w:rFonts w:asciiTheme="minorHAnsi" w:hAnsiTheme="minorHAnsi" w:cs="Arial"/>
          <w:color w:val="495965" w:themeColor="text2"/>
          <w:sz w:val="18"/>
          <w:szCs w:val="18"/>
        </w:rPr>
        <w:tab/>
        <w:t>The ABS Extended Balance of Payments services classification</w:t>
      </w:r>
    </w:p>
    <w:p w14:paraId="15E6B191"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elec</w:t>
      </w:r>
      <w:proofErr w:type="spellEnd"/>
      <w:r w:rsidRPr="004F3F7A">
        <w:rPr>
          <w:rFonts w:asciiTheme="minorHAnsi" w:hAnsiTheme="minorHAnsi" w:cs="Arial"/>
          <w:color w:val="495965" w:themeColor="text2"/>
          <w:sz w:val="18"/>
          <w:szCs w:val="18"/>
        </w:rPr>
        <w:tab/>
        <w:t>electric, electrical</w:t>
      </w:r>
    </w:p>
    <w:p w14:paraId="4E36BE73"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elem</w:t>
      </w:r>
      <w:proofErr w:type="spellEnd"/>
      <w:r w:rsidRPr="004F3F7A">
        <w:rPr>
          <w:rFonts w:asciiTheme="minorHAnsi" w:hAnsiTheme="minorHAnsi" w:cs="Arial"/>
          <w:color w:val="495965" w:themeColor="text2"/>
          <w:sz w:val="18"/>
          <w:szCs w:val="18"/>
        </w:rPr>
        <w:tab/>
        <w:t>elements</w:t>
      </w:r>
    </w:p>
    <w:p w14:paraId="25351327"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ELICOS</w:t>
      </w:r>
      <w:r w:rsidRPr="004F3F7A">
        <w:rPr>
          <w:rFonts w:asciiTheme="minorHAnsi" w:hAnsiTheme="minorHAnsi" w:cs="Arial"/>
          <w:color w:val="495965" w:themeColor="text2"/>
          <w:sz w:val="18"/>
          <w:szCs w:val="18"/>
        </w:rPr>
        <w:tab/>
        <w:t>English Language Intensive Courses for Overseas Students</w:t>
      </w:r>
    </w:p>
    <w:p w14:paraId="002C7CB0"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eng</w:t>
      </w:r>
      <w:proofErr w:type="spellEnd"/>
      <w:r w:rsidRPr="004F3F7A">
        <w:rPr>
          <w:rFonts w:asciiTheme="minorHAnsi" w:hAnsiTheme="minorHAnsi" w:cs="Arial"/>
          <w:color w:val="495965" w:themeColor="text2"/>
          <w:sz w:val="18"/>
          <w:szCs w:val="18"/>
        </w:rPr>
        <w:tab/>
        <w:t>engineering</w:t>
      </w:r>
    </w:p>
    <w:p w14:paraId="45B82449"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equip</w:t>
      </w:r>
      <w:r w:rsidRPr="004F3F7A">
        <w:rPr>
          <w:rFonts w:asciiTheme="minorHAnsi" w:hAnsiTheme="minorHAnsi" w:cs="Arial"/>
          <w:color w:val="495965" w:themeColor="text2"/>
          <w:sz w:val="18"/>
          <w:szCs w:val="18"/>
        </w:rPr>
        <w:tab/>
        <w:t>equipment</w:t>
      </w:r>
    </w:p>
    <w:p w14:paraId="4454CEC6"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etc</w:t>
      </w:r>
      <w:r w:rsidRPr="004F3F7A">
        <w:rPr>
          <w:rFonts w:asciiTheme="minorHAnsi" w:hAnsiTheme="minorHAnsi" w:cs="Arial"/>
          <w:color w:val="495965" w:themeColor="text2"/>
          <w:sz w:val="18"/>
          <w:szCs w:val="18"/>
        </w:rPr>
        <w:tab/>
        <w:t>etcetera</w:t>
      </w:r>
    </w:p>
    <w:p w14:paraId="048D6A62"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ETM</w:t>
      </w:r>
      <w:r w:rsidRPr="004F3F7A">
        <w:rPr>
          <w:rFonts w:asciiTheme="minorHAnsi" w:hAnsiTheme="minorHAnsi" w:cs="Arial"/>
          <w:color w:val="495965" w:themeColor="text2"/>
          <w:sz w:val="18"/>
          <w:szCs w:val="18"/>
        </w:rPr>
        <w:tab/>
        <w:t>Elaborately transformed manufactures</w:t>
      </w:r>
    </w:p>
    <w:p w14:paraId="4036ED05"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EU</w:t>
      </w:r>
      <w:r w:rsidRPr="004F3F7A">
        <w:rPr>
          <w:rFonts w:asciiTheme="minorHAnsi" w:hAnsiTheme="minorHAnsi" w:cs="Arial"/>
          <w:color w:val="495965" w:themeColor="text2"/>
          <w:sz w:val="18"/>
          <w:szCs w:val="18"/>
        </w:rPr>
        <w:tab/>
        <w:t>European Union</w:t>
      </w:r>
    </w:p>
    <w:p w14:paraId="162FB43B"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excl</w:t>
      </w:r>
      <w:proofErr w:type="spellEnd"/>
      <w:r w:rsidRPr="004F3F7A">
        <w:rPr>
          <w:rFonts w:asciiTheme="minorHAnsi" w:hAnsiTheme="minorHAnsi" w:cs="Arial"/>
          <w:color w:val="495965" w:themeColor="text2"/>
          <w:sz w:val="18"/>
          <w:szCs w:val="18"/>
        </w:rPr>
        <w:tab/>
        <w:t>excluding</w:t>
      </w:r>
    </w:p>
    <w:p w14:paraId="3F2205FD"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f.c.f</w:t>
      </w:r>
      <w:proofErr w:type="spellEnd"/>
      <w:r w:rsidRPr="004F3F7A">
        <w:rPr>
          <w:rFonts w:asciiTheme="minorHAnsi" w:hAnsiTheme="minorHAnsi" w:cs="Arial"/>
          <w:color w:val="495965" w:themeColor="text2"/>
          <w:sz w:val="18"/>
          <w:szCs w:val="18"/>
        </w:rPr>
        <w:t>.</w:t>
      </w:r>
      <w:r w:rsidRPr="004F3F7A">
        <w:rPr>
          <w:rFonts w:asciiTheme="minorHAnsi" w:hAnsiTheme="minorHAnsi" w:cs="Arial"/>
          <w:color w:val="495965" w:themeColor="text2"/>
          <w:sz w:val="18"/>
          <w:szCs w:val="18"/>
        </w:rPr>
        <w:tab/>
        <w:t xml:space="preserve">fresh, </w:t>
      </w:r>
      <w:proofErr w:type="gramStart"/>
      <w:r w:rsidRPr="004F3F7A">
        <w:rPr>
          <w:rFonts w:asciiTheme="minorHAnsi" w:hAnsiTheme="minorHAnsi" w:cs="Arial"/>
          <w:color w:val="495965" w:themeColor="text2"/>
          <w:sz w:val="18"/>
          <w:szCs w:val="18"/>
        </w:rPr>
        <w:t>chilled</w:t>
      </w:r>
      <w:proofErr w:type="gramEnd"/>
      <w:r w:rsidRPr="004F3F7A">
        <w:rPr>
          <w:rFonts w:asciiTheme="minorHAnsi" w:hAnsiTheme="minorHAnsi" w:cs="Arial"/>
          <w:color w:val="495965" w:themeColor="text2"/>
          <w:sz w:val="18"/>
          <w:szCs w:val="18"/>
        </w:rPr>
        <w:t xml:space="preserve"> or frozen</w:t>
      </w:r>
    </w:p>
    <w:p w14:paraId="174C8A7D"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Fed</w:t>
      </w:r>
      <w:r w:rsidRPr="004F3F7A">
        <w:rPr>
          <w:rFonts w:asciiTheme="minorHAnsi" w:hAnsiTheme="minorHAnsi" w:cs="Arial"/>
          <w:color w:val="495965" w:themeColor="text2"/>
          <w:sz w:val="18"/>
          <w:szCs w:val="18"/>
        </w:rPr>
        <w:tab/>
        <w:t>Federation</w:t>
      </w:r>
    </w:p>
    <w:p w14:paraId="6E698D23"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ferr</w:t>
      </w:r>
      <w:proofErr w:type="spellEnd"/>
      <w:r w:rsidRPr="004F3F7A">
        <w:rPr>
          <w:rFonts w:asciiTheme="minorHAnsi" w:hAnsiTheme="minorHAnsi" w:cs="Arial"/>
          <w:color w:val="495965" w:themeColor="text2"/>
          <w:sz w:val="18"/>
          <w:szCs w:val="18"/>
        </w:rPr>
        <w:tab/>
        <w:t>ferrous</w:t>
      </w:r>
    </w:p>
    <w:p w14:paraId="62586C9A"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FISIM</w:t>
      </w:r>
      <w:r w:rsidRPr="004F3F7A">
        <w:rPr>
          <w:rFonts w:asciiTheme="minorHAnsi" w:hAnsiTheme="minorHAnsi" w:cs="Arial"/>
          <w:color w:val="495965" w:themeColor="text2"/>
          <w:sz w:val="18"/>
          <w:szCs w:val="18"/>
        </w:rPr>
        <w:tab/>
        <w:t>Financial Intermediation Services Indirectly Measured</w:t>
      </w:r>
    </w:p>
    <w:p w14:paraId="754B3791"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f.o.b.</w:t>
      </w:r>
      <w:r w:rsidRPr="004F3F7A">
        <w:rPr>
          <w:rFonts w:asciiTheme="minorHAnsi" w:hAnsiTheme="minorHAnsi" w:cs="Arial"/>
          <w:color w:val="495965" w:themeColor="text2"/>
          <w:sz w:val="18"/>
          <w:szCs w:val="18"/>
        </w:rPr>
        <w:tab/>
        <w:t>free on board</w:t>
      </w:r>
    </w:p>
    <w:p w14:paraId="619FBDE5"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GDP</w:t>
      </w:r>
      <w:r w:rsidRPr="004F3F7A">
        <w:rPr>
          <w:rFonts w:asciiTheme="minorHAnsi" w:hAnsiTheme="minorHAnsi" w:cs="Arial"/>
          <w:color w:val="495965" w:themeColor="text2"/>
          <w:sz w:val="18"/>
          <w:szCs w:val="18"/>
        </w:rPr>
        <w:tab/>
        <w:t>Gross Domestic Product</w:t>
      </w:r>
    </w:p>
    <w:p w14:paraId="4844DCB9"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hand</w:t>
      </w:r>
      <w:r w:rsidRPr="004F3F7A">
        <w:rPr>
          <w:rFonts w:asciiTheme="minorHAnsi" w:hAnsiTheme="minorHAnsi" w:cs="Arial"/>
          <w:color w:val="495965" w:themeColor="text2"/>
          <w:sz w:val="18"/>
          <w:szCs w:val="18"/>
        </w:rPr>
        <w:tab/>
        <w:t>handling</w:t>
      </w:r>
    </w:p>
    <w:p w14:paraId="14D47994"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HTISC</w:t>
      </w:r>
      <w:r w:rsidRPr="004F3F7A">
        <w:rPr>
          <w:rFonts w:asciiTheme="minorHAnsi" w:hAnsiTheme="minorHAnsi" w:cs="Arial"/>
          <w:color w:val="495965" w:themeColor="text2"/>
          <w:sz w:val="18"/>
          <w:szCs w:val="18"/>
        </w:rPr>
        <w:tab/>
        <w:t>Harmonized Tariff Item Statistical Code</w:t>
      </w:r>
    </w:p>
    <w:p w14:paraId="3648EA79"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HS</w:t>
      </w:r>
      <w:r w:rsidRPr="004F3F7A">
        <w:rPr>
          <w:rFonts w:asciiTheme="minorHAnsi" w:hAnsiTheme="minorHAnsi" w:cs="Arial"/>
          <w:color w:val="495965" w:themeColor="text2"/>
          <w:sz w:val="18"/>
          <w:szCs w:val="18"/>
        </w:rPr>
        <w:tab/>
        <w:t>Harmonized Commodity Description and Coding System</w:t>
      </w:r>
    </w:p>
    <w:p w14:paraId="2657F747"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ICT</w:t>
      </w:r>
      <w:r w:rsidRPr="004F3F7A">
        <w:rPr>
          <w:rFonts w:asciiTheme="minorHAnsi" w:hAnsiTheme="minorHAnsi" w:cs="Arial"/>
          <w:color w:val="495965" w:themeColor="text2"/>
          <w:sz w:val="18"/>
          <w:szCs w:val="18"/>
        </w:rPr>
        <w:tab/>
        <w:t>Information, Communication and Technology</w:t>
      </w:r>
    </w:p>
    <w:p w14:paraId="17B63809"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IIP</w:t>
      </w:r>
      <w:r w:rsidRPr="004F3F7A">
        <w:rPr>
          <w:rFonts w:asciiTheme="minorHAnsi" w:hAnsiTheme="minorHAnsi" w:cs="Arial"/>
          <w:color w:val="495965" w:themeColor="text2"/>
          <w:sz w:val="18"/>
          <w:szCs w:val="18"/>
        </w:rPr>
        <w:tab/>
        <w:t>International Investment Position</w:t>
      </w:r>
    </w:p>
    <w:p w14:paraId="4490718F"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IIS (ABS)</w:t>
      </w:r>
      <w:r w:rsidRPr="004F3F7A">
        <w:rPr>
          <w:rFonts w:asciiTheme="minorHAnsi" w:hAnsiTheme="minorHAnsi" w:cs="Arial"/>
          <w:color w:val="495965" w:themeColor="text2"/>
          <w:sz w:val="18"/>
          <w:szCs w:val="18"/>
        </w:rPr>
        <w:tab/>
        <w:t>international Investment Survey</w:t>
      </w:r>
    </w:p>
    <w:p w14:paraId="74614EF1"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IMF</w:t>
      </w:r>
      <w:r w:rsidRPr="004F3F7A">
        <w:rPr>
          <w:rFonts w:asciiTheme="minorHAnsi" w:hAnsiTheme="minorHAnsi" w:cs="Arial"/>
          <w:color w:val="495965" w:themeColor="text2"/>
          <w:sz w:val="18"/>
          <w:szCs w:val="18"/>
        </w:rPr>
        <w:tab/>
        <w:t>International Monetary Fund</w:t>
      </w:r>
    </w:p>
    <w:p w14:paraId="541E6524"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IMF IFS</w:t>
      </w:r>
      <w:r w:rsidRPr="004F3F7A">
        <w:rPr>
          <w:rFonts w:asciiTheme="minorHAnsi" w:hAnsiTheme="minorHAnsi" w:cs="Arial"/>
          <w:color w:val="495965" w:themeColor="text2"/>
          <w:sz w:val="18"/>
          <w:szCs w:val="18"/>
        </w:rPr>
        <w:tab/>
        <w:t>International Monetary Fund, International Financial Statistics</w:t>
      </w:r>
    </w:p>
    <w:p w14:paraId="2D1AFE01"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IMF WEO</w:t>
      </w:r>
      <w:r w:rsidRPr="004F3F7A">
        <w:rPr>
          <w:rFonts w:asciiTheme="minorHAnsi" w:hAnsiTheme="minorHAnsi" w:cs="Arial"/>
          <w:color w:val="495965" w:themeColor="text2"/>
          <w:sz w:val="18"/>
          <w:szCs w:val="18"/>
        </w:rPr>
        <w:tab/>
        <w:t>International Monetary Fund, World Economic Outlook</w:t>
      </w:r>
    </w:p>
    <w:p w14:paraId="7F8F43BA"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incl</w:t>
      </w:r>
      <w:proofErr w:type="spellEnd"/>
      <w:r w:rsidRPr="004F3F7A">
        <w:rPr>
          <w:rFonts w:asciiTheme="minorHAnsi" w:hAnsiTheme="minorHAnsi" w:cs="Arial"/>
          <w:color w:val="495965" w:themeColor="text2"/>
          <w:sz w:val="18"/>
          <w:szCs w:val="18"/>
        </w:rPr>
        <w:tab/>
        <w:t>including</w:t>
      </w:r>
    </w:p>
    <w:p w14:paraId="36262ED5"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Ind</w:t>
      </w:r>
      <w:r w:rsidRPr="004F3F7A">
        <w:rPr>
          <w:rFonts w:asciiTheme="minorHAnsi" w:hAnsiTheme="minorHAnsi" w:cs="Arial"/>
          <w:color w:val="495965" w:themeColor="text2"/>
          <w:sz w:val="18"/>
          <w:szCs w:val="18"/>
        </w:rPr>
        <w:tab/>
        <w:t>Independent</w:t>
      </w:r>
    </w:p>
    <w:p w14:paraId="71DF6962"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IP</w:t>
      </w:r>
      <w:r w:rsidRPr="004F3F7A">
        <w:rPr>
          <w:rFonts w:asciiTheme="minorHAnsi" w:hAnsiTheme="minorHAnsi" w:cs="Arial"/>
          <w:color w:val="495965" w:themeColor="text2"/>
          <w:sz w:val="18"/>
          <w:szCs w:val="18"/>
        </w:rPr>
        <w:tab/>
        <w:t>Intellectual property</w:t>
      </w:r>
    </w:p>
    <w:p w14:paraId="22DAC3CC"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Is</w:t>
      </w:r>
      <w:r w:rsidRPr="004F3F7A">
        <w:rPr>
          <w:rFonts w:asciiTheme="minorHAnsi" w:hAnsiTheme="minorHAnsi" w:cs="Arial"/>
          <w:color w:val="495965" w:themeColor="text2"/>
          <w:sz w:val="18"/>
          <w:szCs w:val="18"/>
        </w:rPr>
        <w:tab/>
        <w:t>Island/s</w:t>
      </w:r>
    </w:p>
    <w:p w14:paraId="3D9631DD"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instr</w:t>
      </w:r>
      <w:proofErr w:type="spellEnd"/>
      <w:r w:rsidRPr="004F3F7A">
        <w:rPr>
          <w:rFonts w:asciiTheme="minorHAnsi" w:hAnsiTheme="minorHAnsi" w:cs="Arial"/>
          <w:color w:val="495965" w:themeColor="text2"/>
          <w:sz w:val="18"/>
          <w:szCs w:val="18"/>
        </w:rPr>
        <w:tab/>
        <w:t>instruments</w:t>
      </w:r>
    </w:p>
    <w:p w14:paraId="4603D36F"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insul</w:t>
      </w:r>
      <w:proofErr w:type="spellEnd"/>
      <w:r w:rsidRPr="004F3F7A">
        <w:rPr>
          <w:rFonts w:asciiTheme="minorHAnsi" w:hAnsiTheme="minorHAnsi" w:cs="Arial"/>
          <w:color w:val="495965" w:themeColor="text2"/>
          <w:sz w:val="18"/>
          <w:szCs w:val="18"/>
        </w:rPr>
        <w:tab/>
        <w:t>insulated</w:t>
      </w:r>
    </w:p>
    <w:p w14:paraId="1BD33599"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interm</w:t>
      </w:r>
      <w:proofErr w:type="spellEnd"/>
      <w:r w:rsidRPr="004F3F7A">
        <w:rPr>
          <w:rFonts w:asciiTheme="minorHAnsi" w:hAnsiTheme="minorHAnsi" w:cs="Arial"/>
          <w:color w:val="495965" w:themeColor="text2"/>
          <w:sz w:val="18"/>
          <w:szCs w:val="18"/>
        </w:rPr>
        <w:tab/>
        <w:t>intermediate</w:t>
      </w:r>
    </w:p>
    <w:p w14:paraId="10BBF41E"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Int’l Waters</w:t>
      </w:r>
      <w:r w:rsidRPr="004F3F7A">
        <w:rPr>
          <w:rFonts w:asciiTheme="minorHAnsi" w:hAnsiTheme="minorHAnsi" w:cs="Arial"/>
          <w:color w:val="495965" w:themeColor="text2"/>
          <w:sz w:val="18"/>
          <w:szCs w:val="18"/>
        </w:rPr>
        <w:tab/>
        <w:t>International Waters</w:t>
      </w:r>
    </w:p>
    <w:p w14:paraId="1590EBF5"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IPD</w:t>
      </w:r>
      <w:r w:rsidRPr="004F3F7A">
        <w:rPr>
          <w:rFonts w:asciiTheme="minorHAnsi" w:hAnsiTheme="minorHAnsi" w:cs="Arial"/>
          <w:color w:val="495965" w:themeColor="text2"/>
          <w:sz w:val="18"/>
          <w:szCs w:val="18"/>
        </w:rPr>
        <w:tab/>
        <w:t>implicit price deflator</w:t>
      </w:r>
    </w:p>
    <w:p w14:paraId="73B8CD4C"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IVS</w:t>
      </w:r>
      <w:r w:rsidRPr="004F3F7A">
        <w:rPr>
          <w:rFonts w:asciiTheme="minorHAnsi" w:hAnsiTheme="minorHAnsi" w:cs="Arial"/>
          <w:color w:val="495965" w:themeColor="text2"/>
          <w:sz w:val="18"/>
          <w:szCs w:val="18"/>
        </w:rPr>
        <w:tab/>
        <w:t>International Visitors Survey</w:t>
      </w:r>
    </w:p>
    <w:p w14:paraId="13A8DEC3"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mach</w:t>
      </w:r>
      <w:proofErr w:type="spellEnd"/>
      <w:r w:rsidRPr="004F3F7A">
        <w:rPr>
          <w:rFonts w:asciiTheme="minorHAnsi" w:hAnsiTheme="minorHAnsi" w:cs="Arial"/>
          <w:color w:val="495965" w:themeColor="text2"/>
          <w:sz w:val="18"/>
          <w:szCs w:val="18"/>
        </w:rPr>
        <w:tab/>
        <w:t>machinery, machines</w:t>
      </w:r>
    </w:p>
    <w:p w14:paraId="5076A5F2"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manuf</w:t>
      </w:r>
      <w:proofErr w:type="spellEnd"/>
      <w:r w:rsidRPr="004F3F7A">
        <w:rPr>
          <w:rFonts w:asciiTheme="minorHAnsi" w:hAnsiTheme="minorHAnsi" w:cs="Arial"/>
          <w:color w:val="495965" w:themeColor="text2"/>
          <w:sz w:val="18"/>
          <w:szCs w:val="18"/>
        </w:rPr>
        <w:tab/>
        <w:t>manufactured, manufactures</w:t>
      </w:r>
    </w:p>
    <w:p w14:paraId="72C91D36"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medic</w:t>
      </w:r>
      <w:r w:rsidRPr="004F3F7A">
        <w:rPr>
          <w:rFonts w:asciiTheme="minorHAnsi" w:hAnsiTheme="minorHAnsi" w:cs="Arial"/>
          <w:color w:val="495965" w:themeColor="text2"/>
          <w:sz w:val="18"/>
          <w:szCs w:val="18"/>
        </w:rPr>
        <w:tab/>
        <w:t>medicaments</w:t>
      </w:r>
    </w:p>
    <w:p w14:paraId="28729AD4"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misc</w:t>
      </w:r>
      <w:proofErr w:type="spellEnd"/>
      <w:r w:rsidRPr="004F3F7A">
        <w:rPr>
          <w:rFonts w:asciiTheme="minorHAnsi" w:hAnsiTheme="minorHAnsi" w:cs="Arial"/>
          <w:color w:val="495965" w:themeColor="text2"/>
          <w:sz w:val="18"/>
          <w:szCs w:val="18"/>
        </w:rPr>
        <w:tab/>
        <w:t>miscellaneous</w:t>
      </w:r>
    </w:p>
    <w:p w14:paraId="4FAA7462"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mmf</w:t>
      </w:r>
      <w:proofErr w:type="spellEnd"/>
      <w:r w:rsidRPr="004F3F7A">
        <w:rPr>
          <w:rFonts w:asciiTheme="minorHAnsi" w:hAnsiTheme="minorHAnsi" w:cs="Arial"/>
          <w:color w:val="495965" w:themeColor="text2"/>
          <w:sz w:val="18"/>
          <w:szCs w:val="18"/>
        </w:rPr>
        <w:tab/>
        <w:t>man-made fibres</w:t>
      </w:r>
    </w:p>
    <w:p w14:paraId="593FA460"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MSITS</w:t>
      </w:r>
      <w:r w:rsidRPr="004F3F7A">
        <w:rPr>
          <w:rFonts w:asciiTheme="minorHAnsi" w:hAnsiTheme="minorHAnsi" w:cs="Arial"/>
          <w:color w:val="495965" w:themeColor="text2"/>
          <w:sz w:val="18"/>
          <w:szCs w:val="18"/>
        </w:rPr>
        <w:tab/>
        <w:t>Manual on Statistics of International Trade in Services</w:t>
      </w:r>
    </w:p>
    <w:p w14:paraId="7991C95E"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na</w:t>
      </w:r>
      <w:proofErr w:type="spellEnd"/>
      <w:r w:rsidRPr="004F3F7A">
        <w:rPr>
          <w:rFonts w:asciiTheme="minorHAnsi" w:hAnsiTheme="minorHAnsi" w:cs="Arial"/>
          <w:color w:val="495965" w:themeColor="text2"/>
          <w:sz w:val="18"/>
          <w:szCs w:val="18"/>
        </w:rPr>
        <w:tab/>
        <w:t>not available</w:t>
      </w:r>
    </w:p>
    <w:p w14:paraId="68E71AD3"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ncd</w:t>
      </w:r>
      <w:proofErr w:type="spellEnd"/>
      <w:r w:rsidRPr="004F3F7A">
        <w:rPr>
          <w:rFonts w:asciiTheme="minorHAnsi" w:hAnsiTheme="minorHAnsi" w:cs="Arial"/>
          <w:color w:val="495965" w:themeColor="text2"/>
          <w:sz w:val="18"/>
          <w:szCs w:val="18"/>
        </w:rPr>
        <w:tab/>
        <w:t>no country details</w:t>
      </w:r>
    </w:p>
    <w:p w14:paraId="04FCFE47"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nec</w:t>
      </w:r>
      <w:proofErr w:type="spellEnd"/>
      <w:r w:rsidRPr="004F3F7A">
        <w:rPr>
          <w:rFonts w:asciiTheme="minorHAnsi" w:hAnsiTheme="minorHAnsi" w:cs="Arial"/>
          <w:color w:val="495965" w:themeColor="text2"/>
          <w:sz w:val="18"/>
          <w:szCs w:val="18"/>
        </w:rPr>
        <w:tab/>
        <w:t>not elsewhere classified</w:t>
      </w:r>
    </w:p>
    <w:p w14:paraId="78B3934D"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nei</w:t>
      </w:r>
      <w:proofErr w:type="spellEnd"/>
      <w:r w:rsidRPr="004F3F7A">
        <w:rPr>
          <w:rFonts w:asciiTheme="minorHAnsi" w:hAnsiTheme="minorHAnsi" w:cs="Arial"/>
          <w:color w:val="495965" w:themeColor="text2"/>
          <w:sz w:val="18"/>
          <w:szCs w:val="18"/>
        </w:rPr>
        <w:tab/>
        <w:t>not elsewhere indicated</w:t>
      </w:r>
    </w:p>
    <w:p w14:paraId="1C26E2F1"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nfd</w:t>
      </w:r>
      <w:proofErr w:type="spellEnd"/>
      <w:r w:rsidRPr="004F3F7A">
        <w:rPr>
          <w:rFonts w:asciiTheme="minorHAnsi" w:hAnsiTheme="minorHAnsi" w:cs="Arial"/>
          <w:color w:val="495965" w:themeColor="text2"/>
          <w:sz w:val="18"/>
          <w:szCs w:val="18"/>
        </w:rPr>
        <w:tab/>
        <w:t>not further defined</w:t>
      </w:r>
    </w:p>
    <w:p w14:paraId="1ADCF5AB"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nie</w:t>
      </w:r>
      <w:proofErr w:type="spellEnd"/>
      <w:r w:rsidRPr="004F3F7A">
        <w:rPr>
          <w:rFonts w:asciiTheme="minorHAnsi" w:hAnsiTheme="minorHAnsi" w:cs="Arial"/>
          <w:color w:val="495965" w:themeColor="text2"/>
          <w:sz w:val="18"/>
          <w:szCs w:val="18"/>
        </w:rPr>
        <w:tab/>
        <w:t>not indicated elsewhere</w:t>
      </w:r>
    </w:p>
    <w:p w14:paraId="29C96ADA"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nes</w:t>
      </w:r>
      <w:proofErr w:type="spellEnd"/>
      <w:r w:rsidRPr="004F3F7A">
        <w:rPr>
          <w:rFonts w:asciiTheme="minorHAnsi" w:hAnsiTheme="minorHAnsi" w:cs="Arial"/>
          <w:color w:val="495965" w:themeColor="text2"/>
          <w:sz w:val="18"/>
          <w:szCs w:val="18"/>
        </w:rPr>
        <w:tab/>
        <w:t>not elsewhere specified</w:t>
      </w:r>
    </w:p>
    <w:p w14:paraId="2F14FCD8"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np</w:t>
      </w:r>
      <w:r w:rsidRPr="004F3F7A">
        <w:rPr>
          <w:rFonts w:asciiTheme="minorHAnsi" w:hAnsiTheme="minorHAnsi" w:cs="Arial"/>
          <w:color w:val="495965" w:themeColor="text2"/>
          <w:sz w:val="18"/>
          <w:szCs w:val="18"/>
        </w:rPr>
        <w:tab/>
        <w:t>not published</w:t>
      </w:r>
    </w:p>
    <w:p w14:paraId="5334C787"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Nth</w:t>
      </w:r>
      <w:r w:rsidRPr="004F3F7A">
        <w:rPr>
          <w:rFonts w:asciiTheme="minorHAnsi" w:hAnsiTheme="minorHAnsi" w:cs="Arial"/>
          <w:color w:val="495965" w:themeColor="text2"/>
          <w:sz w:val="18"/>
          <w:szCs w:val="18"/>
        </w:rPr>
        <w:tab/>
        <w:t>North</w:t>
      </w:r>
    </w:p>
    <w:p w14:paraId="2AD776D0"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nya</w:t>
      </w:r>
      <w:proofErr w:type="spellEnd"/>
      <w:r w:rsidRPr="004F3F7A">
        <w:rPr>
          <w:rFonts w:asciiTheme="minorHAnsi" w:hAnsiTheme="minorHAnsi" w:cs="Arial"/>
          <w:color w:val="495965" w:themeColor="text2"/>
          <w:sz w:val="18"/>
          <w:szCs w:val="18"/>
        </w:rPr>
        <w:tab/>
        <w:t>not yet available</w:t>
      </w:r>
    </w:p>
    <w:p w14:paraId="26F5CB34"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OECD</w:t>
      </w:r>
      <w:r w:rsidRPr="004F3F7A">
        <w:rPr>
          <w:rFonts w:asciiTheme="minorHAnsi" w:hAnsiTheme="minorHAnsi" w:cs="Arial"/>
          <w:color w:val="495965" w:themeColor="text2"/>
          <w:sz w:val="18"/>
          <w:szCs w:val="18"/>
        </w:rPr>
        <w:tab/>
        <w:t>Organisation for Economic Cooperation and Development</w:t>
      </w:r>
    </w:p>
    <w:p w14:paraId="3E8141DD"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pharm</w:t>
      </w:r>
      <w:r w:rsidRPr="004F3F7A">
        <w:rPr>
          <w:rFonts w:asciiTheme="minorHAnsi" w:hAnsiTheme="minorHAnsi" w:cs="Arial"/>
          <w:color w:val="495965" w:themeColor="text2"/>
          <w:sz w:val="18"/>
          <w:szCs w:val="18"/>
        </w:rPr>
        <w:tab/>
        <w:t>pharmaceutical</w:t>
      </w:r>
    </w:p>
    <w:p w14:paraId="7FC8890F"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photo</w:t>
      </w:r>
      <w:r w:rsidRPr="004F3F7A">
        <w:rPr>
          <w:rFonts w:asciiTheme="minorHAnsi" w:hAnsiTheme="minorHAnsi" w:cs="Arial"/>
          <w:color w:val="495965" w:themeColor="text2"/>
          <w:sz w:val="18"/>
          <w:szCs w:val="18"/>
        </w:rPr>
        <w:tab/>
        <w:t>photographic</w:t>
      </w:r>
    </w:p>
    <w:p w14:paraId="4B3EF31E"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PPP</w:t>
      </w:r>
      <w:r w:rsidRPr="004F3F7A">
        <w:rPr>
          <w:rFonts w:asciiTheme="minorHAnsi" w:hAnsiTheme="minorHAnsi" w:cs="Arial"/>
          <w:color w:val="495965" w:themeColor="text2"/>
          <w:sz w:val="18"/>
          <w:szCs w:val="18"/>
        </w:rPr>
        <w:tab/>
        <w:t>Purchasing Power Parity</w:t>
      </w:r>
    </w:p>
    <w:p w14:paraId="4901AAAD"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prec</w:t>
      </w:r>
      <w:proofErr w:type="spellEnd"/>
      <w:r w:rsidRPr="004F3F7A">
        <w:rPr>
          <w:rFonts w:asciiTheme="minorHAnsi" w:hAnsiTheme="minorHAnsi" w:cs="Arial"/>
          <w:color w:val="495965" w:themeColor="text2"/>
          <w:sz w:val="18"/>
          <w:szCs w:val="18"/>
        </w:rPr>
        <w:tab/>
        <w:t>precious</w:t>
      </w:r>
    </w:p>
    <w:p w14:paraId="5FFD9473"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prep</w:t>
      </w:r>
      <w:r w:rsidRPr="004F3F7A">
        <w:rPr>
          <w:rFonts w:asciiTheme="minorHAnsi" w:hAnsiTheme="minorHAnsi" w:cs="Arial"/>
          <w:color w:val="495965" w:themeColor="text2"/>
          <w:sz w:val="18"/>
          <w:szCs w:val="18"/>
        </w:rPr>
        <w:tab/>
        <w:t>preparations, prepared</w:t>
      </w:r>
    </w:p>
    <w:p w14:paraId="1E34E54F"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pres</w:t>
      </w:r>
      <w:proofErr w:type="spellEnd"/>
      <w:r w:rsidRPr="004F3F7A">
        <w:rPr>
          <w:rFonts w:asciiTheme="minorHAnsi" w:hAnsiTheme="minorHAnsi" w:cs="Arial"/>
          <w:color w:val="495965" w:themeColor="text2"/>
          <w:sz w:val="18"/>
          <w:szCs w:val="18"/>
        </w:rPr>
        <w:tab/>
        <w:t>preserved</w:t>
      </w:r>
    </w:p>
    <w:p w14:paraId="6E4DBFE5"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proc</w:t>
      </w:r>
      <w:r w:rsidRPr="004F3F7A">
        <w:rPr>
          <w:rFonts w:asciiTheme="minorHAnsi" w:hAnsiTheme="minorHAnsi" w:cs="Arial"/>
          <w:color w:val="495965" w:themeColor="text2"/>
          <w:sz w:val="18"/>
          <w:szCs w:val="18"/>
        </w:rPr>
        <w:tab/>
        <w:t>processing</w:t>
      </w:r>
    </w:p>
    <w:p w14:paraId="37C796DF"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prod</w:t>
      </w:r>
      <w:r w:rsidRPr="004F3F7A">
        <w:rPr>
          <w:rFonts w:asciiTheme="minorHAnsi" w:hAnsiTheme="minorHAnsi" w:cs="Arial"/>
          <w:color w:val="495965" w:themeColor="text2"/>
          <w:sz w:val="18"/>
          <w:szCs w:val="18"/>
        </w:rPr>
        <w:tab/>
        <w:t>products</w:t>
      </w:r>
    </w:p>
    <w:p w14:paraId="7EF3CB64"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Rep</w:t>
      </w:r>
      <w:r w:rsidRPr="004F3F7A">
        <w:rPr>
          <w:rFonts w:asciiTheme="minorHAnsi" w:hAnsiTheme="minorHAnsi" w:cs="Arial"/>
          <w:color w:val="495965" w:themeColor="text2"/>
          <w:sz w:val="18"/>
          <w:szCs w:val="18"/>
        </w:rPr>
        <w:tab/>
        <w:t>Republic</w:t>
      </w:r>
    </w:p>
    <w:p w14:paraId="69CEA81F"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SAR of China</w:t>
      </w:r>
      <w:r w:rsidRPr="004F3F7A">
        <w:rPr>
          <w:rFonts w:asciiTheme="minorHAnsi" w:hAnsiTheme="minorHAnsi" w:cs="Arial"/>
          <w:color w:val="495965" w:themeColor="text2"/>
          <w:sz w:val="18"/>
          <w:szCs w:val="18"/>
        </w:rPr>
        <w:tab/>
        <w:t>Special Administrative Region of China</w:t>
      </w:r>
    </w:p>
    <w:p w14:paraId="3814A393"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SITC</w:t>
      </w:r>
      <w:r w:rsidRPr="004F3F7A">
        <w:rPr>
          <w:rFonts w:asciiTheme="minorHAnsi" w:hAnsiTheme="minorHAnsi" w:cs="Arial"/>
          <w:color w:val="495965" w:themeColor="text2"/>
          <w:sz w:val="18"/>
          <w:szCs w:val="18"/>
        </w:rPr>
        <w:tab/>
        <w:t>Standard International Trade Classification</w:t>
      </w:r>
    </w:p>
    <w:p w14:paraId="0AD410FA"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SITS</w:t>
      </w:r>
      <w:r w:rsidRPr="004F3F7A">
        <w:rPr>
          <w:rFonts w:asciiTheme="minorHAnsi" w:hAnsiTheme="minorHAnsi" w:cs="Arial"/>
          <w:color w:val="495965" w:themeColor="text2"/>
          <w:sz w:val="18"/>
          <w:szCs w:val="18"/>
        </w:rPr>
        <w:tab/>
        <w:t>Survey of International Trade in Services</w:t>
      </w:r>
    </w:p>
    <w:p w14:paraId="049C00BE"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spec</w:t>
      </w:r>
      <w:r w:rsidRPr="004F3F7A">
        <w:rPr>
          <w:rFonts w:asciiTheme="minorHAnsi" w:hAnsiTheme="minorHAnsi" w:cs="Arial"/>
          <w:color w:val="495965" w:themeColor="text2"/>
          <w:sz w:val="18"/>
          <w:szCs w:val="18"/>
        </w:rPr>
        <w:tab/>
        <w:t>specifically</w:t>
      </w:r>
    </w:p>
    <w:p w14:paraId="6FD53C28"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Sth</w:t>
      </w:r>
      <w:proofErr w:type="spellEnd"/>
      <w:r w:rsidRPr="004F3F7A">
        <w:rPr>
          <w:rFonts w:asciiTheme="minorHAnsi" w:hAnsiTheme="minorHAnsi" w:cs="Arial"/>
          <w:color w:val="495965" w:themeColor="text2"/>
          <w:sz w:val="18"/>
          <w:szCs w:val="18"/>
        </w:rPr>
        <w:tab/>
        <w:t>South</w:t>
      </w:r>
    </w:p>
    <w:p w14:paraId="6271C124"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STM</w:t>
      </w:r>
      <w:r w:rsidRPr="004F3F7A">
        <w:rPr>
          <w:rFonts w:asciiTheme="minorHAnsi" w:hAnsiTheme="minorHAnsi" w:cs="Arial"/>
          <w:color w:val="495965" w:themeColor="text2"/>
          <w:sz w:val="18"/>
          <w:szCs w:val="18"/>
        </w:rPr>
        <w:tab/>
        <w:t>Simply transformed manufactures</w:t>
      </w:r>
    </w:p>
    <w:p w14:paraId="410B7099"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struct</w:t>
      </w:r>
      <w:r w:rsidRPr="004F3F7A">
        <w:rPr>
          <w:rFonts w:asciiTheme="minorHAnsi" w:hAnsiTheme="minorHAnsi" w:cs="Arial"/>
          <w:color w:val="495965" w:themeColor="text2"/>
          <w:sz w:val="18"/>
          <w:szCs w:val="18"/>
        </w:rPr>
        <w:tab/>
        <w:t>structures</w:t>
      </w:r>
    </w:p>
    <w:p w14:paraId="6EEB7459"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synth</w:t>
      </w:r>
      <w:r w:rsidRPr="004F3F7A">
        <w:rPr>
          <w:rFonts w:asciiTheme="minorHAnsi" w:hAnsiTheme="minorHAnsi" w:cs="Arial"/>
          <w:color w:val="495965" w:themeColor="text2"/>
          <w:sz w:val="18"/>
          <w:szCs w:val="18"/>
        </w:rPr>
        <w:tab/>
        <w:t>synthetic</w:t>
      </w:r>
    </w:p>
    <w:p w14:paraId="59DB6135"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TCI</w:t>
      </w:r>
      <w:r w:rsidRPr="004F3F7A">
        <w:rPr>
          <w:rFonts w:asciiTheme="minorHAnsi" w:hAnsiTheme="minorHAnsi" w:cs="Arial"/>
          <w:color w:val="495965" w:themeColor="text2"/>
          <w:sz w:val="18"/>
          <w:szCs w:val="18"/>
        </w:rPr>
        <w:tab/>
        <w:t>Telecommunications, computer &amp; information</w:t>
      </w:r>
    </w:p>
    <w:p w14:paraId="502D173A"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telecom</w:t>
      </w:r>
      <w:r w:rsidRPr="004F3F7A">
        <w:rPr>
          <w:rFonts w:asciiTheme="minorHAnsi" w:hAnsiTheme="minorHAnsi" w:cs="Arial"/>
          <w:color w:val="495965" w:themeColor="text2"/>
          <w:sz w:val="18"/>
          <w:szCs w:val="18"/>
        </w:rPr>
        <w:tab/>
        <w:t>telecommunications</w:t>
      </w:r>
    </w:p>
    <w:p w14:paraId="6CE0F844"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TRA</w:t>
      </w:r>
      <w:r w:rsidRPr="004F3F7A">
        <w:rPr>
          <w:rFonts w:asciiTheme="minorHAnsi" w:hAnsiTheme="minorHAnsi" w:cs="Arial"/>
          <w:color w:val="495965" w:themeColor="text2"/>
          <w:sz w:val="18"/>
          <w:szCs w:val="18"/>
        </w:rPr>
        <w:tab/>
        <w:t>Tourism Research Australia</w:t>
      </w:r>
    </w:p>
    <w:p w14:paraId="0DA12DA3"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TREC</w:t>
      </w:r>
      <w:r w:rsidRPr="004F3F7A">
        <w:rPr>
          <w:rFonts w:asciiTheme="minorHAnsi" w:hAnsiTheme="minorHAnsi" w:cs="Arial"/>
          <w:color w:val="495965" w:themeColor="text2"/>
          <w:sz w:val="18"/>
          <w:szCs w:val="18"/>
        </w:rPr>
        <w:tab/>
        <w:t>Trade Export Classification</w:t>
      </w:r>
    </w:p>
    <w:p w14:paraId="7B606D19"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TRIEC</w:t>
      </w:r>
      <w:r w:rsidRPr="004F3F7A">
        <w:rPr>
          <w:rFonts w:asciiTheme="minorHAnsi" w:hAnsiTheme="minorHAnsi" w:cs="Arial"/>
          <w:color w:val="495965" w:themeColor="text2"/>
          <w:sz w:val="18"/>
          <w:szCs w:val="18"/>
        </w:rPr>
        <w:tab/>
        <w:t>Trade Import and Export Classification</w:t>
      </w:r>
    </w:p>
    <w:p w14:paraId="3D4662B3"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transport</w:t>
      </w:r>
      <w:r w:rsidRPr="004F3F7A">
        <w:rPr>
          <w:rFonts w:asciiTheme="minorHAnsi" w:hAnsiTheme="minorHAnsi" w:cs="Arial"/>
          <w:color w:val="495965" w:themeColor="text2"/>
          <w:sz w:val="18"/>
          <w:szCs w:val="18"/>
        </w:rPr>
        <w:tab/>
        <w:t>transportation</w:t>
      </w:r>
    </w:p>
    <w:p w14:paraId="5045485D"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TSA</w:t>
      </w:r>
      <w:r w:rsidRPr="004F3F7A">
        <w:rPr>
          <w:rFonts w:asciiTheme="minorHAnsi" w:hAnsiTheme="minorHAnsi" w:cs="Arial"/>
          <w:color w:val="495965" w:themeColor="text2"/>
          <w:sz w:val="18"/>
          <w:szCs w:val="18"/>
        </w:rPr>
        <w:tab/>
        <w:t>Tourism Satellite Account</w:t>
      </w:r>
    </w:p>
    <w:p w14:paraId="0CF601BD"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TWI</w:t>
      </w:r>
      <w:r w:rsidRPr="004F3F7A">
        <w:rPr>
          <w:rFonts w:asciiTheme="minorHAnsi" w:hAnsiTheme="minorHAnsi" w:cs="Arial"/>
          <w:color w:val="495965" w:themeColor="text2"/>
          <w:sz w:val="18"/>
          <w:szCs w:val="18"/>
        </w:rPr>
        <w:tab/>
        <w:t>Trade Weighted Index</w:t>
      </w:r>
    </w:p>
    <w:p w14:paraId="54AD5CFE"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UN</w:t>
      </w:r>
      <w:r w:rsidRPr="004F3F7A">
        <w:rPr>
          <w:rFonts w:asciiTheme="minorHAnsi" w:hAnsiTheme="minorHAnsi" w:cs="Arial"/>
          <w:color w:val="495965" w:themeColor="text2"/>
          <w:sz w:val="18"/>
          <w:szCs w:val="18"/>
        </w:rPr>
        <w:tab/>
        <w:t>United Nations</w:t>
      </w:r>
    </w:p>
    <w:p w14:paraId="19D551FE"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UNCTAD</w:t>
      </w:r>
      <w:r w:rsidRPr="004F3F7A">
        <w:rPr>
          <w:rFonts w:asciiTheme="minorHAnsi" w:hAnsiTheme="minorHAnsi" w:cs="Arial"/>
          <w:color w:val="495965" w:themeColor="text2"/>
          <w:sz w:val="18"/>
          <w:szCs w:val="18"/>
        </w:rPr>
        <w:tab/>
        <w:t>United Nations Conference on Trade and Development</w:t>
      </w:r>
    </w:p>
    <w:p w14:paraId="27B74F52"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unmanuf</w:t>
      </w:r>
      <w:proofErr w:type="spellEnd"/>
      <w:r w:rsidRPr="004F3F7A">
        <w:rPr>
          <w:rFonts w:asciiTheme="minorHAnsi" w:hAnsiTheme="minorHAnsi" w:cs="Arial"/>
          <w:color w:val="495965" w:themeColor="text2"/>
          <w:sz w:val="18"/>
          <w:szCs w:val="18"/>
        </w:rPr>
        <w:tab/>
        <w:t>unmanufactured</w:t>
      </w:r>
    </w:p>
    <w:p w14:paraId="3E6AD2A8"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USDA</w:t>
      </w:r>
      <w:r w:rsidRPr="004F3F7A">
        <w:rPr>
          <w:rFonts w:asciiTheme="minorHAnsi" w:hAnsiTheme="minorHAnsi" w:cs="Arial"/>
          <w:color w:val="495965" w:themeColor="text2"/>
          <w:sz w:val="18"/>
          <w:szCs w:val="18"/>
        </w:rPr>
        <w:tab/>
        <w:t xml:space="preserve">United </w:t>
      </w:r>
      <w:r w:rsidR="002A2C2F">
        <w:rPr>
          <w:rFonts w:asciiTheme="minorHAnsi" w:hAnsiTheme="minorHAnsi" w:cs="Arial"/>
          <w:color w:val="495965" w:themeColor="text2"/>
          <w:sz w:val="18"/>
          <w:szCs w:val="18"/>
        </w:rPr>
        <w:t>State</w:t>
      </w:r>
      <w:r w:rsidRPr="004F3F7A">
        <w:rPr>
          <w:rFonts w:asciiTheme="minorHAnsi" w:hAnsiTheme="minorHAnsi" w:cs="Arial"/>
          <w:color w:val="495965" w:themeColor="text2"/>
          <w:sz w:val="18"/>
          <w:szCs w:val="18"/>
        </w:rPr>
        <w:t>s Department of Agriculture</w:t>
      </w:r>
    </w:p>
    <w:p w14:paraId="23205704"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veg</w:t>
      </w:r>
      <w:r w:rsidRPr="004F3F7A">
        <w:rPr>
          <w:rFonts w:asciiTheme="minorHAnsi" w:hAnsiTheme="minorHAnsi" w:cs="Arial"/>
          <w:color w:val="495965" w:themeColor="text2"/>
          <w:sz w:val="18"/>
          <w:szCs w:val="18"/>
        </w:rPr>
        <w:tab/>
        <w:t>vegetables</w:t>
      </w:r>
    </w:p>
    <w:p w14:paraId="2AB70215" w14:textId="77777777" w:rsidR="00003DAC" w:rsidRPr="004F3F7A"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r w:rsidRPr="004F3F7A">
        <w:rPr>
          <w:rFonts w:asciiTheme="minorHAnsi" w:hAnsiTheme="minorHAnsi" w:cs="Arial"/>
          <w:color w:val="495965" w:themeColor="text2"/>
          <w:sz w:val="18"/>
          <w:szCs w:val="18"/>
        </w:rPr>
        <w:t>WTO</w:t>
      </w:r>
      <w:r w:rsidRPr="004F3F7A">
        <w:rPr>
          <w:rFonts w:asciiTheme="minorHAnsi" w:hAnsiTheme="minorHAnsi" w:cs="Arial"/>
          <w:color w:val="495965" w:themeColor="text2"/>
          <w:sz w:val="18"/>
          <w:szCs w:val="18"/>
        </w:rPr>
        <w:tab/>
        <w:t>World Trade Organization</w:t>
      </w:r>
    </w:p>
    <w:p w14:paraId="49D799FF" w14:textId="77777777" w:rsidR="00003DAC" w:rsidRDefault="00003DAC" w:rsidP="00003DAC">
      <w:pPr>
        <w:pStyle w:val="RP"/>
        <w:tabs>
          <w:tab w:val="clear" w:pos="8784"/>
          <w:tab w:val="right" w:pos="8789"/>
        </w:tabs>
        <w:spacing w:after="40" w:line="240" w:lineRule="exact"/>
        <w:ind w:left="851"/>
        <w:rPr>
          <w:rFonts w:asciiTheme="minorHAnsi" w:hAnsiTheme="minorHAnsi" w:cs="Arial"/>
          <w:color w:val="495965" w:themeColor="text2"/>
          <w:sz w:val="18"/>
          <w:szCs w:val="18"/>
        </w:rPr>
      </w:pPr>
      <w:proofErr w:type="spellStart"/>
      <w:r w:rsidRPr="004F3F7A">
        <w:rPr>
          <w:rFonts w:asciiTheme="minorHAnsi" w:hAnsiTheme="minorHAnsi" w:cs="Arial"/>
          <w:color w:val="495965" w:themeColor="text2"/>
          <w:sz w:val="18"/>
          <w:szCs w:val="18"/>
        </w:rPr>
        <w:t>yoy</w:t>
      </w:r>
      <w:proofErr w:type="spellEnd"/>
      <w:r w:rsidRPr="004F3F7A">
        <w:rPr>
          <w:rFonts w:asciiTheme="minorHAnsi" w:hAnsiTheme="minorHAnsi" w:cs="Arial"/>
          <w:color w:val="495965" w:themeColor="text2"/>
          <w:sz w:val="18"/>
          <w:szCs w:val="18"/>
        </w:rPr>
        <w:tab/>
        <w:t>year on year</w:t>
      </w:r>
    </w:p>
    <w:sectPr w:rsidR="00003DAC" w:rsidSect="004F3F7A">
      <w:headerReference w:type="default" r:id="rId22"/>
      <w:footerReference w:type="default" r:id="rId23"/>
      <w:headerReference w:type="first" r:id="rId24"/>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5422C" w14:textId="77777777" w:rsidR="00DF4AE4" w:rsidRDefault="00DF4AE4" w:rsidP="003A5358">
      <w:r>
        <w:separator/>
      </w:r>
    </w:p>
  </w:endnote>
  <w:endnote w:type="continuationSeparator" w:id="0">
    <w:p w14:paraId="6515F516" w14:textId="77777777" w:rsidR="00DF4AE4" w:rsidRDefault="00DF4AE4"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92A79" w14:textId="77777777" w:rsidR="008F7B27" w:rsidRPr="00781144" w:rsidRDefault="008F7B27" w:rsidP="00D84DB0">
    <w:pPr>
      <w:pStyle w:val="Footer"/>
      <w:tabs>
        <w:tab w:val="clear" w:pos="10036"/>
      </w:tabs>
      <w:rPr>
        <w:rFonts w:asciiTheme="majorHAnsi" w:hAnsiTheme="majorHAnsi"/>
        <w:color w:val="auto"/>
        <w:sz w:val="18"/>
        <w:szCs w:val="18"/>
      </w:rPr>
    </w:pPr>
    <w:r w:rsidRPr="00781144">
      <w:rPr>
        <w:rFonts w:asciiTheme="majorHAnsi" w:hAnsiTheme="majorHAnsi"/>
        <w:color w:val="auto"/>
        <w:sz w:val="18"/>
        <w:szCs w:val="18"/>
      </w:rPr>
      <w:tab/>
      <w:t xml:space="preserve">Page </w:t>
    </w:r>
    <w:r w:rsidRPr="00781144">
      <w:rPr>
        <w:rFonts w:asciiTheme="majorHAnsi" w:hAnsiTheme="majorHAnsi"/>
        <w:color w:val="auto"/>
        <w:sz w:val="18"/>
        <w:szCs w:val="18"/>
      </w:rPr>
      <w:fldChar w:fldCharType="begin"/>
    </w:r>
    <w:r w:rsidRPr="00781144">
      <w:rPr>
        <w:rFonts w:asciiTheme="majorHAnsi" w:hAnsiTheme="majorHAnsi"/>
        <w:color w:val="auto"/>
        <w:sz w:val="18"/>
        <w:szCs w:val="18"/>
      </w:rPr>
      <w:instrText xml:space="preserve"> PAGE   \* MERGEFORMAT </w:instrText>
    </w:r>
    <w:r w:rsidRPr="00781144">
      <w:rPr>
        <w:rFonts w:asciiTheme="majorHAnsi" w:hAnsiTheme="majorHAnsi"/>
        <w:color w:val="auto"/>
        <w:sz w:val="18"/>
        <w:szCs w:val="18"/>
      </w:rPr>
      <w:fldChar w:fldCharType="separate"/>
    </w:r>
    <w:r w:rsidR="00CD122C">
      <w:rPr>
        <w:rFonts w:asciiTheme="majorHAnsi" w:hAnsiTheme="majorHAnsi"/>
        <w:noProof/>
        <w:color w:val="auto"/>
        <w:sz w:val="18"/>
        <w:szCs w:val="18"/>
      </w:rPr>
      <w:t>77</w:t>
    </w:r>
    <w:r w:rsidRPr="00781144">
      <w:rPr>
        <w:rFonts w:asciiTheme="majorHAnsi" w:hAnsiTheme="majorHAnsi"/>
        <w:noProof/>
        <w:color w:val="auto"/>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50491" w14:textId="2AB63F16" w:rsidR="008F7B27" w:rsidRDefault="008F7B27" w:rsidP="003A5358">
    <w:pPr>
      <w:pStyle w:val="Footer"/>
    </w:pPr>
    <w:r>
      <w:tab/>
    </w:r>
    <w:r>
      <w:rPr>
        <w:noProof/>
        <w:lang w:val="en-AU" w:eastAsia="en-AU"/>
      </w:rPr>
      <w:drawing>
        <wp:inline distT="0" distB="0" distL="0" distR="0" wp14:anchorId="17828C32" wp14:editId="55E3CA8A">
          <wp:extent cx="6119640" cy="388800"/>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19640" cy="388800"/>
                  </a:xfrm>
                  <a:prstGeom prst="rect">
                    <a:avLst/>
                  </a:prstGeom>
                </pic:spPr>
              </pic:pic>
            </a:graphicData>
          </a:graphic>
        </wp:inline>
      </w:drawing>
    </w:r>
    <w:r w:rsidRPr="00806503">
      <w:fldChar w:fldCharType="begin"/>
    </w:r>
    <w:r>
      <w:instrText xml:space="preserve"> STYLEREF  Title  \* MERGEFORMAT </w:instrText>
    </w:r>
    <w:r w:rsidRPr="00806503">
      <w:fldChar w:fldCharType="separate"/>
    </w:r>
    <w:r w:rsidR="00196154">
      <w:rPr>
        <w:b/>
        <w:bCs/>
        <w:noProof/>
        <w:lang w:val="en-US"/>
      </w:rPr>
      <w:t>Error! No text of specified style in document.</w:t>
    </w:r>
    <w:r w:rsidRPr="00806503">
      <w:fldChar w:fldCharType="end"/>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147</w:t>
    </w:r>
    <w:r w:rsidRPr="00F5404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FF6D3" w14:textId="77777777" w:rsidR="008F7B27" w:rsidRPr="002D5EE3" w:rsidRDefault="008F7B27" w:rsidP="00D84DB0">
    <w:pPr>
      <w:pStyle w:val="Footer"/>
      <w:tabs>
        <w:tab w:val="clear" w:pos="10036"/>
      </w:tabs>
      <w:rPr>
        <w:color w:val="FFFFFF" w:themeColor="background1"/>
        <w:sz w:val="18"/>
        <w:szCs w:val="18"/>
      </w:rPr>
    </w:pPr>
    <w:r w:rsidRPr="002D5EE3">
      <w:rPr>
        <w:noProof/>
        <w:color w:val="FFFFFF" w:themeColor="background1"/>
        <w:lang w:val="en-AU" w:eastAsia="en-AU"/>
      </w:rPr>
      <w:drawing>
        <wp:anchor distT="0" distB="0" distL="114300" distR="114300" simplePos="0" relativeHeight="251732992" behindDoc="1" locked="0" layoutInCell="1" allowOverlap="1" wp14:anchorId="32B5B7FA" wp14:editId="5F2E89FA">
          <wp:simplePos x="0" y="0"/>
          <wp:positionH relativeFrom="page">
            <wp:posOffset>19055</wp:posOffset>
          </wp:positionH>
          <wp:positionV relativeFrom="page">
            <wp:posOffset>9906000</wp:posOffset>
          </wp:positionV>
          <wp:extent cx="7562840" cy="725204"/>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840" cy="725204"/>
                  </a:xfrm>
                  <a:prstGeom prst="rect">
                    <a:avLst/>
                  </a:prstGeom>
                </pic:spPr>
              </pic:pic>
            </a:graphicData>
          </a:graphic>
          <wp14:sizeRelH relativeFrom="margin">
            <wp14:pctWidth>0</wp14:pctWidth>
          </wp14:sizeRelH>
          <wp14:sizeRelV relativeFrom="margin">
            <wp14:pctHeight>0</wp14:pctHeight>
          </wp14:sizeRelV>
        </wp:anchor>
      </w:drawing>
    </w:r>
    <w:r w:rsidRPr="002D5EE3">
      <w:rPr>
        <w:color w:val="FFFFFF" w:themeColor="background1"/>
        <w:sz w:val="15"/>
        <w:szCs w:val="15"/>
      </w:rPr>
      <w:tab/>
    </w:r>
    <w:r w:rsidRPr="002D5EE3">
      <w:rPr>
        <w:rFonts w:asciiTheme="majorHAnsi" w:hAnsiTheme="majorHAnsi"/>
        <w:color w:val="FFFFFF" w:themeColor="background1"/>
        <w:sz w:val="18"/>
        <w:szCs w:val="18"/>
      </w:rPr>
      <w:t xml:space="preserve">Page </w:t>
    </w:r>
    <w:r w:rsidRPr="002D5EE3">
      <w:rPr>
        <w:rFonts w:asciiTheme="majorHAnsi" w:hAnsiTheme="majorHAnsi"/>
        <w:color w:val="FFFFFF" w:themeColor="background1"/>
        <w:sz w:val="18"/>
        <w:szCs w:val="18"/>
      </w:rPr>
      <w:fldChar w:fldCharType="begin"/>
    </w:r>
    <w:r w:rsidRPr="002D5EE3">
      <w:rPr>
        <w:rFonts w:asciiTheme="majorHAnsi" w:hAnsiTheme="majorHAnsi"/>
        <w:color w:val="FFFFFF" w:themeColor="background1"/>
        <w:sz w:val="18"/>
        <w:szCs w:val="18"/>
      </w:rPr>
      <w:instrText xml:space="preserve"> PAGE   \* MERGEFORMAT </w:instrText>
    </w:r>
    <w:r w:rsidRPr="002D5EE3">
      <w:rPr>
        <w:rFonts w:asciiTheme="majorHAnsi" w:hAnsiTheme="majorHAnsi"/>
        <w:color w:val="FFFFFF" w:themeColor="background1"/>
        <w:sz w:val="18"/>
        <w:szCs w:val="18"/>
      </w:rPr>
      <w:fldChar w:fldCharType="separate"/>
    </w:r>
    <w:r w:rsidR="00CD122C">
      <w:rPr>
        <w:rFonts w:asciiTheme="majorHAnsi" w:hAnsiTheme="majorHAnsi"/>
        <w:noProof/>
        <w:color w:val="FFFFFF" w:themeColor="background1"/>
        <w:sz w:val="18"/>
        <w:szCs w:val="18"/>
      </w:rPr>
      <w:t>84</w:t>
    </w:r>
    <w:r w:rsidRPr="002D5EE3">
      <w:rPr>
        <w:rFonts w:asciiTheme="majorHAnsi" w:hAnsiTheme="majorHAnsi"/>
        <w:noProof/>
        <w:color w:val="FFFFFF" w:themeColor="background1"/>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E5D01" w14:textId="77777777" w:rsidR="008F7B27" w:rsidRPr="009D4DB8" w:rsidRDefault="008F7B27" w:rsidP="0009158E">
    <w:pPr>
      <w:pStyle w:val="Footer"/>
      <w:tabs>
        <w:tab w:val="clear" w:pos="10036"/>
        <w:tab w:val="left" w:pos="4620"/>
      </w:tabs>
      <w:rPr>
        <w:color w:val="FFFFFF" w:themeColor="background1"/>
        <w:sz w:val="18"/>
        <w:szCs w:val="18"/>
      </w:rPr>
    </w:pPr>
    <w:r w:rsidRPr="009D4DB8">
      <w:rPr>
        <w:noProof/>
        <w:color w:val="FFFFFF" w:themeColor="background1"/>
        <w:lang w:val="en-AU" w:eastAsia="en-AU"/>
      </w:rPr>
      <w:drawing>
        <wp:anchor distT="0" distB="0" distL="114300" distR="114300" simplePos="0" relativeHeight="251730944" behindDoc="1" locked="0" layoutInCell="1" allowOverlap="1" wp14:anchorId="038F5606" wp14:editId="43AAF2AB">
          <wp:simplePos x="0" y="0"/>
          <wp:positionH relativeFrom="page">
            <wp:posOffset>5</wp:posOffset>
          </wp:positionH>
          <wp:positionV relativeFrom="page">
            <wp:posOffset>9906000</wp:posOffset>
          </wp:positionV>
          <wp:extent cx="7562840" cy="725204"/>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840" cy="725204"/>
                  </a:xfrm>
                  <a:prstGeom prst="rect">
                    <a:avLst/>
                  </a:prstGeom>
                </pic:spPr>
              </pic:pic>
            </a:graphicData>
          </a:graphic>
          <wp14:sizeRelH relativeFrom="margin">
            <wp14:pctWidth>0</wp14:pctWidth>
          </wp14:sizeRelH>
          <wp14:sizeRelV relativeFrom="margin">
            <wp14:pctHeight>0</wp14:pctHeight>
          </wp14:sizeRelV>
        </wp:anchor>
      </w:drawing>
    </w:r>
    <w:r w:rsidRPr="009D4DB8">
      <w:rPr>
        <w:color w:val="FFFFFF" w:themeColor="background1"/>
        <w:sz w:val="15"/>
        <w:szCs w:val="15"/>
      </w:rPr>
      <w:t xml:space="preserve"> </w:t>
    </w:r>
    <w:r w:rsidRPr="009D4DB8">
      <w:rPr>
        <w:color w:val="FFFFFF" w:themeColor="background1"/>
        <w:sz w:val="15"/>
        <w:szCs w:val="15"/>
      </w:rPr>
      <w:tab/>
    </w:r>
    <w:r w:rsidRPr="009D4DB8">
      <w:rPr>
        <w:color w:val="FFFFFF" w:themeColor="background1"/>
        <w:sz w:val="15"/>
        <w:szCs w:val="15"/>
      </w:rPr>
      <w:tab/>
    </w:r>
    <w:r w:rsidRPr="009D4DB8">
      <w:rPr>
        <w:rFonts w:asciiTheme="majorHAnsi" w:hAnsiTheme="majorHAnsi"/>
        <w:color w:val="FFFFFF" w:themeColor="background1"/>
        <w:sz w:val="18"/>
        <w:szCs w:val="18"/>
      </w:rPr>
      <w:t xml:space="preserve">Page </w:t>
    </w:r>
    <w:r w:rsidRPr="009D4DB8">
      <w:rPr>
        <w:rFonts w:asciiTheme="majorHAnsi" w:hAnsiTheme="majorHAnsi"/>
        <w:color w:val="FFFFFF" w:themeColor="background1"/>
        <w:sz w:val="18"/>
        <w:szCs w:val="18"/>
      </w:rPr>
      <w:fldChar w:fldCharType="begin"/>
    </w:r>
    <w:r w:rsidRPr="009D4DB8">
      <w:rPr>
        <w:rFonts w:asciiTheme="majorHAnsi" w:hAnsiTheme="majorHAnsi"/>
        <w:color w:val="FFFFFF" w:themeColor="background1"/>
        <w:sz w:val="18"/>
        <w:szCs w:val="18"/>
      </w:rPr>
      <w:instrText xml:space="preserve"> PAGE   \* MERGEFORMAT </w:instrText>
    </w:r>
    <w:r w:rsidRPr="009D4DB8">
      <w:rPr>
        <w:rFonts w:asciiTheme="majorHAnsi" w:hAnsiTheme="majorHAnsi"/>
        <w:color w:val="FFFFFF" w:themeColor="background1"/>
        <w:sz w:val="18"/>
        <w:szCs w:val="18"/>
      </w:rPr>
      <w:fldChar w:fldCharType="separate"/>
    </w:r>
    <w:r w:rsidR="00CD122C">
      <w:rPr>
        <w:rFonts w:asciiTheme="majorHAnsi" w:hAnsiTheme="majorHAnsi"/>
        <w:noProof/>
        <w:color w:val="FFFFFF" w:themeColor="background1"/>
        <w:sz w:val="18"/>
        <w:szCs w:val="18"/>
      </w:rPr>
      <w:t>86</w:t>
    </w:r>
    <w:r w:rsidRPr="009D4DB8">
      <w:rPr>
        <w:rFonts w:asciiTheme="majorHAnsi" w:hAnsiTheme="majorHAnsi"/>
        <w:color w:val="FFFFFF" w:themeColor="background1"/>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BF36" w14:textId="77777777" w:rsidR="008F7B27" w:rsidRDefault="008F7B27" w:rsidP="007C42D8">
    <w:pPr>
      <w:pStyle w:val="Classification"/>
    </w:pPr>
    <w:r w:rsidRPr="009D4DB8">
      <w:rPr>
        <w:noProof/>
        <w:color w:val="FFFFFF" w:themeColor="background1"/>
        <w:lang w:val="en-AU" w:eastAsia="en-AU"/>
      </w:rPr>
      <w:drawing>
        <wp:anchor distT="0" distB="0" distL="114300" distR="114300" simplePos="0" relativeHeight="251737088" behindDoc="1" locked="0" layoutInCell="1" allowOverlap="1" wp14:anchorId="1E5EEC99" wp14:editId="1F6B2E06">
          <wp:simplePos x="0" y="0"/>
          <wp:positionH relativeFrom="page">
            <wp:posOffset>28580</wp:posOffset>
          </wp:positionH>
          <wp:positionV relativeFrom="page">
            <wp:posOffset>9925050</wp:posOffset>
          </wp:positionV>
          <wp:extent cx="7562840" cy="725204"/>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840" cy="725204"/>
                  </a:xfrm>
                  <a:prstGeom prst="rect">
                    <a:avLst/>
                  </a:prstGeom>
                </pic:spPr>
              </pic:pic>
            </a:graphicData>
          </a:graphic>
          <wp14:sizeRelH relativeFrom="margin">
            <wp14:pctWidth>0</wp14:pctWidth>
          </wp14:sizeRelH>
          <wp14:sizeRelV relativeFrom="margin">
            <wp14:pctHeight>0</wp14:pctHeight>
          </wp14:sizeRelV>
        </wp:anchor>
      </w:drawing>
    </w:r>
  </w:p>
  <w:p w14:paraId="223A410D" w14:textId="77777777" w:rsidR="008F7B27" w:rsidRPr="0000004B" w:rsidRDefault="008F7B27" w:rsidP="007C42D8">
    <w:pPr>
      <w:pStyle w:val="Footer"/>
      <w:rPr>
        <w:color w:val="FFFFFF" w:themeColor="background1"/>
        <w:sz w:val="18"/>
        <w:szCs w:val="18"/>
      </w:rPr>
    </w:pPr>
    <w:r w:rsidRPr="0000004B">
      <w:rPr>
        <w:color w:val="FFFFFF" w:themeColor="background1"/>
      </w:rPr>
      <w:tab/>
    </w:r>
    <w:r w:rsidRPr="0000004B">
      <w:rPr>
        <w:rFonts w:asciiTheme="majorHAnsi" w:hAnsiTheme="majorHAnsi"/>
        <w:color w:val="FFFFFF" w:themeColor="background1"/>
        <w:sz w:val="18"/>
        <w:szCs w:val="18"/>
      </w:rPr>
      <w:t xml:space="preserve">Page </w:t>
    </w:r>
    <w:r w:rsidRPr="0000004B">
      <w:rPr>
        <w:rFonts w:asciiTheme="majorHAnsi" w:hAnsiTheme="majorHAnsi"/>
        <w:color w:val="FFFFFF" w:themeColor="background1"/>
        <w:sz w:val="18"/>
        <w:szCs w:val="18"/>
      </w:rPr>
      <w:fldChar w:fldCharType="begin"/>
    </w:r>
    <w:r w:rsidRPr="0000004B">
      <w:rPr>
        <w:rFonts w:asciiTheme="majorHAnsi" w:hAnsiTheme="majorHAnsi"/>
        <w:color w:val="FFFFFF" w:themeColor="background1"/>
        <w:sz w:val="18"/>
        <w:szCs w:val="18"/>
      </w:rPr>
      <w:instrText xml:space="preserve"> PAGE   \* MERGEFORMAT </w:instrText>
    </w:r>
    <w:r w:rsidRPr="0000004B">
      <w:rPr>
        <w:rFonts w:asciiTheme="majorHAnsi" w:hAnsiTheme="majorHAnsi"/>
        <w:color w:val="FFFFFF" w:themeColor="background1"/>
        <w:sz w:val="18"/>
        <w:szCs w:val="18"/>
      </w:rPr>
      <w:fldChar w:fldCharType="separate"/>
    </w:r>
    <w:r w:rsidR="00CD122C">
      <w:rPr>
        <w:rFonts w:asciiTheme="majorHAnsi" w:hAnsiTheme="majorHAnsi"/>
        <w:noProof/>
        <w:color w:val="FFFFFF" w:themeColor="background1"/>
        <w:sz w:val="18"/>
        <w:szCs w:val="18"/>
      </w:rPr>
      <w:t>88</w:t>
    </w:r>
    <w:r w:rsidRPr="0000004B">
      <w:rPr>
        <w:rFonts w:asciiTheme="majorHAnsi" w:hAnsiTheme="majorHAnsi"/>
        <w:color w:val="FFFFFF" w:themeColor="background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CB1B1" w14:textId="77777777" w:rsidR="00DF4AE4" w:rsidRPr="008C5A0E" w:rsidRDefault="00DF4AE4" w:rsidP="003A5358">
      <w:pPr>
        <w:pStyle w:val="FootnoteSeparator"/>
      </w:pPr>
    </w:p>
  </w:footnote>
  <w:footnote w:type="continuationSeparator" w:id="0">
    <w:p w14:paraId="51190CA5" w14:textId="77777777" w:rsidR="00DF4AE4" w:rsidRDefault="00DF4AE4"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26BAC" w14:textId="77777777" w:rsidR="008F7B27" w:rsidRDefault="008F7B27" w:rsidP="003A5358">
    <w:pPr>
      <w:pStyle w:val="Header"/>
    </w:pPr>
    <w:r>
      <w:rPr>
        <w:noProof/>
        <w:lang w:val="en-AU" w:eastAsia="en-AU"/>
      </w:rPr>
      <w:drawing>
        <wp:inline distT="0" distB="0" distL="0" distR="0" wp14:anchorId="40726C04" wp14:editId="4DDA971B">
          <wp:extent cx="7559640" cy="2755440"/>
          <wp:effectExtent l="0" t="0" r="3810" b="6985"/>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40" cy="27554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B4CCE" w14:textId="77777777" w:rsidR="008F7B27" w:rsidRPr="00806503" w:rsidRDefault="008F7B27" w:rsidP="00D203EB">
    <w:pPr>
      <w:pStyle w:val="Classification"/>
    </w:pPr>
    <w:r>
      <w:rPr>
        <w:noProof/>
        <w:lang w:val="en-AU" w:eastAsia="en-AU"/>
      </w:rPr>
      <w:drawing>
        <wp:anchor distT="0" distB="0" distL="114300" distR="114300" simplePos="0" relativeHeight="251735040" behindDoc="1" locked="0" layoutInCell="1" allowOverlap="1" wp14:anchorId="3B46EDA2" wp14:editId="047D8A47">
          <wp:simplePos x="0" y="0"/>
          <wp:positionH relativeFrom="page">
            <wp:posOffset>28574</wp:posOffset>
          </wp:positionH>
          <wp:positionV relativeFrom="page">
            <wp:align>top</wp:align>
          </wp:positionV>
          <wp:extent cx="7496175" cy="1205856"/>
          <wp:effectExtent l="0" t="0" r="0" b="0"/>
          <wp:wrapNone/>
          <wp:docPr id="230" name="Picture 2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9172" cy="121277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5DB24" w14:textId="77777777" w:rsidR="008F7B27" w:rsidRPr="00806503" w:rsidRDefault="008F7B27" w:rsidP="002825E8">
    <w:pPr>
      <w:pStyle w:val="Classification"/>
      <w:spacing w:after="120"/>
      <w:jc w:val="left"/>
    </w:pPr>
    <w:r>
      <w:rPr>
        <w:noProof/>
        <w:lang w:val="en-AU" w:eastAsia="en-AU"/>
      </w:rPr>
      <w:drawing>
        <wp:anchor distT="0" distB="0" distL="114300" distR="114300" simplePos="0" relativeHeight="251710464" behindDoc="1" locked="0" layoutInCell="1" allowOverlap="1" wp14:anchorId="731286B9" wp14:editId="177020E7">
          <wp:simplePos x="0" y="0"/>
          <wp:positionH relativeFrom="margin">
            <wp:align>center</wp:align>
          </wp:positionH>
          <wp:positionV relativeFrom="page">
            <wp:align>top</wp:align>
          </wp:positionV>
          <wp:extent cx="7200900" cy="2754630"/>
          <wp:effectExtent l="0" t="0" r="0" b="0"/>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900" cy="2754630"/>
                  </a:xfrm>
                  <a:prstGeom prst="rect">
                    <a:avLst/>
                  </a:prstGeom>
                </pic:spPr>
              </pic:pic>
            </a:graphicData>
          </a:graphic>
          <wp14:sizeRelH relativeFrom="margin">
            <wp14:pctWidth>0</wp14:pctWidth>
          </wp14:sizeRelH>
          <wp14:sizeRelV relativeFrom="margin">
            <wp14:pctHeight>0</wp14:pctHeight>
          </wp14:sizeRelV>
        </wp:anchor>
      </w:drawing>
    </w:r>
    <w:r w:rsidR="002825E8">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E6075" w14:textId="77777777" w:rsidR="008F7B27" w:rsidRPr="00806503" w:rsidRDefault="008F7B27" w:rsidP="00D203EB">
    <w:pPr>
      <w:pStyle w:val="Classification"/>
    </w:pPr>
    <w:r>
      <w:rPr>
        <w:noProof/>
        <w:lang w:val="en-AU" w:eastAsia="en-AU"/>
      </w:rPr>
      <w:drawing>
        <wp:anchor distT="0" distB="0" distL="114300" distR="114300" simplePos="0" relativeHeight="251739136" behindDoc="1" locked="0" layoutInCell="1" allowOverlap="1" wp14:anchorId="3D81666F" wp14:editId="102C5F2B">
          <wp:simplePos x="0" y="0"/>
          <wp:positionH relativeFrom="page">
            <wp:align>left</wp:align>
          </wp:positionH>
          <wp:positionV relativeFrom="topMargin">
            <wp:posOffset>57150</wp:posOffset>
          </wp:positionV>
          <wp:extent cx="7549509" cy="120523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509" cy="12052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9A9AD" w14:textId="77777777" w:rsidR="008F7B27" w:rsidRPr="00806503" w:rsidRDefault="008F7B27" w:rsidP="007C42D8">
    <w:pPr>
      <w:pStyle w:val="Classification"/>
    </w:pPr>
    <w:r>
      <w:rPr>
        <w:noProof/>
        <w:lang w:val="en-AU" w:eastAsia="en-AU"/>
      </w:rPr>
      <w:drawing>
        <wp:anchor distT="0" distB="0" distL="114300" distR="114300" simplePos="0" relativeHeight="251743232" behindDoc="1" locked="0" layoutInCell="1" allowOverlap="1" wp14:anchorId="41FE6018" wp14:editId="114BAE52">
          <wp:simplePos x="0" y="0"/>
          <wp:positionH relativeFrom="page">
            <wp:align>left</wp:align>
          </wp:positionH>
          <wp:positionV relativeFrom="topMargin">
            <wp:align>bottom</wp:align>
          </wp:positionV>
          <wp:extent cx="7534275" cy="120459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8166" cy="1205217"/>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91C0F" w14:textId="77777777" w:rsidR="008F7B27" w:rsidRPr="00806503" w:rsidRDefault="008F7B27" w:rsidP="00D203EB">
    <w:pPr>
      <w:pStyle w:val="Classification"/>
    </w:pPr>
    <w:r>
      <w:rPr>
        <w:noProof/>
        <w:lang w:val="en-AU" w:eastAsia="en-AU"/>
      </w:rPr>
      <w:drawing>
        <wp:anchor distT="0" distB="0" distL="114300" distR="114300" simplePos="0" relativeHeight="251726848" behindDoc="1" locked="0" layoutInCell="1" allowOverlap="1" wp14:anchorId="444D5BBB" wp14:editId="6DD1526D">
          <wp:simplePos x="0" y="0"/>
          <wp:positionH relativeFrom="page">
            <wp:posOffset>161926</wp:posOffset>
          </wp:positionH>
          <wp:positionV relativeFrom="page">
            <wp:posOffset>0</wp:posOffset>
          </wp:positionV>
          <wp:extent cx="7229386" cy="2755439"/>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29386" cy="27554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64A9C"/>
    <w:multiLevelType w:val="multilevel"/>
    <w:tmpl w:val="C750CCB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 w15:restartNumberingAfterBreak="0">
    <w:nsid w:val="07020EF2"/>
    <w:multiLevelType w:val="multilevel"/>
    <w:tmpl w:val="99F6DEBC"/>
    <w:styleLink w:val="Bulletstyle-withspaces"/>
    <w:lvl w:ilvl="0">
      <w:start w:val="1"/>
      <w:numFmt w:val="bullet"/>
      <w:lvlText w:val=""/>
      <w:lvlJc w:val="left"/>
      <w:pPr>
        <w:ind w:left="720" w:hanging="360"/>
      </w:pPr>
      <w:rPr>
        <w:rFonts w:ascii="Symbol" w:hAnsi="Symbol"/>
        <w:color w:val="3D3935"/>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107DE3"/>
    <w:multiLevelType w:val="multilevel"/>
    <w:tmpl w:val="7638BBD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171E1018"/>
    <w:multiLevelType w:val="multilevel"/>
    <w:tmpl w:val="99F6DEBC"/>
    <w:styleLink w:val="Styledbullet-withoutspaces"/>
    <w:lvl w:ilvl="0">
      <w:start w:val="1"/>
      <w:numFmt w:val="bullet"/>
      <w:lvlText w:val=""/>
      <w:lvlJc w:val="left"/>
      <w:pPr>
        <w:ind w:left="720" w:hanging="360"/>
      </w:pPr>
      <w:rPr>
        <w:rFonts w:ascii="Symbol" w:hAnsi="Symbol"/>
        <w:color w:val="3D3935"/>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5275F"/>
    <w:multiLevelType w:val="multilevel"/>
    <w:tmpl w:val="99F6DEBC"/>
    <w:styleLink w:val="Bulletstyle-withoutspaces"/>
    <w:lvl w:ilvl="0">
      <w:start w:val="1"/>
      <w:numFmt w:val="bullet"/>
      <w:lvlText w:val=""/>
      <w:lvlJc w:val="left"/>
      <w:pPr>
        <w:ind w:left="720" w:hanging="360"/>
      </w:pPr>
      <w:rPr>
        <w:rFonts w:ascii="Symbol" w:hAnsi="Symbol"/>
        <w:color w:val="3D3935"/>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F95C1A"/>
    <w:multiLevelType w:val="hybridMultilevel"/>
    <w:tmpl w:val="2850FF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25097738"/>
    <w:multiLevelType w:val="hybridMultilevel"/>
    <w:tmpl w:val="27D43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B1705E"/>
    <w:multiLevelType w:val="hybridMultilevel"/>
    <w:tmpl w:val="1FC094E0"/>
    <w:lvl w:ilvl="0" w:tplc="B2A6327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2F8C50FB"/>
    <w:multiLevelType w:val="multilevel"/>
    <w:tmpl w:val="99F6DEBC"/>
    <w:styleLink w:val="StyleBulletedSymbolsymbol95ptLeft063cmHanging"/>
    <w:lvl w:ilvl="0">
      <w:start w:val="1"/>
      <w:numFmt w:val="bullet"/>
      <w:lvlText w:val=""/>
      <w:lvlJc w:val="left"/>
      <w:pPr>
        <w:ind w:left="720" w:hanging="360"/>
      </w:pPr>
      <w:rPr>
        <w:rFonts w:ascii="Symbol" w:hAnsi="Symbol"/>
        <w:color w:val="3D3935"/>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5A41ED"/>
    <w:multiLevelType w:val="hybridMultilevel"/>
    <w:tmpl w:val="3092BE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F356D1"/>
    <w:multiLevelType w:val="hybridMultilevel"/>
    <w:tmpl w:val="BF360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3C2526"/>
    <w:multiLevelType w:val="multilevel"/>
    <w:tmpl w:val="4A8EA07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5" w15:restartNumberingAfterBreak="0">
    <w:nsid w:val="3E6C6B21"/>
    <w:multiLevelType w:val="hybridMultilevel"/>
    <w:tmpl w:val="0AE076CA"/>
    <w:lvl w:ilvl="0" w:tplc="46663EF0">
      <w:start w:val="3"/>
      <w:numFmt w:val="lowerRoman"/>
      <w:lvlText w:val="(%1)"/>
      <w:lvlJc w:val="left"/>
      <w:pPr>
        <w:tabs>
          <w:tab w:val="num" w:pos="1004"/>
        </w:tabs>
        <w:ind w:left="1004" w:hanging="720"/>
      </w:pPr>
      <w:rPr>
        <w:rFonts w:hint="default"/>
      </w:rPr>
    </w:lvl>
    <w:lvl w:ilvl="1" w:tplc="0C090019" w:tentative="1">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16" w15:restartNumberingAfterBreak="0">
    <w:nsid w:val="3FAE294E"/>
    <w:multiLevelType w:val="hybridMultilevel"/>
    <w:tmpl w:val="6CCC6CAC"/>
    <w:lvl w:ilvl="0" w:tplc="DA3A81C2">
      <w:start w:val="1"/>
      <w:numFmt w:val="lowerRoman"/>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3863D91"/>
    <w:multiLevelType w:val="hybridMultilevel"/>
    <w:tmpl w:val="1C4CD62E"/>
    <w:lvl w:ilvl="0" w:tplc="0C090001">
      <w:start w:val="1"/>
      <w:numFmt w:val="bullet"/>
      <w:lvlText w:val=""/>
      <w:lvlJc w:val="left"/>
      <w:pPr>
        <w:tabs>
          <w:tab w:val="num" w:pos="1004"/>
        </w:tabs>
        <w:ind w:left="1004" w:hanging="360"/>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47F7BF0"/>
    <w:multiLevelType w:val="hybridMultilevel"/>
    <w:tmpl w:val="09C40C9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76F288A"/>
    <w:multiLevelType w:val="hybridMultilevel"/>
    <w:tmpl w:val="A75880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7F53F0"/>
    <w:multiLevelType w:val="multilevel"/>
    <w:tmpl w:val="83C0E4AE"/>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1" w15:restartNumberingAfterBreak="0">
    <w:nsid w:val="4B565667"/>
    <w:multiLevelType w:val="multilevel"/>
    <w:tmpl w:val="5D9A3B7C"/>
    <w:numStyleLink w:val="BulletsList"/>
  </w:abstractNum>
  <w:abstractNum w:abstractNumId="22" w15:restartNumberingAfterBreak="0">
    <w:nsid w:val="4EC64663"/>
    <w:multiLevelType w:val="hybridMultilevel"/>
    <w:tmpl w:val="3A227D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101A42"/>
    <w:multiLevelType w:val="multilevel"/>
    <w:tmpl w:val="0196224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599B5AFC"/>
    <w:multiLevelType w:val="multilevel"/>
    <w:tmpl w:val="0C4AEB6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6" w15:restartNumberingAfterBreak="0">
    <w:nsid w:val="5C573733"/>
    <w:multiLevelType w:val="multilevel"/>
    <w:tmpl w:val="C014500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9"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7A265C4D"/>
    <w:multiLevelType w:val="multilevel"/>
    <w:tmpl w:val="4D32E89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num w:numId="1">
    <w:abstractNumId w:val="28"/>
  </w:num>
  <w:num w:numId="2">
    <w:abstractNumId w:val="3"/>
  </w:num>
  <w:num w:numId="3">
    <w:abstractNumId w:val="10"/>
  </w:num>
  <w:num w:numId="4">
    <w:abstractNumId w:val="24"/>
  </w:num>
  <w:num w:numId="5">
    <w:abstractNumId w:val="27"/>
  </w:num>
  <w:num w:numId="6">
    <w:abstractNumId w:val="3"/>
  </w:num>
  <w:num w:numId="7">
    <w:abstractNumId w:val="10"/>
  </w:num>
  <w:num w:numId="8">
    <w:abstractNumId w:val="4"/>
  </w:num>
  <w:num w:numId="9">
    <w:abstractNumId w:val="29"/>
  </w:num>
  <w:num w:numId="10">
    <w:abstractNumId w:val="21"/>
  </w:num>
  <w:num w:numId="11">
    <w:abstractNumId w:val="18"/>
  </w:num>
  <w:num w:numId="12">
    <w:abstractNumId w:val="16"/>
  </w:num>
  <w:num w:numId="13">
    <w:abstractNumId w:val="13"/>
  </w:num>
  <w:num w:numId="14">
    <w:abstractNumId w:val="7"/>
  </w:num>
  <w:num w:numId="15">
    <w:abstractNumId w:val="26"/>
  </w:num>
  <w:num w:numId="16">
    <w:abstractNumId w:val="14"/>
  </w:num>
  <w:num w:numId="17">
    <w:abstractNumId w:val="30"/>
  </w:num>
  <w:num w:numId="18">
    <w:abstractNumId w:val="20"/>
  </w:num>
  <w:num w:numId="19">
    <w:abstractNumId w:val="2"/>
  </w:num>
  <w:num w:numId="20">
    <w:abstractNumId w:val="0"/>
  </w:num>
  <w:num w:numId="21">
    <w:abstractNumId w:val="25"/>
  </w:num>
  <w:num w:numId="22">
    <w:abstractNumId w:val="11"/>
  </w:num>
  <w:num w:numId="23">
    <w:abstractNumId w:val="5"/>
  </w:num>
  <w:num w:numId="24">
    <w:abstractNumId w:val="6"/>
  </w:num>
  <w:num w:numId="25">
    <w:abstractNumId w:val="1"/>
  </w:num>
  <w:num w:numId="26">
    <w:abstractNumId w:val="12"/>
  </w:num>
  <w:num w:numId="27">
    <w:abstractNumId w:val="9"/>
  </w:num>
  <w:num w:numId="28">
    <w:abstractNumId w:val="8"/>
  </w:num>
  <w:num w:numId="29">
    <w:abstractNumId w:val="15"/>
  </w:num>
  <w:num w:numId="30">
    <w:abstractNumId w:val="19"/>
  </w:num>
  <w:num w:numId="31">
    <w:abstractNumId w:val="22"/>
  </w:num>
  <w:num w:numId="32">
    <w:abstractNumId w:val="17"/>
  </w:num>
  <w:num w:numId="33">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004B"/>
    <w:rsid w:val="00000097"/>
    <w:rsid w:val="00003DAC"/>
    <w:rsid w:val="00013F0E"/>
    <w:rsid w:val="00016EC6"/>
    <w:rsid w:val="0002080A"/>
    <w:rsid w:val="00027287"/>
    <w:rsid w:val="0002782F"/>
    <w:rsid w:val="000356C3"/>
    <w:rsid w:val="000361E2"/>
    <w:rsid w:val="00050C61"/>
    <w:rsid w:val="000524C5"/>
    <w:rsid w:val="00052969"/>
    <w:rsid w:val="00052CD8"/>
    <w:rsid w:val="00054E4D"/>
    <w:rsid w:val="00057479"/>
    <w:rsid w:val="00060073"/>
    <w:rsid w:val="00064004"/>
    <w:rsid w:val="00071D07"/>
    <w:rsid w:val="00083F26"/>
    <w:rsid w:val="0009158E"/>
    <w:rsid w:val="000A545C"/>
    <w:rsid w:val="000B3155"/>
    <w:rsid w:val="000B321A"/>
    <w:rsid w:val="000D522D"/>
    <w:rsid w:val="000E0DD4"/>
    <w:rsid w:val="000E5170"/>
    <w:rsid w:val="000E79F6"/>
    <w:rsid w:val="000F2A97"/>
    <w:rsid w:val="000F46EE"/>
    <w:rsid w:val="000F60BF"/>
    <w:rsid w:val="00114CFC"/>
    <w:rsid w:val="001158C5"/>
    <w:rsid w:val="00120070"/>
    <w:rsid w:val="001250CF"/>
    <w:rsid w:val="00141E3E"/>
    <w:rsid w:val="00151177"/>
    <w:rsid w:val="00152C3F"/>
    <w:rsid w:val="001541EA"/>
    <w:rsid w:val="00157C34"/>
    <w:rsid w:val="001860C8"/>
    <w:rsid w:val="00196154"/>
    <w:rsid w:val="001A79DE"/>
    <w:rsid w:val="001C013B"/>
    <w:rsid w:val="001C7935"/>
    <w:rsid w:val="001C7CA0"/>
    <w:rsid w:val="001D663E"/>
    <w:rsid w:val="001E1DC0"/>
    <w:rsid w:val="001E20E4"/>
    <w:rsid w:val="001E7942"/>
    <w:rsid w:val="0020031D"/>
    <w:rsid w:val="00203BF7"/>
    <w:rsid w:val="00204899"/>
    <w:rsid w:val="002160E5"/>
    <w:rsid w:val="0022186C"/>
    <w:rsid w:val="00227053"/>
    <w:rsid w:val="0023481D"/>
    <w:rsid w:val="00234A59"/>
    <w:rsid w:val="00237977"/>
    <w:rsid w:val="00240892"/>
    <w:rsid w:val="002416A4"/>
    <w:rsid w:val="00245008"/>
    <w:rsid w:val="0024653B"/>
    <w:rsid w:val="00260A13"/>
    <w:rsid w:val="002619F3"/>
    <w:rsid w:val="00271503"/>
    <w:rsid w:val="00276B76"/>
    <w:rsid w:val="002825E8"/>
    <w:rsid w:val="00285FAB"/>
    <w:rsid w:val="0028602A"/>
    <w:rsid w:val="00294C72"/>
    <w:rsid w:val="002A2C2F"/>
    <w:rsid w:val="002A5789"/>
    <w:rsid w:val="002D484F"/>
    <w:rsid w:val="002D5EE3"/>
    <w:rsid w:val="002E1234"/>
    <w:rsid w:val="002E4E7E"/>
    <w:rsid w:val="002F0EDC"/>
    <w:rsid w:val="002F2839"/>
    <w:rsid w:val="002F5E07"/>
    <w:rsid w:val="003002C0"/>
    <w:rsid w:val="00301144"/>
    <w:rsid w:val="00302516"/>
    <w:rsid w:val="003148B7"/>
    <w:rsid w:val="003158C3"/>
    <w:rsid w:val="0031766F"/>
    <w:rsid w:val="003268BB"/>
    <w:rsid w:val="003274CD"/>
    <w:rsid w:val="00333501"/>
    <w:rsid w:val="003457C4"/>
    <w:rsid w:val="0035119D"/>
    <w:rsid w:val="003567C7"/>
    <w:rsid w:val="00362BC1"/>
    <w:rsid w:val="00363B3C"/>
    <w:rsid w:val="00363C0A"/>
    <w:rsid w:val="0037698E"/>
    <w:rsid w:val="00383B26"/>
    <w:rsid w:val="003A5358"/>
    <w:rsid w:val="003B4F12"/>
    <w:rsid w:val="003C4EE0"/>
    <w:rsid w:val="003D2B87"/>
    <w:rsid w:val="003E0442"/>
    <w:rsid w:val="003E28F4"/>
    <w:rsid w:val="003F7B74"/>
    <w:rsid w:val="004161EF"/>
    <w:rsid w:val="00421089"/>
    <w:rsid w:val="004215E7"/>
    <w:rsid w:val="004230ED"/>
    <w:rsid w:val="00423F31"/>
    <w:rsid w:val="0042455D"/>
    <w:rsid w:val="00425CB9"/>
    <w:rsid w:val="00426C51"/>
    <w:rsid w:val="00427573"/>
    <w:rsid w:val="00427B4D"/>
    <w:rsid w:val="004309BF"/>
    <w:rsid w:val="00431899"/>
    <w:rsid w:val="00434616"/>
    <w:rsid w:val="00441CEA"/>
    <w:rsid w:val="00451AED"/>
    <w:rsid w:val="00456463"/>
    <w:rsid w:val="004606AC"/>
    <w:rsid w:val="00467695"/>
    <w:rsid w:val="00481CA0"/>
    <w:rsid w:val="004821BE"/>
    <w:rsid w:val="004832B4"/>
    <w:rsid w:val="00486804"/>
    <w:rsid w:val="00495F8E"/>
    <w:rsid w:val="004A6527"/>
    <w:rsid w:val="004B3775"/>
    <w:rsid w:val="004C405F"/>
    <w:rsid w:val="004D0AEE"/>
    <w:rsid w:val="004D0C44"/>
    <w:rsid w:val="004D151C"/>
    <w:rsid w:val="004D336E"/>
    <w:rsid w:val="004D34D4"/>
    <w:rsid w:val="004D4933"/>
    <w:rsid w:val="004D633C"/>
    <w:rsid w:val="004E058F"/>
    <w:rsid w:val="004E2C3D"/>
    <w:rsid w:val="004E3B87"/>
    <w:rsid w:val="004F012A"/>
    <w:rsid w:val="004F3F7A"/>
    <w:rsid w:val="004F79BF"/>
    <w:rsid w:val="00501EA3"/>
    <w:rsid w:val="00502C8A"/>
    <w:rsid w:val="00503304"/>
    <w:rsid w:val="0050405D"/>
    <w:rsid w:val="00510921"/>
    <w:rsid w:val="005109EE"/>
    <w:rsid w:val="00510AD3"/>
    <w:rsid w:val="00513348"/>
    <w:rsid w:val="005141A3"/>
    <w:rsid w:val="00521C84"/>
    <w:rsid w:val="00522603"/>
    <w:rsid w:val="0052497A"/>
    <w:rsid w:val="00531BE4"/>
    <w:rsid w:val="00531CBC"/>
    <w:rsid w:val="00533B5D"/>
    <w:rsid w:val="00543B51"/>
    <w:rsid w:val="00550D82"/>
    <w:rsid w:val="005538BC"/>
    <w:rsid w:val="0056104C"/>
    <w:rsid w:val="00562C69"/>
    <w:rsid w:val="00564C63"/>
    <w:rsid w:val="00565A27"/>
    <w:rsid w:val="005801D3"/>
    <w:rsid w:val="0058458D"/>
    <w:rsid w:val="0058530D"/>
    <w:rsid w:val="00596DED"/>
    <w:rsid w:val="005B55AA"/>
    <w:rsid w:val="005B583F"/>
    <w:rsid w:val="005D66C9"/>
    <w:rsid w:val="005F17B9"/>
    <w:rsid w:val="00600487"/>
    <w:rsid w:val="00601BFA"/>
    <w:rsid w:val="00617926"/>
    <w:rsid w:val="006221E6"/>
    <w:rsid w:val="00623BA1"/>
    <w:rsid w:val="00627558"/>
    <w:rsid w:val="00627EA4"/>
    <w:rsid w:val="006346BC"/>
    <w:rsid w:val="00634795"/>
    <w:rsid w:val="006367A2"/>
    <w:rsid w:val="00637E8B"/>
    <w:rsid w:val="00640615"/>
    <w:rsid w:val="00655169"/>
    <w:rsid w:val="00660AF5"/>
    <w:rsid w:val="00661566"/>
    <w:rsid w:val="0066652A"/>
    <w:rsid w:val="00682167"/>
    <w:rsid w:val="00687355"/>
    <w:rsid w:val="00687B3B"/>
    <w:rsid w:val="00693DA8"/>
    <w:rsid w:val="0069698B"/>
    <w:rsid w:val="006A67E3"/>
    <w:rsid w:val="006B0E2A"/>
    <w:rsid w:val="006B23B7"/>
    <w:rsid w:val="006B7671"/>
    <w:rsid w:val="006C42AF"/>
    <w:rsid w:val="006C483E"/>
    <w:rsid w:val="006D6317"/>
    <w:rsid w:val="006E2A12"/>
    <w:rsid w:val="006E2EA5"/>
    <w:rsid w:val="006E40F1"/>
    <w:rsid w:val="006F0606"/>
    <w:rsid w:val="00700B3A"/>
    <w:rsid w:val="00700CC1"/>
    <w:rsid w:val="0071086E"/>
    <w:rsid w:val="00711D8E"/>
    <w:rsid w:val="00712672"/>
    <w:rsid w:val="00734E3F"/>
    <w:rsid w:val="00736985"/>
    <w:rsid w:val="007400CC"/>
    <w:rsid w:val="00740F3C"/>
    <w:rsid w:val="00743949"/>
    <w:rsid w:val="00745DF5"/>
    <w:rsid w:val="00750DBA"/>
    <w:rsid w:val="00756044"/>
    <w:rsid w:val="00756B19"/>
    <w:rsid w:val="00761FBB"/>
    <w:rsid w:val="00764D1B"/>
    <w:rsid w:val="00774489"/>
    <w:rsid w:val="007806BC"/>
    <w:rsid w:val="00781144"/>
    <w:rsid w:val="00781DF0"/>
    <w:rsid w:val="00787323"/>
    <w:rsid w:val="0079194C"/>
    <w:rsid w:val="0079738A"/>
    <w:rsid w:val="007A26CE"/>
    <w:rsid w:val="007B42BF"/>
    <w:rsid w:val="007B6200"/>
    <w:rsid w:val="007C41DA"/>
    <w:rsid w:val="007C42D8"/>
    <w:rsid w:val="007C53F3"/>
    <w:rsid w:val="007E145C"/>
    <w:rsid w:val="007E14DE"/>
    <w:rsid w:val="007E3380"/>
    <w:rsid w:val="007F3395"/>
    <w:rsid w:val="00801B9F"/>
    <w:rsid w:val="0080559E"/>
    <w:rsid w:val="00806503"/>
    <w:rsid w:val="00810798"/>
    <w:rsid w:val="008236C7"/>
    <w:rsid w:val="00834336"/>
    <w:rsid w:val="00843F5C"/>
    <w:rsid w:val="0085011E"/>
    <w:rsid w:val="0085294F"/>
    <w:rsid w:val="008562D9"/>
    <w:rsid w:val="00857A3A"/>
    <w:rsid w:val="008830D2"/>
    <w:rsid w:val="00892441"/>
    <w:rsid w:val="00892B6A"/>
    <w:rsid w:val="008A56EE"/>
    <w:rsid w:val="008C455D"/>
    <w:rsid w:val="008C5A0E"/>
    <w:rsid w:val="008D3AC5"/>
    <w:rsid w:val="008E032F"/>
    <w:rsid w:val="008E5270"/>
    <w:rsid w:val="008E5974"/>
    <w:rsid w:val="008F516A"/>
    <w:rsid w:val="008F7B27"/>
    <w:rsid w:val="00915317"/>
    <w:rsid w:val="00937C31"/>
    <w:rsid w:val="00940328"/>
    <w:rsid w:val="0094223E"/>
    <w:rsid w:val="00945FBA"/>
    <w:rsid w:val="00961895"/>
    <w:rsid w:val="0097600B"/>
    <w:rsid w:val="00982A5F"/>
    <w:rsid w:val="00991AD4"/>
    <w:rsid w:val="009946C6"/>
    <w:rsid w:val="009A60A0"/>
    <w:rsid w:val="009B12CA"/>
    <w:rsid w:val="009B4D3B"/>
    <w:rsid w:val="009C2421"/>
    <w:rsid w:val="009D4DB8"/>
    <w:rsid w:val="009D7407"/>
    <w:rsid w:val="009E0866"/>
    <w:rsid w:val="009E4949"/>
    <w:rsid w:val="009F6423"/>
    <w:rsid w:val="00A0775F"/>
    <w:rsid w:val="00A13E4D"/>
    <w:rsid w:val="00A17935"/>
    <w:rsid w:val="00A24100"/>
    <w:rsid w:val="00A2486C"/>
    <w:rsid w:val="00A24A62"/>
    <w:rsid w:val="00A24C86"/>
    <w:rsid w:val="00A25AC7"/>
    <w:rsid w:val="00A31C9F"/>
    <w:rsid w:val="00A34976"/>
    <w:rsid w:val="00A35B93"/>
    <w:rsid w:val="00A4144F"/>
    <w:rsid w:val="00A4750C"/>
    <w:rsid w:val="00A50F7C"/>
    <w:rsid w:val="00A51AC4"/>
    <w:rsid w:val="00A5481F"/>
    <w:rsid w:val="00A607C4"/>
    <w:rsid w:val="00A6241D"/>
    <w:rsid w:val="00A65F96"/>
    <w:rsid w:val="00A75A27"/>
    <w:rsid w:val="00A943A8"/>
    <w:rsid w:val="00A9614E"/>
    <w:rsid w:val="00AA7D09"/>
    <w:rsid w:val="00AB0212"/>
    <w:rsid w:val="00AB227C"/>
    <w:rsid w:val="00AB388E"/>
    <w:rsid w:val="00AC164A"/>
    <w:rsid w:val="00AC5C34"/>
    <w:rsid w:val="00AC5D7D"/>
    <w:rsid w:val="00AD042A"/>
    <w:rsid w:val="00AE373D"/>
    <w:rsid w:val="00AF2050"/>
    <w:rsid w:val="00AF4D29"/>
    <w:rsid w:val="00AF6D5E"/>
    <w:rsid w:val="00B03CA8"/>
    <w:rsid w:val="00B169A5"/>
    <w:rsid w:val="00B244EC"/>
    <w:rsid w:val="00B24FEF"/>
    <w:rsid w:val="00B301A8"/>
    <w:rsid w:val="00B34059"/>
    <w:rsid w:val="00B34DE6"/>
    <w:rsid w:val="00B55E19"/>
    <w:rsid w:val="00B851FD"/>
    <w:rsid w:val="00B92E1E"/>
    <w:rsid w:val="00B97498"/>
    <w:rsid w:val="00BA4B6D"/>
    <w:rsid w:val="00BB19CD"/>
    <w:rsid w:val="00BB1F56"/>
    <w:rsid w:val="00BB26C5"/>
    <w:rsid w:val="00BB3C85"/>
    <w:rsid w:val="00BB4A0E"/>
    <w:rsid w:val="00BE0151"/>
    <w:rsid w:val="00BE0891"/>
    <w:rsid w:val="00BF14D0"/>
    <w:rsid w:val="00BF29D2"/>
    <w:rsid w:val="00BF3A17"/>
    <w:rsid w:val="00BF3B83"/>
    <w:rsid w:val="00BF42C0"/>
    <w:rsid w:val="00BF4DE6"/>
    <w:rsid w:val="00C00C98"/>
    <w:rsid w:val="00C04CAA"/>
    <w:rsid w:val="00C16478"/>
    <w:rsid w:val="00C16EBA"/>
    <w:rsid w:val="00C261F4"/>
    <w:rsid w:val="00C26BED"/>
    <w:rsid w:val="00C31540"/>
    <w:rsid w:val="00C3731C"/>
    <w:rsid w:val="00C42CDE"/>
    <w:rsid w:val="00C54C3C"/>
    <w:rsid w:val="00C62B0A"/>
    <w:rsid w:val="00C63EE9"/>
    <w:rsid w:val="00C7417E"/>
    <w:rsid w:val="00C75EE8"/>
    <w:rsid w:val="00C82DDF"/>
    <w:rsid w:val="00C86007"/>
    <w:rsid w:val="00C86607"/>
    <w:rsid w:val="00C93770"/>
    <w:rsid w:val="00CA37B1"/>
    <w:rsid w:val="00CA6EC9"/>
    <w:rsid w:val="00CB1959"/>
    <w:rsid w:val="00CB7B26"/>
    <w:rsid w:val="00CC3060"/>
    <w:rsid w:val="00CC3099"/>
    <w:rsid w:val="00CC431B"/>
    <w:rsid w:val="00CC4F85"/>
    <w:rsid w:val="00CD122C"/>
    <w:rsid w:val="00CD2F34"/>
    <w:rsid w:val="00CF6B72"/>
    <w:rsid w:val="00D01AD6"/>
    <w:rsid w:val="00D0296C"/>
    <w:rsid w:val="00D06416"/>
    <w:rsid w:val="00D119A1"/>
    <w:rsid w:val="00D1219C"/>
    <w:rsid w:val="00D16644"/>
    <w:rsid w:val="00D17E7D"/>
    <w:rsid w:val="00D203EB"/>
    <w:rsid w:val="00D268ED"/>
    <w:rsid w:val="00D40C15"/>
    <w:rsid w:val="00D500E9"/>
    <w:rsid w:val="00D57616"/>
    <w:rsid w:val="00D628B9"/>
    <w:rsid w:val="00D71B90"/>
    <w:rsid w:val="00D802A2"/>
    <w:rsid w:val="00D84DB0"/>
    <w:rsid w:val="00D85ACC"/>
    <w:rsid w:val="00DA362C"/>
    <w:rsid w:val="00DA5638"/>
    <w:rsid w:val="00DA5AE1"/>
    <w:rsid w:val="00DB171B"/>
    <w:rsid w:val="00DB1E69"/>
    <w:rsid w:val="00DD3967"/>
    <w:rsid w:val="00DF4AE4"/>
    <w:rsid w:val="00E1339D"/>
    <w:rsid w:val="00E31636"/>
    <w:rsid w:val="00E357B7"/>
    <w:rsid w:val="00E377D5"/>
    <w:rsid w:val="00E53800"/>
    <w:rsid w:val="00E55380"/>
    <w:rsid w:val="00E55DCD"/>
    <w:rsid w:val="00E6081F"/>
    <w:rsid w:val="00E6753E"/>
    <w:rsid w:val="00E77422"/>
    <w:rsid w:val="00E82491"/>
    <w:rsid w:val="00E839A4"/>
    <w:rsid w:val="00E844A7"/>
    <w:rsid w:val="00E96DCC"/>
    <w:rsid w:val="00EA04B2"/>
    <w:rsid w:val="00EA0BCE"/>
    <w:rsid w:val="00EA20F3"/>
    <w:rsid w:val="00EA3EC7"/>
    <w:rsid w:val="00EA74BC"/>
    <w:rsid w:val="00EB25F0"/>
    <w:rsid w:val="00ED43D1"/>
    <w:rsid w:val="00ED7D6C"/>
    <w:rsid w:val="00EE2E49"/>
    <w:rsid w:val="00EE4EE1"/>
    <w:rsid w:val="00EE671A"/>
    <w:rsid w:val="00EF0244"/>
    <w:rsid w:val="00EF23EA"/>
    <w:rsid w:val="00EF274E"/>
    <w:rsid w:val="00EF409D"/>
    <w:rsid w:val="00EF4574"/>
    <w:rsid w:val="00F04B1B"/>
    <w:rsid w:val="00F1611E"/>
    <w:rsid w:val="00F20E5E"/>
    <w:rsid w:val="00F22DFB"/>
    <w:rsid w:val="00F2684E"/>
    <w:rsid w:val="00F301A0"/>
    <w:rsid w:val="00F316BF"/>
    <w:rsid w:val="00F4791C"/>
    <w:rsid w:val="00F5404C"/>
    <w:rsid w:val="00F6098C"/>
    <w:rsid w:val="00F62B9D"/>
    <w:rsid w:val="00F63911"/>
    <w:rsid w:val="00F729EF"/>
    <w:rsid w:val="00F756A1"/>
    <w:rsid w:val="00F77CAE"/>
    <w:rsid w:val="00F832AF"/>
    <w:rsid w:val="00F86743"/>
    <w:rsid w:val="00F958AE"/>
    <w:rsid w:val="00F96BB9"/>
    <w:rsid w:val="00FA6261"/>
    <w:rsid w:val="00FB22E4"/>
    <w:rsid w:val="00FB58F8"/>
    <w:rsid w:val="00FB7EDC"/>
    <w:rsid w:val="00FC750D"/>
    <w:rsid w:val="00FC7643"/>
    <w:rsid w:val="00FD1DF4"/>
    <w:rsid w:val="00FD22B7"/>
    <w:rsid w:val="00FE6D51"/>
    <w:rsid w:val="00FE7052"/>
    <w:rsid w:val="605AC6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F9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iPriority="0" w:unhideWhenUsed="1"/>
    <w:lsdException w:name="header" w:locked="0" w:semiHidden="1" w:uiPriority="0" w:unhideWhenUsed="1"/>
    <w:lsdException w:name="footer" w:locked="0" w:semiHidden="1" w:uiPriority="0"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semiHidden="1" w:unhideWhenUsed="1"/>
    <w:lsdException w:name="page number" w:locked="0" w:semiHidden="1" w:unhideWhenUsed="1"/>
    <w:lsdException w:name="endnote reference" w:locked="0" w:semiHidden="1" w:uiPriority="0" w:unhideWhenUsed="1"/>
    <w:lsdException w:name="endnote text" w:locked="0"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qFormat/>
    <w:rsid w:val="008E5270"/>
    <w:pPr>
      <w:keepNext/>
      <w:keepLines/>
      <w:spacing w:before="300" w:after="204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Heading1"/>
    <w:next w:val="Normal"/>
    <w:link w:val="Heading2Char"/>
    <w:unhideWhenUsed/>
    <w:qFormat/>
    <w:rsid w:val="00AA7D09"/>
    <w:pPr>
      <w:spacing w:before="120" w:after="60" w:line="360" w:lineRule="atLeast"/>
      <w:outlineLvl w:val="1"/>
    </w:pPr>
    <w:rPr>
      <w:b w:val="0"/>
      <w:bCs w:val="0"/>
      <w:caps w:val="0"/>
      <w:color w:val="495965" w:themeColor="text2"/>
      <w:sz w:val="30"/>
      <w:szCs w:val="26"/>
    </w:rPr>
  </w:style>
  <w:style w:type="paragraph" w:styleId="Heading3">
    <w:name w:val="heading 3"/>
    <w:basedOn w:val="Heading2"/>
    <w:next w:val="Normal"/>
    <w:link w:val="Heading3Char"/>
    <w:unhideWhenUsed/>
    <w:qFormat/>
    <w:rsid w:val="00640615"/>
    <w:pPr>
      <w:outlineLvl w:val="2"/>
    </w:pPr>
    <w:rPr>
      <w:b/>
      <w:bCs/>
      <w:i/>
      <w:sz w:val="22"/>
      <w:lang w:val="en-AU"/>
    </w:rPr>
  </w:style>
  <w:style w:type="paragraph" w:styleId="Heading4">
    <w:name w:val="heading 4"/>
    <w:basedOn w:val="Heading3"/>
    <w:next w:val="Normal"/>
    <w:link w:val="Heading4Char"/>
    <w:unhideWhenUsed/>
    <w:qFormat/>
    <w:rsid w:val="00C82DDF"/>
    <w:pPr>
      <w:spacing w:before="240" w:line="280" w:lineRule="atLeast"/>
      <w:outlineLvl w:val="3"/>
    </w:pPr>
    <w:rPr>
      <w:i w:val="0"/>
      <w:iCs/>
      <w:caps/>
    </w:rPr>
  </w:style>
  <w:style w:type="paragraph" w:styleId="Heading5">
    <w:name w:val="heading 5"/>
    <w:basedOn w:val="Heading4"/>
    <w:next w:val="Normal"/>
    <w:link w:val="Heading5Char"/>
    <w:uiPriority w:val="9"/>
    <w:unhideWhenUsed/>
    <w:qFormat/>
    <w:rsid w:val="00501EA3"/>
    <w:pPr>
      <w:spacing w:line="200" w:lineRule="atLeast"/>
      <w:outlineLvl w:val="4"/>
    </w:pPr>
    <w:rPr>
      <w:b w:val="0"/>
      <w:sz w:val="16"/>
    </w:rPr>
  </w:style>
  <w:style w:type="paragraph" w:styleId="Heading6">
    <w:name w:val="heading 6"/>
    <w:basedOn w:val="Heading5"/>
    <w:next w:val="Normal"/>
    <w:link w:val="Heading6Char"/>
    <w:uiPriority w:val="9"/>
    <w:unhideWhenUsed/>
    <w:qFormat/>
    <w:rsid w:val="00501EA3"/>
    <w:pPr>
      <w:spacing w:before="40"/>
      <w:outlineLvl w:val="5"/>
    </w:pPr>
    <w:rPr>
      <w:b/>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270"/>
    <w:rPr>
      <w:rFonts w:asciiTheme="majorHAnsi" w:eastAsiaTheme="majorEastAsia" w:hAnsiTheme="majorHAnsi" w:cstheme="majorBidi"/>
      <w:b/>
      <w:bCs/>
      <w:caps/>
      <w:color w:val="FFFFFF" w:themeColor="background1"/>
      <w:sz w:val="38"/>
      <w:szCs w:val="28"/>
      <w:lang w:val="en-GB"/>
    </w:rPr>
  </w:style>
  <w:style w:type="character" w:customStyle="1" w:styleId="Heading2Char">
    <w:name w:val="Heading 2 Char"/>
    <w:basedOn w:val="DefaultParagraphFont"/>
    <w:link w:val="Heading2"/>
    <w:rsid w:val="00AA7D09"/>
    <w:rPr>
      <w:rFonts w:asciiTheme="majorHAnsi" w:eastAsiaTheme="majorEastAsia" w:hAnsiTheme="majorHAnsi" w:cstheme="majorBidi"/>
      <w:color w:val="495965" w:themeColor="text2"/>
      <w:sz w:val="30"/>
      <w:szCs w:val="26"/>
      <w:lang w:val="en-GB"/>
    </w:rPr>
  </w:style>
  <w:style w:type="character" w:customStyle="1" w:styleId="Heading3Char">
    <w:name w:val="Heading 3 Char"/>
    <w:basedOn w:val="DefaultParagraphFont"/>
    <w:link w:val="Heading3"/>
    <w:rsid w:val="00640615"/>
    <w:rPr>
      <w:rFonts w:asciiTheme="majorHAnsi" w:eastAsiaTheme="majorEastAsia" w:hAnsiTheme="majorHAnsi" w:cstheme="majorBidi"/>
      <w:b/>
      <w:bCs/>
      <w:i/>
      <w:color w:val="495965" w:themeColor="text2"/>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AC5D7D"/>
    <w:pPr>
      <w:numPr>
        <w:numId w:val="10"/>
      </w:numPr>
      <w:tabs>
        <w:tab w:val="clear" w:pos="284"/>
        <w:tab w:val="left" w:pos="567"/>
      </w:tabs>
      <w:spacing w:before="60"/>
      <w:ind w:left="567" w:hanging="567"/>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pPr>
    <w:rPr>
      <w:bCs/>
    </w:rPr>
  </w:style>
  <w:style w:type="paragraph" w:customStyle="1" w:styleId="Heading3Numbered">
    <w:name w:val="Heading 3 Numbered"/>
    <w:basedOn w:val="Heading3"/>
    <w:next w:val="Normal"/>
    <w:qFormat/>
    <w:rsid w:val="00501EA3"/>
    <w:pPr>
      <w:numPr>
        <w:ilvl w:val="2"/>
        <w:numId w:val="7"/>
      </w:numPr>
      <w:spacing w:before="30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9D4DB8"/>
    <w:pPr>
      <w:suppressAutoHyphens w:val="0"/>
      <w:spacing w:before="240" w:after="1800"/>
      <w:contextualSpacing w:val="0"/>
      <w:outlineLvl w:val="9"/>
    </w:pPr>
    <w:rPr>
      <w:bCs w:val="0"/>
      <w:szCs w:val="32"/>
    </w:rPr>
  </w:style>
  <w:style w:type="character" w:customStyle="1" w:styleId="Heading4Char">
    <w:name w:val="Heading 4 Char"/>
    <w:basedOn w:val="DefaultParagraphFont"/>
    <w:link w:val="Heading4"/>
    <w:rsid w:val="00C82DDF"/>
    <w:rPr>
      <w:rFonts w:asciiTheme="majorHAnsi" w:eastAsiaTheme="majorEastAsia" w:hAnsiTheme="majorHAnsi" w:cstheme="majorBidi"/>
      <w:bCs/>
      <w:i/>
      <w:iCs/>
      <w:caps/>
      <w:color w:val="495965" w:themeColor="text2"/>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7806BC"/>
    <w:pPr>
      <w:spacing w:before="400" w:after="400" w:line="280" w:lineRule="exact"/>
    </w:pPr>
    <w:rPr>
      <w:b/>
      <w:caps/>
      <w:color w:val="ACD08C" w:themeColor="accent2"/>
      <w:sz w:val="28"/>
    </w:rPr>
  </w:style>
  <w:style w:type="table" w:styleId="TableGrid">
    <w:name w:val="Table Grid"/>
    <w:basedOn w:val="TableNormal"/>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AA7D09"/>
    <w:pPr>
      <w:spacing w:after="1560"/>
    </w:pPr>
  </w:style>
  <w:style w:type="paragraph" w:styleId="BalloonText">
    <w:name w:val="Balloon Text"/>
    <w:basedOn w:val="Normal"/>
    <w:link w:val="BalloonTextChar"/>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nhideWhenUsed/>
    <w:qFormat/>
    <w:rsid w:val="00BF3A17"/>
  </w:style>
  <w:style w:type="character" w:customStyle="1" w:styleId="BodyTextChar">
    <w:name w:val="Body Text Char"/>
    <w:basedOn w:val="DefaultParagraphFont"/>
    <w:link w:val="BodyText"/>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8"/>
      </w:numPr>
      <w:ind w:left="454" w:hanging="170"/>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basedOn w:val="Normal"/>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nhideWhenUsed/>
    <w:rsid w:val="00425CB9"/>
    <w:rPr>
      <w:sz w:val="16"/>
      <w:szCs w:val="16"/>
    </w:rPr>
  </w:style>
  <w:style w:type="paragraph" w:styleId="CommentText">
    <w:name w:val="annotation text"/>
    <w:basedOn w:val="Normal"/>
    <w:link w:val="CommentTextChar"/>
    <w:unhideWhenUsed/>
    <w:rsid w:val="00425CB9"/>
    <w:pPr>
      <w:spacing w:line="240" w:lineRule="auto"/>
    </w:pPr>
    <w:rPr>
      <w:sz w:val="20"/>
      <w:szCs w:val="20"/>
    </w:rPr>
  </w:style>
  <w:style w:type="character" w:customStyle="1" w:styleId="CommentTextChar">
    <w:name w:val="Comment Text Char"/>
    <w:basedOn w:val="DefaultParagraphFont"/>
    <w:link w:val="CommentText"/>
    <w:rsid w:val="00425CB9"/>
    <w:rPr>
      <w:color w:val="495965" w:themeColor="text2"/>
      <w:sz w:val="20"/>
      <w:szCs w:val="20"/>
      <w:lang w:val="en-GB"/>
    </w:rPr>
  </w:style>
  <w:style w:type="paragraph" w:styleId="CommentSubject">
    <w:name w:val="annotation subject"/>
    <w:basedOn w:val="CommentText"/>
    <w:next w:val="CommentText"/>
    <w:link w:val="CommentSubjectChar"/>
    <w:unhideWhenUsed/>
    <w:rsid w:val="00425CB9"/>
    <w:rPr>
      <w:b/>
      <w:bCs/>
    </w:rPr>
  </w:style>
  <w:style w:type="character" w:customStyle="1" w:styleId="CommentSubjectChar">
    <w:name w:val="Comment Subject Char"/>
    <w:basedOn w:val="CommentTextChar"/>
    <w:link w:val="CommentSubject"/>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paragraph" w:styleId="NormalWeb">
    <w:name w:val="Normal (Web)"/>
    <w:basedOn w:val="Normal"/>
    <w:uiPriority w:val="99"/>
    <w:semiHidden/>
    <w:unhideWhenUsed/>
    <w:rsid w:val="00D84DB0"/>
    <w:pPr>
      <w:suppressAutoHyphens w:val="0"/>
      <w:spacing w:before="100" w:beforeAutospacing="1" w:after="100" w:afterAutospacing="1" w:line="240" w:lineRule="auto"/>
    </w:pPr>
    <w:rPr>
      <w:rFonts w:ascii="Times New Roman" w:eastAsiaTheme="minorEastAsia" w:hAnsi="Times New Roman" w:cs="Times New Roman"/>
      <w:color w:val="auto"/>
      <w:sz w:val="24"/>
      <w:szCs w:val="24"/>
      <w:lang w:val="en-AU" w:eastAsia="en-AU"/>
    </w:rPr>
  </w:style>
  <w:style w:type="paragraph" w:customStyle="1" w:styleId="Text">
    <w:name w:val="Text"/>
    <w:basedOn w:val="Normal"/>
    <w:rsid w:val="00D84DB0"/>
    <w:pPr>
      <w:suppressAutoHyphens w:val="0"/>
      <w:spacing w:before="0" w:after="120" w:line="280" w:lineRule="exact"/>
      <w:jc w:val="both"/>
    </w:pPr>
    <w:rPr>
      <w:rFonts w:ascii="Arial" w:eastAsia="Times New Roman" w:hAnsi="Arial" w:cs="Times New Roman"/>
      <w:color w:val="auto"/>
      <w:lang w:val="en-AU" w:eastAsia="zh-CN"/>
    </w:rPr>
  </w:style>
  <w:style w:type="paragraph" w:customStyle="1" w:styleId="PUBHeadingMinor2">
    <w:name w:val="PUB Heading Minor 2"/>
    <w:basedOn w:val="Heading2"/>
    <w:qFormat/>
    <w:rsid w:val="00D84DB0"/>
    <w:pPr>
      <w:keepLines w:val="0"/>
      <w:suppressAutoHyphens w:val="0"/>
      <w:spacing w:before="360" w:line="240" w:lineRule="exact"/>
      <w:contextualSpacing w:val="0"/>
      <w:jc w:val="both"/>
    </w:pPr>
    <w:rPr>
      <w:rFonts w:ascii="Arial" w:eastAsia="Times New Roman" w:hAnsi="Arial" w:cs="Arial"/>
      <w:b/>
      <w:iCs/>
      <w:caps/>
      <w:color w:val="43695B"/>
      <w:sz w:val="22"/>
      <w:szCs w:val="20"/>
      <w:lang w:val="en-AU" w:eastAsia="zh-CN"/>
    </w:rPr>
  </w:style>
  <w:style w:type="paragraph" w:customStyle="1" w:styleId="PUBHeadingMinor3">
    <w:name w:val="PUB Heading Minor 3"/>
    <w:basedOn w:val="Heading2"/>
    <w:link w:val="PUBHeadingMinor3Char"/>
    <w:qFormat/>
    <w:rsid w:val="00D84DB0"/>
    <w:pPr>
      <w:keepLines w:val="0"/>
      <w:suppressAutoHyphens w:val="0"/>
      <w:spacing w:line="240" w:lineRule="exact"/>
      <w:contextualSpacing w:val="0"/>
      <w:jc w:val="both"/>
    </w:pPr>
    <w:rPr>
      <w:rFonts w:ascii="Arial" w:eastAsia="Times New Roman" w:hAnsi="Arial" w:cs="Arial"/>
      <w:b/>
      <w:i/>
      <w:iCs/>
      <w:caps/>
      <w:color w:val="43695B"/>
      <w:sz w:val="20"/>
      <w:szCs w:val="19"/>
      <w:lang w:val="en-AU" w:eastAsia="zh-CN"/>
    </w:rPr>
  </w:style>
  <w:style w:type="paragraph" w:customStyle="1" w:styleId="HeadingMinor4">
    <w:name w:val="Heading Minor 4"/>
    <w:basedOn w:val="Normal"/>
    <w:qFormat/>
    <w:rsid w:val="00E55DCD"/>
    <w:pPr>
      <w:suppressAutoHyphens w:val="0"/>
      <w:spacing w:after="120" w:line="240" w:lineRule="exact"/>
      <w:jc w:val="both"/>
    </w:pPr>
    <w:rPr>
      <w:rFonts w:asciiTheme="majorHAnsi" w:eastAsia="Times New Roman" w:hAnsiTheme="majorHAnsi" w:cs="Arial"/>
      <w:i/>
      <w:szCs w:val="19"/>
      <w:lang w:val="en-AU" w:eastAsia="zh-CN"/>
    </w:rPr>
  </w:style>
  <w:style w:type="paragraph" w:customStyle="1" w:styleId="CP">
    <w:name w:val="CP"/>
    <w:rsid w:val="00003DAC"/>
    <w:pPr>
      <w:tabs>
        <w:tab w:val="left" w:pos="2880"/>
      </w:tabs>
      <w:spacing w:after="240" w:line="240" w:lineRule="atLeast"/>
      <w:ind w:left="2880" w:hanging="2880"/>
    </w:pPr>
    <w:rPr>
      <w:rFonts w:ascii="timesroman" w:eastAsia="Times New Roman" w:hAnsi="timesroman" w:cs="Times New Roman"/>
      <w:sz w:val="24"/>
      <w:szCs w:val="24"/>
      <w:lang w:val="en-GB" w:eastAsia="zh-CN"/>
    </w:rPr>
  </w:style>
  <w:style w:type="paragraph" w:customStyle="1" w:styleId="DI">
    <w:name w:val="DI"/>
    <w:rsid w:val="00003DAC"/>
    <w:pPr>
      <w:tabs>
        <w:tab w:val="left" w:pos="720"/>
        <w:tab w:val="left" w:pos="1080"/>
        <w:tab w:val="right" w:pos="9504"/>
      </w:tabs>
      <w:spacing w:after="240" w:line="240" w:lineRule="atLeast"/>
    </w:pPr>
    <w:rPr>
      <w:rFonts w:ascii="CG Times (W1)" w:eastAsia="Times New Roman" w:hAnsi="CG Times (W1)" w:cs="Times New Roman"/>
      <w:sz w:val="24"/>
      <w:szCs w:val="24"/>
      <w:lang w:val="en-GB" w:eastAsia="zh-CN"/>
    </w:rPr>
  </w:style>
  <w:style w:type="paragraph" w:customStyle="1" w:styleId="RP">
    <w:name w:val="RP"/>
    <w:rsid w:val="00003DAC"/>
    <w:pPr>
      <w:tabs>
        <w:tab w:val="right" w:pos="8784"/>
      </w:tabs>
      <w:spacing w:after="240" w:line="240" w:lineRule="atLeast"/>
    </w:pPr>
    <w:rPr>
      <w:rFonts w:ascii="CG Times (W1)" w:eastAsia="Times New Roman" w:hAnsi="CG Times (W1)" w:cs="Times New Roman"/>
      <w:sz w:val="24"/>
      <w:szCs w:val="24"/>
      <w:lang w:val="en-GB" w:eastAsia="zh-CN"/>
    </w:rPr>
  </w:style>
  <w:style w:type="paragraph" w:customStyle="1" w:styleId="CH">
    <w:name w:val="CH"/>
    <w:rsid w:val="00003DAC"/>
    <w:pPr>
      <w:framePr w:hSpace="240" w:vSpace="240" w:wrap="auto" w:hAnchor="margin" w:yAlign="center"/>
      <w:spacing w:after="1440" w:line="240" w:lineRule="atLeast"/>
      <w:jc w:val="center"/>
    </w:pPr>
    <w:rPr>
      <w:rFonts w:ascii="timesroman" w:eastAsia="Times New Roman" w:hAnsi="timesroman" w:cs="Times New Roman"/>
      <w:b/>
      <w:bCs/>
      <w:sz w:val="26"/>
      <w:szCs w:val="26"/>
      <w:lang w:val="en-GB" w:eastAsia="zh-CN"/>
    </w:rPr>
  </w:style>
  <w:style w:type="paragraph" w:customStyle="1" w:styleId="QuoteHeading">
    <w:name w:val="Quote Heading"/>
    <w:basedOn w:val="Quote"/>
    <w:qFormat/>
    <w:locked/>
    <w:rsid w:val="00003DAC"/>
    <w:rPr>
      <w:b/>
      <w:sz w:val="20"/>
      <w:lang w:val="en-GB"/>
    </w:rPr>
  </w:style>
  <w:style w:type="paragraph" w:customStyle="1" w:styleId="GreyRoundBoxText">
    <w:name w:val="Grey Round Box Text"/>
    <w:basedOn w:val="Normal"/>
    <w:rsid w:val="00003DAC"/>
    <w:pPr>
      <w:spacing w:before="0"/>
    </w:pPr>
    <w:rPr>
      <w:b/>
      <w:caps/>
      <w:color w:val="FFFFFF" w:themeColor="background1"/>
      <w:sz w:val="18"/>
    </w:rPr>
  </w:style>
  <w:style w:type="character" w:customStyle="1" w:styleId="Green">
    <w:name w:val="Green"/>
    <w:basedOn w:val="DefaultParagraphFont"/>
    <w:uiPriority w:val="1"/>
    <w:qFormat/>
    <w:rsid w:val="00003DAC"/>
    <w:rPr>
      <w:color w:val="ACD08C" w:themeColor="accent2"/>
    </w:rPr>
  </w:style>
  <w:style w:type="paragraph" w:customStyle="1" w:styleId="PhotoMargins">
    <w:name w:val="Photo Margins"/>
    <w:basedOn w:val="Normal"/>
    <w:qFormat/>
    <w:rsid w:val="00003DAC"/>
  </w:style>
  <w:style w:type="paragraph" w:customStyle="1" w:styleId="PhotoLeft">
    <w:name w:val="Photo Left"/>
    <w:basedOn w:val="PhotoMargins"/>
    <w:qFormat/>
    <w:rsid w:val="00003DAC"/>
    <w:pPr>
      <w:ind w:left="-851"/>
    </w:pPr>
  </w:style>
  <w:style w:type="paragraph" w:customStyle="1" w:styleId="PhotoRight">
    <w:name w:val="Photo Right"/>
    <w:basedOn w:val="PhotoMargins"/>
    <w:qFormat/>
    <w:rsid w:val="00003DAC"/>
    <w:pPr>
      <w:ind w:right="-851"/>
      <w:jc w:val="right"/>
    </w:pPr>
  </w:style>
  <w:style w:type="paragraph" w:customStyle="1" w:styleId="PhotoCaption">
    <w:name w:val="Photo Caption"/>
    <w:basedOn w:val="Normal"/>
    <w:qFormat/>
    <w:rsid w:val="00003DAC"/>
    <w:pPr>
      <w:spacing w:after="200" w:line="200" w:lineRule="atLeast"/>
      <w:jc w:val="right"/>
    </w:pPr>
    <w:rPr>
      <w:sz w:val="16"/>
    </w:rPr>
  </w:style>
  <w:style w:type="paragraph" w:customStyle="1" w:styleId="BoxHeading">
    <w:name w:val="Box Heading"/>
    <w:basedOn w:val="Heading3"/>
    <w:locked/>
    <w:rsid w:val="00003DAC"/>
    <w:pPr>
      <w:spacing w:before="60"/>
    </w:pPr>
    <w:rPr>
      <w:lang w:val="en-GB"/>
    </w:rPr>
  </w:style>
  <w:style w:type="paragraph" w:customStyle="1" w:styleId="SpacebeforeTitle">
    <w:name w:val="Space before Title"/>
    <w:basedOn w:val="Normal"/>
    <w:qFormat/>
    <w:rsid w:val="00003DAC"/>
    <w:pPr>
      <w:spacing w:after="900"/>
    </w:pPr>
  </w:style>
  <w:style w:type="paragraph" w:styleId="BodyText2">
    <w:name w:val="Body Text 2"/>
    <w:basedOn w:val="Normal"/>
    <w:link w:val="BodyText2Char"/>
    <w:uiPriority w:val="99"/>
    <w:semiHidden/>
    <w:unhideWhenUsed/>
    <w:locked/>
    <w:rsid w:val="00003DAC"/>
    <w:pPr>
      <w:spacing w:line="480" w:lineRule="auto"/>
    </w:pPr>
  </w:style>
  <w:style w:type="character" w:customStyle="1" w:styleId="BodyText2Char">
    <w:name w:val="Body Text 2 Char"/>
    <w:basedOn w:val="DefaultParagraphFont"/>
    <w:link w:val="BodyText2"/>
    <w:uiPriority w:val="99"/>
    <w:semiHidden/>
    <w:rsid w:val="00003DAC"/>
    <w:rPr>
      <w:color w:val="495965" w:themeColor="text2"/>
      <w:lang w:val="en-GB"/>
    </w:rPr>
  </w:style>
  <w:style w:type="paragraph" w:styleId="BodyText3">
    <w:name w:val="Body Text 3"/>
    <w:basedOn w:val="Normal"/>
    <w:link w:val="BodyText3Char"/>
    <w:uiPriority w:val="99"/>
    <w:semiHidden/>
    <w:unhideWhenUsed/>
    <w:locked/>
    <w:rsid w:val="00003DAC"/>
    <w:rPr>
      <w:sz w:val="16"/>
      <w:szCs w:val="16"/>
    </w:rPr>
  </w:style>
  <w:style w:type="character" w:customStyle="1" w:styleId="BodyText3Char">
    <w:name w:val="Body Text 3 Char"/>
    <w:basedOn w:val="DefaultParagraphFont"/>
    <w:link w:val="BodyText3"/>
    <w:uiPriority w:val="99"/>
    <w:semiHidden/>
    <w:rsid w:val="00003DAC"/>
    <w:rPr>
      <w:color w:val="495965" w:themeColor="text2"/>
      <w:sz w:val="16"/>
      <w:szCs w:val="16"/>
      <w:lang w:val="en-GB"/>
    </w:rPr>
  </w:style>
  <w:style w:type="paragraph" w:styleId="BodyTextIndent">
    <w:name w:val="Body Text Indent"/>
    <w:basedOn w:val="Normal"/>
    <w:link w:val="BodyTextIndentChar"/>
    <w:uiPriority w:val="99"/>
    <w:semiHidden/>
    <w:unhideWhenUsed/>
    <w:locked/>
    <w:rsid w:val="00003DAC"/>
    <w:pPr>
      <w:spacing w:after="120"/>
      <w:ind w:left="283"/>
    </w:pPr>
  </w:style>
  <w:style w:type="character" w:customStyle="1" w:styleId="BodyTextIndentChar">
    <w:name w:val="Body Text Indent Char"/>
    <w:basedOn w:val="DefaultParagraphFont"/>
    <w:link w:val="BodyTextIndent"/>
    <w:uiPriority w:val="99"/>
    <w:semiHidden/>
    <w:rsid w:val="00003DAC"/>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003DAC"/>
    <w:pPr>
      <w:spacing w:after="60"/>
      <w:ind w:left="567"/>
    </w:pPr>
  </w:style>
  <w:style w:type="character" w:customStyle="1" w:styleId="BodyTextFirstIndent2Char">
    <w:name w:val="Body Text First Indent 2 Char"/>
    <w:basedOn w:val="BodyTextIndentChar"/>
    <w:link w:val="BodyTextFirstIndent2"/>
    <w:uiPriority w:val="99"/>
    <w:semiHidden/>
    <w:rsid w:val="00003DAC"/>
    <w:rPr>
      <w:color w:val="495965" w:themeColor="text2"/>
      <w:lang w:val="en-GB"/>
    </w:rPr>
  </w:style>
  <w:style w:type="paragraph" w:styleId="BlockText">
    <w:name w:val="Block Text"/>
    <w:basedOn w:val="Normal"/>
    <w:uiPriority w:val="99"/>
    <w:unhideWhenUsed/>
    <w:locked/>
    <w:rsid w:val="00003DAC"/>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paragraph" w:customStyle="1" w:styleId="TableandChartHeading">
    <w:name w:val="Table and Chart Heading"/>
    <w:basedOn w:val="Heading2"/>
    <w:qFormat/>
    <w:rsid w:val="00003DAC"/>
    <w:pPr>
      <w:keepLines w:val="0"/>
      <w:suppressAutoHyphens w:val="0"/>
      <w:spacing w:line="240" w:lineRule="auto"/>
      <w:contextualSpacing w:val="0"/>
      <w:jc w:val="center"/>
    </w:pPr>
    <w:rPr>
      <w:rFonts w:ascii="Arial" w:eastAsia="Times New Roman" w:hAnsi="Arial" w:cs="Arial"/>
      <w:b/>
      <w:caps/>
      <w:color w:val="43695B"/>
      <w:sz w:val="20"/>
      <w:szCs w:val="19"/>
      <w:lang w:val="en-AU"/>
    </w:rPr>
  </w:style>
  <w:style w:type="character" w:customStyle="1" w:styleId="StyleItalic">
    <w:name w:val="Style Italic"/>
    <w:basedOn w:val="BodyTextChar"/>
    <w:qFormat/>
    <w:rsid w:val="00003DAC"/>
    <w:rPr>
      <w:rFonts w:ascii="Arial" w:hAnsi="Arial" w:cs="Arial"/>
      <w:i/>
      <w:iCs/>
      <w:color w:val="000000" w:themeColor="text1"/>
      <w:sz w:val="19"/>
      <w:szCs w:val="19"/>
      <w:lang w:val="en-GB" w:eastAsia="en-US"/>
    </w:rPr>
  </w:style>
  <w:style w:type="paragraph" w:customStyle="1" w:styleId="Sourceformat">
    <w:name w:val="Source format"/>
    <w:basedOn w:val="Normal"/>
    <w:rsid w:val="00003DAC"/>
    <w:pPr>
      <w:suppressAutoHyphens w:val="0"/>
      <w:spacing w:before="60" w:line="240" w:lineRule="auto"/>
    </w:pPr>
    <w:rPr>
      <w:rFonts w:ascii="Arial" w:eastAsia="Times New Roman" w:hAnsi="Arial" w:cs="Times New Roman"/>
      <w:color w:val="3D3935"/>
      <w:sz w:val="16"/>
      <w:szCs w:val="20"/>
      <w:lang w:val="en-AU"/>
    </w:rPr>
  </w:style>
  <w:style w:type="numbering" w:customStyle="1" w:styleId="Styledbullet-withoutspaces">
    <w:name w:val="Styled bullet - without spaces"/>
    <w:basedOn w:val="NoList"/>
    <w:rsid w:val="00003DAC"/>
    <w:pPr>
      <w:numPr>
        <w:numId w:val="23"/>
      </w:numPr>
    </w:pPr>
  </w:style>
  <w:style w:type="character" w:customStyle="1" w:styleId="StyleHyperlink95ptItalic">
    <w:name w:val="Style Hyperlink + 9.5 pt Italic"/>
    <w:basedOn w:val="Hyperlink"/>
    <w:rsid w:val="00003DAC"/>
    <w:rPr>
      <w:rFonts w:asciiTheme="minorHAnsi" w:hAnsiTheme="minorHAnsi" w:cs="MuseoSans-500"/>
      <w:i/>
      <w:iCs/>
      <w:color w:val="0000FF" w:themeColor="hyperlink"/>
      <w:sz w:val="19"/>
      <w:u w:val="single" w:color="0070C0"/>
    </w:rPr>
  </w:style>
  <w:style w:type="numbering" w:customStyle="1" w:styleId="StyleBulletedSymbolsymbol95ptLeft063cmHanging">
    <w:name w:val="Style Bulleted Symbol (symbol) 9.5 pt Left:  0.63 cm Hanging:  ..."/>
    <w:basedOn w:val="NoList"/>
    <w:rsid w:val="00003DAC"/>
    <w:pPr>
      <w:numPr>
        <w:numId w:val="22"/>
      </w:numPr>
    </w:pPr>
  </w:style>
  <w:style w:type="numbering" w:customStyle="1" w:styleId="Bulletstyle-withoutspaces">
    <w:name w:val="Bullet style - without spaces"/>
    <w:basedOn w:val="NoList"/>
    <w:rsid w:val="00003DAC"/>
    <w:pPr>
      <w:numPr>
        <w:numId w:val="24"/>
      </w:numPr>
    </w:pPr>
  </w:style>
  <w:style w:type="numbering" w:customStyle="1" w:styleId="Bulletstyle-withspaces">
    <w:name w:val="Bullet style - with spaces"/>
    <w:basedOn w:val="NoList"/>
    <w:rsid w:val="00003DAC"/>
    <w:pPr>
      <w:numPr>
        <w:numId w:val="25"/>
      </w:numPr>
    </w:pPr>
  </w:style>
  <w:style w:type="paragraph" w:styleId="EndnoteText">
    <w:name w:val="endnote text"/>
    <w:basedOn w:val="Normal"/>
    <w:link w:val="EndnoteTextChar"/>
    <w:rsid w:val="00003DAC"/>
    <w:pPr>
      <w:suppressAutoHyphens w:val="0"/>
      <w:spacing w:before="0" w:after="0" w:line="240" w:lineRule="auto"/>
    </w:pPr>
    <w:rPr>
      <w:rFonts w:ascii="Arial" w:eastAsia="Times New Roman" w:hAnsi="Arial" w:cs="Arial"/>
      <w:color w:val="3D3935"/>
      <w:sz w:val="20"/>
      <w:szCs w:val="20"/>
      <w:lang w:val="en-AU"/>
    </w:rPr>
  </w:style>
  <w:style w:type="character" w:customStyle="1" w:styleId="EndnoteTextChar">
    <w:name w:val="Endnote Text Char"/>
    <w:basedOn w:val="DefaultParagraphFont"/>
    <w:link w:val="EndnoteText"/>
    <w:rsid w:val="00003DAC"/>
    <w:rPr>
      <w:rFonts w:ascii="Arial" w:eastAsia="Times New Roman" w:hAnsi="Arial" w:cs="Arial"/>
      <w:color w:val="3D3935"/>
      <w:sz w:val="20"/>
      <w:szCs w:val="20"/>
    </w:rPr>
  </w:style>
  <w:style w:type="character" w:styleId="EndnoteReference">
    <w:name w:val="endnote reference"/>
    <w:basedOn w:val="DefaultParagraphFont"/>
    <w:rsid w:val="00003DAC"/>
    <w:rPr>
      <w:vertAlign w:val="superscript"/>
    </w:rPr>
  </w:style>
  <w:style w:type="paragraph" w:customStyle="1" w:styleId="HeadingMajor">
    <w:name w:val="Heading Major"/>
    <w:basedOn w:val="Normal"/>
    <w:next w:val="Normal"/>
    <w:rsid w:val="00003DAC"/>
    <w:pPr>
      <w:pageBreakBefore/>
      <w:pBdr>
        <w:top w:val="single" w:sz="12" w:space="4" w:color="auto" w:shadow="1"/>
        <w:left w:val="single" w:sz="12" w:space="4" w:color="auto" w:shadow="1"/>
        <w:bottom w:val="single" w:sz="12" w:space="4" w:color="auto" w:shadow="1"/>
        <w:right w:val="single" w:sz="12" w:space="4" w:color="auto" w:shadow="1"/>
      </w:pBdr>
      <w:shd w:val="pct10" w:color="auto" w:fill="auto"/>
      <w:suppressAutoHyphens w:val="0"/>
      <w:spacing w:after="120" w:line="360" w:lineRule="auto"/>
      <w:jc w:val="center"/>
    </w:pPr>
    <w:rPr>
      <w:rFonts w:ascii="Times New Roman" w:eastAsia="Times New Roman" w:hAnsi="Times New Roman" w:cs="Times New Roman"/>
      <w:b/>
      <w:bCs/>
      <w:color w:val="auto"/>
      <w:sz w:val="40"/>
      <w:szCs w:val="40"/>
      <w:lang w:val="en-AU" w:eastAsia="zh-CN"/>
    </w:rPr>
  </w:style>
  <w:style w:type="character" w:styleId="FollowedHyperlink">
    <w:name w:val="FollowedHyperlink"/>
    <w:basedOn w:val="DefaultParagraphFont"/>
    <w:uiPriority w:val="99"/>
    <w:rsid w:val="00003DAC"/>
    <w:rPr>
      <w:color w:val="800080" w:themeColor="followedHyperlink"/>
      <w:u w:val="single"/>
    </w:rPr>
  </w:style>
  <w:style w:type="paragraph" w:customStyle="1" w:styleId="xl66">
    <w:name w:val="xl66"/>
    <w:basedOn w:val="Normal"/>
    <w:rsid w:val="00003DAC"/>
    <w:pPr>
      <w:suppressAutoHyphens w:val="0"/>
      <w:spacing w:before="100" w:beforeAutospacing="1" w:after="100" w:afterAutospacing="1" w:line="240" w:lineRule="auto"/>
      <w:jc w:val="center"/>
    </w:pPr>
    <w:rPr>
      <w:rFonts w:ascii="Times New Roman" w:eastAsia="Times New Roman" w:hAnsi="Times New Roman" w:cs="Times New Roman"/>
      <w:color w:val="auto"/>
      <w:sz w:val="24"/>
      <w:szCs w:val="24"/>
      <w:lang w:val="en-AU" w:eastAsia="en-AU"/>
    </w:rPr>
  </w:style>
  <w:style w:type="paragraph" w:customStyle="1" w:styleId="xl67">
    <w:name w:val="xl67"/>
    <w:basedOn w:val="Normal"/>
    <w:rsid w:val="00003DAC"/>
    <w:pPr>
      <w:suppressAutoHyphens w:val="0"/>
      <w:spacing w:before="100" w:beforeAutospacing="1" w:after="100" w:afterAutospacing="1" w:line="240" w:lineRule="auto"/>
    </w:pPr>
    <w:rPr>
      <w:rFonts w:ascii="Times New Roman" w:eastAsia="Times New Roman" w:hAnsi="Times New Roman" w:cs="Times New Roman"/>
      <w:color w:val="auto"/>
      <w:sz w:val="16"/>
      <w:szCs w:val="16"/>
      <w:lang w:val="en-AU" w:eastAsia="en-AU"/>
    </w:rPr>
  </w:style>
  <w:style w:type="paragraph" w:customStyle="1" w:styleId="xl68">
    <w:name w:val="xl68"/>
    <w:basedOn w:val="Normal"/>
    <w:rsid w:val="00003DAC"/>
    <w:pPr>
      <w:suppressAutoHyphens w:val="0"/>
      <w:spacing w:before="100" w:beforeAutospacing="1" w:after="100" w:afterAutospacing="1" w:line="240" w:lineRule="auto"/>
      <w:textAlignment w:val="center"/>
    </w:pPr>
    <w:rPr>
      <w:rFonts w:ascii="Times New Roman" w:eastAsia="Times New Roman" w:hAnsi="Times New Roman" w:cs="Times New Roman"/>
      <w:color w:val="auto"/>
      <w:sz w:val="24"/>
      <w:szCs w:val="24"/>
      <w:lang w:val="en-AU" w:eastAsia="en-AU"/>
    </w:rPr>
  </w:style>
  <w:style w:type="paragraph" w:customStyle="1" w:styleId="xl69">
    <w:name w:val="xl69"/>
    <w:basedOn w:val="Normal"/>
    <w:rsid w:val="00003D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xl70">
    <w:name w:val="xl70"/>
    <w:basedOn w:val="Normal"/>
    <w:rsid w:val="00003DAC"/>
    <w:pPr>
      <w:shd w:val="clear" w:color="000000" w:fill="FFFFFF"/>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xl71">
    <w:name w:val="xl71"/>
    <w:basedOn w:val="Normal"/>
    <w:rsid w:val="00003DAC"/>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cs="Times New Roman"/>
      <w:b/>
      <w:bCs/>
      <w:color w:val="auto"/>
      <w:sz w:val="24"/>
      <w:szCs w:val="24"/>
      <w:lang w:val="en-AU" w:eastAsia="en-AU"/>
    </w:rPr>
  </w:style>
  <w:style w:type="paragraph" w:customStyle="1" w:styleId="xl72">
    <w:name w:val="xl72"/>
    <w:basedOn w:val="Normal"/>
    <w:rsid w:val="00003DAC"/>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Times New Roman" w:eastAsia="Times New Roman" w:hAnsi="Times New Roman" w:cs="Times New Roman"/>
      <w:b/>
      <w:bCs/>
      <w:color w:val="auto"/>
      <w:sz w:val="24"/>
      <w:szCs w:val="24"/>
      <w:lang w:val="en-AU" w:eastAsia="en-AU"/>
    </w:rPr>
  </w:style>
  <w:style w:type="paragraph" w:customStyle="1" w:styleId="xl73">
    <w:name w:val="xl73"/>
    <w:basedOn w:val="Normal"/>
    <w:rsid w:val="00003DAC"/>
    <w:pPr>
      <w:pBdr>
        <w:left w:val="single" w:sz="4" w:space="0" w:color="auto"/>
        <w:bottom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val="en-AU" w:eastAsia="en-AU"/>
    </w:rPr>
  </w:style>
  <w:style w:type="paragraph" w:customStyle="1" w:styleId="xl74">
    <w:name w:val="xl74"/>
    <w:basedOn w:val="Normal"/>
    <w:rsid w:val="00003DAC"/>
    <w:pPr>
      <w:pBdr>
        <w:bottom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val="en-AU" w:eastAsia="en-AU"/>
    </w:rPr>
  </w:style>
  <w:style w:type="paragraph" w:customStyle="1" w:styleId="xl75">
    <w:name w:val="xl75"/>
    <w:basedOn w:val="Normal"/>
    <w:rsid w:val="00003DAC"/>
    <w:pPr>
      <w:pBdr>
        <w:bottom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val="en-AU" w:eastAsia="en-AU"/>
    </w:rPr>
  </w:style>
  <w:style w:type="paragraph" w:customStyle="1" w:styleId="xl76">
    <w:name w:val="xl76"/>
    <w:basedOn w:val="Normal"/>
    <w:rsid w:val="00003DAC"/>
    <w:pPr>
      <w:pBdr>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val="en-AU" w:eastAsia="en-AU"/>
    </w:rPr>
  </w:style>
  <w:style w:type="paragraph" w:customStyle="1" w:styleId="xl77">
    <w:name w:val="xl77"/>
    <w:basedOn w:val="Normal"/>
    <w:rsid w:val="00003DA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xl78">
    <w:name w:val="xl78"/>
    <w:basedOn w:val="Normal"/>
    <w:rsid w:val="00003DAC"/>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eastAsia="Times New Roman" w:hAnsi="Times New Roman" w:cs="Times New Roman"/>
      <w:color w:val="auto"/>
      <w:sz w:val="24"/>
      <w:szCs w:val="24"/>
      <w:lang w:val="en-AU" w:eastAsia="en-AU"/>
    </w:rPr>
  </w:style>
  <w:style w:type="paragraph" w:customStyle="1" w:styleId="xl79">
    <w:name w:val="xl79"/>
    <w:basedOn w:val="Normal"/>
    <w:rsid w:val="00003DAC"/>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xl80">
    <w:name w:val="xl80"/>
    <w:basedOn w:val="Normal"/>
    <w:rsid w:val="00003DAC"/>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jc w:val="center"/>
    </w:pPr>
    <w:rPr>
      <w:rFonts w:ascii="Times New Roman" w:eastAsia="Times New Roman" w:hAnsi="Times New Roman" w:cs="Times New Roman"/>
      <w:color w:val="auto"/>
      <w:sz w:val="24"/>
      <w:szCs w:val="24"/>
      <w:lang w:val="en-AU" w:eastAsia="en-AU"/>
    </w:rPr>
  </w:style>
  <w:style w:type="paragraph" w:customStyle="1" w:styleId="xl81">
    <w:name w:val="xl81"/>
    <w:basedOn w:val="Normal"/>
    <w:rsid w:val="00003DA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color w:val="auto"/>
      <w:sz w:val="24"/>
      <w:szCs w:val="24"/>
      <w:lang w:val="en-AU" w:eastAsia="en-AU"/>
    </w:rPr>
  </w:style>
  <w:style w:type="paragraph" w:customStyle="1" w:styleId="xl82">
    <w:name w:val="xl82"/>
    <w:basedOn w:val="Normal"/>
    <w:rsid w:val="00003DAC"/>
    <w:pPr>
      <w:shd w:val="clear" w:color="000000" w:fill="FFFFFF"/>
      <w:suppressAutoHyphens w:val="0"/>
      <w:spacing w:before="100" w:beforeAutospacing="1" w:after="100" w:afterAutospacing="1" w:line="240" w:lineRule="auto"/>
    </w:pPr>
    <w:rPr>
      <w:rFonts w:ascii="Times New Roman" w:eastAsia="Times New Roman" w:hAnsi="Times New Roman" w:cs="Times New Roman"/>
      <w:color w:val="auto"/>
      <w:sz w:val="16"/>
      <w:szCs w:val="16"/>
      <w:lang w:val="en-AU" w:eastAsia="en-AU"/>
    </w:rPr>
  </w:style>
  <w:style w:type="paragraph" w:customStyle="1" w:styleId="xl83">
    <w:name w:val="xl83"/>
    <w:basedOn w:val="Normal"/>
    <w:rsid w:val="00003DAC"/>
    <w:pPr>
      <w:shd w:val="clear" w:color="000000" w:fill="FFFFFF"/>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xl84">
    <w:name w:val="xl84"/>
    <w:basedOn w:val="Normal"/>
    <w:rsid w:val="00003DAC"/>
    <w:pPr>
      <w:shd w:val="clear" w:color="000000" w:fill="FFFFFF"/>
      <w:suppressAutoHyphens w:val="0"/>
      <w:spacing w:before="100" w:beforeAutospacing="1" w:after="100" w:afterAutospacing="1" w:line="240" w:lineRule="auto"/>
    </w:pPr>
    <w:rPr>
      <w:rFonts w:ascii="Times New Roman" w:eastAsia="Times New Roman" w:hAnsi="Times New Roman" w:cs="Times New Roman"/>
      <w:i/>
      <w:iCs/>
      <w:color w:val="333399"/>
      <w:sz w:val="24"/>
      <w:szCs w:val="24"/>
      <w:lang w:val="en-AU" w:eastAsia="en-AU"/>
    </w:rPr>
  </w:style>
  <w:style w:type="paragraph" w:customStyle="1" w:styleId="xl85">
    <w:name w:val="xl85"/>
    <w:basedOn w:val="Normal"/>
    <w:rsid w:val="00003DAC"/>
    <w:pPr>
      <w:shd w:val="clear" w:color="000000" w:fill="D9D9D9"/>
      <w:suppressAutoHyphens w:val="0"/>
      <w:spacing w:before="100" w:beforeAutospacing="1" w:after="100" w:afterAutospacing="1" w:line="240" w:lineRule="auto"/>
    </w:pPr>
    <w:rPr>
      <w:rFonts w:ascii="Times New Roman" w:eastAsia="Times New Roman" w:hAnsi="Times New Roman" w:cs="Times New Roman"/>
      <w:color w:val="auto"/>
      <w:sz w:val="16"/>
      <w:szCs w:val="16"/>
      <w:lang w:val="en-AU" w:eastAsia="en-AU"/>
    </w:rPr>
  </w:style>
  <w:style w:type="paragraph" w:customStyle="1" w:styleId="xl86">
    <w:name w:val="xl86"/>
    <w:basedOn w:val="Normal"/>
    <w:rsid w:val="00003DAC"/>
    <w:pPr>
      <w:shd w:val="clear" w:color="000000" w:fill="D9D9D9"/>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xl87">
    <w:name w:val="xl87"/>
    <w:basedOn w:val="Normal"/>
    <w:rsid w:val="00003DAC"/>
    <w:pPr>
      <w:shd w:val="clear" w:color="000000" w:fill="D9D9D9"/>
      <w:suppressAutoHyphens w:val="0"/>
      <w:spacing w:before="100" w:beforeAutospacing="1" w:after="100" w:afterAutospacing="1" w:line="240" w:lineRule="auto"/>
    </w:pPr>
    <w:rPr>
      <w:rFonts w:ascii="Times New Roman" w:eastAsia="Times New Roman" w:hAnsi="Times New Roman" w:cs="Times New Roman"/>
      <w:i/>
      <w:iCs/>
      <w:color w:val="333399"/>
      <w:sz w:val="24"/>
      <w:szCs w:val="24"/>
      <w:lang w:val="en-AU" w:eastAsia="en-AU"/>
    </w:rPr>
  </w:style>
  <w:style w:type="paragraph" w:customStyle="1" w:styleId="xl88">
    <w:name w:val="xl88"/>
    <w:basedOn w:val="Normal"/>
    <w:rsid w:val="00003DAC"/>
    <w:pPr>
      <w:shd w:val="clear" w:color="000000" w:fill="D9D9D9"/>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customStyle="1" w:styleId="xl89">
    <w:name w:val="xl89"/>
    <w:basedOn w:val="Normal"/>
    <w:rsid w:val="00003DAC"/>
    <w:pPr>
      <w:pBdr>
        <w:top w:val="single" w:sz="4" w:space="0" w:color="auto"/>
        <w:lef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val="en-AU" w:eastAsia="en-AU"/>
    </w:rPr>
  </w:style>
  <w:style w:type="paragraph" w:customStyle="1" w:styleId="xl90">
    <w:name w:val="xl90"/>
    <w:basedOn w:val="Normal"/>
    <w:rsid w:val="00003DAC"/>
    <w:pPr>
      <w:pBdr>
        <w:top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val="en-AU" w:eastAsia="en-AU"/>
    </w:rPr>
  </w:style>
  <w:style w:type="paragraph" w:customStyle="1" w:styleId="xl91">
    <w:name w:val="xl91"/>
    <w:basedOn w:val="Normal"/>
    <w:rsid w:val="00003DAC"/>
    <w:pPr>
      <w:pBdr>
        <w:top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val="en-AU" w:eastAsia="en-AU"/>
    </w:rPr>
  </w:style>
  <w:style w:type="paragraph" w:customStyle="1" w:styleId="xl92">
    <w:name w:val="xl92"/>
    <w:basedOn w:val="Normal"/>
    <w:rsid w:val="00003DAC"/>
    <w:pPr>
      <w:suppressAutoHyphens w:val="0"/>
      <w:spacing w:before="100" w:beforeAutospacing="1" w:after="100" w:afterAutospacing="1" w:line="240" w:lineRule="auto"/>
    </w:pPr>
    <w:rPr>
      <w:rFonts w:ascii="Times New Roman" w:eastAsia="Times New Roman" w:hAnsi="Times New Roman" w:cs="Times New Roman"/>
      <w:b/>
      <w:bCs/>
      <w:color w:val="auto"/>
      <w:lang w:val="en-AU" w:eastAsia="en-AU"/>
    </w:rPr>
  </w:style>
  <w:style w:type="paragraph" w:customStyle="1" w:styleId="xl93">
    <w:name w:val="xl93"/>
    <w:basedOn w:val="Normal"/>
    <w:rsid w:val="00003DAC"/>
    <w:pPr>
      <w:pBdr>
        <w:top w:val="single" w:sz="4" w:space="0" w:color="C0C0C0"/>
        <w:left w:val="single" w:sz="4" w:space="0" w:color="auto"/>
        <w:bottom w:val="single" w:sz="4" w:space="0" w:color="C0C0C0"/>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color w:val="auto"/>
      <w:sz w:val="16"/>
      <w:szCs w:val="16"/>
      <w:lang w:val="en-AU" w:eastAsia="en-AU"/>
    </w:rPr>
  </w:style>
  <w:style w:type="paragraph" w:customStyle="1" w:styleId="xl94">
    <w:name w:val="xl94"/>
    <w:basedOn w:val="Normal"/>
    <w:rsid w:val="00003DAC"/>
    <w:pPr>
      <w:suppressAutoHyphens w:val="0"/>
      <w:spacing w:before="100" w:beforeAutospacing="1" w:after="100" w:afterAutospacing="1" w:line="240" w:lineRule="auto"/>
      <w:jc w:val="center"/>
    </w:pPr>
    <w:rPr>
      <w:rFonts w:ascii="Times New Roman" w:eastAsia="Times New Roman" w:hAnsi="Times New Roman" w:cs="Times New Roman"/>
      <w:color w:val="auto"/>
      <w:sz w:val="16"/>
      <w:szCs w:val="16"/>
      <w:lang w:val="en-AU" w:eastAsia="en-AU"/>
    </w:rPr>
  </w:style>
  <w:style w:type="paragraph" w:customStyle="1" w:styleId="xl95">
    <w:name w:val="xl95"/>
    <w:basedOn w:val="Normal"/>
    <w:rsid w:val="00003DAC"/>
    <w:pPr>
      <w:suppressAutoHyphens w:val="0"/>
      <w:spacing w:before="100" w:beforeAutospacing="1" w:after="100" w:afterAutospacing="1" w:line="240" w:lineRule="auto"/>
      <w:jc w:val="center"/>
    </w:pPr>
    <w:rPr>
      <w:rFonts w:ascii="Times New Roman" w:eastAsia="Times New Roman" w:hAnsi="Times New Roman" w:cs="Times New Roman"/>
      <w:color w:val="auto"/>
      <w:sz w:val="16"/>
      <w:szCs w:val="16"/>
      <w:lang w:val="en-AU" w:eastAsia="en-AU"/>
    </w:rPr>
  </w:style>
  <w:style w:type="paragraph" w:customStyle="1" w:styleId="xl96">
    <w:name w:val="xl96"/>
    <w:basedOn w:val="Normal"/>
    <w:rsid w:val="00003DAC"/>
    <w:pPr>
      <w:pBdr>
        <w:top w:val="single" w:sz="4" w:space="0" w:color="C0C0C0"/>
        <w:left w:val="single" w:sz="4" w:space="0" w:color="auto"/>
        <w:bottom w:val="single" w:sz="4" w:space="0" w:color="C0C0C0"/>
        <w:right w:val="single" w:sz="4" w:space="0" w:color="auto"/>
      </w:pBdr>
      <w:suppressAutoHyphens w:val="0"/>
      <w:spacing w:before="100" w:beforeAutospacing="1" w:after="100" w:afterAutospacing="1" w:line="240" w:lineRule="auto"/>
    </w:pPr>
    <w:rPr>
      <w:rFonts w:ascii="Times New Roman" w:eastAsia="Times New Roman" w:hAnsi="Times New Roman" w:cs="Times New Roman"/>
      <w:color w:val="auto"/>
      <w:sz w:val="16"/>
      <w:szCs w:val="16"/>
      <w:lang w:val="en-AU" w:eastAsia="en-AU"/>
    </w:rPr>
  </w:style>
  <w:style w:type="paragraph" w:customStyle="1" w:styleId="xl97">
    <w:name w:val="xl97"/>
    <w:basedOn w:val="Normal"/>
    <w:rsid w:val="00003DAC"/>
    <w:pPr>
      <w:pBdr>
        <w:top w:val="single" w:sz="4" w:space="0" w:color="C0C0C0"/>
        <w:left w:val="single" w:sz="4" w:space="0" w:color="auto"/>
        <w:bottom w:val="single" w:sz="4" w:space="0" w:color="C0C0C0"/>
        <w:right w:val="single" w:sz="4" w:space="0" w:color="auto"/>
      </w:pBdr>
      <w:suppressAutoHyphens w:val="0"/>
      <w:spacing w:before="100" w:beforeAutospacing="1" w:after="100" w:afterAutospacing="1" w:line="240" w:lineRule="auto"/>
    </w:pPr>
    <w:rPr>
      <w:rFonts w:ascii="Times New Roman" w:eastAsia="Times New Roman" w:hAnsi="Times New Roman" w:cs="Times New Roman"/>
      <w:color w:val="auto"/>
      <w:sz w:val="16"/>
      <w:szCs w:val="16"/>
      <w:lang w:val="en-AU" w:eastAsia="en-AU"/>
    </w:rPr>
  </w:style>
  <w:style w:type="paragraph" w:customStyle="1" w:styleId="xl98">
    <w:name w:val="xl98"/>
    <w:basedOn w:val="Normal"/>
    <w:rsid w:val="00003DAC"/>
    <w:pPr>
      <w:pBdr>
        <w:top w:val="single" w:sz="4" w:space="0" w:color="C0C0C0"/>
        <w:left w:val="single" w:sz="4" w:space="0" w:color="auto"/>
        <w:bottom w:val="single" w:sz="4" w:space="0" w:color="C0C0C0"/>
      </w:pBdr>
      <w:suppressAutoHyphens w:val="0"/>
      <w:spacing w:before="100" w:beforeAutospacing="1" w:after="100" w:afterAutospacing="1" w:line="240" w:lineRule="auto"/>
      <w:jc w:val="center"/>
    </w:pPr>
    <w:rPr>
      <w:rFonts w:ascii="Times New Roman" w:eastAsia="Times New Roman" w:hAnsi="Times New Roman" w:cs="Times New Roman"/>
      <w:color w:val="auto"/>
      <w:sz w:val="16"/>
      <w:szCs w:val="16"/>
      <w:lang w:val="en-AU" w:eastAsia="en-AU"/>
    </w:rPr>
  </w:style>
  <w:style w:type="paragraph" w:customStyle="1" w:styleId="xl99">
    <w:name w:val="xl99"/>
    <w:basedOn w:val="Normal"/>
    <w:rsid w:val="00003DAC"/>
    <w:pPr>
      <w:pBdr>
        <w:left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color w:val="auto"/>
      <w:sz w:val="16"/>
      <w:szCs w:val="16"/>
      <w:lang w:val="en-AU" w:eastAsia="en-AU"/>
    </w:rPr>
  </w:style>
  <w:style w:type="paragraph" w:customStyle="1" w:styleId="xl100">
    <w:name w:val="xl100"/>
    <w:basedOn w:val="Normal"/>
    <w:rsid w:val="00003DAC"/>
    <w:pPr>
      <w:pBdr>
        <w:top w:val="single" w:sz="4" w:space="0" w:color="C0C0C0"/>
        <w:left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color w:val="auto"/>
      <w:sz w:val="16"/>
      <w:szCs w:val="16"/>
      <w:lang w:val="en-AU" w:eastAsia="en-AU"/>
    </w:rPr>
  </w:style>
  <w:style w:type="paragraph" w:customStyle="1" w:styleId="xl101">
    <w:name w:val="xl101"/>
    <w:basedOn w:val="Normal"/>
    <w:rsid w:val="00003DAC"/>
    <w:pPr>
      <w:pBdr>
        <w:top w:val="single" w:sz="4" w:space="0" w:color="C0C0C0"/>
        <w:left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color w:val="auto"/>
      <w:sz w:val="16"/>
      <w:szCs w:val="16"/>
      <w:lang w:val="en-AU" w:eastAsia="en-AU"/>
    </w:rPr>
  </w:style>
  <w:style w:type="paragraph" w:customStyle="1" w:styleId="xl102">
    <w:name w:val="xl102"/>
    <w:basedOn w:val="Normal"/>
    <w:rsid w:val="00003DAC"/>
    <w:pPr>
      <w:pBdr>
        <w:top w:val="single" w:sz="4" w:space="0" w:color="C0C0C0"/>
        <w:lef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color w:val="auto"/>
      <w:sz w:val="16"/>
      <w:szCs w:val="16"/>
      <w:lang w:val="en-AU" w:eastAsia="en-AU"/>
    </w:rPr>
  </w:style>
  <w:style w:type="paragraph" w:customStyle="1" w:styleId="xl103">
    <w:name w:val="xl103"/>
    <w:basedOn w:val="Normal"/>
    <w:rsid w:val="00003DAC"/>
    <w:pPr>
      <w:pBdr>
        <w:right w:val="single" w:sz="4" w:space="0" w:color="auto"/>
      </w:pBdr>
      <w:suppressAutoHyphens w:val="0"/>
      <w:spacing w:before="100" w:beforeAutospacing="1" w:after="100" w:afterAutospacing="1" w:line="240" w:lineRule="auto"/>
    </w:pPr>
    <w:rPr>
      <w:rFonts w:ascii="Times New Roman" w:eastAsia="Times New Roman" w:hAnsi="Times New Roman" w:cs="Times New Roman"/>
      <w:color w:val="auto"/>
      <w:sz w:val="16"/>
      <w:szCs w:val="16"/>
      <w:lang w:val="en-AU" w:eastAsia="en-AU"/>
    </w:rPr>
  </w:style>
  <w:style w:type="paragraph" w:customStyle="1" w:styleId="xl104">
    <w:name w:val="xl104"/>
    <w:basedOn w:val="Normal"/>
    <w:rsid w:val="00003DAC"/>
    <w:pPr>
      <w:pBdr>
        <w:top w:val="single" w:sz="4" w:space="0" w:color="C0C0C0"/>
        <w:right w:val="single" w:sz="4" w:space="0" w:color="auto"/>
      </w:pBdr>
      <w:suppressAutoHyphens w:val="0"/>
      <w:spacing w:before="100" w:beforeAutospacing="1" w:after="100" w:afterAutospacing="1" w:line="240" w:lineRule="auto"/>
    </w:pPr>
    <w:rPr>
      <w:rFonts w:ascii="Times New Roman" w:eastAsia="Times New Roman" w:hAnsi="Times New Roman" w:cs="Times New Roman"/>
      <w:color w:val="auto"/>
      <w:sz w:val="16"/>
      <w:szCs w:val="16"/>
      <w:lang w:val="en-AU" w:eastAsia="en-AU"/>
    </w:rPr>
  </w:style>
  <w:style w:type="paragraph" w:customStyle="1" w:styleId="xl105">
    <w:name w:val="xl105"/>
    <w:basedOn w:val="Normal"/>
    <w:rsid w:val="00003DAC"/>
    <w:pPr>
      <w:suppressAutoHyphens w:val="0"/>
      <w:spacing w:before="100" w:beforeAutospacing="1" w:after="100" w:afterAutospacing="1" w:line="240" w:lineRule="auto"/>
      <w:jc w:val="center"/>
    </w:pPr>
    <w:rPr>
      <w:rFonts w:ascii="Times New Roman" w:eastAsia="Times New Roman" w:hAnsi="Times New Roman" w:cs="Times New Roman"/>
      <w:b/>
      <w:bCs/>
      <w:color w:val="auto"/>
      <w:lang w:val="en-AU" w:eastAsia="en-AU"/>
    </w:rPr>
  </w:style>
  <w:style w:type="paragraph" w:customStyle="1" w:styleId="PARA1">
    <w:name w:val="PARA1"/>
    <w:rsid w:val="00003DAC"/>
    <w:pPr>
      <w:tabs>
        <w:tab w:val="right" w:pos="7920"/>
      </w:tabs>
      <w:spacing w:after="240" w:line="240" w:lineRule="exact"/>
    </w:pPr>
    <w:rPr>
      <w:rFonts w:ascii="Courier" w:eastAsia="Times New Roman" w:hAnsi="Courier" w:cs="Times New Roman"/>
      <w:sz w:val="24"/>
      <w:szCs w:val="24"/>
      <w:lang w:val="en-GB" w:eastAsia="zh-CN"/>
    </w:rPr>
  </w:style>
  <w:style w:type="paragraph" w:customStyle="1" w:styleId="Headingitalic">
    <w:name w:val="Heading italic"/>
    <w:basedOn w:val="PUBHeadingMinor3"/>
    <w:link w:val="HeadingitalicChar"/>
    <w:qFormat/>
    <w:rsid w:val="00562C69"/>
    <w:pPr>
      <w:spacing w:before="240"/>
    </w:pPr>
    <w:rPr>
      <w:rFonts w:asciiTheme="majorHAnsi" w:hAnsiTheme="majorHAnsi"/>
      <w:color w:val="495965" w:themeColor="text2"/>
      <w:sz w:val="22"/>
    </w:rPr>
  </w:style>
  <w:style w:type="character" w:customStyle="1" w:styleId="PUBHeadingMinor3Char">
    <w:name w:val="PUB Heading Minor 3 Char"/>
    <w:basedOn w:val="Heading2Char"/>
    <w:link w:val="PUBHeadingMinor3"/>
    <w:rsid w:val="00EE671A"/>
    <w:rPr>
      <w:rFonts w:ascii="Arial" w:eastAsia="Times New Roman" w:hAnsi="Arial" w:cs="Arial"/>
      <w:b/>
      <w:i/>
      <w:iCs/>
      <w:caps/>
      <w:color w:val="43695B"/>
      <w:sz w:val="20"/>
      <w:szCs w:val="19"/>
      <w:lang w:val="en-GB" w:eastAsia="zh-CN"/>
    </w:rPr>
  </w:style>
  <w:style w:type="character" w:customStyle="1" w:styleId="HeadingitalicChar">
    <w:name w:val="Heading italic Char"/>
    <w:basedOn w:val="PUBHeadingMinor3Char"/>
    <w:link w:val="Headingitalic"/>
    <w:rsid w:val="00562C69"/>
    <w:rPr>
      <w:rFonts w:asciiTheme="majorHAnsi" w:eastAsia="Times New Roman" w:hAnsiTheme="majorHAnsi" w:cs="Arial"/>
      <w:b/>
      <w:i/>
      <w:iCs/>
      <w:caps/>
      <w:color w:val="495965" w:themeColor="text2"/>
      <w:sz w:val="20"/>
      <w:szCs w:val="19"/>
      <w:lang w:val="en-GB" w:eastAsia="zh-CN"/>
    </w:rPr>
  </w:style>
  <w:style w:type="paragraph" w:customStyle="1" w:styleId="PUBHeadingMinor">
    <w:name w:val="PUB Heading Minor"/>
    <w:basedOn w:val="Normal"/>
    <w:qFormat/>
    <w:rsid w:val="009D4DB8"/>
    <w:pPr>
      <w:keepNext/>
      <w:suppressAutoHyphens w:val="0"/>
      <w:spacing w:before="360" w:after="120" w:line="240" w:lineRule="exact"/>
      <w:jc w:val="both"/>
    </w:pPr>
    <w:rPr>
      <w:rFonts w:ascii="Arial" w:eastAsia="Times New Roman" w:hAnsi="Arial" w:cs="Arial"/>
      <w:b/>
      <w:bCs/>
      <w:color w:val="auto"/>
      <w:sz w:val="24"/>
      <w:lang w:val="en-AU" w:eastAsia="zh-CN"/>
    </w:rPr>
  </w:style>
  <w:style w:type="paragraph" w:customStyle="1" w:styleId="AP">
    <w:name w:val="AP"/>
    <w:basedOn w:val="Normal"/>
    <w:rsid w:val="00756B19"/>
    <w:pPr>
      <w:tabs>
        <w:tab w:val="left" w:pos="720"/>
        <w:tab w:val="right" w:pos="8784"/>
      </w:tabs>
      <w:suppressAutoHyphens w:val="0"/>
      <w:spacing w:before="0" w:after="0" w:line="240" w:lineRule="auto"/>
    </w:pPr>
    <w:rPr>
      <w:rFonts w:ascii="Times New Roman" w:eastAsia="Times New Roman" w:hAnsi="Times New Roman" w:cs="Times New Roman"/>
      <w:color w:val="auto"/>
      <w:sz w:val="24"/>
      <w:szCs w:val="24"/>
      <w:lang w:val="en-AU" w:eastAsia="zh-CN"/>
    </w:rPr>
  </w:style>
  <w:style w:type="paragraph" w:customStyle="1" w:styleId="HeadingMinor">
    <w:name w:val="Heading Minor"/>
    <w:basedOn w:val="Normal"/>
    <w:next w:val="Normal"/>
    <w:rsid w:val="00562C69"/>
    <w:pPr>
      <w:suppressAutoHyphens w:val="0"/>
      <w:spacing w:before="240" w:after="120" w:line="280" w:lineRule="exact"/>
    </w:pPr>
    <w:rPr>
      <w:rFonts w:ascii="Times New Roman" w:eastAsia="Times New Roman" w:hAnsi="Times New Roman" w:cs="Times New Roman"/>
      <w:b/>
      <w:bCs/>
      <w:color w:val="auto"/>
      <w:sz w:val="30"/>
      <w:szCs w:val="30"/>
      <w:lang w:val="en-AU" w:eastAsia="zh-CN"/>
    </w:rPr>
  </w:style>
  <w:style w:type="character" w:customStyle="1" w:styleId="bodytext1">
    <w:name w:val="bodytext1"/>
    <w:basedOn w:val="DefaultParagraphFont"/>
    <w:rsid w:val="00562C69"/>
    <w:rPr>
      <w:rFonts w:ascii="Arial" w:hAnsi="Arial" w:cs="Arial" w:hint="default"/>
      <w:color w:val="000000"/>
      <w:sz w:val="18"/>
      <w:szCs w:val="18"/>
    </w:rPr>
  </w:style>
  <w:style w:type="character" w:styleId="UnresolvedMention">
    <w:name w:val="Unresolved Mention"/>
    <w:basedOn w:val="DefaultParagraphFont"/>
    <w:uiPriority w:val="99"/>
    <w:unhideWhenUsed/>
    <w:rsid w:val="00F316BF"/>
    <w:rPr>
      <w:color w:val="605E5C"/>
      <w:shd w:val="clear" w:color="auto" w:fill="E1DFDD"/>
    </w:rPr>
  </w:style>
  <w:style w:type="character" w:styleId="Mention">
    <w:name w:val="Mention"/>
    <w:basedOn w:val="DefaultParagraphFont"/>
    <w:uiPriority w:val="99"/>
    <w:unhideWhenUsed/>
    <w:rsid w:val="00F316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900777">
      <w:bodyDiv w:val="1"/>
      <w:marLeft w:val="0"/>
      <w:marRight w:val="0"/>
      <w:marTop w:val="0"/>
      <w:marBottom w:val="0"/>
      <w:divBdr>
        <w:top w:val="none" w:sz="0" w:space="0" w:color="auto"/>
        <w:left w:val="none" w:sz="0" w:space="0" w:color="auto"/>
        <w:bottom w:val="none" w:sz="0" w:space="0" w:color="auto"/>
        <w:right w:val="none" w:sz="0" w:space="0" w:color="auto"/>
      </w:divBdr>
    </w:div>
    <w:div w:id="482157710">
      <w:bodyDiv w:val="1"/>
      <w:marLeft w:val="0"/>
      <w:marRight w:val="0"/>
      <w:marTop w:val="0"/>
      <w:marBottom w:val="0"/>
      <w:divBdr>
        <w:top w:val="none" w:sz="0" w:space="0" w:color="auto"/>
        <w:left w:val="none" w:sz="0" w:space="0" w:color="auto"/>
        <w:bottom w:val="none" w:sz="0" w:space="0" w:color="auto"/>
        <w:right w:val="none" w:sz="0" w:space="0" w:color="auto"/>
      </w:divBdr>
    </w:div>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 w:id="743532254">
      <w:bodyDiv w:val="1"/>
      <w:marLeft w:val="0"/>
      <w:marRight w:val="0"/>
      <w:marTop w:val="0"/>
      <w:marBottom w:val="0"/>
      <w:divBdr>
        <w:top w:val="none" w:sz="0" w:space="0" w:color="auto"/>
        <w:left w:val="none" w:sz="0" w:space="0" w:color="auto"/>
        <w:bottom w:val="none" w:sz="0" w:space="0" w:color="auto"/>
        <w:right w:val="none" w:sz="0" w:space="0" w:color="auto"/>
      </w:divBdr>
    </w:div>
    <w:div w:id="1437018920">
      <w:bodyDiv w:val="1"/>
      <w:marLeft w:val="0"/>
      <w:marRight w:val="0"/>
      <w:marTop w:val="0"/>
      <w:marBottom w:val="0"/>
      <w:divBdr>
        <w:top w:val="none" w:sz="0" w:space="0" w:color="auto"/>
        <w:left w:val="none" w:sz="0" w:space="0" w:color="auto"/>
        <w:bottom w:val="none" w:sz="0" w:space="0" w:color="auto"/>
        <w:right w:val="none" w:sz="0" w:space="0" w:color="auto"/>
      </w:divBdr>
    </w:div>
    <w:div w:id="152400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bs.gov.au/ausstats/abs@.nsf/mf/5362.0.55.001"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abs.gov.au/AUSSTATS/abs@.nsf/Lookup/5331.0Main+Features12011?OpenDocument"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tatssection@dfat.gov.a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unctad.org/system/files/official-document/wir2022_chMethodNote_en.pdf" TargetMode="Externa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nctad.org/topic/investment/world-investment-report" TargetMode="Externa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DECAD-0A45-401A-BF59-8E9AB5D86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3737</Words>
  <Characters>22128</Characters>
  <Application>Microsoft Office Word</Application>
  <DocSecurity>0</DocSecurity>
  <Lines>437</Lines>
  <Paragraphs>249</Paragraphs>
  <ScaleCrop>false</ScaleCrop>
  <Company/>
  <LinksUpToDate>false</LinksUpToDate>
  <CharactersWithSpaces>25675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2022-12-21T00:45:00Z</dcterms:created>
  <dcterms:modified xsi:type="dcterms:W3CDTF">2022-12-21T00:45:00Z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899E4EA469A04FB023F4432B63374BB33589BF8A</vt:lpwstr>
  </property>
  <property fmtid="{D5CDD505-2E9C-101B-9397-08002B2CF9AE}" pid="9" name="PM_Originating_FileId">
    <vt:lpwstr>96613A2BB5B24ADE80EEE8246DB76424</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2022-12-21T00:45:30Z</vt:lpwstr>
  </property>
  <property fmtid="{D5CDD505-2E9C-101B-9397-08002B2CF9AE}" pid="13" name="PM_ProtectiveMarkingImage_Header">
    <vt:lpwstr>C:\Program Files (x86)\Common Files\janusNET Shared\janusSEAL\Images\DocumentSlashBlue.png</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9D6B304B0F366016ED9FE9EE796D07F3</vt:lpwstr>
  </property>
  <property fmtid="{D5CDD505-2E9C-101B-9397-08002B2CF9AE}" pid="21" name="PM_Hash_Salt">
    <vt:lpwstr>1EDEDABDA0AF8AF97AC6B5B18528AF75</vt:lpwstr>
  </property>
  <property fmtid="{D5CDD505-2E9C-101B-9397-08002B2CF9AE}" pid="22" name="PM_Hash_SHA1">
    <vt:lpwstr>2F85FF8231A0721EE6E789E20B0F438E2DB40630</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_Display">
    <vt:lpwstr>OFFICIAL</vt:lpwstr>
  </property>
  <property fmtid="{D5CDD505-2E9C-101B-9397-08002B2CF9AE}" pid="26" name="PM_OriginatorUserAccountName_SHA256">
    <vt:lpwstr>290C9CFCFE70E139C4500567FB5830ACF9049F26A1998DDACA65669D45D5D2AD</vt:lpwstr>
  </property>
  <property fmtid="{D5CDD505-2E9C-101B-9397-08002B2CF9AE}" pid="27" name="PM_OriginatorDomainName_SHA256">
    <vt:lpwstr>6F3591835F3B2A8A025B00B5BA6418010DA3A17C9C26EA9C049FFD28039489A2</vt:lpwstr>
  </property>
  <property fmtid="{D5CDD505-2E9C-101B-9397-08002B2CF9AE}" pid="28" name="PMUuid">
    <vt:lpwstr>ABBFF5E2-9674-55C9-B08D-C9980002FD58</vt:lpwstr>
  </property>
  <property fmtid="{D5CDD505-2E9C-101B-9397-08002B2CF9AE}" pid="29" name="PMUuidVer">
    <vt:lpwstr>2022.1</vt:lpwstr>
  </property>
</Properties>
</file>