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DD5CD" w14:textId="77777777" w:rsidR="00A95CEC" w:rsidRDefault="00A95CEC" w:rsidP="00A95CEC">
      <w:pPr>
        <w:pStyle w:val="Heading2"/>
        <w:rPr>
          <w:rFonts w:ascii="Franklin Gothic Book" w:hAnsi="Franklin Gothic Book"/>
          <w:b w:val="0"/>
        </w:rPr>
      </w:pPr>
      <w:bookmarkStart w:id="0" w:name="_GoBack"/>
      <w:bookmarkEnd w:id="0"/>
    </w:p>
    <w:p w14:paraId="6A6FE094" w14:textId="77777777" w:rsidR="00A95CEC" w:rsidRDefault="00A95CEC" w:rsidP="00A95CEC">
      <w:pPr>
        <w:pStyle w:val="Heading2"/>
        <w:rPr>
          <w:rFonts w:ascii="Franklin Gothic Book" w:hAnsi="Franklin Gothic Book"/>
          <w:b w:val="0"/>
        </w:rPr>
      </w:pPr>
    </w:p>
    <w:p w14:paraId="03FDCC9F" w14:textId="77777777" w:rsidR="00712BC6" w:rsidRDefault="00712BC6" w:rsidP="00712BC6"/>
    <w:p w14:paraId="3A9FA32A" w14:textId="77777777" w:rsidR="00712BC6" w:rsidRDefault="00712BC6" w:rsidP="00712BC6"/>
    <w:p w14:paraId="19434CF7" w14:textId="77777777" w:rsidR="00712BC6" w:rsidRPr="00712BC6" w:rsidRDefault="00712BC6" w:rsidP="00712BC6"/>
    <w:p w14:paraId="61078D11" w14:textId="77777777" w:rsidR="00A95CEC" w:rsidRPr="00BD0193" w:rsidRDefault="0050667F" w:rsidP="00BD0193">
      <w:pPr>
        <w:pStyle w:val="Title"/>
        <w:pBdr>
          <w:bottom w:val="none" w:sz="0" w:space="0" w:color="auto"/>
        </w:pBdr>
        <w:jc w:val="center"/>
        <w:rPr>
          <w:b/>
          <w:color w:val="4F81BD" w:themeColor="accent1"/>
          <w:sz w:val="72"/>
          <w:szCs w:val="72"/>
        </w:rPr>
      </w:pPr>
      <w:bookmarkStart w:id="1" w:name="_Toc437723311"/>
      <w:r w:rsidRPr="00C318DA">
        <w:rPr>
          <w:b/>
          <w:color w:val="4F81BD" w:themeColor="accent1"/>
        </w:rPr>
        <w:t>Australian Humanitarian Partnership</w:t>
      </w:r>
      <w:r w:rsidR="00BD0193" w:rsidRPr="00C318DA">
        <w:rPr>
          <w:b/>
          <w:color w:val="4F81BD" w:themeColor="accent1"/>
        </w:rPr>
        <w:t>:</w:t>
      </w:r>
      <w:r w:rsidR="00BD0193">
        <w:rPr>
          <w:b/>
          <w:color w:val="4F81BD" w:themeColor="accent1"/>
          <w:sz w:val="72"/>
          <w:szCs w:val="72"/>
        </w:rPr>
        <w:t xml:space="preserve"> </w:t>
      </w:r>
      <w:r w:rsidR="00A95CEC" w:rsidRPr="00C318DA">
        <w:rPr>
          <w:b/>
          <w:color w:val="4F81BD" w:themeColor="accent1"/>
        </w:rPr>
        <w:t xml:space="preserve">A </w:t>
      </w:r>
      <w:r>
        <w:rPr>
          <w:b/>
          <w:color w:val="4F81BD" w:themeColor="accent1"/>
        </w:rPr>
        <w:t>p</w:t>
      </w:r>
      <w:r w:rsidR="00A95CEC" w:rsidRPr="00C318DA">
        <w:rPr>
          <w:b/>
          <w:color w:val="4F81BD" w:themeColor="accent1"/>
        </w:rPr>
        <w:t>artnership between DFAT and Australian NGOs</w:t>
      </w:r>
      <w:bookmarkEnd w:id="1"/>
    </w:p>
    <w:p w14:paraId="79BBB650" w14:textId="77777777" w:rsidR="00A95CEC" w:rsidRDefault="00A95CEC" w:rsidP="00A95CEC">
      <w:pPr>
        <w:pStyle w:val="Heading2"/>
        <w:rPr>
          <w:rFonts w:ascii="Franklin Gothic Book" w:hAnsi="Franklin Gothic Book"/>
          <w:b w:val="0"/>
        </w:rPr>
      </w:pPr>
    </w:p>
    <w:p w14:paraId="314E25E8" w14:textId="77777777" w:rsidR="00573A66" w:rsidRDefault="00573A66" w:rsidP="00573A66"/>
    <w:p w14:paraId="1E10FF17" w14:textId="77777777" w:rsidR="00573A66" w:rsidRPr="00573A66" w:rsidRDefault="00573A66" w:rsidP="00573A66"/>
    <w:p w14:paraId="0D16C59D" w14:textId="77777777" w:rsidR="00A95CEC" w:rsidRDefault="00A95CEC" w:rsidP="00A95CEC"/>
    <w:p w14:paraId="3DA7CA9D" w14:textId="77777777" w:rsidR="003F06C6" w:rsidRDefault="003F06C6" w:rsidP="00A95CEC"/>
    <w:p w14:paraId="6914B3D0" w14:textId="77777777" w:rsidR="003F06C6" w:rsidRDefault="003F06C6" w:rsidP="00A95CEC"/>
    <w:p w14:paraId="5A43170A" w14:textId="77777777" w:rsidR="003F06C6" w:rsidRDefault="003F06C6" w:rsidP="00A95CEC"/>
    <w:p w14:paraId="5AD7CAB9" w14:textId="77777777" w:rsidR="003F06C6" w:rsidRDefault="003F06C6" w:rsidP="00A95CEC"/>
    <w:p w14:paraId="23891139" w14:textId="77777777" w:rsidR="003F06C6" w:rsidRDefault="003F06C6" w:rsidP="00A95CEC"/>
    <w:p w14:paraId="5C666E67" w14:textId="77777777" w:rsidR="003F06C6" w:rsidRDefault="003F06C6" w:rsidP="00A95CEC"/>
    <w:p w14:paraId="60A6562F" w14:textId="77777777" w:rsidR="00A95CEC" w:rsidRPr="00A95CEC" w:rsidRDefault="00A95CEC" w:rsidP="00A95CEC"/>
    <w:p w14:paraId="68453113" w14:textId="77777777" w:rsidR="00A95CEC" w:rsidRPr="00A95CEC" w:rsidRDefault="00A95CEC" w:rsidP="00A95CEC">
      <w:pPr>
        <w:jc w:val="center"/>
        <w:rPr>
          <w:b/>
          <w:i/>
          <w:sz w:val="32"/>
          <w:szCs w:val="32"/>
        </w:rPr>
      </w:pPr>
      <w:r w:rsidRPr="00A95CEC">
        <w:rPr>
          <w:b/>
          <w:i/>
          <w:sz w:val="32"/>
          <w:szCs w:val="32"/>
        </w:rPr>
        <w:t>“Build diverse and inclusive partnerships</w:t>
      </w:r>
    </w:p>
    <w:p w14:paraId="4178843D" w14:textId="77777777" w:rsidR="00A95CEC" w:rsidRPr="00A95CEC" w:rsidRDefault="00A95CEC" w:rsidP="00A95CEC">
      <w:pPr>
        <w:jc w:val="center"/>
        <w:rPr>
          <w:b/>
          <w:i/>
          <w:sz w:val="32"/>
          <w:szCs w:val="32"/>
        </w:rPr>
      </w:pPr>
      <w:r w:rsidRPr="00A95CEC">
        <w:rPr>
          <w:b/>
          <w:i/>
          <w:sz w:val="32"/>
          <w:szCs w:val="32"/>
        </w:rPr>
        <w:t xml:space="preserve"> that reaffirm the core humanitarian principles, </w:t>
      </w:r>
    </w:p>
    <w:p w14:paraId="4775E5F0" w14:textId="77777777" w:rsidR="00A95CEC" w:rsidRPr="00A95CEC" w:rsidRDefault="00A95CEC" w:rsidP="00A95CEC">
      <w:pPr>
        <w:jc w:val="center"/>
        <w:rPr>
          <w:b/>
          <w:i/>
          <w:sz w:val="32"/>
          <w:szCs w:val="32"/>
        </w:rPr>
      </w:pPr>
      <w:r w:rsidRPr="00A95CEC">
        <w:rPr>
          <w:b/>
          <w:i/>
          <w:sz w:val="32"/>
          <w:szCs w:val="32"/>
        </w:rPr>
        <w:t xml:space="preserve">support effective and people-driven humanitarian action, </w:t>
      </w:r>
    </w:p>
    <w:p w14:paraId="1102F07F" w14:textId="77777777" w:rsidR="00A95CEC" w:rsidRPr="00A95CEC" w:rsidRDefault="00A95CEC" w:rsidP="00A95CEC">
      <w:pPr>
        <w:jc w:val="center"/>
        <w:rPr>
          <w:b/>
          <w:i/>
          <w:sz w:val="32"/>
          <w:szCs w:val="32"/>
        </w:rPr>
      </w:pPr>
      <w:r w:rsidRPr="00A95CEC">
        <w:rPr>
          <w:b/>
          <w:i/>
          <w:sz w:val="32"/>
          <w:szCs w:val="32"/>
        </w:rPr>
        <w:t xml:space="preserve">enable first responders to take a leadership role, </w:t>
      </w:r>
    </w:p>
    <w:p w14:paraId="38D0F67A" w14:textId="77777777" w:rsidR="00A95CEC" w:rsidRPr="00A95CEC" w:rsidRDefault="00A95CEC" w:rsidP="00A95CEC">
      <w:pPr>
        <w:jc w:val="center"/>
        <w:rPr>
          <w:b/>
          <w:i/>
          <w:sz w:val="32"/>
          <w:szCs w:val="32"/>
        </w:rPr>
      </w:pPr>
      <w:r w:rsidRPr="00A95CEC">
        <w:rPr>
          <w:b/>
          <w:i/>
          <w:sz w:val="32"/>
          <w:szCs w:val="32"/>
        </w:rPr>
        <w:t>and leverage the power of innovation”</w:t>
      </w:r>
    </w:p>
    <w:p w14:paraId="438C84F4" w14:textId="77777777" w:rsidR="00A95CEC" w:rsidRDefault="00A95CEC" w:rsidP="00A95CEC">
      <w:pPr>
        <w:jc w:val="right"/>
        <w:rPr>
          <w:i/>
          <w:sz w:val="18"/>
          <w:szCs w:val="18"/>
        </w:rPr>
      </w:pPr>
    </w:p>
    <w:p w14:paraId="00D56E4B" w14:textId="77777777" w:rsidR="00A95CEC" w:rsidRPr="00DF410A" w:rsidRDefault="00A95CEC" w:rsidP="00A95CEC">
      <w:pPr>
        <w:jc w:val="right"/>
        <w:rPr>
          <w:sz w:val="20"/>
          <w:szCs w:val="20"/>
        </w:rPr>
      </w:pPr>
      <w:r w:rsidRPr="00DF410A">
        <w:rPr>
          <w:i/>
          <w:sz w:val="20"/>
          <w:szCs w:val="20"/>
        </w:rPr>
        <w:t>Restoring Humanity Global Voices Calling for Action</w:t>
      </w:r>
      <w:r w:rsidRPr="00DF410A">
        <w:rPr>
          <w:sz w:val="20"/>
          <w:szCs w:val="20"/>
        </w:rPr>
        <w:t xml:space="preserve">, Synthesis of the Consultation Process for the World Humanitarian </w:t>
      </w:r>
      <w:r w:rsidR="00DF410A" w:rsidRPr="00DF410A">
        <w:rPr>
          <w:sz w:val="20"/>
          <w:szCs w:val="20"/>
        </w:rPr>
        <w:t>S</w:t>
      </w:r>
      <w:r w:rsidRPr="00DF410A">
        <w:rPr>
          <w:sz w:val="20"/>
          <w:szCs w:val="20"/>
        </w:rPr>
        <w:t xml:space="preserve">ummit, 2015. </w:t>
      </w:r>
    </w:p>
    <w:p w14:paraId="16F4EB12" w14:textId="77777777" w:rsidR="00A95CEC" w:rsidRDefault="00A95CEC">
      <w:pPr>
        <w:rPr>
          <w:rFonts w:ascii="Franklin Gothic Book" w:eastAsiaTheme="majorEastAsia" w:hAnsi="Franklin Gothic Book" w:cstheme="majorBidi"/>
          <w:bCs/>
          <w:color w:val="4F81BD" w:themeColor="accent1"/>
          <w:sz w:val="22"/>
          <w:szCs w:val="22"/>
        </w:rPr>
      </w:pPr>
    </w:p>
    <w:p w14:paraId="4CEAD161" w14:textId="77777777" w:rsidR="002E4498" w:rsidRDefault="002E4498" w:rsidP="002E4498">
      <w:pPr>
        <w:jc w:val="center"/>
        <w:rPr>
          <w:rFonts w:ascii="Franklin Gothic Book" w:hAnsi="Franklin Gothic Book"/>
          <w:b/>
        </w:rPr>
      </w:pPr>
    </w:p>
    <w:p w14:paraId="676F5249" w14:textId="77777777" w:rsidR="002E4498" w:rsidRDefault="002E4498" w:rsidP="002E4498">
      <w:pPr>
        <w:jc w:val="center"/>
        <w:rPr>
          <w:rFonts w:ascii="Franklin Gothic Book" w:hAnsi="Franklin Gothic Book"/>
          <w:b/>
        </w:rPr>
      </w:pPr>
    </w:p>
    <w:p w14:paraId="34B4AD29" w14:textId="77777777" w:rsidR="002E4498" w:rsidRDefault="002E4498" w:rsidP="002E4498">
      <w:pPr>
        <w:jc w:val="center"/>
        <w:rPr>
          <w:rFonts w:ascii="Franklin Gothic Book" w:hAnsi="Franklin Gothic Book"/>
          <w:b/>
        </w:rPr>
      </w:pPr>
    </w:p>
    <w:p w14:paraId="1263D44A" w14:textId="77777777" w:rsidR="003E2FAF" w:rsidRDefault="003E2FAF" w:rsidP="002E4498">
      <w:pPr>
        <w:jc w:val="center"/>
        <w:rPr>
          <w:rFonts w:ascii="Franklin Gothic Book" w:hAnsi="Franklin Gothic Book"/>
          <w:b/>
        </w:rPr>
      </w:pPr>
    </w:p>
    <w:p w14:paraId="45EC56E1" w14:textId="77777777" w:rsidR="00712BC6" w:rsidRDefault="00712BC6" w:rsidP="002E4498">
      <w:pPr>
        <w:jc w:val="center"/>
        <w:rPr>
          <w:rFonts w:ascii="Franklin Gothic Book" w:hAnsi="Franklin Gothic Book"/>
          <w:b/>
        </w:rPr>
      </w:pPr>
    </w:p>
    <w:p w14:paraId="16CDC397" w14:textId="77777777" w:rsidR="00712BC6" w:rsidRDefault="00712BC6" w:rsidP="002E4498">
      <w:pPr>
        <w:jc w:val="center"/>
        <w:rPr>
          <w:rFonts w:ascii="Franklin Gothic Book" w:hAnsi="Franklin Gothic Book"/>
          <w:b/>
        </w:rPr>
      </w:pPr>
    </w:p>
    <w:p w14:paraId="6ED54721" w14:textId="77777777" w:rsidR="00712BC6" w:rsidRDefault="00712BC6" w:rsidP="002E4498">
      <w:pPr>
        <w:jc w:val="center"/>
        <w:rPr>
          <w:rFonts w:ascii="Franklin Gothic Book" w:hAnsi="Franklin Gothic Book"/>
          <w:b/>
        </w:rPr>
      </w:pPr>
    </w:p>
    <w:p w14:paraId="07169D93" w14:textId="77777777" w:rsidR="00712BC6" w:rsidRDefault="00712BC6" w:rsidP="002E4498">
      <w:pPr>
        <w:jc w:val="center"/>
        <w:rPr>
          <w:rFonts w:ascii="Franklin Gothic Book" w:hAnsi="Franklin Gothic Book"/>
          <w:b/>
        </w:rPr>
      </w:pPr>
    </w:p>
    <w:p w14:paraId="09A7C920" w14:textId="77777777" w:rsidR="00712BC6" w:rsidRDefault="00712BC6" w:rsidP="002E4498">
      <w:pPr>
        <w:jc w:val="center"/>
        <w:rPr>
          <w:rFonts w:ascii="Franklin Gothic Book" w:hAnsi="Franklin Gothic Book"/>
          <w:b/>
        </w:rPr>
      </w:pPr>
    </w:p>
    <w:p w14:paraId="4D1BB483" w14:textId="1A4FE37E" w:rsidR="002E4498" w:rsidRPr="00A00184" w:rsidRDefault="00DE1EA1" w:rsidP="002E4498">
      <w:pPr>
        <w:jc w:val="center"/>
        <w:rPr>
          <w:rFonts w:eastAsiaTheme="majorEastAsia" w:cstheme="majorBidi"/>
          <w:b/>
          <w:color w:val="4F81BD" w:themeColor="accent1"/>
          <w:spacing w:val="5"/>
          <w:kern w:val="28"/>
          <w:sz w:val="72"/>
          <w:szCs w:val="72"/>
        </w:rPr>
      </w:pPr>
      <w:r>
        <w:rPr>
          <w:rFonts w:eastAsiaTheme="majorEastAsia" w:cstheme="majorBidi"/>
          <w:b/>
          <w:color w:val="4F81BD" w:themeColor="accent1"/>
          <w:spacing w:val="5"/>
          <w:kern w:val="28"/>
          <w:sz w:val="72"/>
          <w:szCs w:val="72"/>
        </w:rPr>
        <w:t>1</w:t>
      </w:r>
      <w:r w:rsidR="00BE7395">
        <w:rPr>
          <w:rFonts w:eastAsiaTheme="majorEastAsia" w:cstheme="majorBidi"/>
          <w:b/>
          <w:color w:val="4F81BD" w:themeColor="accent1"/>
          <w:spacing w:val="5"/>
          <w:kern w:val="28"/>
          <w:sz w:val="72"/>
          <w:szCs w:val="72"/>
        </w:rPr>
        <w:t>1</w:t>
      </w:r>
      <w:r w:rsidR="00D74FCC">
        <w:rPr>
          <w:rFonts w:eastAsiaTheme="majorEastAsia" w:cstheme="majorBidi"/>
          <w:b/>
          <w:color w:val="4F81BD" w:themeColor="accent1"/>
          <w:spacing w:val="5"/>
          <w:kern w:val="28"/>
          <w:sz w:val="72"/>
          <w:szCs w:val="72"/>
        </w:rPr>
        <w:t xml:space="preserve"> May </w:t>
      </w:r>
      <w:r w:rsidR="0050667F">
        <w:rPr>
          <w:rFonts w:eastAsiaTheme="majorEastAsia" w:cstheme="majorBidi"/>
          <w:b/>
          <w:color w:val="4F81BD" w:themeColor="accent1"/>
          <w:spacing w:val="5"/>
          <w:kern w:val="28"/>
          <w:sz w:val="72"/>
          <w:szCs w:val="72"/>
        </w:rPr>
        <w:t>2016</w:t>
      </w:r>
    </w:p>
    <w:p w14:paraId="143D6036" w14:textId="77777777" w:rsidR="0050667F" w:rsidRDefault="0050667F">
      <w:pPr>
        <w:rPr>
          <w:rFonts w:ascii="Calibri" w:eastAsiaTheme="majorEastAsia" w:hAnsi="Calibri" w:cstheme="majorBidi"/>
          <w:b/>
          <w:bCs/>
          <w:color w:val="4F81BD" w:themeColor="accent1"/>
          <w:sz w:val="32"/>
          <w:szCs w:val="32"/>
        </w:rPr>
      </w:pPr>
      <w:bookmarkStart w:id="2" w:name="_Toc437723312"/>
      <w:bookmarkStart w:id="3" w:name="_Toc437850824"/>
      <w:bookmarkStart w:id="4" w:name="_Toc437851749"/>
      <w:bookmarkStart w:id="5" w:name="_Toc437852561"/>
      <w:r>
        <w:rPr>
          <w:sz w:val="32"/>
          <w:szCs w:val="32"/>
        </w:rPr>
        <w:br w:type="page"/>
      </w:r>
    </w:p>
    <w:p w14:paraId="11A0B85C" w14:textId="77777777" w:rsidR="002E4498" w:rsidRDefault="002E4498" w:rsidP="00A72816">
      <w:pPr>
        <w:pStyle w:val="Heading2"/>
        <w:rPr>
          <w:sz w:val="32"/>
          <w:szCs w:val="32"/>
        </w:rPr>
      </w:pPr>
      <w:bookmarkStart w:id="6" w:name="_Toc445299931"/>
      <w:bookmarkStart w:id="7" w:name="_Toc448777791"/>
      <w:r>
        <w:rPr>
          <w:sz w:val="32"/>
          <w:szCs w:val="32"/>
        </w:rPr>
        <w:lastRenderedPageBreak/>
        <w:t>Table of Contents</w:t>
      </w:r>
      <w:bookmarkEnd w:id="2"/>
      <w:bookmarkEnd w:id="3"/>
      <w:bookmarkEnd w:id="4"/>
      <w:bookmarkEnd w:id="5"/>
      <w:bookmarkEnd w:id="6"/>
      <w:bookmarkEnd w:id="7"/>
    </w:p>
    <w:sdt>
      <w:sdtPr>
        <w:rPr>
          <w:rFonts w:asciiTheme="majorHAnsi" w:eastAsiaTheme="minorEastAsia" w:hAnsiTheme="majorHAnsi" w:cstheme="minorBidi"/>
          <w:b w:val="0"/>
          <w:bCs w:val="0"/>
          <w:noProof w:val="0"/>
        </w:rPr>
        <w:id w:val="754480824"/>
        <w:docPartObj>
          <w:docPartGallery w:val="Table of Contents"/>
          <w:docPartUnique/>
        </w:docPartObj>
      </w:sdtPr>
      <w:sdtEndPr/>
      <w:sdtContent>
        <w:p w14:paraId="1455351A" w14:textId="57475FA0" w:rsidR="006A40B8" w:rsidRDefault="00BD0193">
          <w:pPr>
            <w:pStyle w:val="TOC2"/>
            <w:rPr>
              <w:rFonts w:asciiTheme="minorHAnsi" w:eastAsiaTheme="minorEastAsia" w:hAnsiTheme="minorHAnsi" w:cstheme="minorBidi"/>
              <w:b w:val="0"/>
              <w:bCs w:val="0"/>
              <w:sz w:val="22"/>
              <w:szCs w:val="22"/>
              <w:lang w:eastAsia="en-AU"/>
            </w:rPr>
          </w:pPr>
          <w:r>
            <w:fldChar w:fldCharType="begin"/>
          </w:r>
          <w:r>
            <w:instrText xml:space="preserve"> TOC \o "1-3" \h \z \u </w:instrText>
          </w:r>
          <w:r>
            <w:fldChar w:fldCharType="separate"/>
          </w:r>
          <w:hyperlink w:anchor="_Toc448777791" w:history="1"/>
        </w:p>
        <w:p w14:paraId="23E2EADB" w14:textId="77777777" w:rsidR="006A40B8" w:rsidRDefault="00CE1675">
          <w:pPr>
            <w:pStyle w:val="TOC1"/>
            <w:rPr>
              <w:rFonts w:asciiTheme="minorHAnsi" w:hAnsiTheme="minorHAnsi"/>
              <w:b w:val="0"/>
              <w:sz w:val="22"/>
              <w:szCs w:val="22"/>
              <w:lang w:eastAsia="en-AU"/>
            </w:rPr>
          </w:pPr>
          <w:hyperlink w:anchor="_Toc448777792" w:history="1">
            <w:r w:rsidR="006A40B8" w:rsidRPr="00461E6E">
              <w:rPr>
                <w:rStyle w:val="Hyperlink"/>
                <w:rFonts w:eastAsiaTheme="majorEastAsia" w:cstheme="majorBidi"/>
                <w:bCs/>
              </w:rPr>
              <w:t>Glossary of Terms</w:t>
            </w:r>
            <w:r w:rsidR="006A40B8">
              <w:rPr>
                <w:webHidden/>
              </w:rPr>
              <w:tab/>
            </w:r>
            <w:r w:rsidR="006A40B8">
              <w:rPr>
                <w:webHidden/>
              </w:rPr>
              <w:fldChar w:fldCharType="begin"/>
            </w:r>
            <w:r w:rsidR="006A40B8">
              <w:rPr>
                <w:webHidden/>
              </w:rPr>
              <w:instrText xml:space="preserve"> PAGEREF _Toc448777792 \h </w:instrText>
            </w:r>
            <w:r w:rsidR="006A40B8">
              <w:rPr>
                <w:webHidden/>
              </w:rPr>
            </w:r>
            <w:r w:rsidR="006A40B8">
              <w:rPr>
                <w:webHidden/>
              </w:rPr>
              <w:fldChar w:fldCharType="separate"/>
            </w:r>
            <w:r w:rsidR="006A40B8">
              <w:rPr>
                <w:webHidden/>
              </w:rPr>
              <w:t>3</w:t>
            </w:r>
            <w:r w:rsidR="006A40B8">
              <w:rPr>
                <w:webHidden/>
              </w:rPr>
              <w:fldChar w:fldCharType="end"/>
            </w:r>
          </w:hyperlink>
        </w:p>
        <w:p w14:paraId="5358A72D" w14:textId="77777777" w:rsidR="006A40B8" w:rsidRDefault="00CE1675">
          <w:pPr>
            <w:pStyle w:val="TOC1"/>
            <w:rPr>
              <w:rFonts w:asciiTheme="minorHAnsi" w:hAnsiTheme="minorHAnsi"/>
              <w:b w:val="0"/>
              <w:sz w:val="22"/>
              <w:szCs w:val="22"/>
              <w:lang w:eastAsia="en-AU"/>
            </w:rPr>
          </w:pPr>
          <w:hyperlink w:anchor="_Toc448777793" w:history="1">
            <w:r w:rsidR="006A40B8" w:rsidRPr="00461E6E">
              <w:rPr>
                <w:rStyle w:val="Hyperlink"/>
              </w:rPr>
              <w:t>Executive Summary</w:t>
            </w:r>
            <w:r w:rsidR="006A40B8">
              <w:rPr>
                <w:webHidden/>
              </w:rPr>
              <w:tab/>
            </w:r>
            <w:r w:rsidR="006A40B8">
              <w:rPr>
                <w:webHidden/>
              </w:rPr>
              <w:fldChar w:fldCharType="begin"/>
            </w:r>
            <w:r w:rsidR="006A40B8">
              <w:rPr>
                <w:webHidden/>
              </w:rPr>
              <w:instrText xml:space="preserve"> PAGEREF _Toc448777793 \h </w:instrText>
            </w:r>
            <w:r w:rsidR="006A40B8">
              <w:rPr>
                <w:webHidden/>
              </w:rPr>
            </w:r>
            <w:r w:rsidR="006A40B8">
              <w:rPr>
                <w:webHidden/>
              </w:rPr>
              <w:fldChar w:fldCharType="separate"/>
            </w:r>
            <w:r w:rsidR="006A40B8">
              <w:rPr>
                <w:webHidden/>
              </w:rPr>
              <w:t>7</w:t>
            </w:r>
            <w:r w:rsidR="006A40B8">
              <w:rPr>
                <w:webHidden/>
              </w:rPr>
              <w:fldChar w:fldCharType="end"/>
            </w:r>
          </w:hyperlink>
        </w:p>
        <w:p w14:paraId="0B125E77" w14:textId="77777777" w:rsidR="006A40B8" w:rsidRDefault="00CE1675">
          <w:pPr>
            <w:pStyle w:val="TOC1"/>
            <w:rPr>
              <w:rFonts w:asciiTheme="minorHAnsi" w:hAnsiTheme="minorHAnsi"/>
              <w:b w:val="0"/>
              <w:sz w:val="22"/>
              <w:szCs w:val="22"/>
              <w:lang w:eastAsia="en-AU"/>
            </w:rPr>
          </w:pPr>
          <w:hyperlink w:anchor="_Toc448777794" w:history="1">
            <w:r w:rsidR="006A40B8" w:rsidRPr="00461E6E">
              <w:rPr>
                <w:rStyle w:val="Hyperlink"/>
              </w:rPr>
              <w:t>2. Analysis and Strategic Context</w:t>
            </w:r>
            <w:r w:rsidR="006A40B8">
              <w:rPr>
                <w:webHidden/>
              </w:rPr>
              <w:tab/>
            </w:r>
            <w:r w:rsidR="006A40B8">
              <w:rPr>
                <w:webHidden/>
              </w:rPr>
              <w:fldChar w:fldCharType="begin"/>
            </w:r>
            <w:r w:rsidR="006A40B8">
              <w:rPr>
                <w:webHidden/>
              </w:rPr>
              <w:instrText xml:space="preserve"> PAGEREF _Toc448777794 \h </w:instrText>
            </w:r>
            <w:r w:rsidR="006A40B8">
              <w:rPr>
                <w:webHidden/>
              </w:rPr>
            </w:r>
            <w:r w:rsidR="006A40B8">
              <w:rPr>
                <w:webHidden/>
              </w:rPr>
              <w:fldChar w:fldCharType="separate"/>
            </w:r>
            <w:r w:rsidR="006A40B8">
              <w:rPr>
                <w:webHidden/>
              </w:rPr>
              <w:t>11</w:t>
            </w:r>
            <w:r w:rsidR="006A40B8">
              <w:rPr>
                <w:webHidden/>
              </w:rPr>
              <w:fldChar w:fldCharType="end"/>
            </w:r>
          </w:hyperlink>
        </w:p>
        <w:p w14:paraId="5ABEAB09"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795" w:history="1">
            <w:r w:rsidR="006A40B8" w:rsidRPr="00461E6E">
              <w:rPr>
                <w:rStyle w:val="Hyperlink"/>
              </w:rPr>
              <w:t>Global and Regional Context</w:t>
            </w:r>
            <w:r w:rsidR="006A40B8">
              <w:rPr>
                <w:webHidden/>
              </w:rPr>
              <w:tab/>
            </w:r>
            <w:r w:rsidR="006A40B8">
              <w:rPr>
                <w:webHidden/>
              </w:rPr>
              <w:fldChar w:fldCharType="begin"/>
            </w:r>
            <w:r w:rsidR="006A40B8">
              <w:rPr>
                <w:webHidden/>
              </w:rPr>
              <w:instrText xml:space="preserve"> PAGEREF _Toc448777795 \h </w:instrText>
            </w:r>
            <w:r w:rsidR="006A40B8">
              <w:rPr>
                <w:webHidden/>
              </w:rPr>
            </w:r>
            <w:r w:rsidR="006A40B8">
              <w:rPr>
                <w:webHidden/>
              </w:rPr>
              <w:fldChar w:fldCharType="separate"/>
            </w:r>
            <w:r w:rsidR="006A40B8">
              <w:rPr>
                <w:webHidden/>
              </w:rPr>
              <w:t>11</w:t>
            </w:r>
            <w:r w:rsidR="006A40B8">
              <w:rPr>
                <w:webHidden/>
              </w:rPr>
              <w:fldChar w:fldCharType="end"/>
            </w:r>
          </w:hyperlink>
        </w:p>
        <w:p w14:paraId="5FB44DC3"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796" w:history="1">
            <w:r w:rsidR="006A40B8" w:rsidRPr="00461E6E">
              <w:rPr>
                <w:rStyle w:val="Hyperlink"/>
              </w:rPr>
              <w:t>Development Issues Analysis</w:t>
            </w:r>
            <w:r w:rsidR="006A40B8">
              <w:rPr>
                <w:webHidden/>
              </w:rPr>
              <w:tab/>
            </w:r>
            <w:r w:rsidR="006A40B8">
              <w:rPr>
                <w:webHidden/>
              </w:rPr>
              <w:fldChar w:fldCharType="begin"/>
            </w:r>
            <w:r w:rsidR="006A40B8">
              <w:rPr>
                <w:webHidden/>
              </w:rPr>
              <w:instrText xml:space="preserve"> PAGEREF _Toc448777796 \h </w:instrText>
            </w:r>
            <w:r w:rsidR="006A40B8">
              <w:rPr>
                <w:webHidden/>
              </w:rPr>
            </w:r>
            <w:r w:rsidR="006A40B8">
              <w:rPr>
                <w:webHidden/>
              </w:rPr>
              <w:fldChar w:fldCharType="separate"/>
            </w:r>
            <w:r w:rsidR="006A40B8">
              <w:rPr>
                <w:webHidden/>
              </w:rPr>
              <w:t>12</w:t>
            </w:r>
            <w:r w:rsidR="006A40B8">
              <w:rPr>
                <w:webHidden/>
              </w:rPr>
              <w:fldChar w:fldCharType="end"/>
            </w:r>
          </w:hyperlink>
        </w:p>
        <w:p w14:paraId="23181559"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797" w:history="1">
            <w:r w:rsidR="006A40B8" w:rsidRPr="00461E6E">
              <w:rPr>
                <w:rStyle w:val="Hyperlink"/>
              </w:rPr>
              <w:t>Evidence and Lessons Learned</w:t>
            </w:r>
            <w:r w:rsidR="006A40B8">
              <w:rPr>
                <w:webHidden/>
              </w:rPr>
              <w:tab/>
            </w:r>
            <w:r w:rsidR="006A40B8">
              <w:rPr>
                <w:webHidden/>
              </w:rPr>
              <w:fldChar w:fldCharType="begin"/>
            </w:r>
            <w:r w:rsidR="006A40B8">
              <w:rPr>
                <w:webHidden/>
              </w:rPr>
              <w:instrText xml:space="preserve"> PAGEREF _Toc448777797 \h </w:instrText>
            </w:r>
            <w:r w:rsidR="006A40B8">
              <w:rPr>
                <w:webHidden/>
              </w:rPr>
            </w:r>
            <w:r w:rsidR="006A40B8">
              <w:rPr>
                <w:webHidden/>
              </w:rPr>
              <w:fldChar w:fldCharType="separate"/>
            </w:r>
            <w:r w:rsidR="006A40B8">
              <w:rPr>
                <w:webHidden/>
              </w:rPr>
              <w:t>13</w:t>
            </w:r>
            <w:r w:rsidR="006A40B8">
              <w:rPr>
                <w:webHidden/>
              </w:rPr>
              <w:fldChar w:fldCharType="end"/>
            </w:r>
          </w:hyperlink>
        </w:p>
        <w:p w14:paraId="6DF7B332"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798" w:history="1">
            <w:r w:rsidR="006A40B8" w:rsidRPr="00461E6E">
              <w:rPr>
                <w:rStyle w:val="Hyperlink"/>
              </w:rPr>
              <w:t>Strategic Rationale for DFAT Engagement</w:t>
            </w:r>
            <w:r w:rsidR="006A40B8">
              <w:rPr>
                <w:webHidden/>
              </w:rPr>
              <w:tab/>
            </w:r>
            <w:r w:rsidR="006A40B8">
              <w:rPr>
                <w:webHidden/>
              </w:rPr>
              <w:fldChar w:fldCharType="begin"/>
            </w:r>
            <w:r w:rsidR="006A40B8">
              <w:rPr>
                <w:webHidden/>
              </w:rPr>
              <w:instrText xml:space="preserve"> PAGEREF _Toc448777798 \h </w:instrText>
            </w:r>
            <w:r w:rsidR="006A40B8">
              <w:rPr>
                <w:webHidden/>
              </w:rPr>
            </w:r>
            <w:r w:rsidR="006A40B8">
              <w:rPr>
                <w:webHidden/>
              </w:rPr>
              <w:fldChar w:fldCharType="separate"/>
            </w:r>
            <w:r w:rsidR="006A40B8">
              <w:rPr>
                <w:webHidden/>
              </w:rPr>
              <w:t>15</w:t>
            </w:r>
            <w:r w:rsidR="006A40B8">
              <w:rPr>
                <w:webHidden/>
              </w:rPr>
              <w:fldChar w:fldCharType="end"/>
            </w:r>
          </w:hyperlink>
        </w:p>
        <w:p w14:paraId="52A28A63" w14:textId="77777777" w:rsidR="006A40B8" w:rsidRDefault="00CE1675">
          <w:pPr>
            <w:pStyle w:val="TOC1"/>
            <w:rPr>
              <w:rFonts w:asciiTheme="minorHAnsi" w:hAnsiTheme="minorHAnsi"/>
              <w:b w:val="0"/>
              <w:sz w:val="22"/>
              <w:szCs w:val="22"/>
              <w:lang w:eastAsia="en-AU"/>
            </w:rPr>
          </w:pPr>
          <w:hyperlink w:anchor="_Toc448777799" w:history="1">
            <w:r w:rsidR="006A40B8" w:rsidRPr="00461E6E">
              <w:rPr>
                <w:rStyle w:val="Hyperlink"/>
              </w:rPr>
              <w:t>3. Investment Description</w:t>
            </w:r>
            <w:r w:rsidR="006A40B8">
              <w:rPr>
                <w:webHidden/>
              </w:rPr>
              <w:tab/>
            </w:r>
            <w:r w:rsidR="006A40B8">
              <w:rPr>
                <w:webHidden/>
              </w:rPr>
              <w:fldChar w:fldCharType="begin"/>
            </w:r>
            <w:r w:rsidR="006A40B8">
              <w:rPr>
                <w:webHidden/>
              </w:rPr>
              <w:instrText xml:space="preserve"> PAGEREF _Toc448777799 \h </w:instrText>
            </w:r>
            <w:r w:rsidR="006A40B8">
              <w:rPr>
                <w:webHidden/>
              </w:rPr>
            </w:r>
            <w:r w:rsidR="006A40B8">
              <w:rPr>
                <w:webHidden/>
              </w:rPr>
              <w:fldChar w:fldCharType="separate"/>
            </w:r>
            <w:r w:rsidR="006A40B8">
              <w:rPr>
                <w:webHidden/>
              </w:rPr>
              <w:t>17</w:t>
            </w:r>
            <w:r w:rsidR="006A40B8">
              <w:rPr>
                <w:webHidden/>
              </w:rPr>
              <w:fldChar w:fldCharType="end"/>
            </w:r>
          </w:hyperlink>
        </w:p>
        <w:p w14:paraId="40A3D028"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00" w:history="1">
            <w:r w:rsidR="006A40B8" w:rsidRPr="00461E6E">
              <w:rPr>
                <w:rStyle w:val="Hyperlink"/>
              </w:rPr>
              <w:t>Draft Program Theory</w:t>
            </w:r>
            <w:r w:rsidR="006A40B8">
              <w:rPr>
                <w:webHidden/>
              </w:rPr>
              <w:tab/>
            </w:r>
            <w:r w:rsidR="006A40B8">
              <w:rPr>
                <w:webHidden/>
              </w:rPr>
              <w:fldChar w:fldCharType="begin"/>
            </w:r>
            <w:r w:rsidR="006A40B8">
              <w:rPr>
                <w:webHidden/>
              </w:rPr>
              <w:instrText xml:space="preserve"> PAGEREF _Toc448777800 \h </w:instrText>
            </w:r>
            <w:r w:rsidR="006A40B8">
              <w:rPr>
                <w:webHidden/>
              </w:rPr>
            </w:r>
            <w:r w:rsidR="006A40B8">
              <w:rPr>
                <w:webHidden/>
              </w:rPr>
              <w:fldChar w:fldCharType="separate"/>
            </w:r>
            <w:r w:rsidR="006A40B8">
              <w:rPr>
                <w:webHidden/>
              </w:rPr>
              <w:t>17</w:t>
            </w:r>
            <w:r w:rsidR="006A40B8">
              <w:rPr>
                <w:webHidden/>
              </w:rPr>
              <w:fldChar w:fldCharType="end"/>
            </w:r>
          </w:hyperlink>
        </w:p>
        <w:p w14:paraId="6775605A"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01" w:history="1">
            <w:r w:rsidR="006A40B8" w:rsidRPr="00461E6E">
              <w:rPr>
                <w:rStyle w:val="Hyperlink"/>
              </w:rPr>
              <w:t>Delivery Approach</w:t>
            </w:r>
            <w:r w:rsidR="006A40B8">
              <w:rPr>
                <w:webHidden/>
              </w:rPr>
              <w:tab/>
            </w:r>
            <w:r w:rsidR="006A40B8">
              <w:rPr>
                <w:webHidden/>
              </w:rPr>
              <w:fldChar w:fldCharType="begin"/>
            </w:r>
            <w:r w:rsidR="006A40B8">
              <w:rPr>
                <w:webHidden/>
              </w:rPr>
              <w:instrText xml:space="preserve"> PAGEREF _Toc448777801 \h </w:instrText>
            </w:r>
            <w:r w:rsidR="006A40B8">
              <w:rPr>
                <w:webHidden/>
              </w:rPr>
            </w:r>
            <w:r w:rsidR="006A40B8">
              <w:rPr>
                <w:webHidden/>
              </w:rPr>
              <w:fldChar w:fldCharType="separate"/>
            </w:r>
            <w:r w:rsidR="006A40B8">
              <w:rPr>
                <w:webHidden/>
              </w:rPr>
              <w:t>21</w:t>
            </w:r>
            <w:r w:rsidR="006A40B8">
              <w:rPr>
                <w:webHidden/>
              </w:rPr>
              <w:fldChar w:fldCharType="end"/>
            </w:r>
          </w:hyperlink>
        </w:p>
        <w:p w14:paraId="1CFE4406"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02" w:history="1">
            <w:r w:rsidR="006A40B8" w:rsidRPr="00461E6E">
              <w:rPr>
                <w:rStyle w:val="Hyperlink"/>
              </w:rPr>
              <w:t>Budget</w:t>
            </w:r>
            <w:r w:rsidR="006A40B8">
              <w:rPr>
                <w:webHidden/>
              </w:rPr>
              <w:tab/>
            </w:r>
            <w:r w:rsidR="006A40B8">
              <w:rPr>
                <w:webHidden/>
              </w:rPr>
              <w:fldChar w:fldCharType="begin"/>
            </w:r>
            <w:r w:rsidR="006A40B8">
              <w:rPr>
                <w:webHidden/>
              </w:rPr>
              <w:instrText xml:space="preserve"> PAGEREF _Toc448777802 \h </w:instrText>
            </w:r>
            <w:r w:rsidR="006A40B8">
              <w:rPr>
                <w:webHidden/>
              </w:rPr>
            </w:r>
            <w:r w:rsidR="006A40B8">
              <w:rPr>
                <w:webHidden/>
              </w:rPr>
              <w:fldChar w:fldCharType="separate"/>
            </w:r>
            <w:r w:rsidR="006A40B8">
              <w:rPr>
                <w:webHidden/>
              </w:rPr>
              <w:t>30</w:t>
            </w:r>
            <w:r w:rsidR="006A40B8">
              <w:rPr>
                <w:webHidden/>
              </w:rPr>
              <w:fldChar w:fldCharType="end"/>
            </w:r>
          </w:hyperlink>
        </w:p>
        <w:p w14:paraId="61846029"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03" w:history="1">
            <w:r w:rsidR="006A40B8" w:rsidRPr="00461E6E">
              <w:rPr>
                <w:rStyle w:val="Hyperlink"/>
              </w:rPr>
              <w:t>Value for money</w:t>
            </w:r>
            <w:r w:rsidR="006A40B8">
              <w:rPr>
                <w:webHidden/>
              </w:rPr>
              <w:tab/>
            </w:r>
            <w:r w:rsidR="006A40B8">
              <w:rPr>
                <w:webHidden/>
              </w:rPr>
              <w:fldChar w:fldCharType="begin"/>
            </w:r>
            <w:r w:rsidR="006A40B8">
              <w:rPr>
                <w:webHidden/>
              </w:rPr>
              <w:instrText xml:space="preserve"> PAGEREF _Toc448777803 \h </w:instrText>
            </w:r>
            <w:r w:rsidR="006A40B8">
              <w:rPr>
                <w:webHidden/>
              </w:rPr>
            </w:r>
            <w:r w:rsidR="006A40B8">
              <w:rPr>
                <w:webHidden/>
              </w:rPr>
              <w:fldChar w:fldCharType="separate"/>
            </w:r>
            <w:r w:rsidR="006A40B8">
              <w:rPr>
                <w:webHidden/>
              </w:rPr>
              <w:t>31</w:t>
            </w:r>
            <w:r w:rsidR="006A40B8">
              <w:rPr>
                <w:webHidden/>
              </w:rPr>
              <w:fldChar w:fldCharType="end"/>
            </w:r>
          </w:hyperlink>
        </w:p>
        <w:p w14:paraId="2E69F7C3" w14:textId="77777777" w:rsidR="006A40B8" w:rsidRDefault="00CE1675">
          <w:pPr>
            <w:pStyle w:val="TOC1"/>
            <w:rPr>
              <w:rFonts w:asciiTheme="minorHAnsi" w:hAnsiTheme="minorHAnsi"/>
              <w:b w:val="0"/>
              <w:sz w:val="22"/>
              <w:szCs w:val="22"/>
              <w:lang w:eastAsia="en-AU"/>
            </w:rPr>
          </w:pPr>
          <w:hyperlink w:anchor="_Toc448777804" w:history="1">
            <w:r w:rsidR="006A40B8" w:rsidRPr="00461E6E">
              <w:rPr>
                <w:rStyle w:val="Hyperlink"/>
              </w:rPr>
              <w:t>4. Monitoring, Evaluation and Learning</w:t>
            </w:r>
            <w:r w:rsidR="006A40B8">
              <w:rPr>
                <w:webHidden/>
              </w:rPr>
              <w:tab/>
            </w:r>
            <w:r w:rsidR="006A40B8">
              <w:rPr>
                <w:webHidden/>
              </w:rPr>
              <w:fldChar w:fldCharType="begin"/>
            </w:r>
            <w:r w:rsidR="006A40B8">
              <w:rPr>
                <w:webHidden/>
              </w:rPr>
              <w:instrText xml:space="preserve"> PAGEREF _Toc448777804 \h </w:instrText>
            </w:r>
            <w:r w:rsidR="006A40B8">
              <w:rPr>
                <w:webHidden/>
              </w:rPr>
            </w:r>
            <w:r w:rsidR="006A40B8">
              <w:rPr>
                <w:webHidden/>
              </w:rPr>
              <w:fldChar w:fldCharType="separate"/>
            </w:r>
            <w:r w:rsidR="006A40B8">
              <w:rPr>
                <w:webHidden/>
              </w:rPr>
              <w:t>33</w:t>
            </w:r>
            <w:r w:rsidR="006A40B8">
              <w:rPr>
                <w:webHidden/>
              </w:rPr>
              <w:fldChar w:fldCharType="end"/>
            </w:r>
          </w:hyperlink>
        </w:p>
        <w:p w14:paraId="3252B8C6" w14:textId="77777777" w:rsidR="006A40B8" w:rsidRDefault="00CE1675">
          <w:pPr>
            <w:pStyle w:val="TOC1"/>
            <w:rPr>
              <w:rFonts w:asciiTheme="minorHAnsi" w:hAnsiTheme="minorHAnsi"/>
              <w:b w:val="0"/>
              <w:sz w:val="22"/>
              <w:szCs w:val="22"/>
              <w:lang w:eastAsia="en-AU"/>
            </w:rPr>
          </w:pPr>
          <w:hyperlink w:anchor="_Toc448777805" w:history="1">
            <w:r w:rsidR="006A40B8" w:rsidRPr="00461E6E">
              <w:rPr>
                <w:rStyle w:val="Hyperlink"/>
              </w:rPr>
              <w:t>5. Governance Structure</w:t>
            </w:r>
            <w:r w:rsidR="006A40B8">
              <w:rPr>
                <w:webHidden/>
              </w:rPr>
              <w:tab/>
            </w:r>
            <w:r w:rsidR="006A40B8">
              <w:rPr>
                <w:webHidden/>
              </w:rPr>
              <w:fldChar w:fldCharType="begin"/>
            </w:r>
            <w:r w:rsidR="006A40B8">
              <w:rPr>
                <w:webHidden/>
              </w:rPr>
              <w:instrText xml:space="preserve"> PAGEREF _Toc448777805 \h </w:instrText>
            </w:r>
            <w:r w:rsidR="006A40B8">
              <w:rPr>
                <w:webHidden/>
              </w:rPr>
            </w:r>
            <w:r w:rsidR="006A40B8">
              <w:rPr>
                <w:webHidden/>
              </w:rPr>
              <w:fldChar w:fldCharType="separate"/>
            </w:r>
            <w:r w:rsidR="006A40B8">
              <w:rPr>
                <w:webHidden/>
              </w:rPr>
              <w:t>43</w:t>
            </w:r>
            <w:r w:rsidR="006A40B8">
              <w:rPr>
                <w:webHidden/>
              </w:rPr>
              <w:fldChar w:fldCharType="end"/>
            </w:r>
          </w:hyperlink>
        </w:p>
        <w:p w14:paraId="2A8761F7" w14:textId="77777777" w:rsidR="006A40B8" w:rsidRDefault="00CE1675">
          <w:pPr>
            <w:pStyle w:val="TOC1"/>
            <w:rPr>
              <w:rFonts w:asciiTheme="minorHAnsi" w:hAnsiTheme="minorHAnsi"/>
              <w:b w:val="0"/>
              <w:sz w:val="22"/>
              <w:szCs w:val="22"/>
              <w:lang w:eastAsia="en-AU"/>
            </w:rPr>
          </w:pPr>
          <w:hyperlink w:anchor="_Toc448777806" w:history="1">
            <w:r w:rsidR="006A40B8" w:rsidRPr="00461E6E">
              <w:rPr>
                <w:rStyle w:val="Hyperlink"/>
              </w:rPr>
              <w:t>6. Implementation Arrangements</w:t>
            </w:r>
            <w:r w:rsidR="006A40B8">
              <w:rPr>
                <w:webHidden/>
              </w:rPr>
              <w:tab/>
            </w:r>
            <w:r w:rsidR="006A40B8">
              <w:rPr>
                <w:webHidden/>
              </w:rPr>
              <w:fldChar w:fldCharType="begin"/>
            </w:r>
            <w:r w:rsidR="006A40B8">
              <w:rPr>
                <w:webHidden/>
              </w:rPr>
              <w:instrText xml:space="preserve"> PAGEREF _Toc448777806 \h </w:instrText>
            </w:r>
            <w:r w:rsidR="006A40B8">
              <w:rPr>
                <w:webHidden/>
              </w:rPr>
            </w:r>
            <w:r w:rsidR="006A40B8">
              <w:rPr>
                <w:webHidden/>
              </w:rPr>
              <w:fldChar w:fldCharType="separate"/>
            </w:r>
            <w:r w:rsidR="006A40B8">
              <w:rPr>
                <w:webHidden/>
              </w:rPr>
              <w:t>43</w:t>
            </w:r>
            <w:r w:rsidR="006A40B8">
              <w:rPr>
                <w:webHidden/>
              </w:rPr>
              <w:fldChar w:fldCharType="end"/>
            </w:r>
          </w:hyperlink>
        </w:p>
        <w:p w14:paraId="26C618FF"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07" w:history="1">
            <w:r w:rsidR="006A40B8" w:rsidRPr="00461E6E">
              <w:rPr>
                <w:rStyle w:val="Hyperlink"/>
              </w:rPr>
              <w:t>Roles and Responsibilities</w:t>
            </w:r>
            <w:r w:rsidR="006A40B8">
              <w:rPr>
                <w:webHidden/>
              </w:rPr>
              <w:tab/>
            </w:r>
            <w:r w:rsidR="006A40B8">
              <w:rPr>
                <w:webHidden/>
              </w:rPr>
              <w:fldChar w:fldCharType="begin"/>
            </w:r>
            <w:r w:rsidR="006A40B8">
              <w:rPr>
                <w:webHidden/>
              </w:rPr>
              <w:instrText xml:space="preserve"> PAGEREF _Toc448777807 \h </w:instrText>
            </w:r>
            <w:r w:rsidR="006A40B8">
              <w:rPr>
                <w:webHidden/>
              </w:rPr>
            </w:r>
            <w:r w:rsidR="006A40B8">
              <w:rPr>
                <w:webHidden/>
              </w:rPr>
              <w:fldChar w:fldCharType="separate"/>
            </w:r>
            <w:r w:rsidR="006A40B8">
              <w:rPr>
                <w:webHidden/>
              </w:rPr>
              <w:t>43</w:t>
            </w:r>
            <w:r w:rsidR="006A40B8">
              <w:rPr>
                <w:webHidden/>
              </w:rPr>
              <w:fldChar w:fldCharType="end"/>
            </w:r>
          </w:hyperlink>
        </w:p>
        <w:p w14:paraId="18B9C76E"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08" w:history="1">
            <w:r w:rsidR="006A40B8" w:rsidRPr="00461E6E">
              <w:rPr>
                <w:rStyle w:val="Hyperlink"/>
              </w:rPr>
              <w:t>Management and Staffing</w:t>
            </w:r>
            <w:r w:rsidR="006A40B8">
              <w:rPr>
                <w:webHidden/>
              </w:rPr>
              <w:tab/>
            </w:r>
            <w:r w:rsidR="006A40B8">
              <w:rPr>
                <w:webHidden/>
              </w:rPr>
              <w:fldChar w:fldCharType="begin"/>
            </w:r>
            <w:r w:rsidR="006A40B8">
              <w:rPr>
                <w:webHidden/>
              </w:rPr>
              <w:instrText xml:space="preserve"> PAGEREF _Toc448777808 \h </w:instrText>
            </w:r>
            <w:r w:rsidR="006A40B8">
              <w:rPr>
                <w:webHidden/>
              </w:rPr>
            </w:r>
            <w:r w:rsidR="006A40B8">
              <w:rPr>
                <w:webHidden/>
              </w:rPr>
              <w:fldChar w:fldCharType="separate"/>
            </w:r>
            <w:r w:rsidR="006A40B8">
              <w:rPr>
                <w:webHidden/>
              </w:rPr>
              <w:t>45</w:t>
            </w:r>
            <w:r w:rsidR="006A40B8">
              <w:rPr>
                <w:webHidden/>
              </w:rPr>
              <w:fldChar w:fldCharType="end"/>
            </w:r>
          </w:hyperlink>
        </w:p>
        <w:p w14:paraId="2A2483CE"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09" w:history="1">
            <w:r w:rsidR="006A40B8" w:rsidRPr="00461E6E">
              <w:rPr>
                <w:rStyle w:val="Hyperlink"/>
              </w:rPr>
              <w:t>Procurement Arrangements</w:t>
            </w:r>
            <w:r w:rsidR="006A40B8">
              <w:rPr>
                <w:webHidden/>
              </w:rPr>
              <w:tab/>
            </w:r>
            <w:r w:rsidR="006A40B8">
              <w:rPr>
                <w:webHidden/>
              </w:rPr>
              <w:fldChar w:fldCharType="begin"/>
            </w:r>
            <w:r w:rsidR="006A40B8">
              <w:rPr>
                <w:webHidden/>
              </w:rPr>
              <w:instrText xml:space="preserve"> PAGEREF _Toc448777809 \h </w:instrText>
            </w:r>
            <w:r w:rsidR="006A40B8">
              <w:rPr>
                <w:webHidden/>
              </w:rPr>
            </w:r>
            <w:r w:rsidR="006A40B8">
              <w:rPr>
                <w:webHidden/>
              </w:rPr>
              <w:fldChar w:fldCharType="separate"/>
            </w:r>
            <w:r w:rsidR="006A40B8">
              <w:rPr>
                <w:webHidden/>
              </w:rPr>
              <w:t>46</w:t>
            </w:r>
            <w:r w:rsidR="006A40B8">
              <w:rPr>
                <w:webHidden/>
              </w:rPr>
              <w:fldChar w:fldCharType="end"/>
            </w:r>
          </w:hyperlink>
        </w:p>
        <w:p w14:paraId="55E13C31"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10" w:history="1">
            <w:r w:rsidR="006A40B8" w:rsidRPr="00461E6E">
              <w:rPr>
                <w:rStyle w:val="Hyperlink"/>
              </w:rPr>
              <w:t>Sustainability</w:t>
            </w:r>
            <w:r w:rsidR="006A40B8">
              <w:rPr>
                <w:webHidden/>
              </w:rPr>
              <w:tab/>
            </w:r>
            <w:r w:rsidR="006A40B8">
              <w:rPr>
                <w:webHidden/>
              </w:rPr>
              <w:fldChar w:fldCharType="begin"/>
            </w:r>
            <w:r w:rsidR="006A40B8">
              <w:rPr>
                <w:webHidden/>
              </w:rPr>
              <w:instrText xml:space="preserve"> PAGEREF _Toc448777810 \h </w:instrText>
            </w:r>
            <w:r w:rsidR="006A40B8">
              <w:rPr>
                <w:webHidden/>
              </w:rPr>
            </w:r>
            <w:r w:rsidR="006A40B8">
              <w:rPr>
                <w:webHidden/>
              </w:rPr>
              <w:fldChar w:fldCharType="separate"/>
            </w:r>
            <w:r w:rsidR="006A40B8">
              <w:rPr>
                <w:webHidden/>
              </w:rPr>
              <w:t>50</w:t>
            </w:r>
            <w:r w:rsidR="006A40B8">
              <w:rPr>
                <w:webHidden/>
              </w:rPr>
              <w:fldChar w:fldCharType="end"/>
            </w:r>
          </w:hyperlink>
        </w:p>
        <w:p w14:paraId="3CCF1325"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11" w:history="1">
            <w:r w:rsidR="006A40B8" w:rsidRPr="00461E6E">
              <w:rPr>
                <w:rStyle w:val="Hyperlink"/>
              </w:rPr>
              <w:t>Gender Equality</w:t>
            </w:r>
            <w:r w:rsidR="006A40B8">
              <w:rPr>
                <w:webHidden/>
              </w:rPr>
              <w:tab/>
            </w:r>
            <w:r w:rsidR="006A40B8">
              <w:rPr>
                <w:webHidden/>
              </w:rPr>
              <w:fldChar w:fldCharType="begin"/>
            </w:r>
            <w:r w:rsidR="006A40B8">
              <w:rPr>
                <w:webHidden/>
              </w:rPr>
              <w:instrText xml:space="preserve"> PAGEREF _Toc448777811 \h </w:instrText>
            </w:r>
            <w:r w:rsidR="006A40B8">
              <w:rPr>
                <w:webHidden/>
              </w:rPr>
            </w:r>
            <w:r w:rsidR="006A40B8">
              <w:rPr>
                <w:webHidden/>
              </w:rPr>
              <w:fldChar w:fldCharType="separate"/>
            </w:r>
            <w:r w:rsidR="006A40B8">
              <w:rPr>
                <w:webHidden/>
              </w:rPr>
              <w:t>51</w:t>
            </w:r>
            <w:r w:rsidR="006A40B8">
              <w:rPr>
                <w:webHidden/>
              </w:rPr>
              <w:fldChar w:fldCharType="end"/>
            </w:r>
          </w:hyperlink>
        </w:p>
        <w:p w14:paraId="77E87D42"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13" w:history="1">
            <w:r w:rsidR="006A40B8" w:rsidRPr="00461E6E">
              <w:rPr>
                <w:rStyle w:val="Hyperlink"/>
              </w:rPr>
              <w:t>Disability Inclusiveness</w:t>
            </w:r>
            <w:r w:rsidR="006A40B8">
              <w:rPr>
                <w:webHidden/>
              </w:rPr>
              <w:tab/>
            </w:r>
            <w:r w:rsidR="006A40B8">
              <w:rPr>
                <w:webHidden/>
              </w:rPr>
              <w:fldChar w:fldCharType="begin"/>
            </w:r>
            <w:r w:rsidR="006A40B8">
              <w:rPr>
                <w:webHidden/>
              </w:rPr>
              <w:instrText xml:space="preserve"> PAGEREF _Toc448777813 \h </w:instrText>
            </w:r>
            <w:r w:rsidR="006A40B8">
              <w:rPr>
                <w:webHidden/>
              </w:rPr>
            </w:r>
            <w:r w:rsidR="006A40B8">
              <w:rPr>
                <w:webHidden/>
              </w:rPr>
              <w:fldChar w:fldCharType="separate"/>
            </w:r>
            <w:r w:rsidR="006A40B8">
              <w:rPr>
                <w:webHidden/>
              </w:rPr>
              <w:t>52</w:t>
            </w:r>
            <w:r w:rsidR="006A40B8">
              <w:rPr>
                <w:webHidden/>
              </w:rPr>
              <w:fldChar w:fldCharType="end"/>
            </w:r>
          </w:hyperlink>
        </w:p>
        <w:p w14:paraId="2D1A3A00"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14" w:history="1">
            <w:r w:rsidR="006A40B8" w:rsidRPr="00461E6E">
              <w:rPr>
                <w:rStyle w:val="Hyperlink"/>
              </w:rPr>
              <w:t>Private Sector</w:t>
            </w:r>
            <w:r w:rsidR="006A40B8">
              <w:rPr>
                <w:webHidden/>
              </w:rPr>
              <w:tab/>
            </w:r>
            <w:r w:rsidR="006A40B8">
              <w:rPr>
                <w:webHidden/>
              </w:rPr>
              <w:fldChar w:fldCharType="begin"/>
            </w:r>
            <w:r w:rsidR="006A40B8">
              <w:rPr>
                <w:webHidden/>
              </w:rPr>
              <w:instrText xml:space="preserve"> PAGEREF _Toc448777814 \h </w:instrText>
            </w:r>
            <w:r w:rsidR="006A40B8">
              <w:rPr>
                <w:webHidden/>
              </w:rPr>
            </w:r>
            <w:r w:rsidR="006A40B8">
              <w:rPr>
                <w:webHidden/>
              </w:rPr>
              <w:fldChar w:fldCharType="separate"/>
            </w:r>
            <w:r w:rsidR="006A40B8">
              <w:rPr>
                <w:webHidden/>
              </w:rPr>
              <w:t>53</w:t>
            </w:r>
            <w:r w:rsidR="006A40B8">
              <w:rPr>
                <w:webHidden/>
              </w:rPr>
              <w:fldChar w:fldCharType="end"/>
            </w:r>
          </w:hyperlink>
        </w:p>
        <w:p w14:paraId="622FD090"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15" w:history="1">
            <w:r w:rsidR="006A40B8" w:rsidRPr="00461E6E">
              <w:rPr>
                <w:rStyle w:val="Hyperlink"/>
              </w:rPr>
              <w:t>Risk Management Plan</w:t>
            </w:r>
            <w:r w:rsidR="006A40B8">
              <w:rPr>
                <w:webHidden/>
              </w:rPr>
              <w:tab/>
            </w:r>
            <w:r w:rsidR="006A40B8">
              <w:rPr>
                <w:webHidden/>
              </w:rPr>
              <w:fldChar w:fldCharType="begin"/>
            </w:r>
            <w:r w:rsidR="006A40B8">
              <w:rPr>
                <w:webHidden/>
              </w:rPr>
              <w:instrText xml:space="preserve"> PAGEREF _Toc448777815 \h </w:instrText>
            </w:r>
            <w:r w:rsidR="006A40B8">
              <w:rPr>
                <w:webHidden/>
              </w:rPr>
            </w:r>
            <w:r w:rsidR="006A40B8">
              <w:rPr>
                <w:webHidden/>
              </w:rPr>
              <w:fldChar w:fldCharType="separate"/>
            </w:r>
            <w:r w:rsidR="006A40B8">
              <w:rPr>
                <w:webHidden/>
              </w:rPr>
              <w:t>53</w:t>
            </w:r>
            <w:r w:rsidR="006A40B8">
              <w:rPr>
                <w:webHidden/>
              </w:rPr>
              <w:fldChar w:fldCharType="end"/>
            </w:r>
          </w:hyperlink>
        </w:p>
        <w:p w14:paraId="5F6117DA"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16" w:history="1">
            <w:r w:rsidR="006A40B8" w:rsidRPr="00461E6E">
              <w:rPr>
                <w:rStyle w:val="Hyperlink"/>
              </w:rPr>
              <w:t>Safeguards</w:t>
            </w:r>
            <w:r w:rsidR="006A40B8">
              <w:rPr>
                <w:webHidden/>
              </w:rPr>
              <w:tab/>
            </w:r>
            <w:r w:rsidR="006A40B8">
              <w:rPr>
                <w:webHidden/>
              </w:rPr>
              <w:fldChar w:fldCharType="begin"/>
            </w:r>
            <w:r w:rsidR="006A40B8">
              <w:rPr>
                <w:webHidden/>
              </w:rPr>
              <w:instrText xml:space="preserve"> PAGEREF _Toc448777816 \h </w:instrText>
            </w:r>
            <w:r w:rsidR="006A40B8">
              <w:rPr>
                <w:webHidden/>
              </w:rPr>
            </w:r>
            <w:r w:rsidR="006A40B8">
              <w:rPr>
                <w:webHidden/>
              </w:rPr>
              <w:fldChar w:fldCharType="separate"/>
            </w:r>
            <w:r w:rsidR="006A40B8">
              <w:rPr>
                <w:webHidden/>
              </w:rPr>
              <w:t>53</w:t>
            </w:r>
            <w:r w:rsidR="006A40B8">
              <w:rPr>
                <w:webHidden/>
              </w:rPr>
              <w:fldChar w:fldCharType="end"/>
            </w:r>
          </w:hyperlink>
        </w:p>
        <w:p w14:paraId="682C70AA" w14:textId="77777777" w:rsidR="006A40B8" w:rsidRDefault="006A40B8">
          <w:pPr>
            <w:pStyle w:val="TOC2"/>
            <w:rPr>
              <w:rStyle w:val="Hyperlink"/>
            </w:rPr>
          </w:pPr>
        </w:p>
        <w:p w14:paraId="2ADCE37C"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17" w:history="1">
            <w:r w:rsidR="006A40B8" w:rsidRPr="00461E6E">
              <w:rPr>
                <w:rStyle w:val="Hyperlink"/>
              </w:rPr>
              <w:t>Annex 1: Lessons from the HPA Review</w:t>
            </w:r>
            <w:r w:rsidR="006A40B8">
              <w:rPr>
                <w:webHidden/>
              </w:rPr>
              <w:tab/>
            </w:r>
            <w:r w:rsidR="006A40B8">
              <w:rPr>
                <w:webHidden/>
              </w:rPr>
              <w:fldChar w:fldCharType="begin"/>
            </w:r>
            <w:r w:rsidR="006A40B8">
              <w:rPr>
                <w:webHidden/>
              </w:rPr>
              <w:instrText xml:space="preserve"> PAGEREF _Toc448777817 \h </w:instrText>
            </w:r>
            <w:r w:rsidR="006A40B8">
              <w:rPr>
                <w:webHidden/>
              </w:rPr>
            </w:r>
            <w:r w:rsidR="006A40B8">
              <w:rPr>
                <w:webHidden/>
              </w:rPr>
              <w:fldChar w:fldCharType="separate"/>
            </w:r>
            <w:r w:rsidR="006A40B8">
              <w:rPr>
                <w:webHidden/>
              </w:rPr>
              <w:t>55</w:t>
            </w:r>
            <w:r w:rsidR="006A40B8">
              <w:rPr>
                <w:webHidden/>
              </w:rPr>
              <w:fldChar w:fldCharType="end"/>
            </w:r>
          </w:hyperlink>
        </w:p>
        <w:p w14:paraId="770FC4FD"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18" w:history="1">
            <w:r w:rsidR="006A40B8" w:rsidRPr="00461E6E">
              <w:rPr>
                <w:rStyle w:val="Hyperlink"/>
              </w:rPr>
              <w:t>Annex 2: Draft Theory of Change</w:t>
            </w:r>
            <w:r w:rsidR="006A40B8">
              <w:rPr>
                <w:webHidden/>
              </w:rPr>
              <w:tab/>
            </w:r>
            <w:r w:rsidR="006A40B8">
              <w:rPr>
                <w:webHidden/>
              </w:rPr>
              <w:fldChar w:fldCharType="begin"/>
            </w:r>
            <w:r w:rsidR="006A40B8">
              <w:rPr>
                <w:webHidden/>
              </w:rPr>
              <w:instrText xml:space="preserve"> PAGEREF _Toc448777818 \h </w:instrText>
            </w:r>
            <w:r w:rsidR="006A40B8">
              <w:rPr>
                <w:webHidden/>
              </w:rPr>
            </w:r>
            <w:r w:rsidR="006A40B8">
              <w:rPr>
                <w:webHidden/>
              </w:rPr>
              <w:fldChar w:fldCharType="separate"/>
            </w:r>
            <w:r w:rsidR="006A40B8">
              <w:rPr>
                <w:webHidden/>
              </w:rPr>
              <w:t>60</w:t>
            </w:r>
            <w:r w:rsidR="006A40B8">
              <w:rPr>
                <w:webHidden/>
              </w:rPr>
              <w:fldChar w:fldCharType="end"/>
            </w:r>
          </w:hyperlink>
        </w:p>
        <w:p w14:paraId="33051FE9"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19" w:history="1">
            <w:r w:rsidR="006A40B8" w:rsidRPr="00461E6E">
              <w:rPr>
                <w:rStyle w:val="Hyperlink"/>
              </w:rPr>
              <w:t>Annex 3: Draft Theory of Action</w:t>
            </w:r>
            <w:r w:rsidR="006A40B8">
              <w:rPr>
                <w:webHidden/>
              </w:rPr>
              <w:tab/>
            </w:r>
            <w:r w:rsidR="006A40B8">
              <w:rPr>
                <w:webHidden/>
              </w:rPr>
              <w:fldChar w:fldCharType="begin"/>
            </w:r>
            <w:r w:rsidR="006A40B8">
              <w:rPr>
                <w:webHidden/>
              </w:rPr>
              <w:instrText xml:space="preserve"> PAGEREF _Toc448777819 \h </w:instrText>
            </w:r>
            <w:r w:rsidR="006A40B8">
              <w:rPr>
                <w:webHidden/>
              </w:rPr>
            </w:r>
            <w:r w:rsidR="006A40B8">
              <w:rPr>
                <w:webHidden/>
              </w:rPr>
              <w:fldChar w:fldCharType="separate"/>
            </w:r>
            <w:r w:rsidR="006A40B8">
              <w:rPr>
                <w:webHidden/>
              </w:rPr>
              <w:t>62</w:t>
            </w:r>
            <w:r w:rsidR="006A40B8">
              <w:rPr>
                <w:webHidden/>
              </w:rPr>
              <w:fldChar w:fldCharType="end"/>
            </w:r>
          </w:hyperlink>
        </w:p>
        <w:p w14:paraId="66A60D2D"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20" w:history="1">
            <w:r w:rsidR="006A40B8" w:rsidRPr="00461E6E">
              <w:rPr>
                <w:rStyle w:val="Hyperlink"/>
              </w:rPr>
              <w:t>Annex 4: Alternative Delivery Options Considered</w:t>
            </w:r>
            <w:r w:rsidR="006A40B8">
              <w:rPr>
                <w:webHidden/>
              </w:rPr>
              <w:tab/>
            </w:r>
            <w:r w:rsidR="006A40B8">
              <w:rPr>
                <w:webHidden/>
              </w:rPr>
              <w:fldChar w:fldCharType="begin"/>
            </w:r>
            <w:r w:rsidR="006A40B8">
              <w:rPr>
                <w:webHidden/>
              </w:rPr>
              <w:instrText xml:space="preserve"> PAGEREF _Toc448777820 \h </w:instrText>
            </w:r>
            <w:r w:rsidR="006A40B8">
              <w:rPr>
                <w:webHidden/>
              </w:rPr>
            </w:r>
            <w:r w:rsidR="006A40B8">
              <w:rPr>
                <w:webHidden/>
              </w:rPr>
              <w:fldChar w:fldCharType="separate"/>
            </w:r>
            <w:r w:rsidR="006A40B8">
              <w:rPr>
                <w:webHidden/>
              </w:rPr>
              <w:t>69</w:t>
            </w:r>
            <w:r w:rsidR="006A40B8">
              <w:rPr>
                <w:webHidden/>
              </w:rPr>
              <w:fldChar w:fldCharType="end"/>
            </w:r>
          </w:hyperlink>
        </w:p>
        <w:p w14:paraId="0B5467E5"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21" w:history="1">
            <w:r w:rsidR="006A40B8" w:rsidRPr="00461E6E">
              <w:rPr>
                <w:rStyle w:val="Hyperlink"/>
              </w:rPr>
              <w:t>Annex 5: Draft MEL processes and products</w:t>
            </w:r>
            <w:r w:rsidR="006A40B8">
              <w:rPr>
                <w:webHidden/>
              </w:rPr>
              <w:tab/>
            </w:r>
            <w:r w:rsidR="006A40B8">
              <w:rPr>
                <w:webHidden/>
              </w:rPr>
              <w:fldChar w:fldCharType="begin"/>
            </w:r>
            <w:r w:rsidR="006A40B8">
              <w:rPr>
                <w:webHidden/>
              </w:rPr>
              <w:instrText xml:space="preserve"> PAGEREF _Toc448777821 \h </w:instrText>
            </w:r>
            <w:r w:rsidR="006A40B8">
              <w:rPr>
                <w:webHidden/>
              </w:rPr>
            </w:r>
            <w:r w:rsidR="006A40B8">
              <w:rPr>
                <w:webHidden/>
              </w:rPr>
              <w:fldChar w:fldCharType="separate"/>
            </w:r>
            <w:r w:rsidR="006A40B8">
              <w:rPr>
                <w:webHidden/>
              </w:rPr>
              <w:t>71</w:t>
            </w:r>
            <w:r w:rsidR="006A40B8">
              <w:rPr>
                <w:webHidden/>
              </w:rPr>
              <w:fldChar w:fldCharType="end"/>
            </w:r>
          </w:hyperlink>
        </w:p>
        <w:p w14:paraId="03201070"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23" w:history="1">
            <w:r w:rsidR="006A40B8" w:rsidRPr="00461E6E">
              <w:rPr>
                <w:rStyle w:val="Hyperlink"/>
              </w:rPr>
              <w:t>Annex 6: Support Unit’s Terms of Reference and Position Descriptions</w:t>
            </w:r>
            <w:r w:rsidR="006A40B8">
              <w:rPr>
                <w:webHidden/>
              </w:rPr>
              <w:tab/>
            </w:r>
            <w:r w:rsidR="006A40B8">
              <w:rPr>
                <w:webHidden/>
              </w:rPr>
              <w:fldChar w:fldCharType="begin"/>
            </w:r>
            <w:r w:rsidR="006A40B8">
              <w:rPr>
                <w:webHidden/>
              </w:rPr>
              <w:instrText xml:space="preserve"> PAGEREF _Toc448777823 \h </w:instrText>
            </w:r>
            <w:r w:rsidR="006A40B8">
              <w:rPr>
                <w:webHidden/>
              </w:rPr>
            </w:r>
            <w:r w:rsidR="006A40B8">
              <w:rPr>
                <w:webHidden/>
              </w:rPr>
              <w:fldChar w:fldCharType="separate"/>
            </w:r>
            <w:r w:rsidR="006A40B8">
              <w:rPr>
                <w:webHidden/>
              </w:rPr>
              <w:t>72</w:t>
            </w:r>
            <w:r w:rsidR="006A40B8">
              <w:rPr>
                <w:webHidden/>
              </w:rPr>
              <w:fldChar w:fldCharType="end"/>
            </w:r>
          </w:hyperlink>
        </w:p>
        <w:p w14:paraId="0036F450" w14:textId="77777777" w:rsidR="006A40B8" w:rsidRDefault="00CE1675">
          <w:pPr>
            <w:pStyle w:val="TOC2"/>
            <w:rPr>
              <w:rFonts w:asciiTheme="minorHAnsi" w:eastAsiaTheme="minorEastAsia" w:hAnsiTheme="minorHAnsi" w:cstheme="minorBidi"/>
              <w:b w:val="0"/>
              <w:bCs w:val="0"/>
              <w:sz w:val="22"/>
              <w:szCs w:val="22"/>
              <w:lang w:eastAsia="en-AU"/>
            </w:rPr>
          </w:pPr>
          <w:hyperlink w:anchor="_Toc448777829" w:history="1">
            <w:r w:rsidR="006A40B8" w:rsidRPr="00461E6E">
              <w:rPr>
                <w:rStyle w:val="Hyperlink"/>
              </w:rPr>
              <w:t>Annex 7: Design - Terms of Reference</w:t>
            </w:r>
            <w:r w:rsidR="006A40B8">
              <w:rPr>
                <w:webHidden/>
              </w:rPr>
              <w:tab/>
            </w:r>
            <w:r w:rsidR="006A40B8">
              <w:rPr>
                <w:webHidden/>
              </w:rPr>
              <w:fldChar w:fldCharType="begin"/>
            </w:r>
            <w:r w:rsidR="006A40B8">
              <w:rPr>
                <w:webHidden/>
              </w:rPr>
              <w:instrText xml:space="preserve"> PAGEREF _Toc448777829 \h </w:instrText>
            </w:r>
            <w:r w:rsidR="006A40B8">
              <w:rPr>
                <w:webHidden/>
              </w:rPr>
            </w:r>
            <w:r w:rsidR="006A40B8">
              <w:rPr>
                <w:webHidden/>
              </w:rPr>
              <w:fldChar w:fldCharType="separate"/>
            </w:r>
            <w:r w:rsidR="006A40B8">
              <w:rPr>
                <w:webHidden/>
              </w:rPr>
              <w:t>77</w:t>
            </w:r>
            <w:r w:rsidR="006A40B8">
              <w:rPr>
                <w:webHidden/>
              </w:rPr>
              <w:fldChar w:fldCharType="end"/>
            </w:r>
          </w:hyperlink>
        </w:p>
        <w:p w14:paraId="672ADC59" w14:textId="14E3AF22" w:rsidR="00BD0193" w:rsidRDefault="00BD0193" w:rsidP="00C23DFB">
          <w:pPr>
            <w:ind w:firstLine="240"/>
          </w:pPr>
          <w:r>
            <w:rPr>
              <w:b/>
              <w:bCs/>
              <w:noProof/>
            </w:rPr>
            <w:fldChar w:fldCharType="end"/>
          </w:r>
          <w:r w:rsidR="0084082C">
            <w:rPr>
              <w:b/>
              <w:bCs/>
              <w:noProof/>
            </w:rPr>
            <w:t>A</w:t>
          </w:r>
          <w:r w:rsidR="00C23DFB">
            <w:rPr>
              <w:b/>
              <w:bCs/>
              <w:noProof/>
            </w:rPr>
            <w:t>nnex 8: Risk Register</w:t>
          </w:r>
          <w:r w:rsidR="0084082C">
            <w:rPr>
              <w:b/>
              <w:bCs/>
              <w:noProof/>
            </w:rPr>
            <w:t>……………………………………………………………………………………..</w:t>
          </w:r>
          <w:r w:rsidR="003D57AA">
            <w:rPr>
              <w:b/>
              <w:bCs/>
              <w:noProof/>
            </w:rPr>
            <w:t>81</w:t>
          </w:r>
        </w:p>
      </w:sdtContent>
    </w:sdt>
    <w:p w14:paraId="72544215" w14:textId="77777777" w:rsidR="00EE1DE5" w:rsidRPr="00EE1DE5" w:rsidRDefault="00EE1DE5" w:rsidP="00EE1DE5">
      <w:pPr>
        <w:keepNext/>
        <w:keepLines/>
        <w:spacing w:before="480"/>
        <w:jc w:val="both"/>
        <w:outlineLvl w:val="0"/>
        <w:rPr>
          <w:rFonts w:eastAsiaTheme="majorEastAsia" w:cstheme="majorBidi"/>
          <w:b/>
          <w:bCs/>
          <w:color w:val="365F91" w:themeColor="accent1" w:themeShade="BF"/>
          <w:sz w:val="32"/>
          <w:szCs w:val="28"/>
        </w:rPr>
      </w:pPr>
      <w:bookmarkStart w:id="8" w:name="_Toc448777792"/>
      <w:r w:rsidRPr="00EE1DE5">
        <w:rPr>
          <w:rFonts w:eastAsiaTheme="majorEastAsia" w:cstheme="majorBidi"/>
          <w:b/>
          <w:bCs/>
          <w:color w:val="365F91" w:themeColor="accent1" w:themeShade="BF"/>
          <w:sz w:val="32"/>
          <w:szCs w:val="28"/>
        </w:rPr>
        <w:lastRenderedPageBreak/>
        <w:t xml:space="preserve">Glossary of </w:t>
      </w:r>
      <w:r w:rsidR="009802EB">
        <w:rPr>
          <w:rFonts w:eastAsiaTheme="majorEastAsia" w:cstheme="majorBidi"/>
          <w:b/>
          <w:bCs/>
          <w:color w:val="365F91" w:themeColor="accent1" w:themeShade="BF"/>
          <w:sz w:val="32"/>
          <w:szCs w:val="28"/>
        </w:rPr>
        <w:t>T</w:t>
      </w:r>
      <w:r w:rsidRPr="00EE1DE5">
        <w:rPr>
          <w:rFonts w:eastAsiaTheme="majorEastAsia" w:cstheme="majorBidi"/>
          <w:b/>
          <w:bCs/>
          <w:color w:val="365F91" w:themeColor="accent1" w:themeShade="BF"/>
          <w:sz w:val="32"/>
          <w:szCs w:val="28"/>
        </w:rPr>
        <w:t>erms</w:t>
      </w:r>
      <w:bookmarkEnd w:id="8"/>
    </w:p>
    <w:p w14:paraId="25781438" w14:textId="77777777" w:rsidR="00EE1DE5" w:rsidRPr="00EE1DE5" w:rsidRDefault="00EE1DE5" w:rsidP="00EE1DE5">
      <w:pPr>
        <w:spacing w:after="120"/>
        <w:jc w:val="both"/>
        <w:rPr>
          <w:b/>
          <w:color w:val="4F81BD" w:themeColor="accent1"/>
        </w:rPr>
      </w:pPr>
    </w:p>
    <w:p w14:paraId="0AAC741A" w14:textId="734B8666" w:rsidR="00893058" w:rsidRDefault="00893058" w:rsidP="00893058">
      <w:pPr>
        <w:spacing w:after="120"/>
        <w:jc w:val="both"/>
        <w:rPr>
          <w:color w:val="000000" w:themeColor="text1"/>
        </w:rPr>
      </w:pPr>
      <w:r w:rsidRPr="00EE1DE5">
        <w:rPr>
          <w:rFonts w:ascii="Calibri" w:hAnsi="Calibri"/>
        </w:rPr>
        <w:t xml:space="preserve">This design </w:t>
      </w:r>
      <w:r w:rsidR="00C76A32">
        <w:rPr>
          <w:rFonts w:ascii="Calibri" w:hAnsi="Calibri"/>
        </w:rPr>
        <w:t>uses</w:t>
      </w:r>
      <w:r w:rsidRPr="00EE1DE5">
        <w:rPr>
          <w:rFonts w:ascii="Calibri" w:hAnsi="Calibri"/>
        </w:rPr>
        <w:t xml:space="preserve"> terminology in accordance with the 3 March 2016 </w:t>
      </w:r>
      <w:r>
        <w:rPr>
          <w:rFonts w:ascii="Calibri" w:hAnsi="Calibri"/>
        </w:rPr>
        <w:t xml:space="preserve">draft </w:t>
      </w:r>
      <w:r w:rsidRPr="00EE1DE5">
        <w:rPr>
          <w:rFonts w:ascii="Calibri" w:hAnsi="Calibri"/>
        </w:rPr>
        <w:t xml:space="preserve">working text on terminology of the </w:t>
      </w:r>
      <w:r w:rsidRPr="00C76A32">
        <w:rPr>
          <w:i/>
          <w:color w:val="000000" w:themeColor="text1"/>
        </w:rPr>
        <w:t>Sendai Indicator Working Group on Indicators and Terminology</w:t>
      </w:r>
      <w:r w:rsidRPr="00EE1DE5">
        <w:rPr>
          <w:color w:val="000000" w:themeColor="text1"/>
        </w:rPr>
        <w:t>.</w:t>
      </w:r>
      <w:r w:rsidRPr="00EE1DE5">
        <w:rPr>
          <w:rFonts w:ascii="Times New Roman" w:hAnsi="Times New Roman"/>
          <w:color w:val="000000" w:themeColor="text1"/>
          <w:position w:val="6"/>
          <w:sz w:val="16"/>
          <w:szCs w:val="12"/>
        </w:rPr>
        <w:footnoteReference w:id="1"/>
      </w:r>
      <w:r>
        <w:rPr>
          <w:color w:val="000000" w:themeColor="text1"/>
        </w:rPr>
        <w:t xml:space="preserve"> These definitions will be amended, as necessary, to reflect the definitions in the final text which is due to be adopted in early 2017.</w:t>
      </w:r>
    </w:p>
    <w:p w14:paraId="7ED50A4B" w14:textId="77777777" w:rsidR="00C76A32" w:rsidRPr="00EE1DE5" w:rsidRDefault="00C76A32" w:rsidP="00893058">
      <w:pPr>
        <w:spacing w:after="120"/>
        <w:jc w:val="both"/>
        <w:rPr>
          <w:color w:val="000000" w:themeColor="text1"/>
        </w:rPr>
      </w:pPr>
    </w:p>
    <w:p w14:paraId="65F29865" w14:textId="77777777" w:rsidR="00960C2E" w:rsidRDefault="00960C2E" w:rsidP="00EE1DE5">
      <w:pPr>
        <w:spacing w:after="120"/>
        <w:jc w:val="both"/>
        <w:rPr>
          <w:rFonts w:ascii="Calibri" w:hAnsi="Calibri"/>
          <w:b/>
        </w:rPr>
      </w:pPr>
      <w:r>
        <w:rPr>
          <w:rFonts w:ascii="Calibri" w:hAnsi="Calibri"/>
          <w:b/>
        </w:rPr>
        <w:t>ACFID</w:t>
      </w:r>
    </w:p>
    <w:p w14:paraId="26CD56B3" w14:textId="77777777" w:rsidR="00960C2E" w:rsidRPr="00B60A49" w:rsidRDefault="00960C2E" w:rsidP="00EE1DE5">
      <w:pPr>
        <w:spacing w:after="120"/>
        <w:jc w:val="both"/>
        <w:rPr>
          <w:rFonts w:ascii="Calibri" w:hAnsi="Calibri"/>
        </w:rPr>
      </w:pPr>
      <w:r>
        <w:rPr>
          <w:rFonts w:ascii="Calibri" w:hAnsi="Calibri"/>
        </w:rPr>
        <w:t>Australian Council for International Development.</w:t>
      </w:r>
    </w:p>
    <w:p w14:paraId="2E83DC1B" w14:textId="77777777" w:rsidR="001F345C" w:rsidRDefault="001F345C" w:rsidP="00EE1DE5">
      <w:pPr>
        <w:spacing w:after="120"/>
        <w:jc w:val="both"/>
        <w:rPr>
          <w:rFonts w:ascii="Calibri" w:hAnsi="Calibri"/>
          <w:b/>
        </w:rPr>
      </w:pPr>
      <w:r>
        <w:rPr>
          <w:rFonts w:ascii="Calibri" w:hAnsi="Calibri"/>
          <w:b/>
        </w:rPr>
        <w:t>ADF</w:t>
      </w:r>
    </w:p>
    <w:p w14:paraId="139FD1CD" w14:textId="77777777" w:rsidR="001F345C" w:rsidRPr="00B60A49" w:rsidRDefault="001F345C" w:rsidP="00EE1DE5">
      <w:pPr>
        <w:spacing w:after="120"/>
        <w:jc w:val="both"/>
        <w:rPr>
          <w:rFonts w:ascii="Calibri" w:hAnsi="Calibri"/>
        </w:rPr>
      </w:pPr>
      <w:r>
        <w:rPr>
          <w:rFonts w:ascii="Calibri" w:hAnsi="Calibri"/>
        </w:rPr>
        <w:t>Australian Defence Force.</w:t>
      </w:r>
    </w:p>
    <w:p w14:paraId="75405EB7" w14:textId="77777777" w:rsidR="00960C2E" w:rsidRDefault="00960C2E" w:rsidP="00EE1DE5">
      <w:pPr>
        <w:spacing w:after="120"/>
        <w:jc w:val="both"/>
        <w:rPr>
          <w:rFonts w:ascii="Calibri" w:hAnsi="Calibri"/>
          <w:b/>
        </w:rPr>
      </w:pPr>
      <w:r>
        <w:rPr>
          <w:rFonts w:ascii="Calibri" w:hAnsi="Calibri"/>
          <w:b/>
        </w:rPr>
        <w:t>ANCP</w:t>
      </w:r>
    </w:p>
    <w:p w14:paraId="417E89FE" w14:textId="77777777" w:rsidR="00960C2E" w:rsidRPr="00B60A49" w:rsidRDefault="00960C2E" w:rsidP="00EE1DE5">
      <w:pPr>
        <w:spacing w:after="120"/>
        <w:jc w:val="both"/>
        <w:rPr>
          <w:rFonts w:ascii="Calibri" w:hAnsi="Calibri"/>
        </w:rPr>
      </w:pPr>
      <w:r>
        <w:rPr>
          <w:rFonts w:ascii="Calibri" w:hAnsi="Calibri"/>
        </w:rPr>
        <w:t>Australian NGO Cooperation Program.</w:t>
      </w:r>
    </w:p>
    <w:p w14:paraId="2E80A453" w14:textId="77777777" w:rsidR="001F345C" w:rsidRDefault="001F345C" w:rsidP="00EE1DE5">
      <w:pPr>
        <w:spacing w:after="120"/>
        <w:jc w:val="both"/>
        <w:rPr>
          <w:rFonts w:ascii="Calibri" w:hAnsi="Calibri"/>
          <w:b/>
        </w:rPr>
      </w:pPr>
      <w:r>
        <w:rPr>
          <w:rFonts w:ascii="Calibri" w:hAnsi="Calibri"/>
          <w:b/>
        </w:rPr>
        <w:t>ANGO</w:t>
      </w:r>
    </w:p>
    <w:p w14:paraId="182CCFD5" w14:textId="77777777" w:rsidR="001F345C" w:rsidRPr="00B60A49" w:rsidRDefault="001F345C" w:rsidP="00EE1DE5">
      <w:pPr>
        <w:spacing w:after="120"/>
        <w:jc w:val="both"/>
        <w:rPr>
          <w:rFonts w:ascii="Calibri" w:hAnsi="Calibri"/>
        </w:rPr>
      </w:pPr>
      <w:r>
        <w:rPr>
          <w:rFonts w:ascii="Calibri" w:hAnsi="Calibri"/>
        </w:rPr>
        <w:t>Australian Non-Government Organisation.</w:t>
      </w:r>
    </w:p>
    <w:p w14:paraId="0A2DE364" w14:textId="77777777" w:rsidR="001F345C" w:rsidRDefault="001F345C" w:rsidP="00EE1DE5">
      <w:pPr>
        <w:spacing w:after="120"/>
        <w:jc w:val="both"/>
        <w:rPr>
          <w:rFonts w:ascii="Calibri" w:hAnsi="Calibri"/>
          <w:b/>
        </w:rPr>
      </w:pPr>
      <w:r>
        <w:rPr>
          <w:rFonts w:ascii="Calibri" w:hAnsi="Calibri"/>
          <w:b/>
        </w:rPr>
        <w:t>ARC</w:t>
      </w:r>
    </w:p>
    <w:p w14:paraId="1D7931F8" w14:textId="77777777" w:rsidR="001F345C" w:rsidRPr="00B60A49" w:rsidRDefault="001F345C" w:rsidP="00EE1DE5">
      <w:pPr>
        <w:spacing w:after="120"/>
        <w:jc w:val="both"/>
        <w:rPr>
          <w:rFonts w:ascii="Calibri" w:hAnsi="Calibri"/>
        </w:rPr>
      </w:pPr>
      <w:r>
        <w:rPr>
          <w:rFonts w:ascii="Calibri" w:hAnsi="Calibri"/>
        </w:rPr>
        <w:t>Australian Red Cross.</w:t>
      </w:r>
    </w:p>
    <w:p w14:paraId="4D7ECB3D" w14:textId="77777777" w:rsidR="00EE1DE5" w:rsidRPr="00EE1DE5" w:rsidRDefault="00EE1DE5" w:rsidP="00EE1DE5">
      <w:pPr>
        <w:spacing w:after="120"/>
        <w:jc w:val="both"/>
        <w:rPr>
          <w:rFonts w:ascii="Calibri" w:hAnsi="Calibri"/>
          <w:b/>
        </w:rPr>
      </w:pPr>
      <w:r w:rsidRPr="00EE1DE5">
        <w:rPr>
          <w:rFonts w:ascii="Calibri" w:hAnsi="Calibri"/>
          <w:b/>
        </w:rPr>
        <w:t>Build back better</w:t>
      </w:r>
    </w:p>
    <w:p w14:paraId="1447BC54" w14:textId="77777777" w:rsidR="00EE1DE5" w:rsidRPr="00EE1DE5" w:rsidRDefault="00EE1DE5" w:rsidP="00EE1DE5">
      <w:pPr>
        <w:spacing w:after="120"/>
        <w:jc w:val="both"/>
        <w:rPr>
          <w:rFonts w:ascii="Calibri" w:hAnsi="Calibri" w:cs="TimesNewRomanPSMT"/>
        </w:rPr>
      </w:pPr>
      <w:r w:rsidRPr="00EE1DE5">
        <w:rPr>
          <w:rFonts w:ascii="Calibri" w:hAnsi="Calibri" w:cs="TimesNewRomanPSMT"/>
        </w:rPr>
        <w:t>The guiding principle to utili</w:t>
      </w:r>
      <w:r w:rsidR="00213C5F">
        <w:rPr>
          <w:rFonts w:ascii="Calibri" w:hAnsi="Calibri" w:cs="TimesNewRomanPSMT"/>
        </w:rPr>
        <w:t>s</w:t>
      </w:r>
      <w:r w:rsidRPr="00EE1DE5">
        <w:rPr>
          <w:rFonts w:ascii="Calibri" w:hAnsi="Calibri" w:cs="TimesNewRomanPSMT"/>
        </w:rPr>
        <w:t>e the reconstruction process to improve living and environmental conditions including through integrating disaster risk reduction into development measures, making nations and communities more resilient to disasters.</w:t>
      </w:r>
    </w:p>
    <w:p w14:paraId="1F109BD7" w14:textId="77777777" w:rsidR="00EE1DE5" w:rsidRPr="00EE1DE5" w:rsidRDefault="00EE1DE5" w:rsidP="00EE1DE5">
      <w:pPr>
        <w:spacing w:after="120"/>
        <w:jc w:val="both"/>
        <w:rPr>
          <w:rFonts w:ascii="Calibri" w:hAnsi="Calibri"/>
          <w:b/>
        </w:rPr>
      </w:pPr>
      <w:r w:rsidRPr="00EE1DE5">
        <w:rPr>
          <w:rFonts w:ascii="Calibri" w:hAnsi="Calibri"/>
          <w:b/>
        </w:rPr>
        <w:t>Climate change</w:t>
      </w:r>
    </w:p>
    <w:p w14:paraId="5B3738DB" w14:textId="77777777" w:rsidR="00EE1DE5" w:rsidRPr="00EE1DE5" w:rsidRDefault="00EE1DE5" w:rsidP="00EE1DE5">
      <w:pPr>
        <w:spacing w:after="120"/>
        <w:jc w:val="both"/>
        <w:rPr>
          <w:rFonts w:ascii="Calibri" w:hAnsi="Calibri" w:cs="TimesNewRomanPSMT"/>
        </w:rPr>
      </w:pPr>
      <w:r w:rsidRPr="00EE1DE5">
        <w:rPr>
          <w:rFonts w:ascii="Calibri" w:hAnsi="Calibri" w:cs="TimesNewRomanPSMT"/>
        </w:rPr>
        <w:t>Climate change refers to a change in the state of the climate that can be identified (e.g., by using statistical tests) by changes in the mean and/or the variability of its properties, and that persists for an extended period, typically decades or longer. Climate change may be due to natural internal processes or external forcings such as modulations of the solar cycles, volcanic eruptions, and persistent anthropogenic changes in the composition of the atmosphere or in land use.</w:t>
      </w:r>
    </w:p>
    <w:p w14:paraId="708D1AC6" w14:textId="77777777" w:rsidR="001F345C" w:rsidRDefault="001F345C" w:rsidP="00EE1DE5">
      <w:pPr>
        <w:spacing w:after="120"/>
        <w:jc w:val="both"/>
        <w:rPr>
          <w:rFonts w:ascii="Calibri" w:hAnsi="Calibri"/>
          <w:b/>
        </w:rPr>
      </w:pPr>
      <w:r>
        <w:rPr>
          <w:rFonts w:ascii="Calibri" w:hAnsi="Calibri"/>
          <w:b/>
        </w:rPr>
        <w:t>DFAT</w:t>
      </w:r>
    </w:p>
    <w:p w14:paraId="70490960" w14:textId="77777777" w:rsidR="001F345C" w:rsidRPr="00B60A49" w:rsidRDefault="001F345C" w:rsidP="00EE1DE5">
      <w:pPr>
        <w:spacing w:after="120"/>
        <w:jc w:val="both"/>
        <w:rPr>
          <w:rFonts w:ascii="Calibri" w:hAnsi="Calibri"/>
        </w:rPr>
      </w:pPr>
      <w:r>
        <w:rPr>
          <w:rFonts w:ascii="Calibri" w:hAnsi="Calibri"/>
        </w:rPr>
        <w:t>Australian Government Department of Foreign Affairs and Trade.</w:t>
      </w:r>
    </w:p>
    <w:p w14:paraId="3CF993FF" w14:textId="77777777" w:rsidR="00EE1DE5" w:rsidRPr="00EE1DE5" w:rsidRDefault="00EE1DE5" w:rsidP="00EE1DE5">
      <w:pPr>
        <w:spacing w:after="120"/>
        <w:jc w:val="both"/>
        <w:rPr>
          <w:rFonts w:ascii="Calibri" w:hAnsi="Calibri"/>
          <w:b/>
        </w:rPr>
      </w:pPr>
      <w:r w:rsidRPr="00EE1DE5">
        <w:rPr>
          <w:rFonts w:ascii="Calibri" w:hAnsi="Calibri"/>
          <w:b/>
        </w:rPr>
        <w:t>Disaster</w:t>
      </w:r>
    </w:p>
    <w:p w14:paraId="4DAF7BAC" w14:textId="77777777" w:rsidR="00EE1DE5" w:rsidRPr="00EE1DE5" w:rsidRDefault="00EE1DE5" w:rsidP="00EE1DE5">
      <w:pPr>
        <w:spacing w:after="120"/>
        <w:jc w:val="both"/>
        <w:rPr>
          <w:rFonts w:ascii="Calibri" w:hAnsi="Calibri" w:cs="TimesNewRomanPSMT"/>
        </w:rPr>
      </w:pPr>
      <w:r w:rsidRPr="00EE1DE5">
        <w:rPr>
          <w:rFonts w:ascii="Calibri" w:hAnsi="Calibri" w:cs="TimesNewRomanPSMT"/>
        </w:rPr>
        <w:t xml:space="preserve">A serious disruption of the functioning of a community or a society due to hazardous events interacting with conditions of vulnerability and exposure, leading to widespread human, material, economic and environmental losses and impacts. </w:t>
      </w:r>
    </w:p>
    <w:p w14:paraId="60284DC0" w14:textId="77777777" w:rsidR="00EE1DE5" w:rsidRPr="00EE1DE5" w:rsidRDefault="00EE1DE5" w:rsidP="00C76A32">
      <w:pPr>
        <w:keepNext/>
        <w:keepLines/>
        <w:spacing w:after="120"/>
        <w:jc w:val="both"/>
        <w:rPr>
          <w:rFonts w:ascii="Calibri" w:hAnsi="Calibri"/>
          <w:b/>
        </w:rPr>
      </w:pPr>
      <w:r w:rsidRPr="00EE1DE5">
        <w:rPr>
          <w:rFonts w:ascii="Calibri" w:hAnsi="Calibri"/>
          <w:b/>
        </w:rPr>
        <w:lastRenderedPageBreak/>
        <w:t>Disaster management (DM)</w:t>
      </w:r>
    </w:p>
    <w:p w14:paraId="053B978B" w14:textId="4DC037A2" w:rsidR="00893058" w:rsidRPr="00EE1DE5" w:rsidRDefault="00893058" w:rsidP="00C76A32">
      <w:pPr>
        <w:keepNext/>
        <w:keepLines/>
        <w:spacing w:after="120"/>
        <w:jc w:val="both"/>
        <w:rPr>
          <w:rFonts w:ascii="Calibri" w:hAnsi="Calibri" w:cs="TimesNewRomanPSMT"/>
        </w:rPr>
      </w:pPr>
      <w:r>
        <w:rPr>
          <w:rFonts w:ascii="Calibri" w:hAnsi="Calibri" w:cs="TimesNewRomanPSMT"/>
        </w:rPr>
        <w:t>The organis</w:t>
      </w:r>
      <w:r w:rsidRPr="00EE1DE5">
        <w:rPr>
          <w:rFonts w:ascii="Calibri" w:hAnsi="Calibri" w:cs="TimesNewRomanPSMT"/>
        </w:rPr>
        <w:t>ation, planning and application of measures preparing for, responding to</w:t>
      </w:r>
      <w:r w:rsidR="00813C06">
        <w:rPr>
          <w:rFonts w:ascii="Calibri" w:hAnsi="Calibri" w:cs="TimesNewRomanPSMT"/>
        </w:rPr>
        <w:t>,</w:t>
      </w:r>
      <w:r w:rsidRPr="00EE1DE5">
        <w:rPr>
          <w:rFonts w:ascii="Calibri" w:hAnsi="Calibri" w:cs="TimesNewRomanPSMT"/>
        </w:rPr>
        <w:t xml:space="preserve"> and</w:t>
      </w:r>
      <w:r w:rsidR="00813C06">
        <w:rPr>
          <w:rFonts w:ascii="Calibri" w:hAnsi="Calibri" w:cs="TimesNewRomanPSMT"/>
        </w:rPr>
        <w:t xml:space="preserve"> assisting</w:t>
      </w:r>
      <w:r w:rsidRPr="00EE1DE5">
        <w:rPr>
          <w:rFonts w:ascii="Calibri" w:hAnsi="Calibri" w:cs="TimesNewRomanPSMT"/>
        </w:rPr>
        <w:t xml:space="preserve"> initial recovery from disasters. Note: Disaster </w:t>
      </w:r>
      <w:r>
        <w:rPr>
          <w:rFonts w:ascii="Calibri" w:hAnsi="Calibri" w:cs="TimesNewRomanPSMT"/>
        </w:rPr>
        <w:t xml:space="preserve">risk </w:t>
      </w:r>
      <w:r w:rsidRPr="00EE1DE5">
        <w:rPr>
          <w:rFonts w:ascii="Calibri" w:hAnsi="Calibri" w:cs="TimesNewRomanPSMT"/>
        </w:rPr>
        <w:t xml:space="preserve">management </w:t>
      </w:r>
      <w:r>
        <w:rPr>
          <w:rFonts w:ascii="Calibri" w:hAnsi="Calibri" w:cs="TimesNewRomanPSMT"/>
        </w:rPr>
        <w:t xml:space="preserve">(see below) </w:t>
      </w:r>
      <w:r w:rsidRPr="00EE1DE5">
        <w:rPr>
          <w:rFonts w:ascii="Calibri" w:hAnsi="Calibri" w:cs="TimesNewRomanPSMT"/>
        </w:rPr>
        <w:t>may not completely avert or eliminate the threats</w:t>
      </w:r>
      <w:r>
        <w:rPr>
          <w:rFonts w:ascii="Calibri" w:hAnsi="Calibri" w:cs="TimesNewRomanPSMT"/>
        </w:rPr>
        <w:t>.</w:t>
      </w:r>
      <w:r w:rsidRPr="00EE1DE5">
        <w:rPr>
          <w:rFonts w:ascii="Calibri" w:hAnsi="Calibri" w:cs="TimesNewRomanPSMT"/>
        </w:rPr>
        <w:t xml:space="preserve"> </w:t>
      </w:r>
      <w:r>
        <w:rPr>
          <w:rFonts w:ascii="Calibri" w:hAnsi="Calibri" w:cs="TimesNewRomanPSMT"/>
        </w:rPr>
        <w:t xml:space="preserve">Disaster management </w:t>
      </w:r>
      <w:r w:rsidRPr="00EE1DE5">
        <w:rPr>
          <w:rFonts w:ascii="Calibri" w:hAnsi="Calibri" w:cs="TimesNewRomanPSMT"/>
        </w:rPr>
        <w:t>focuses on creating and impl</w:t>
      </w:r>
      <w:r>
        <w:rPr>
          <w:rFonts w:ascii="Calibri" w:hAnsi="Calibri" w:cs="TimesNewRomanPSMT"/>
        </w:rPr>
        <w:t>ementing preparedness and other</w:t>
      </w:r>
      <w:r w:rsidRPr="00EE1DE5">
        <w:rPr>
          <w:rFonts w:ascii="Calibri" w:hAnsi="Calibri" w:cs="TimesNewRomanPSMT"/>
        </w:rPr>
        <w:t xml:space="preserve"> plans to decrease the impact of </w:t>
      </w:r>
      <w:r>
        <w:rPr>
          <w:rFonts w:ascii="Calibri" w:hAnsi="Calibri" w:cs="TimesNewRomanPSMT"/>
        </w:rPr>
        <w:t>hazards</w:t>
      </w:r>
      <w:r w:rsidRPr="00EE1DE5">
        <w:rPr>
          <w:rFonts w:ascii="Calibri" w:hAnsi="Calibri" w:cs="TimesNewRomanPSMT"/>
        </w:rPr>
        <w:t xml:space="preserve"> and build back better. Failure to create or apply a plan could lead to damage to life, assets and lost revenue.</w:t>
      </w:r>
    </w:p>
    <w:p w14:paraId="35160BF7" w14:textId="77777777" w:rsidR="00EE1DE5" w:rsidRPr="00EE1DE5" w:rsidRDefault="00EE1DE5" w:rsidP="00EE1DE5">
      <w:pPr>
        <w:spacing w:after="120"/>
        <w:jc w:val="both"/>
        <w:rPr>
          <w:rFonts w:ascii="Calibri" w:hAnsi="Calibri"/>
          <w:b/>
        </w:rPr>
      </w:pPr>
      <w:r w:rsidRPr="00EE1DE5">
        <w:rPr>
          <w:rFonts w:ascii="Calibri" w:hAnsi="Calibri"/>
          <w:b/>
        </w:rPr>
        <w:t>Disaster risk</w:t>
      </w:r>
    </w:p>
    <w:p w14:paraId="29D5CBB6" w14:textId="77777777" w:rsidR="00EE1DE5" w:rsidRPr="00EE1DE5" w:rsidRDefault="00EE1DE5" w:rsidP="00EE1DE5">
      <w:pPr>
        <w:spacing w:after="120"/>
        <w:jc w:val="both"/>
        <w:rPr>
          <w:rFonts w:ascii="Calibri" w:hAnsi="Calibri" w:cs="TimesNewRomanPSMT"/>
        </w:rPr>
      </w:pPr>
      <w:r w:rsidRPr="00EE1DE5">
        <w:rPr>
          <w:rFonts w:ascii="Calibri" w:hAnsi="Calibri" w:cs="TimesNewRomanPSMT"/>
        </w:rPr>
        <w:t xml:space="preserve">Disaster risk is considered to be a function of hazard, exposure and vulnerability. It is normally expressed as a probability of loss of life, injury or destroyed or damaged assets which could occur to a system, society or a community in a specific period of time. </w:t>
      </w:r>
    </w:p>
    <w:p w14:paraId="09F4DBD0" w14:textId="77777777" w:rsidR="00EE1DE5" w:rsidRPr="00EE1DE5" w:rsidRDefault="00EE1DE5" w:rsidP="00EE1DE5">
      <w:pPr>
        <w:spacing w:after="120"/>
        <w:jc w:val="both"/>
        <w:rPr>
          <w:rFonts w:ascii="Calibri" w:hAnsi="Calibri"/>
          <w:b/>
        </w:rPr>
      </w:pPr>
      <w:r w:rsidRPr="00EE1DE5">
        <w:rPr>
          <w:rFonts w:ascii="Calibri" w:hAnsi="Calibri"/>
          <w:b/>
        </w:rPr>
        <w:t>Disaster risk management (DRM)</w:t>
      </w:r>
    </w:p>
    <w:p w14:paraId="11A1741C" w14:textId="77777777" w:rsidR="00EE1DE5" w:rsidRPr="00EE1DE5" w:rsidRDefault="00EE1DE5" w:rsidP="00EE1DE5">
      <w:pPr>
        <w:spacing w:after="120"/>
        <w:jc w:val="both"/>
        <w:rPr>
          <w:rFonts w:ascii="Calibri" w:hAnsi="Calibri" w:cs="TimesNewRomanPSMT"/>
        </w:rPr>
      </w:pPr>
      <w:r w:rsidRPr="00EE1DE5">
        <w:rPr>
          <w:rFonts w:ascii="Calibri" w:hAnsi="Calibri" w:cs="TimesNewRomanPSMT"/>
        </w:rPr>
        <w:t xml:space="preserve">Disaster risk management is the application of disaster risk reduction policies, processes and actions to prevent new risk, reduce existing disaster risk and manage residual risk contributing to the strengthening of resilience. Note: Disaster risk management includes actions designed to avoid the creation of new risks, actions designed to address pre-existing risks, and actions taken to address residual risk and reducing impacts on communities and societies. </w:t>
      </w:r>
    </w:p>
    <w:p w14:paraId="79F01CD3" w14:textId="77777777" w:rsidR="00EE1DE5" w:rsidRPr="00EE1DE5" w:rsidRDefault="00EE1DE5" w:rsidP="00EE1DE5">
      <w:pPr>
        <w:spacing w:after="120"/>
        <w:jc w:val="both"/>
        <w:rPr>
          <w:rFonts w:ascii="Calibri" w:hAnsi="Calibri"/>
          <w:b/>
        </w:rPr>
      </w:pPr>
      <w:r w:rsidRPr="00EE1DE5">
        <w:rPr>
          <w:rFonts w:ascii="Calibri" w:hAnsi="Calibri"/>
          <w:b/>
        </w:rPr>
        <w:t xml:space="preserve">Disaster </w:t>
      </w:r>
      <w:r w:rsidR="00047563">
        <w:rPr>
          <w:rFonts w:ascii="Calibri" w:hAnsi="Calibri"/>
          <w:b/>
        </w:rPr>
        <w:t>R</w:t>
      </w:r>
      <w:r w:rsidRPr="00EE1DE5">
        <w:rPr>
          <w:rFonts w:ascii="Calibri" w:hAnsi="Calibri"/>
          <w:b/>
        </w:rPr>
        <w:t>isk Reduction (DRR)</w:t>
      </w:r>
    </w:p>
    <w:p w14:paraId="0B8ED5DF" w14:textId="77777777" w:rsidR="00960C2E" w:rsidRDefault="00EE1DE5" w:rsidP="00EE1DE5">
      <w:pPr>
        <w:spacing w:after="120"/>
        <w:jc w:val="both"/>
        <w:rPr>
          <w:rFonts w:ascii="Calibri" w:hAnsi="Calibri"/>
          <w:b/>
        </w:rPr>
      </w:pPr>
      <w:r w:rsidRPr="00EE1DE5">
        <w:rPr>
          <w:rFonts w:ascii="Calibri" w:hAnsi="Calibri" w:cs="TimesNewRomanPSMT"/>
        </w:rPr>
        <w:t xml:space="preserve">Disaster risk reduction is the policy objective aimed at preventing new and reducing existing disaster risk and managing residual risk, all of which contributes to strengthening resilience. </w:t>
      </w:r>
    </w:p>
    <w:p w14:paraId="01AF9260" w14:textId="77777777" w:rsidR="001F345C" w:rsidRDefault="001F345C" w:rsidP="00EE1DE5">
      <w:pPr>
        <w:spacing w:after="120"/>
        <w:jc w:val="both"/>
        <w:rPr>
          <w:rFonts w:ascii="Calibri" w:hAnsi="Calibri"/>
          <w:b/>
        </w:rPr>
      </w:pPr>
      <w:r>
        <w:rPr>
          <w:rFonts w:ascii="Calibri" w:hAnsi="Calibri"/>
          <w:b/>
        </w:rPr>
        <w:t>GBV</w:t>
      </w:r>
    </w:p>
    <w:p w14:paraId="478F0F7E" w14:textId="77777777" w:rsidR="001F345C" w:rsidRPr="00B60A49" w:rsidRDefault="001F345C" w:rsidP="00EE1DE5">
      <w:pPr>
        <w:spacing w:after="120"/>
        <w:jc w:val="both"/>
        <w:rPr>
          <w:rFonts w:ascii="Calibri" w:hAnsi="Calibri"/>
        </w:rPr>
      </w:pPr>
      <w:r>
        <w:rPr>
          <w:rFonts w:ascii="Calibri" w:hAnsi="Calibri"/>
        </w:rPr>
        <w:t>Gender-based violence.</w:t>
      </w:r>
    </w:p>
    <w:p w14:paraId="56522B77" w14:textId="77777777" w:rsidR="00960C2E" w:rsidRDefault="00960C2E" w:rsidP="00EE1DE5">
      <w:pPr>
        <w:spacing w:after="120"/>
        <w:jc w:val="both"/>
        <w:rPr>
          <w:rFonts w:ascii="Calibri" w:hAnsi="Calibri"/>
          <w:b/>
        </w:rPr>
      </w:pPr>
      <w:r>
        <w:rPr>
          <w:rFonts w:ascii="Calibri" w:hAnsi="Calibri"/>
          <w:b/>
        </w:rPr>
        <w:t>HPA</w:t>
      </w:r>
    </w:p>
    <w:p w14:paraId="295A6B25" w14:textId="77777777" w:rsidR="00960C2E" w:rsidRPr="00B60A49" w:rsidRDefault="00041FC0" w:rsidP="00EE1DE5">
      <w:pPr>
        <w:spacing w:after="120"/>
        <w:jc w:val="both"/>
        <w:rPr>
          <w:rFonts w:ascii="Calibri" w:hAnsi="Calibri"/>
        </w:rPr>
      </w:pPr>
      <w:r>
        <w:rPr>
          <w:rFonts w:ascii="Calibri" w:hAnsi="Calibri"/>
        </w:rPr>
        <w:t>DFAT-</w:t>
      </w:r>
      <w:r w:rsidR="00960C2E">
        <w:rPr>
          <w:rFonts w:ascii="Calibri" w:hAnsi="Calibri"/>
        </w:rPr>
        <w:t>NGO Humanitarian Partnership Agreement (2011-2016).</w:t>
      </w:r>
    </w:p>
    <w:p w14:paraId="0CCD2809" w14:textId="77777777" w:rsidR="00960C2E" w:rsidRDefault="00960C2E" w:rsidP="00EE1DE5">
      <w:pPr>
        <w:spacing w:after="120"/>
        <w:jc w:val="both"/>
        <w:rPr>
          <w:rFonts w:ascii="Calibri" w:hAnsi="Calibri"/>
          <w:b/>
        </w:rPr>
      </w:pPr>
      <w:r>
        <w:rPr>
          <w:rFonts w:ascii="Calibri" w:hAnsi="Calibri"/>
          <w:b/>
        </w:rPr>
        <w:t>HRG</w:t>
      </w:r>
    </w:p>
    <w:p w14:paraId="3585A096" w14:textId="77777777" w:rsidR="00960C2E" w:rsidRPr="00B60A49" w:rsidRDefault="00960C2E" w:rsidP="00EE1DE5">
      <w:pPr>
        <w:spacing w:after="120"/>
        <w:jc w:val="both"/>
        <w:rPr>
          <w:rFonts w:ascii="Calibri" w:hAnsi="Calibri"/>
        </w:rPr>
      </w:pPr>
      <w:r>
        <w:rPr>
          <w:rFonts w:ascii="Calibri" w:hAnsi="Calibri"/>
        </w:rPr>
        <w:t>ACFID Humanitarian Reference Group.</w:t>
      </w:r>
    </w:p>
    <w:p w14:paraId="626E60A0" w14:textId="77777777" w:rsidR="001F345C" w:rsidRDefault="001F345C" w:rsidP="00EE1DE5">
      <w:pPr>
        <w:spacing w:after="120"/>
        <w:jc w:val="both"/>
        <w:rPr>
          <w:rFonts w:ascii="Calibri" w:hAnsi="Calibri"/>
          <w:b/>
        </w:rPr>
      </w:pPr>
      <w:r>
        <w:rPr>
          <w:rFonts w:ascii="Calibri" w:hAnsi="Calibri"/>
          <w:b/>
        </w:rPr>
        <w:t>INGO</w:t>
      </w:r>
    </w:p>
    <w:p w14:paraId="3F7DB490" w14:textId="77777777" w:rsidR="001F345C" w:rsidRPr="00B60A49" w:rsidRDefault="001F345C" w:rsidP="00EE1DE5">
      <w:pPr>
        <w:spacing w:after="120"/>
        <w:jc w:val="both"/>
        <w:rPr>
          <w:rFonts w:ascii="Calibri" w:hAnsi="Calibri"/>
        </w:rPr>
      </w:pPr>
      <w:r>
        <w:rPr>
          <w:rFonts w:ascii="Calibri" w:hAnsi="Calibri"/>
        </w:rPr>
        <w:t>International Non-Government Organisation.</w:t>
      </w:r>
    </w:p>
    <w:p w14:paraId="5484DB5E" w14:textId="77777777" w:rsidR="001F345C" w:rsidRDefault="001F345C" w:rsidP="00EE1DE5">
      <w:pPr>
        <w:spacing w:after="120"/>
        <w:jc w:val="both"/>
        <w:rPr>
          <w:rFonts w:ascii="Calibri" w:hAnsi="Calibri"/>
          <w:b/>
        </w:rPr>
      </w:pPr>
      <w:r>
        <w:rPr>
          <w:rFonts w:ascii="Calibri" w:hAnsi="Calibri"/>
          <w:b/>
        </w:rPr>
        <w:t>MEL</w:t>
      </w:r>
    </w:p>
    <w:p w14:paraId="07E083F0" w14:textId="77777777" w:rsidR="001F345C" w:rsidRPr="00B60A49" w:rsidRDefault="001F345C" w:rsidP="00EE1DE5">
      <w:pPr>
        <w:spacing w:after="120"/>
        <w:jc w:val="both"/>
        <w:rPr>
          <w:rFonts w:ascii="Calibri" w:hAnsi="Calibri"/>
        </w:rPr>
      </w:pPr>
      <w:r>
        <w:rPr>
          <w:rFonts w:ascii="Calibri" w:hAnsi="Calibri"/>
        </w:rPr>
        <w:t>Monitoring, evaluation and learning.</w:t>
      </w:r>
    </w:p>
    <w:p w14:paraId="4B32390C" w14:textId="77777777" w:rsidR="00EE1DE5" w:rsidRPr="00EE1DE5" w:rsidRDefault="00EE1DE5" w:rsidP="00EE1DE5">
      <w:pPr>
        <w:spacing w:after="120"/>
        <w:jc w:val="both"/>
        <w:rPr>
          <w:rFonts w:ascii="Calibri" w:hAnsi="Calibri"/>
          <w:b/>
        </w:rPr>
      </w:pPr>
      <w:r w:rsidRPr="00EE1DE5">
        <w:rPr>
          <w:rFonts w:ascii="Calibri" w:hAnsi="Calibri"/>
          <w:b/>
        </w:rPr>
        <w:t>Natural hazard</w:t>
      </w:r>
    </w:p>
    <w:p w14:paraId="60C3574D" w14:textId="77777777" w:rsidR="00EE1DE5" w:rsidRPr="00EE1DE5" w:rsidRDefault="00EE1DE5" w:rsidP="00EE1DE5">
      <w:pPr>
        <w:spacing w:after="120"/>
        <w:jc w:val="both"/>
        <w:rPr>
          <w:rFonts w:ascii="Calibri" w:hAnsi="Calibri" w:cs="TimesNewRomanPSMT"/>
        </w:rPr>
      </w:pPr>
      <w:r w:rsidRPr="00EE1DE5">
        <w:rPr>
          <w:rFonts w:ascii="Calibri" w:hAnsi="Calibri" w:cs="TimesNewRomanPSMT"/>
        </w:rPr>
        <w:t xml:space="preserve">Natural process or phenomenon that may cause loss of life, injury or other health impacts, property damage, loss of livelihoods and services, social and economic disruption, or environmental damage. </w:t>
      </w:r>
    </w:p>
    <w:p w14:paraId="40F90BED" w14:textId="77777777" w:rsidR="00BA220B" w:rsidRDefault="00BA220B" w:rsidP="00EE1DE5">
      <w:pPr>
        <w:spacing w:after="120"/>
        <w:jc w:val="both"/>
        <w:rPr>
          <w:rFonts w:ascii="Calibri" w:hAnsi="Calibri"/>
          <w:b/>
        </w:rPr>
      </w:pPr>
      <w:r>
        <w:rPr>
          <w:rFonts w:ascii="Calibri" w:hAnsi="Calibri"/>
          <w:b/>
        </w:rPr>
        <w:t>NGO</w:t>
      </w:r>
    </w:p>
    <w:p w14:paraId="2D4B4C9B" w14:textId="77777777" w:rsidR="00BA220B" w:rsidRPr="00B60A49" w:rsidRDefault="00BA220B" w:rsidP="00EE1DE5">
      <w:pPr>
        <w:spacing w:after="120"/>
        <w:jc w:val="both"/>
        <w:rPr>
          <w:rFonts w:ascii="Calibri" w:hAnsi="Calibri"/>
        </w:rPr>
      </w:pPr>
      <w:r>
        <w:rPr>
          <w:rFonts w:ascii="Calibri" w:hAnsi="Calibri"/>
        </w:rPr>
        <w:t>Non-Government Organisation.</w:t>
      </w:r>
    </w:p>
    <w:p w14:paraId="3CC6910E" w14:textId="77777777" w:rsidR="004170FF" w:rsidRDefault="004170FF" w:rsidP="00632FE4">
      <w:pPr>
        <w:keepNext/>
        <w:keepLines/>
        <w:widowControl w:val="0"/>
        <w:spacing w:after="120"/>
        <w:jc w:val="both"/>
        <w:rPr>
          <w:rFonts w:ascii="Calibri" w:hAnsi="Calibri"/>
          <w:b/>
        </w:rPr>
      </w:pPr>
      <w:r>
        <w:rPr>
          <w:rFonts w:ascii="Calibri" w:hAnsi="Calibri"/>
          <w:b/>
        </w:rPr>
        <w:lastRenderedPageBreak/>
        <w:t>NZMFAT</w:t>
      </w:r>
    </w:p>
    <w:p w14:paraId="28B78926" w14:textId="77777777" w:rsidR="004170FF" w:rsidRPr="004170FF" w:rsidRDefault="004170FF" w:rsidP="00632FE4">
      <w:pPr>
        <w:keepNext/>
        <w:keepLines/>
        <w:widowControl w:val="0"/>
        <w:spacing w:after="120"/>
        <w:jc w:val="both"/>
        <w:rPr>
          <w:rFonts w:ascii="Calibri" w:hAnsi="Calibri"/>
        </w:rPr>
      </w:pPr>
      <w:r>
        <w:rPr>
          <w:rFonts w:ascii="Calibri" w:hAnsi="Calibri"/>
        </w:rPr>
        <w:t>New Zealand Ministry of Foreign Affairs</w:t>
      </w:r>
      <w:r w:rsidR="00C1266C">
        <w:rPr>
          <w:rFonts w:ascii="Calibri" w:hAnsi="Calibri"/>
        </w:rPr>
        <w:t xml:space="preserve"> and Trade</w:t>
      </w:r>
      <w:r>
        <w:rPr>
          <w:rFonts w:ascii="Calibri" w:hAnsi="Calibri"/>
        </w:rPr>
        <w:t>.</w:t>
      </w:r>
    </w:p>
    <w:p w14:paraId="24154016" w14:textId="77777777" w:rsidR="001F345C" w:rsidRDefault="001F345C" w:rsidP="00632FE4">
      <w:pPr>
        <w:keepNext/>
        <w:keepLines/>
        <w:widowControl w:val="0"/>
        <w:spacing w:after="120"/>
        <w:jc w:val="both"/>
        <w:rPr>
          <w:rFonts w:ascii="Calibri" w:hAnsi="Calibri"/>
          <w:b/>
        </w:rPr>
      </w:pPr>
      <w:r>
        <w:rPr>
          <w:rFonts w:ascii="Calibri" w:hAnsi="Calibri"/>
          <w:b/>
        </w:rPr>
        <w:t>ODI</w:t>
      </w:r>
    </w:p>
    <w:p w14:paraId="5E485831" w14:textId="77777777" w:rsidR="001F345C" w:rsidRPr="00B60A49" w:rsidRDefault="001F345C" w:rsidP="00632FE4">
      <w:pPr>
        <w:keepNext/>
        <w:keepLines/>
        <w:widowControl w:val="0"/>
        <w:spacing w:after="120"/>
        <w:jc w:val="both"/>
        <w:rPr>
          <w:rFonts w:ascii="Calibri" w:hAnsi="Calibri"/>
        </w:rPr>
      </w:pPr>
      <w:r>
        <w:rPr>
          <w:rFonts w:ascii="Calibri" w:hAnsi="Calibri"/>
        </w:rPr>
        <w:t>Overseas Development Institute.</w:t>
      </w:r>
    </w:p>
    <w:p w14:paraId="186C4597" w14:textId="77777777" w:rsidR="00960C2E" w:rsidRDefault="00960C2E" w:rsidP="00EE1DE5">
      <w:pPr>
        <w:spacing w:after="120"/>
        <w:jc w:val="both"/>
        <w:rPr>
          <w:rFonts w:ascii="Calibri" w:hAnsi="Calibri"/>
          <w:b/>
        </w:rPr>
      </w:pPr>
      <w:r>
        <w:rPr>
          <w:rFonts w:ascii="Calibri" w:hAnsi="Calibri"/>
          <w:b/>
        </w:rPr>
        <w:t>OECD DAC</w:t>
      </w:r>
    </w:p>
    <w:p w14:paraId="0CB67A04" w14:textId="77777777" w:rsidR="00960C2E" w:rsidRPr="00B60A49" w:rsidRDefault="00960C2E" w:rsidP="00EE1DE5">
      <w:pPr>
        <w:spacing w:after="120"/>
        <w:jc w:val="both"/>
        <w:rPr>
          <w:rFonts w:ascii="Calibri" w:hAnsi="Calibri"/>
        </w:rPr>
      </w:pPr>
      <w:r>
        <w:rPr>
          <w:rFonts w:ascii="Calibri" w:hAnsi="Calibri"/>
        </w:rPr>
        <w:t>Development Assistance Committee of the Organisation for Economic Cooperation and Development.</w:t>
      </w:r>
    </w:p>
    <w:p w14:paraId="4F739BDB" w14:textId="77777777" w:rsidR="00960C2E" w:rsidRDefault="00960C2E" w:rsidP="00EE1DE5">
      <w:pPr>
        <w:spacing w:after="120"/>
        <w:jc w:val="both"/>
        <w:rPr>
          <w:rFonts w:ascii="Calibri" w:hAnsi="Calibri"/>
          <w:b/>
        </w:rPr>
      </w:pPr>
      <w:r>
        <w:rPr>
          <w:rFonts w:ascii="Calibri" w:hAnsi="Calibri"/>
          <w:b/>
        </w:rPr>
        <w:t>Pacific region</w:t>
      </w:r>
    </w:p>
    <w:p w14:paraId="212F0770" w14:textId="77777777" w:rsidR="00960C2E" w:rsidRDefault="00960C2E" w:rsidP="00EE1DE5">
      <w:pPr>
        <w:spacing w:after="120"/>
        <w:jc w:val="both"/>
        <w:rPr>
          <w:rFonts w:ascii="Calibri" w:hAnsi="Calibri"/>
        </w:rPr>
      </w:pPr>
      <w:r>
        <w:rPr>
          <w:rFonts w:ascii="Calibri" w:hAnsi="Calibri"/>
        </w:rPr>
        <w:t>Note: For the purposes of the Australian Humanitarian Partnership, Timor Leste is considered to be part of the Pacific region.</w:t>
      </w:r>
    </w:p>
    <w:p w14:paraId="243D163A" w14:textId="77777777" w:rsidR="00EE1DE5" w:rsidRPr="00EE1DE5" w:rsidRDefault="00EE1DE5" w:rsidP="00EE1DE5">
      <w:pPr>
        <w:spacing w:after="120"/>
        <w:jc w:val="both"/>
        <w:rPr>
          <w:rFonts w:ascii="Calibri" w:hAnsi="Calibri"/>
          <w:b/>
        </w:rPr>
      </w:pPr>
      <w:r w:rsidRPr="00EE1DE5">
        <w:rPr>
          <w:rFonts w:ascii="Calibri" w:hAnsi="Calibri"/>
          <w:b/>
        </w:rPr>
        <w:t>Recovery</w:t>
      </w:r>
    </w:p>
    <w:p w14:paraId="568A6DEF" w14:textId="77777777" w:rsidR="00EE1DE5" w:rsidRPr="00EE1DE5" w:rsidRDefault="00EE1DE5" w:rsidP="00EE1DE5">
      <w:pPr>
        <w:spacing w:after="120"/>
        <w:jc w:val="both"/>
        <w:rPr>
          <w:rFonts w:ascii="Calibri" w:hAnsi="Calibri" w:cs="TimesNewRomanPSMT"/>
        </w:rPr>
      </w:pPr>
      <w:r w:rsidRPr="00EE1DE5">
        <w:rPr>
          <w:rFonts w:ascii="Calibri" w:hAnsi="Calibri" w:cs="TimesNewRomanPSMT"/>
        </w:rPr>
        <w:t xml:space="preserve">Decisions and actions aimed at restoring or improving livelihoods, health, as well as economic, physical, social, cultural and environmental assets, systems and activities, of a disaster-affected community or society, aligning with the principles of sustainable development, including build back better to avoid or reduce future disaster risk. </w:t>
      </w:r>
    </w:p>
    <w:p w14:paraId="17A852E0" w14:textId="77777777" w:rsidR="00EE1DE5" w:rsidRPr="00EE1DE5" w:rsidRDefault="00EE1DE5" w:rsidP="00EE1DE5">
      <w:pPr>
        <w:spacing w:after="120"/>
        <w:jc w:val="both"/>
        <w:rPr>
          <w:rFonts w:ascii="Calibri" w:hAnsi="Calibri"/>
          <w:b/>
        </w:rPr>
      </w:pPr>
      <w:r w:rsidRPr="00EE1DE5">
        <w:rPr>
          <w:rFonts w:ascii="Calibri" w:hAnsi="Calibri"/>
          <w:b/>
        </w:rPr>
        <w:t>Resilience</w:t>
      </w:r>
    </w:p>
    <w:p w14:paraId="2F80282E" w14:textId="77777777" w:rsidR="00EE1DE5" w:rsidRDefault="00EE1DE5" w:rsidP="00EE1DE5">
      <w:pPr>
        <w:spacing w:after="120"/>
        <w:jc w:val="both"/>
        <w:rPr>
          <w:rFonts w:ascii="Calibri" w:hAnsi="Calibri" w:cs="TimesNewRomanPSMT"/>
        </w:rPr>
      </w:pPr>
      <w:r w:rsidRPr="00EE1DE5">
        <w:rPr>
          <w:rFonts w:ascii="Calibri" w:hAnsi="Calibri" w:cs="TimesNewRomanPSMT"/>
        </w:rPr>
        <w:t xml:space="preserve">The ability of a system, community or society exposed to hazards to resist, absorb, accommodate to and recover from the effects of a hazard in a timely and efficient manner, including through the preservation and restoration of its essential basic structures and functions. </w:t>
      </w:r>
    </w:p>
    <w:p w14:paraId="62922727" w14:textId="77777777" w:rsidR="00960C2E" w:rsidRDefault="00960C2E" w:rsidP="00EE1DE5">
      <w:pPr>
        <w:spacing w:after="120"/>
        <w:jc w:val="both"/>
        <w:rPr>
          <w:rFonts w:ascii="Calibri" w:hAnsi="Calibri" w:cs="TimesNewRomanPSMT"/>
          <w:b/>
        </w:rPr>
      </w:pPr>
      <w:r>
        <w:rPr>
          <w:rFonts w:ascii="Calibri" w:hAnsi="Calibri" w:cs="TimesNewRomanPSMT"/>
          <w:b/>
        </w:rPr>
        <w:t>Sendai Framework</w:t>
      </w:r>
    </w:p>
    <w:p w14:paraId="1BF4F716" w14:textId="77777777" w:rsidR="00960C2E" w:rsidRPr="00960C2E" w:rsidRDefault="00960C2E" w:rsidP="00EE1DE5">
      <w:pPr>
        <w:spacing w:after="120"/>
        <w:jc w:val="both"/>
        <w:rPr>
          <w:rFonts w:ascii="Calibri" w:hAnsi="Calibri" w:cs="TimesNewRomanPSMT"/>
        </w:rPr>
      </w:pPr>
      <w:r>
        <w:rPr>
          <w:rFonts w:ascii="Calibri" w:hAnsi="Calibri" w:cs="TimesNewRomanPSMT"/>
        </w:rPr>
        <w:t>Sendai Framework for Disaster Risk Reduction (2015-2030).</w:t>
      </w:r>
    </w:p>
    <w:p w14:paraId="1FB7BA65" w14:textId="77777777" w:rsidR="00EE1DE5" w:rsidRDefault="00EE1DE5">
      <w:pPr>
        <w:rPr>
          <w:rFonts w:eastAsiaTheme="majorEastAsia" w:cstheme="majorBidi"/>
          <w:b/>
          <w:bCs/>
          <w:color w:val="365F91" w:themeColor="accent1" w:themeShade="BF"/>
          <w:sz w:val="32"/>
          <w:szCs w:val="28"/>
        </w:rPr>
      </w:pPr>
      <w:r>
        <w:br w:type="page"/>
      </w:r>
    </w:p>
    <w:p w14:paraId="66767F65" w14:textId="77777777" w:rsidR="00477762" w:rsidRPr="00A00184" w:rsidRDefault="000F2A09" w:rsidP="00A67DC0">
      <w:pPr>
        <w:pStyle w:val="Heading1"/>
        <w:jc w:val="both"/>
      </w:pPr>
      <w:bookmarkStart w:id="9" w:name="_Toc448777793"/>
      <w:r w:rsidRPr="00A00184">
        <w:lastRenderedPageBreak/>
        <w:t>Executive Summary</w:t>
      </w:r>
      <w:bookmarkEnd w:id="9"/>
    </w:p>
    <w:p w14:paraId="6B022333" w14:textId="77777777" w:rsidR="00CC5276" w:rsidRPr="00A00184" w:rsidRDefault="00AB5055" w:rsidP="00A67DC0">
      <w:pPr>
        <w:spacing w:before="240" w:after="240"/>
        <w:jc w:val="both"/>
        <w:rPr>
          <w:b/>
          <w:color w:val="4F81BD" w:themeColor="accent1"/>
        </w:rPr>
      </w:pPr>
      <w:r w:rsidRPr="00A00184">
        <w:rPr>
          <w:b/>
          <w:color w:val="4F81BD" w:themeColor="accent1"/>
        </w:rPr>
        <w:t>Investment Rationale</w:t>
      </w:r>
      <w:r w:rsidR="00CC5276" w:rsidRPr="00A00184">
        <w:rPr>
          <w:b/>
          <w:color w:val="4F81BD" w:themeColor="accent1"/>
        </w:rPr>
        <w:t xml:space="preserve"> </w:t>
      </w:r>
    </w:p>
    <w:p w14:paraId="4C0D4FBE" w14:textId="77777777" w:rsidR="000F2A09" w:rsidRDefault="000F2A09" w:rsidP="00A67DC0">
      <w:pPr>
        <w:spacing w:after="120"/>
        <w:jc w:val="both"/>
        <w:rPr>
          <w:rFonts w:ascii="Calibri" w:hAnsi="Calibri"/>
        </w:rPr>
      </w:pPr>
      <w:r w:rsidRPr="00AB5055">
        <w:rPr>
          <w:rFonts w:ascii="Calibri" w:hAnsi="Calibri"/>
          <w:b/>
        </w:rPr>
        <w:t xml:space="preserve">Conflict and </w:t>
      </w:r>
      <w:r w:rsidR="005A11A9">
        <w:rPr>
          <w:rFonts w:ascii="Calibri" w:hAnsi="Calibri"/>
          <w:b/>
        </w:rPr>
        <w:t xml:space="preserve">the negative impact of </w:t>
      </w:r>
      <w:r w:rsidRPr="00AB5055">
        <w:rPr>
          <w:rFonts w:ascii="Calibri" w:hAnsi="Calibri"/>
          <w:b/>
        </w:rPr>
        <w:t xml:space="preserve">natural </w:t>
      </w:r>
      <w:r w:rsidR="001E2D20">
        <w:rPr>
          <w:rFonts w:ascii="Calibri" w:hAnsi="Calibri"/>
          <w:b/>
        </w:rPr>
        <w:t>hazards</w:t>
      </w:r>
      <w:r w:rsidR="001E2D20" w:rsidRPr="00AB5055">
        <w:rPr>
          <w:rFonts w:ascii="Calibri" w:hAnsi="Calibri"/>
          <w:b/>
        </w:rPr>
        <w:t xml:space="preserve"> </w:t>
      </w:r>
      <w:r w:rsidRPr="00AB5055">
        <w:rPr>
          <w:rFonts w:ascii="Calibri" w:hAnsi="Calibri"/>
          <w:b/>
        </w:rPr>
        <w:t>undermine growth, and increase poverty and insecurity</w:t>
      </w:r>
      <w:r w:rsidRPr="000F2A09">
        <w:rPr>
          <w:rFonts w:ascii="Calibri" w:hAnsi="Calibri"/>
        </w:rPr>
        <w:t xml:space="preserve">. </w:t>
      </w:r>
      <w:r w:rsidR="00075E16">
        <w:rPr>
          <w:rFonts w:ascii="Calibri" w:hAnsi="Calibri"/>
        </w:rPr>
        <w:t xml:space="preserve"> </w:t>
      </w:r>
      <w:r w:rsidR="00B80E8A">
        <w:rPr>
          <w:rFonts w:ascii="Calibri" w:hAnsi="Calibri"/>
        </w:rPr>
        <w:t>T</w:t>
      </w:r>
      <w:r w:rsidRPr="000F2A09">
        <w:rPr>
          <w:rFonts w:ascii="Calibri" w:hAnsi="Calibri"/>
        </w:rPr>
        <w:t xml:space="preserve">he Indo-Pacific is one of the most </w:t>
      </w:r>
      <w:r w:rsidR="00AB14F2">
        <w:rPr>
          <w:rFonts w:ascii="Calibri" w:hAnsi="Calibri"/>
        </w:rPr>
        <w:t>hazard-</w:t>
      </w:r>
      <w:r w:rsidRPr="000F2A09">
        <w:rPr>
          <w:rFonts w:ascii="Calibri" w:hAnsi="Calibri"/>
        </w:rPr>
        <w:t xml:space="preserve">prone regions in the world, and Pacific </w:t>
      </w:r>
      <w:r w:rsidR="00C02589">
        <w:rPr>
          <w:rFonts w:ascii="Calibri" w:hAnsi="Calibri"/>
        </w:rPr>
        <w:t>Island countries</w:t>
      </w:r>
      <w:r w:rsidRPr="000F2A09">
        <w:rPr>
          <w:rFonts w:ascii="Calibri" w:hAnsi="Calibri"/>
        </w:rPr>
        <w:t xml:space="preserve"> are particularly vulnerable.</w:t>
      </w:r>
    </w:p>
    <w:p w14:paraId="35B8FB60" w14:textId="77777777" w:rsidR="00AB5055" w:rsidRDefault="00AB5055" w:rsidP="00A67DC0">
      <w:pPr>
        <w:spacing w:after="120"/>
        <w:jc w:val="both"/>
        <w:rPr>
          <w:rFonts w:ascii="Calibri" w:hAnsi="Calibri"/>
        </w:rPr>
      </w:pPr>
      <w:r>
        <w:rPr>
          <w:rFonts w:ascii="Calibri" w:hAnsi="Calibri"/>
        </w:rPr>
        <w:t>I</w:t>
      </w:r>
      <w:r w:rsidRPr="00383F41">
        <w:rPr>
          <w:rFonts w:ascii="Calibri" w:hAnsi="Calibri"/>
          <w:b/>
          <w:bCs/>
        </w:rPr>
        <w:t>t is in Australia’s national interest to have a stable and economically productive region.</w:t>
      </w:r>
      <w:r w:rsidRPr="00AB5055">
        <w:rPr>
          <w:rFonts w:ascii="Calibri" w:hAnsi="Calibri"/>
        </w:rPr>
        <w:t xml:space="preserve"> </w:t>
      </w:r>
      <w:r w:rsidR="00267C6D">
        <w:rPr>
          <w:rFonts w:ascii="Calibri" w:hAnsi="Calibri"/>
        </w:rPr>
        <w:t>Reducing risk is a priority</w:t>
      </w:r>
      <w:r w:rsidRPr="00A977AD">
        <w:rPr>
          <w:rFonts w:ascii="Calibri" w:hAnsi="Calibri"/>
        </w:rPr>
        <w:t xml:space="preserve"> not only to save lives but also </w:t>
      </w:r>
      <w:r w:rsidR="000D62BA">
        <w:rPr>
          <w:rFonts w:ascii="Calibri" w:hAnsi="Calibri"/>
        </w:rPr>
        <w:t>to provide a platform to build resilience through which continuity of business, service delivery and livelihoods can be sustained when adversity strikes</w:t>
      </w:r>
      <w:r w:rsidRPr="00A977AD">
        <w:rPr>
          <w:rFonts w:ascii="Calibri" w:hAnsi="Calibri"/>
        </w:rPr>
        <w:t>.</w:t>
      </w:r>
    </w:p>
    <w:p w14:paraId="14905311" w14:textId="71A98049" w:rsidR="00AB5055" w:rsidRPr="00383F41" w:rsidRDefault="00AB5055" w:rsidP="00A67DC0">
      <w:pPr>
        <w:spacing w:after="120"/>
        <w:jc w:val="both"/>
        <w:rPr>
          <w:rFonts w:ascii="Calibri" w:hAnsi="Calibri"/>
          <w:b/>
          <w:bCs/>
        </w:rPr>
      </w:pPr>
      <w:r w:rsidRPr="00AB5055">
        <w:rPr>
          <w:rFonts w:ascii="Calibri" w:hAnsi="Calibri"/>
          <w:b/>
        </w:rPr>
        <w:t>Australia has a tradition of supporting those facing humanitarian crises overseas</w:t>
      </w:r>
      <w:r w:rsidR="0059105A">
        <w:rPr>
          <w:rFonts w:ascii="Calibri" w:hAnsi="Calibri"/>
          <w:b/>
        </w:rPr>
        <w:t>.</w:t>
      </w:r>
      <w:r w:rsidRPr="00AB5055">
        <w:rPr>
          <w:rFonts w:ascii="Calibri" w:hAnsi="Calibri"/>
        </w:rPr>
        <w:t xml:space="preserve"> </w:t>
      </w:r>
      <w:r w:rsidR="0059105A">
        <w:rPr>
          <w:rFonts w:ascii="Calibri" w:hAnsi="Calibri"/>
        </w:rPr>
        <w:t>D</w:t>
      </w:r>
      <w:r w:rsidRPr="00AB5055">
        <w:rPr>
          <w:rFonts w:ascii="Calibri" w:hAnsi="Calibri"/>
        </w:rPr>
        <w:t>i</w:t>
      </w:r>
      <w:r w:rsidRPr="00A977AD">
        <w:rPr>
          <w:rFonts w:ascii="Calibri" w:hAnsi="Calibri"/>
        </w:rPr>
        <w:t xml:space="preserve">saster </w:t>
      </w:r>
      <w:r w:rsidR="009802EB">
        <w:rPr>
          <w:rFonts w:ascii="Calibri" w:hAnsi="Calibri"/>
        </w:rPr>
        <w:t>risk reduction</w:t>
      </w:r>
      <w:r w:rsidRPr="00A977AD">
        <w:rPr>
          <w:rFonts w:ascii="Calibri" w:hAnsi="Calibri"/>
        </w:rPr>
        <w:t xml:space="preserve"> </w:t>
      </w:r>
      <w:r w:rsidR="005A11A9">
        <w:rPr>
          <w:rFonts w:ascii="Calibri" w:hAnsi="Calibri"/>
        </w:rPr>
        <w:t xml:space="preserve">and </w:t>
      </w:r>
      <w:r w:rsidRPr="00A977AD">
        <w:rPr>
          <w:rFonts w:ascii="Calibri" w:hAnsi="Calibri"/>
        </w:rPr>
        <w:t>humanitarian response</w:t>
      </w:r>
      <w:r w:rsidR="005A11A9">
        <w:rPr>
          <w:rFonts w:ascii="Calibri" w:hAnsi="Calibri"/>
        </w:rPr>
        <w:t xml:space="preserve"> (relief</w:t>
      </w:r>
      <w:r w:rsidR="0059105A">
        <w:rPr>
          <w:rFonts w:ascii="Calibri" w:hAnsi="Calibri"/>
        </w:rPr>
        <w:t xml:space="preserve"> and </w:t>
      </w:r>
      <w:r w:rsidR="00162A04">
        <w:rPr>
          <w:rFonts w:ascii="Calibri" w:hAnsi="Calibri"/>
        </w:rPr>
        <w:t xml:space="preserve">early </w:t>
      </w:r>
      <w:r w:rsidR="0059105A">
        <w:rPr>
          <w:rFonts w:ascii="Calibri" w:hAnsi="Calibri"/>
        </w:rPr>
        <w:t>recovery</w:t>
      </w:r>
      <w:r w:rsidR="005A11A9">
        <w:rPr>
          <w:rFonts w:ascii="Calibri" w:hAnsi="Calibri"/>
        </w:rPr>
        <w:t>)</w:t>
      </w:r>
      <w:r w:rsidRPr="00A977AD">
        <w:rPr>
          <w:rFonts w:ascii="Calibri" w:hAnsi="Calibri"/>
        </w:rPr>
        <w:t xml:space="preserve"> are core responsibilities of DFAT</w:t>
      </w:r>
      <w:r>
        <w:rPr>
          <w:rFonts w:ascii="Calibri" w:hAnsi="Calibri"/>
        </w:rPr>
        <w:t>. The Department</w:t>
      </w:r>
      <w:r w:rsidRPr="00AB5055">
        <w:rPr>
          <w:rFonts w:ascii="Calibri" w:hAnsi="Calibri"/>
        </w:rPr>
        <w:t xml:space="preserve"> is well positioned to </w:t>
      </w:r>
      <w:r w:rsidR="0059105A">
        <w:rPr>
          <w:rFonts w:ascii="Calibri" w:hAnsi="Calibri"/>
        </w:rPr>
        <w:t>provide this support</w:t>
      </w:r>
      <w:r w:rsidRPr="00AB5055">
        <w:rPr>
          <w:rFonts w:ascii="Calibri" w:hAnsi="Calibri"/>
        </w:rPr>
        <w:t>, particularly in our region where Australia is looked upon to play a leadership role.</w:t>
      </w:r>
      <w:r w:rsidRPr="00A977AD">
        <w:rPr>
          <w:rFonts w:ascii="Calibri" w:hAnsi="Calibri"/>
        </w:rPr>
        <w:t xml:space="preserve"> </w:t>
      </w:r>
    </w:p>
    <w:p w14:paraId="7FCF67B2" w14:textId="77777777" w:rsidR="00383F41" w:rsidRPr="00A00184" w:rsidRDefault="00383F41" w:rsidP="00A67DC0">
      <w:pPr>
        <w:spacing w:before="240" w:after="240"/>
        <w:jc w:val="both"/>
        <w:rPr>
          <w:b/>
          <w:color w:val="4F81BD" w:themeColor="accent1"/>
        </w:rPr>
      </w:pPr>
      <w:r w:rsidRPr="00A00184">
        <w:rPr>
          <w:b/>
          <w:color w:val="4F81BD" w:themeColor="accent1"/>
        </w:rPr>
        <w:t>Investment Description</w:t>
      </w:r>
      <w:r w:rsidR="00575B68" w:rsidRPr="00A00184">
        <w:rPr>
          <w:b/>
          <w:color w:val="4F81BD" w:themeColor="accent1"/>
        </w:rPr>
        <w:t xml:space="preserve"> and End of Investment Outcomes</w:t>
      </w:r>
    </w:p>
    <w:p w14:paraId="52CA2487" w14:textId="609B2532" w:rsidR="00AB5055" w:rsidRDefault="00AB5055" w:rsidP="00A67DC0">
      <w:pPr>
        <w:shd w:val="clear" w:color="auto" w:fill="FFFFFF"/>
        <w:spacing w:after="120"/>
        <w:jc w:val="both"/>
        <w:rPr>
          <w:rFonts w:ascii="Calibri" w:hAnsi="Calibri"/>
        </w:rPr>
      </w:pPr>
      <w:r w:rsidRPr="004157EC">
        <w:rPr>
          <w:rFonts w:ascii="Calibri" w:eastAsia="Times New Roman" w:hAnsi="Calibri"/>
          <w:b/>
        </w:rPr>
        <w:t xml:space="preserve">This </w:t>
      </w:r>
      <w:r w:rsidR="001B14E6">
        <w:rPr>
          <w:rFonts w:ascii="Calibri" w:eastAsia="Times New Roman" w:hAnsi="Calibri"/>
          <w:b/>
        </w:rPr>
        <w:t>I</w:t>
      </w:r>
      <w:r w:rsidRPr="004157EC">
        <w:rPr>
          <w:rFonts w:ascii="Calibri" w:eastAsia="Times New Roman" w:hAnsi="Calibri"/>
          <w:b/>
        </w:rPr>
        <w:t xml:space="preserve">nvestment </w:t>
      </w:r>
      <w:r w:rsidR="001B14E6">
        <w:rPr>
          <w:rFonts w:ascii="Calibri" w:eastAsia="Times New Roman" w:hAnsi="Calibri"/>
          <w:b/>
        </w:rPr>
        <w:t>Design</w:t>
      </w:r>
      <w:r w:rsidR="008A5347">
        <w:rPr>
          <w:rStyle w:val="FootnoteReference"/>
          <w:rFonts w:eastAsia="Times New Roman"/>
          <w:b/>
        </w:rPr>
        <w:footnoteReference w:id="2"/>
      </w:r>
      <w:r w:rsidR="001B14E6">
        <w:rPr>
          <w:rFonts w:ascii="Calibri" w:eastAsia="Times New Roman" w:hAnsi="Calibri"/>
          <w:b/>
        </w:rPr>
        <w:t xml:space="preserve"> </w:t>
      </w:r>
      <w:r w:rsidRPr="004157EC">
        <w:rPr>
          <w:rFonts w:ascii="Calibri" w:eastAsia="Times New Roman" w:hAnsi="Calibri"/>
          <w:b/>
        </w:rPr>
        <w:t xml:space="preserve">describes </w:t>
      </w:r>
      <w:r w:rsidR="00125C71">
        <w:rPr>
          <w:rFonts w:ascii="Calibri" w:eastAsia="Times New Roman" w:hAnsi="Calibri"/>
          <w:b/>
        </w:rPr>
        <w:t>an</w:t>
      </w:r>
      <w:r w:rsidRPr="004157EC">
        <w:rPr>
          <w:rFonts w:ascii="Calibri" w:eastAsia="Times New Roman" w:hAnsi="Calibri"/>
          <w:b/>
        </w:rPr>
        <w:t xml:space="preserve"> “</w:t>
      </w:r>
      <w:r w:rsidR="0050667F">
        <w:rPr>
          <w:rFonts w:ascii="Calibri" w:eastAsia="Times New Roman" w:hAnsi="Calibri"/>
          <w:b/>
        </w:rPr>
        <w:t>Australian Humanitarian Partnership</w:t>
      </w:r>
      <w:r w:rsidR="00125C71">
        <w:rPr>
          <w:rFonts w:ascii="Calibri" w:eastAsia="Times New Roman" w:hAnsi="Calibri"/>
          <w:b/>
        </w:rPr>
        <w:t>.</w:t>
      </w:r>
      <w:r w:rsidRPr="004157EC">
        <w:rPr>
          <w:rFonts w:ascii="Calibri" w:eastAsia="Times New Roman" w:hAnsi="Calibri"/>
          <w:b/>
        </w:rPr>
        <w:t>”</w:t>
      </w:r>
      <w:r w:rsidR="00125C71" w:rsidRPr="00AB5055">
        <w:rPr>
          <w:rStyle w:val="FootnoteReference"/>
          <w:rFonts w:cs="Times New Roman"/>
          <w:szCs w:val="16"/>
        </w:rPr>
        <w:footnoteReference w:id="3"/>
      </w:r>
      <w:r w:rsidR="00EC2696">
        <w:rPr>
          <w:rFonts w:ascii="Calibri" w:eastAsia="Times New Roman" w:hAnsi="Calibri"/>
          <w:b/>
        </w:rPr>
        <w:t xml:space="preserve"> </w:t>
      </w:r>
      <w:r w:rsidR="00C76A32">
        <w:rPr>
          <w:rFonts w:ascii="Calibri" w:eastAsia="Times New Roman" w:hAnsi="Calibri"/>
          <w:b/>
        </w:rPr>
        <w:t xml:space="preserve"> </w:t>
      </w:r>
      <w:r w:rsidR="00EC2696">
        <w:rPr>
          <w:rFonts w:ascii="Calibri" w:eastAsia="Times New Roman" w:hAnsi="Calibri"/>
          <w:b/>
        </w:rPr>
        <w:t>This partnership incorporates</w:t>
      </w:r>
      <w:r w:rsidR="00EC2696" w:rsidRPr="004157EC">
        <w:rPr>
          <w:rFonts w:ascii="Calibri" w:eastAsia="Times New Roman" w:hAnsi="Calibri"/>
          <w:b/>
        </w:rPr>
        <w:t xml:space="preserve"> </w:t>
      </w:r>
      <w:r w:rsidRPr="004157EC">
        <w:rPr>
          <w:rFonts w:ascii="Calibri" w:eastAsia="Times New Roman" w:hAnsi="Calibri"/>
          <w:b/>
        </w:rPr>
        <w:t xml:space="preserve">a </w:t>
      </w:r>
      <w:r w:rsidR="0050667F">
        <w:rPr>
          <w:rFonts w:ascii="Calibri" w:eastAsia="Times New Roman" w:hAnsi="Calibri"/>
          <w:b/>
        </w:rPr>
        <w:t xml:space="preserve">funding mechanism which operates under the auspices of the existing </w:t>
      </w:r>
      <w:r w:rsidR="00EC2696">
        <w:rPr>
          <w:rFonts w:ascii="Calibri" w:eastAsia="Times New Roman" w:hAnsi="Calibri"/>
          <w:b/>
        </w:rPr>
        <w:t>relationship</w:t>
      </w:r>
      <w:r w:rsidR="0050667F">
        <w:rPr>
          <w:rFonts w:ascii="Calibri" w:eastAsia="Times New Roman" w:hAnsi="Calibri"/>
          <w:b/>
        </w:rPr>
        <w:t xml:space="preserve"> between </w:t>
      </w:r>
      <w:r w:rsidRPr="004157EC">
        <w:rPr>
          <w:rFonts w:ascii="Calibri" w:eastAsia="Times New Roman" w:hAnsi="Calibri"/>
          <w:b/>
        </w:rPr>
        <w:t xml:space="preserve">DFAT and </w:t>
      </w:r>
      <w:r w:rsidR="00070D8B" w:rsidRPr="00070D8B">
        <w:rPr>
          <w:rFonts w:ascii="Calibri" w:hAnsi="Calibri"/>
          <w:b/>
        </w:rPr>
        <w:t xml:space="preserve">Australian </w:t>
      </w:r>
      <w:r w:rsidR="0050667F">
        <w:rPr>
          <w:rFonts w:ascii="Calibri" w:hAnsi="Calibri"/>
          <w:b/>
        </w:rPr>
        <w:t>NGOs</w:t>
      </w:r>
      <w:r w:rsidR="00070D8B" w:rsidRPr="00070D8B">
        <w:rPr>
          <w:rFonts w:ascii="Calibri" w:hAnsi="Calibri"/>
          <w:b/>
        </w:rPr>
        <w:t xml:space="preserve"> (ANGO</w:t>
      </w:r>
      <w:r w:rsidR="00E340D2">
        <w:rPr>
          <w:rFonts w:ascii="Calibri" w:hAnsi="Calibri"/>
          <w:b/>
        </w:rPr>
        <w:t>s</w:t>
      </w:r>
      <w:r w:rsidR="00070D8B">
        <w:rPr>
          <w:rFonts w:ascii="Calibri" w:eastAsia="Times New Roman" w:hAnsi="Calibri"/>
        </w:rPr>
        <w:t>)</w:t>
      </w:r>
      <w:r w:rsidR="0050667F">
        <w:rPr>
          <w:rFonts w:ascii="Calibri" w:eastAsia="Times New Roman" w:hAnsi="Calibri"/>
        </w:rPr>
        <w:t xml:space="preserve"> who are members of the ACFID Humanitarian Reference Group</w:t>
      </w:r>
      <w:r w:rsidR="00283A5C">
        <w:rPr>
          <w:rFonts w:ascii="Calibri" w:eastAsia="Times New Roman" w:hAnsi="Calibri"/>
        </w:rPr>
        <w:t xml:space="preserve"> (HRG)</w:t>
      </w:r>
      <w:r>
        <w:rPr>
          <w:rFonts w:ascii="Calibri" w:eastAsia="Times New Roman" w:hAnsi="Calibri"/>
        </w:rPr>
        <w:t>.</w:t>
      </w:r>
      <w:r w:rsidRPr="00AB5055">
        <w:rPr>
          <w:rStyle w:val="FootnoteReference"/>
          <w:rFonts w:cs="Times New Roman"/>
          <w:szCs w:val="16"/>
        </w:rPr>
        <w:t xml:space="preserve"> </w:t>
      </w:r>
      <w:r>
        <w:rPr>
          <w:rFonts w:ascii="Calibri" w:eastAsia="Times New Roman" w:hAnsi="Calibri"/>
        </w:rPr>
        <w:t xml:space="preserve"> </w:t>
      </w:r>
      <w:r>
        <w:rPr>
          <w:rFonts w:ascii="Calibri" w:hAnsi="Calibri"/>
        </w:rPr>
        <w:t>The investment builds</w:t>
      </w:r>
      <w:r w:rsidR="00075E16" w:rsidRPr="00075E16">
        <w:rPr>
          <w:rFonts w:ascii="Calibri" w:hAnsi="Calibri"/>
        </w:rPr>
        <w:t xml:space="preserve"> on DFAT’s </w:t>
      </w:r>
      <w:r>
        <w:rPr>
          <w:rFonts w:ascii="Calibri" w:hAnsi="Calibri"/>
        </w:rPr>
        <w:t>history</w:t>
      </w:r>
      <w:r w:rsidR="00075E16" w:rsidRPr="00075E16">
        <w:rPr>
          <w:rFonts w:ascii="Calibri" w:hAnsi="Calibri"/>
        </w:rPr>
        <w:t xml:space="preserve"> of </w:t>
      </w:r>
      <w:r>
        <w:rPr>
          <w:rFonts w:ascii="Calibri" w:hAnsi="Calibri"/>
        </w:rPr>
        <w:t>partnering with experienced ANGO</w:t>
      </w:r>
      <w:r w:rsidR="00070D8B">
        <w:rPr>
          <w:rFonts w:ascii="Calibri" w:hAnsi="Calibri"/>
        </w:rPr>
        <w:t>s</w:t>
      </w:r>
      <w:r w:rsidR="00575B68">
        <w:rPr>
          <w:rFonts w:ascii="Calibri" w:hAnsi="Calibri"/>
        </w:rPr>
        <w:t xml:space="preserve"> to deliver humanitarian assistance. It</w:t>
      </w:r>
      <w:r>
        <w:rPr>
          <w:rFonts w:ascii="Calibri" w:hAnsi="Calibri"/>
        </w:rPr>
        <w:t xml:space="preserve"> </w:t>
      </w:r>
      <w:r w:rsidR="00575B68">
        <w:rPr>
          <w:rFonts w:ascii="Calibri" w:hAnsi="Calibri"/>
        </w:rPr>
        <w:t xml:space="preserve">will </w:t>
      </w:r>
      <w:r w:rsidR="00075E16" w:rsidRPr="00A977AD">
        <w:rPr>
          <w:rFonts w:ascii="Calibri" w:hAnsi="Calibri"/>
        </w:rPr>
        <w:t>replace</w:t>
      </w:r>
      <w:r w:rsidR="00075E16" w:rsidRPr="00075E16">
        <w:rPr>
          <w:rFonts w:ascii="Calibri" w:hAnsi="Calibri"/>
        </w:rPr>
        <w:t xml:space="preserve"> </w:t>
      </w:r>
      <w:r w:rsidR="00075E16" w:rsidRPr="00A977AD">
        <w:rPr>
          <w:rFonts w:ascii="Calibri" w:hAnsi="Calibri"/>
        </w:rPr>
        <w:t xml:space="preserve">the current </w:t>
      </w:r>
      <w:r w:rsidR="00075E16" w:rsidRPr="00075E16">
        <w:rPr>
          <w:rFonts w:ascii="Calibri" w:hAnsi="Calibri"/>
          <w:i/>
        </w:rPr>
        <w:t>DFAT-NGO Humanitarian Partnership Agreement (HPA)</w:t>
      </w:r>
      <w:r w:rsidR="00075E16" w:rsidRPr="00075E16">
        <w:rPr>
          <w:rFonts w:ascii="Calibri" w:hAnsi="Calibri"/>
        </w:rPr>
        <w:t xml:space="preserve"> </w:t>
      </w:r>
      <w:r w:rsidR="00075E16" w:rsidRPr="00A977AD">
        <w:rPr>
          <w:rFonts w:ascii="Calibri" w:hAnsi="Calibri"/>
        </w:rPr>
        <w:t>which is due to expire in 2016.</w:t>
      </w:r>
      <w:r w:rsidR="00075E16" w:rsidRPr="00075E16">
        <w:rPr>
          <w:rFonts w:ascii="Calibri" w:hAnsi="Calibri"/>
        </w:rPr>
        <w:t xml:space="preserve"> </w:t>
      </w:r>
      <w:r w:rsidR="00075E16" w:rsidRPr="00A977AD">
        <w:rPr>
          <w:rFonts w:ascii="Calibri" w:hAnsi="Calibri"/>
        </w:rPr>
        <w:t xml:space="preserve"> </w:t>
      </w:r>
    </w:p>
    <w:p w14:paraId="2FE83B77" w14:textId="77777777" w:rsidR="00A67DC0" w:rsidRDefault="00DD11D2" w:rsidP="00A67DC0">
      <w:pPr>
        <w:shd w:val="clear" w:color="auto" w:fill="FFFFFF"/>
        <w:spacing w:after="120"/>
        <w:jc w:val="both"/>
        <w:rPr>
          <w:rFonts w:ascii="Calibri" w:hAnsi="Calibri"/>
        </w:rPr>
      </w:pPr>
      <w:r w:rsidRPr="00405EE8">
        <w:rPr>
          <w:rFonts w:ascii="Calibri" w:hAnsi="Calibri"/>
        </w:rPr>
        <w:t>The</w:t>
      </w:r>
      <w:r w:rsidRPr="00405EE8">
        <w:rPr>
          <w:rFonts w:ascii="Calibri" w:hAnsi="Calibri"/>
          <w:b/>
        </w:rPr>
        <w:t xml:space="preserve"> partnership’s goal</w:t>
      </w:r>
      <w:r w:rsidRPr="00405EE8">
        <w:rPr>
          <w:rFonts w:ascii="Calibri" w:hAnsi="Calibri"/>
        </w:rPr>
        <w:t xml:space="preserve"> is to save lives, alleviate suffering and enhance human dignity during and in the aftermath of conflict, </w:t>
      </w:r>
      <w:r w:rsidR="00F83800" w:rsidRPr="00405EE8">
        <w:rPr>
          <w:rFonts w:ascii="Calibri" w:hAnsi="Calibri"/>
        </w:rPr>
        <w:t>disasters</w:t>
      </w:r>
      <w:r w:rsidR="00AB14F2" w:rsidRPr="00405EE8">
        <w:rPr>
          <w:rFonts w:ascii="Calibri" w:hAnsi="Calibri"/>
        </w:rPr>
        <w:t xml:space="preserve"> </w:t>
      </w:r>
      <w:r w:rsidRPr="00405EE8">
        <w:rPr>
          <w:rFonts w:ascii="Calibri" w:hAnsi="Calibri"/>
        </w:rPr>
        <w:t>and other humanitarian crises</w:t>
      </w:r>
      <w:r w:rsidR="00AA1ABC" w:rsidRPr="00405EE8">
        <w:rPr>
          <w:rFonts w:ascii="Calibri" w:hAnsi="Calibri"/>
        </w:rPr>
        <w:t>, as well as to strengthen capacity to prepare for and recover from the occurrence of such situations</w:t>
      </w:r>
      <w:r w:rsidRPr="00405EE8">
        <w:rPr>
          <w:rFonts w:ascii="Calibri" w:hAnsi="Calibri"/>
        </w:rPr>
        <w:t>.</w:t>
      </w:r>
      <w:r>
        <w:rPr>
          <w:rFonts w:ascii="Calibri" w:hAnsi="Calibri"/>
        </w:rPr>
        <w:t xml:space="preserve"> </w:t>
      </w:r>
      <w:r w:rsidR="007F1D78">
        <w:rPr>
          <w:rFonts w:ascii="Calibri" w:hAnsi="Calibri"/>
        </w:rPr>
        <w:t xml:space="preserve"> </w:t>
      </w:r>
    </w:p>
    <w:p w14:paraId="7B3E17B3" w14:textId="0EAB6244" w:rsidR="00AA1ABC" w:rsidRDefault="00070D8B" w:rsidP="00A67DC0">
      <w:pPr>
        <w:shd w:val="clear" w:color="auto" w:fill="FFFFFF"/>
        <w:spacing w:after="120"/>
        <w:jc w:val="both"/>
        <w:rPr>
          <w:rFonts w:ascii="Calibri" w:hAnsi="Calibri"/>
        </w:rPr>
      </w:pPr>
      <w:r w:rsidRPr="00EC7A84">
        <w:rPr>
          <w:rFonts w:ascii="Calibri" w:hAnsi="Calibri"/>
        </w:rPr>
        <w:t xml:space="preserve">The </w:t>
      </w:r>
      <w:r w:rsidRPr="00A67DC0">
        <w:rPr>
          <w:rFonts w:ascii="Calibri" w:hAnsi="Calibri"/>
          <w:b/>
        </w:rPr>
        <w:t>purpose of the partnership</w:t>
      </w:r>
      <w:r w:rsidRPr="00DD11D2">
        <w:rPr>
          <w:rFonts w:ascii="Calibri" w:hAnsi="Calibri"/>
        </w:rPr>
        <w:t xml:space="preserve"> </w:t>
      </w:r>
      <w:r w:rsidR="00E55D1C" w:rsidRPr="00E55D1C">
        <w:rPr>
          <w:rFonts w:ascii="Calibri" w:hAnsi="Calibri"/>
        </w:rPr>
        <w:t xml:space="preserve">is to strengthen collaboration and innovation to deliver effective humanitarian assistance and support local communities to take a leadership role in </w:t>
      </w:r>
      <w:r w:rsidR="00EC2696">
        <w:rPr>
          <w:rFonts w:ascii="Calibri" w:hAnsi="Calibri"/>
        </w:rPr>
        <w:t xml:space="preserve">preparedness, </w:t>
      </w:r>
      <w:r w:rsidR="00E55D1C" w:rsidRPr="00E55D1C">
        <w:rPr>
          <w:rFonts w:ascii="Calibri" w:hAnsi="Calibri"/>
        </w:rPr>
        <w:t xml:space="preserve">response, </w:t>
      </w:r>
      <w:r w:rsidR="00EC2696">
        <w:rPr>
          <w:rFonts w:ascii="Calibri" w:hAnsi="Calibri"/>
        </w:rPr>
        <w:t xml:space="preserve">early </w:t>
      </w:r>
      <w:r w:rsidR="000F58BA">
        <w:rPr>
          <w:rFonts w:ascii="Calibri" w:hAnsi="Calibri"/>
        </w:rPr>
        <w:t xml:space="preserve">recovery, </w:t>
      </w:r>
      <w:r w:rsidR="00E55D1C" w:rsidRPr="00E55D1C">
        <w:rPr>
          <w:rFonts w:ascii="Calibri" w:hAnsi="Calibri"/>
        </w:rPr>
        <w:t>risk reduction</w:t>
      </w:r>
      <w:r w:rsidR="008D4B13">
        <w:rPr>
          <w:rFonts w:ascii="Calibri" w:hAnsi="Calibri"/>
        </w:rPr>
        <w:t xml:space="preserve"> and resilience</w:t>
      </w:r>
      <w:r w:rsidR="00E55D1C" w:rsidRPr="00E55D1C">
        <w:rPr>
          <w:rFonts w:ascii="Calibri" w:hAnsi="Calibri"/>
        </w:rPr>
        <w:t xml:space="preserve"> efforts.</w:t>
      </w:r>
      <w:r w:rsidR="009802EB">
        <w:rPr>
          <w:rFonts w:ascii="Calibri" w:hAnsi="Calibri"/>
        </w:rPr>
        <w:t> </w:t>
      </w:r>
    </w:p>
    <w:p w14:paraId="18201535" w14:textId="77777777" w:rsidR="00575B68" w:rsidRPr="004107F9" w:rsidRDefault="00575B68" w:rsidP="00A67DC0">
      <w:pPr>
        <w:shd w:val="clear" w:color="auto" w:fill="FFFFFF"/>
        <w:spacing w:after="120"/>
        <w:jc w:val="both"/>
        <w:rPr>
          <w:rFonts w:ascii="Calibri" w:hAnsi="Calibri"/>
          <w:b/>
        </w:rPr>
      </w:pPr>
      <w:r w:rsidRPr="004107F9">
        <w:rPr>
          <w:rFonts w:ascii="Calibri" w:hAnsi="Calibri"/>
          <w:b/>
        </w:rPr>
        <w:t xml:space="preserve">Contributing to this </w:t>
      </w:r>
      <w:r w:rsidR="00070D8B" w:rsidRPr="004107F9">
        <w:rPr>
          <w:rFonts w:ascii="Calibri" w:hAnsi="Calibri"/>
          <w:b/>
        </w:rPr>
        <w:t xml:space="preserve">purpose </w:t>
      </w:r>
      <w:r w:rsidRPr="004107F9">
        <w:rPr>
          <w:rFonts w:ascii="Calibri" w:hAnsi="Calibri"/>
          <w:b/>
        </w:rPr>
        <w:t>are three end</w:t>
      </w:r>
      <w:r w:rsidR="00070D8B" w:rsidRPr="004107F9">
        <w:rPr>
          <w:rFonts w:ascii="Calibri" w:hAnsi="Calibri"/>
          <w:b/>
        </w:rPr>
        <w:t>-of-</w:t>
      </w:r>
      <w:r w:rsidRPr="004107F9">
        <w:rPr>
          <w:rFonts w:ascii="Calibri" w:hAnsi="Calibri"/>
          <w:b/>
        </w:rPr>
        <w:t>investment outcomes:</w:t>
      </w:r>
    </w:p>
    <w:p w14:paraId="21DA4A61" w14:textId="77777777" w:rsidR="00575B68" w:rsidRPr="004107F9" w:rsidRDefault="00EC2696" w:rsidP="00125C71">
      <w:pPr>
        <w:pStyle w:val="ListParagraph"/>
        <w:numPr>
          <w:ilvl w:val="0"/>
          <w:numId w:val="6"/>
        </w:numPr>
        <w:spacing w:after="120" w:line="240" w:lineRule="auto"/>
        <w:ind w:left="714" w:hanging="357"/>
        <w:contextualSpacing w:val="0"/>
        <w:jc w:val="both"/>
        <w:rPr>
          <w:rFonts w:ascii="Calibri" w:eastAsiaTheme="minorEastAsia" w:hAnsi="Calibri"/>
          <w:sz w:val="24"/>
          <w:szCs w:val="24"/>
        </w:rPr>
      </w:pPr>
      <w:r w:rsidRPr="004107F9">
        <w:rPr>
          <w:rFonts w:ascii="Calibri" w:eastAsiaTheme="minorEastAsia" w:hAnsi="Calibri"/>
          <w:b/>
          <w:sz w:val="24"/>
          <w:szCs w:val="24"/>
        </w:rPr>
        <w:t>Effective response and early recovery</w:t>
      </w:r>
      <w:r w:rsidR="00575B68" w:rsidRPr="004107F9">
        <w:rPr>
          <w:rFonts w:ascii="Calibri" w:eastAsiaTheme="minorEastAsia" w:hAnsi="Calibri"/>
          <w:sz w:val="24"/>
          <w:szCs w:val="24"/>
        </w:rPr>
        <w:t>: target populations receive timely and high quality humanitarian assistance</w:t>
      </w:r>
      <w:r w:rsidR="00564589" w:rsidRPr="004107F9">
        <w:rPr>
          <w:rFonts w:ascii="Calibri" w:eastAsiaTheme="minorEastAsia" w:hAnsi="Calibri"/>
          <w:sz w:val="24"/>
          <w:szCs w:val="24"/>
        </w:rPr>
        <w:t xml:space="preserve"> appropriate to the context</w:t>
      </w:r>
      <w:r w:rsidR="00E7710A" w:rsidRPr="004107F9">
        <w:rPr>
          <w:rFonts w:ascii="Calibri" w:eastAsiaTheme="minorEastAsia" w:hAnsi="Calibri"/>
          <w:sz w:val="24"/>
          <w:szCs w:val="24"/>
        </w:rPr>
        <w:t>; and are well supported in early recovery</w:t>
      </w:r>
      <w:r w:rsidR="00575B68" w:rsidRPr="004107F9">
        <w:rPr>
          <w:rFonts w:ascii="Calibri" w:eastAsiaTheme="minorEastAsia" w:hAnsi="Calibri"/>
          <w:sz w:val="24"/>
          <w:szCs w:val="24"/>
        </w:rPr>
        <w:t>.</w:t>
      </w:r>
    </w:p>
    <w:p w14:paraId="4E642096" w14:textId="77777777" w:rsidR="0009760B" w:rsidRPr="0009760B" w:rsidRDefault="0009760B" w:rsidP="0009760B">
      <w:pPr>
        <w:pStyle w:val="ListParagraph"/>
        <w:numPr>
          <w:ilvl w:val="0"/>
          <w:numId w:val="6"/>
        </w:numPr>
        <w:spacing w:after="120" w:line="240" w:lineRule="auto"/>
        <w:contextualSpacing w:val="0"/>
        <w:jc w:val="both"/>
        <w:rPr>
          <w:rFonts w:ascii="Calibri" w:eastAsiaTheme="minorEastAsia" w:hAnsi="Calibri"/>
          <w:sz w:val="24"/>
          <w:szCs w:val="24"/>
        </w:rPr>
      </w:pPr>
      <w:r w:rsidRPr="003D57AA">
        <w:rPr>
          <w:rFonts w:ascii="Calibri" w:eastAsiaTheme="minorEastAsia" w:hAnsi="Calibri"/>
          <w:b/>
          <w:sz w:val="24"/>
          <w:szCs w:val="24"/>
        </w:rPr>
        <w:lastRenderedPageBreak/>
        <w:t>Local humanitarian capability in the Pacific</w:t>
      </w:r>
      <w:r w:rsidRPr="0009760B">
        <w:rPr>
          <w:rFonts w:ascii="Calibri" w:eastAsiaTheme="minorEastAsia" w:hAnsi="Calibri"/>
          <w:sz w:val="24"/>
          <w:szCs w:val="24"/>
        </w:rPr>
        <w:t xml:space="preserve"> is strengthened to anticipate, prepare for, respond to and reduce risks from natural hazards</w:t>
      </w:r>
      <w:r>
        <w:rPr>
          <w:rFonts w:ascii="Calibri" w:eastAsiaTheme="minorEastAsia" w:hAnsi="Calibri"/>
          <w:sz w:val="24"/>
          <w:szCs w:val="24"/>
        </w:rPr>
        <w:t xml:space="preserve">; and </w:t>
      </w:r>
      <w:r w:rsidRPr="00C76A32">
        <w:rPr>
          <w:rFonts w:ascii="Calibri" w:eastAsiaTheme="minorEastAsia" w:hAnsi="Calibri"/>
          <w:b/>
          <w:sz w:val="24"/>
          <w:szCs w:val="24"/>
        </w:rPr>
        <w:t>Pacific communities are more resilient</w:t>
      </w:r>
      <w:r w:rsidRPr="0009760B">
        <w:rPr>
          <w:rFonts w:ascii="Calibri" w:eastAsiaTheme="minorEastAsia" w:hAnsi="Calibri"/>
          <w:sz w:val="24"/>
          <w:szCs w:val="24"/>
        </w:rPr>
        <w:t xml:space="preserve"> to the impacts of natural hazards.</w:t>
      </w:r>
    </w:p>
    <w:p w14:paraId="0F871CD4" w14:textId="77777777" w:rsidR="002654D1" w:rsidRPr="00737D62" w:rsidRDefault="00575B68" w:rsidP="00737D62">
      <w:pPr>
        <w:pStyle w:val="ListParagraph"/>
        <w:numPr>
          <w:ilvl w:val="0"/>
          <w:numId w:val="6"/>
        </w:numPr>
        <w:spacing w:after="120" w:line="240" w:lineRule="auto"/>
        <w:contextualSpacing w:val="0"/>
        <w:jc w:val="both"/>
        <w:rPr>
          <w:rFonts w:ascii="Calibri" w:eastAsiaTheme="minorEastAsia" w:hAnsi="Calibri"/>
          <w:sz w:val="24"/>
          <w:szCs w:val="24"/>
        </w:rPr>
      </w:pPr>
      <w:r w:rsidRPr="00737D62">
        <w:rPr>
          <w:rFonts w:ascii="Calibri" w:eastAsiaTheme="minorEastAsia" w:hAnsi="Calibri"/>
          <w:b/>
          <w:sz w:val="24"/>
          <w:szCs w:val="24"/>
        </w:rPr>
        <w:t xml:space="preserve">The DFAT-HRG partnership </w:t>
      </w:r>
      <w:r w:rsidR="00871F47" w:rsidRPr="00737D62">
        <w:rPr>
          <w:rFonts w:ascii="Calibri" w:eastAsiaTheme="minorEastAsia" w:hAnsi="Calibri"/>
          <w:b/>
          <w:sz w:val="24"/>
          <w:szCs w:val="24"/>
        </w:rPr>
        <w:t xml:space="preserve">is </w:t>
      </w:r>
      <w:r w:rsidRPr="00737D62">
        <w:rPr>
          <w:rFonts w:ascii="Calibri" w:eastAsiaTheme="minorEastAsia" w:hAnsi="Calibri"/>
          <w:b/>
          <w:sz w:val="24"/>
          <w:szCs w:val="24"/>
        </w:rPr>
        <w:t>strengthened</w:t>
      </w:r>
      <w:r w:rsidR="002654D1" w:rsidRPr="00737D62">
        <w:rPr>
          <w:sz w:val="24"/>
          <w:szCs w:val="24"/>
        </w:rPr>
        <w:t xml:space="preserve">: </w:t>
      </w:r>
      <w:r w:rsidR="00D47A2B" w:rsidRPr="00737D62">
        <w:rPr>
          <w:sz w:val="24"/>
          <w:szCs w:val="24"/>
        </w:rPr>
        <w:t>HRG member NGOs</w:t>
      </w:r>
      <w:r w:rsidR="002654D1" w:rsidRPr="00737D62">
        <w:rPr>
          <w:sz w:val="24"/>
          <w:szCs w:val="24"/>
        </w:rPr>
        <w:t>, their local partners and DFAT work together more effectively.</w:t>
      </w:r>
    </w:p>
    <w:p w14:paraId="4D69A265" w14:textId="77777777" w:rsidR="00575B68" w:rsidRPr="00575B68" w:rsidRDefault="00575B68" w:rsidP="00A67DC0">
      <w:pPr>
        <w:keepNext/>
        <w:spacing w:after="120"/>
        <w:jc w:val="both"/>
        <w:rPr>
          <w:rFonts w:ascii="Calibri" w:hAnsi="Calibri"/>
          <w:b/>
        </w:rPr>
      </w:pPr>
      <w:r w:rsidRPr="00575B68">
        <w:rPr>
          <w:rFonts w:ascii="Calibri" w:hAnsi="Calibri"/>
          <w:b/>
        </w:rPr>
        <w:t>Priorities of the partnership include:</w:t>
      </w:r>
    </w:p>
    <w:p w14:paraId="6887CB10" w14:textId="77777777" w:rsidR="004D31CC" w:rsidRPr="00125C71" w:rsidRDefault="004D31CC" w:rsidP="00333FF4">
      <w:pPr>
        <w:pStyle w:val="ListParagraph"/>
        <w:numPr>
          <w:ilvl w:val="0"/>
          <w:numId w:val="43"/>
        </w:numPr>
        <w:shd w:val="clear" w:color="auto" w:fill="FFFFFF"/>
        <w:spacing w:after="120" w:line="240" w:lineRule="auto"/>
        <w:jc w:val="both"/>
        <w:rPr>
          <w:rFonts w:ascii="Calibri" w:hAnsi="Calibri"/>
          <w:sz w:val="24"/>
          <w:szCs w:val="24"/>
        </w:rPr>
      </w:pPr>
      <w:r w:rsidRPr="00125C71">
        <w:rPr>
          <w:rFonts w:ascii="Calibri" w:hAnsi="Calibri"/>
          <w:b/>
          <w:sz w:val="24"/>
          <w:szCs w:val="24"/>
        </w:rPr>
        <w:t>Emergency capacity</w:t>
      </w:r>
      <w:r w:rsidRPr="00125C71">
        <w:rPr>
          <w:rFonts w:ascii="Calibri" w:hAnsi="Calibri"/>
          <w:sz w:val="24"/>
          <w:szCs w:val="24"/>
        </w:rPr>
        <w:t xml:space="preserve">: Rapidly mobilising Australian assistance and effectively coordinating responses to crises when it is needed to augment local efforts. </w:t>
      </w:r>
    </w:p>
    <w:p w14:paraId="3C8624DE" w14:textId="77777777" w:rsidR="004D31CC" w:rsidRPr="00125C71" w:rsidRDefault="004D31CC" w:rsidP="00333FF4">
      <w:pPr>
        <w:pStyle w:val="ListParagraph"/>
        <w:numPr>
          <w:ilvl w:val="0"/>
          <w:numId w:val="43"/>
        </w:numPr>
        <w:shd w:val="clear" w:color="auto" w:fill="FFFFFF"/>
        <w:spacing w:after="120" w:line="240" w:lineRule="auto"/>
        <w:jc w:val="both"/>
        <w:rPr>
          <w:rFonts w:ascii="Calibri" w:hAnsi="Calibri"/>
          <w:sz w:val="24"/>
          <w:szCs w:val="24"/>
        </w:rPr>
      </w:pPr>
      <w:r w:rsidRPr="00125C71">
        <w:rPr>
          <w:rFonts w:ascii="Calibri" w:hAnsi="Calibri"/>
          <w:b/>
          <w:sz w:val="24"/>
          <w:szCs w:val="24"/>
        </w:rPr>
        <w:t>Early recovery</w:t>
      </w:r>
      <w:r w:rsidRPr="00125C71">
        <w:rPr>
          <w:rFonts w:ascii="Calibri" w:hAnsi="Calibri"/>
          <w:sz w:val="24"/>
          <w:szCs w:val="24"/>
        </w:rPr>
        <w:t>: Response efforts including support for early recovery and the transition from humanitarian relief to longer-term recovery and development.</w:t>
      </w:r>
    </w:p>
    <w:p w14:paraId="01411C63" w14:textId="77777777" w:rsidR="004D31CC" w:rsidRPr="00125C71" w:rsidRDefault="004D31CC" w:rsidP="00333FF4">
      <w:pPr>
        <w:pStyle w:val="ListParagraph"/>
        <w:numPr>
          <w:ilvl w:val="0"/>
          <w:numId w:val="43"/>
        </w:numPr>
        <w:shd w:val="clear" w:color="auto" w:fill="FFFFFF"/>
        <w:spacing w:after="120" w:line="240" w:lineRule="auto"/>
        <w:jc w:val="both"/>
        <w:rPr>
          <w:rFonts w:ascii="Calibri" w:hAnsi="Calibri"/>
          <w:sz w:val="24"/>
          <w:szCs w:val="24"/>
        </w:rPr>
      </w:pPr>
      <w:r w:rsidRPr="00125C71">
        <w:rPr>
          <w:rFonts w:ascii="Calibri" w:hAnsi="Calibri"/>
          <w:b/>
          <w:sz w:val="24"/>
          <w:szCs w:val="24"/>
        </w:rPr>
        <w:t>Resilience and risk reduction in the Pacific</w:t>
      </w:r>
      <w:r w:rsidRPr="00125C71">
        <w:rPr>
          <w:rFonts w:ascii="Calibri" w:hAnsi="Calibri"/>
          <w:sz w:val="24"/>
          <w:szCs w:val="24"/>
        </w:rPr>
        <w:t>: Supporting communities to anticipate disasters and crises and take practical steps to protect their own lives, livelihoods and economies.</w:t>
      </w:r>
    </w:p>
    <w:p w14:paraId="39EABD3C" w14:textId="53CBEB2E" w:rsidR="004D31CC" w:rsidRPr="00125C71" w:rsidRDefault="004D31CC" w:rsidP="00333FF4">
      <w:pPr>
        <w:pStyle w:val="ListParagraph"/>
        <w:numPr>
          <w:ilvl w:val="0"/>
          <w:numId w:val="43"/>
        </w:numPr>
        <w:shd w:val="clear" w:color="auto" w:fill="FFFFFF"/>
        <w:spacing w:after="120" w:line="240" w:lineRule="auto"/>
        <w:jc w:val="both"/>
        <w:rPr>
          <w:rFonts w:ascii="Calibri" w:hAnsi="Calibri"/>
          <w:sz w:val="24"/>
          <w:szCs w:val="24"/>
        </w:rPr>
      </w:pPr>
      <w:r w:rsidRPr="00125C71">
        <w:rPr>
          <w:rFonts w:ascii="Calibri" w:hAnsi="Calibri"/>
          <w:b/>
          <w:sz w:val="24"/>
          <w:szCs w:val="24"/>
        </w:rPr>
        <w:t>Protection</w:t>
      </w:r>
      <w:r w:rsidR="008303E9">
        <w:rPr>
          <w:rFonts w:ascii="Calibri" w:hAnsi="Calibri"/>
          <w:b/>
          <w:sz w:val="24"/>
          <w:szCs w:val="24"/>
        </w:rPr>
        <w:t xml:space="preserve"> and inclusion</w:t>
      </w:r>
      <w:r w:rsidRPr="00125C71">
        <w:rPr>
          <w:rFonts w:ascii="Calibri" w:hAnsi="Calibri"/>
          <w:sz w:val="24"/>
          <w:szCs w:val="24"/>
        </w:rPr>
        <w:t xml:space="preserve">: Supporting those in situations of vulnerability, including women, children and people with disabilities, to live safer and more dignified lives and strengthening protection mechanisms, particularly from sexual and gender based violence. </w:t>
      </w:r>
    </w:p>
    <w:p w14:paraId="7D6A7445" w14:textId="77777777" w:rsidR="004D31CC" w:rsidRPr="00125C71" w:rsidRDefault="004D31CC" w:rsidP="00333FF4">
      <w:pPr>
        <w:pStyle w:val="ListParagraph"/>
        <w:numPr>
          <w:ilvl w:val="0"/>
          <w:numId w:val="43"/>
        </w:numPr>
        <w:shd w:val="clear" w:color="auto" w:fill="FFFFFF"/>
        <w:spacing w:after="120" w:line="240" w:lineRule="auto"/>
        <w:jc w:val="both"/>
        <w:rPr>
          <w:rFonts w:ascii="Calibri" w:hAnsi="Calibri"/>
          <w:sz w:val="24"/>
          <w:szCs w:val="24"/>
        </w:rPr>
      </w:pPr>
      <w:r w:rsidRPr="00125C71">
        <w:rPr>
          <w:rFonts w:ascii="Calibri" w:hAnsi="Calibri"/>
          <w:b/>
          <w:sz w:val="24"/>
          <w:szCs w:val="24"/>
        </w:rPr>
        <w:t>Leadership by women and people with disabilities</w:t>
      </w:r>
      <w:r w:rsidRPr="00125C71">
        <w:rPr>
          <w:rFonts w:ascii="Calibri" w:hAnsi="Calibri"/>
          <w:sz w:val="24"/>
          <w:szCs w:val="24"/>
        </w:rPr>
        <w:t>:</w:t>
      </w:r>
      <w:r w:rsidRPr="00125C71">
        <w:rPr>
          <w:rFonts w:ascii="Calibri" w:eastAsiaTheme="minorEastAsia" w:hAnsi="Calibri"/>
          <w:sz w:val="24"/>
          <w:szCs w:val="24"/>
        </w:rPr>
        <w:t xml:space="preserve"> elevating the role of women and people with disability in decision making.</w:t>
      </w:r>
      <w:r w:rsidRPr="00125C71">
        <w:rPr>
          <w:rFonts w:ascii="Calibri" w:hAnsi="Calibri"/>
          <w:sz w:val="24"/>
          <w:szCs w:val="24"/>
        </w:rPr>
        <w:t xml:space="preserve"> The partnership will support their full participation, and recognise their capacity as leaders and participants.</w:t>
      </w:r>
    </w:p>
    <w:p w14:paraId="77FB7FB0" w14:textId="77777777" w:rsidR="004D31CC" w:rsidRPr="00125C71" w:rsidRDefault="004D31CC" w:rsidP="00333FF4">
      <w:pPr>
        <w:pStyle w:val="ListParagraph"/>
        <w:numPr>
          <w:ilvl w:val="0"/>
          <w:numId w:val="43"/>
        </w:numPr>
        <w:shd w:val="clear" w:color="auto" w:fill="FFFFFF"/>
        <w:spacing w:after="120" w:line="240" w:lineRule="auto"/>
        <w:ind w:left="357" w:hanging="357"/>
        <w:jc w:val="both"/>
        <w:rPr>
          <w:rFonts w:ascii="Calibri" w:hAnsi="Calibri"/>
          <w:sz w:val="24"/>
          <w:szCs w:val="24"/>
        </w:rPr>
      </w:pPr>
      <w:r w:rsidRPr="00125C71">
        <w:rPr>
          <w:rFonts w:ascii="Calibri" w:hAnsi="Calibri"/>
          <w:b/>
          <w:sz w:val="24"/>
          <w:szCs w:val="24"/>
        </w:rPr>
        <w:t>Innovation and learning</w:t>
      </w:r>
      <w:r w:rsidRPr="00125C71">
        <w:rPr>
          <w:rFonts w:ascii="Calibri" w:hAnsi="Calibri"/>
          <w:sz w:val="24"/>
          <w:szCs w:val="24"/>
        </w:rPr>
        <w:t>: Supporting innovation in response and community resilience initiatives; engagement with the private sector and ensuring sector-wide learning to improve program design and delivery.</w:t>
      </w:r>
    </w:p>
    <w:p w14:paraId="70056E6A" w14:textId="77777777" w:rsidR="00125C71" w:rsidRDefault="004D31CC" w:rsidP="00333FF4">
      <w:pPr>
        <w:pStyle w:val="ListParagraph"/>
        <w:numPr>
          <w:ilvl w:val="0"/>
          <w:numId w:val="43"/>
        </w:numPr>
        <w:shd w:val="clear" w:color="auto" w:fill="FFFFFF"/>
        <w:spacing w:after="120" w:line="240" w:lineRule="auto"/>
        <w:jc w:val="both"/>
        <w:rPr>
          <w:rFonts w:ascii="Calibri" w:hAnsi="Calibri"/>
          <w:sz w:val="24"/>
          <w:szCs w:val="24"/>
        </w:rPr>
      </w:pPr>
      <w:r w:rsidRPr="00125C71">
        <w:rPr>
          <w:rFonts w:ascii="Calibri" w:hAnsi="Calibri"/>
          <w:b/>
          <w:sz w:val="24"/>
          <w:szCs w:val="24"/>
        </w:rPr>
        <w:t xml:space="preserve">Public awareness: </w:t>
      </w:r>
      <w:r w:rsidRPr="00125C71">
        <w:rPr>
          <w:rFonts w:ascii="Calibri" w:hAnsi="Calibri"/>
          <w:sz w:val="24"/>
          <w:szCs w:val="24"/>
        </w:rPr>
        <w:t xml:space="preserve">Leveraging each other’s networks to effectively communicate the impact of Australia’s response to the Australian public and other key stakeholders. </w:t>
      </w:r>
    </w:p>
    <w:p w14:paraId="604DCA9A" w14:textId="0D08EFB0" w:rsidR="001A54D7" w:rsidRDefault="001A54D7" w:rsidP="00333FF4">
      <w:pPr>
        <w:pStyle w:val="ListParagraph"/>
        <w:numPr>
          <w:ilvl w:val="0"/>
          <w:numId w:val="43"/>
        </w:numPr>
        <w:shd w:val="clear" w:color="auto" w:fill="FFFFFF"/>
        <w:spacing w:after="120" w:line="240" w:lineRule="auto"/>
        <w:jc w:val="both"/>
        <w:rPr>
          <w:rFonts w:ascii="Calibri" w:hAnsi="Calibri"/>
          <w:sz w:val="24"/>
          <w:szCs w:val="24"/>
        </w:rPr>
      </w:pPr>
      <w:r>
        <w:rPr>
          <w:rFonts w:ascii="Calibri" w:hAnsi="Calibri"/>
          <w:b/>
          <w:sz w:val="24"/>
          <w:szCs w:val="24"/>
        </w:rPr>
        <w:t xml:space="preserve">Relationships: </w:t>
      </w:r>
      <w:r w:rsidRPr="001A54D7">
        <w:rPr>
          <w:rFonts w:ascii="Calibri" w:hAnsi="Calibri"/>
          <w:sz w:val="24"/>
          <w:szCs w:val="24"/>
        </w:rPr>
        <w:t>Strong relationships and engagement with local communities and experience working in partnership with national governments.</w:t>
      </w:r>
      <w:r>
        <w:rPr>
          <w:rFonts w:ascii="Calibri" w:hAnsi="Calibri"/>
          <w:b/>
          <w:sz w:val="24"/>
          <w:szCs w:val="24"/>
        </w:rPr>
        <w:t xml:space="preserve">  </w:t>
      </w:r>
    </w:p>
    <w:p w14:paraId="1B69BB91" w14:textId="77777777" w:rsidR="00871F47" w:rsidRPr="00125C71" w:rsidRDefault="00871F47" w:rsidP="00125C71">
      <w:pPr>
        <w:shd w:val="clear" w:color="auto" w:fill="FFFFFF"/>
        <w:spacing w:after="120"/>
        <w:jc w:val="both"/>
        <w:rPr>
          <w:rFonts w:ascii="Calibri" w:hAnsi="Calibri"/>
        </w:rPr>
      </w:pPr>
      <w:r w:rsidRPr="00125C71">
        <w:rPr>
          <w:rFonts w:ascii="Calibri" w:hAnsi="Calibri"/>
          <w:b/>
        </w:rPr>
        <w:t>This investment is closely aligned to DFAT’s (draft) Humanitarian Strategy</w:t>
      </w:r>
      <w:r w:rsidRPr="00125C71">
        <w:rPr>
          <w:rFonts w:ascii="Calibri" w:hAnsi="Calibri"/>
        </w:rPr>
        <w:t>. This</w:t>
      </w:r>
      <w:r w:rsidR="00283A5C" w:rsidRPr="00125C71">
        <w:rPr>
          <w:rFonts w:ascii="Calibri" w:hAnsi="Calibri"/>
        </w:rPr>
        <w:t xml:space="preserve"> partnership </w:t>
      </w:r>
      <w:r w:rsidRPr="00125C71">
        <w:rPr>
          <w:rFonts w:ascii="Calibri" w:hAnsi="Calibri"/>
        </w:rPr>
        <w:t xml:space="preserve">will make specific contributions across </w:t>
      </w:r>
      <w:r w:rsidR="00283A5C" w:rsidRPr="00125C71">
        <w:rPr>
          <w:rFonts w:ascii="Calibri" w:hAnsi="Calibri"/>
        </w:rPr>
        <w:t xml:space="preserve">all </w:t>
      </w:r>
      <w:r w:rsidRPr="00125C71">
        <w:rPr>
          <w:rFonts w:ascii="Calibri" w:hAnsi="Calibri"/>
        </w:rPr>
        <w:t xml:space="preserve">four of </w:t>
      </w:r>
      <w:r w:rsidR="00283A5C" w:rsidRPr="00125C71">
        <w:rPr>
          <w:rFonts w:ascii="Calibri" w:hAnsi="Calibri"/>
        </w:rPr>
        <w:t>Australia's strategic objectives identified in the strategy</w:t>
      </w:r>
      <w:r w:rsidRPr="00125C71">
        <w:rPr>
          <w:rFonts w:ascii="Calibri" w:hAnsi="Calibri"/>
        </w:rPr>
        <w:t xml:space="preserve">: </w:t>
      </w:r>
      <w:r w:rsidR="00283A5C" w:rsidRPr="00125C71">
        <w:rPr>
          <w:rFonts w:ascii="Calibri" w:hAnsi="Calibri"/>
        </w:rPr>
        <w:t>strengthen international humanitarian action; reduce disaster risk; support preparedness and effective response; and enable early recovery</w:t>
      </w:r>
      <w:r w:rsidRPr="00125C71">
        <w:rPr>
          <w:rFonts w:ascii="Calibri" w:hAnsi="Calibri"/>
        </w:rPr>
        <w:t xml:space="preserve">. </w:t>
      </w:r>
    </w:p>
    <w:p w14:paraId="424D623F" w14:textId="77777777" w:rsidR="00871F47" w:rsidRPr="00A00184" w:rsidRDefault="00871F47" w:rsidP="00A67DC0">
      <w:pPr>
        <w:spacing w:before="240" w:after="240"/>
        <w:jc w:val="both"/>
        <w:rPr>
          <w:b/>
          <w:color w:val="4F81BD" w:themeColor="accent1"/>
        </w:rPr>
      </w:pPr>
      <w:r w:rsidRPr="00A00184">
        <w:rPr>
          <w:b/>
          <w:color w:val="4F81BD" w:themeColor="accent1"/>
        </w:rPr>
        <w:t xml:space="preserve">Delivery Approach </w:t>
      </w:r>
    </w:p>
    <w:p w14:paraId="2DBEEA0C" w14:textId="29F98AD9" w:rsidR="00C54BD7" w:rsidRPr="00C54BD7" w:rsidRDefault="00871F47" w:rsidP="00A67DC0">
      <w:pPr>
        <w:shd w:val="clear" w:color="auto" w:fill="FFFFFF"/>
        <w:spacing w:after="120"/>
        <w:jc w:val="both"/>
        <w:rPr>
          <w:rFonts w:ascii="Calibri" w:hAnsi="Calibri"/>
        </w:rPr>
      </w:pPr>
      <w:r w:rsidRPr="00DD70E1">
        <w:rPr>
          <w:rFonts w:ascii="Calibri" w:hAnsi="Calibri"/>
          <w:b/>
        </w:rPr>
        <w:t xml:space="preserve">The </w:t>
      </w:r>
      <w:r w:rsidR="00283A5C">
        <w:rPr>
          <w:rFonts w:ascii="Calibri" w:hAnsi="Calibri"/>
          <w:b/>
        </w:rPr>
        <w:t>Australian Humanitarian Partnership</w:t>
      </w:r>
      <w:r w:rsidR="00DD11D2" w:rsidRPr="00DD70E1">
        <w:rPr>
          <w:rFonts w:ascii="Calibri" w:hAnsi="Calibri"/>
          <w:b/>
        </w:rPr>
        <w:t xml:space="preserve"> </w:t>
      </w:r>
      <w:r w:rsidR="00125C71">
        <w:rPr>
          <w:rFonts w:ascii="Calibri" w:hAnsi="Calibri"/>
          <w:b/>
        </w:rPr>
        <w:t>has been designed to</w:t>
      </w:r>
      <w:r w:rsidR="00283A5C">
        <w:rPr>
          <w:rFonts w:ascii="Calibri" w:hAnsi="Calibri"/>
          <w:b/>
        </w:rPr>
        <w:t xml:space="preserve"> </w:t>
      </w:r>
      <w:r w:rsidR="001B1FD0">
        <w:rPr>
          <w:rFonts w:ascii="Calibri" w:hAnsi="Calibri"/>
          <w:b/>
        </w:rPr>
        <w:t>enhance</w:t>
      </w:r>
      <w:r w:rsidR="00283A5C">
        <w:rPr>
          <w:rFonts w:ascii="Calibri" w:hAnsi="Calibri"/>
          <w:b/>
        </w:rPr>
        <w:t xml:space="preserve"> the</w:t>
      </w:r>
      <w:r w:rsidR="00DD11D2" w:rsidRPr="00DD70E1">
        <w:rPr>
          <w:rFonts w:ascii="Calibri" w:hAnsi="Calibri"/>
          <w:b/>
        </w:rPr>
        <w:t xml:space="preserve"> </w:t>
      </w:r>
      <w:r w:rsidR="008D4B13">
        <w:rPr>
          <w:rFonts w:ascii="Calibri" w:hAnsi="Calibri"/>
          <w:b/>
        </w:rPr>
        <w:t xml:space="preserve">existing </w:t>
      </w:r>
      <w:r w:rsidR="001B1FD0">
        <w:rPr>
          <w:rFonts w:ascii="Calibri" w:hAnsi="Calibri"/>
          <w:b/>
        </w:rPr>
        <w:t>relationship</w:t>
      </w:r>
      <w:r w:rsidR="001B1FD0" w:rsidRPr="00DD11D2">
        <w:rPr>
          <w:rFonts w:ascii="Calibri" w:hAnsi="Calibri"/>
        </w:rPr>
        <w:t xml:space="preserve"> </w:t>
      </w:r>
      <w:r w:rsidR="00DD11D2" w:rsidRPr="00DD11D2">
        <w:rPr>
          <w:rFonts w:ascii="Calibri" w:hAnsi="Calibri"/>
        </w:rPr>
        <w:t xml:space="preserve">between DFAT and the </w:t>
      </w:r>
      <w:r w:rsidR="008D4B13">
        <w:rPr>
          <w:rFonts w:ascii="Calibri" w:hAnsi="Calibri"/>
        </w:rPr>
        <w:t>fifteen</w:t>
      </w:r>
      <w:r w:rsidR="008D4B13" w:rsidRPr="00DD11D2">
        <w:rPr>
          <w:rFonts w:ascii="Calibri" w:hAnsi="Calibri"/>
        </w:rPr>
        <w:t xml:space="preserve"> </w:t>
      </w:r>
      <w:r w:rsidR="00DD11D2" w:rsidRPr="00DD11D2">
        <w:rPr>
          <w:rFonts w:ascii="Calibri" w:hAnsi="Calibri"/>
        </w:rPr>
        <w:t>members of ACFID’s Humanitarian Reference Group</w:t>
      </w:r>
      <w:r w:rsidR="00DD11D2">
        <w:rPr>
          <w:rFonts w:ascii="Calibri" w:hAnsi="Calibri"/>
        </w:rPr>
        <w:t xml:space="preserve"> (HRG)</w:t>
      </w:r>
      <w:r w:rsidR="00C76A32">
        <w:rPr>
          <w:rFonts w:ascii="Calibri" w:hAnsi="Calibri"/>
        </w:rPr>
        <w:t>.</w:t>
      </w:r>
      <w:r w:rsidR="008D4B13">
        <w:rPr>
          <w:rStyle w:val="FootnoteReference"/>
        </w:rPr>
        <w:footnoteReference w:id="4"/>
      </w:r>
      <w:r w:rsidR="00DD11D2" w:rsidRPr="00575B68">
        <w:rPr>
          <w:rFonts w:ascii="Calibri" w:hAnsi="Calibri"/>
        </w:rPr>
        <w:t xml:space="preserve"> </w:t>
      </w:r>
      <w:r w:rsidR="00DD11D2" w:rsidRPr="00283A5C">
        <w:rPr>
          <w:rFonts w:ascii="Calibri" w:hAnsi="Calibri"/>
        </w:rPr>
        <w:t xml:space="preserve">The </w:t>
      </w:r>
      <w:r w:rsidR="0098557A">
        <w:rPr>
          <w:rFonts w:ascii="Calibri" w:hAnsi="Calibri"/>
        </w:rPr>
        <w:t xml:space="preserve">established </w:t>
      </w:r>
      <w:r w:rsidR="005E66D6">
        <w:rPr>
          <w:rFonts w:ascii="Calibri" w:hAnsi="Calibri"/>
        </w:rPr>
        <w:t>partnership</w:t>
      </w:r>
      <w:r w:rsidR="0098557A">
        <w:rPr>
          <w:rFonts w:ascii="Calibri" w:hAnsi="Calibri"/>
        </w:rPr>
        <w:t xml:space="preserve"> between</w:t>
      </w:r>
      <w:r w:rsidR="005E66D6">
        <w:rPr>
          <w:rFonts w:ascii="Calibri" w:hAnsi="Calibri"/>
        </w:rPr>
        <w:t xml:space="preserve"> </w:t>
      </w:r>
      <w:r w:rsidR="00283A5C">
        <w:rPr>
          <w:rFonts w:ascii="Calibri" w:hAnsi="Calibri"/>
        </w:rPr>
        <w:t>DFAT</w:t>
      </w:r>
      <w:r w:rsidR="005E66D6">
        <w:rPr>
          <w:rFonts w:ascii="Calibri" w:hAnsi="Calibri"/>
        </w:rPr>
        <w:t xml:space="preserve"> and </w:t>
      </w:r>
      <w:r w:rsidR="00283A5C">
        <w:rPr>
          <w:rFonts w:ascii="Calibri" w:hAnsi="Calibri"/>
        </w:rPr>
        <w:t>HRG</w:t>
      </w:r>
      <w:r w:rsidR="005E66D6">
        <w:rPr>
          <w:rFonts w:ascii="Calibri" w:hAnsi="Calibri"/>
        </w:rPr>
        <w:t xml:space="preserve"> members </w:t>
      </w:r>
      <w:r w:rsidR="00DD11D2" w:rsidRPr="00283A5C">
        <w:rPr>
          <w:rFonts w:ascii="Calibri" w:hAnsi="Calibri"/>
        </w:rPr>
        <w:t xml:space="preserve">will be </w:t>
      </w:r>
      <w:r w:rsidR="005E66D6">
        <w:rPr>
          <w:rFonts w:ascii="Calibri" w:hAnsi="Calibri"/>
        </w:rPr>
        <w:t xml:space="preserve">strengthened, with an emphasis on </w:t>
      </w:r>
      <w:r w:rsidR="002C2343" w:rsidRPr="00283A5C">
        <w:rPr>
          <w:rFonts w:ascii="Calibri" w:hAnsi="Calibri"/>
        </w:rPr>
        <w:t>strategic dialogue</w:t>
      </w:r>
      <w:r w:rsidR="0049713F" w:rsidRPr="00283A5C">
        <w:rPr>
          <w:rFonts w:ascii="Calibri" w:hAnsi="Calibri"/>
        </w:rPr>
        <w:t xml:space="preserve"> </w:t>
      </w:r>
      <w:r w:rsidR="00DD11D2">
        <w:rPr>
          <w:rFonts w:ascii="Calibri" w:hAnsi="Calibri"/>
        </w:rPr>
        <w:t xml:space="preserve">and </w:t>
      </w:r>
      <w:r w:rsidR="001B1FD0">
        <w:rPr>
          <w:rFonts w:ascii="Calibri" w:hAnsi="Calibri"/>
        </w:rPr>
        <w:t>improv</w:t>
      </w:r>
      <w:r w:rsidR="005E66D6">
        <w:rPr>
          <w:rFonts w:ascii="Calibri" w:hAnsi="Calibri"/>
        </w:rPr>
        <w:t>ed</w:t>
      </w:r>
      <w:r w:rsidR="001B1FD0" w:rsidRPr="00DD70E1">
        <w:rPr>
          <w:rFonts w:ascii="Calibri" w:hAnsi="Calibri"/>
        </w:rPr>
        <w:t xml:space="preserve"> </w:t>
      </w:r>
      <w:r w:rsidRPr="00DD70E1">
        <w:rPr>
          <w:rFonts w:ascii="Calibri" w:hAnsi="Calibri"/>
        </w:rPr>
        <w:t xml:space="preserve">inter-agency </w:t>
      </w:r>
      <w:r w:rsidR="00680CDA" w:rsidRPr="00DD70E1">
        <w:rPr>
          <w:rFonts w:ascii="Calibri" w:hAnsi="Calibri"/>
        </w:rPr>
        <w:t>coordination</w:t>
      </w:r>
      <w:r w:rsidR="002C2343" w:rsidRPr="00DD70E1">
        <w:rPr>
          <w:rFonts w:ascii="Calibri" w:hAnsi="Calibri"/>
        </w:rPr>
        <w:t xml:space="preserve"> and collaboration. </w:t>
      </w:r>
      <w:r w:rsidR="00E65475">
        <w:rPr>
          <w:rFonts w:ascii="Calibri" w:hAnsi="Calibri"/>
        </w:rPr>
        <w:t xml:space="preserve">While DFAT funding </w:t>
      </w:r>
      <w:r w:rsidR="005F39D3">
        <w:rPr>
          <w:rFonts w:ascii="Calibri" w:hAnsi="Calibri"/>
        </w:rPr>
        <w:t>will</w:t>
      </w:r>
      <w:r w:rsidR="00E65475">
        <w:rPr>
          <w:rFonts w:ascii="Calibri" w:hAnsi="Calibri"/>
        </w:rPr>
        <w:t xml:space="preserve"> not </w:t>
      </w:r>
      <w:r w:rsidR="00E65475">
        <w:rPr>
          <w:rFonts w:ascii="Calibri" w:hAnsi="Calibri"/>
        </w:rPr>
        <w:lastRenderedPageBreak/>
        <w:t>flow to all HRG me</w:t>
      </w:r>
      <w:r w:rsidR="00474495">
        <w:rPr>
          <w:rFonts w:ascii="Calibri" w:hAnsi="Calibri"/>
        </w:rPr>
        <w:t xml:space="preserve">mber NGOs, they </w:t>
      </w:r>
      <w:r w:rsidR="008D4B13">
        <w:rPr>
          <w:rFonts w:ascii="Calibri" w:hAnsi="Calibri"/>
        </w:rPr>
        <w:t xml:space="preserve">can </w:t>
      </w:r>
      <w:r w:rsidR="00474495">
        <w:rPr>
          <w:rFonts w:ascii="Calibri" w:hAnsi="Calibri"/>
        </w:rPr>
        <w:t xml:space="preserve">all </w:t>
      </w:r>
      <w:r w:rsidR="008D4B13">
        <w:rPr>
          <w:rFonts w:ascii="Calibri" w:hAnsi="Calibri"/>
        </w:rPr>
        <w:t xml:space="preserve">choose to </w:t>
      </w:r>
      <w:r w:rsidR="00474495">
        <w:rPr>
          <w:rFonts w:ascii="Calibri" w:hAnsi="Calibri"/>
        </w:rPr>
        <w:t xml:space="preserve">be </w:t>
      </w:r>
      <w:r w:rsidR="00F34A09">
        <w:rPr>
          <w:rFonts w:ascii="Calibri" w:hAnsi="Calibri"/>
        </w:rPr>
        <w:t>full</w:t>
      </w:r>
      <w:r w:rsidR="00474495">
        <w:rPr>
          <w:rFonts w:ascii="Calibri" w:hAnsi="Calibri"/>
        </w:rPr>
        <w:t xml:space="preserve"> participants in strategic dialogue, open communication, </w:t>
      </w:r>
      <w:r w:rsidR="00840739">
        <w:rPr>
          <w:rFonts w:ascii="Calibri" w:hAnsi="Calibri"/>
        </w:rPr>
        <w:t xml:space="preserve">and </w:t>
      </w:r>
      <w:r w:rsidR="00474495">
        <w:rPr>
          <w:rFonts w:ascii="Calibri" w:hAnsi="Calibri"/>
        </w:rPr>
        <w:t xml:space="preserve">lesson learning activities </w:t>
      </w:r>
      <w:r w:rsidR="00287F87">
        <w:rPr>
          <w:rFonts w:ascii="Calibri" w:hAnsi="Calibri"/>
        </w:rPr>
        <w:t>as facilitated by</w:t>
      </w:r>
      <w:r w:rsidR="00474495">
        <w:rPr>
          <w:rFonts w:ascii="Calibri" w:hAnsi="Calibri"/>
        </w:rPr>
        <w:t xml:space="preserve"> </w:t>
      </w:r>
      <w:r w:rsidR="00ED4152">
        <w:rPr>
          <w:rFonts w:ascii="Calibri" w:hAnsi="Calibri"/>
        </w:rPr>
        <w:t>a</w:t>
      </w:r>
      <w:r w:rsidR="00474495">
        <w:rPr>
          <w:rFonts w:ascii="Calibri" w:hAnsi="Calibri"/>
        </w:rPr>
        <w:t xml:space="preserve"> Support Unit</w:t>
      </w:r>
      <w:r w:rsidR="00ED4152">
        <w:rPr>
          <w:rFonts w:ascii="Calibri" w:hAnsi="Calibri"/>
        </w:rPr>
        <w:t xml:space="preserve"> funded under the partnership</w:t>
      </w:r>
      <w:r w:rsidR="00474495">
        <w:rPr>
          <w:rFonts w:ascii="Calibri" w:hAnsi="Calibri"/>
        </w:rPr>
        <w:t>.</w:t>
      </w:r>
    </w:p>
    <w:p w14:paraId="1AF331B1" w14:textId="77777777" w:rsidR="00C76A32" w:rsidRDefault="00871F47" w:rsidP="00A67DC0">
      <w:pPr>
        <w:shd w:val="clear" w:color="auto" w:fill="FFFFFF"/>
        <w:spacing w:after="120"/>
        <w:jc w:val="both"/>
        <w:rPr>
          <w:rFonts w:ascii="Calibri" w:hAnsi="Calibri"/>
        </w:rPr>
      </w:pPr>
      <w:r w:rsidRPr="00DD70E1">
        <w:rPr>
          <w:rFonts w:ascii="Calibri" w:hAnsi="Calibri"/>
          <w:b/>
        </w:rPr>
        <w:t xml:space="preserve">Under this partnership, </w:t>
      </w:r>
      <w:r w:rsidR="00680CDA" w:rsidRPr="00DD70E1">
        <w:rPr>
          <w:rFonts w:ascii="Calibri" w:hAnsi="Calibri"/>
          <w:b/>
        </w:rPr>
        <w:t xml:space="preserve">DFAT will select </w:t>
      </w:r>
      <w:r w:rsidRPr="00DD70E1">
        <w:rPr>
          <w:rFonts w:ascii="Calibri" w:hAnsi="Calibri"/>
          <w:b/>
        </w:rPr>
        <w:t>a small number of HRG member</w:t>
      </w:r>
      <w:r w:rsidR="0049713F" w:rsidRPr="00DD70E1">
        <w:rPr>
          <w:rFonts w:ascii="Calibri" w:hAnsi="Calibri"/>
          <w:b/>
        </w:rPr>
        <w:t xml:space="preserve"> NGO</w:t>
      </w:r>
      <w:r w:rsidRPr="00DD70E1">
        <w:rPr>
          <w:rFonts w:ascii="Calibri" w:hAnsi="Calibri"/>
          <w:b/>
        </w:rPr>
        <w:t>s</w:t>
      </w:r>
      <w:r w:rsidR="00474495">
        <w:rPr>
          <w:rFonts w:ascii="Calibri" w:hAnsi="Calibri"/>
          <w:b/>
        </w:rPr>
        <w:t xml:space="preserve"> for funding</w:t>
      </w:r>
      <w:r w:rsidR="00680CDA" w:rsidRPr="00DD70E1">
        <w:rPr>
          <w:rFonts w:ascii="Calibri" w:hAnsi="Calibri"/>
        </w:rPr>
        <w:t>,</w:t>
      </w:r>
      <w:r w:rsidRPr="00DD70E1">
        <w:rPr>
          <w:rFonts w:ascii="Calibri" w:hAnsi="Calibri"/>
        </w:rPr>
        <w:t xml:space="preserve"> </w:t>
      </w:r>
      <w:r w:rsidRPr="00AD18CB">
        <w:rPr>
          <w:rFonts w:ascii="Calibri" w:hAnsi="Calibri"/>
        </w:rPr>
        <w:t>through a competitive procurement process</w:t>
      </w:r>
      <w:r w:rsidR="00680CDA" w:rsidRPr="00AD18CB">
        <w:rPr>
          <w:rFonts w:ascii="Calibri" w:hAnsi="Calibri"/>
        </w:rPr>
        <w:t>,</w:t>
      </w:r>
      <w:r w:rsidRPr="00AD18CB">
        <w:rPr>
          <w:rFonts w:ascii="Calibri" w:hAnsi="Calibri"/>
        </w:rPr>
        <w:t xml:space="preserve"> based on a detailed assessment of capabilities</w:t>
      </w:r>
      <w:r w:rsidR="008D4B13">
        <w:rPr>
          <w:rFonts w:ascii="Calibri" w:hAnsi="Calibri"/>
        </w:rPr>
        <w:t xml:space="preserve"> across five domains</w:t>
      </w:r>
      <w:r>
        <w:rPr>
          <w:rFonts w:ascii="Calibri" w:hAnsi="Calibri"/>
        </w:rPr>
        <w:t>.</w:t>
      </w:r>
      <w:r w:rsidRPr="00E436B3">
        <w:rPr>
          <w:rStyle w:val="FootnoteReference"/>
          <w:rFonts w:eastAsia="Times New Roman" w:cs="Times New Roman"/>
          <w:szCs w:val="16"/>
        </w:rPr>
        <w:footnoteReference w:id="5"/>
      </w:r>
      <w:r w:rsidR="001727E3">
        <w:rPr>
          <w:rFonts w:ascii="Calibri" w:hAnsi="Calibri"/>
        </w:rPr>
        <w:t xml:space="preserve"> T</w:t>
      </w:r>
      <w:r>
        <w:rPr>
          <w:rFonts w:ascii="Calibri" w:hAnsi="Calibri"/>
        </w:rPr>
        <w:t xml:space="preserve">his will </w:t>
      </w:r>
      <w:r w:rsidRPr="00A977AD">
        <w:rPr>
          <w:rFonts w:ascii="Calibri" w:hAnsi="Calibri"/>
        </w:rPr>
        <w:t>giv</w:t>
      </w:r>
      <w:r>
        <w:rPr>
          <w:rFonts w:ascii="Calibri" w:hAnsi="Calibri"/>
        </w:rPr>
        <w:t>e</w:t>
      </w:r>
      <w:r w:rsidRPr="00A977AD">
        <w:rPr>
          <w:rFonts w:ascii="Calibri" w:hAnsi="Calibri"/>
        </w:rPr>
        <w:t xml:space="preserve"> DFAT the confidence that they are working with the best placed ANGOs in different crises and in different contexts. </w:t>
      </w:r>
    </w:p>
    <w:p w14:paraId="10259C10" w14:textId="7C29C3FB" w:rsidR="00680CDA" w:rsidRDefault="00E12243" w:rsidP="00A67DC0">
      <w:pPr>
        <w:shd w:val="clear" w:color="auto" w:fill="FFFFFF"/>
        <w:spacing w:after="120"/>
        <w:jc w:val="both"/>
      </w:pPr>
      <w:r>
        <w:rPr>
          <w:rFonts w:ascii="Calibri" w:hAnsi="Calibri"/>
        </w:rPr>
        <w:t xml:space="preserve">The same </w:t>
      </w:r>
      <w:r w:rsidR="00C54BD7" w:rsidRPr="00C335CA">
        <w:rPr>
          <w:rFonts w:ascii="Calibri" w:hAnsi="Calibri"/>
          <w:b/>
        </w:rPr>
        <w:t xml:space="preserve">4-6 </w:t>
      </w:r>
      <w:r w:rsidR="00C54BD7">
        <w:rPr>
          <w:rFonts w:ascii="Calibri" w:hAnsi="Calibri"/>
          <w:b/>
        </w:rPr>
        <w:t>HRG</w:t>
      </w:r>
      <w:r w:rsidR="00C54BD7" w:rsidRPr="00C335CA">
        <w:rPr>
          <w:rFonts w:ascii="Calibri" w:hAnsi="Calibri"/>
          <w:b/>
        </w:rPr>
        <w:t xml:space="preserve"> member NGOs</w:t>
      </w:r>
      <w:r w:rsidR="00C54BD7" w:rsidRPr="00641D0E">
        <w:rPr>
          <w:rFonts w:ascii="Calibri" w:hAnsi="Calibri"/>
        </w:rPr>
        <w:t xml:space="preserve"> </w:t>
      </w:r>
      <w:r>
        <w:rPr>
          <w:rFonts w:ascii="Calibri" w:hAnsi="Calibri"/>
        </w:rPr>
        <w:t xml:space="preserve">will be </w:t>
      </w:r>
      <w:r w:rsidR="00C54BD7" w:rsidRPr="00641D0E">
        <w:rPr>
          <w:rFonts w:ascii="Calibri" w:hAnsi="Calibri"/>
        </w:rPr>
        <w:t xml:space="preserve">selected </w:t>
      </w:r>
      <w:r w:rsidR="00C54BD7">
        <w:rPr>
          <w:rFonts w:ascii="Calibri" w:hAnsi="Calibri"/>
        </w:rPr>
        <w:t xml:space="preserve">by DFAT to be eligible for </w:t>
      </w:r>
      <w:r w:rsidR="00C54BD7" w:rsidRPr="00C318DA">
        <w:rPr>
          <w:rFonts w:ascii="Calibri" w:hAnsi="Calibri"/>
        </w:rPr>
        <w:t xml:space="preserve">response funding (including early recovery) </w:t>
      </w:r>
      <w:r>
        <w:rPr>
          <w:rFonts w:ascii="Calibri" w:hAnsi="Calibri"/>
        </w:rPr>
        <w:t xml:space="preserve">and to receive </w:t>
      </w:r>
      <w:r w:rsidR="00C54BD7" w:rsidRPr="00C318DA">
        <w:rPr>
          <w:rFonts w:ascii="Calibri" w:hAnsi="Calibri"/>
        </w:rPr>
        <w:t xml:space="preserve">multi-year funding to support local </w:t>
      </w:r>
      <w:r w:rsidR="00C54BD7">
        <w:rPr>
          <w:rFonts w:ascii="Calibri" w:hAnsi="Calibri"/>
        </w:rPr>
        <w:t>humanitarian capability</w:t>
      </w:r>
      <w:r w:rsidR="00C54BD7" w:rsidRPr="00C318DA">
        <w:rPr>
          <w:rFonts w:ascii="Calibri" w:hAnsi="Calibri"/>
        </w:rPr>
        <w:t xml:space="preserve"> in the Pacific </w:t>
      </w:r>
      <w:r w:rsidR="005A11A9">
        <w:rPr>
          <w:rFonts w:ascii="Calibri" w:hAnsi="Calibri"/>
        </w:rPr>
        <w:t>and build the disaster resilience of Pacific communities</w:t>
      </w:r>
      <w:r w:rsidR="005A11A9" w:rsidRPr="006035B0">
        <w:rPr>
          <w:rFonts w:ascii="Calibri" w:hAnsi="Calibri"/>
        </w:rPr>
        <w:t>.</w:t>
      </w:r>
      <w:r w:rsidR="005A11A9" w:rsidRPr="00C335CA">
        <w:rPr>
          <w:rFonts w:ascii="Calibri" w:hAnsi="Calibri"/>
        </w:rPr>
        <w:t xml:space="preserve">  </w:t>
      </w:r>
      <w:r w:rsidR="00C54BD7" w:rsidRPr="00C335CA">
        <w:rPr>
          <w:rFonts w:ascii="Calibri" w:hAnsi="Calibri"/>
        </w:rPr>
        <w:t>A</w:t>
      </w:r>
      <w:r w:rsidR="00C54BD7" w:rsidRPr="00641D0E">
        <w:rPr>
          <w:rFonts w:ascii="Calibri" w:hAnsi="Calibri"/>
        </w:rPr>
        <w:t xml:space="preserve">pplications </w:t>
      </w:r>
      <w:r w:rsidR="00C54BD7">
        <w:rPr>
          <w:rFonts w:ascii="Calibri" w:hAnsi="Calibri"/>
        </w:rPr>
        <w:t xml:space="preserve">will be </w:t>
      </w:r>
      <w:r w:rsidR="00C54BD7" w:rsidRPr="00641D0E">
        <w:rPr>
          <w:rFonts w:ascii="Calibri" w:hAnsi="Calibri"/>
        </w:rPr>
        <w:t>restricted to HRG</w:t>
      </w:r>
      <w:r w:rsidR="00C54BD7">
        <w:rPr>
          <w:rFonts w:ascii="Calibri" w:hAnsi="Calibri"/>
        </w:rPr>
        <w:t xml:space="preserve"> </w:t>
      </w:r>
      <w:r w:rsidR="00474495">
        <w:rPr>
          <w:rFonts w:ascii="Calibri" w:hAnsi="Calibri"/>
        </w:rPr>
        <w:t xml:space="preserve">member NGOs. </w:t>
      </w:r>
      <w:r w:rsidR="00EF06CE">
        <w:t xml:space="preserve">HRG members applying for funding are encouraged to consider consortia arrangements that enable them to demonstrate strong capacity over all five domains of capability. </w:t>
      </w:r>
      <w:r w:rsidR="00474495">
        <w:rPr>
          <w:rFonts w:ascii="Calibri" w:hAnsi="Calibri"/>
        </w:rPr>
        <w:t>C</w:t>
      </w:r>
      <w:r w:rsidR="00C54BD7">
        <w:rPr>
          <w:rFonts w:ascii="Calibri" w:hAnsi="Calibri"/>
        </w:rPr>
        <w:t>onsortia led by an HRG member and involving non-HRG members will be eligible to apply</w:t>
      </w:r>
      <w:r w:rsidR="00C54BD7" w:rsidRPr="00641D0E">
        <w:rPr>
          <w:rFonts w:ascii="Calibri" w:hAnsi="Calibri"/>
        </w:rPr>
        <w:t>.</w:t>
      </w:r>
      <w:r w:rsidR="00C54BD7">
        <w:rPr>
          <w:rFonts w:ascii="Calibri" w:hAnsi="Calibri"/>
        </w:rPr>
        <w:t xml:space="preserve"> </w:t>
      </w:r>
      <w:r w:rsidR="00CB425E" w:rsidRPr="00C76A32">
        <w:rPr>
          <w:rFonts w:ascii="Calibri" w:hAnsi="Calibri"/>
          <w:b/>
        </w:rPr>
        <w:t>Consortia arrangements are encouraged but not required.</w:t>
      </w:r>
    </w:p>
    <w:p w14:paraId="0DE0D327" w14:textId="77777777" w:rsidR="00680CDA" w:rsidRDefault="00680CDA" w:rsidP="00A67DC0">
      <w:pPr>
        <w:spacing w:after="120"/>
        <w:jc w:val="both"/>
      </w:pPr>
      <w:r w:rsidRPr="00680CDA">
        <w:rPr>
          <w:b/>
        </w:rPr>
        <w:t>Response funding</w:t>
      </w:r>
      <w:r w:rsidR="00817EB5">
        <w:rPr>
          <w:b/>
        </w:rPr>
        <w:t xml:space="preserve"> (including early recovery)</w:t>
      </w:r>
      <w:r>
        <w:t>, and the d</w:t>
      </w:r>
      <w:r w:rsidRPr="003627E2">
        <w:t>ecision-making pro</w:t>
      </w:r>
      <w:r w:rsidR="00AD18CB">
        <w:t xml:space="preserve">cesses </w:t>
      </w:r>
      <w:r w:rsidRPr="003627E2">
        <w:t xml:space="preserve">and timeframes </w:t>
      </w:r>
      <w:r>
        <w:t xml:space="preserve">around </w:t>
      </w:r>
      <w:r w:rsidR="00105C1F">
        <w:t>it</w:t>
      </w:r>
      <w:r>
        <w:t>, ha</w:t>
      </w:r>
      <w:r w:rsidR="0049713F">
        <w:t>ve</w:t>
      </w:r>
      <w:r>
        <w:t xml:space="preserve"> been tailored to different crises</w:t>
      </w:r>
      <w:r w:rsidR="00DD11D2">
        <w:t xml:space="preserve">. That is, </w:t>
      </w:r>
      <w:r w:rsidR="002C2343">
        <w:t>under this design</w:t>
      </w:r>
      <w:r w:rsidR="00DD11D2">
        <w:t>,</w:t>
      </w:r>
      <w:r w:rsidR="002C2343">
        <w:t xml:space="preserve"> </w:t>
      </w:r>
      <w:r w:rsidR="00B654D2" w:rsidRPr="00B654D2">
        <w:rPr>
          <w:b/>
        </w:rPr>
        <w:t>approaches to and</w:t>
      </w:r>
      <w:r w:rsidR="00B654D2">
        <w:t xml:space="preserve"> </w:t>
      </w:r>
      <w:r w:rsidRPr="00B654D2">
        <w:rPr>
          <w:b/>
        </w:rPr>
        <w:t xml:space="preserve">procedures </w:t>
      </w:r>
      <w:r w:rsidR="00877035" w:rsidRPr="00B654D2">
        <w:rPr>
          <w:b/>
        </w:rPr>
        <w:t xml:space="preserve">for a rapid-onset </w:t>
      </w:r>
      <w:r w:rsidR="00213C5F">
        <w:rPr>
          <w:b/>
        </w:rPr>
        <w:t>crisis</w:t>
      </w:r>
      <w:r w:rsidR="00213C5F" w:rsidRPr="00B654D2">
        <w:rPr>
          <w:b/>
        </w:rPr>
        <w:t xml:space="preserve"> </w:t>
      </w:r>
      <w:r w:rsidRPr="00B654D2">
        <w:rPr>
          <w:b/>
        </w:rPr>
        <w:t xml:space="preserve">are significantly different to procedures </w:t>
      </w:r>
      <w:r w:rsidR="00DD11D2" w:rsidRPr="00B654D2">
        <w:rPr>
          <w:b/>
        </w:rPr>
        <w:t>for a protracted or slow onset crisis</w:t>
      </w:r>
      <w:r>
        <w:t>.</w:t>
      </w:r>
      <w:r w:rsidR="00DD11D2">
        <w:t xml:space="preserve"> (Refer to Section </w:t>
      </w:r>
      <w:r w:rsidR="007F1D78">
        <w:t>3: Delivery Approach</w:t>
      </w:r>
      <w:r w:rsidR="00DD11D2">
        <w:t xml:space="preserve"> for details).</w:t>
      </w:r>
    </w:p>
    <w:p w14:paraId="051141A2" w14:textId="3546D3E7" w:rsidR="00680CDA" w:rsidRDefault="00E12243" w:rsidP="00A67DC0">
      <w:pPr>
        <w:spacing w:after="120"/>
        <w:jc w:val="both"/>
        <w:rPr>
          <w:rFonts w:ascii="Calibri" w:hAnsi="Calibri"/>
        </w:rPr>
      </w:pPr>
      <w:r>
        <w:rPr>
          <w:rFonts w:ascii="Calibri" w:hAnsi="Calibri"/>
          <w:b/>
        </w:rPr>
        <w:t xml:space="preserve">The 4-6 selected </w:t>
      </w:r>
      <w:r w:rsidR="00DB02ED">
        <w:rPr>
          <w:rFonts w:ascii="Calibri" w:hAnsi="Calibri"/>
          <w:b/>
        </w:rPr>
        <w:t>NGOs</w:t>
      </w:r>
      <w:r w:rsidR="002C2343" w:rsidRPr="00DB635A">
        <w:rPr>
          <w:rFonts w:ascii="Calibri" w:hAnsi="Calibri"/>
          <w:b/>
        </w:rPr>
        <w:t xml:space="preserve"> </w:t>
      </w:r>
      <w:r w:rsidR="002C2343">
        <w:t xml:space="preserve">will </w:t>
      </w:r>
      <w:r w:rsidR="00680CDA" w:rsidRPr="00DB635A">
        <w:rPr>
          <w:rFonts w:ascii="Calibri" w:hAnsi="Calibri"/>
          <w:b/>
        </w:rPr>
        <w:t>participate with DFAT in a ‘design-and-implement' inception phase</w:t>
      </w:r>
      <w:r w:rsidR="00680CDA">
        <w:rPr>
          <w:rFonts w:ascii="Calibri" w:hAnsi="Calibri"/>
        </w:rPr>
        <w:t xml:space="preserve"> </w:t>
      </w:r>
      <w:r w:rsidR="00817EB5">
        <w:rPr>
          <w:rFonts w:ascii="Calibri" w:hAnsi="Calibri"/>
        </w:rPr>
        <w:t>in</w:t>
      </w:r>
      <w:r w:rsidR="00817EB5" w:rsidRPr="00817EB5">
        <w:rPr>
          <w:rFonts w:ascii="Calibri" w:hAnsi="Calibri"/>
        </w:rPr>
        <w:t xml:space="preserve"> </w:t>
      </w:r>
      <w:r w:rsidR="00680CDA" w:rsidRPr="00817EB5">
        <w:rPr>
          <w:rFonts w:ascii="Calibri" w:hAnsi="Calibri"/>
        </w:rPr>
        <w:t>2016-17</w:t>
      </w:r>
      <w:r>
        <w:rPr>
          <w:rFonts w:ascii="Calibri" w:hAnsi="Calibri"/>
        </w:rPr>
        <w:t xml:space="preserve"> for the </w:t>
      </w:r>
      <w:r w:rsidRPr="00680CDA">
        <w:rPr>
          <w:b/>
        </w:rPr>
        <w:t>multi-year funding</w:t>
      </w:r>
      <w:r w:rsidRPr="00680CDA">
        <w:t xml:space="preserve"> to </w:t>
      </w:r>
      <w:r w:rsidR="00C76A32">
        <w:t>support</w:t>
      </w:r>
      <w:r w:rsidRPr="00680CDA">
        <w:t xml:space="preserve"> local humanitarian capability </w:t>
      </w:r>
      <w:r>
        <w:t>and build the disaster resilience of Pacific communities</w:t>
      </w:r>
      <w:r w:rsidR="00680CDA" w:rsidRPr="00817EB5">
        <w:rPr>
          <w:rFonts w:ascii="Calibri" w:hAnsi="Calibri"/>
        </w:rPr>
        <w:t>.</w:t>
      </w:r>
      <w:r w:rsidR="00680CDA">
        <w:rPr>
          <w:rFonts w:ascii="Calibri" w:hAnsi="Calibri"/>
        </w:rPr>
        <w:t xml:space="preserve"> During this inception phase, partners will work </w:t>
      </w:r>
      <w:r w:rsidR="00CB425E">
        <w:rPr>
          <w:rFonts w:ascii="Calibri" w:hAnsi="Calibri"/>
        </w:rPr>
        <w:t xml:space="preserve">with DFAT </w:t>
      </w:r>
      <w:r w:rsidR="00680CDA">
        <w:rPr>
          <w:rFonts w:ascii="Calibri" w:hAnsi="Calibri"/>
        </w:rPr>
        <w:t>to determine the priorities, partnerships and program initiatives to be pursued</w:t>
      </w:r>
      <w:r w:rsidR="007E18EC">
        <w:rPr>
          <w:rFonts w:ascii="Calibri" w:hAnsi="Calibri"/>
        </w:rPr>
        <w:t xml:space="preserve"> with an emphasis on collaboration in-country</w:t>
      </w:r>
      <w:r w:rsidR="00680CDA">
        <w:rPr>
          <w:rFonts w:ascii="Calibri" w:hAnsi="Calibri"/>
        </w:rPr>
        <w:t xml:space="preserve">. </w:t>
      </w:r>
      <w:r w:rsidR="00CB425E">
        <w:rPr>
          <w:rFonts w:ascii="Calibri" w:hAnsi="Calibri"/>
        </w:rPr>
        <w:t xml:space="preserve">The inception phase will include systematic mapping, gap analysis and coordination with local actors to ensure this investment reaches it </w:t>
      </w:r>
      <w:r w:rsidR="00822FE9">
        <w:rPr>
          <w:rFonts w:ascii="Calibri" w:hAnsi="Calibri"/>
        </w:rPr>
        <w:t xml:space="preserve">proposed outcomes, and strengthens </w:t>
      </w:r>
      <w:r w:rsidR="00AD7042">
        <w:rPr>
          <w:rFonts w:ascii="Calibri" w:hAnsi="Calibri"/>
        </w:rPr>
        <w:t>(</w:t>
      </w:r>
      <w:r w:rsidR="00822FE9">
        <w:rPr>
          <w:rFonts w:ascii="Calibri" w:hAnsi="Calibri"/>
        </w:rPr>
        <w:t>rather than undermines</w:t>
      </w:r>
      <w:r w:rsidR="00AD7042">
        <w:rPr>
          <w:rFonts w:ascii="Calibri" w:hAnsi="Calibri"/>
        </w:rPr>
        <w:t>)</w:t>
      </w:r>
      <w:r w:rsidR="00822FE9">
        <w:rPr>
          <w:rFonts w:ascii="Calibri" w:hAnsi="Calibri"/>
        </w:rPr>
        <w:t xml:space="preserve"> local capacity. </w:t>
      </w:r>
      <w:r w:rsidR="00CB425E">
        <w:rPr>
          <w:rFonts w:ascii="Calibri" w:hAnsi="Calibri"/>
        </w:rPr>
        <w:t xml:space="preserve">The split of funding between different </w:t>
      </w:r>
      <w:r w:rsidR="00AD7042">
        <w:rPr>
          <w:rFonts w:ascii="Calibri" w:hAnsi="Calibri"/>
        </w:rPr>
        <w:t>activities</w:t>
      </w:r>
      <w:r w:rsidR="00CB425E">
        <w:rPr>
          <w:rFonts w:ascii="Calibri" w:hAnsi="Calibri"/>
        </w:rPr>
        <w:t xml:space="preserve"> and countries will be determined during this phase. DFAT staff at Post will be engaged as part of this process. </w:t>
      </w:r>
    </w:p>
    <w:p w14:paraId="020F9BC1" w14:textId="0D240AFE" w:rsidR="00871F47" w:rsidRDefault="00871F47" w:rsidP="00A67DC0">
      <w:pPr>
        <w:spacing w:after="120"/>
        <w:jc w:val="both"/>
        <w:rPr>
          <w:rFonts w:ascii="Calibri" w:hAnsi="Calibri"/>
        </w:rPr>
      </w:pPr>
      <w:r w:rsidRPr="004157EC">
        <w:rPr>
          <w:rFonts w:ascii="Calibri" w:hAnsi="Calibri"/>
          <w:b/>
        </w:rPr>
        <w:t xml:space="preserve">The </w:t>
      </w:r>
      <w:r w:rsidR="002C2343">
        <w:rPr>
          <w:rFonts w:ascii="Calibri" w:hAnsi="Calibri"/>
          <w:b/>
        </w:rPr>
        <w:t xml:space="preserve">partnership will be supported by </w:t>
      </w:r>
      <w:r w:rsidRPr="004157EC">
        <w:rPr>
          <w:rFonts w:ascii="Calibri" w:hAnsi="Calibri"/>
          <w:b/>
        </w:rPr>
        <w:t>a small unit</w:t>
      </w:r>
      <w:r w:rsidR="00B90DC7">
        <w:rPr>
          <w:rFonts w:ascii="Calibri" w:hAnsi="Calibri"/>
          <w:b/>
        </w:rPr>
        <w:t xml:space="preserve">. </w:t>
      </w:r>
      <w:r w:rsidR="00822FE9">
        <w:rPr>
          <w:rFonts w:ascii="Calibri" w:hAnsi="Calibri"/>
          <w:b/>
        </w:rPr>
        <w:t xml:space="preserve">An organisation to host </w:t>
      </w:r>
      <w:r w:rsidR="00822FE9" w:rsidRPr="00AD7042">
        <w:rPr>
          <w:rFonts w:ascii="Calibri" w:hAnsi="Calibri"/>
          <w:b/>
        </w:rPr>
        <w:t>t</w:t>
      </w:r>
      <w:r w:rsidR="00B90DC7" w:rsidRPr="00AD7042">
        <w:rPr>
          <w:rFonts w:ascii="Calibri" w:hAnsi="Calibri"/>
          <w:b/>
        </w:rPr>
        <w:t>he Support Unit</w:t>
      </w:r>
      <w:r w:rsidR="00B90DC7" w:rsidRPr="00635A68">
        <w:rPr>
          <w:rFonts w:ascii="Calibri" w:hAnsi="Calibri"/>
        </w:rPr>
        <w:t xml:space="preserve"> </w:t>
      </w:r>
      <w:r w:rsidR="00B90DC7">
        <w:rPr>
          <w:rFonts w:ascii="Calibri" w:hAnsi="Calibri"/>
        </w:rPr>
        <w:t xml:space="preserve">will be </w:t>
      </w:r>
      <w:r w:rsidR="0082594B">
        <w:rPr>
          <w:rFonts w:ascii="Calibri" w:hAnsi="Calibri"/>
        </w:rPr>
        <w:t>selected</w:t>
      </w:r>
      <w:r w:rsidR="00822FE9">
        <w:rPr>
          <w:rFonts w:ascii="Calibri" w:hAnsi="Calibri"/>
        </w:rPr>
        <w:t xml:space="preserve"> through a competitive procurement process. DFAT envisages that the competitive process will draw interest from organisations in the non-government sector including possibly HRG NGO members and/or peak bodies such as ACFID. The procurement process will also be open to private sector bodies. </w:t>
      </w:r>
      <w:r w:rsidR="0082594B">
        <w:rPr>
          <w:rFonts w:ascii="Calibri" w:hAnsi="Calibri"/>
        </w:rPr>
        <w:t xml:space="preserve">The work of the Unit will support the achievement of all three end-of-investment outcomes. </w:t>
      </w:r>
      <w:r>
        <w:rPr>
          <w:rFonts w:ascii="Calibri" w:hAnsi="Calibri"/>
        </w:rPr>
        <w:t>Th</w:t>
      </w:r>
      <w:r w:rsidR="00B90DC7">
        <w:rPr>
          <w:rFonts w:ascii="Calibri" w:hAnsi="Calibri"/>
        </w:rPr>
        <w:t>e</w:t>
      </w:r>
      <w:r>
        <w:rPr>
          <w:rFonts w:ascii="Calibri" w:hAnsi="Calibri"/>
        </w:rPr>
        <w:t xml:space="preserve"> </w:t>
      </w:r>
      <w:r w:rsidR="00822FE9">
        <w:rPr>
          <w:rFonts w:ascii="Calibri" w:hAnsi="Calibri"/>
        </w:rPr>
        <w:t>Support Unit must have the capacity to enter into contractual ag</w:t>
      </w:r>
      <w:r w:rsidR="00DB02ED">
        <w:rPr>
          <w:rFonts w:ascii="Calibri" w:hAnsi="Calibri"/>
        </w:rPr>
        <w:t>r</w:t>
      </w:r>
      <w:r w:rsidR="00822FE9">
        <w:rPr>
          <w:rFonts w:ascii="Calibri" w:hAnsi="Calibri"/>
        </w:rPr>
        <w:t xml:space="preserve">eements with the 4-6 HRG member NGOs pre-selected to receive DFAT funding. </w:t>
      </w:r>
      <w:r w:rsidR="001B1FD0">
        <w:rPr>
          <w:rFonts w:ascii="Calibri" w:hAnsi="Calibri"/>
        </w:rPr>
        <w:t xml:space="preserve">The Unit will </w:t>
      </w:r>
      <w:r>
        <w:rPr>
          <w:rFonts w:ascii="Calibri" w:hAnsi="Calibri"/>
        </w:rPr>
        <w:t xml:space="preserve">add value to </w:t>
      </w:r>
      <w:r w:rsidR="00DD11D2">
        <w:rPr>
          <w:rFonts w:ascii="Calibri" w:hAnsi="Calibri"/>
        </w:rPr>
        <w:t xml:space="preserve">all </w:t>
      </w:r>
      <w:r w:rsidR="00CC575E">
        <w:rPr>
          <w:rFonts w:ascii="Calibri" w:hAnsi="Calibri"/>
        </w:rPr>
        <w:t xml:space="preserve">partnership </w:t>
      </w:r>
      <w:r w:rsidR="00DD11D2">
        <w:rPr>
          <w:rFonts w:ascii="Calibri" w:hAnsi="Calibri"/>
        </w:rPr>
        <w:t>members</w:t>
      </w:r>
      <w:r>
        <w:rPr>
          <w:rFonts w:ascii="Calibri" w:hAnsi="Calibri"/>
        </w:rPr>
        <w:t xml:space="preserve"> by </w:t>
      </w:r>
      <w:r w:rsidRPr="00A977AD">
        <w:rPr>
          <w:rFonts w:ascii="Calibri" w:hAnsi="Calibri"/>
        </w:rPr>
        <w:t>facilitat</w:t>
      </w:r>
      <w:r>
        <w:rPr>
          <w:rFonts w:ascii="Calibri" w:hAnsi="Calibri"/>
        </w:rPr>
        <w:t>ing</w:t>
      </w:r>
      <w:r w:rsidRPr="00A977AD">
        <w:rPr>
          <w:rFonts w:ascii="Calibri" w:hAnsi="Calibri"/>
        </w:rPr>
        <w:t xml:space="preserve"> information </w:t>
      </w:r>
      <w:r w:rsidRPr="00A977AD">
        <w:rPr>
          <w:rFonts w:ascii="Calibri" w:hAnsi="Calibri"/>
        </w:rPr>
        <w:lastRenderedPageBreak/>
        <w:t xml:space="preserve">sharing, </w:t>
      </w:r>
      <w:r>
        <w:rPr>
          <w:rFonts w:ascii="Calibri" w:hAnsi="Calibri"/>
        </w:rPr>
        <w:t xml:space="preserve">and supporting </w:t>
      </w:r>
      <w:r w:rsidRPr="00A977AD">
        <w:rPr>
          <w:rFonts w:ascii="Calibri" w:hAnsi="Calibri"/>
        </w:rPr>
        <w:t xml:space="preserve">innovation, </w:t>
      </w:r>
      <w:r w:rsidR="00993395" w:rsidRPr="00B41169">
        <w:rPr>
          <w:rFonts w:ascii="Calibri" w:hAnsi="Calibri"/>
        </w:rPr>
        <w:t xml:space="preserve">monitoring, evaluation and </w:t>
      </w:r>
      <w:r w:rsidRPr="00A977AD">
        <w:rPr>
          <w:rFonts w:ascii="Calibri" w:hAnsi="Calibri"/>
        </w:rPr>
        <w:t xml:space="preserve">learning and public awareness activities. </w:t>
      </w:r>
    </w:p>
    <w:p w14:paraId="2BD6DB8F" w14:textId="77777777" w:rsidR="00CC5276" w:rsidRPr="00A00184" w:rsidRDefault="00CC5276" w:rsidP="00A67DC0">
      <w:pPr>
        <w:spacing w:before="240" w:after="240"/>
        <w:jc w:val="both"/>
        <w:rPr>
          <w:b/>
          <w:color w:val="4F81BD" w:themeColor="accent1"/>
        </w:rPr>
      </w:pPr>
      <w:r w:rsidRPr="00A00184">
        <w:rPr>
          <w:b/>
          <w:color w:val="4F81BD" w:themeColor="accent1"/>
        </w:rPr>
        <w:t>Innovation and Risk</w:t>
      </w:r>
    </w:p>
    <w:p w14:paraId="6CB1C960" w14:textId="793C0A39" w:rsidR="00877035" w:rsidRDefault="00877035" w:rsidP="00A67DC0">
      <w:pPr>
        <w:spacing w:after="120"/>
        <w:jc w:val="both"/>
        <w:rPr>
          <w:rFonts w:ascii="Calibri" w:hAnsi="Calibri"/>
        </w:rPr>
      </w:pPr>
      <w:r w:rsidRPr="00A977AD">
        <w:rPr>
          <w:rFonts w:ascii="Calibri" w:hAnsi="Calibri"/>
          <w:b/>
        </w:rPr>
        <w:t xml:space="preserve">The partnership will </w:t>
      </w:r>
      <w:r w:rsidR="00EB6A70">
        <w:rPr>
          <w:rFonts w:ascii="Calibri" w:hAnsi="Calibri"/>
          <w:b/>
        </w:rPr>
        <w:t xml:space="preserve">support </w:t>
      </w:r>
      <w:r w:rsidR="00EB6A70" w:rsidRPr="00EB6A70">
        <w:rPr>
          <w:rFonts w:ascii="Calibri" w:hAnsi="Calibri"/>
          <w:b/>
        </w:rPr>
        <w:t>i</w:t>
      </w:r>
      <w:r w:rsidRPr="00EB6A70">
        <w:rPr>
          <w:rFonts w:ascii="Calibri" w:hAnsi="Calibri"/>
          <w:b/>
        </w:rPr>
        <w:t>nnovation</w:t>
      </w:r>
      <w:r w:rsidR="00EB6A70" w:rsidRPr="00EB6A70">
        <w:rPr>
          <w:rFonts w:ascii="Calibri" w:hAnsi="Calibri"/>
          <w:b/>
        </w:rPr>
        <w:t xml:space="preserve"> in humanitarian action</w:t>
      </w:r>
      <w:r w:rsidR="00EB6A70">
        <w:rPr>
          <w:rFonts w:ascii="Calibri" w:hAnsi="Calibri"/>
        </w:rPr>
        <w:t xml:space="preserve"> </w:t>
      </w:r>
      <w:r w:rsidR="0082594B">
        <w:rPr>
          <w:rFonts w:ascii="Calibri" w:hAnsi="Calibri"/>
        </w:rPr>
        <w:t>by mainstreaming innovation across all outcome areas</w:t>
      </w:r>
      <w:r w:rsidR="00EB6A70">
        <w:rPr>
          <w:rFonts w:ascii="Calibri" w:hAnsi="Calibri"/>
        </w:rPr>
        <w:t xml:space="preserve">. </w:t>
      </w:r>
      <w:r w:rsidR="00815B9E">
        <w:rPr>
          <w:rFonts w:ascii="Calibri" w:hAnsi="Calibri"/>
        </w:rPr>
        <w:t>In support of DFAT’s (draft) Humanitarian Strategy, DFAT will seek to foster within the partnership “an environment where the use of innovative methods is encouraged</w:t>
      </w:r>
      <w:r w:rsidR="00213C5F">
        <w:rPr>
          <w:rFonts w:ascii="Calibri" w:hAnsi="Calibri"/>
        </w:rPr>
        <w:t>”</w:t>
      </w:r>
      <w:r w:rsidR="00815B9E">
        <w:rPr>
          <w:rFonts w:ascii="Calibri" w:hAnsi="Calibri"/>
        </w:rPr>
        <w:t>.</w:t>
      </w:r>
      <w:r w:rsidR="00815B9E">
        <w:rPr>
          <w:rStyle w:val="FootnoteReference"/>
        </w:rPr>
        <w:footnoteReference w:id="6"/>
      </w:r>
      <w:r>
        <w:rPr>
          <w:rFonts w:ascii="Calibri" w:hAnsi="Calibri"/>
        </w:rPr>
        <w:t xml:space="preserve"> </w:t>
      </w:r>
      <w:r w:rsidRPr="00641D0E">
        <w:rPr>
          <w:rFonts w:ascii="Calibri" w:hAnsi="Calibri"/>
        </w:rPr>
        <w:t>In the initial two years of the partners</w:t>
      </w:r>
      <w:r>
        <w:rPr>
          <w:rFonts w:ascii="Calibri" w:hAnsi="Calibri"/>
        </w:rPr>
        <w:t xml:space="preserve">hip, it is anticipated that </w:t>
      </w:r>
      <w:r w:rsidR="0082594B">
        <w:rPr>
          <w:rFonts w:ascii="Calibri" w:hAnsi="Calibri"/>
        </w:rPr>
        <w:t xml:space="preserve">mainstreaming efforts may focus on </w:t>
      </w:r>
      <w:r w:rsidRPr="00641D0E">
        <w:rPr>
          <w:rFonts w:ascii="Calibri" w:hAnsi="Calibri"/>
        </w:rPr>
        <w:t>explor</w:t>
      </w:r>
      <w:r w:rsidR="0082594B">
        <w:rPr>
          <w:rFonts w:ascii="Calibri" w:hAnsi="Calibri"/>
        </w:rPr>
        <w:t>ing</w:t>
      </w:r>
      <w:r w:rsidRPr="00641D0E">
        <w:rPr>
          <w:rFonts w:ascii="Calibri" w:hAnsi="Calibri"/>
        </w:rPr>
        <w:t xml:space="preserve"> </w:t>
      </w:r>
      <w:r>
        <w:rPr>
          <w:rFonts w:ascii="Calibri" w:hAnsi="Calibri"/>
        </w:rPr>
        <w:t xml:space="preserve">innovative approaches to humanitarian response </w:t>
      </w:r>
      <w:r w:rsidR="00817EB5">
        <w:rPr>
          <w:rFonts w:ascii="Calibri" w:hAnsi="Calibri"/>
        </w:rPr>
        <w:t xml:space="preserve">(including early recovery) </w:t>
      </w:r>
      <w:r>
        <w:rPr>
          <w:rFonts w:ascii="Calibri" w:hAnsi="Calibri"/>
        </w:rPr>
        <w:t xml:space="preserve">and capacity building through partnerships with the </w:t>
      </w:r>
      <w:r w:rsidRPr="00877035">
        <w:rPr>
          <w:rFonts w:ascii="Calibri" w:hAnsi="Calibri"/>
          <w:b/>
        </w:rPr>
        <w:t>private sector</w:t>
      </w:r>
      <w:r>
        <w:rPr>
          <w:rFonts w:ascii="Calibri" w:hAnsi="Calibri"/>
        </w:rPr>
        <w:t xml:space="preserve">. </w:t>
      </w:r>
    </w:p>
    <w:p w14:paraId="7B876334" w14:textId="77777777" w:rsidR="00D50BD8" w:rsidRDefault="00877035" w:rsidP="00A67DC0">
      <w:pPr>
        <w:spacing w:after="120"/>
        <w:jc w:val="both"/>
        <w:rPr>
          <w:rFonts w:ascii="Calibri" w:hAnsi="Calibri"/>
        </w:rPr>
      </w:pPr>
      <w:r w:rsidRPr="00D50BD8">
        <w:rPr>
          <w:rFonts w:ascii="Calibri" w:hAnsi="Calibri"/>
          <w:b/>
        </w:rPr>
        <w:t>The significant investment in the Pacific region</w:t>
      </w:r>
      <w:r w:rsidR="00D50BD8">
        <w:rPr>
          <w:rFonts w:ascii="Calibri" w:hAnsi="Calibri"/>
          <w:b/>
        </w:rPr>
        <w:t xml:space="preserve"> envisaged in this design</w:t>
      </w:r>
      <w:r w:rsidR="00D50BD8" w:rsidRPr="00D50BD8">
        <w:rPr>
          <w:rFonts w:ascii="Calibri" w:hAnsi="Calibri"/>
          <w:b/>
        </w:rPr>
        <w:t xml:space="preserve"> </w:t>
      </w:r>
      <w:r w:rsidR="001B1FD0">
        <w:rPr>
          <w:rFonts w:ascii="Calibri" w:hAnsi="Calibri"/>
          <w:b/>
        </w:rPr>
        <w:t>reflects</w:t>
      </w:r>
      <w:r w:rsidR="001B1FD0" w:rsidRPr="00D50BD8">
        <w:rPr>
          <w:rFonts w:ascii="Calibri" w:hAnsi="Calibri"/>
          <w:b/>
        </w:rPr>
        <w:t xml:space="preserve"> </w:t>
      </w:r>
      <w:r w:rsidR="001B1FD0">
        <w:rPr>
          <w:rFonts w:ascii="Calibri" w:hAnsi="Calibri"/>
          <w:b/>
        </w:rPr>
        <w:t xml:space="preserve">DFAT’s policy focus as outlined in its (draft) Humanitarian Strategy. The increased investment under this partnership is </w:t>
      </w:r>
      <w:r w:rsidR="00D50BD8" w:rsidRPr="00D50BD8">
        <w:rPr>
          <w:rFonts w:ascii="Calibri" w:hAnsi="Calibri"/>
          <w:b/>
        </w:rPr>
        <w:t>both an opportunity and a risk</w:t>
      </w:r>
      <w:r w:rsidR="00D50BD8">
        <w:rPr>
          <w:rFonts w:ascii="Calibri" w:hAnsi="Calibri"/>
        </w:rPr>
        <w:t xml:space="preserve">. </w:t>
      </w:r>
      <w:r>
        <w:rPr>
          <w:rFonts w:ascii="Calibri" w:hAnsi="Calibri"/>
        </w:rPr>
        <w:t xml:space="preserve"> </w:t>
      </w:r>
      <w:r w:rsidR="00D50BD8">
        <w:rPr>
          <w:rFonts w:ascii="Calibri" w:hAnsi="Calibri"/>
        </w:rPr>
        <w:t xml:space="preserve">It presents an opportunity for </w:t>
      </w:r>
      <w:r w:rsidR="00D50BD8">
        <w:rPr>
          <w:rFonts w:ascii="Calibri" w:hAnsi="Calibri"/>
          <w:szCs w:val="20"/>
        </w:rPr>
        <w:t>DFAT</w:t>
      </w:r>
      <w:r w:rsidR="00D50BD8" w:rsidRPr="00641D0E">
        <w:rPr>
          <w:rFonts w:ascii="Calibri" w:hAnsi="Calibri"/>
        </w:rPr>
        <w:t xml:space="preserve"> to </w:t>
      </w:r>
      <w:r w:rsidR="000D2852">
        <w:rPr>
          <w:rFonts w:ascii="Calibri" w:hAnsi="Calibri"/>
        </w:rPr>
        <w:t>support a</w:t>
      </w:r>
      <w:r w:rsidR="00D50BD8" w:rsidRPr="00641D0E">
        <w:rPr>
          <w:rFonts w:ascii="Calibri" w:hAnsi="Calibri"/>
        </w:rPr>
        <w:t xml:space="preserve"> fit-for-</w:t>
      </w:r>
      <w:r w:rsidR="00D50BD8" w:rsidRPr="00D50BD8">
        <w:rPr>
          <w:rFonts w:ascii="Calibri" w:hAnsi="Calibri"/>
        </w:rPr>
        <w:t xml:space="preserve">purpose humanitarian system in the Pacific. However, </w:t>
      </w:r>
      <w:r w:rsidR="00E436B3">
        <w:rPr>
          <w:rFonts w:ascii="Calibri" w:hAnsi="Calibri"/>
        </w:rPr>
        <w:t>it also presents risks around ineffective coordination and duplication of effort resulting in limited impact. Further</w:t>
      </w:r>
      <w:r w:rsidR="00D50BD8" w:rsidRPr="00D50BD8">
        <w:rPr>
          <w:rFonts w:ascii="Calibri" w:hAnsi="Calibri"/>
        </w:rPr>
        <w:t xml:space="preserve"> work </w:t>
      </w:r>
      <w:r w:rsidR="00E436B3">
        <w:rPr>
          <w:rFonts w:ascii="Calibri" w:hAnsi="Calibri"/>
        </w:rPr>
        <w:t>is required to</w:t>
      </w:r>
      <w:r w:rsidR="00D50BD8" w:rsidRPr="00D50BD8">
        <w:rPr>
          <w:rFonts w:ascii="Calibri" w:hAnsi="Calibri"/>
        </w:rPr>
        <w:t xml:space="preserve"> identif</w:t>
      </w:r>
      <w:r w:rsidR="00E436B3">
        <w:rPr>
          <w:rFonts w:ascii="Calibri" w:hAnsi="Calibri"/>
        </w:rPr>
        <w:t>y</w:t>
      </w:r>
      <w:r w:rsidR="00D50BD8" w:rsidRPr="00D50BD8">
        <w:rPr>
          <w:rFonts w:ascii="Calibri" w:hAnsi="Calibri"/>
        </w:rPr>
        <w:t xml:space="preserve"> the specific contribution that this partnership can make</w:t>
      </w:r>
      <w:r w:rsidR="00D50BD8" w:rsidRPr="00D50BD8">
        <w:rPr>
          <w:rFonts w:ascii="Calibri" w:hAnsi="Calibri"/>
          <w:szCs w:val="20"/>
        </w:rPr>
        <w:t xml:space="preserve">. Critical to </w:t>
      </w:r>
      <w:r w:rsidR="007F1D78">
        <w:rPr>
          <w:rFonts w:ascii="Calibri" w:hAnsi="Calibri"/>
          <w:szCs w:val="20"/>
        </w:rPr>
        <w:t>this</w:t>
      </w:r>
      <w:r w:rsidR="00D50BD8" w:rsidRPr="00D50BD8">
        <w:rPr>
          <w:rFonts w:ascii="Calibri" w:hAnsi="Calibri"/>
          <w:szCs w:val="20"/>
        </w:rPr>
        <w:t xml:space="preserve"> effectiveness will be ensuring </w:t>
      </w:r>
      <w:r w:rsidR="00D50BD8">
        <w:rPr>
          <w:rFonts w:ascii="Calibri" w:hAnsi="Calibri"/>
          <w:szCs w:val="20"/>
        </w:rPr>
        <w:t xml:space="preserve">that </w:t>
      </w:r>
      <w:r w:rsidR="00D50BD8" w:rsidRPr="00D50BD8">
        <w:rPr>
          <w:rFonts w:ascii="Calibri" w:hAnsi="Calibri"/>
          <w:szCs w:val="20"/>
        </w:rPr>
        <w:t xml:space="preserve">programming </w:t>
      </w:r>
      <w:r w:rsidR="000D2852">
        <w:rPr>
          <w:rFonts w:ascii="Calibri" w:hAnsi="Calibri"/>
          <w:szCs w:val="20"/>
        </w:rPr>
        <w:t xml:space="preserve">under this partnership </w:t>
      </w:r>
      <w:r w:rsidR="00D50BD8" w:rsidRPr="00D50BD8">
        <w:rPr>
          <w:rFonts w:ascii="Calibri" w:hAnsi="Calibri"/>
        </w:rPr>
        <w:t>complements other DFAT investments in the region (</w:t>
      </w:r>
      <w:r w:rsidR="007F1D78">
        <w:rPr>
          <w:rFonts w:ascii="Calibri" w:hAnsi="Calibri"/>
        </w:rPr>
        <w:t>i.e.</w:t>
      </w:r>
      <w:r w:rsidR="00D50BD8" w:rsidRPr="00D50BD8">
        <w:rPr>
          <w:rFonts w:ascii="Calibri" w:hAnsi="Calibri"/>
        </w:rPr>
        <w:t xml:space="preserve"> through ANCP</w:t>
      </w:r>
      <w:r w:rsidR="001001AC">
        <w:rPr>
          <w:rStyle w:val="FootnoteReference"/>
        </w:rPr>
        <w:footnoteReference w:id="7"/>
      </w:r>
      <w:r w:rsidR="00D50BD8" w:rsidRPr="00D50BD8">
        <w:rPr>
          <w:rFonts w:ascii="Calibri" w:hAnsi="Calibri"/>
        </w:rPr>
        <w:t xml:space="preserve"> and bilateral and regional programs).</w:t>
      </w:r>
      <w:r w:rsidR="00E55D1C">
        <w:rPr>
          <w:rFonts w:ascii="Calibri" w:hAnsi="Calibri"/>
        </w:rPr>
        <w:t xml:space="preserve"> </w:t>
      </w:r>
      <w:r w:rsidR="00D50BD8">
        <w:rPr>
          <w:rFonts w:ascii="Calibri" w:hAnsi="Calibri"/>
          <w:b/>
        </w:rPr>
        <w:t>To mitigate these risks</w:t>
      </w:r>
      <w:r w:rsidR="00D50BD8" w:rsidRPr="00EB6A70">
        <w:rPr>
          <w:rFonts w:ascii="Calibri" w:hAnsi="Calibri"/>
          <w:b/>
        </w:rPr>
        <w:t>,</w:t>
      </w:r>
      <w:r w:rsidR="00D50BD8" w:rsidRPr="00D50BD8">
        <w:rPr>
          <w:rFonts w:ascii="Calibri" w:hAnsi="Calibri"/>
        </w:rPr>
        <w:t xml:space="preserve"> the design proposes </w:t>
      </w:r>
      <w:r w:rsidR="00E55D1C">
        <w:rPr>
          <w:rFonts w:ascii="Calibri" w:hAnsi="Calibri"/>
        </w:rPr>
        <w:t xml:space="preserve">investing in a collaborative ‘design and implement’ inception phase, starting small, and scaling up activities over time, based on effectiveness and lessons learned.  </w:t>
      </w:r>
    </w:p>
    <w:p w14:paraId="13F5C17F" w14:textId="77777777" w:rsidR="00EB6A70" w:rsidRPr="00A00184" w:rsidRDefault="00CC5276" w:rsidP="00A67DC0">
      <w:pPr>
        <w:spacing w:before="240" w:after="240"/>
        <w:jc w:val="both"/>
        <w:rPr>
          <w:b/>
          <w:color w:val="4F81BD" w:themeColor="accent1"/>
        </w:rPr>
      </w:pPr>
      <w:r w:rsidRPr="00A00184">
        <w:rPr>
          <w:b/>
          <w:color w:val="4F81BD" w:themeColor="accent1"/>
        </w:rPr>
        <w:t xml:space="preserve">Timeframe and </w:t>
      </w:r>
      <w:r w:rsidR="002C2343" w:rsidRPr="00A00184">
        <w:rPr>
          <w:b/>
          <w:color w:val="4F81BD" w:themeColor="accent1"/>
        </w:rPr>
        <w:t>R</w:t>
      </w:r>
      <w:r w:rsidRPr="00A00184">
        <w:rPr>
          <w:b/>
          <w:color w:val="4F81BD" w:themeColor="accent1"/>
        </w:rPr>
        <w:t xml:space="preserve">esource </w:t>
      </w:r>
      <w:r w:rsidR="002C2343" w:rsidRPr="00A00184">
        <w:rPr>
          <w:b/>
          <w:color w:val="4F81BD" w:themeColor="accent1"/>
        </w:rPr>
        <w:t>C</w:t>
      </w:r>
      <w:r w:rsidRPr="00A00184">
        <w:rPr>
          <w:b/>
          <w:color w:val="4F81BD" w:themeColor="accent1"/>
        </w:rPr>
        <w:t>ommitments</w:t>
      </w:r>
    </w:p>
    <w:p w14:paraId="560CE580" w14:textId="3CC8A9DC" w:rsidR="00EB6A70" w:rsidRPr="00521692" w:rsidRDefault="00EB6A70" w:rsidP="00A67DC0">
      <w:pPr>
        <w:keepNext/>
        <w:spacing w:after="120"/>
        <w:jc w:val="both"/>
        <w:rPr>
          <w:rFonts w:ascii="Calibri" w:eastAsia="Times New Roman" w:hAnsi="Calibri"/>
        </w:rPr>
      </w:pPr>
      <w:r w:rsidRPr="00123FA5">
        <w:rPr>
          <w:rFonts w:ascii="Calibri" w:eastAsia="Times New Roman" w:hAnsi="Calibri"/>
          <w:b/>
        </w:rPr>
        <w:t xml:space="preserve">The </w:t>
      </w:r>
      <w:r w:rsidR="00817EB5">
        <w:rPr>
          <w:rFonts w:ascii="Calibri" w:eastAsia="Times New Roman" w:hAnsi="Calibri"/>
          <w:b/>
        </w:rPr>
        <w:t>partnership</w:t>
      </w:r>
      <w:r w:rsidRPr="00123FA5">
        <w:rPr>
          <w:rFonts w:ascii="Calibri" w:eastAsia="Times New Roman" w:hAnsi="Calibri"/>
          <w:b/>
        </w:rPr>
        <w:t xml:space="preserve"> </w:t>
      </w:r>
      <w:r>
        <w:rPr>
          <w:rFonts w:ascii="Calibri" w:eastAsia="Times New Roman" w:hAnsi="Calibri"/>
          <w:b/>
        </w:rPr>
        <w:t xml:space="preserve">will operate </w:t>
      </w:r>
      <w:r w:rsidRPr="00123FA5">
        <w:rPr>
          <w:rFonts w:ascii="Calibri" w:eastAsia="Times New Roman" w:hAnsi="Calibri"/>
          <w:b/>
        </w:rPr>
        <w:t>over 5 years (2016-2021)</w:t>
      </w:r>
      <w:r w:rsidR="00521692">
        <w:rPr>
          <w:rFonts w:ascii="Calibri" w:eastAsia="Times New Roman" w:hAnsi="Calibri"/>
          <w:b/>
        </w:rPr>
        <w:t xml:space="preserve"> and </w:t>
      </w:r>
      <w:r w:rsidR="00C50F92">
        <w:rPr>
          <w:rFonts w:ascii="Calibri" w:eastAsia="Times New Roman" w:hAnsi="Calibri"/>
          <w:b/>
        </w:rPr>
        <w:t xml:space="preserve">with an indicative allocation of </w:t>
      </w:r>
      <w:r w:rsidRPr="00521692">
        <w:rPr>
          <w:rFonts w:ascii="Calibri" w:eastAsia="Times New Roman" w:hAnsi="Calibri"/>
          <w:b/>
        </w:rPr>
        <w:t xml:space="preserve">AUD </w:t>
      </w:r>
      <w:r w:rsidR="0082594B" w:rsidRPr="00521692">
        <w:rPr>
          <w:rFonts w:ascii="Calibri" w:eastAsia="Times New Roman" w:hAnsi="Calibri"/>
          <w:b/>
        </w:rPr>
        <w:t>5</w:t>
      </w:r>
      <w:r w:rsidR="0082594B">
        <w:rPr>
          <w:rFonts w:ascii="Calibri" w:eastAsia="Times New Roman" w:hAnsi="Calibri"/>
          <w:b/>
        </w:rPr>
        <w:t>0</w:t>
      </w:r>
      <w:r w:rsidRPr="00521692">
        <w:rPr>
          <w:rFonts w:ascii="Calibri" w:eastAsia="Times New Roman" w:hAnsi="Calibri"/>
          <w:b/>
        </w:rPr>
        <w:t>million</w:t>
      </w:r>
      <w:r w:rsidR="00C50F92">
        <w:rPr>
          <w:rFonts w:ascii="Calibri" w:eastAsia="Times New Roman" w:hAnsi="Calibri"/>
          <w:b/>
        </w:rPr>
        <w:t xml:space="preserve"> (TBC)</w:t>
      </w:r>
      <w:r>
        <w:rPr>
          <w:rFonts w:ascii="Calibri" w:eastAsia="Times New Roman" w:hAnsi="Calibri"/>
        </w:rPr>
        <w:t>.</w:t>
      </w:r>
      <w:r w:rsidR="007F1D78">
        <w:rPr>
          <w:rFonts w:ascii="Calibri" w:eastAsia="Times New Roman" w:hAnsi="Calibri"/>
        </w:rPr>
        <w:t xml:space="preserve"> (</w:t>
      </w:r>
      <w:r w:rsidR="00521692">
        <w:rPr>
          <w:rFonts w:ascii="Calibri" w:eastAsia="Times New Roman" w:hAnsi="Calibri"/>
        </w:rPr>
        <w:t xml:space="preserve">See </w:t>
      </w:r>
      <w:r w:rsidR="00521692" w:rsidRPr="000D00BE">
        <w:rPr>
          <w:rFonts w:ascii="Calibri" w:eastAsia="Times New Roman" w:hAnsi="Calibri"/>
        </w:rPr>
        <w:t xml:space="preserve">page </w:t>
      </w:r>
      <w:r w:rsidR="00AC79B6">
        <w:rPr>
          <w:rFonts w:ascii="Calibri" w:eastAsia="Times New Roman" w:hAnsi="Calibri"/>
        </w:rPr>
        <w:t>3</w:t>
      </w:r>
      <w:r w:rsidR="003D57AA">
        <w:rPr>
          <w:rFonts w:ascii="Calibri" w:eastAsia="Times New Roman" w:hAnsi="Calibri"/>
        </w:rPr>
        <w:t>0</w:t>
      </w:r>
      <w:r w:rsidR="00521692">
        <w:rPr>
          <w:rFonts w:ascii="Calibri" w:eastAsia="Times New Roman" w:hAnsi="Calibri"/>
        </w:rPr>
        <w:t xml:space="preserve"> for budget breakdown).</w:t>
      </w:r>
      <w:r w:rsidR="00E55D1C">
        <w:rPr>
          <w:rFonts w:ascii="Calibri" w:eastAsia="Times New Roman" w:hAnsi="Calibri"/>
        </w:rPr>
        <w:t xml:space="preserve"> </w:t>
      </w:r>
      <w:r w:rsidRPr="00E55D1C">
        <w:rPr>
          <w:rFonts w:ascii="Calibri" w:eastAsia="Times New Roman" w:hAnsi="Calibri"/>
          <w:b/>
        </w:rPr>
        <w:t xml:space="preserve">Funding for </w:t>
      </w:r>
      <w:r w:rsidR="00521692" w:rsidRPr="00E55D1C">
        <w:rPr>
          <w:rFonts w:ascii="Calibri" w:eastAsia="Times New Roman" w:hAnsi="Calibri"/>
          <w:b/>
        </w:rPr>
        <w:t xml:space="preserve">specific humanitarian </w:t>
      </w:r>
      <w:r w:rsidRPr="00E55D1C">
        <w:rPr>
          <w:rFonts w:ascii="Calibri" w:eastAsia="Times New Roman" w:hAnsi="Calibri"/>
          <w:b/>
        </w:rPr>
        <w:t xml:space="preserve">responses </w:t>
      </w:r>
      <w:r w:rsidR="00E55D1C" w:rsidRPr="00E55D1C">
        <w:rPr>
          <w:rFonts w:ascii="Calibri" w:eastAsia="Times New Roman" w:hAnsi="Calibri"/>
          <w:b/>
        </w:rPr>
        <w:t>will be additional</w:t>
      </w:r>
      <w:r w:rsidR="00C50F92">
        <w:rPr>
          <w:rFonts w:ascii="Calibri" w:eastAsia="Times New Roman" w:hAnsi="Calibri"/>
        </w:rPr>
        <w:t xml:space="preserve"> to core </w:t>
      </w:r>
      <w:r w:rsidR="00E55D1C" w:rsidRPr="00521692">
        <w:rPr>
          <w:rFonts w:ascii="Calibri" w:eastAsia="Times New Roman" w:hAnsi="Calibri"/>
        </w:rPr>
        <w:t>funding</w:t>
      </w:r>
      <w:r w:rsidR="00E55D1C">
        <w:rPr>
          <w:rFonts w:ascii="Calibri" w:eastAsia="Times New Roman" w:hAnsi="Calibri"/>
        </w:rPr>
        <w:t xml:space="preserve">. </w:t>
      </w:r>
      <w:r w:rsidR="00E55D1C" w:rsidRPr="00521692">
        <w:rPr>
          <w:rFonts w:ascii="Calibri" w:eastAsia="Times New Roman" w:hAnsi="Calibri"/>
        </w:rPr>
        <w:t xml:space="preserve"> </w:t>
      </w:r>
    </w:p>
    <w:p w14:paraId="47CD3A76" w14:textId="0F612D96" w:rsidR="007F1D78" w:rsidRPr="00871F47" w:rsidRDefault="007F1D78" w:rsidP="00A67DC0">
      <w:pPr>
        <w:spacing w:after="120"/>
        <w:jc w:val="both"/>
        <w:rPr>
          <w:rFonts w:eastAsiaTheme="majorEastAsia" w:cstheme="majorBidi"/>
          <w:b/>
          <w:bCs/>
          <w:color w:val="4F81BD" w:themeColor="accent1"/>
        </w:rPr>
      </w:pPr>
      <w:r w:rsidRPr="007E20DC">
        <w:rPr>
          <w:rFonts w:ascii="Calibri" w:hAnsi="Calibri"/>
          <w:b/>
        </w:rPr>
        <w:t xml:space="preserve">Value for money </w:t>
      </w:r>
      <w:r w:rsidRPr="00AD7042">
        <w:rPr>
          <w:rFonts w:ascii="Calibri" w:hAnsi="Calibri"/>
        </w:rPr>
        <w:t>will be maximised by leveraging existing arrangements</w:t>
      </w:r>
      <w:r w:rsidR="004D1C94" w:rsidRPr="00AD7042">
        <w:rPr>
          <w:rFonts w:ascii="Calibri" w:hAnsi="Calibri"/>
        </w:rPr>
        <w:t>, improving coordination between partners (including through joint activities) and avoiding</w:t>
      </w:r>
      <w:r w:rsidR="004D1C94">
        <w:rPr>
          <w:rFonts w:ascii="Calibri" w:hAnsi="Calibri"/>
          <w:b/>
        </w:rPr>
        <w:t xml:space="preserve"> </w:t>
      </w:r>
      <w:r>
        <w:rPr>
          <w:rFonts w:ascii="Calibri" w:hAnsi="Calibri"/>
        </w:rPr>
        <w:t xml:space="preserve">duplication of </w:t>
      </w:r>
      <w:r w:rsidR="004D1C94">
        <w:rPr>
          <w:rFonts w:ascii="Calibri" w:hAnsi="Calibri"/>
        </w:rPr>
        <w:t>investments. These elements, combined with a focus on strengthening local actors, will produce better programming.</w:t>
      </w:r>
      <w:r>
        <w:rPr>
          <w:rFonts w:ascii="Calibri" w:hAnsi="Calibri"/>
        </w:rPr>
        <w:t xml:space="preserve"> </w:t>
      </w:r>
    </w:p>
    <w:p w14:paraId="2748AE57" w14:textId="1BE2F5FA" w:rsidR="009B11CA" w:rsidRDefault="00521692" w:rsidP="00A67DC0">
      <w:pPr>
        <w:spacing w:after="120"/>
        <w:jc w:val="both"/>
        <w:rPr>
          <w:rFonts w:ascii="Calibri" w:hAnsi="Calibri"/>
        </w:rPr>
      </w:pPr>
      <w:r w:rsidRPr="00EF3E39">
        <w:rPr>
          <w:rFonts w:ascii="Calibri" w:hAnsi="Calibri"/>
          <w:b/>
        </w:rPr>
        <w:t xml:space="preserve">The investment </w:t>
      </w:r>
      <w:r w:rsidR="0082594B">
        <w:rPr>
          <w:rFonts w:ascii="Calibri" w:hAnsi="Calibri"/>
          <w:b/>
        </w:rPr>
        <w:t xml:space="preserve">will be supported </w:t>
      </w:r>
      <w:r w:rsidR="0082594B" w:rsidRPr="00032FC5">
        <w:rPr>
          <w:rFonts w:ascii="Calibri" w:hAnsi="Calibri"/>
          <w:b/>
        </w:rPr>
        <w:t>by</w:t>
      </w:r>
      <w:r w:rsidRPr="00032FC5">
        <w:rPr>
          <w:rFonts w:ascii="Calibri" w:hAnsi="Calibri"/>
          <w:b/>
        </w:rPr>
        <w:t xml:space="preserve"> the establishment of a small unit</w:t>
      </w:r>
      <w:r w:rsidRPr="00EF3E39">
        <w:rPr>
          <w:rFonts w:ascii="Calibri" w:hAnsi="Calibri"/>
        </w:rPr>
        <w:t xml:space="preserve"> to </w:t>
      </w:r>
      <w:r w:rsidR="00AD7042">
        <w:rPr>
          <w:rFonts w:ascii="Calibri" w:hAnsi="Calibri"/>
        </w:rPr>
        <w:t>assist</w:t>
      </w:r>
      <w:r w:rsidRPr="00EF3E39">
        <w:rPr>
          <w:rFonts w:ascii="Calibri" w:hAnsi="Calibri"/>
        </w:rPr>
        <w:t xml:space="preserve"> the ongoing functioning of the partnership and its components.</w:t>
      </w:r>
      <w:r>
        <w:rPr>
          <w:rFonts w:ascii="Calibri" w:hAnsi="Calibri"/>
        </w:rPr>
        <w:t xml:space="preserve"> </w:t>
      </w:r>
      <w:r w:rsidR="00E55D1C" w:rsidRPr="00641D0E">
        <w:rPr>
          <w:rFonts w:ascii="Calibri" w:hAnsi="Calibri"/>
        </w:rPr>
        <w:t xml:space="preserve">The </w:t>
      </w:r>
      <w:r w:rsidR="00E55D1C" w:rsidRPr="00032FC5">
        <w:rPr>
          <w:rFonts w:ascii="Calibri" w:hAnsi="Calibri"/>
        </w:rPr>
        <w:t xml:space="preserve">Support </w:t>
      </w:r>
      <w:r w:rsidR="003A0A38" w:rsidRPr="00032FC5">
        <w:rPr>
          <w:rFonts w:ascii="Calibri" w:hAnsi="Calibri"/>
        </w:rPr>
        <w:t>U</w:t>
      </w:r>
      <w:r w:rsidR="00E55D1C" w:rsidRPr="00032FC5">
        <w:rPr>
          <w:rFonts w:ascii="Calibri" w:hAnsi="Calibri"/>
        </w:rPr>
        <w:t>nit</w:t>
      </w:r>
      <w:r w:rsidR="00E55D1C" w:rsidRPr="00641D0E">
        <w:rPr>
          <w:rFonts w:ascii="Calibri" w:hAnsi="Calibri"/>
        </w:rPr>
        <w:t xml:space="preserve"> will be staffed by three people</w:t>
      </w:r>
      <w:r w:rsidR="00E55D1C">
        <w:rPr>
          <w:rFonts w:ascii="Calibri" w:hAnsi="Calibri"/>
        </w:rPr>
        <w:t xml:space="preserve"> (a </w:t>
      </w:r>
      <w:r w:rsidR="003C4CE7">
        <w:rPr>
          <w:rFonts w:ascii="Calibri" w:hAnsi="Calibri"/>
        </w:rPr>
        <w:t xml:space="preserve">Partnership </w:t>
      </w:r>
      <w:r w:rsidR="00E55D1C">
        <w:rPr>
          <w:rFonts w:ascii="Calibri" w:hAnsi="Calibri"/>
        </w:rPr>
        <w:t>Director; a Monitoring</w:t>
      </w:r>
      <w:r w:rsidR="00E55D1C" w:rsidRPr="00641D0E">
        <w:rPr>
          <w:rFonts w:ascii="Calibri" w:hAnsi="Calibri"/>
        </w:rPr>
        <w:t>,</w:t>
      </w:r>
      <w:r w:rsidR="00E55D1C">
        <w:rPr>
          <w:rFonts w:ascii="Calibri" w:hAnsi="Calibri"/>
        </w:rPr>
        <w:t xml:space="preserve"> </w:t>
      </w:r>
      <w:r w:rsidR="00635A68">
        <w:rPr>
          <w:rFonts w:ascii="Calibri" w:hAnsi="Calibri"/>
        </w:rPr>
        <w:t>Evaluation</w:t>
      </w:r>
      <w:r w:rsidR="00E55D1C">
        <w:rPr>
          <w:rFonts w:ascii="Calibri" w:hAnsi="Calibri"/>
        </w:rPr>
        <w:t xml:space="preserve"> and Learning Officer; and a Communications</w:t>
      </w:r>
      <w:r w:rsidR="00DC08A1">
        <w:rPr>
          <w:rFonts w:ascii="Calibri" w:hAnsi="Calibri"/>
        </w:rPr>
        <w:t>/Support</w:t>
      </w:r>
      <w:r w:rsidR="00E55D1C">
        <w:rPr>
          <w:rFonts w:ascii="Calibri" w:hAnsi="Calibri"/>
        </w:rPr>
        <w:t xml:space="preserve"> Officer), and </w:t>
      </w:r>
      <w:r w:rsidR="00DC08A1">
        <w:rPr>
          <w:rFonts w:ascii="Calibri" w:hAnsi="Calibri"/>
        </w:rPr>
        <w:t xml:space="preserve">will </w:t>
      </w:r>
      <w:r w:rsidR="00E55D1C">
        <w:rPr>
          <w:rFonts w:ascii="Calibri" w:hAnsi="Calibri"/>
        </w:rPr>
        <w:t>have</w:t>
      </w:r>
      <w:r w:rsidR="00E55D1C" w:rsidRPr="00641D0E">
        <w:rPr>
          <w:rFonts w:ascii="Calibri" w:hAnsi="Calibri"/>
        </w:rPr>
        <w:t xml:space="preserve"> access to external technical expertise. </w:t>
      </w:r>
    </w:p>
    <w:p w14:paraId="2A55018B" w14:textId="77777777" w:rsidR="00A977AD" w:rsidRPr="00A72816" w:rsidRDefault="00477762" w:rsidP="00A67DC0">
      <w:pPr>
        <w:pStyle w:val="Heading1"/>
        <w:jc w:val="both"/>
      </w:pPr>
      <w:bookmarkStart w:id="10" w:name="_Toc448777794"/>
      <w:r w:rsidRPr="00A72816">
        <w:lastRenderedPageBreak/>
        <w:t>2. Analysis and Strategic Context</w:t>
      </w:r>
      <w:bookmarkEnd w:id="10"/>
      <w:r w:rsidRPr="00A72816">
        <w:t xml:space="preserve"> </w:t>
      </w:r>
    </w:p>
    <w:p w14:paraId="1A290558" w14:textId="77777777" w:rsidR="00A977AD" w:rsidRPr="007157F7" w:rsidRDefault="00A977AD" w:rsidP="00A67DC0">
      <w:pPr>
        <w:pStyle w:val="Heading2"/>
        <w:spacing w:after="240"/>
        <w:jc w:val="both"/>
        <w:rPr>
          <w:sz w:val="24"/>
          <w:szCs w:val="24"/>
        </w:rPr>
      </w:pPr>
      <w:bookmarkStart w:id="11" w:name="_Toc448777795"/>
      <w:r w:rsidRPr="007157F7">
        <w:rPr>
          <w:sz w:val="24"/>
          <w:szCs w:val="24"/>
        </w:rPr>
        <w:t>Global and Regional Context</w:t>
      </w:r>
      <w:bookmarkEnd w:id="11"/>
    </w:p>
    <w:p w14:paraId="32BEBE43" w14:textId="77777777" w:rsidR="00A977AD" w:rsidRPr="00A977AD" w:rsidRDefault="00A977AD" w:rsidP="00A67DC0">
      <w:pPr>
        <w:shd w:val="clear" w:color="auto" w:fill="FFFFFF"/>
        <w:spacing w:after="240"/>
        <w:jc w:val="both"/>
        <w:rPr>
          <w:rFonts w:ascii="Calibri" w:hAnsi="Calibri"/>
        </w:rPr>
      </w:pPr>
      <w:r w:rsidRPr="00A977AD">
        <w:rPr>
          <w:rFonts w:ascii="Calibri" w:hAnsi="Calibri"/>
          <w:b/>
        </w:rPr>
        <w:t>Humanitarian action</w:t>
      </w:r>
      <w:r w:rsidRPr="00A977AD">
        <w:rPr>
          <w:rFonts w:ascii="Calibri" w:hAnsi="Calibri"/>
        </w:rPr>
        <w:t xml:space="preserve"> is designed to save lives, alleviate suffering and maintain and protect human dignity during and in the aftermath of emergencies.  </w:t>
      </w:r>
    </w:p>
    <w:p w14:paraId="5A95DA25" w14:textId="77777777" w:rsidR="00A977AD" w:rsidRPr="00A977AD" w:rsidRDefault="00A977AD" w:rsidP="00A67DC0">
      <w:pPr>
        <w:spacing w:after="240"/>
        <w:jc w:val="both"/>
        <w:rPr>
          <w:rFonts w:ascii="Calibri" w:hAnsi="Calibri"/>
        </w:rPr>
      </w:pPr>
      <w:r w:rsidRPr="00A977AD">
        <w:rPr>
          <w:rFonts w:ascii="Calibri" w:hAnsi="Calibri"/>
          <w:b/>
        </w:rPr>
        <w:t>Globally, humanitarian needs continue to increase</w:t>
      </w:r>
      <w:r w:rsidRPr="00A977AD">
        <w:rPr>
          <w:rFonts w:ascii="Calibri" w:hAnsi="Calibri"/>
        </w:rPr>
        <w:t xml:space="preserve">: over 58 million people (the highest number to-date) were reportedly forced to flee from violence or persecution in 2014, and a further 107.3 million people were affected by natural </w:t>
      </w:r>
      <w:r w:rsidR="00DB687F">
        <w:rPr>
          <w:rFonts w:ascii="Calibri" w:hAnsi="Calibri"/>
        </w:rPr>
        <w:t>hazards</w:t>
      </w:r>
      <w:r w:rsidRPr="00A977AD">
        <w:rPr>
          <w:rFonts w:ascii="Calibri" w:hAnsi="Calibri"/>
        </w:rPr>
        <w:t>.</w:t>
      </w:r>
      <w:r w:rsidRPr="00A977AD">
        <w:rPr>
          <w:rStyle w:val="FootnoteReference"/>
          <w:rFonts w:cs="Times New Roman"/>
          <w:szCs w:val="16"/>
        </w:rPr>
        <w:footnoteReference w:id="8"/>
      </w:r>
      <w:r w:rsidRPr="00A977AD">
        <w:rPr>
          <w:rFonts w:ascii="Calibri" w:hAnsi="Calibri"/>
        </w:rPr>
        <w:t xml:space="preserve"> And while global international humanitarian assistance increased by 19% in 2014</w:t>
      </w:r>
      <w:r w:rsidRPr="00A977AD">
        <w:rPr>
          <w:rStyle w:val="FootnoteReference"/>
          <w:rFonts w:cs="Times New Roman"/>
          <w:szCs w:val="16"/>
        </w:rPr>
        <w:footnoteReference w:id="9"/>
      </w:r>
      <w:r w:rsidRPr="00A977AD">
        <w:rPr>
          <w:rFonts w:ascii="Calibri" w:hAnsi="Calibri"/>
        </w:rPr>
        <w:t>, a large funding gap remains. UN-coordinated appeals, for example, failed to meet their requirements, revealing a global shortfall of USD 7.5 billion (38%) - the highest funding gap yet.</w:t>
      </w:r>
      <w:r w:rsidRPr="00A977AD">
        <w:rPr>
          <w:rStyle w:val="FootnoteReference"/>
          <w:rFonts w:cs="Times New Roman"/>
          <w:szCs w:val="16"/>
        </w:rPr>
        <w:footnoteReference w:id="10"/>
      </w:r>
      <w:r w:rsidRPr="00A977AD">
        <w:rPr>
          <w:rStyle w:val="FootnoteReference"/>
          <w:rFonts w:ascii="Calibri" w:hAnsi="Calibri"/>
          <w:sz w:val="24"/>
          <w:szCs w:val="24"/>
        </w:rPr>
        <w:t xml:space="preserve">  </w:t>
      </w:r>
    </w:p>
    <w:p w14:paraId="41DE940F" w14:textId="77777777" w:rsidR="00A977AD" w:rsidRPr="00A977AD" w:rsidRDefault="00A977AD" w:rsidP="00A67DC0">
      <w:pPr>
        <w:spacing w:after="240"/>
        <w:jc w:val="both"/>
        <w:rPr>
          <w:rFonts w:ascii="Calibri" w:hAnsi="Calibri"/>
        </w:rPr>
      </w:pPr>
      <w:r w:rsidRPr="00A977AD">
        <w:rPr>
          <w:rFonts w:ascii="Calibri" w:hAnsi="Calibri"/>
          <w:b/>
        </w:rPr>
        <w:t>Developing countries, and the poor, are disproportionately affected by disasters</w:t>
      </w:r>
      <w:r w:rsidRPr="00A977AD">
        <w:rPr>
          <w:rFonts w:ascii="Calibri" w:hAnsi="Calibri"/>
        </w:rPr>
        <w:t>. Recent estimates suggest that 93% of people living in extreme poverty are in countries that are either “politically fragile, environmentally vulnerable or both”.</w:t>
      </w:r>
      <w:r w:rsidRPr="00A977AD">
        <w:rPr>
          <w:rStyle w:val="FootnoteReference"/>
          <w:rFonts w:cs="Times New Roman"/>
          <w:szCs w:val="16"/>
        </w:rPr>
        <w:footnoteReference w:id="11"/>
      </w:r>
      <w:r w:rsidRPr="00A977AD">
        <w:rPr>
          <w:rStyle w:val="FootnoteReference"/>
          <w:rFonts w:ascii="Calibri" w:hAnsi="Calibri"/>
          <w:sz w:val="24"/>
          <w:szCs w:val="24"/>
        </w:rPr>
        <w:t xml:space="preserve"> </w:t>
      </w:r>
      <w:r w:rsidRPr="00A977AD">
        <w:rPr>
          <w:rFonts w:ascii="Calibri" w:hAnsi="Calibri"/>
        </w:rPr>
        <w:t xml:space="preserve"> Conflict and natural </w:t>
      </w:r>
      <w:r w:rsidR="00DB687F">
        <w:rPr>
          <w:rFonts w:ascii="Calibri" w:hAnsi="Calibri"/>
        </w:rPr>
        <w:t>hazards</w:t>
      </w:r>
      <w:r w:rsidR="00DB687F" w:rsidRPr="00A977AD">
        <w:rPr>
          <w:rFonts w:ascii="Calibri" w:hAnsi="Calibri"/>
        </w:rPr>
        <w:t xml:space="preserve"> </w:t>
      </w:r>
      <w:r w:rsidRPr="00A977AD">
        <w:rPr>
          <w:rFonts w:ascii="Calibri" w:hAnsi="Calibri"/>
        </w:rPr>
        <w:t xml:space="preserve">destroy lives and livelihoods, and undermine economic growth. Estimated economic losses due to natural </w:t>
      </w:r>
      <w:r w:rsidR="00DB687F">
        <w:rPr>
          <w:rFonts w:ascii="Calibri" w:hAnsi="Calibri"/>
        </w:rPr>
        <w:t>hazards</w:t>
      </w:r>
      <w:r w:rsidR="00DB687F" w:rsidRPr="00A977AD">
        <w:rPr>
          <w:rFonts w:ascii="Calibri" w:hAnsi="Calibri"/>
        </w:rPr>
        <w:t xml:space="preserve"> </w:t>
      </w:r>
      <w:r w:rsidRPr="00A977AD">
        <w:rPr>
          <w:rFonts w:ascii="Calibri" w:hAnsi="Calibri"/>
        </w:rPr>
        <w:t>worldwide “may now be as high as USD 300 billion a year”.</w:t>
      </w:r>
      <w:r w:rsidRPr="00A977AD">
        <w:rPr>
          <w:rStyle w:val="FootnoteReference"/>
          <w:rFonts w:cs="Times New Roman"/>
          <w:szCs w:val="16"/>
        </w:rPr>
        <w:footnoteReference w:id="12"/>
      </w:r>
    </w:p>
    <w:p w14:paraId="12E2DC64" w14:textId="77777777" w:rsidR="00A977AD" w:rsidRPr="00A977AD" w:rsidRDefault="00B80E8A" w:rsidP="00A67DC0">
      <w:pPr>
        <w:spacing w:after="240"/>
        <w:jc w:val="both"/>
        <w:rPr>
          <w:rFonts w:ascii="Calibri" w:hAnsi="Calibri"/>
        </w:rPr>
      </w:pPr>
      <w:r>
        <w:rPr>
          <w:rFonts w:ascii="Calibri" w:hAnsi="Calibri"/>
          <w:b/>
        </w:rPr>
        <w:t>T</w:t>
      </w:r>
      <w:r w:rsidR="00A977AD" w:rsidRPr="00A977AD">
        <w:rPr>
          <w:rFonts w:ascii="Calibri" w:hAnsi="Calibri"/>
          <w:b/>
        </w:rPr>
        <w:t xml:space="preserve">he Indo-Pacific is one of the most </w:t>
      </w:r>
      <w:r w:rsidR="00AB14F2">
        <w:rPr>
          <w:rFonts w:ascii="Calibri" w:hAnsi="Calibri"/>
          <w:b/>
        </w:rPr>
        <w:t>hazard-</w:t>
      </w:r>
      <w:r w:rsidR="00A977AD" w:rsidRPr="00A977AD">
        <w:rPr>
          <w:rFonts w:ascii="Calibri" w:hAnsi="Calibri"/>
          <w:b/>
        </w:rPr>
        <w:t>prone regions in the world.</w:t>
      </w:r>
      <w:r w:rsidR="00133E1B" w:rsidRPr="00E436B3">
        <w:rPr>
          <w:rStyle w:val="FootnoteReference"/>
        </w:rPr>
        <w:footnoteReference w:id="13"/>
      </w:r>
      <w:r w:rsidR="00A977AD" w:rsidRPr="00A977AD">
        <w:rPr>
          <w:rFonts w:ascii="Calibri" w:hAnsi="Calibri"/>
          <w:b/>
        </w:rPr>
        <w:t xml:space="preserve"> </w:t>
      </w:r>
      <w:r w:rsidR="00A977AD" w:rsidRPr="00A977AD">
        <w:rPr>
          <w:rFonts w:ascii="Calibri" w:hAnsi="Calibri"/>
        </w:rPr>
        <w:t xml:space="preserve">Population growth, unplanned and rapid urbanisation, climate-related changes, and environmental degradation are contributing to increasing disaster risks in our region. </w:t>
      </w:r>
    </w:p>
    <w:p w14:paraId="242DB31C" w14:textId="77777777" w:rsidR="00A977AD" w:rsidRPr="00A977AD" w:rsidRDefault="00A977AD" w:rsidP="00A67DC0">
      <w:pPr>
        <w:shd w:val="clear" w:color="auto" w:fill="FFFFFF"/>
        <w:spacing w:after="240"/>
        <w:jc w:val="both"/>
        <w:rPr>
          <w:rFonts w:ascii="Calibri" w:hAnsi="Calibri"/>
        </w:rPr>
      </w:pPr>
      <w:r w:rsidRPr="00A977AD">
        <w:rPr>
          <w:rFonts w:ascii="Calibri" w:hAnsi="Calibri"/>
          <w:b/>
        </w:rPr>
        <w:t xml:space="preserve">Pacific island nations are particularly vulnerable. </w:t>
      </w:r>
      <w:r w:rsidRPr="00A977AD">
        <w:rPr>
          <w:rFonts w:ascii="Calibri" w:hAnsi="Calibri"/>
        </w:rPr>
        <w:t xml:space="preserve">Four of the top 10 countries listed on the </w:t>
      </w:r>
      <w:r w:rsidRPr="00A977AD">
        <w:rPr>
          <w:rFonts w:ascii="Calibri" w:hAnsi="Calibri"/>
          <w:i/>
        </w:rPr>
        <w:t>2014 United Nations World Risk Index</w:t>
      </w:r>
      <w:r w:rsidRPr="00A977AD">
        <w:rPr>
          <w:rFonts w:ascii="Calibri" w:hAnsi="Calibri"/>
        </w:rPr>
        <w:t xml:space="preserve"> – which ranks countries’ risk of being subject to natural </w:t>
      </w:r>
      <w:r w:rsidR="00DB687F">
        <w:rPr>
          <w:rFonts w:ascii="Calibri" w:hAnsi="Calibri"/>
        </w:rPr>
        <w:t>hazards</w:t>
      </w:r>
      <w:r w:rsidR="00DB687F" w:rsidRPr="00A977AD">
        <w:rPr>
          <w:rFonts w:ascii="Calibri" w:hAnsi="Calibri"/>
        </w:rPr>
        <w:t xml:space="preserve"> </w:t>
      </w:r>
      <w:r w:rsidRPr="00A977AD">
        <w:rPr>
          <w:rFonts w:ascii="Calibri" w:hAnsi="Calibri"/>
        </w:rPr>
        <w:t xml:space="preserve">– are Pacific island nations (Vanuatu is 1st – with the greatest risk of natural </w:t>
      </w:r>
      <w:r w:rsidR="00DB687F">
        <w:rPr>
          <w:rFonts w:ascii="Calibri" w:hAnsi="Calibri"/>
        </w:rPr>
        <w:t>hazards</w:t>
      </w:r>
      <w:r w:rsidR="00DB687F" w:rsidRPr="00A977AD">
        <w:rPr>
          <w:rFonts w:ascii="Calibri" w:hAnsi="Calibri"/>
        </w:rPr>
        <w:t xml:space="preserve"> </w:t>
      </w:r>
      <w:r w:rsidRPr="00A977AD">
        <w:rPr>
          <w:rFonts w:ascii="Calibri" w:hAnsi="Calibri"/>
        </w:rPr>
        <w:t xml:space="preserve">worldwide – Tonga is 3rd, Solomon Islands 6th, PNG 10th).  And while the Pacific has relatively small numbers of people affected by different types of </w:t>
      </w:r>
      <w:r w:rsidR="00AB14F2">
        <w:rPr>
          <w:rFonts w:ascii="Calibri" w:hAnsi="Calibri"/>
        </w:rPr>
        <w:t>hazards</w:t>
      </w:r>
      <w:r w:rsidR="00AB14F2" w:rsidRPr="00A977AD">
        <w:rPr>
          <w:rFonts w:ascii="Calibri" w:hAnsi="Calibri"/>
        </w:rPr>
        <w:t xml:space="preserve"> </w:t>
      </w:r>
      <w:r w:rsidRPr="00A977AD">
        <w:rPr>
          <w:rFonts w:ascii="Calibri" w:hAnsi="Calibri"/>
        </w:rPr>
        <w:t>compared to other regions, the economic pressure in recovering is often disproportionate to the economic capacity of many Pacific island countries.</w:t>
      </w:r>
      <w:r w:rsidRPr="00A977AD">
        <w:rPr>
          <w:rStyle w:val="FootnoteReference"/>
          <w:rFonts w:cs="Times New Roman"/>
          <w:szCs w:val="16"/>
        </w:rPr>
        <w:footnoteReference w:id="14"/>
      </w:r>
    </w:p>
    <w:p w14:paraId="083CF74B" w14:textId="77777777" w:rsidR="00A977AD" w:rsidRPr="0056050A" w:rsidRDefault="00A977AD" w:rsidP="00A67DC0">
      <w:pPr>
        <w:shd w:val="clear" w:color="auto" w:fill="FFFFFF"/>
        <w:spacing w:after="240"/>
        <w:jc w:val="both"/>
        <w:rPr>
          <w:rFonts w:ascii="Calibri" w:hAnsi="Calibri"/>
        </w:rPr>
      </w:pPr>
      <w:r w:rsidRPr="00A977AD">
        <w:rPr>
          <w:rFonts w:ascii="Calibri" w:hAnsi="Calibri"/>
          <w:b/>
        </w:rPr>
        <w:t xml:space="preserve">Australia is susceptible to </w:t>
      </w:r>
      <w:r w:rsidR="00AB14F2">
        <w:rPr>
          <w:rFonts w:ascii="Calibri" w:hAnsi="Calibri"/>
          <w:b/>
        </w:rPr>
        <w:t>natural hazards</w:t>
      </w:r>
      <w:r w:rsidR="00AB14F2" w:rsidRPr="00A977AD">
        <w:rPr>
          <w:rFonts w:ascii="Calibri" w:hAnsi="Calibri"/>
          <w:b/>
        </w:rPr>
        <w:t xml:space="preserve"> </w:t>
      </w:r>
      <w:r w:rsidRPr="00A977AD">
        <w:rPr>
          <w:rFonts w:ascii="Calibri" w:hAnsi="Calibri"/>
          <w:b/>
        </w:rPr>
        <w:t xml:space="preserve">and </w:t>
      </w:r>
      <w:r w:rsidR="00E436B3">
        <w:rPr>
          <w:rFonts w:ascii="Calibri" w:hAnsi="Calibri"/>
          <w:b/>
        </w:rPr>
        <w:t>is</w:t>
      </w:r>
      <w:r w:rsidRPr="00A977AD">
        <w:rPr>
          <w:rFonts w:ascii="Calibri" w:hAnsi="Calibri"/>
          <w:b/>
        </w:rPr>
        <w:t xml:space="preserve"> recognised globally for </w:t>
      </w:r>
      <w:r w:rsidR="00E436B3">
        <w:rPr>
          <w:rFonts w:ascii="Calibri" w:hAnsi="Calibri"/>
          <w:b/>
        </w:rPr>
        <w:t>its</w:t>
      </w:r>
      <w:r w:rsidRPr="00A977AD">
        <w:rPr>
          <w:rFonts w:ascii="Calibri" w:hAnsi="Calibri"/>
          <w:b/>
        </w:rPr>
        <w:t xml:space="preserve"> disaster management</w:t>
      </w:r>
      <w:r w:rsidR="00E436B3">
        <w:rPr>
          <w:rFonts w:ascii="Calibri" w:hAnsi="Calibri"/>
          <w:b/>
        </w:rPr>
        <w:t xml:space="preserve"> (DM)</w:t>
      </w:r>
      <w:r w:rsidRPr="00A977AD">
        <w:rPr>
          <w:rFonts w:ascii="Calibri" w:hAnsi="Calibri"/>
          <w:b/>
        </w:rPr>
        <w:t xml:space="preserve">, </w:t>
      </w:r>
      <w:r w:rsidR="00B8308D">
        <w:rPr>
          <w:rFonts w:ascii="Calibri" w:hAnsi="Calibri"/>
          <w:b/>
        </w:rPr>
        <w:t xml:space="preserve">disaster risk management (DRM), </w:t>
      </w:r>
      <w:r w:rsidRPr="00A977AD">
        <w:rPr>
          <w:rFonts w:ascii="Calibri" w:hAnsi="Calibri"/>
          <w:b/>
        </w:rPr>
        <w:t xml:space="preserve">and disaster risk reduction </w:t>
      </w:r>
      <w:r w:rsidR="00E436B3">
        <w:rPr>
          <w:rFonts w:ascii="Calibri" w:hAnsi="Calibri"/>
          <w:b/>
        </w:rPr>
        <w:t xml:space="preserve">(DRR) </w:t>
      </w:r>
      <w:r w:rsidRPr="00A977AD">
        <w:rPr>
          <w:rFonts w:ascii="Calibri" w:hAnsi="Calibri"/>
          <w:b/>
        </w:rPr>
        <w:t>expertise</w:t>
      </w:r>
      <w:r w:rsidRPr="00A977AD">
        <w:rPr>
          <w:rFonts w:ascii="Calibri" w:hAnsi="Calibri"/>
        </w:rPr>
        <w:t xml:space="preserve">.  Australia has a tradition of supporting those facing humanitarian </w:t>
      </w:r>
      <w:r w:rsidRPr="00A977AD">
        <w:rPr>
          <w:rFonts w:ascii="Calibri" w:hAnsi="Calibri"/>
        </w:rPr>
        <w:lastRenderedPageBreak/>
        <w:t xml:space="preserve">crises overseas and the Australian community makes generous contributions, providing their own expertise, time and money. </w:t>
      </w:r>
    </w:p>
    <w:p w14:paraId="25E79B9D" w14:textId="77777777" w:rsidR="00A977AD" w:rsidRPr="007157F7" w:rsidRDefault="00A977AD" w:rsidP="00A67DC0">
      <w:pPr>
        <w:pStyle w:val="Heading2"/>
        <w:spacing w:after="240"/>
        <w:jc w:val="both"/>
        <w:rPr>
          <w:sz w:val="24"/>
          <w:szCs w:val="24"/>
        </w:rPr>
      </w:pPr>
      <w:bookmarkStart w:id="12" w:name="_Toc448777796"/>
      <w:r w:rsidRPr="007157F7">
        <w:rPr>
          <w:sz w:val="24"/>
          <w:szCs w:val="24"/>
        </w:rPr>
        <w:t xml:space="preserve">Development Issues </w:t>
      </w:r>
      <w:r w:rsidR="00DF410A" w:rsidRPr="007157F7">
        <w:rPr>
          <w:sz w:val="24"/>
          <w:szCs w:val="24"/>
        </w:rPr>
        <w:t>A</w:t>
      </w:r>
      <w:r w:rsidRPr="007157F7">
        <w:rPr>
          <w:sz w:val="24"/>
          <w:szCs w:val="24"/>
        </w:rPr>
        <w:t>nalysis</w:t>
      </w:r>
      <w:bookmarkEnd w:id="12"/>
    </w:p>
    <w:p w14:paraId="4149A5AF" w14:textId="77777777" w:rsidR="00A977AD" w:rsidRPr="00A977AD" w:rsidRDefault="00A977AD" w:rsidP="00A67DC0">
      <w:pPr>
        <w:spacing w:after="240"/>
        <w:jc w:val="both"/>
        <w:rPr>
          <w:rFonts w:ascii="Calibri" w:hAnsi="Calibri"/>
        </w:rPr>
      </w:pPr>
      <w:r w:rsidRPr="00A977AD">
        <w:rPr>
          <w:rFonts w:ascii="Calibri" w:hAnsi="Calibri"/>
          <w:b/>
        </w:rPr>
        <w:t xml:space="preserve">The effectiveness of the humanitarian system and the roles of different actors are under intense scrutiny. </w:t>
      </w:r>
      <w:r w:rsidRPr="00A977AD">
        <w:rPr>
          <w:rFonts w:ascii="Calibri" w:hAnsi="Calibri"/>
        </w:rPr>
        <w:t xml:space="preserve">The first-ever </w:t>
      </w:r>
      <w:r w:rsidRPr="00A977AD">
        <w:rPr>
          <w:rFonts w:ascii="Calibri" w:hAnsi="Calibri"/>
          <w:i/>
        </w:rPr>
        <w:t>World Humanitarian Summit</w:t>
      </w:r>
      <w:r w:rsidRPr="00A977AD">
        <w:rPr>
          <w:rFonts w:ascii="Calibri" w:hAnsi="Calibri"/>
        </w:rPr>
        <w:t xml:space="preserve"> will be held in 2016. The Summit is expected to be a critical moment to set a ‘new vision’ on how to meet the needs of the millions of people affected by conflicts and </w:t>
      </w:r>
      <w:r w:rsidR="00AB14F2">
        <w:rPr>
          <w:rFonts w:ascii="Calibri" w:hAnsi="Calibri"/>
        </w:rPr>
        <w:t>natural hazards</w:t>
      </w:r>
      <w:r w:rsidRPr="00A977AD">
        <w:rPr>
          <w:rFonts w:ascii="Calibri" w:hAnsi="Calibri"/>
        </w:rPr>
        <w:t xml:space="preserve">. Consultations leading up to this summit, including regional consultations in the Pacific, are calling for a change in how we prepare </w:t>
      </w:r>
      <w:r w:rsidR="000A3AC9">
        <w:rPr>
          <w:rFonts w:ascii="Calibri" w:hAnsi="Calibri"/>
        </w:rPr>
        <w:t xml:space="preserve">for </w:t>
      </w:r>
      <w:r w:rsidRPr="00A977AD">
        <w:rPr>
          <w:rFonts w:ascii="Calibri" w:hAnsi="Calibri"/>
        </w:rPr>
        <w:t>and respond to crises, and in how we work together.</w:t>
      </w:r>
      <w:r w:rsidRPr="00A977AD">
        <w:rPr>
          <w:rStyle w:val="FootnoteReference"/>
          <w:rFonts w:cs="Times New Roman"/>
          <w:szCs w:val="16"/>
        </w:rPr>
        <w:footnoteReference w:id="15"/>
      </w:r>
      <w:r w:rsidRPr="00A977AD">
        <w:rPr>
          <w:rStyle w:val="FootnoteReference"/>
          <w:rFonts w:cs="Times New Roman"/>
          <w:szCs w:val="16"/>
        </w:rPr>
        <w:t xml:space="preserve"> </w:t>
      </w:r>
    </w:p>
    <w:p w14:paraId="416607A3" w14:textId="4EEEC708" w:rsidR="00A977AD" w:rsidRPr="00A977AD" w:rsidRDefault="00A977AD" w:rsidP="00A67DC0">
      <w:pPr>
        <w:spacing w:after="240"/>
        <w:jc w:val="both"/>
        <w:rPr>
          <w:rStyle w:val="FootnoteReference"/>
          <w:rFonts w:ascii="Calibri" w:hAnsi="Calibri"/>
          <w:sz w:val="24"/>
          <w:szCs w:val="24"/>
        </w:rPr>
      </w:pPr>
      <w:r w:rsidRPr="00A977AD">
        <w:rPr>
          <w:rFonts w:ascii="Calibri" w:hAnsi="Calibri"/>
          <w:b/>
        </w:rPr>
        <w:t>Central to this call for change is</w:t>
      </w:r>
      <w:r w:rsidRPr="00A977AD">
        <w:rPr>
          <w:rFonts w:ascii="Calibri" w:hAnsi="Calibri"/>
        </w:rPr>
        <w:t xml:space="preserve"> </w:t>
      </w:r>
      <w:r w:rsidRPr="00A977AD">
        <w:rPr>
          <w:rFonts w:ascii="Calibri" w:hAnsi="Calibri"/>
          <w:b/>
        </w:rPr>
        <w:t>the importance of ‘localisation’</w:t>
      </w:r>
      <w:r w:rsidRPr="00A977AD">
        <w:rPr>
          <w:rFonts w:ascii="Calibri" w:hAnsi="Calibri"/>
        </w:rPr>
        <w:t xml:space="preserve">: that is the role of national and local actors in preparing for and responding to crises. Domestic governments should and often do take the lead in crisis response and resilience-building. However, national and local resources and </w:t>
      </w:r>
      <w:r>
        <w:rPr>
          <w:rFonts w:ascii="Calibri" w:hAnsi="Calibri"/>
        </w:rPr>
        <w:t xml:space="preserve">capacities are often low in the </w:t>
      </w:r>
      <w:r w:rsidRPr="00A977AD">
        <w:rPr>
          <w:rFonts w:ascii="Calibri" w:hAnsi="Calibri"/>
        </w:rPr>
        <w:t xml:space="preserve">very places most vulnerable to </w:t>
      </w:r>
      <w:r w:rsidR="00AB14F2">
        <w:rPr>
          <w:rFonts w:ascii="Calibri" w:hAnsi="Calibri"/>
        </w:rPr>
        <w:t>hazards</w:t>
      </w:r>
      <w:r w:rsidRPr="00A977AD">
        <w:rPr>
          <w:rFonts w:ascii="Calibri" w:hAnsi="Calibri"/>
        </w:rPr>
        <w:t>.</w:t>
      </w:r>
      <w:r w:rsidRPr="00A977AD">
        <w:rPr>
          <w:rStyle w:val="FootnoteReference"/>
          <w:rFonts w:cs="Times New Roman"/>
          <w:szCs w:val="16"/>
        </w:rPr>
        <w:footnoteReference w:id="16"/>
      </w:r>
      <w:r w:rsidRPr="00A977AD">
        <w:rPr>
          <w:rStyle w:val="FootnoteReference"/>
          <w:rFonts w:ascii="Calibri" w:hAnsi="Calibri"/>
          <w:sz w:val="24"/>
          <w:szCs w:val="24"/>
        </w:rPr>
        <w:t xml:space="preserve"> </w:t>
      </w:r>
      <w:r w:rsidRPr="00A977AD">
        <w:rPr>
          <w:rFonts w:ascii="Calibri" w:hAnsi="Calibri"/>
        </w:rPr>
        <w:t>The complexities of the localisation agenda ha</w:t>
      </w:r>
      <w:r w:rsidR="00A76935">
        <w:rPr>
          <w:rFonts w:ascii="Calibri" w:hAnsi="Calibri"/>
        </w:rPr>
        <w:t>ve</w:t>
      </w:r>
      <w:r w:rsidRPr="00A977AD">
        <w:rPr>
          <w:rFonts w:ascii="Calibri" w:hAnsi="Calibri"/>
        </w:rPr>
        <w:t xml:space="preserve"> particular relevance to Australia’s role in the Pacific, and to how an investment that works with ANGOs can </w:t>
      </w:r>
      <w:r w:rsidR="003C4CE7">
        <w:rPr>
          <w:rFonts w:ascii="Calibri" w:hAnsi="Calibri"/>
        </w:rPr>
        <w:t>supplement</w:t>
      </w:r>
      <w:r w:rsidR="003C4CE7" w:rsidRPr="00A977AD">
        <w:rPr>
          <w:rFonts w:ascii="Calibri" w:hAnsi="Calibri"/>
        </w:rPr>
        <w:t xml:space="preserve"> </w:t>
      </w:r>
      <w:r w:rsidR="004D1C94">
        <w:rPr>
          <w:rFonts w:ascii="Calibri" w:hAnsi="Calibri"/>
        </w:rPr>
        <w:t xml:space="preserve">the capacities of affected communities </w:t>
      </w:r>
      <w:r w:rsidRPr="00A977AD">
        <w:rPr>
          <w:rFonts w:ascii="Calibri" w:hAnsi="Calibri"/>
        </w:rPr>
        <w:t xml:space="preserve">and </w:t>
      </w:r>
      <w:r w:rsidR="003C4CE7">
        <w:rPr>
          <w:rFonts w:ascii="Calibri" w:hAnsi="Calibri"/>
        </w:rPr>
        <w:t xml:space="preserve">national and </w:t>
      </w:r>
      <w:r w:rsidRPr="00A977AD">
        <w:rPr>
          <w:rFonts w:ascii="Calibri" w:hAnsi="Calibri"/>
        </w:rPr>
        <w:t xml:space="preserve">local </w:t>
      </w:r>
      <w:r w:rsidR="003C4CE7">
        <w:rPr>
          <w:rFonts w:ascii="Calibri" w:hAnsi="Calibri"/>
        </w:rPr>
        <w:t>efforts</w:t>
      </w:r>
      <w:r w:rsidRPr="00A977AD">
        <w:rPr>
          <w:rFonts w:ascii="Calibri" w:hAnsi="Calibri"/>
        </w:rPr>
        <w:t>.</w:t>
      </w:r>
    </w:p>
    <w:p w14:paraId="023FC29F" w14:textId="16401948" w:rsidR="00A977AD" w:rsidRPr="00A977AD" w:rsidRDefault="003C4CE7" w:rsidP="00A67DC0">
      <w:pPr>
        <w:spacing w:after="240"/>
        <w:jc w:val="both"/>
        <w:rPr>
          <w:rFonts w:ascii="Calibri" w:hAnsi="Calibri"/>
        </w:rPr>
      </w:pPr>
      <w:r w:rsidRPr="003C4CE7">
        <w:rPr>
          <w:rFonts w:ascii="Calibri" w:hAnsi="Calibri"/>
          <w:b/>
        </w:rPr>
        <w:t>Reducing disaster r</w:t>
      </w:r>
      <w:r w:rsidR="00A977AD" w:rsidRPr="003C4CE7">
        <w:rPr>
          <w:rFonts w:ascii="Calibri" w:hAnsi="Calibri"/>
          <w:b/>
        </w:rPr>
        <w:t>isk</w:t>
      </w:r>
      <w:r w:rsidR="00A977AD" w:rsidRPr="00A977AD">
        <w:rPr>
          <w:rFonts w:ascii="Calibri" w:hAnsi="Calibri"/>
          <w:b/>
        </w:rPr>
        <w:t xml:space="preserve"> is critical</w:t>
      </w:r>
      <w:r w:rsidR="00A977AD" w:rsidRPr="00A977AD">
        <w:rPr>
          <w:rFonts w:ascii="Calibri" w:hAnsi="Calibri"/>
        </w:rPr>
        <w:t xml:space="preserve"> </w:t>
      </w:r>
      <w:r w:rsidR="00A977AD" w:rsidRPr="00A977AD">
        <w:rPr>
          <w:rFonts w:ascii="Calibri" w:hAnsi="Calibri"/>
          <w:b/>
        </w:rPr>
        <w:t>in reducing vulnerability</w:t>
      </w:r>
      <w:r w:rsidR="00A977AD" w:rsidRPr="00A977AD">
        <w:rPr>
          <w:rFonts w:ascii="Calibri" w:hAnsi="Calibri"/>
        </w:rPr>
        <w:t xml:space="preserve"> </w:t>
      </w:r>
      <w:r w:rsidR="00A977AD" w:rsidRPr="00A977AD">
        <w:rPr>
          <w:rFonts w:ascii="Calibri" w:hAnsi="Calibri"/>
          <w:b/>
        </w:rPr>
        <w:t>and building resilience</w:t>
      </w:r>
      <w:r w:rsidR="00A977AD" w:rsidRPr="00A977AD">
        <w:rPr>
          <w:rFonts w:ascii="Calibri" w:hAnsi="Calibri"/>
        </w:rPr>
        <w:t xml:space="preserve"> of people and property and in protecting economic growth. The </w:t>
      </w:r>
      <w:r w:rsidR="00A977AD" w:rsidRPr="00A977AD">
        <w:rPr>
          <w:rFonts w:ascii="Calibri" w:hAnsi="Calibri"/>
          <w:i/>
        </w:rPr>
        <w:t>Sendai Framework for Disaster Risk Reduction (2015-2030)</w:t>
      </w:r>
      <w:r w:rsidR="00A977AD" w:rsidRPr="00A977AD">
        <w:rPr>
          <w:rFonts w:ascii="Calibri" w:hAnsi="Calibri"/>
        </w:rPr>
        <w:t xml:space="preserve"> represents an international consensus on the importance of investments to prevent and reduce risk and to strengthen resilience. </w:t>
      </w:r>
      <w:r w:rsidR="004D1C94" w:rsidRPr="004757A4">
        <w:rPr>
          <w:rFonts w:ascii="Calibri" w:hAnsi="Calibri"/>
        </w:rPr>
        <w:t xml:space="preserve">The Framework </w:t>
      </w:r>
      <w:r w:rsidR="004D1C94">
        <w:rPr>
          <w:rFonts w:ascii="Calibri" w:hAnsi="Calibri"/>
        </w:rPr>
        <w:t>called for a shift of</w:t>
      </w:r>
      <w:r w:rsidR="004D1C94" w:rsidRPr="004757A4">
        <w:rPr>
          <w:rFonts w:ascii="Calibri" w:hAnsi="Calibri"/>
        </w:rPr>
        <w:t xml:space="preserve"> emphasis </w:t>
      </w:r>
      <w:r w:rsidR="004D1C94">
        <w:rPr>
          <w:rFonts w:ascii="Calibri" w:hAnsi="Calibri"/>
        </w:rPr>
        <w:t>from disaster management to disaster risk management</w:t>
      </w:r>
      <w:r w:rsidR="004D1C94" w:rsidRPr="004757A4">
        <w:rPr>
          <w:rFonts w:ascii="Calibri" w:hAnsi="Calibri"/>
        </w:rPr>
        <w:t>.</w:t>
      </w:r>
      <w:r w:rsidR="004D1C94" w:rsidRPr="004757A4">
        <w:rPr>
          <w:rStyle w:val="FootnoteReference"/>
          <w:rFonts w:cs="Times New Roman"/>
          <w:szCs w:val="16"/>
        </w:rPr>
        <w:footnoteReference w:id="17"/>
      </w:r>
    </w:p>
    <w:p w14:paraId="631A0F66" w14:textId="47BA181D" w:rsidR="00A977AD" w:rsidRPr="00A977AD" w:rsidRDefault="004D1C94" w:rsidP="00A67DC0">
      <w:pPr>
        <w:shd w:val="clear" w:color="auto" w:fill="FFFFFF"/>
        <w:spacing w:after="240"/>
        <w:jc w:val="both"/>
        <w:rPr>
          <w:rFonts w:ascii="Calibri" w:hAnsi="Calibri"/>
        </w:rPr>
      </w:pPr>
      <w:r w:rsidRPr="004757A4">
        <w:rPr>
          <w:rFonts w:ascii="Calibri" w:hAnsi="Calibri"/>
          <w:b/>
        </w:rPr>
        <w:t xml:space="preserve">Climate change is increasing the frequency and intensity of </w:t>
      </w:r>
      <w:r>
        <w:rPr>
          <w:rFonts w:ascii="Calibri" w:hAnsi="Calibri"/>
          <w:b/>
        </w:rPr>
        <w:t xml:space="preserve">climate-related </w:t>
      </w:r>
      <w:r w:rsidRPr="004757A4">
        <w:rPr>
          <w:rFonts w:ascii="Calibri" w:hAnsi="Calibri"/>
          <w:b/>
        </w:rPr>
        <w:t>natural hazards</w:t>
      </w:r>
      <w:r>
        <w:rPr>
          <w:rFonts w:ascii="Calibri" w:hAnsi="Calibri"/>
          <w:b/>
        </w:rPr>
        <w:t xml:space="preserve"> and, potentially, bio-hazards</w:t>
      </w:r>
      <w:r w:rsidRPr="004757A4">
        <w:rPr>
          <w:rFonts w:ascii="Calibri" w:hAnsi="Calibri"/>
        </w:rPr>
        <w:t>.</w:t>
      </w:r>
      <w:r w:rsidRPr="004757A4">
        <w:rPr>
          <w:rStyle w:val="FootnoteReference"/>
        </w:rPr>
        <w:footnoteReference w:id="18"/>
      </w:r>
      <w:r w:rsidRPr="004757A4">
        <w:rPr>
          <w:rFonts w:ascii="Calibri" w:hAnsi="Calibri"/>
        </w:rPr>
        <w:t xml:space="preserve"> The Pacific region is particularly vulnerable, being prone to </w:t>
      </w:r>
      <w:r>
        <w:rPr>
          <w:rFonts w:ascii="Calibri" w:hAnsi="Calibri"/>
        </w:rPr>
        <w:t xml:space="preserve">climate-related </w:t>
      </w:r>
      <w:r w:rsidRPr="004757A4">
        <w:rPr>
          <w:rFonts w:ascii="Calibri" w:hAnsi="Calibri"/>
        </w:rPr>
        <w:t xml:space="preserve">hazards including cyclones, severe storms, flooding, and drought. </w:t>
      </w:r>
      <w:r>
        <w:rPr>
          <w:rFonts w:ascii="Calibri" w:hAnsi="Calibri"/>
        </w:rPr>
        <w:t xml:space="preserve">It is also encircled by the ‘ring of fire’ marked by the subduction zones of several tectonic plates. </w:t>
      </w:r>
      <w:r w:rsidR="00A977AD" w:rsidRPr="00A977AD">
        <w:rPr>
          <w:rFonts w:ascii="Calibri" w:hAnsi="Calibri"/>
        </w:rPr>
        <w:t>Like all aspects of life, climate change has a gender dimension. Leading academics have warned that global warming will inflict far more suffering on women than men because they are more vulnerable to the floods, droughts and diseases that are expected to increase as the climate changes. An example of this was seen in the 1991 Bangladesh cyclone when 90 per cent of the 150,000 people killed were women.</w:t>
      </w:r>
      <w:r w:rsidR="00A977AD" w:rsidRPr="00A977AD">
        <w:rPr>
          <w:rStyle w:val="FootnoteReference"/>
          <w:rFonts w:cs="Times New Roman"/>
          <w:szCs w:val="16"/>
        </w:rPr>
        <w:footnoteReference w:id="19"/>
      </w:r>
    </w:p>
    <w:p w14:paraId="79CD9A63" w14:textId="77777777" w:rsidR="00A977AD" w:rsidRPr="00A977AD" w:rsidRDefault="003C4CE7" w:rsidP="00A67DC0">
      <w:pPr>
        <w:shd w:val="clear" w:color="auto" w:fill="FFFFFF"/>
        <w:spacing w:after="240"/>
        <w:jc w:val="both"/>
        <w:rPr>
          <w:rFonts w:ascii="Calibri" w:hAnsi="Calibri"/>
        </w:rPr>
      </w:pPr>
      <w:r>
        <w:rPr>
          <w:rFonts w:ascii="Calibri" w:hAnsi="Calibri"/>
          <w:b/>
        </w:rPr>
        <w:lastRenderedPageBreak/>
        <w:t xml:space="preserve">Humanitarian crises impact people differently. </w:t>
      </w:r>
      <w:r w:rsidR="00B654D2">
        <w:rPr>
          <w:rFonts w:ascii="Calibri" w:hAnsi="Calibri"/>
        </w:rPr>
        <w:t xml:space="preserve">People are more vulnerable due to poverty, inequality and marginalisation (i.e. on the basis of gender, gender identity, age, disability, and/or sexual orientation). </w:t>
      </w:r>
      <w:r w:rsidR="00A977AD" w:rsidRPr="00A977AD">
        <w:rPr>
          <w:rFonts w:ascii="Calibri" w:hAnsi="Calibri"/>
          <w:b/>
        </w:rPr>
        <w:t>Women and men, boys and girls have different needs in crises as well as different contributions to make and capacities to respond</w:t>
      </w:r>
      <w:r w:rsidR="00A977AD" w:rsidRPr="00A977AD">
        <w:rPr>
          <w:rFonts w:ascii="Calibri" w:hAnsi="Calibri"/>
        </w:rPr>
        <w:t xml:space="preserve">. In many situations, women and girls are disproportionately affected by natural </w:t>
      </w:r>
      <w:r w:rsidR="00AB14F2">
        <w:rPr>
          <w:rFonts w:ascii="Calibri" w:hAnsi="Calibri"/>
        </w:rPr>
        <w:t>hazards</w:t>
      </w:r>
      <w:r w:rsidR="00AB14F2" w:rsidRPr="00A977AD">
        <w:rPr>
          <w:rFonts w:ascii="Calibri" w:hAnsi="Calibri"/>
        </w:rPr>
        <w:t xml:space="preserve"> </w:t>
      </w:r>
      <w:r w:rsidR="00A977AD" w:rsidRPr="00A977AD">
        <w:rPr>
          <w:rFonts w:ascii="Calibri" w:hAnsi="Calibri"/>
        </w:rPr>
        <w:t xml:space="preserve">and conflict. </w:t>
      </w:r>
      <w:r w:rsidR="00A977AD" w:rsidRPr="00A977AD">
        <w:rPr>
          <w:rFonts w:ascii="Calibri" w:hAnsi="Calibri"/>
          <w:b/>
        </w:rPr>
        <w:t>People with disabilities</w:t>
      </w:r>
      <w:r w:rsidR="00A977AD" w:rsidRPr="00A977AD">
        <w:rPr>
          <w:rFonts w:ascii="Calibri" w:hAnsi="Calibri"/>
        </w:rPr>
        <w:t xml:space="preserve"> </w:t>
      </w:r>
      <w:r w:rsidR="00A977AD" w:rsidRPr="00A977AD">
        <w:rPr>
          <w:rFonts w:ascii="Calibri" w:hAnsi="Calibri"/>
          <w:b/>
        </w:rPr>
        <w:t>are amongst the most vulnerable</w:t>
      </w:r>
      <w:r w:rsidR="00A977AD" w:rsidRPr="00A977AD">
        <w:rPr>
          <w:rFonts w:ascii="Calibri" w:hAnsi="Calibri"/>
        </w:rPr>
        <w:t xml:space="preserve">. Over the past decade, there has been an increased focus on the importance of </w:t>
      </w:r>
      <w:r>
        <w:rPr>
          <w:rFonts w:ascii="Calibri" w:hAnsi="Calibri"/>
        </w:rPr>
        <w:t>understanding vulnerability</w:t>
      </w:r>
      <w:r w:rsidRPr="00A977AD">
        <w:rPr>
          <w:rFonts w:ascii="Calibri" w:hAnsi="Calibri"/>
        </w:rPr>
        <w:t xml:space="preserve"> </w:t>
      </w:r>
      <w:r w:rsidR="00A977AD" w:rsidRPr="00A977AD">
        <w:rPr>
          <w:rFonts w:ascii="Calibri" w:hAnsi="Calibri"/>
        </w:rPr>
        <w:t>including on addressing gender equality and disability inclusion in humanitarian action.  When humanitarian action fails to do so, it can result in unequal access to humanitarian support, lack of protection against sexual and gender-based violence and inadequate engagement of women and people with disabilit</w:t>
      </w:r>
      <w:r w:rsidR="00310875">
        <w:rPr>
          <w:rFonts w:ascii="Calibri" w:hAnsi="Calibri"/>
        </w:rPr>
        <w:t>ies</w:t>
      </w:r>
      <w:r w:rsidR="00A977AD" w:rsidRPr="00A977AD">
        <w:rPr>
          <w:rFonts w:ascii="Calibri" w:hAnsi="Calibri"/>
        </w:rPr>
        <w:t xml:space="preserve"> in leadership roles. </w:t>
      </w:r>
    </w:p>
    <w:p w14:paraId="5FA8D31B" w14:textId="77777777" w:rsidR="00A977AD" w:rsidRPr="00A977AD" w:rsidRDefault="00A977AD" w:rsidP="00A67DC0">
      <w:pPr>
        <w:spacing w:after="240"/>
        <w:jc w:val="both"/>
        <w:rPr>
          <w:rFonts w:ascii="Calibri" w:hAnsi="Calibri"/>
        </w:rPr>
      </w:pPr>
      <w:r w:rsidRPr="00A977AD">
        <w:rPr>
          <w:rFonts w:ascii="Calibri" w:hAnsi="Calibri"/>
          <w:b/>
        </w:rPr>
        <w:t>Humanitarian financing is also under scrutiny</w:t>
      </w:r>
      <w:r w:rsidRPr="00A977AD">
        <w:rPr>
          <w:rFonts w:ascii="Calibri" w:hAnsi="Calibri"/>
        </w:rPr>
        <w:t xml:space="preserve"> - this is due in part to the recognition that international humanitarian assistance alone is not sufficient in meeting the humanitarian needs of crises today.</w:t>
      </w:r>
      <w:r w:rsidRPr="00A977AD">
        <w:rPr>
          <w:rStyle w:val="FootnoteReference"/>
          <w:rFonts w:cs="Times New Roman"/>
          <w:szCs w:val="16"/>
        </w:rPr>
        <w:footnoteReference w:id="20"/>
      </w:r>
      <w:r w:rsidRPr="00A977AD">
        <w:rPr>
          <w:rFonts w:ascii="Calibri" w:hAnsi="Calibri"/>
        </w:rPr>
        <w:t xml:space="preserve"> Funding patterns show that OECD DAC donors typically channel around 19% of their international humanitarian assistance directly through NGOs, and around 62% through multilateral organisations (primarily UN agencies).  In 2014–15, DFAT provided a total of AUD 215.7 million in response to 19 different humanitarian crises.  Approximately 10% of this funding was channelled through </w:t>
      </w:r>
      <w:r w:rsidR="000A3AC9">
        <w:rPr>
          <w:rFonts w:ascii="Calibri" w:hAnsi="Calibri"/>
        </w:rPr>
        <w:t>NGOs</w:t>
      </w:r>
      <w:r w:rsidRPr="00A977AD">
        <w:rPr>
          <w:rFonts w:ascii="Calibri" w:hAnsi="Calibri"/>
        </w:rPr>
        <w:t xml:space="preserve">, with 44% going to UN agencies.  </w:t>
      </w:r>
    </w:p>
    <w:p w14:paraId="6AB7987C" w14:textId="77777777" w:rsidR="00A977AD" w:rsidRPr="007157F7" w:rsidRDefault="00A977AD" w:rsidP="00A67DC0">
      <w:pPr>
        <w:pStyle w:val="Heading2"/>
        <w:spacing w:after="240"/>
        <w:jc w:val="both"/>
        <w:rPr>
          <w:sz w:val="24"/>
          <w:szCs w:val="24"/>
        </w:rPr>
      </w:pPr>
      <w:bookmarkStart w:id="13" w:name="_Toc448777797"/>
      <w:r w:rsidRPr="007157F7">
        <w:rPr>
          <w:sz w:val="24"/>
          <w:szCs w:val="24"/>
        </w:rPr>
        <w:t xml:space="preserve">Evidence and </w:t>
      </w:r>
      <w:r w:rsidR="00DF410A" w:rsidRPr="007157F7">
        <w:rPr>
          <w:sz w:val="24"/>
          <w:szCs w:val="24"/>
        </w:rPr>
        <w:t>L</w:t>
      </w:r>
      <w:r w:rsidRPr="007157F7">
        <w:rPr>
          <w:sz w:val="24"/>
          <w:szCs w:val="24"/>
        </w:rPr>
        <w:t xml:space="preserve">essons </w:t>
      </w:r>
      <w:r w:rsidR="00DF410A" w:rsidRPr="007157F7">
        <w:rPr>
          <w:sz w:val="24"/>
          <w:szCs w:val="24"/>
        </w:rPr>
        <w:t>L</w:t>
      </w:r>
      <w:r w:rsidRPr="007157F7">
        <w:rPr>
          <w:sz w:val="24"/>
          <w:szCs w:val="24"/>
        </w:rPr>
        <w:t>earned</w:t>
      </w:r>
      <w:bookmarkEnd w:id="13"/>
    </w:p>
    <w:p w14:paraId="2061B98C" w14:textId="77777777" w:rsidR="00A977AD" w:rsidRPr="00A977AD" w:rsidRDefault="00A977AD" w:rsidP="00A67DC0">
      <w:pPr>
        <w:spacing w:after="240"/>
        <w:jc w:val="both"/>
        <w:rPr>
          <w:rFonts w:ascii="Calibri" w:hAnsi="Calibri"/>
          <w:b/>
        </w:rPr>
      </w:pPr>
      <w:r w:rsidRPr="00A977AD">
        <w:rPr>
          <w:rFonts w:ascii="Calibri" w:hAnsi="Calibri"/>
        </w:rPr>
        <w:t>DFAT’s own experience and global evidence around humanitarian effectiveness have informed the design of this investment.</w:t>
      </w:r>
    </w:p>
    <w:p w14:paraId="6017E3EF" w14:textId="77777777" w:rsidR="00A977AD" w:rsidRPr="00A977AD" w:rsidRDefault="00A977AD" w:rsidP="00A67DC0">
      <w:pPr>
        <w:pStyle w:val="SDAbodytext"/>
        <w:spacing w:before="0" w:after="240"/>
        <w:jc w:val="both"/>
        <w:rPr>
          <w:rFonts w:ascii="Calibri" w:hAnsi="Calibri"/>
          <w:sz w:val="24"/>
          <w:szCs w:val="24"/>
        </w:rPr>
      </w:pPr>
      <w:r w:rsidRPr="00A977AD">
        <w:rPr>
          <w:rFonts w:ascii="Calibri" w:hAnsi="Calibri"/>
          <w:b/>
          <w:sz w:val="24"/>
          <w:szCs w:val="24"/>
        </w:rPr>
        <w:t xml:space="preserve">There are many rich lessons </w:t>
      </w:r>
      <w:r w:rsidRPr="00A977AD">
        <w:rPr>
          <w:rFonts w:ascii="Calibri" w:hAnsi="Calibri"/>
          <w:sz w:val="24"/>
          <w:szCs w:val="24"/>
        </w:rPr>
        <w:t xml:space="preserve">from the </w:t>
      </w:r>
      <w:r w:rsidRPr="00A977AD">
        <w:rPr>
          <w:rFonts w:ascii="Calibri" w:hAnsi="Calibri"/>
          <w:i/>
          <w:sz w:val="24"/>
          <w:szCs w:val="24"/>
        </w:rPr>
        <w:t>DFAT-NGO</w:t>
      </w:r>
      <w:r w:rsidRPr="00A977AD">
        <w:rPr>
          <w:rFonts w:ascii="Calibri" w:hAnsi="Calibri"/>
          <w:sz w:val="24"/>
          <w:szCs w:val="24"/>
        </w:rPr>
        <w:t xml:space="preserve"> </w:t>
      </w:r>
      <w:r w:rsidRPr="00A977AD">
        <w:rPr>
          <w:rFonts w:ascii="Calibri" w:hAnsi="Calibri"/>
          <w:i/>
          <w:sz w:val="24"/>
          <w:szCs w:val="24"/>
        </w:rPr>
        <w:t>Humanitarian Partnership Agreement (2011-2016)</w:t>
      </w:r>
      <w:r w:rsidR="0049294C">
        <w:rPr>
          <w:rFonts w:ascii="Calibri" w:hAnsi="Calibri"/>
          <w:i/>
          <w:sz w:val="24"/>
          <w:szCs w:val="24"/>
        </w:rPr>
        <w:t>.</w:t>
      </w:r>
      <w:r w:rsidR="0049294C" w:rsidRPr="00A977AD">
        <w:rPr>
          <w:rStyle w:val="FootnoteReference"/>
          <w:rFonts w:cs="Times New Roman"/>
          <w:szCs w:val="16"/>
        </w:rPr>
        <w:footnoteReference w:id="21"/>
      </w:r>
      <w:r w:rsidRPr="00A977AD">
        <w:rPr>
          <w:rFonts w:ascii="Calibri" w:hAnsi="Calibri"/>
          <w:sz w:val="24"/>
          <w:szCs w:val="24"/>
        </w:rPr>
        <w:t xml:space="preserve"> Most recently, an independent review of this agreement found that the HPA has been an innovative model that has delivered good outcomes: </w:t>
      </w:r>
    </w:p>
    <w:p w14:paraId="0F902AE2" w14:textId="77777777" w:rsidR="00A977AD" w:rsidRPr="00A977AD" w:rsidRDefault="00A977AD" w:rsidP="00A67DC0">
      <w:pPr>
        <w:pStyle w:val="ListParagraph"/>
        <w:numPr>
          <w:ilvl w:val="0"/>
          <w:numId w:val="5"/>
        </w:numPr>
        <w:spacing w:after="240" w:line="240" w:lineRule="auto"/>
        <w:jc w:val="both"/>
        <w:rPr>
          <w:rFonts w:ascii="Calibri" w:hAnsi="Calibri"/>
          <w:sz w:val="24"/>
          <w:szCs w:val="24"/>
        </w:rPr>
      </w:pPr>
      <w:r w:rsidRPr="00A977AD">
        <w:rPr>
          <w:rFonts w:ascii="Calibri" w:hAnsi="Calibri"/>
          <w:sz w:val="24"/>
          <w:szCs w:val="24"/>
        </w:rPr>
        <w:t>It consistently delivered fast emergency response funding.  In many instances, this enabled Australia to be one of the first donors to get</w:t>
      </w:r>
      <w:r w:rsidR="00B80E8A">
        <w:rPr>
          <w:rFonts w:ascii="Calibri" w:hAnsi="Calibri"/>
          <w:sz w:val="24"/>
          <w:szCs w:val="24"/>
        </w:rPr>
        <w:t xml:space="preserve"> support</w:t>
      </w:r>
      <w:r w:rsidRPr="00A977AD">
        <w:rPr>
          <w:rFonts w:ascii="Calibri" w:hAnsi="Calibri"/>
          <w:sz w:val="24"/>
          <w:szCs w:val="24"/>
        </w:rPr>
        <w:t xml:space="preserve"> on the ground after a humanitarian crisis.</w:t>
      </w:r>
    </w:p>
    <w:p w14:paraId="28C9D886" w14:textId="77777777" w:rsidR="00A977AD" w:rsidRPr="00A977AD" w:rsidRDefault="00A977AD" w:rsidP="00A67DC0">
      <w:pPr>
        <w:pStyle w:val="ListParagraph"/>
        <w:numPr>
          <w:ilvl w:val="0"/>
          <w:numId w:val="5"/>
        </w:numPr>
        <w:spacing w:after="240" w:line="240" w:lineRule="auto"/>
        <w:jc w:val="both"/>
        <w:rPr>
          <w:rFonts w:ascii="Calibri" w:hAnsi="Calibri"/>
          <w:sz w:val="24"/>
          <w:szCs w:val="24"/>
        </w:rPr>
      </w:pPr>
      <w:r w:rsidRPr="00A977AD">
        <w:rPr>
          <w:rFonts w:ascii="Calibri" w:hAnsi="Calibri"/>
          <w:sz w:val="24"/>
          <w:szCs w:val="24"/>
        </w:rPr>
        <w:t xml:space="preserve">The predictable, multi-year nature of the DRR and DRM funding supported long-term planning and helped build strong partner relationships.  </w:t>
      </w:r>
    </w:p>
    <w:p w14:paraId="62845DE6" w14:textId="77777777" w:rsidR="00A977AD" w:rsidRPr="00A977AD" w:rsidRDefault="00A977AD" w:rsidP="00A67DC0">
      <w:pPr>
        <w:pStyle w:val="ListParagraph"/>
        <w:numPr>
          <w:ilvl w:val="0"/>
          <w:numId w:val="5"/>
        </w:numPr>
        <w:spacing w:after="240" w:line="240" w:lineRule="auto"/>
        <w:jc w:val="both"/>
        <w:rPr>
          <w:rFonts w:ascii="Calibri" w:hAnsi="Calibri"/>
          <w:sz w:val="24"/>
          <w:szCs w:val="24"/>
        </w:rPr>
      </w:pPr>
      <w:r w:rsidRPr="00A977AD">
        <w:rPr>
          <w:rFonts w:ascii="Calibri" w:hAnsi="Calibri"/>
          <w:sz w:val="24"/>
          <w:szCs w:val="24"/>
        </w:rPr>
        <w:t>It moved the DFAT-NGO relationship away from a transactional approach to one involving a greater sense of collaboration.</w:t>
      </w:r>
      <w:r w:rsidRPr="00A977AD">
        <w:rPr>
          <w:rStyle w:val="FootnoteReference"/>
          <w:rFonts w:cs="Times New Roman"/>
          <w:szCs w:val="16"/>
        </w:rPr>
        <w:footnoteReference w:id="22"/>
      </w:r>
    </w:p>
    <w:p w14:paraId="0B133CDD" w14:textId="77777777" w:rsidR="00A977AD" w:rsidRPr="00A977AD" w:rsidRDefault="00A977AD" w:rsidP="00A67DC0">
      <w:pPr>
        <w:pStyle w:val="SDAbodytext"/>
        <w:spacing w:before="0" w:after="240"/>
        <w:jc w:val="both"/>
        <w:rPr>
          <w:rFonts w:ascii="Calibri" w:hAnsi="Calibri"/>
          <w:sz w:val="24"/>
          <w:szCs w:val="24"/>
        </w:rPr>
      </w:pPr>
      <w:r w:rsidRPr="00A977AD">
        <w:rPr>
          <w:rFonts w:ascii="Calibri" w:hAnsi="Calibri"/>
          <w:sz w:val="24"/>
          <w:szCs w:val="24"/>
        </w:rPr>
        <w:t xml:space="preserve">However, the review also identified </w:t>
      </w:r>
      <w:r w:rsidRPr="00B80E8A">
        <w:rPr>
          <w:rFonts w:ascii="Calibri" w:hAnsi="Calibri"/>
          <w:sz w:val="24"/>
          <w:szCs w:val="24"/>
        </w:rPr>
        <w:t>some</w:t>
      </w:r>
      <w:r w:rsidRPr="00A977AD">
        <w:rPr>
          <w:rFonts w:ascii="Calibri" w:hAnsi="Calibri"/>
          <w:b/>
          <w:sz w:val="24"/>
          <w:szCs w:val="24"/>
        </w:rPr>
        <w:t xml:space="preserve"> issues which are constraining </w:t>
      </w:r>
      <w:r w:rsidR="000A3AC9">
        <w:rPr>
          <w:rFonts w:ascii="Calibri" w:hAnsi="Calibri"/>
          <w:b/>
          <w:sz w:val="24"/>
          <w:szCs w:val="24"/>
        </w:rPr>
        <w:t>the HPA's</w:t>
      </w:r>
      <w:r w:rsidR="000A3AC9" w:rsidRPr="00A977AD">
        <w:rPr>
          <w:rFonts w:ascii="Calibri" w:hAnsi="Calibri"/>
          <w:b/>
          <w:sz w:val="24"/>
          <w:szCs w:val="24"/>
        </w:rPr>
        <w:t xml:space="preserve"> </w:t>
      </w:r>
      <w:r w:rsidRPr="00A977AD">
        <w:rPr>
          <w:rFonts w:ascii="Calibri" w:hAnsi="Calibri"/>
          <w:b/>
          <w:sz w:val="24"/>
          <w:szCs w:val="24"/>
        </w:rPr>
        <w:t>ability to achieve its full potential</w:t>
      </w:r>
      <w:r w:rsidRPr="00A977AD">
        <w:rPr>
          <w:rFonts w:ascii="Calibri" w:hAnsi="Calibri"/>
          <w:sz w:val="24"/>
          <w:szCs w:val="24"/>
        </w:rPr>
        <w:t xml:space="preserve">. These include: </w:t>
      </w:r>
    </w:p>
    <w:p w14:paraId="7C12AADF" w14:textId="77777777" w:rsidR="00A977AD" w:rsidRPr="00A977AD" w:rsidRDefault="00A977AD" w:rsidP="00A67DC0">
      <w:pPr>
        <w:pStyle w:val="ListParagraph"/>
        <w:numPr>
          <w:ilvl w:val="0"/>
          <w:numId w:val="5"/>
        </w:numPr>
        <w:spacing w:after="240" w:line="240" w:lineRule="auto"/>
        <w:ind w:left="714" w:hanging="357"/>
        <w:jc w:val="both"/>
        <w:rPr>
          <w:rFonts w:ascii="Calibri" w:hAnsi="Calibri"/>
          <w:sz w:val="24"/>
          <w:szCs w:val="24"/>
        </w:rPr>
      </w:pPr>
      <w:r w:rsidRPr="00A977AD">
        <w:rPr>
          <w:rFonts w:ascii="Calibri" w:hAnsi="Calibri"/>
          <w:sz w:val="24"/>
          <w:szCs w:val="24"/>
        </w:rPr>
        <w:lastRenderedPageBreak/>
        <w:t xml:space="preserve">the competitiveness of the peer review </w:t>
      </w:r>
    </w:p>
    <w:p w14:paraId="73321CE0" w14:textId="77777777" w:rsidR="00A977AD" w:rsidRPr="00A977AD" w:rsidRDefault="00A977AD" w:rsidP="00A67DC0">
      <w:pPr>
        <w:pStyle w:val="ListParagraph"/>
        <w:numPr>
          <w:ilvl w:val="0"/>
          <w:numId w:val="5"/>
        </w:numPr>
        <w:spacing w:after="240" w:line="240" w:lineRule="auto"/>
        <w:ind w:left="714" w:hanging="357"/>
        <w:jc w:val="both"/>
        <w:rPr>
          <w:rFonts w:ascii="Calibri" w:hAnsi="Calibri"/>
          <w:sz w:val="24"/>
          <w:szCs w:val="24"/>
        </w:rPr>
      </w:pPr>
      <w:r w:rsidRPr="00A977AD">
        <w:rPr>
          <w:rFonts w:ascii="Calibri" w:hAnsi="Calibri"/>
          <w:sz w:val="24"/>
          <w:szCs w:val="24"/>
        </w:rPr>
        <w:t xml:space="preserve">the appropriateness of the mechanism for protracted crises </w:t>
      </w:r>
    </w:p>
    <w:p w14:paraId="648AC4EB" w14:textId="77777777" w:rsidR="00A977AD" w:rsidRPr="00A977AD" w:rsidRDefault="00A977AD" w:rsidP="00A67DC0">
      <w:pPr>
        <w:pStyle w:val="ListParagraph"/>
        <w:numPr>
          <w:ilvl w:val="0"/>
          <w:numId w:val="5"/>
        </w:numPr>
        <w:spacing w:after="240" w:line="240" w:lineRule="auto"/>
        <w:ind w:left="714" w:hanging="357"/>
        <w:jc w:val="both"/>
        <w:rPr>
          <w:rFonts w:ascii="Calibri" w:hAnsi="Calibri"/>
          <w:sz w:val="24"/>
          <w:szCs w:val="24"/>
        </w:rPr>
      </w:pPr>
      <w:r w:rsidRPr="00A977AD">
        <w:rPr>
          <w:rFonts w:ascii="Calibri" w:hAnsi="Calibri"/>
          <w:sz w:val="24"/>
          <w:szCs w:val="24"/>
        </w:rPr>
        <w:t xml:space="preserve">the purpose of the partnership and of the strategic dialogue </w:t>
      </w:r>
    </w:p>
    <w:p w14:paraId="3AB15BD7" w14:textId="77777777" w:rsidR="00A977AD" w:rsidRPr="00A977AD" w:rsidRDefault="00A977AD" w:rsidP="00A67DC0">
      <w:pPr>
        <w:pStyle w:val="ListParagraph"/>
        <w:numPr>
          <w:ilvl w:val="0"/>
          <w:numId w:val="5"/>
        </w:numPr>
        <w:spacing w:after="240" w:line="240" w:lineRule="auto"/>
        <w:ind w:left="714" w:hanging="357"/>
        <w:jc w:val="both"/>
        <w:rPr>
          <w:rFonts w:ascii="Calibri" w:hAnsi="Calibri"/>
          <w:sz w:val="24"/>
          <w:szCs w:val="24"/>
        </w:rPr>
      </w:pPr>
      <w:r w:rsidRPr="00A977AD">
        <w:rPr>
          <w:rFonts w:ascii="Calibri" w:hAnsi="Calibri"/>
          <w:sz w:val="24"/>
          <w:szCs w:val="24"/>
        </w:rPr>
        <w:t>the lack of public awareness and visibility</w:t>
      </w:r>
      <w:r w:rsidR="00EB2AC9">
        <w:rPr>
          <w:rFonts w:ascii="Calibri" w:hAnsi="Calibri"/>
          <w:sz w:val="24"/>
          <w:szCs w:val="24"/>
        </w:rPr>
        <w:t>,</w:t>
      </w:r>
      <w:r w:rsidRPr="00A977AD">
        <w:rPr>
          <w:rFonts w:ascii="Calibri" w:hAnsi="Calibri"/>
          <w:sz w:val="24"/>
          <w:szCs w:val="24"/>
        </w:rPr>
        <w:t xml:space="preserve"> and </w:t>
      </w:r>
    </w:p>
    <w:p w14:paraId="411D133C" w14:textId="77777777" w:rsidR="00A977AD" w:rsidRPr="00A977AD" w:rsidRDefault="00A977AD" w:rsidP="00A67DC0">
      <w:pPr>
        <w:pStyle w:val="ListParagraph"/>
        <w:numPr>
          <w:ilvl w:val="0"/>
          <w:numId w:val="5"/>
        </w:numPr>
        <w:spacing w:after="240" w:line="240" w:lineRule="auto"/>
        <w:ind w:left="714" w:hanging="357"/>
        <w:jc w:val="both"/>
        <w:rPr>
          <w:rFonts w:ascii="Calibri" w:hAnsi="Calibri"/>
          <w:sz w:val="24"/>
          <w:szCs w:val="24"/>
        </w:rPr>
      </w:pPr>
      <w:r w:rsidRPr="00A977AD">
        <w:rPr>
          <w:rFonts w:ascii="Calibri" w:hAnsi="Calibri"/>
          <w:sz w:val="24"/>
          <w:szCs w:val="24"/>
        </w:rPr>
        <w:t xml:space="preserve">some aspects of monitoring, evaluation and learning.  </w:t>
      </w:r>
    </w:p>
    <w:p w14:paraId="1377AD41" w14:textId="77777777" w:rsidR="00A977AD" w:rsidRPr="00A977AD" w:rsidRDefault="00A977AD" w:rsidP="00A67DC0">
      <w:pPr>
        <w:pStyle w:val="SDAbodytext"/>
        <w:spacing w:before="0" w:after="240"/>
        <w:jc w:val="both"/>
        <w:rPr>
          <w:rFonts w:ascii="Calibri" w:hAnsi="Calibri"/>
          <w:sz w:val="24"/>
          <w:szCs w:val="24"/>
        </w:rPr>
      </w:pPr>
      <w:r w:rsidRPr="00A977AD">
        <w:rPr>
          <w:rFonts w:ascii="Calibri" w:hAnsi="Calibri"/>
          <w:sz w:val="24"/>
          <w:szCs w:val="24"/>
        </w:rPr>
        <w:t xml:space="preserve">A summary of lessons relevant to the design can be found at </w:t>
      </w:r>
      <w:r w:rsidRPr="00A977AD">
        <w:rPr>
          <w:rFonts w:ascii="Calibri" w:hAnsi="Calibri"/>
          <w:b/>
          <w:sz w:val="24"/>
          <w:szCs w:val="24"/>
          <w:u w:val="single"/>
        </w:rPr>
        <w:t>Annex 1</w:t>
      </w:r>
      <w:r w:rsidRPr="00A977AD">
        <w:rPr>
          <w:rFonts w:ascii="Calibri" w:hAnsi="Calibri"/>
          <w:sz w:val="24"/>
          <w:szCs w:val="24"/>
        </w:rPr>
        <w:t xml:space="preserve">. </w:t>
      </w:r>
    </w:p>
    <w:p w14:paraId="713E62E3" w14:textId="77777777" w:rsidR="00A977AD" w:rsidRPr="00A977AD" w:rsidRDefault="00A977AD" w:rsidP="00A67DC0">
      <w:pPr>
        <w:spacing w:after="240"/>
        <w:jc w:val="both"/>
        <w:rPr>
          <w:rFonts w:ascii="Calibri" w:hAnsi="Calibri"/>
        </w:rPr>
      </w:pPr>
      <w:r w:rsidRPr="00A977AD">
        <w:rPr>
          <w:rFonts w:ascii="Calibri" w:hAnsi="Calibri"/>
          <w:b/>
        </w:rPr>
        <w:t>Global discussions around humanitarian effectiveness have also influenced the design</w:t>
      </w:r>
      <w:r w:rsidRPr="00A977AD">
        <w:rPr>
          <w:rFonts w:ascii="Calibri" w:hAnsi="Calibri"/>
        </w:rPr>
        <w:t>. Good Humanitarian Donorship principles call on donors to “strive to achieve predictability and flexibility in funding” (GHD principle 12).</w:t>
      </w:r>
      <w:r w:rsidRPr="00A977AD">
        <w:rPr>
          <w:rStyle w:val="FootnoteReference"/>
          <w:rFonts w:cs="Times New Roman"/>
          <w:szCs w:val="16"/>
        </w:rPr>
        <w:footnoteReference w:id="23"/>
      </w:r>
      <w:r w:rsidRPr="00A977AD">
        <w:rPr>
          <w:rStyle w:val="FootnoteReference"/>
          <w:rFonts w:ascii="Calibri" w:hAnsi="Calibri"/>
          <w:sz w:val="24"/>
          <w:szCs w:val="24"/>
        </w:rPr>
        <w:t xml:space="preserve"> </w:t>
      </w:r>
      <w:r w:rsidRPr="00A977AD">
        <w:rPr>
          <w:rFonts w:ascii="Calibri" w:hAnsi="Calibri"/>
        </w:rPr>
        <w:t>Many are also suggesting the need for a fundamental shift in the humanitarian business model – “from a culture and set of practises that tend towards insularity, reactiveness and competition towards an enterprise rooted in anticipation, transparency, research and experimentation, and strategic collaboration”.</w:t>
      </w:r>
      <w:r w:rsidRPr="00A977AD">
        <w:rPr>
          <w:rStyle w:val="FootnoteReference"/>
          <w:rFonts w:cs="Times New Roman"/>
          <w:szCs w:val="16"/>
        </w:rPr>
        <w:footnoteReference w:id="24"/>
      </w:r>
    </w:p>
    <w:p w14:paraId="01649B39" w14:textId="0407104D" w:rsidR="00A977AD" w:rsidRPr="00A977AD" w:rsidRDefault="00A977AD" w:rsidP="00A67DC0">
      <w:pPr>
        <w:spacing w:after="240"/>
        <w:jc w:val="both"/>
        <w:rPr>
          <w:rFonts w:ascii="Calibri" w:hAnsi="Calibri"/>
        </w:rPr>
      </w:pPr>
      <w:r w:rsidRPr="00A977AD">
        <w:rPr>
          <w:rFonts w:ascii="Calibri" w:hAnsi="Calibri"/>
        </w:rPr>
        <w:t xml:space="preserve">Recent research by </w:t>
      </w:r>
      <w:r w:rsidR="00B80E8A">
        <w:rPr>
          <w:rFonts w:ascii="Calibri" w:hAnsi="Calibri"/>
        </w:rPr>
        <w:t>the Overseas Development Institute (</w:t>
      </w:r>
      <w:r w:rsidRPr="00A977AD">
        <w:rPr>
          <w:rFonts w:ascii="Calibri" w:hAnsi="Calibri"/>
        </w:rPr>
        <w:t>ODI</w:t>
      </w:r>
      <w:r w:rsidR="00B80E8A">
        <w:rPr>
          <w:rFonts w:ascii="Calibri" w:hAnsi="Calibri"/>
        </w:rPr>
        <w:t>)</w:t>
      </w:r>
      <w:r w:rsidRPr="00A977AD">
        <w:rPr>
          <w:rFonts w:ascii="Calibri" w:hAnsi="Calibri"/>
        </w:rPr>
        <w:t xml:space="preserve"> found that humanitarian effectiveness will be improved by a more locally-rooted or inclusive humanitarian community which “leverages the capacities (and the responsibilities) of states, civil society and affected communities, supported by international actors”.</w:t>
      </w:r>
      <w:r w:rsidRPr="00A977AD">
        <w:rPr>
          <w:rStyle w:val="FootnoteReference"/>
          <w:rFonts w:cs="Times New Roman"/>
          <w:szCs w:val="16"/>
        </w:rPr>
        <w:footnoteReference w:id="25"/>
      </w:r>
      <w:r w:rsidRPr="00A977AD">
        <w:rPr>
          <w:rFonts w:ascii="Times New Roman" w:hAnsi="Times New Roman" w:cs="Times New Roman"/>
          <w:sz w:val="16"/>
          <w:szCs w:val="16"/>
        </w:rPr>
        <w:t xml:space="preserve"> </w:t>
      </w:r>
      <w:r w:rsidRPr="00A977AD">
        <w:rPr>
          <w:rFonts w:ascii="Calibri" w:hAnsi="Calibri"/>
        </w:rPr>
        <w:t>OECD research is also extensive in this area. Some relevant recommendations include the importance of working with different partners recognising their comparative advantage, the need to move away from a one-size fits all response model, and the need to recognise (in policy and programming) that humanitarian effectiveness is a shared responsibility but different actors have different roles</w:t>
      </w:r>
      <w:r w:rsidR="00EB2AC9">
        <w:rPr>
          <w:rFonts w:ascii="Calibri" w:hAnsi="Calibri"/>
        </w:rPr>
        <w:t xml:space="preserve"> to play</w:t>
      </w:r>
      <w:r w:rsidRPr="00A977AD">
        <w:rPr>
          <w:rFonts w:ascii="Calibri" w:hAnsi="Calibri"/>
        </w:rPr>
        <w:t>.</w:t>
      </w:r>
      <w:r w:rsidRPr="00A977AD">
        <w:rPr>
          <w:rStyle w:val="FootnoteReference"/>
          <w:rFonts w:cs="Times New Roman"/>
          <w:szCs w:val="16"/>
        </w:rPr>
        <w:footnoteReference w:id="26"/>
      </w:r>
      <w:r w:rsidRPr="00A977AD">
        <w:rPr>
          <w:rFonts w:ascii="Times New Roman" w:hAnsi="Times New Roman" w:cs="Times New Roman"/>
          <w:sz w:val="16"/>
          <w:szCs w:val="16"/>
        </w:rPr>
        <w:t xml:space="preserve"> </w:t>
      </w:r>
    </w:p>
    <w:p w14:paraId="0BA39DD2" w14:textId="77777777" w:rsidR="00A977AD" w:rsidRPr="00A977AD" w:rsidRDefault="00A977AD" w:rsidP="00A67DC0">
      <w:pPr>
        <w:spacing w:after="240"/>
        <w:jc w:val="both"/>
        <w:rPr>
          <w:rStyle w:val="FootnoteReference"/>
          <w:rFonts w:ascii="Calibri" w:hAnsi="Calibri"/>
          <w:sz w:val="24"/>
          <w:szCs w:val="24"/>
        </w:rPr>
      </w:pPr>
      <w:r w:rsidRPr="00A544E0">
        <w:rPr>
          <w:rFonts w:ascii="Calibri" w:hAnsi="Calibri"/>
          <w:b/>
        </w:rPr>
        <w:t>The global discussion around the role of International NGOs (INGOs) is also relevant to this investment</w:t>
      </w:r>
      <w:r w:rsidRPr="00A977AD">
        <w:rPr>
          <w:rFonts w:ascii="Calibri" w:hAnsi="Calibri"/>
        </w:rPr>
        <w:t>. INGOs are recognised to have specific capabilities to offer</w:t>
      </w:r>
      <w:r w:rsidR="00FF6782">
        <w:rPr>
          <w:rFonts w:ascii="Calibri" w:hAnsi="Calibri"/>
        </w:rPr>
        <w:t>,</w:t>
      </w:r>
      <w:r w:rsidRPr="00A977AD">
        <w:rPr>
          <w:rFonts w:ascii="Calibri" w:hAnsi="Calibri"/>
        </w:rPr>
        <w:t xml:space="preserve"> including their field-based knowledge and established relationships. However, global research points to their future role in the humanitarian sector changing, bringing with it new ways that INGOs can add value. These new ways include NGOs as innovators: identifying and demonstrating innovative practices that will be needed, particularly for prevention and preparedness. It also speaks to INGOs as actors who can “support capacity-building both at community and central levels to promote resilience and sustainability”.</w:t>
      </w:r>
      <w:r w:rsidRPr="00A977AD">
        <w:rPr>
          <w:rStyle w:val="FootnoteReference"/>
          <w:rFonts w:cs="Times New Roman"/>
          <w:szCs w:val="16"/>
        </w:rPr>
        <w:footnoteReference w:id="27"/>
      </w:r>
    </w:p>
    <w:p w14:paraId="1EEA390A" w14:textId="77777777" w:rsidR="00A977AD" w:rsidRPr="007157F7" w:rsidRDefault="00A977AD" w:rsidP="00A67DC0">
      <w:pPr>
        <w:pStyle w:val="Heading2"/>
        <w:spacing w:after="240"/>
        <w:jc w:val="both"/>
        <w:rPr>
          <w:sz w:val="24"/>
          <w:szCs w:val="24"/>
        </w:rPr>
      </w:pPr>
      <w:bookmarkStart w:id="14" w:name="_Toc448777798"/>
      <w:r w:rsidRPr="007157F7">
        <w:rPr>
          <w:sz w:val="24"/>
          <w:szCs w:val="24"/>
        </w:rPr>
        <w:lastRenderedPageBreak/>
        <w:t>Strategic Rationale for DFAT Engagement</w:t>
      </w:r>
      <w:bookmarkEnd w:id="14"/>
    </w:p>
    <w:p w14:paraId="1A9AF902" w14:textId="77777777" w:rsidR="00A977AD" w:rsidRPr="00A977AD" w:rsidRDefault="00A977AD" w:rsidP="00A67DC0">
      <w:pPr>
        <w:spacing w:after="240"/>
        <w:jc w:val="both"/>
        <w:rPr>
          <w:rFonts w:ascii="Calibri" w:hAnsi="Calibri"/>
        </w:rPr>
      </w:pPr>
      <w:r w:rsidRPr="00A977AD">
        <w:rPr>
          <w:rFonts w:ascii="Calibri" w:hAnsi="Calibri"/>
          <w:b/>
        </w:rPr>
        <w:t>It is in Australia’s national interest to have a stable and economically productive region</w:t>
      </w:r>
      <w:r w:rsidRPr="00A977AD">
        <w:rPr>
          <w:rFonts w:ascii="Calibri" w:hAnsi="Calibri"/>
        </w:rPr>
        <w:t xml:space="preserve">. Conflict and natural </w:t>
      </w:r>
      <w:r w:rsidR="00AB14F2">
        <w:rPr>
          <w:rFonts w:ascii="Calibri" w:hAnsi="Calibri"/>
        </w:rPr>
        <w:t>hazards</w:t>
      </w:r>
      <w:r w:rsidR="00AB14F2" w:rsidRPr="00A977AD">
        <w:rPr>
          <w:rFonts w:ascii="Calibri" w:hAnsi="Calibri"/>
        </w:rPr>
        <w:t xml:space="preserve"> </w:t>
      </w:r>
      <w:r w:rsidRPr="00A977AD">
        <w:rPr>
          <w:rFonts w:ascii="Calibri" w:hAnsi="Calibri"/>
        </w:rPr>
        <w:t xml:space="preserve">undermine growth, and increase poverty and insecurity. Reducing risk </w:t>
      </w:r>
      <w:r w:rsidR="003C4CE7">
        <w:rPr>
          <w:rFonts w:ascii="Calibri" w:hAnsi="Calibri"/>
        </w:rPr>
        <w:t>is a</w:t>
      </w:r>
      <w:r w:rsidRPr="00A977AD">
        <w:rPr>
          <w:rFonts w:ascii="Calibri" w:hAnsi="Calibri"/>
        </w:rPr>
        <w:t xml:space="preserve"> priorit</w:t>
      </w:r>
      <w:r w:rsidR="003C4CE7">
        <w:rPr>
          <w:rFonts w:ascii="Calibri" w:hAnsi="Calibri"/>
        </w:rPr>
        <w:t>y</w:t>
      </w:r>
      <w:r w:rsidRPr="00A977AD">
        <w:rPr>
          <w:rFonts w:ascii="Calibri" w:hAnsi="Calibri"/>
        </w:rPr>
        <w:t xml:space="preserve"> not only to save lives but also </w:t>
      </w:r>
      <w:r w:rsidR="003C4CE7">
        <w:rPr>
          <w:rFonts w:ascii="Calibri" w:hAnsi="Calibri"/>
        </w:rPr>
        <w:t>to provide a platform to build resilience and support</w:t>
      </w:r>
      <w:r w:rsidRPr="00A977AD">
        <w:rPr>
          <w:rFonts w:ascii="Calibri" w:hAnsi="Calibri"/>
        </w:rPr>
        <w:t xml:space="preserve"> sustainable economic growth.</w:t>
      </w:r>
    </w:p>
    <w:p w14:paraId="464F7EAE" w14:textId="77777777" w:rsidR="00A977AD" w:rsidRPr="00A977AD" w:rsidRDefault="00A977AD" w:rsidP="00A67DC0">
      <w:pPr>
        <w:shd w:val="clear" w:color="auto" w:fill="FFFFFF"/>
        <w:spacing w:after="240"/>
        <w:jc w:val="both"/>
        <w:rPr>
          <w:rFonts w:ascii="Calibri" w:hAnsi="Calibri"/>
        </w:rPr>
      </w:pPr>
      <w:r w:rsidRPr="00A977AD">
        <w:rPr>
          <w:rFonts w:ascii="Calibri" w:hAnsi="Calibri"/>
          <w:b/>
        </w:rPr>
        <w:t xml:space="preserve">The Australian Government is committed to responding rapidly to international humanitarian crises, </w:t>
      </w:r>
      <w:r w:rsidRPr="00A977AD">
        <w:rPr>
          <w:rFonts w:ascii="Calibri" w:hAnsi="Calibri"/>
        </w:rPr>
        <w:t>with</w:t>
      </w:r>
      <w:r w:rsidRPr="00A977AD">
        <w:rPr>
          <w:rFonts w:ascii="Calibri" w:hAnsi="Calibri"/>
          <w:b/>
        </w:rPr>
        <w:t xml:space="preserve"> </w:t>
      </w:r>
      <w:r w:rsidRPr="00A977AD">
        <w:rPr>
          <w:rFonts w:ascii="Calibri" w:hAnsi="Calibri"/>
        </w:rPr>
        <w:t xml:space="preserve">DFAT as the lead Australian Government department in preventing, preparing for, responding to, and recovering from international humanitarian disasters and other crises. Disaster </w:t>
      </w:r>
      <w:r w:rsidR="00111040">
        <w:rPr>
          <w:rFonts w:ascii="Calibri" w:hAnsi="Calibri"/>
        </w:rPr>
        <w:t>risk reduction</w:t>
      </w:r>
      <w:r w:rsidR="00F96318">
        <w:rPr>
          <w:rFonts w:ascii="Calibri" w:hAnsi="Calibri"/>
        </w:rPr>
        <w:t>,</w:t>
      </w:r>
      <w:r w:rsidRPr="00A977AD">
        <w:rPr>
          <w:rFonts w:ascii="Calibri" w:hAnsi="Calibri"/>
        </w:rPr>
        <w:t xml:space="preserve"> humanitarian response</w:t>
      </w:r>
      <w:r w:rsidR="00F96318">
        <w:rPr>
          <w:rFonts w:ascii="Calibri" w:hAnsi="Calibri"/>
        </w:rPr>
        <w:t xml:space="preserve"> and supporting </w:t>
      </w:r>
      <w:r w:rsidR="00B654D2">
        <w:rPr>
          <w:rFonts w:ascii="Calibri" w:hAnsi="Calibri"/>
        </w:rPr>
        <w:t xml:space="preserve">early </w:t>
      </w:r>
      <w:r w:rsidR="00F96318">
        <w:rPr>
          <w:rFonts w:ascii="Calibri" w:hAnsi="Calibri"/>
        </w:rPr>
        <w:t>recovery</w:t>
      </w:r>
      <w:r w:rsidRPr="00A977AD">
        <w:rPr>
          <w:rFonts w:ascii="Calibri" w:hAnsi="Calibri"/>
        </w:rPr>
        <w:t xml:space="preserve"> are core responsibilities of DFAT, as reflected in the Australian Government’s aid policy under the investment priority “</w:t>
      </w:r>
      <w:r w:rsidRPr="00A977AD">
        <w:rPr>
          <w:rFonts w:ascii="Calibri" w:hAnsi="Calibri"/>
          <w:i/>
        </w:rPr>
        <w:t>Building Resilience: Humanitarian Assistance, Disaster Risk Reduction and Social Protection</w:t>
      </w:r>
      <w:r w:rsidRPr="00A977AD">
        <w:rPr>
          <w:rFonts w:ascii="Calibri" w:hAnsi="Calibri"/>
        </w:rPr>
        <w:t xml:space="preserve">”. </w:t>
      </w:r>
    </w:p>
    <w:p w14:paraId="72BBBD33" w14:textId="77777777" w:rsidR="00A977AD" w:rsidRPr="00A977AD" w:rsidRDefault="00A977AD" w:rsidP="00A67DC0">
      <w:pPr>
        <w:spacing w:after="240"/>
        <w:jc w:val="both"/>
        <w:rPr>
          <w:rFonts w:ascii="Calibri" w:hAnsi="Calibri"/>
        </w:rPr>
      </w:pPr>
      <w:r w:rsidRPr="00A977AD">
        <w:rPr>
          <w:rFonts w:ascii="Calibri" w:hAnsi="Calibri"/>
          <w:b/>
        </w:rPr>
        <w:t xml:space="preserve">It is widely acknowledged that crisis-affected people will be better served if the humanitarian community draws upon a range of actors </w:t>
      </w:r>
      <w:r w:rsidR="004D1C94">
        <w:rPr>
          <w:rFonts w:ascii="Calibri" w:hAnsi="Calibri"/>
          <w:b/>
        </w:rPr>
        <w:t xml:space="preserve">including the affected population themselves, </w:t>
      </w:r>
      <w:r w:rsidRPr="00A977AD">
        <w:rPr>
          <w:rFonts w:ascii="Calibri" w:hAnsi="Calibri"/>
          <w:b/>
        </w:rPr>
        <w:t>depending on their comparative advantage</w:t>
      </w:r>
      <w:r w:rsidR="00963626">
        <w:rPr>
          <w:rFonts w:ascii="Calibri" w:hAnsi="Calibri"/>
          <w:b/>
        </w:rPr>
        <w:t>s</w:t>
      </w:r>
      <w:r w:rsidRPr="00A977AD">
        <w:rPr>
          <w:rFonts w:ascii="Calibri" w:hAnsi="Calibri"/>
        </w:rPr>
        <w:t>.</w:t>
      </w:r>
      <w:r w:rsidR="00EC7A84">
        <w:rPr>
          <w:rStyle w:val="FootnoteReference"/>
        </w:rPr>
        <w:footnoteReference w:id="28"/>
      </w:r>
      <w:r w:rsidRPr="00A977AD">
        <w:rPr>
          <w:rFonts w:ascii="Calibri" w:hAnsi="Calibri"/>
        </w:rPr>
        <w:t xml:space="preserve"> DFAT has a range of options available when responding to humanitarian crises, including:</w:t>
      </w:r>
    </w:p>
    <w:p w14:paraId="275649E9" w14:textId="77777777" w:rsidR="00A977AD" w:rsidRPr="00A977AD" w:rsidRDefault="00A977AD" w:rsidP="00A67DC0">
      <w:pPr>
        <w:pStyle w:val="ListParagraph"/>
        <w:numPr>
          <w:ilvl w:val="0"/>
          <w:numId w:val="5"/>
        </w:numPr>
        <w:spacing w:after="240" w:line="240" w:lineRule="auto"/>
        <w:jc w:val="both"/>
        <w:rPr>
          <w:rFonts w:ascii="Calibri" w:hAnsi="Calibri"/>
          <w:sz w:val="24"/>
          <w:szCs w:val="24"/>
        </w:rPr>
      </w:pPr>
      <w:r w:rsidRPr="00A977AD">
        <w:rPr>
          <w:rFonts w:ascii="Calibri" w:hAnsi="Calibri"/>
          <w:sz w:val="24"/>
          <w:szCs w:val="24"/>
        </w:rPr>
        <w:t>multilateral partners like the United Nations</w:t>
      </w:r>
    </w:p>
    <w:p w14:paraId="345E3734" w14:textId="493BDE8A" w:rsidR="00A977AD" w:rsidRPr="00A977AD" w:rsidRDefault="00A977AD" w:rsidP="00A67DC0">
      <w:pPr>
        <w:pStyle w:val="ListParagraph"/>
        <w:numPr>
          <w:ilvl w:val="0"/>
          <w:numId w:val="5"/>
        </w:numPr>
        <w:spacing w:after="240" w:line="240" w:lineRule="auto"/>
        <w:jc w:val="both"/>
        <w:rPr>
          <w:rFonts w:ascii="Calibri" w:hAnsi="Calibri"/>
          <w:sz w:val="24"/>
          <w:szCs w:val="24"/>
        </w:rPr>
      </w:pPr>
      <w:r w:rsidRPr="00A977AD">
        <w:rPr>
          <w:rFonts w:ascii="Calibri" w:hAnsi="Calibri"/>
          <w:sz w:val="24"/>
          <w:szCs w:val="24"/>
        </w:rPr>
        <w:t>Red Cross</w:t>
      </w:r>
    </w:p>
    <w:p w14:paraId="1D788B47" w14:textId="77777777" w:rsidR="00A977AD" w:rsidRPr="00A977AD" w:rsidRDefault="00A977AD" w:rsidP="00A67DC0">
      <w:pPr>
        <w:pStyle w:val="ListParagraph"/>
        <w:numPr>
          <w:ilvl w:val="0"/>
          <w:numId w:val="5"/>
        </w:numPr>
        <w:spacing w:after="240" w:line="240" w:lineRule="auto"/>
        <w:jc w:val="both"/>
        <w:rPr>
          <w:rFonts w:ascii="Calibri" w:hAnsi="Calibri"/>
          <w:sz w:val="24"/>
          <w:szCs w:val="24"/>
        </w:rPr>
      </w:pPr>
      <w:r w:rsidRPr="00A977AD">
        <w:rPr>
          <w:rFonts w:ascii="Calibri" w:hAnsi="Calibri"/>
          <w:sz w:val="24"/>
          <w:szCs w:val="24"/>
        </w:rPr>
        <w:t xml:space="preserve">deployment of specialised personnel </w:t>
      </w:r>
    </w:p>
    <w:p w14:paraId="3483DDEA" w14:textId="77777777" w:rsidR="00A977AD" w:rsidRPr="00A977AD" w:rsidRDefault="00A977AD" w:rsidP="00A67DC0">
      <w:pPr>
        <w:pStyle w:val="ListParagraph"/>
        <w:numPr>
          <w:ilvl w:val="0"/>
          <w:numId w:val="5"/>
        </w:numPr>
        <w:spacing w:after="240" w:line="240" w:lineRule="auto"/>
        <w:jc w:val="both"/>
        <w:rPr>
          <w:rFonts w:ascii="Calibri" w:hAnsi="Calibri"/>
          <w:sz w:val="24"/>
          <w:szCs w:val="24"/>
        </w:rPr>
      </w:pPr>
      <w:r w:rsidRPr="00A977AD">
        <w:rPr>
          <w:rFonts w:ascii="Calibri" w:hAnsi="Calibri"/>
          <w:sz w:val="24"/>
          <w:szCs w:val="24"/>
        </w:rPr>
        <w:t xml:space="preserve">providing relief supplies and logistics; and </w:t>
      </w:r>
    </w:p>
    <w:p w14:paraId="41E5198C" w14:textId="77777777" w:rsidR="00A977AD" w:rsidRPr="00A977AD" w:rsidRDefault="00A977AD" w:rsidP="00A67DC0">
      <w:pPr>
        <w:pStyle w:val="ListParagraph"/>
        <w:numPr>
          <w:ilvl w:val="0"/>
          <w:numId w:val="5"/>
        </w:numPr>
        <w:spacing w:after="240" w:line="240" w:lineRule="auto"/>
        <w:ind w:left="714" w:hanging="357"/>
        <w:jc w:val="both"/>
        <w:rPr>
          <w:rFonts w:ascii="Calibri" w:hAnsi="Calibri"/>
          <w:sz w:val="24"/>
          <w:szCs w:val="24"/>
        </w:rPr>
      </w:pPr>
      <w:r w:rsidRPr="00A977AD">
        <w:rPr>
          <w:rFonts w:ascii="Calibri" w:hAnsi="Calibri"/>
          <w:sz w:val="24"/>
          <w:szCs w:val="24"/>
        </w:rPr>
        <w:t xml:space="preserve">partnerships with Australian </w:t>
      </w:r>
      <w:r w:rsidR="00213C5F">
        <w:rPr>
          <w:rFonts w:ascii="Calibri" w:hAnsi="Calibri"/>
          <w:sz w:val="24"/>
          <w:szCs w:val="24"/>
        </w:rPr>
        <w:t>NGOs</w:t>
      </w:r>
      <w:r w:rsidRPr="00A977AD">
        <w:rPr>
          <w:rFonts w:ascii="Calibri" w:hAnsi="Calibri"/>
          <w:sz w:val="24"/>
          <w:szCs w:val="24"/>
        </w:rPr>
        <w:t>.</w:t>
      </w:r>
    </w:p>
    <w:p w14:paraId="0D11EAE7" w14:textId="77777777" w:rsidR="00A977AD" w:rsidRPr="00A977AD" w:rsidRDefault="00A977AD" w:rsidP="00A67DC0">
      <w:pPr>
        <w:shd w:val="clear" w:color="auto" w:fill="FFFFFF"/>
        <w:spacing w:after="240"/>
        <w:jc w:val="both"/>
        <w:rPr>
          <w:rFonts w:ascii="Calibri" w:hAnsi="Calibri"/>
        </w:rPr>
      </w:pPr>
      <w:r w:rsidRPr="00A977AD">
        <w:rPr>
          <w:rFonts w:ascii="Calibri" w:hAnsi="Calibri"/>
          <w:b/>
        </w:rPr>
        <w:t xml:space="preserve">This Investment Design builds on DFAT’s history of working with </w:t>
      </w:r>
      <w:r w:rsidRPr="00EB2AC9">
        <w:rPr>
          <w:rFonts w:ascii="Calibri" w:hAnsi="Calibri"/>
          <w:b/>
        </w:rPr>
        <w:t>ANGOs</w:t>
      </w:r>
      <w:r w:rsidRPr="00A977AD">
        <w:rPr>
          <w:rFonts w:ascii="Calibri" w:hAnsi="Calibri"/>
        </w:rPr>
        <w:t xml:space="preserve"> to deliver humanitarian assistance and to contribute to more resilient communities.</w:t>
      </w:r>
      <w:r w:rsidRPr="00A977AD">
        <w:rPr>
          <w:rStyle w:val="FootnoteReference"/>
          <w:rFonts w:cs="Times New Roman"/>
          <w:szCs w:val="16"/>
        </w:rPr>
        <w:footnoteReference w:id="29"/>
      </w:r>
      <w:r w:rsidRPr="00A977AD">
        <w:rPr>
          <w:rFonts w:ascii="Calibri" w:hAnsi="Calibri"/>
        </w:rPr>
        <w:t xml:space="preserve">  This investment will replace</w:t>
      </w:r>
      <w:r w:rsidRPr="00A977AD">
        <w:rPr>
          <w:rFonts w:ascii="Calibri" w:hAnsi="Calibri"/>
          <w:b/>
        </w:rPr>
        <w:t xml:space="preserve"> </w:t>
      </w:r>
      <w:r w:rsidRPr="00A977AD">
        <w:rPr>
          <w:rFonts w:ascii="Calibri" w:hAnsi="Calibri"/>
        </w:rPr>
        <w:t xml:space="preserve">the current </w:t>
      </w:r>
      <w:r w:rsidRPr="00A977AD">
        <w:rPr>
          <w:rFonts w:ascii="Calibri" w:hAnsi="Calibri"/>
          <w:i/>
        </w:rPr>
        <w:t>DFAT-NGO</w:t>
      </w:r>
      <w:r w:rsidRPr="00A977AD">
        <w:rPr>
          <w:rFonts w:ascii="Calibri" w:hAnsi="Calibri"/>
        </w:rPr>
        <w:t xml:space="preserve"> </w:t>
      </w:r>
      <w:r w:rsidRPr="00A977AD">
        <w:rPr>
          <w:rFonts w:ascii="Calibri" w:hAnsi="Calibri"/>
          <w:i/>
        </w:rPr>
        <w:t xml:space="preserve">Humanitarian Partnership Agreement (HPA) </w:t>
      </w:r>
      <w:r w:rsidRPr="00A977AD">
        <w:rPr>
          <w:rFonts w:ascii="Calibri" w:hAnsi="Calibri"/>
        </w:rPr>
        <w:t>which is due to expire in 2016.</w:t>
      </w:r>
      <w:r w:rsidRPr="00A977AD">
        <w:rPr>
          <w:rFonts w:ascii="Calibri" w:hAnsi="Calibri"/>
          <w:i/>
        </w:rPr>
        <w:t xml:space="preserve"> </w:t>
      </w:r>
      <w:r w:rsidRPr="00A977AD">
        <w:rPr>
          <w:rFonts w:ascii="Calibri" w:hAnsi="Calibri"/>
        </w:rPr>
        <w:t xml:space="preserve"> </w:t>
      </w:r>
    </w:p>
    <w:p w14:paraId="036D47A2" w14:textId="77777777" w:rsidR="00A977AD" w:rsidRPr="00A977AD" w:rsidRDefault="00A977AD" w:rsidP="00C318DA">
      <w:pPr>
        <w:shd w:val="clear" w:color="auto" w:fill="FFFFFF"/>
        <w:spacing w:after="120"/>
        <w:jc w:val="both"/>
        <w:rPr>
          <w:rFonts w:ascii="Calibri" w:hAnsi="Calibri"/>
        </w:rPr>
      </w:pPr>
      <w:r w:rsidRPr="00A977AD">
        <w:rPr>
          <w:rFonts w:ascii="Calibri" w:hAnsi="Calibri"/>
          <w:b/>
        </w:rPr>
        <w:t xml:space="preserve">This investment and its outcomes are closely aligned to DFAT’s </w:t>
      </w:r>
      <w:r w:rsidRPr="008341C9">
        <w:rPr>
          <w:rFonts w:ascii="Calibri" w:hAnsi="Calibri"/>
          <w:b/>
        </w:rPr>
        <w:t>(draft)</w:t>
      </w:r>
      <w:r w:rsidRPr="00A977AD">
        <w:rPr>
          <w:rFonts w:ascii="Calibri" w:hAnsi="Calibri"/>
          <w:b/>
        </w:rPr>
        <w:t xml:space="preserve"> Humanitarian Strategy</w:t>
      </w:r>
      <w:r w:rsidRPr="00A977AD">
        <w:rPr>
          <w:rFonts w:ascii="Calibri" w:hAnsi="Calibri"/>
        </w:rPr>
        <w:t>.</w:t>
      </w:r>
      <w:r w:rsidRPr="00A977AD">
        <w:rPr>
          <w:rFonts w:ascii="Calibri" w:hAnsi="Calibri"/>
          <w:b/>
        </w:rPr>
        <w:t xml:space="preserve"> </w:t>
      </w:r>
      <w:r w:rsidRPr="00A977AD">
        <w:rPr>
          <w:rFonts w:ascii="Calibri" w:hAnsi="Calibri"/>
        </w:rPr>
        <w:t xml:space="preserve">The overarching goal of this Strategy is to save lives, alleviate suffering and enhance human dignity during and in the aftermath of conflict, </w:t>
      </w:r>
      <w:r w:rsidR="000D4D9D">
        <w:rPr>
          <w:rFonts w:ascii="Calibri" w:hAnsi="Calibri"/>
        </w:rPr>
        <w:t>disasters</w:t>
      </w:r>
      <w:r w:rsidR="00AB14F2" w:rsidRPr="00A977AD">
        <w:rPr>
          <w:rFonts w:ascii="Calibri" w:hAnsi="Calibri"/>
        </w:rPr>
        <w:t xml:space="preserve"> </w:t>
      </w:r>
      <w:r w:rsidRPr="00A977AD">
        <w:rPr>
          <w:rFonts w:ascii="Calibri" w:hAnsi="Calibri"/>
        </w:rPr>
        <w:t xml:space="preserve">and other humanitarian crises, as well as to </w:t>
      </w:r>
      <w:r w:rsidR="000D4D9D">
        <w:rPr>
          <w:rFonts w:ascii="Calibri" w:hAnsi="Calibri"/>
        </w:rPr>
        <w:t xml:space="preserve">prevent and </w:t>
      </w:r>
      <w:r w:rsidRPr="00A977AD">
        <w:rPr>
          <w:rFonts w:ascii="Calibri" w:hAnsi="Calibri"/>
        </w:rPr>
        <w:t xml:space="preserve">strengthen </w:t>
      </w:r>
      <w:r w:rsidR="00D65212">
        <w:rPr>
          <w:rFonts w:ascii="Calibri" w:hAnsi="Calibri"/>
        </w:rPr>
        <w:t xml:space="preserve">preparedness </w:t>
      </w:r>
      <w:r w:rsidR="000D4D9D">
        <w:rPr>
          <w:rFonts w:ascii="Calibri" w:hAnsi="Calibri"/>
        </w:rPr>
        <w:t>for the occurrence</w:t>
      </w:r>
      <w:r w:rsidRPr="00A977AD">
        <w:rPr>
          <w:rFonts w:ascii="Calibri" w:hAnsi="Calibri"/>
        </w:rPr>
        <w:t xml:space="preserve"> of such situations. To meet this goal, the Strategy identifies </w:t>
      </w:r>
      <w:r w:rsidR="000D4D9D">
        <w:rPr>
          <w:rFonts w:ascii="Calibri" w:hAnsi="Calibri"/>
        </w:rPr>
        <w:t>four</w:t>
      </w:r>
      <w:r w:rsidR="000D4D9D" w:rsidRPr="00A977AD">
        <w:rPr>
          <w:rFonts w:ascii="Calibri" w:hAnsi="Calibri"/>
        </w:rPr>
        <w:t xml:space="preserve"> </w:t>
      </w:r>
      <w:r w:rsidRPr="00A977AD">
        <w:rPr>
          <w:rFonts w:ascii="Calibri" w:hAnsi="Calibri"/>
        </w:rPr>
        <w:t xml:space="preserve">strategic </w:t>
      </w:r>
      <w:r w:rsidR="000D4D9D">
        <w:rPr>
          <w:rFonts w:ascii="Calibri" w:hAnsi="Calibri"/>
        </w:rPr>
        <w:t>objectives: strengthen international humanitarian action; reduce disaster risk; support preparedness and effective response; and enable early recovery</w:t>
      </w:r>
      <w:r w:rsidRPr="00A977AD">
        <w:rPr>
          <w:rFonts w:ascii="Calibri" w:hAnsi="Calibri"/>
        </w:rPr>
        <w:t xml:space="preserve">. This investment will make specific contributions across </w:t>
      </w:r>
      <w:r w:rsidR="000D4D9D">
        <w:rPr>
          <w:rFonts w:ascii="Calibri" w:hAnsi="Calibri"/>
        </w:rPr>
        <w:t xml:space="preserve">all </w:t>
      </w:r>
      <w:r w:rsidRPr="00A977AD">
        <w:rPr>
          <w:rFonts w:ascii="Calibri" w:hAnsi="Calibri"/>
        </w:rPr>
        <w:t xml:space="preserve">four </w:t>
      </w:r>
      <w:r w:rsidR="000D4D9D">
        <w:rPr>
          <w:rFonts w:ascii="Calibri" w:hAnsi="Calibri"/>
        </w:rPr>
        <w:t>of these objectives.</w:t>
      </w:r>
      <w:r w:rsidRPr="00A977AD">
        <w:rPr>
          <w:rFonts w:ascii="Calibri" w:hAnsi="Calibri"/>
        </w:rPr>
        <w:t xml:space="preserve"> </w:t>
      </w:r>
    </w:p>
    <w:p w14:paraId="1261CFAC" w14:textId="77777777" w:rsidR="00A977AD" w:rsidRPr="00A977AD" w:rsidRDefault="00A977AD" w:rsidP="00A67DC0">
      <w:pPr>
        <w:spacing w:after="240"/>
        <w:jc w:val="both"/>
        <w:rPr>
          <w:rFonts w:ascii="Calibri" w:hAnsi="Calibri"/>
        </w:rPr>
      </w:pPr>
      <w:r w:rsidRPr="00A977AD">
        <w:rPr>
          <w:rFonts w:ascii="Calibri" w:hAnsi="Calibri"/>
          <w:b/>
        </w:rPr>
        <w:t>Australia is well positioned to respond,</w:t>
      </w:r>
      <w:r w:rsidRPr="00A977AD">
        <w:rPr>
          <w:rFonts w:ascii="Calibri" w:hAnsi="Calibri"/>
        </w:rPr>
        <w:t xml:space="preserve"> particularly </w:t>
      </w:r>
      <w:r w:rsidR="00031795">
        <w:rPr>
          <w:rFonts w:ascii="Calibri" w:hAnsi="Calibri"/>
        </w:rPr>
        <w:t>with</w:t>
      </w:r>
      <w:r w:rsidRPr="00A977AD">
        <w:rPr>
          <w:rFonts w:ascii="Calibri" w:hAnsi="Calibri"/>
        </w:rPr>
        <w:t xml:space="preserve">in our region where Australia is looked upon to play a leadership role. </w:t>
      </w:r>
      <w:r w:rsidRPr="00E8631A">
        <w:rPr>
          <w:rFonts w:ascii="Calibri" w:hAnsi="Calibri"/>
        </w:rPr>
        <w:t xml:space="preserve">The investment will </w:t>
      </w:r>
      <w:r w:rsidR="00111040">
        <w:rPr>
          <w:rFonts w:ascii="Calibri" w:hAnsi="Calibri"/>
        </w:rPr>
        <w:t xml:space="preserve">be a vehicle to </w:t>
      </w:r>
      <w:r w:rsidR="00111040">
        <w:rPr>
          <w:rFonts w:ascii="Calibri" w:hAnsi="Calibri"/>
        </w:rPr>
        <w:lastRenderedPageBreak/>
        <w:t xml:space="preserve">also </w:t>
      </w:r>
      <w:r w:rsidRPr="00E8631A">
        <w:rPr>
          <w:rFonts w:ascii="Calibri" w:hAnsi="Calibri"/>
        </w:rPr>
        <w:t xml:space="preserve">give practical application to DFAT’s aspirations coming out of the </w:t>
      </w:r>
      <w:r w:rsidRPr="00E8631A">
        <w:rPr>
          <w:rFonts w:ascii="Calibri" w:hAnsi="Calibri"/>
          <w:i/>
        </w:rPr>
        <w:t>World Humanitarian Summit</w:t>
      </w:r>
      <w:r w:rsidRPr="00E8631A">
        <w:rPr>
          <w:rFonts w:ascii="Calibri" w:hAnsi="Calibri"/>
        </w:rPr>
        <w:t xml:space="preserve"> and support initiatives</w:t>
      </w:r>
      <w:r w:rsidRPr="00A977AD">
        <w:rPr>
          <w:rFonts w:ascii="Calibri" w:hAnsi="Calibri"/>
        </w:rPr>
        <w:t xml:space="preserve">, such as Pacific Island Forum agreements and the Government’s commitments under the </w:t>
      </w:r>
      <w:r w:rsidRPr="00A977AD">
        <w:rPr>
          <w:rFonts w:ascii="Calibri" w:hAnsi="Calibri"/>
          <w:i/>
        </w:rPr>
        <w:t>Sendai Framework</w:t>
      </w:r>
      <w:r w:rsidRPr="00A977AD">
        <w:rPr>
          <w:rFonts w:ascii="Calibri" w:hAnsi="Calibri"/>
        </w:rPr>
        <w:t xml:space="preserve">. </w:t>
      </w:r>
    </w:p>
    <w:p w14:paraId="4D68A757" w14:textId="77777777" w:rsidR="00A977AD" w:rsidRPr="00A977AD" w:rsidRDefault="00A977AD" w:rsidP="00A67DC0">
      <w:pPr>
        <w:spacing w:after="240"/>
        <w:jc w:val="both"/>
        <w:rPr>
          <w:rFonts w:ascii="Calibri" w:hAnsi="Calibri"/>
        </w:rPr>
      </w:pPr>
      <w:r w:rsidRPr="00A977AD">
        <w:rPr>
          <w:rFonts w:ascii="Calibri" w:hAnsi="Calibri"/>
          <w:b/>
        </w:rPr>
        <w:t>ANGOs have consistently demonstrated their ability to deliver fast response funding</w:t>
      </w:r>
      <w:r w:rsidRPr="00A977AD">
        <w:rPr>
          <w:rFonts w:ascii="Calibri" w:hAnsi="Calibri"/>
        </w:rPr>
        <w:t>, which in many instances has enabled Australia to be one of the first donors to respond on the ground after a crisis.</w:t>
      </w:r>
      <w:r w:rsidRPr="00A977AD">
        <w:rPr>
          <w:rStyle w:val="FootnoteReference"/>
          <w:rFonts w:cs="Times New Roman"/>
          <w:szCs w:val="16"/>
        </w:rPr>
        <w:footnoteReference w:id="30"/>
      </w:r>
      <w:r w:rsidRPr="00A977AD">
        <w:rPr>
          <w:rFonts w:ascii="Calibri" w:hAnsi="Calibri"/>
        </w:rPr>
        <w:t xml:space="preserve"> ANGOs also have particular expertise, networks and reach to support the poorest and most vulnerable in communities, making them well placed to deliver humanitarian assistance and to strengthen local capacity and resilience building at the community level. </w:t>
      </w:r>
    </w:p>
    <w:p w14:paraId="42E894BD" w14:textId="77777777" w:rsidR="00A977AD" w:rsidRPr="00A977AD" w:rsidRDefault="00A977AD" w:rsidP="00A67DC0">
      <w:pPr>
        <w:spacing w:after="240"/>
        <w:jc w:val="both"/>
        <w:rPr>
          <w:rFonts w:ascii="Calibri" w:hAnsi="Calibri"/>
        </w:rPr>
      </w:pPr>
      <w:r w:rsidRPr="00A977AD">
        <w:rPr>
          <w:rFonts w:ascii="Calibri" w:hAnsi="Calibri"/>
          <w:b/>
        </w:rPr>
        <w:t>There are considerable public awareness benefits to a partnership with ANGOs</w:t>
      </w:r>
      <w:r w:rsidRPr="00A977AD">
        <w:rPr>
          <w:rFonts w:ascii="Calibri" w:hAnsi="Calibri"/>
        </w:rPr>
        <w:t>. In 2013-14, the Australian community donated more than AUD 65 million to humanitarian appeals run by ACFID members.</w:t>
      </w:r>
      <w:r w:rsidRPr="00A977AD">
        <w:rPr>
          <w:rStyle w:val="FootnoteReference"/>
          <w:rFonts w:cs="Times New Roman"/>
          <w:szCs w:val="16"/>
        </w:rPr>
        <w:footnoteReference w:id="31"/>
      </w:r>
      <w:r w:rsidRPr="00A977AD">
        <w:rPr>
          <w:rFonts w:ascii="Calibri" w:hAnsi="Calibri"/>
        </w:rPr>
        <w:t xml:space="preserve"> </w:t>
      </w:r>
      <w:r w:rsidR="00A544E0">
        <w:rPr>
          <w:rFonts w:ascii="Calibri" w:hAnsi="Calibri"/>
        </w:rPr>
        <w:t xml:space="preserve"> </w:t>
      </w:r>
      <w:r w:rsidRPr="00A977AD">
        <w:rPr>
          <w:rFonts w:ascii="Calibri" w:hAnsi="Calibri"/>
        </w:rPr>
        <w:t>A partnership between DFAT and ANGOs can complement and strengthen Australia’s overall response, as well as present a visible expression of Australia’s collective effort. </w:t>
      </w:r>
    </w:p>
    <w:p w14:paraId="6F9EF238" w14:textId="77777777" w:rsidR="00A544E0" w:rsidRDefault="00A544E0" w:rsidP="00A67DC0">
      <w:pPr>
        <w:spacing w:after="240"/>
        <w:jc w:val="both"/>
        <w:rPr>
          <w:rFonts w:ascii="Calibri" w:hAnsi="Calibri"/>
        </w:rPr>
      </w:pPr>
      <w:r w:rsidRPr="00A977AD">
        <w:rPr>
          <w:rFonts w:ascii="Calibri" w:hAnsi="Calibri"/>
          <w:b/>
        </w:rPr>
        <w:t xml:space="preserve">Australia is a major donor in the Pacific. </w:t>
      </w:r>
      <w:r w:rsidRPr="00A977AD">
        <w:rPr>
          <w:rFonts w:ascii="Calibri" w:hAnsi="Calibri"/>
        </w:rPr>
        <w:t>The investment will contribute to the development of a</w:t>
      </w:r>
      <w:r w:rsidR="00E436B3">
        <w:rPr>
          <w:rFonts w:ascii="Calibri" w:hAnsi="Calibri"/>
        </w:rPr>
        <w:t xml:space="preserve"> more</w:t>
      </w:r>
      <w:r w:rsidRPr="00A977AD">
        <w:rPr>
          <w:rFonts w:ascii="Calibri" w:hAnsi="Calibri"/>
        </w:rPr>
        <w:t xml:space="preserve"> effective humanitarian system in the Pacific</w:t>
      </w:r>
      <w:r>
        <w:rPr>
          <w:rFonts w:ascii="Calibri" w:hAnsi="Calibri"/>
        </w:rPr>
        <w:t xml:space="preserve"> (including in Timor Leste)</w:t>
      </w:r>
      <w:r w:rsidRPr="00A977AD">
        <w:rPr>
          <w:rFonts w:ascii="Calibri" w:hAnsi="Calibri"/>
        </w:rPr>
        <w:t xml:space="preserve">, selectively working with ANGOs who can demonstrate strong local capacity and established </w:t>
      </w:r>
      <w:r w:rsidR="00D65212">
        <w:rPr>
          <w:rFonts w:ascii="Calibri" w:hAnsi="Calibri"/>
        </w:rPr>
        <w:t xml:space="preserve">community networks and </w:t>
      </w:r>
      <w:r w:rsidRPr="00A977AD">
        <w:rPr>
          <w:rFonts w:ascii="Calibri" w:hAnsi="Calibri"/>
        </w:rPr>
        <w:t>relationships. The design will also ensure greater coordination of the Department’s regional, bilateral and other investments (such as through ANCP), particularly as they relate to the Pacific region</w:t>
      </w:r>
      <w:r>
        <w:rPr>
          <w:rFonts w:ascii="Calibri" w:hAnsi="Calibri"/>
        </w:rPr>
        <w:t>.</w:t>
      </w:r>
    </w:p>
    <w:p w14:paraId="3FBF4D33" w14:textId="2F63BCDA" w:rsidR="00A977AD" w:rsidRPr="00EF3E39" w:rsidRDefault="00EF3E39" w:rsidP="00B41169">
      <w:pPr>
        <w:jc w:val="both"/>
        <w:rPr>
          <w:rFonts w:ascii="Calibri" w:hAnsi="Calibri"/>
        </w:rPr>
      </w:pPr>
      <w:r w:rsidRPr="000071EA">
        <w:rPr>
          <w:rFonts w:ascii="Calibri" w:hAnsi="Calibri"/>
          <w:noProof/>
          <w:lang w:eastAsia="en-AU"/>
        </w:rPr>
        <mc:AlternateContent>
          <mc:Choice Requires="wps">
            <w:drawing>
              <wp:anchor distT="0" distB="0" distL="114300" distR="114300" simplePos="0" relativeHeight="251667456" behindDoc="0" locked="0" layoutInCell="1" allowOverlap="1" wp14:anchorId="3CF9C889" wp14:editId="36A176AF">
                <wp:simplePos x="0" y="0"/>
                <wp:positionH relativeFrom="column">
                  <wp:posOffset>8890</wp:posOffset>
                </wp:positionH>
                <wp:positionV relativeFrom="paragraph">
                  <wp:posOffset>1398270</wp:posOffset>
                </wp:positionV>
                <wp:extent cx="5681980" cy="2319655"/>
                <wp:effectExtent l="57150" t="38100" r="71120" b="99695"/>
                <wp:wrapSquare wrapText="bothSides"/>
                <wp:docPr id="2" name="Text Box 2"/>
                <wp:cNvGraphicFramePr/>
                <a:graphic xmlns:a="http://schemas.openxmlformats.org/drawingml/2006/main">
                  <a:graphicData uri="http://schemas.microsoft.com/office/word/2010/wordprocessingShape">
                    <wps:wsp>
                      <wps:cNvSpPr txBox="1"/>
                      <wps:spPr>
                        <a:xfrm>
                          <a:off x="0" y="0"/>
                          <a:ext cx="5681980" cy="231965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C72984C" w14:textId="77777777" w:rsidR="001C5460" w:rsidRPr="00EF3E39" w:rsidRDefault="001C5460" w:rsidP="00DD70E1">
                            <w:pPr>
                              <w:spacing w:after="120"/>
                              <w:contextualSpacing/>
                              <w:rPr>
                                <w:b/>
                              </w:rPr>
                            </w:pPr>
                            <w:r w:rsidRPr="00EF3E39">
                              <w:rPr>
                                <w:rFonts w:ascii="Calibri" w:hAnsi="Calibri"/>
                                <w:b/>
                              </w:rPr>
                              <w:t>In summary,</w:t>
                            </w:r>
                            <w:r w:rsidRPr="00EF3E39">
                              <w:rPr>
                                <w:b/>
                              </w:rPr>
                              <w:t xml:space="preserve"> </w:t>
                            </w:r>
                            <w:r>
                              <w:rPr>
                                <w:rFonts w:ascii="Calibri" w:hAnsi="Calibri"/>
                              </w:rPr>
                              <w:t xml:space="preserve">drawing on the </w:t>
                            </w:r>
                            <w:r w:rsidRPr="00EF3E39">
                              <w:rPr>
                                <w:rFonts w:ascii="Calibri" w:hAnsi="Calibri"/>
                              </w:rPr>
                              <w:t xml:space="preserve">evidence and lessons learned, </w:t>
                            </w:r>
                            <w:r>
                              <w:rPr>
                                <w:rFonts w:ascii="Calibri" w:hAnsi="Calibri"/>
                              </w:rPr>
                              <w:t>as well as consultations</w:t>
                            </w:r>
                            <w:r w:rsidRPr="00EF3E39">
                              <w:rPr>
                                <w:rFonts w:ascii="Calibri" w:hAnsi="Calibri"/>
                              </w:rPr>
                              <w:t xml:space="preserve"> with ANGOs, ACFID and DFAT, </w:t>
                            </w:r>
                            <w:r>
                              <w:rPr>
                                <w:rFonts w:ascii="Calibri" w:hAnsi="Calibri"/>
                              </w:rPr>
                              <w:t>this Investment Design presents</w:t>
                            </w:r>
                            <w:r w:rsidRPr="00EF3E39">
                              <w:rPr>
                                <w:rFonts w:ascii="Calibri" w:hAnsi="Calibri"/>
                              </w:rPr>
                              <w:t xml:space="preserve"> a strong case for a continued partnership with ANGOs that builds on the HPA, and invests in:</w:t>
                            </w:r>
                          </w:p>
                          <w:p w14:paraId="161E5174" w14:textId="1AA3F4DC" w:rsidR="001C5460" w:rsidRPr="00C51EFB" w:rsidRDefault="001C5460" w:rsidP="00B41169">
                            <w:pPr>
                              <w:numPr>
                                <w:ilvl w:val="0"/>
                                <w:numId w:val="10"/>
                              </w:numPr>
                              <w:ind w:left="714" w:hanging="357"/>
                              <w:contextualSpacing/>
                              <w:rPr>
                                <w:rFonts w:ascii="Calibri" w:hAnsi="Calibri"/>
                              </w:rPr>
                            </w:pPr>
                            <w:r w:rsidRPr="00EF3E39">
                              <w:rPr>
                                <w:rFonts w:ascii="Calibri" w:hAnsi="Calibri"/>
                              </w:rPr>
                              <w:t>Delivering coordinated humanitarian assistanc</w:t>
                            </w:r>
                            <w:r>
                              <w:rPr>
                                <w:rFonts w:ascii="Calibri" w:hAnsi="Calibri"/>
                              </w:rPr>
                              <w:t>e (including early recovery activities) which is effective, timely, and appropriate to the context</w:t>
                            </w:r>
                          </w:p>
                          <w:p w14:paraId="1C9C641F" w14:textId="77777777" w:rsidR="001C5460" w:rsidRPr="00737D62" w:rsidRDefault="001C5460" w:rsidP="00B41169">
                            <w:pPr>
                              <w:numPr>
                                <w:ilvl w:val="0"/>
                                <w:numId w:val="10"/>
                              </w:numPr>
                              <w:ind w:left="714" w:hanging="357"/>
                              <w:contextualSpacing/>
                              <w:rPr>
                                <w:rFonts w:ascii="Calibri" w:hAnsi="Calibri"/>
                              </w:rPr>
                            </w:pPr>
                            <w:r w:rsidRPr="00737D62">
                              <w:rPr>
                                <w:rFonts w:ascii="Calibri" w:hAnsi="Calibri"/>
                              </w:rPr>
                              <w:t>Building local humanitarian capability and strengthening disaster resilience of communities in the Pacific</w:t>
                            </w:r>
                          </w:p>
                          <w:p w14:paraId="0F82F98A" w14:textId="15783B13" w:rsidR="001C5460" w:rsidRDefault="001C5460" w:rsidP="00B41169">
                            <w:pPr>
                              <w:pStyle w:val="ListParagraph"/>
                              <w:numPr>
                                <w:ilvl w:val="0"/>
                                <w:numId w:val="10"/>
                              </w:numPr>
                              <w:spacing w:after="0" w:line="240" w:lineRule="auto"/>
                              <w:ind w:left="714" w:hanging="357"/>
                              <w:rPr>
                                <w:rFonts w:ascii="Calibri" w:hAnsi="Calibri"/>
                                <w:sz w:val="24"/>
                                <w:szCs w:val="24"/>
                              </w:rPr>
                            </w:pPr>
                            <w:r>
                              <w:rPr>
                                <w:rFonts w:ascii="Calibri" w:hAnsi="Calibri"/>
                                <w:sz w:val="24"/>
                                <w:szCs w:val="24"/>
                              </w:rPr>
                              <w:t xml:space="preserve">A strengthened </w:t>
                            </w:r>
                            <w:r w:rsidRPr="00EF3E39">
                              <w:rPr>
                                <w:rFonts w:ascii="Calibri" w:hAnsi="Calibri"/>
                                <w:sz w:val="24"/>
                                <w:szCs w:val="24"/>
                              </w:rPr>
                              <w:t xml:space="preserve">partnership between DFAT and ACFID’s </w:t>
                            </w:r>
                            <w:r>
                              <w:rPr>
                                <w:rFonts w:ascii="Calibri" w:hAnsi="Calibri"/>
                                <w:sz w:val="24"/>
                                <w:szCs w:val="24"/>
                              </w:rPr>
                              <w:t>HRG</w:t>
                            </w:r>
                            <w:r w:rsidRPr="00EF3E39">
                              <w:rPr>
                                <w:rFonts w:ascii="Calibri" w:hAnsi="Calibri"/>
                                <w:sz w:val="24"/>
                                <w:szCs w:val="24"/>
                              </w:rPr>
                              <w:t xml:space="preserve"> which facilitates innovation, learning and public awareness activities</w:t>
                            </w:r>
                            <w:r>
                              <w:rPr>
                                <w:rFonts w:ascii="Calibri" w:hAnsi="Calibri"/>
                                <w:sz w:val="24"/>
                                <w:szCs w:val="24"/>
                              </w:rPr>
                              <w:t>.</w:t>
                            </w:r>
                          </w:p>
                          <w:p w14:paraId="6B52EA5E" w14:textId="77777777" w:rsidR="001C5460" w:rsidRPr="00B41169" w:rsidRDefault="001C5460" w:rsidP="00B41169">
                            <w:pPr>
                              <w:rPr>
                                <w:rFonts w:ascii="Calibri" w:hAnsi="Calibri"/>
                                <w:b/>
                                <w:sz w:val="16"/>
                                <w:szCs w:val="16"/>
                              </w:rPr>
                            </w:pPr>
                          </w:p>
                          <w:p w14:paraId="0FF64020" w14:textId="673EF4B3" w:rsidR="001C5460" w:rsidRPr="00EF3E39" w:rsidRDefault="001C5460" w:rsidP="00DD70E1">
                            <w:pPr>
                              <w:spacing w:after="120"/>
                            </w:pPr>
                            <w:r w:rsidRPr="00EF3E39">
                              <w:rPr>
                                <w:rFonts w:ascii="Calibri" w:hAnsi="Calibri"/>
                                <w:b/>
                              </w:rPr>
                              <w:t xml:space="preserve">The investment </w:t>
                            </w:r>
                            <w:r>
                              <w:rPr>
                                <w:rFonts w:ascii="Calibri" w:hAnsi="Calibri"/>
                                <w:b/>
                              </w:rPr>
                              <w:t>will be assisted by</w:t>
                            </w:r>
                            <w:r w:rsidRPr="00EF3E39">
                              <w:rPr>
                                <w:rFonts w:ascii="Calibri" w:hAnsi="Calibri"/>
                              </w:rPr>
                              <w:t xml:space="preserve"> the establishment of a small unit to support the ongoing functioning of the partnership and its components.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110.1pt;width:447.4pt;height:18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" fillcolor="#a3c4ff" strokecolor="#4a7ebb" strokeweight="1.5pt">
                <v:fill color2="#e5eeff" rotate="t" angle="180" colors="0 #a3c4ff;22938f #bfd5ff;1 #e5eeff" focus="100%" type="gradient"/>
                <v:shadow on="t" color="black" opacity="24903f" origin=",.5" offset="0,.55556mm"/>
                <v:textbox>
                  <w:txbxContent>
                    <w:p w14:paraId="7C72984C" w14:textId="77777777" w:rsidR="001C5460" w:rsidRPr="00EF3E39" w:rsidRDefault="001C5460" w:rsidP="00DD70E1">
                      <w:pPr>
                        <w:spacing w:after="120"/>
                        <w:contextualSpacing/>
                        <w:rPr>
                          <w:b/>
                        </w:rPr>
                      </w:pPr>
                      <w:r w:rsidRPr="00EF3E39">
                        <w:rPr>
                          <w:rFonts w:ascii="Calibri" w:hAnsi="Calibri"/>
                          <w:b/>
                        </w:rPr>
                        <w:t>In summary,</w:t>
                      </w:r>
                      <w:r w:rsidRPr="00EF3E39">
                        <w:rPr>
                          <w:b/>
                        </w:rPr>
                        <w:t xml:space="preserve"> </w:t>
                      </w:r>
                      <w:r>
                        <w:rPr>
                          <w:rFonts w:ascii="Calibri" w:hAnsi="Calibri"/>
                        </w:rPr>
                        <w:t xml:space="preserve">drawing on the </w:t>
                      </w:r>
                      <w:r w:rsidRPr="00EF3E39">
                        <w:rPr>
                          <w:rFonts w:ascii="Calibri" w:hAnsi="Calibri"/>
                        </w:rPr>
                        <w:t xml:space="preserve">evidence and lessons learned, </w:t>
                      </w:r>
                      <w:r>
                        <w:rPr>
                          <w:rFonts w:ascii="Calibri" w:hAnsi="Calibri"/>
                        </w:rPr>
                        <w:t>as well as consultations</w:t>
                      </w:r>
                      <w:r w:rsidRPr="00EF3E39">
                        <w:rPr>
                          <w:rFonts w:ascii="Calibri" w:hAnsi="Calibri"/>
                        </w:rPr>
                        <w:t xml:space="preserve"> with ANGOs, ACFID and DFAT, </w:t>
                      </w:r>
                      <w:r>
                        <w:rPr>
                          <w:rFonts w:ascii="Calibri" w:hAnsi="Calibri"/>
                        </w:rPr>
                        <w:t>this Investment Design presents</w:t>
                      </w:r>
                      <w:r w:rsidRPr="00EF3E39">
                        <w:rPr>
                          <w:rFonts w:ascii="Calibri" w:hAnsi="Calibri"/>
                        </w:rPr>
                        <w:t xml:space="preserve"> a strong case for a continued partnership with ANGOs that builds on the HPA, and invests in:</w:t>
                      </w:r>
                    </w:p>
                    <w:p w14:paraId="161E5174" w14:textId="1AA3F4DC" w:rsidR="001C5460" w:rsidRPr="00C51EFB" w:rsidRDefault="001C5460" w:rsidP="00B41169">
                      <w:pPr>
                        <w:numPr>
                          <w:ilvl w:val="0"/>
                          <w:numId w:val="10"/>
                        </w:numPr>
                        <w:ind w:left="714" w:hanging="357"/>
                        <w:contextualSpacing/>
                        <w:rPr>
                          <w:rFonts w:ascii="Calibri" w:hAnsi="Calibri"/>
                        </w:rPr>
                      </w:pPr>
                      <w:r w:rsidRPr="00EF3E39">
                        <w:rPr>
                          <w:rFonts w:ascii="Calibri" w:hAnsi="Calibri"/>
                        </w:rPr>
                        <w:t>Delivering coordinated humanitarian assistanc</w:t>
                      </w:r>
                      <w:r>
                        <w:rPr>
                          <w:rFonts w:ascii="Calibri" w:hAnsi="Calibri"/>
                        </w:rPr>
                        <w:t>e (including early recovery activities) which is effective, timely, and appropriate to the context</w:t>
                      </w:r>
                    </w:p>
                    <w:p w14:paraId="1C9C641F" w14:textId="77777777" w:rsidR="001C5460" w:rsidRPr="00737D62" w:rsidRDefault="001C5460" w:rsidP="00B41169">
                      <w:pPr>
                        <w:numPr>
                          <w:ilvl w:val="0"/>
                          <w:numId w:val="10"/>
                        </w:numPr>
                        <w:ind w:left="714" w:hanging="357"/>
                        <w:contextualSpacing/>
                        <w:rPr>
                          <w:rFonts w:ascii="Calibri" w:hAnsi="Calibri"/>
                        </w:rPr>
                      </w:pPr>
                      <w:r w:rsidRPr="00737D62">
                        <w:rPr>
                          <w:rFonts w:ascii="Calibri" w:hAnsi="Calibri"/>
                        </w:rPr>
                        <w:t>Building local humanitarian capability and strengthening disaster resilience of communities in the Pacific</w:t>
                      </w:r>
                    </w:p>
                    <w:p w14:paraId="0F82F98A" w14:textId="15783B13" w:rsidR="001C5460" w:rsidRDefault="001C5460" w:rsidP="00B41169">
                      <w:pPr>
                        <w:pStyle w:val="ListParagraph"/>
                        <w:numPr>
                          <w:ilvl w:val="0"/>
                          <w:numId w:val="10"/>
                        </w:numPr>
                        <w:spacing w:after="0" w:line="240" w:lineRule="auto"/>
                        <w:ind w:left="714" w:hanging="357"/>
                        <w:rPr>
                          <w:rFonts w:ascii="Calibri" w:hAnsi="Calibri"/>
                          <w:sz w:val="24"/>
                          <w:szCs w:val="24"/>
                        </w:rPr>
                      </w:pPr>
                      <w:r>
                        <w:rPr>
                          <w:rFonts w:ascii="Calibri" w:hAnsi="Calibri"/>
                          <w:sz w:val="24"/>
                          <w:szCs w:val="24"/>
                        </w:rPr>
                        <w:t xml:space="preserve">A strengthened </w:t>
                      </w:r>
                      <w:r w:rsidRPr="00EF3E39">
                        <w:rPr>
                          <w:rFonts w:ascii="Calibri" w:hAnsi="Calibri"/>
                          <w:sz w:val="24"/>
                          <w:szCs w:val="24"/>
                        </w:rPr>
                        <w:t xml:space="preserve">partnership between DFAT and ACFID’s </w:t>
                      </w:r>
                      <w:r>
                        <w:rPr>
                          <w:rFonts w:ascii="Calibri" w:hAnsi="Calibri"/>
                          <w:sz w:val="24"/>
                          <w:szCs w:val="24"/>
                        </w:rPr>
                        <w:t>HRG</w:t>
                      </w:r>
                      <w:r w:rsidRPr="00EF3E39">
                        <w:rPr>
                          <w:rFonts w:ascii="Calibri" w:hAnsi="Calibri"/>
                          <w:sz w:val="24"/>
                          <w:szCs w:val="24"/>
                        </w:rPr>
                        <w:t xml:space="preserve"> which facilitates innovation, learning and public awareness activities</w:t>
                      </w:r>
                      <w:r>
                        <w:rPr>
                          <w:rFonts w:ascii="Calibri" w:hAnsi="Calibri"/>
                          <w:sz w:val="24"/>
                          <w:szCs w:val="24"/>
                        </w:rPr>
                        <w:t>.</w:t>
                      </w:r>
                    </w:p>
                    <w:p w14:paraId="6B52EA5E" w14:textId="77777777" w:rsidR="001C5460" w:rsidRPr="00B41169" w:rsidRDefault="001C5460" w:rsidP="00B41169">
                      <w:pPr>
                        <w:rPr>
                          <w:rFonts w:ascii="Calibri" w:hAnsi="Calibri"/>
                          <w:b/>
                          <w:sz w:val="16"/>
                          <w:szCs w:val="16"/>
                        </w:rPr>
                      </w:pPr>
                    </w:p>
                    <w:p w14:paraId="0FF64020" w14:textId="673EF4B3" w:rsidR="001C5460" w:rsidRPr="00EF3E39" w:rsidRDefault="001C5460" w:rsidP="00DD70E1">
                      <w:pPr>
                        <w:spacing w:after="120"/>
                      </w:pPr>
                      <w:r w:rsidRPr="00EF3E39">
                        <w:rPr>
                          <w:rFonts w:ascii="Calibri" w:hAnsi="Calibri"/>
                          <w:b/>
                        </w:rPr>
                        <w:t xml:space="preserve">The investment </w:t>
                      </w:r>
                      <w:r>
                        <w:rPr>
                          <w:rFonts w:ascii="Calibri" w:hAnsi="Calibri"/>
                          <w:b/>
                        </w:rPr>
                        <w:t>will be assisted by</w:t>
                      </w:r>
                      <w:r w:rsidRPr="00EF3E39">
                        <w:rPr>
                          <w:rFonts w:ascii="Calibri" w:hAnsi="Calibri"/>
                        </w:rPr>
                        <w:t xml:space="preserve"> the establishment of a small unit to support the ongoing functioning of the partnership and its components.</w:t>
                      </w:r>
                    </w:p>
                  </w:txbxContent>
                </v:textbox>
                <w10:wrap type="square"/>
              </v:shape>
            </w:pict>
          </mc:Fallback>
        </mc:AlternateContent>
      </w:r>
      <w:r w:rsidR="00A977AD" w:rsidRPr="00A977AD">
        <w:rPr>
          <w:rFonts w:ascii="Calibri" w:hAnsi="Calibri"/>
          <w:b/>
        </w:rPr>
        <w:t xml:space="preserve">Supporting local </w:t>
      </w:r>
      <w:r w:rsidR="00D65212">
        <w:rPr>
          <w:rFonts w:ascii="Calibri" w:hAnsi="Calibri"/>
          <w:b/>
        </w:rPr>
        <w:t xml:space="preserve">humanitarian </w:t>
      </w:r>
      <w:r w:rsidR="00111040">
        <w:rPr>
          <w:rFonts w:ascii="Calibri" w:hAnsi="Calibri"/>
          <w:b/>
        </w:rPr>
        <w:t>capability</w:t>
      </w:r>
      <w:r w:rsidR="00A977AD" w:rsidRPr="00A977AD">
        <w:rPr>
          <w:rFonts w:ascii="Calibri" w:hAnsi="Calibri"/>
          <w:b/>
        </w:rPr>
        <w:t xml:space="preserve"> and being accountable to cris</w:t>
      </w:r>
      <w:r w:rsidR="005B1FFD">
        <w:rPr>
          <w:rFonts w:ascii="Calibri" w:hAnsi="Calibri"/>
          <w:b/>
        </w:rPr>
        <w:t>i</w:t>
      </w:r>
      <w:r w:rsidR="00A977AD" w:rsidRPr="00A977AD">
        <w:rPr>
          <w:rFonts w:ascii="Calibri" w:hAnsi="Calibri"/>
          <w:b/>
        </w:rPr>
        <w:t>s</w:t>
      </w:r>
      <w:r w:rsidR="005B1FFD">
        <w:rPr>
          <w:rFonts w:ascii="Calibri" w:hAnsi="Calibri"/>
          <w:b/>
        </w:rPr>
        <w:t>-affected</w:t>
      </w:r>
      <w:r w:rsidR="00A977AD" w:rsidRPr="00A977AD">
        <w:rPr>
          <w:rFonts w:ascii="Calibri" w:hAnsi="Calibri"/>
          <w:b/>
        </w:rPr>
        <w:t xml:space="preserve"> populations</w:t>
      </w:r>
      <w:r w:rsidR="00A977AD" w:rsidRPr="00A977AD">
        <w:rPr>
          <w:rFonts w:ascii="Calibri" w:hAnsi="Calibri"/>
        </w:rPr>
        <w:t xml:space="preserve"> will be features of the investment, as will a strong focus on </w:t>
      </w:r>
      <w:r w:rsidR="00A977AD" w:rsidRPr="00A977AD">
        <w:rPr>
          <w:rFonts w:ascii="Calibri" w:hAnsi="Calibri"/>
          <w:b/>
        </w:rPr>
        <w:t>protection, gender and inclusion</w:t>
      </w:r>
      <w:r w:rsidR="00A977AD" w:rsidRPr="00A977AD">
        <w:rPr>
          <w:rFonts w:ascii="Calibri" w:hAnsi="Calibri"/>
        </w:rPr>
        <w:t xml:space="preserve"> (including through support to strengthen sector-wide learning to improve program design and delivery). The investment will </w:t>
      </w:r>
      <w:r w:rsidR="0082594B">
        <w:rPr>
          <w:rFonts w:ascii="Calibri" w:hAnsi="Calibri"/>
        </w:rPr>
        <w:t xml:space="preserve">seek to </w:t>
      </w:r>
      <w:r w:rsidR="00A977AD" w:rsidRPr="00A977AD">
        <w:rPr>
          <w:rFonts w:ascii="Calibri" w:hAnsi="Calibri"/>
        </w:rPr>
        <w:t xml:space="preserve">improve the </w:t>
      </w:r>
      <w:r w:rsidR="00A977AD" w:rsidRPr="00A977AD">
        <w:rPr>
          <w:rFonts w:ascii="Calibri" w:hAnsi="Calibri"/>
          <w:b/>
        </w:rPr>
        <w:t>public visibility</w:t>
      </w:r>
      <w:r w:rsidR="00A977AD" w:rsidRPr="00A977AD">
        <w:rPr>
          <w:rFonts w:ascii="Calibri" w:hAnsi="Calibri"/>
        </w:rPr>
        <w:t xml:space="preserve"> of Australia’s collective and coordinated efforts. </w:t>
      </w:r>
      <w:r w:rsidR="00034554" w:rsidRPr="00A977AD">
        <w:rPr>
          <w:rFonts w:ascii="Calibri" w:hAnsi="Calibri"/>
          <w:b/>
        </w:rPr>
        <w:t xml:space="preserve">The partnership will </w:t>
      </w:r>
      <w:r w:rsidR="00B654D2">
        <w:rPr>
          <w:rFonts w:ascii="Calibri" w:hAnsi="Calibri"/>
          <w:b/>
        </w:rPr>
        <w:t>foster an environment which supports innovation</w:t>
      </w:r>
      <w:r w:rsidR="00C51EFB">
        <w:rPr>
          <w:rFonts w:ascii="Calibri" w:hAnsi="Calibri"/>
          <w:b/>
        </w:rPr>
        <w:t xml:space="preserve"> </w:t>
      </w:r>
      <w:r w:rsidR="00034554" w:rsidRPr="00A977AD">
        <w:rPr>
          <w:rFonts w:ascii="Calibri" w:hAnsi="Calibri"/>
        </w:rPr>
        <w:t xml:space="preserve">and build on </w:t>
      </w:r>
      <w:r w:rsidR="00034554" w:rsidRPr="00A977AD">
        <w:rPr>
          <w:rFonts w:ascii="Calibri" w:hAnsi="Calibri"/>
          <w:b/>
        </w:rPr>
        <w:t>ANGOs’</w:t>
      </w:r>
      <w:r w:rsidR="00034554" w:rsidRPr="00A977AD">
        <w:rPr>
          <w:rFonts w:ascii="Calibri" w:hAnsi="Calibri"/>
        </w:rPr>
        <w:t xml:space="preserve"> </w:t>
      </w:r>
      <w:r w:rsidR="00034554" w:rsidRPr="00A977AD">
        <w:rPr>
          <w:rFonts w:ascii="Calibri" w:hAnsi="Calibri"/>
          <w:b/>
        </w:rPr>
        <w:t>links with the private sector</w:t>
      </w:r>
      <w:r w:rsidR="00034554" w:rsidRPr="00A977AD">
        <w:rPr>
          <w:rFonts w:ascii="Calibri" w:hAnsi="Calibri"/>
        </w:rPr>
        <w:t xml:space="preserve">. </w:t>
      </w:r>
      <w:r w:rsidR="00A977AD" w:rsidRPr="00EF3E39">
        <w:rPr>
          <w:rFonts w:ascii="Calibri" w:hAnsi="Calibri"/>
        </w:rPr>
        <w:t xml:space="preserve"> </w:t>
      </w:r>
    </w:p>
    <w:p w14:paraId="358A02A3" w14:textId="77777777" w:rsidR="001E5C09" w:rsidRPr="00FF73B0" w:rsidRDefault="001E5C09" w:rsidP="00A67DC0">
      <w:pPr>
        <w:pStyle w:val="Heading1"/>
        <w:jc w:val="both"/>
      </w:pPr>
      <w:bookmarkStart w:id="15" w:name="_Toc448777799"/>
      <w:r w:rsidRPr="00FF73B0">
        <w:lastRenderedPageBreak/>
        <w:t>3. Investment Description</w:t>
      </w:r>
      <w:bookmarkEnd w:id="15"/>
    </w:p>
    <w:p w14:paraId="0A93EA94" w14:textId="77777777" w:rsidR="00142C6D" w:rsidRPr="00142C6D" w:rsidRDefault="0091020D" w:rsidP="00142C6D">
      <w:pPr>
        <w:keepNext/>
        <w:keepLines/>
        <w:spacing w:before="200" w:after="240"/>
        <w:jc w:val="both"/>
        <w:outlineLvl w:val="1"/>
        <w:rPr>
          <w:rFonts w:ascii="Calibri" w:eastAsiaTheme="majorEastAsia" w:hAnsi="Calibri" w:cstheme="majorBidi"/>
          <w:b/>
          <w:bCs/>
          <w:color w:val="4F81BD" w:themeColor="accent1"/>
        </w:rPr>
      </w:pPr>
      <w:bookmarkStart w:id="16" w:name="_Toc448777800"/>
      <w:r>
        <w:rPr>
          <w:rFonts w:ascii="Calibri" w:eastAsiaTheme="majorEastAsia" w:hAnsi="Calibri" w:cstheme="majorBidi"/>
          <w:b/>
          <w:bCs/>
          <w:color w:val="4F81BD" w:themeColor="accent1"/>
        </w:rPr>
        <w:t xml:space="preserve">Draft </w:t>
      </w:r>
      <w:r w:rsidR="00142C6D" w:rsidRPr="00142C6D">
        <w:rPr>
          <w:rFonts w:ascii="Calibri" w:eastAsiaTheme="majorEastAsia" w:hAnsi="Calibri" w:cstheme="majorBidi"/>
          <w:b/>
          <w:bCs/>
          <w:color w:val="4F81BD" w:themeColor="accent1"/>
        </w:rPr>
        <w:t>Program Theory</w:t>
      </w:r>
      <w:bookmarkEnd w:id="16"/>
    </w:p>
    <w:p w14:paraId="679AEE8E" w14:textId="354A49B1" w:rsidR="0091020D" w:rsidRPr="00142C6D" w:rsidRDefault="00142C6D" w:rsidP="0091020D">
      <w:pPr>
        <w:spacing w:after="240"/>
        <w:jc w:val="both"/>
      </w:pPr>
      <w:r w:rsidRPr="00142C6D">
        <w:rPr>
          <w:rFonts w:ascii="Calibri" w:hAnsi="Calibri"/>
        </w:rPr>
        <w:t>The</w:t>
      </w:r>
      <w:r w:rsidRPr="00142C6D">
        <w:rPr>
          <w:rFonts w:ascii="Calibri" w:hAnsi="Calibri"/>
          <w:b/>
        </w:rPr>
        <w:t xml:space="preserve"> partnership’s Theory of Change </w:t>
      </w:r>
      <w:r w:rsidRPr="00142C6D">
        <w:rPr>
          <w:rFonts w:ascii="Calibri" w:hAnsi="Calibri"/>
        </w:rPr>
        <w:t xml:space="preserve">is presented in a diagram in </w:t>
      </w:r>
      <w:r w:rsidRPr="00142C6D">
        <w:rPr>
          <w:rFonts w:ascii="Calibri" w:hAnsi="Calibri"/>
          <w:b/>
          <w:u w:val="single"/>
        </w:rPr>
        <w:t>Annex 2.</w:t>
      </w:r>
      <w:r w:rsidRPr="00142C6D">
        <w:rPr>
          <w:rFonts w:ascii="Calibri" w:hAnsi="Calibri"/>
        </w:rPr>
        <w:t xml:space="preserve"> It </w:t>
      </w:r>
      <w:r w:rsidR="0091020D">
        <w:rPr>
          <w:rFonts w:ascii="Calibri" w:hAnsi="Calibri"/>
        </w:rPr>
        <w:t xml:space="preserve">is presented as a draft with the recommendation that the </w:t>
      </w:r>
      <w:r w:rsidR="0091020D" w:rsidRPr="00142C6D">
        <w:rPr>
          <w:b/>
        </w:rPr>
        <w:t xml:space="preserve">partnership’s program theory be tested </w:t>
      </w:r>
      <w:r w:rsidR="0091020D">
        <w:rPr>
          <w:b/>
        </w:rPr>
        <w:t xml:space="preserve">and refined </w:t>
      </w:r>
      <w:r w:rsidR="0091020D" w:rsidRPr="00142C6D">
        <w:rPr>
          <w:b/>
        </w:rPr>
        <w:t xml:space="preserve">with </w:t>
      </w:r>
      <w:r w:rsidR="0091020D">
        <w:rPr>
          <w:b/>
        </w:rPr>
        <w:t>partners</w:t>
      </w:r>
      <w:r w:rsidR="0091020D" w:rsidRPr="00142C6D">
        <w:rPr>
          <w:b/>
        </w:rPr>
        <w:t xml:space="preserve"> </w:t>
      </w:r>
      <w:r w:rsidR="0091020D">
        <w:rPr>
          <w:b/>
        </w:rPr>
        <w:t xml:space="preserve">in the early stages of </w:t>
      </w:r>
      <w:r w:rsidR="00AD7042">
        <w:rPr>
          <w:b/>
        </w:rPr>
        <w:t>the inception phase</w:t>
      </w:r>
      <w:r w:rsidR="0091020D" w:rsidRPr="00142C6D">
        <w:rPr>
          <w:b/>
        </w:rPr>
        <w:t xml:space="preserve">. </w:t>
      </w:r>
      <w:r w:rsidR="0091020D" w:rsidRPr="00AD7042">
        <w:t>The design team recommends that the measures of success</w:t>
      </w:r>
      <w:r w:rsidR="0091020D" w:rsidRPr="00142C6D">
        <w:rPr>
          <w:b/>
        </w:rPr>
        <w:t xml:space="preserve"> </w:t>
      </w:r>
      <w:r w:rsidR="0091020D" w:rsidRPr="00AD7042">
        <w:t>also</w:t>
      </w:r>
      <w:r w:rsidR="0091020D">
        <w:rPr>
          <w:b/>
        </w:rPr>
        <w:t xml:space="preserve"> </w:t>
      </w:r>
      <w:r w:rsidR="0091020D" w:rsidRPr="00142C6D">
        <w:t xml:space="preserve">be </w:t>
      </w:r>
      <w:r w:rsidR="0091020D">
        <w:t>reviewed by</w:t>
      </w:r>
      <w:r w:rsidR="0091020D" w:rsidRPr="00142C6D">
        <w:t xml:space="preserve"> partners</w:t>
      </w:r>
      <w:r w:rsidR="0091020D">
        <w:t>, and refined as necessary by the Support Unit, once the</w:t>
      </w:r>
      <w:r w:rsidR="0091020D" w:rsidRPr="00142C6D">
        <w:t xml:space="preserve"> partnership is </w:t>
      </w:r>
      <w:r w:rsidR="0091020D">
        <w:t>operational</w:t>
      </w:r>
      <w:r w:rsidR="0091020D" w:rsidRPr="00142C6D">
        <w:rPr>
          <w:b/>
        </w:rPr>
        <w:t>.</w:t>
      </w:r>
      <w:r w:rsidR="0091020D" w:rsidRPr="00142C6D">
        <w:t xml:space="preserve"> </w:t>
      </w:r>
    </w:p>
    <w:p w14:paraId="3DBE9FAB" w14:textId="387B9094" w:rsidR="00142C6D" w:rsidRPr="00142C6D" w:rsidRDefault="0091020D" w:rsidP="00142C6D">
      <w:pPr>
        <w:spacing w:after="240"/>
        <w:jc w:val="both"/>
        <w:rPr>
          <w:rFonts w:ascii="Calibri" w:hAnsi="Calibri"/>
          <w:b/>
        </w:rPr>
      </w:pPr>
      <w:r>
        <w:rPr>
          <w:rFonts w:ascii="Calibri" w:hAnsi="Calibri"/>
        </w:rPr>
        <w:t>The draft Theory of Change proposes</w:t>
      </w:r>
      <w:r w:rsidRPr="00142C6D">
        <w:rPr>
          <w:rFonts w:ascii="Calibri" w:hAnsi="Calibri"/>
        </w:rPr>
        <w:t xml:space="preserve"> </w:t>
      </w:r>
      <w:r w:rsidR="00142C6D" w:rsidRPr="00142C6D">
        <w:rPr>
          <w:rFonts w:ascii="Calibri" w:hAnsi="Calibri"/>
        </w:rPr>
        <w:t xml:space="preserve">the short term, medium term and end of investment outcomes that are expected to result from </w:t>
      </w:r>
      <w:r w:rsidR="00142C6D" w:rsidRPr="00405EE8">
        <w:rPr>
          <w:rFonts w:ascii="Calibri" w:hAnsi="Calibri"/>
        </w:rPr>
        <w:t>the three interconnected outcome areas</w:t>
      </w:r>
      <w:r w:rsidR="00142C6D" w:rsidRPr="00142C6D">
        <w:rPr>
          <w:rFonts w:ascii="Calibri" w:hAnsi="Calibri"/>
        </w:rPr>
        <w:t>:</w:t>
      </w:r>
      <w:r w:rsidR="00142C6D" w:rsidRPr="00142C6D">
        <w:rPr>
          <w:rFonts w:ascii="Calibri" w:hAnsi="Calibri"/>
          <w:b/>
        </w:rPr>
        <w:t xml:space="preserve"> </w:t>
      </w:r>
    </w:p>
    <w:p w14:paraId="5500340B" w14:textId="77777777" w:rsidR="00142C6D" w:rsidRPr="004107F9" w:rsidRDefault="00142C6D" w:rsidP="00142C6D">
      <w:pPr>
        <w:numPr>
          <w:ilvl w:val="0"/>
          <w:numId w:val="29"/>
        </w:numPr>
        <w:spacing w:after="240"/>
        <w:ind w:left="1071" w:hanging="357"/>
        <w:contextualSpacing/>
        <w:jc w:val="both"/>
        <w:rPr>
          <w:rFonts w:eastAsiaTheme="minorHAnsi"/>
          <w:b/>
        </w:rPr>
      </w:pPr>
      <w:r w:rsidRPr="004107F9">
        <w:rPr>
          <w:rFonts w:eastAsiaTheme="minorHAnsi"/>
          <w:b/>
        </w:rPr>
        <w:t xml:space="preserve">Response and early recovery  </w:t>
      </w:r>
    </w:p>
    <w:p w14:paraId="02595713" w14:textId="77777777" w:rsidR="009118B1" w:rsidRPr="00737D62" w:rsidRDefault="0009760B" w:rsidP="00142C6D">
      <w:pPr>
        <w:numPr>
          <w:ilvl w:val="0"/>
          <w:numId w:val="29"/>
        </w:numPr>
        <w:spacing w:after="240"/>
        <w:ind w:left="1071" w:hanging="357"/>
        <w:contextualSpacing/>
        <w:jc w:val="both"/>
        <w:rPr>
          <w:rFonts w:eastAsiaTheme="minorHAnsi"/>
          <w:b/>
        </w:rPr>
      </w:pPr>
      <w:r w:rsidRPr="003D57AA">
        <w:rPr>
          <w:rFonts w:eastAsiaTheme="minorHAnsi"/>
          <w:b/>
        </w:rPr>
        <w:t>Building local humanitarian capability and strengthening disaster resilience of communities in the Pacific</w:t>
      </w:r>
    </w:p>
    <w:p w14:paraId="46D4CF09" w14:textId="77777777" w:rsidR="00142C6D" w:rsidRPr="00AF17FA" w:rsidRDefault="00142C6D" w:rsidP="00142C6D">
      <w:pPr>
        <w:numPr>
          <w:ilvl w:val="0"/>
          <w:numId w:val="29"/>
        </w:numPr>
        <w:spacing w:after="240"/>
        <w:ind w:left="1071" w:hanging="357"/>
        <w:contextualSpacing/>
        <w:jc w:val="both"/>
        <w:rPr>
          <w:rFonts w:eastAsiaTheme="minorHAnsi"/>
          <w:b/>
        </w:rPr>
      </w:pPr>
      <w:r w:rsidRPr="00AF17FA">
        <w:rPr>
          <w:rFonts w:eastAsiaTheme="minorHAnsi"/>
          <w:b/>
        </w:rPr>
        <w:t>The DFAT-HRG partnership</w:t>
      </w:r>
    </w:p>
    <w:p w14:paraId="6D175446" w14:textId="77777777" w:rsidR="004D31CC" w:rsidRDefault="004D31CC" w:rsidP="00B41169">
      <w:pPr>
        <w:jc w:val="both"/>
      </w:pPr>
    </w:p>
    <w:p w14:paraId="3308F0A0" w14:textId="3229779C" w:rsidR="00142C6D" w:rsidRPr="00142C6D" w:rsidRDefault="00142C6D" w:rsidP="00142C6D">
      <w:pPr>
        <w:spacing w:after="240"/>
        <w:jc w:val="both"/>
      </w:pPr>
      <w:r w:rsidRPr="00142C6D">
        <w:t xml:space="preserve">The key assumptions underpinning the success of the Theory of Change are depicted in numbers in the arrows in the diagram, and in narrative form </w:t>
      </w:r>
      <w:r w:rsidRPr="00142C6D">
        <w:rPr>
          <w:b/>
          <w:u w:val="single"/>
        </w:rPr>
        <w:t>(see Annex 2)</w:t>
      </w:r>
      <w:r w:rsidRPr="00142C6D">
        <w:t xml:space="preserve">. The partnership’s </w:t>
      </w:r>
      <w:r w:rsidR="0091020D">
        <w:t xml:space="preserve">(draft) </w:t>
      </w:r>
      <w:r w:rsidRPr="00142C6D">
        <w:rPr>
          <w:b/>
        </w:rPr>
        <w:t>Theory of Action</w:t>
      </w:r>
      <w:r w:rsidRPr="00142C6D">
        <w:t xml:space="preserve"> which outlines measures of success for outcomes and explains how the partnership has been designed to activate these outcomes is presented in </w:t>
      </w:r>
      <w:r w:rsidRPr="00142C6D">
        <w:rPr>
          <w:b/>
          <w:u w:val="single"/>
        </w:rPr>
        <w:t>Annex 3</w:t>
      </w:r>
      <w:r w:rsidRPr="00142C6D">
        <w:rPr>
          <w:u w:val="single"/>
        </w:rPr>
        <w:t>.</w:t>
      </w:r>
      <w:r w:rsidRPr="00142C6D">
        <w:t xml:space="preserve"> </w:t>
      </w:r>
      <w:r w:rsidRPr="00142C6D">
        <w:rPr>
          <w:b/>
        </w:rPr>
        <w:t xml:space="preserve">The </w:t>
      </w:r>
      <w:r w:rsidR="0091020D">
        <w:rPr>
          <w:b/>
        </w:rPr>
        <w:t xml:space="preserve">Theory of Change and the Theory of Action form the basis </w:t>
      </w:r>
      <w:r w:rsidR="00893058">
        <w:rPr>
          <w:b/>
        </w:rPr>
        <w:t>of</w:t>
      </w:r>
      <w:r w:rsidR="0091020D">
        <w:rPr>
          <w:b/>
        </w:rPr>
        <w:t xml:space="preserve"> the MEL framework</w:t>
      </w:r>
      <w:r w:rsidR="00AD7042">
        <w:rPr>
          <w:b/>
        </w:rPr>
        <w:t>. T</w:t>
      </w:r>
      <w:r w:rsidR="0091020D">
        <w:rPr>
          <w:b/>
        </w:rPr>
        <w:t xml:space="preserve">he design team recommends </w:t>
      </w:r>
      <w:r w:rsidR="00AD7042">
        <w:rPr>
          <w:b/>
        </w:rPr>
        <w:t xml:space="preserve">that the MEL framework </w:t>
      </w:r>
      <w:r w:rsidR="0091020D">
        <w:rPr>
          <w:b/>
        </w:rPr>
        <w:t>be further developed by the Support Unit in collaboration with partners</w:t>
      </w:r>
      <w:r w:rsidR="00893058">
        <w:rPr>
          <w:b/>
        </w:rPr>
        <w:t xml:space="preserve"> during the inception phase</w:t>
      </w:r>
      <w:r w:rsidR="0091020D">
        <w:rPr>
          <w:b/>
        </w:rPr>
        <w:t xml:space="preserve">. </w:t>
      </w:r>
    </w:p>
    <w:p w14:paraId="7903F2E1" w14:textId="77777777" w:rsidR="00142C6D" w:rsidRPr="00142C6D" w:rsidRDefault="00142C6D" w:rsidP="00142C6D">
      <w:pPr>
        <w:spacing w:after="240"/>
        <w:jc w:val="both"/>
      </w:pPr>
      <w:r w:rsidRPr="00405EE8">
        <w:rPr>
          <w:b/>
        </w:rPr>
        <w:t>Goal</w:t>
      </w:r>
      <w:r w:rsidRPr="00405EE8">
        <w:t>: The partnership’s ultimate goal is to save lives, alleviate suffering and enhance human dignity during and in the aftermath of conflict, natural disasters and other humanitarian crises,</w:t>
      </w:r>
      <w:r w:rsidRPr="00142C6D">
        <w:t xml:space="preserve"> as well as to strengthen capacity to prepare for and recover from the occurrence of such situations.</w:t>
      </w:r>
    </w:p>
    <w:p w14:paraId="278989E4" w14:textId="0A1891AB" w:rsidR="00142C6D" w:rsidRDefault="00142C6D" w:rsidP="00142C6D">
      <w:pPr>
        <w:shd w:val="clear" w:color="auto" w:fill="FFFFFF"/>
        <w:spacing w:after="120"/>
        <w:jc w:val="both"/>
        <w:rPr>
          <w:rFonts w:ascii="Calibri" w:hAnsi="Calibri"/>
        </w:rPr>
      </w:pPr>
      <w:r w:rsidRPr="00EC7A84">
        <w:rPr>
          <w:rFonts w:ascii="Calibri" w:hAnsi="Calibri"/>
        </w:rPr>
        <w:t xml:space="preserve">The </w:t>
      </w:r>
      <w:r w:rsidRPr="00A67DC0">
        <w:rPr>
          <w:rFonts w:ascii="Calibri" w:hAnsi="Calibri"/>
          <w:b/>
        </w:rPr>
        <w:t>purpose of the partnership</w:t>
      </w:r>
      <w:r w:rsidRPr="00DD11D2">
        <w:rPr>
          <w:rFonts w:ascii="Calibri" w:hAnsi="Calibri"/>
        </w:rPr>
        <w:t xml:space="preserve"> </w:t>
      </w:r>
      <w:r w:rsidRPr="00E55D1C">
        <w:rPr>
          <w:rFonts w:ascii="Calibri" w:hAnsi="Calibri"/>
        </w:rPr>
        <w:t xml:space="preserve">is to strengthen collaboration and innovation to deliver effective humanitarian assistance and support local communities to take a leadership role in </w:t>
      </w:r>
      <w:r>
        <w:rPr>
          <w:rFonts w:ascii="Calibri" w:hAnsi="Calibri"/>
        </w:rPr>
        <w:t xml:space="preserve">preparedness, </w:t>
      </w:r>
      <w:r w:rsidRPr="00E55D1C">
        <w:rPr>
          <w:rFonts w:ascii="Calibri" w:hAnsi="Calibri"/>
        </w:rPr>
        <w:t xml:space="preserve">response, </w:t>
      </w:r>
      <w:r>
        <w:rPr>
          <w:rFonts w:ascii="Calibri" w:hAnsi="Calibri"/>
        </w:rPr>
        <w:t>early recovery</w:t>
      </w:r>
      <w:r w:rsidR="0091020D">
        <w:rPr>
          <w:rFonts w:ascii="Calibri" w:hAnsi="Calibri"/>
        </w:rPr>
        <w:t>,</w:t>
      </w:r>
      <w:r>
        <w:rPr>
          <w:rFonts w:ascii="Calibri" w:hAnsi="Calibri"/>
        </w:rPr>
        <w:t xml:space="preserve"> </w:t>
      </w:r>
      <w:r w:rsidRPr="00E55D1C">
        <w:rPr>
          <w:rFonts w:ascii="Calibri" w:hAnsi="Calibri"/>
        </w:rPr>
        <w:t xml:space="preserve">risk reduction </w:t>
      </w:r>
      <w:r w:rsidR="0091020D">
        <w:rPr>
          <w:rFonts w:ascii="Calibri" w:hAnsi="Calibri"/>
        </w:rPr>
        <w:t xml:space="preserve">and resilience </w:t>
      </w:r>
      <w:r w:rsidRPr="00E55D1C">
        <w:rPr>
          <w:rFonts w:ascii="Calibri" w:hAnsi="Calibri"/>
        </w:rPr>
        <w:t>efforts.</w:t>
      </w:r>
      <w:r w:rsidRPr="00EC7A84">
        <w:rPr>
          <w:rFonts w:ascii="Calibri" w:hAnsi="Calibri"/>
        </w:rPr>
        <w:t>  </w:t>
      </w:r>
    </w:p>
    <w:p w14:paraId="627BB5E2" w14:textId="77777777" w:rsidR="00142C6D" w:rsidRPr="004107F9" w:rsidRDefault="00142C6D" w:rsidP="00142C6D">
      <w:pPr>
        <w:spacing w:after="240"/>
        <w:jc w:val="both"/>
      </w:pPr>
      <w:r w:rsidRPr="004107F9">
        <w:rPr>
          <w:b/>
        </w:rPr>
        <w:t>End of Investment Outcomes</w:t>
      </w:r>
      <w:r w:rsidRPr="004107F9">
        <w:t>: Contributing to this purpose are three outcomes:</w:t>
      </w:r>
    </w:p>
    <w:p w14:paraId="3EFD98EF" w14:textId="77777777" w:rsidR="00142C6D" w:rsidRPr="004107F9" w:rsidRDefault="00142C6D" w:rsidP="00142C6D">
      <w:pPr>
        <w:pStyle w:val="ListParagraph"/>
        <w:numPr>
          <w:ilvl w:val="0"/>
          <w:numId w:val="30"/>
        </w:numPr>
        <w:spacing w:after="120" w:line="240" w:lineRule="auto"/>
        <w:contextualSpacing w:val="0"/>
        <w:jc w:val="both"/>
        <w:rPr>
          <w:rFonts w:ascii="Calibri" w:eastAsiaTheme="minorEastAsia" w:hAnsi="Calibri"/>
          <w:sz w:val="24"/>
          <w:szCs w:val="24"/>
        </w:rPr>
      </w:pPr>
      <w:r w:rsidRPr="004107F9">
        <w:rPr>
          <w:rFonts w:ascii="Calibri" w:eastAsiaTheme="minorEastAsia" w:hAnsi="Calibri"/>
          <w:sz w:val="24"/>
          <w:szCs w:val="24"/>
        </w:rPr>
        <w:t>Effective response and early recovery: target populations receive timely and high quality humanitarian assistance appropriate to the context</w:t>
      </w:r>
      <w:r w:rsidR="00213C5F" w:rsidRPr="004107F9">
        <w:rPr>
          <w:rFonts w:ascii="Calibri" w:eastAsiaTheme="minorEastAsia" w:hAnsi="Calibri"/>
          <w:sz w:val="24"/>
          <w:szCs w:val="24"/>
        </w:rPr>
        <w:t>; and are well supported in early recovery</w:t>
      </w:r>
      <w:r w:rsidRPr="004107F9">
        <w:rPr>
          <w:rFonts w:ascii="Calibri" w:eastAsiaTheme="minorEastAsia" w:hAnsi="Calibri"/>
          <w:sz w:val="24"/>
          <w:szCs w:val="24"/>
        </w:rPr>
        <w:t>.</w:t>
      </w:r>
    </w:p>
    <w:p w14:paraId="21E0F001" w14:textId="77777777" w:rsidR="0009760B" w:rsidRPr="0009760B" w:rsidRDefault="0009760B" w:rsidP="0009760B">
      <w:pPr>
        <w:pStyle w:val="ListParagraph"/>
        <w:numPr>
          <w:ilvl w:val="0"/>
          <w:numId w:val="30"/>
        </w:numPr>
        <w:spacing w:after="120" w:line="240" w:lineRule="auto"/>
        <w:contextualSpacing w:val="0"/>
        <w:jc w:val="both"/>
        <w:rPr>
          <w:rFonts w:ascii="Calibri" w:eastAsiaTheme="minorEastAsia" w:hAnsi="Calibri"/>
          <w:sz w:val="24"/>
          <w:szCs w:val="24"/>
        </w:rPr>
      </w:pPr>
      <w:r w:rsidRPr="0009760B">
        <w:rPr>
          <w:rFonts w:ascii="Calibri" w:eastAsiaTheme="minorEastAsia" w:hAnsi="Calibri"/>
          <w:sz w:val="24"/>
          <w:szCs w:val="24"/>
        </w:rPr>
        <w:t>Local humanitarian capability in the Pacific is strengthened to anticipate, prepare for, respond to and reduce risks from natural hazards</w:t>
      </w:r>
      <w:r>
        <w:rPr>
          <w:rFonts w:ascii="Calibri" w:eastAsiaTheme="minorEastAsia" w:hAnsi="Calibri"/>
          <w:sz w:val="24"/>
          <w:szCs w:val="24"/>
        </w:rPr>
        <w:t>; and P</w:t>
      </w:r>
      <w:r w:rsidRPr="0009760B">
        <w:rPr>
          <w:rFonts w:ascii="Calibri" w:eastAsiaTheme="minorEastAsia" w:hAnsi="Calibri"/>
          <w:sz w:val="24"/>
          <w:szCs w:val="24"/>
        </w:rPr>
        <w:t>acific communities are more resilient to the impacts of natural hazards.</w:t>
      </w:r>
    </w:p>
    <w:p w14:paraId="1289A6E4" w14:textId="77777777" w:rsidR="00142C6D" w:rsidRPr="004107F9" w:rsidRDefault="00142C6D" w:rsidP="00142C6D">
      <w:pPr>
        <w:pStyle w:val="ListParagraph"/>
        <w:numPr>
          <w:ilvl w:val="0"/>
          <w:numId w:val="30"/>
        </w:numPr>
        <w:spacing w:after="120" w:line="240" w:lineRule="auto"/>
        <w:contextualSpacing w:val="0"/>
        <w:jc w:val="both"/>
        <w:rPr>
          <w:rFonts w:ascii="Calibri" w:eastAsiaTheme="minorEastAsia" w:hAnsi="Calibri"/>
          <w:sz w:val="24"/>
          <w:szCs w:val="24"/>
        </w:rPr>
      </w:pPr>
      <w:r w:rsidRPr="004107F9">
        <w:rPr>
          <w:rFonts w:ascii="Calibri" w:eastAsiaTheme="minorEastAsia" w:hAnsi="Calibri"/>
          <w:sz w:val="24"/>
          <w:szCs w:val="24"/>
        </w:rPr>
        <w:lastRenderedPageBreak/>
        <w:t>The DFAT-HRG partnership is strengthened</w:t>
      </w:r>
      <w:r w:rsidRPr="004107F9">
        <w:rPr>
          <w:sz w:val="24"/>
          <w:szCs w:val="24"/>
        </w:rPr>
        <w:t xml:space="preserve">: </w:t>
      </w:r>
      <w:r w:rsidR="00D47A2B" w:rsidRPr="004107F9">
        <w:rPr>
          <w:sz w:val="24"/>
          <w:szCs w:val="24"/>
        </w:rPr>
        <w:t xml:space="preserve">HRG member </w:t>
      </w:r>
      <w:r w:rsidRPr="004107F9">
        <w:rPr>
          <w:sz w:val="24"/>
          <w:szCs w:val="24"/>
        </w:rPr>
        <w:t>NGOs, their local partners and DFAT work together more effectively.</w:t>
      </w:r>
    </w:p>
    <w:p w14:paraId="45D43D03" w14:textId="0050B91A" w:rsidR="00142C6D" w:rsidRPr="00142C6D" w:rsidRDefault="00AE77F6" w:rsidP="00142C6D">
      <w:pPr>
        <w:spacing w:after="240"/>
        <w:contextualSpacing/>
        <w:jc w:val="both"/>
        <w:rPr>
          <w:rFonts w:eastAsiaTheme="minorHAnsi"/>
        </w:rPr>
      </w:pPr>
      <w:r w:rsidRPr="00142C6D">
        <w:rPr>
          <w:noProof/>
          <w:lang w:eastAsia="en-AU"/>
        </w:rPr>
        <mc:AlternateContent>
          <mc:Choice Requires="wps">
            <w:drawing>
              <wp:anchor distT="0" distB="0" distL="114300" distR="114300" simplePos="0" relativeHeight="251685888" behindDoc="0" locked="0" layoutInCell="1" allowOverlap="1" wp14:anchorId="6B455948" wp14:editId="334A4885">
                <wp:simplePos x="0" y="0"/>
                <wp:positionH relativeFrom="column">
                  <wp:posOffset>35560</wp:posOffset>
                </wp:positionH>
                <wp:positionV relativeFrom="paragraph">
                  <wp:posOffset>233045</wp:posOffset>
                </wp:positionV>
                <wp:extent cx="5701665" cy="4471035"/>
                <wp:effectExtent l="57150" t="38100" r="70485" b="100965"/>
                <wp:wrapSquare wrapText="bothSides"/>
                <wp:docPr id="17" name="Text Box 17"/>
                <wp:cNvGraphicFramePr/>
                <a:graphic xmlns:a="http://schemas.openxmlformats.org/drawingml/2006/main">
                  <a:graphicData uri="http://schemas.microsoft.com/office/word/2010/wordprocessingShape">
                    <wps:wsp>
                      <wps:cNvSpPr txBox="1"/>
                      <wps:spPr>
                        <a:xfrm>
                          <a:off x="0" y="0"/>
                          <a:ext cx="5701665" cy="447103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F6813E9" w14:textId="77777777" w:rsidR="001C5460" w:rsidRDefault="001C5460" w:rsidP="00142C6D">
                            <w:pPr>
                              <w:spacing w:after="240"/>
                              <w:contextualSpacing/>
                              <w:rPr>
                                <w:b/>
                              </w:rPr>
                            </w:pPr>
                            <w:r>
                              <w:rPr>
                                <w:b/>
                              </w:rPr>
                              <w:t>PRIORITIES:</w:t>
                            </w:r>
                          </w:p>
                          <w:p w14:paraId="76D0A530" w14:textId="77777777" w:rsidR="001C5460" w:rsidRDefault="001C5460" w:rsidP="004D31CC">
                            <w:pPr>
                              <w:pStyle w:val="ListParagraph"/>
                              <w:numPr>
                                <w:ilvl w:val="0"/>
                                <w:numId w:val="7"/>
                              </w:numPr>
                              <w:tabs>
                                <w:tab w:val="num" w:pos="360"/>
                              </w:tabs>
                              <w:spacing w:after="240" w:line="240" w:lineRule="auto"/>
                              <w:ind w:left="357" w:hanging="357"/>
                              <w:rPr>
                                <w:sz w:val="24"/>
                                <w:szCs w:val="24"/>
                              </w:rPr>
                            </w:pPr>
                            <w:r>
                              <w:rPr>
                                <w:b/>
                                <w:sz w:val="24"/>
                                <w:szCs w:val="24"/>
                              </w:rPr>
                              <w:t xml:space="preserve">Emergency capacity: </w:t>
                            </w:r>
                            <w:r>
                              <w:rPr>
                                <w:sz w:val="24"/>
                                <w:szCs w:val="24"/>
                              </w:rPr>
                              <w:t xml:space="preserve">Rapidly mobilising Australian assistance and effectively coordinating responses to crises when it is needed to augment local efforts. </w:t>
                            </w:r>
                          </w:p>
                          <w:p w14:paraId="3D5E1095" w14:textId="77777777" w:rsidR="001C5460" w:rsidRDefault="001C5460" w:rsidP="004D31CC">
                            <w:pPr>
                              <w:pStyle w:val="ListParagraph"/>
                              <w:numPr>
                                <w:ilvl w:val="0"/>
                                <w:numId w:val="7"/>
                              </w:numPr>
                              <w:tabs>
                                <w:tab w:val="num" w:pos="360"/>
                              </w:tabs>
                              <w:spacing w:after="240" w:line="240" w:lineRule="auto"/>
                              <w:ind w:left="357" w:hanging="357"/>
                              <w:rPr>
                                <w:sz w:val="24"/>
                                <w:szCs w:val="24"/>
                              </w:rPr>
                            </w:pPr>
                            <w:r>
                              <w:rPr>
                                <w:b/>
                                <w:sz w:val="24"/>
                                <w:szCs w:val="24"/>
                              </w:rPr>
                              <w:t>Early recovery</w:t>
                            </w:r>
                            <w:r>
                              <w:rPr>
                                <w:sz w:val="24"/>
                                <w:szCs w:val="24"/>
                              </w:rPr>
                              <w:t xml:space="preserve">: </w:t>
                            </w:r>
                            <w:r w:rsidRPr="00575B68">
                              <w:rPr>
                                <w:rFonts w:ascii="Calibri" w:eastAsiaTheme="minorEastAsia" w:hAnsi="Calibri"/>
                                <w:sz w:val="24"/>
                                <w:szCs w:val="24"/>
                              </w:rPr>
                              <w:t>Response efforts includ</w:t>
                            </w:r>
                            <w:r>
                              <w:rPr>
                                <w:rFonts w:ascii="Calibri" w:eastAsiaTheme="minorEastAsia" w:hAnsi="Calibri"/>
                                <w:sz w:val="24"/>
                                <w:szCs w:val="24"/>
                              </w:rPr>
                              <w:t>ing</w:t>
                            </w:r>
                            <w:r w:rsidRPr="00575B68">
                              <w:rPr>
                                <w:rFonts w:ascii="Calibri" w:eastAsiaTheme="minorEastAsia" w:hAnsi="Calibri"/>
                                <w:sz w:val="24"/>
                                <w:szCs w:val="24"/>
                              </w:rPr>
                              <w:t xml:space="preserve"> support for early recovery and the transition from humanitarian relief to longer-term recovery and development.</w:t>
                            </w:r>
                          </w:p>
                          <w:p w14:paraId="5CAEFE91" w14:textId="77777777" w:rsidR="001C5460" w:rsidRDefault="001C5460" w:rsidP="004D31CC">
                            <w:pPr>
                              <w:pStyle w:val="ListParagraph"/>
                              <w:numPr>
                                <w:ilvl w:val="0"/>
                                <w:numId w:val="7"/>
                              </w:numPr>
                              <w:tabs>
                                <w:tab w:val="num" w:pos="360"/>
                              </w:tabs>
                              <w:spacing w:after="240" w:line="240" w:lineRule="auto"/>
                              <w:ind w:left="357" w:hanging="357"/>
                              <w:rPr>
                                <w:sz w:val="24"/>
                                <w:szCs w:val="24"/>
                              </w:rPr>
                            </w:pPr>
                            <w:r>
                              <w:rPr>
                                <w:b/>
                                <w:sz w:val="24"/>
                                <w:szCs w:val="24"/>
                              </w:rPr>
                              <w:t xml:space="preserve">Resilience and risk reduction in the Pacific: </w:t>
                            </w:r>
                            <w:r>
                              <w:rPr>
                                <w:sz w:val="24"/>
                                <w:szCs w:val="24"/>
                              </w:rPr>
                              <w:t>Supporting vulnerable communities to anticipate disasters and crises and take practical steps to protect their own lives, livelihoods and economies.</w:t>
                            </w:r>
                          </w:p>
                          <w:p w14:paraId="4068E3BB" w14:textId="510A3022" w:rsidR="001C5460" w:rsidRPr="00C65056" w:rsidRDefault="001C5460" w:rsidP="00405EE8">
                            <w:pPr>
                              <w:pStyle w:val="ListParagraph"/>
                              <w:numPr>
                                <w:ilvl w:val="0"/>
                                <w:numId w:val="7"/>
                              </w:numPr>
                              <w:tabs>
                                <w:tab w:val="num" w:pos="360"/>
                              </w:tabs>
                              <w:spacing w:after="240" w:line="240" w:lineRule="auto"/>
                              <w:ind w:left="357" w:hanging="357"/>
                              <w:rPr>
                                <w:sz w:val="24"/>
                                <w:szCs w:val="24"/>
                              </w:rPr>
                            </w:pPr>
                            <w:r w:rsidRPr="00C65056">
                              <w:rPr>
                                <w:b/>
                                <w:sz w:val="24"/>
                                <w:szCs w:val="24"/>
                              </w:rPr>
                              <w:t>Protection</w:t>
                            </w:r>
                            <w:r>
                              <w:rPr>
                                <w:b/>
                                <w:sz w:val="24"/>
                                <w:szCs w:val="24"/>
                              </w:rPr>
                              <w:t xml:space="preserve"> and inclusion</w:t>
                            </w:r>
                            <w:r w:rsidRPr="00C65056">
                              <w:rPr>
                                <w:b/>
                                <w:sz w:val="24"/>
                                <w:szCs w:val="24"/>
                              </w:rPr>
                              <w:t xml:space="preserve">: </w:t>
                            </w:r>
                            <w:r w:rsidRPr="00C65056">
                              <w:rPr>
                                <w:sz w:val="24"/>
                                <w:szCs w:val="24"/>
                              </w:rPr>
                              <w:t xml:space="preserve">Supporting those in situations of vulnerability, including women, children and people with disabilities, to live safer and more dignified lives and strengthening protection mechanisms, particularly from sexual and gender based violence. </w:t>
                            </w:r>
                          </w:p>
                          <w:p w14:paraId="12F55BB9" w14:textId="77777777" w:rsidR="001C5460" w:rsidRPr="00F2127D" w:rsidRDefault="001C5460" w:rsidP="004D31CC">
                            <w:pPr>
                              <w:pStyle w:val="ListParagraph"/>
                              <w:numPr>
                                <w:ilvl w:val="0"/>
                                <w:numId w:val="7"/>
                              </w:numPr>
                              <w:tabs>
                                <w:tab w:val="num" w:pos="360"/>
                              </w:tabs>
                              <w:spacing w:after="240" w:line="240" w:lineRule="auto"/>
                              <w:ind w:left="357" w:hanging="357"/>
                              <w:rPr>
                                <w:sz w:val="24"/>
                                <w:szCs w:val="24"/>
                              </w:rPr>
                            </w:pPr>
                            <w:r w:rsidRPr="00F036F1">
                              <w:rPr>
                                <w:b/>
                                <w:sz w:val="24"/>
                                <w:szCs w:val="24"/>
                              </w:rPr>
                              <w:t>Leadership by women and people with disabilities</w:t>
                            </w:r>
                            <w:r>
                              <w:rPr>
                                <w:sz w:val="24"/>
                                <w:szCs w:val="24"/>
                              </w:rPr>
                              <w:t>:</w:t>
                            </w:r>
                            <w:r w:rsidRPr="00F2127D">
                              <w:rPr>
                                <w:rFonts w:ascii="Calibri" w:eastAsia="Times New Roman" w:hAnsi="Calibri" w:cs="Arial"/>
                                <w:color w:val="222222"/>
                                <w:lang w:eastAsia="en-AU"/>
                              </w:rPr>
                              <w:t xml:space="preserve"> </w:t>
                            </w:r>
                            <w:r w:rsidRPr="00F036F1">
                              <w:rPr>
                                <w:rFonts w:ascii="Calibri" w:eastAsia="Times New Roman" w:hAnsi="Calibri" w:cs="Arial"/>
                                <w:color w:val="222222"/>
                                <w:sz w:val="24"/>
                                <w:szCs w:val="24"/>
                                <w:lang w:eastAsia="en-AU"/>
                              </w:rPr>
                              <w:t xml:space="preserve">elevating the role of women </w:t>
                            </w:r>
                            <w:r>
                              <w:rPr>
                                <w:rFonts w:ascii="Calibri" w:eastAsia="Times New Roman" w:hAnsi="Calibri" w:cs="Arial"/>
                                <w:color w:val="222222"/>
                                <w:sz w:val="24"/>
                                <w:szCs w:val="24"/>
                                <w:lang w:eastAsia="en-AU"/>
                              </w:rPr>
                              <w:t xml:space="preserve">and people with disability </w:t>
                            </w:r>
                            <w:r w:rsidRPr="00F036F1">
                              <w:rPr>
                                <w:rFonts w:ascii="Calibri" w:eastAsia="Times New Roman" w:hAnsi="Calibri" w:cs="Arial"/>
                                <w:color w:val="222222"/>
                                <w:sz w:val="24"/>
                                <w:szCs w:val="24"/>
                                <w:lang w:eastAsia="en-AU"/>
                              </w:rPr>
                              <w:t>in decision making</w:t>
                            </w:r>
                            <w:r w:rsidRPr="00F2127D">
                              <w:rPr>
                                <w:rFonts w:ascii="Calibri" w:eastAsia="Times New Roman" w:hAnsi="Calibri" w:cs="Arial"/>
                                <w:color w:val="222222"/>
                                <w:sz w:val="24"/>
                                <w:szCs w:val="24"/>
                                <w:lang w:eastAsia="en-AU"/>
                              </w:rPr>
                              <w:t>.</w:t>
                            </w:r>
                            <w:r w:rsidRPr="00F2127D">
                              <w:rPr>
                                <w:sz w:val="24"/>
                                <w:szCs w:val="24"/>
                              </w:rPr>
                              <w:t xml:space="preserve"> The partnership will support their full participation, and recognise their capacity as leaders and participants.</w:t>
                            </w:r>
                          </w:p>
                          <w:p w14:paraId="69CC7310" w14:textId="77777777" w:rsidR="001C5460" w:rsidRDefault="001C5460" w:rsidP="004D31CC">
                            <w:pPr>
                              <w:pStyle w:val="ListParagraph"/>
                              <w:numPr>
                                <w:ilvl w:val="0"/>
                                <w:numId w:val="7"/>
                              </w:numPr>
                              <w:tabs>
                                <w:tab w:val="num" w:pos="360"/>
                              </w:tabs>
                              <w:spacing w:after="240" w:line="240" w:lineRule="auto"/>
                              <w:ind w:left="357" w:hanging="357"/>
                              <w:rPr>
                                <w:sz w:val="24"/>
                                <w:szCs w:val="24"/>
                              </w:rPr>
                            </w:pPr>
                            <w:r>
                              <w:rPr>
                                <w:b/>
                                <w:sz w:val="24"/>
                                <w:szCs w:val="24"/>
                              </w:rPr>
                              <w:t xml:space="preserve">Innovation and learning: </w:t>
                            </w:r>
                            <w:r w:rsidRPr="0049294C">
                              <w:rPr>
                                <w:sz w:val="24"/>
                                <w:szCs w:val="24"/>
                              </w:rPr>
                              <w:t>S</w:t>
                            </w:r>
                            <w:r>
                              <w:rPr>
                                <w:sz w:val="24"/>
                                <w:szCs w:val="24"/>
                              </w:rPr>
                              <w:t>upporting innovation in response and community resilience initiatives; engagement with the private sector and ensuring sector-wide learning to improve program design and delivery.</w:t>
                            </w:r>
                          </w:p>
                          <w:p w14:paraId="07A14ADB" w14:textId="77777777" w:rsidR="001C5460" w:rsidRDefault="001C5460" w:rsidP="00142C6D">
                            <w:pPr>
                              <w:pStyle w:val="ListParagraph"/>
                              <w:numPr>
                                <w:ilvl w:val="0"/>
                                <w:numId w:val="7"/>
                              </w:numPr>
                              <w:spacing w:after="240" w:line="240" w:lineRule="auto"/>
                              <w:rPr>
                                <w:sz w:val="24"/>
                                <w:szCs w:val="24"/>
                              </w:rPr>
                            </w:pPr>
                            <w:r w:rsidRPr="00C42C16">
                              <w:rPr>
                                <w:b/>
                                <w:sz w:val="24"/>
                                <w:szCs w:val="24"/>
                              </w:rPr>
                              <w:t>Public awareness</w:t>
                            </w:r>
                            <w:r>
                              <w:rPr>
                                <w:sz w:val="24"/>
                                <w:szCs w:val="24"/>
                              </w:rPr>
                              <w:t xml:space="preserve">: Leveraging each other’s networks to effectively communicate the impact of Australia’s response to the Australian public and other key stakeholders. </w:t>
                            </w:r>
                          </w:p>
                          <w:p w14:paraId="475C2F4B" w14:textId="1EE090A8" w:rsidR="001C5460" w:rsidRPr="00C42C16" w:rsidRDefault="001C5460" w:rsidP="00142C6D">
                            <w:pPr>
                              <w:pStyle w:val="ListParagraph"/>
                              <w:numPr>
                                <w:ilvl w:val="0"/>
                                <w:numId w:val="7"/>
                              </w:numPr>
                              <w:spacing w:after="240" w:line="240" w:lineRule="auto"/>
                              <w:rPr>
                                <w:sz w:val="24"/>
                                <w:szCs w:val="24"/>
                              </w:rPr>
                            </w:pPr>
                            <w:r w:rsidRPr="0076729D">
                              <w:rPr>
                                <w:b/>
                                <w:sz w:val="24"/>
                                <w:szCs w:val="24"/>
                              </w:rPr>
                              <w:t>Relationships:</w:t>
                            </w:r>
                            <w:r>
                              <w:rPr>
                                <w:sz w:val="24"/>
                                <w:szCs w:val="24"/>
                              </w:rPr>
                              <w:t xml:space="preserve"> Strong relationships and engagement with local communities and experience working in partnership with national governments.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2.8pt;margin-top:18.35pt;width:448.95pt;height:35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" fillcolor="#a3c4ff" strokecolor="#4a7ebb" strokeweight="1.5pt">
                <v:fill color2="#e5eeff" rotate="t" angle="180" colors="0 #a3c4ff;22938f #bfd5ff;1 #e5eeff" focus="100%" type="gradient"/>
                <v:shadow on="t" color="black" opacity="24903f" origin=",.5" offset="0,.55556mm"/>
                <v:textbox>
                  <w:txbxContent>
                    <w:p w14:paraId="1F6813E9" w14:textId="77777777" w:rsidR="001C5460" w:rsidRDefault="001C5460" w:rsidP="00142C6D">
                      <w:pPr>
                        <w:spacing w:after="240"/>
                        <w:contextualSpacing/>
                        <w:rPr>
                          <w:b/>
                        </w:rPr>
                      </w:pPr>
                      <w:r>
                        <w:rPr>
                          <w:b/>
                        </w:rPr>
                        <w:t>PRIORITIES:</w:t>
                      </w:r>
                    </w:p>
                    <w:p w14:paraId="76D0A530" w14:textId="77777777" w:rsidR="001C5460" w:rsidRDefault="001C5460" w:rsidP="004D31CC">
                      <w:pPr>
                        <w:pStyle w:val="ListParagraph"/>
                        <w:numPr>
                          <w:ilvl w:val="0"/>
                          <w:numId w:val="7"/>
                        </w:numPr>
                        <w:tabs>
                          <w:tab w:val="num" w:pos="360"/>
                        </w:tabs>
                        <w:spacing w:after="240" w:line="240" w:lineRule="auto"/>
                        <w:ind w:left="357" w:hanging="357"/>
                        <w:rPr>
                          <w:sz w:val="24"/>
                          <w:szCs w:val="24"/>
                        </w:rPr>
                      </w:pPr>
                      <w:r>
                        <w:rPr>
                          <w:b/>
                          <w:sz w:val="24"/>
                          <w:szCs w:val="24"/>
                        </w:rPr>
                        <w:t xml:space="preserve">Emergency capacity: </w:t>
                      </w:r>
                      <w:r>
                        <w:rPr>
                          <w:sz w:val="24"/>
                          <w:szCs w:val="24"/>
                        </w:rPr>
                        <w:t xml:space="preserve">Rapidly mobilising Australian assistance and effectively coordinating responses to crises when it is needed to augment local efforts. </w:t>
                      </w:r>
                    </w:p>
                    <w:p w14:paraId="3D5E1095" w14:textId="77777777" w:rsidR="001C5460" w:rsidRDefault="001C5460" w:rsidP="004D31CC">
                      <w:pPr>
                        <w:pStyle w:val="ListParagraph"/>
                        <w:numPr>
                          <w:ilvl w:val="0"/>
                          <w:numId w:val="7"/>
                        </w:numPr>
                        <w:tabs>
                          <w:tab w:val="num" w:pos="360"/>
                        </w:tabs>
                        <w:spacing w:after="240" w:line="240" w:lineRule="auto"/>
                        <w:ind w:left="357" w:hanging="357"/>
                        <w:rPr>
                          <w:sz w:val="24"/>
                          <w:szCs w:val="24"/>
                        </w:rPr>
                      </w:pPr>
                      <w:r>
                        <w:rPr>
                          <w:b/>
                          <w:sz w:val="24"/>
                          <w:szCs w:val="24"/>
                        </w:rPr>
                        <w:t>Early recovery</w:t>
                      </w:r>
                      <w:r>
                        <w:rPr>
                          <w:sz w:val="24"/>
                          <w:szCs w:val="24"/>
                        </w:rPr>
                        <w:t xml:space="preserve">: </w:t>
                      </w:r>
                      <w:r w:rsidRPr="00575B68">
                        <w:rPr>
                          <w:rFonts w:ascii="Calibri" w:eastAsiaTheme="minorEastAsia" w:hAnsi="Calibri"/>
                          <w:sz w:val="24"/>
                          <w:szCs w:val="24"/>
                        </w:rPr>
                        <w:t>Response efforts includ</w:t>
                      </w:r>
                      <w:r>
                        <w:rPr>
                          <w:rFonts w:ascii="Calibri" w:eastAsiaTheme="minorEastAsia" w:hAnsi="Calibri"/>
                          <w:sz w:val="24"/>
                          <w:szCs w:val="24"/>
                        </w:rPr>
                        <w:t>ing</w:t>
                      </w:r>
                      <w:r w:rsidRPr="00575B68">
                        <w:rPr>
                          <w:rFonts w:ascii="Calibri" w:eastAsiaTheme="minorEastAsia" w:hAnsi="Calibri"/>
                          <w:sz w:val="24"/>
                          <w:szCs w:val="24"/>
                        </w:rPr>
                        <w:t xml:space="preserve"> support for early recovery and the transition from humanitarian relief to longer-term recovery and development.</w:t>
                      </w:r>
                    </w:p>
                    <w:p w14:paraId="5CAEFE91" w14:textId="77777777" w:rsidR="001C5460" w:rsidRDefault="001C5460" w:rsidP="004D31CC">
                      <w:pPr>
                        <w:pStyle w:val="ListParagraph"/>
                        <w:numPr>
                          <w:ilvl w:val="0"/>
                          <w:numId w:val="7"/>
                        </w:numPr>
                        <w:tabs>
                          <w:tab w:val="num" w:pos="360"/>
                        </w:tabs>
                        <w:spacing w:after="240" w:line="240" w:lineRule="auto"/>
                        <w:ind w:left="357" w:hanging="357"/>
                        <w:rPr>
                          <w:sz w:val="24"/>
                          <w:szCs w:val="24"/>
                        </w:rPr>
                      </w:pPr>
                      <w:r>
                        <w:rPr>
                          <w:b/>
                          <w:sz w:val="24"/>
                          <w:szCs w:val="24"/>
                        </w:rPr>
                        <w:t xml:space="preserve">Resilience and risk reduction in the Pacific: </w:t>
                      </w:r>
                      <w:r>
                        <w:rPr>
                          <w:sz w:val="24"/>
                          <w:szCs w:val="24"/>
                        </w:rPr>
                        <w:t>Supporting vulnerable communities to anticipate disasters and crises and take practical steps to protect their own lives, livelihoods and economies.</w:t>
                      </w:r>
                    </w:p>
                    <w:p w14:paraId="4068E3BB" w14:textId="510A3022" w:rsidR="001C5460" w:rsidRPr="00C65056" w:rsidRDefault="001C5460" w:rsidP="00405EE8">
                      <w:pPr>
                        <w:pStyle w:val="ListParagraph"/>
                        <w:numPr>
                          <w:ilvl w:val="0"/>
                          <w:numId w:val="7"/>
                        </w:numPr>
                        <w:tabs>
                          <w:tab w:val="num" w:pos="360"/>
                        </w:tabs>
                        <w:spacing w:after="240" w:line="240" w:lineRule="auto"/>
                        <w:ind w:left="357" w:hanging="357"/>
                        <w:rPr>
                          <w:sz w:val="24"/>
                          <w:szCs w:val="24"/>
                        </w:rPr>
                      </w:pPr>
                      <w:r w:rsidRPr="00C65056">
                        <w:rPr>
                          <w:b/>
                          <w:sz w:val="24"/>
                          <w:szCs w:val="24"/>
                        </w:rPr>
                        <w:t>Protection</w:t>
                      </w:r>
                      <w:r>
                        <w:rPr>
                          <w:b/>
                          <w:sz w:val="24"/>
                          <w:szCs w:val="24"/>
                        </w:rPr>
                        <w:t xml:space="preserve"> and inclusion</w:t>
                      </w:r>
                      <w:r w:rsidRPr="00C65056">
                        <w:rPr>
                          <w:b/>
                          <w:sz w:val="24"/>
                          <w:szCs w:val="24"/>
                        </w:rPr>
                        <w:t xml:space="preserve">: </w:t>
                      </w:r>
                      <w:r w:rsidRPr="00C65056">
                        <w:rPr>
                          <w:sz w:val="24"/>
                          <w:szCs w:val="24"/>
                        </w:rPr>
                        <w:t xml:space="preserve">Supporting those in situations of vulnerability, including women, children and people with disabilities, to live safer and more dignified lives and strengthening protection mechanisms, particularly from sexual and gender based violence. </w:t>
                      </w:r>
                    </w:p>
                    <w:p w14:paraId="12F55BB9" w14:textId="77777777" w:rsidR="001C5460" w:rsidRPr="00F2127D" w:rsidRDefault="001C5460" w:rsidP="004D31CC">
                      <w:pPr>
                        <w:pStyle w:val="ListParagraph"/>
                        <w:numPr>
                          <w:ilvl w:val="0"/>
                          <w:numId w:val="7"/>
                        </w:numPr>
                        <w:tabs>
                          <w:tab w:val="num" w:pos="360"/>
                        </w:tabs>
                        <w:spacing w:after="240" w:line="240" w:lineRule="auto"/>
                        <w:ind w:left="357" w:hanging="357"/>
                        <w:rPr>
                          <w:sz w:val="24"/>
                          <w:szCs w:val="24"/>
                        </w:rPr>
                      </w:pPr>
                      <w:r w:rsidRPr="00F036F1">
                        <w:rPr>
                          <w:b/>
                          <w:sz w:val="24"/>
                          <w:szCs w:val="24"/>
                        </w:rPr>
                        <w:t>Leadership by women and people with disabilities</w:t>
                      </w:r>
                      <w:r>
                        <w:rPr>
                          <w:sz w:val="24"/>
                          <w:szCs w:val="24"/>
                        </w:rPr>
                        <w:t>:</w:t>
                      </w:r>
                      <w:r w:rsidRPr="00F2127D">
                        <w:rPr>
                          <w:rFonts w:ascii="Calibri" w:eastAsia="Times New Roman" w:hAnsi="Calibri" w:cs="Arial"/>
                          <w:color w:val="222222"/>
                          <w:lang w:eastAsia="en-AU"/>
                        </w:rPr>
                        <w:t xml:space="preserve"> </w:t>
                      </w:r>
                      <w:r w:rsidRPr="00F036F1">
                        <w:rPr>
                          <w:rFonts w:ascii="Calibri" w:eastAsia="Times New Roman" w:hAnsi="Calibri" w:cs="Arial"/>
                          <w:color w:val="222222"/>
                          <w:sz w:val="24"/>
                          <w:szCs w:val="24"/>
                          <w:lang w:eastAsia="en-AU"/>
                        </w:rPr>
                        <w:t xml:space="preserve">elevating the role of women </w:t>
                      </w:r>
                      <w:r>
                        <w:rPr>
                          <w:rFonts w:ascii="Calibri" w:eastAsia="Times New Roman" w:hAnsi="Calibri" w:cs="Arial"/>
                          <w:color w:val="222222"/>
                          <w:sz w:val="24"/>
                          <w:szCs w:val="24"/>
                          <w:lang w:eastAsia="en-AU"/>
                        </w:rPr>
                        <w:t xml:space="preserve">and people with disability </w:t>
                      </w:r>
                      <w:r w:rsidRPr="00F036F1">
                        <w:rPr>
                          <w:rFonts w:ascii="Calibri" w:eastAsia="Times New Roman" w:hAnsi="Calibri" w:cs="Arial"/>
                          <w:color w:val="222222"/>
                          <w:sz w:val="24"/>
                          <w:szCs w:val="24"/>
                          <w:lang w:eastAsia="en-AU"/>
                        </w:rPr>
                        <w:t>in decision making</w:t>
                      </w:r>
                      <w:r w:rsidRPr="00F2127D">
                        <w:rPr>
                          <w:rFonts w:ascii="Calibri" w:eastAsia="Times New Roman" w:hAnsi="Calibri" w:cs="Arial"/>
                          <w:color w:val="222222"/>
                          <w:sz w:val="24"/>
                          <w:szCs w:val="24"/>
                          <w:lang w:eastAsia="en-AU"/>
                        </w:rPr>
                        <w:t>.</w:t>
                      </w:r>
                      <w:r w:rsidRPr="00F2127D">
                        <w:rPr>
                          <w:sz w:val="24"/>
                          <w:szCs w:val="24"/>
                        </w:rPr>
                        <w:t xml:space="preserve"> The partnership will support their full participation, and recognise their capacity as leaders and participants.</w:t>
                      </w:r>
                    </w:p>
                    <w:p w14:paraId="69CC7310" w14:textId="77777777" w:rsidR="001C5460" w:rsidRDefault="001C5460" w:rsidP="004D31CC">
                      <w:pPr>
                        <w:pStyle w:val="ListParagraph"/>
                        <w:numPr>
                          <w:ilvl w:val="0"/>
                          <w:numId w:val="7"/>
                        </w:numPr>
                        <w:tabs>
                          <w:tab w:val="num" w:pos="360"/>
                        </w:tabs>
                        <w:spacing w:after="240" w:line="240" w:lineRule="auto"/>
                        <w:ind w:left="357" w:hanging="357"/>
                        <w:rPr>
                          <w:sz w:val="24"/>
                          <w:szCs w:val="24"/>
                        </w:rPr>
                      </w:pPr>
                      <w:r>
                        <w:rPr>
                          <w:b/>
                          <w:sz w:val="24"/>
                          <w:szCs w:val="24"/>
                        </w:rPr>
                        <w:t xml:space="preserve">Innovation and learning: </w:t>
                      </w:r>
                      <w:r w:rsidRPr="0049294C">
                        <w:rPr>
                          <w:sz w:val="24"/>
                          <w:szCs w:val="24"/>
                        </w:rPr>
                        <w:t>S</w:t>
                      </w:r>
                      <w:r>
                        <w:rPr>
                          <w:sz w:val="24"/>
                          <w:szCs w:val="24"/>
                        </w:rPr>
                        <w:t>upporting innovation in response and community resilience initiatives; engagement with the private sector and ensuring sector-wide learning to improve program design and delivery.</w:t>
                      </w:r>
                    </w:p>
                    <w:p w14:paraId="07A14ADB" w14:textId="77777777" w:rsidR="001C5460" w:rsidRDefault="001C5460" w:rsidP="00142C6D">
                      <w:pPr>
                        <w:pStyle w:val="ListParagraph"/>
                        <w:numPr>
                          <w:ilvl w:val="0"/>
                          <w:numId w:val="7"/>
                        </w:numPr>
                        <w:spacing w:after="240" w:line="240" w:lineRule="auto"/>
                        <w:rPr>
                          <w:sz w:val="24"/>
                          <w:szCs w:val="24"/>
                        </w:rPr>
                      </w:pPr>
                      <w:r w:rsidRPr="00C42C16">
                        <w:rPr>
                          <w:b/>
                          <w:sz w:val="24"/>
                          <w:szCs w:val="24"/>
                        </w:rPr>
                        <w:t>Public awareness</w:t>
                      </w:r>
                      <w:r>
                        <w:rPr>
                          <w:sz w:val="24"/>
                          <w:szCs w:val="24"/>
                        </w:rPr>
                        <w:t xml:space="preserve">: Leveraging each other’s networks to effectively communicate the impact of Australia’s response to the Australian public and other key stakeholders. </w:t>
                      </w:r>
                    </w:p>
                    <w:p w14:paraId="475C2F4B" w14:textId="1EE090A8" w:rsidR="001C5460" w:rsidRPr="00C42C16" w:rsidRDefault="001C5460" w:rsidP="00142C6D">
                      <w:pPr>
                        <w:pStyle w:val="ListParagraph"/>
                        <w:numPr>
                          <w:ilvl w:val="0"/>
                          <w:numId w:val="7"/>
                        </w:numPr>
                        <w:spacing w:after="240" w:line="240" w:lineRule="auto"/>
                        <w:rPr>
                          <w:sz w:val="24"/>
                          <w:szCs w:val="24"/>
                        </w:rPr>
                      </w:pPr>
                      <w:r w:rsidRPr="0076729D">
                        <w:rPr>
                          <w:b/>
                          <w:sz w:val="24"/>
                          <w:szCs w:val="24"/>
                        </w:rPr>
                        <w:t>Relationships:</w:t>
                      </w:r>
                      <w:r>
                        <w:rPr>
                          <w:sz w:val="24"/>
                          <w:szCs w:val="24"/>
                        </w:rPr>
                        <w:t xml:space="preserve"> Strong relationships and engagement with local communities and experience working in partnership with national governments.</w:t>
                      </w:r>
                    </w:p>
                  </w:txbxContent>
                </v:textbox>
                <w10:wrap type="square"/>
              </v:shape>
            </w:pict>
          </mc:Fallback>
        </mc:AlternateContent>
      </w:r>
    </w:p>
    <w:p w14:paraId="71A929BB" w14:textId="77777777" w:rsidR="004D31CC" w:rsidRPr="00405EE8" w:rsidRDefault="00142C6D" w:rsidP="00405EE8">
      <w:pPr>
        <w:spacing w:after="240"/>
        <w:jc w:val="both"/>
        <w:rPr>
          <w:b/>
        </w:rPr>
      </w:pPr>
      <w:r w:rsidRPr="00142C6D">
        <w:rPr>
          <w:rFonts w:eastAsiaTheme="majorEastAsia" w:cstheme="majorBidi"/>
          <w:i/>
          <w:iCs/>
          <w:color w:val="365F91" w:themeColor="accent1" w:themeShade="BF"/>
        </w:rPr>
        <w:t>Outcome Area 1: Response and early recovery</w:t>
      </w:r>
    </w:p>
    <w:p w14:paraId="01B2E658" w14:textId="77777777" w:rsidR="004D31CC" w:rsidRPr="00405EE8" w:rsidRDefault="00142C6D" w:rsidP="00405EE8">
      <w:pPr>
        <w:keepNext/>
        <w:keepLines/>
        <w:spacing w:before="40" w:after="240"/>
        <w:jc w:val="both"/>
        <w:outlineLvl w:val="3"/>
        <w:rPr>
          <w:rFonts w:eastAsiaTheme="majorEastAsia" w:cstheme="majorBidi"/>
          <w:i/>
          <w:iCs/>
          <w:color w:val="365F91" w:themeColor="accent1" w:themeShade="BF"/>
        </w:rPr>
      </w:pPr>
      <w:r w:rsidRPr="00405EE8">
        <w:rPr>
          <w:rFonts w:eastAsiaTheme="majorEastAsia" w:cstheme="majorBidi"/>
          <w:b/>
          <w:iCs/>
        </w:rPr>
        <w:t>End of Investment Outcome</w:t>
      </w:r>
      <w:r w:rsidRPr="00405EE8">
        <w:rPr>
          <w:rFonts w:eastAsiaTheme="majorEastAsia" w:cstheme="majorBidi"/>
          <w:iCs/>
        </w:rPr>
        <w:t xml:space="preserve">: </w:t>
      </w:r>
      <w:r w:rsidR="004D31CC" w:rsidRPr="00405EE8">
        <w:rPr>
          <w:rFonts w:ascii="Calibri" w:hAnsi="Calibri"/>
        </w:rPr>
        <w:t>Effective response and early recovery: target populations receive timely and high quality humanitarian assistance appropriate to the context</w:t>
      </w:r>
      <w:r w:rsidR="00213C5F">
        <w:rPr>
          <w:rFonts w:ascii="Calibri" w:hAnsi="Calibri"/>
        </w:rPr>
        <w:t>; and are well supported in early recovery</w:t>
      </w:r>
      <w:r w:rsidR="004D31CC" w:rsidRPr="00405EE8">
        <w:rPr>
          <w:rFonts w:ascii="Calibri" w:hAnsi="Calibri"/>
        </w:rPr>
        <w:t>.</w:t>
      </w:r>
    </w:p>
    <w:p w14:paraId="473B77BD" w14:textId="77777777" w:rsidR="00142C6D" w:rsidRPr="00142C6D" w:rsidRDefault="00142C6D" w:rsidP="00142C6D">
      <w:pPr>
        <w:spacing w:after="240"/>
        <w:jc w:val="both"/>
      </w:pPr>
      <w:r w:rsidRPr="00142C6D">
        <w:rPr>
          <w:b/>
        </w:rPr>
        <w:t>Under the partnership, DFAT will provide funding for humanitarian response to crises (including rapid-onset, protracted and slow-onset crises).</w:t>
      </w:r>
      <w:r w:rsidRPr="00142C6D">
        <w:t xml:space="preserve"> This is the priority focus of the partnership. Short term outcomes in this outcome area will occur as the funding is activated. The pre-selection process will be designed to ensure the best positioned partners are selected to deliver cris</w:t>
      </w:r>
      <w:r w:rsidR="00213C5F">
        <w:t>i</w:t>
      </w:r>
      <w:r w:rsidRPr="00142C6D">
        <w:t xml:space="preserve">s responses (using tailored approaches for rapid </w:t>
      </w:r>
      <w:r w:rsidR="004D31CC">
        <w:t>onset</w:t>
      </w:r>
      <w:r w:rsidRPr="00142C6D">
        <w:t xml:space="preserve"> and </w:t>
      </w:r>
      <w:r w:rsidR="004D31CC">
        <w:t>protracted/slow onset</w:t>
      </w:r>
      <w:r w:rsidRPr="00142C6D">
        <w:t xml:space="preserve"> crises). Building on the strengths of the HPA, funds will reach the ground quickly, allowing Australia to be one of the first international partners to respond. </w:t>
      </w:r>
    </w:p>
    <w:p w14:paraId="4F6D6939" w14:textId="77777777" w:rsidR="00142C6D" w:rsidRPr="00142C6D" w:rsidRDefault="00005D42" w:rsidP="00142C6D">
      <w:pPr>
        <w:spacing w:after="240"/>
        <w:jc w:val="both"/>
      </w:pPr>
      <w:r>
        <w:rPr>
          <w:b/>
        </w:rPr>
        <w:t xml:space="preserve">Funded </w:t>
      </w:r>
      <w:r w:rsidR="00142C6D" w:rsidRPr="00142C6D">
        <w:rPr>
          <w:b/>
        </w:rPr>
        <w:t>NGO partners will deliver response activities complementary to the Core Humanitarian Standard on Quality and Accountability.</w:t>
      </w:r>
      <w:r w:rsidR="00142C6D" w:rsidRPr="00142C6D">
        <w:t xml:space="preserve"> The medium term outcomes represented in this outcome area outline the key outcomes that partners are expected to deliver through their response approaches. </w:t>
      </w:r>
      <w:r>
        <w:t xml:space="preserve">Funded </w:t>
      </w:r>
      <w:r w:rsidR="00142C6D" w:rsidRPr="00142C6D" w:rsidDel="0002455F">
        <w:t xml:space="preserve">NGO partners will </w:t>
      </w:r>
      <w:r w:rsidR="00142C6D" w:rsidRPr="00142C6D" w:rsidDel="0002455F">
        <w:lastRenderedPageBreak/>
        <w:t xml:space="preserve">leverage their local, international and private sector links within initiatives in-country. This will enable them to work with others to achieve more, enhancing value for money. </w:t>
      </w:r>
    </w:p>
    <w:p w14:paraId="336A9F34" w14:textId="2A21AE3E" w:rsidR="00142C6D" w:rsidRPr="00142C6D" w:rsidRDefault="00142C6D" w:rsidP="00142C6D">
      <w:pPr>
        <w:spacing w:after="240"/>
        <w:jc w:val="both"/>
      </w:pPr>
      <w:r w:rsidRPr="00142C6D">
        <w:rPr>
          <w:b/>
        </w:rPr>
        <w:t>The transportation and distribution of supplies and ‘gifted’ goods</w:t>
      </w:r>
      <w:r w:rsidR="00B51A35" w:rsidRPr="00737D62">
        <w:t xml:space="preserve"> (physical supplies provided by the Australian Government)</w:t>
      </w:r>
      <w:r w:rsidRPr="00737D62">
        <w:t xml:space="preserve"> </w:t>
      </w:r>
      <w:r w:rsidRPr="00142C6D">
        <w:rPr>
          <w:b/>
        </w:rPr>
        <w:t>will be effectively managed during responses</w:t>
      </w:r>
      <w:r w:rsidRPr="00142C6D">
        <w:t xml:space="preserve">. Strong coordination will occur between DFAT, </w:t>
      </w:r>
      <w:r w:rsidR="00005D42">
        <w:t xml:space="preserve">funded </w:t>
      </w:r>
      <w:r w:rsidRPr="00142C6D">
        <w:t>NGO partners, the ADF</w:t>
      </w:r>
      <w:r w:rsidR="00005D42">
        <w:t xml:space="preserve"> (</w:t>
      </w:r>
      <w:r w:rsidR="00783A7A">
        <w:t>as appropriate</w:t>
      </w:r>
      <w:r w:rsidR="00005D42">
        <w:t>)</w:t>
      </w:r>
      <w:r w:rsidR="00783A7A">
        <w:t xml:space="preserve">, </w:t>
      </w:r>
      <w:r w:rsidRPr="00142C6D">
        <w:t xml:space="preserve">and other providers to ensure efficient transportation and distribution of goods for their intended purposes. </w:t>
      </w:r>
    </w:p>
    <w:p w14:paraId="1C6A4C29" w14:textId="77777777" w:rsidR="00142C6D" w:rsidRPr="00142C6D" w:rsidDel="0002455F" w:rsidRDefault="00142C6D" w:rsidP="00142C6D">
      <w:pPr>
        <w:spacing w:after="240"/>
        <w:jc w:val="both"/>
      </w:pPr>
      <w:r w:rsidRPr="00142C6D" w:rsidDel="0002455F">
        <w:rPr>
          <w:b/>
        </w:rPr>
        <w:t xml:space="preserve">Building on the strong practice of the HPA, </w:t>
      </w:r>
      <w:r w:rsidR="00C66DA9">
        <w:rPr>
          <w:b/>
        </w:rPr>
        <w:t xml:space="preserve">funded </w:t>
      </w:r>
      <w:r w:rsidRPr="00142C6D" w:rsidDel="0002455F">
        <w:rPr>
          <w:b/>
        </w:rPr>
        <w:t>NGO</w:t>
      </w:r>
      <w:r w:rsidR="00C66DA9">
        <w:rPr>
          <w:b/>
        </w:rPr>
        <w:t xml:space="preserve"> partner</w:t>
      </w:r>
      <w:r w:rsidRPr="00142C6D" w:rsidDel="0002455F">
        <w:rPr>
          <w:b/>
        </w:rPr>
        <w:t>s will deliver inclusive responses which protect and meet the individual needs of men, women, girls and boys including people with disabilities</w:t>
      </w:r>
      <w:r w:rsidRPr="00142C6D" w:rsidDel="0002455F">
        <w:t xml:space="preserve">. Response activities will be informed by a robust gender analysis, in a way that considers the changing gender roles and power dynamics of crisis situations. Opportunities will also be provided for standalone gender-based violence (GBV) protection programming. </w:t>
      </w:r>
    </w:p>
    <w:p w14:paraId="34F87233" w14:textId="77777777" w:rsidR="00142C6D" w:rsidRPr="00142C6D" w:rsidRDefault="00142C6D" w:rsidP="00142C6D">
      <w:pPr>
        <w:spacing w:after="240"/>
        <w:jc w:val="both"/>
      </w:pPr>
      <w:r w:rsidRPr="00142C6D">
        <w:rPr>
          <w:b/>
        </w:rPr>
        <w:t xml:space="preserve">Response efforts will include early recovery </w:t>
      </w:r>
      <w:r w:rsidR="004D31CC">
        <w:rPr>
          <w:b/>
        </w:rPr>
        <w:t>assistance</w:t>
      </w:r>
      <w:r w:rsidRPr="00142C6D">
        <w:t xml:space="preserve"> to support the smooth transition from humanitarian relief to longer-term recovery and development.</w:t>
      </w:r>
      <w:r w:rsidR="004D31CC">
        <w:t xml:space="preserve"> Early recovery investments </w:t>
      </w:r>
      <w:r w:rsidR="00B245E9">
        <w:t>will</w:t>
      </w:r>
      <w:r w:rsidR="004D31CC">
        <w:t xml:space="preserve"> help localise a post-crisis response by empowering local actors, including marginalised and vulnerable groups, a</w:t>
      </w:r>
      <w:r w:rsidR="00B245E9">
        <w:t>nd</w:t>
      </w:r>
      <w:r w:rsidR="004D31CC">
        <w:t xml:space="preserve"> supporting the local private sector.</w:t>
      </w:r>
      <w:r w:rsidRPr="00142C6D">
        <w:t xml:space="preserve"> Early recovery activities can take many forms, including:</w:t>
      </w:r>
    </w:p>
    <w:p w14:paraId="3A41D5EF" w14:textId="77777777" w:rsidR="00142C6D" w:rsidRPr="00142C6D" w:rsidRDefault="004D31CC" w:rsidP="00142C6D">
      <w:pPr>
        <w:numPr>
          <w:ilvl w:val="0"/>
          <w:numId w:val="22"/>
        </w:numPr>
        <w:spacing w:after="240"/>
        <w:contextualSpacing/>
        <w:jc w:val="both"/>
        <w:rPr>
          <w:rFonts w:eastAsiaTheme="minorHAnsi"/>
        </w:rPr>
      </w:pPr>
      <w:r>
        <w:rPr>
          <w:rFonts w:eastAsiaTheme="minorHAnsi"/>
        </w:rPr>
        <w:t>Restoring</w:t>
      </w:r>
      <w:r w:rsidR="00142C6D" w:rsidRPr="00142C6D">
        <w:rPr>
          <w:rFonts w:eastAsiaTheme="minorHAnsi"/>
        </w:rPr>
        <w:t xml:space="preserve"> basic services (e.g. health, education and infrastructure) </w:t>
      </w:r>
    </w:p>
    <w:p w14:paraId="0AB90FA3" w14:textId="77777777" w:rsidR="00142C6D" w:rsidRPr="00142C6D" w:rsidRDefault="00142C6D" w:rsidP="00142C6D">
      <w:pPr>
        <w:numPr>
          <w:ilvl w:val="0"/>
          <w:numId w:val="22"/>
        </w:numPr>
        <w:spacing w:after="240"/>
        <w:contextualSpacing/>
        <w:jc w:val="both"/>
        <w:rPr>
          <w:rFonts w:eastAsiaTheme="minorHAnsi"/>
        </w:rPr>
      </w:pPr>
      <w:r w:rsidRPr="00142C6D">
        <w:rPr>
          <w:rFonts w:eastAsiaTheme="minorHAnsi"/>
        </w:rPr>
        <w:t>Reviving markets and livelihoods</w:t>
      </w:r>
    </w:p>
    <w:p w14:paraId="7899A392" w14:textId="77777777" w:rsidR="004D31CC" w:rsidRDefault="00142C6D" w:rsidP="00142C6D">
      <w:pPr>
        <w:numPr>
          <w:ilvl w:val="0"/>
          <w:numId w:val="22"/>
        </w:numPr>
        <w:spacing w:after="240"/>
        <w:contextualSpacing/>
        <w:jc w:val="both"/>
        <w:rPr>
          <w:rFonts w:eastAsiaTheme="minorHAnsi"/>
        </w:rPr>
      </w:pPr>
      <w:r w:rsidRPr="00142C6D">
        <w:rPr>
          <w:rFonts w:eastAsiaTheme="minorHAnsi"/>
        </w:rPr>
        <w:t>Supporting protection measures that alleviate short-term suffering</w:t>
      </w:r>
    </w:p>
    <w:p w14:paraId="3925238E" w14:textId="77777777" w:rsidR="004D31CC" w:rsidRDefault="004D31CC" w:rsidP="00142C6D">
      <w:pPr>
        <w:numPr>
          <w:ilvl w:val="0"/>
          <w:numId w:val="22"/>
        </w:numPr>
        <w:spacing w:after="240"/>
        <w:contextualSpacing/>
        <w:jc w:val="both"/>
        <w:rPr>
          <w:rFonts w:eastAsiaTheme="minorHAnsi"/>
        </w:rPr>
      </w:pPr>
      <w:r>
        <w:rPr>
          <w:rFonts w:eastAsiaTheme="minorHAnsi"/>
        </w:rPr>
        <w:t>Incorporating ‘Build Back Better’ principles into recovery and reconstruction</w:t>
      </w:r>
      <w:r w:rsidR="00142C6D" w:rsidRPr="00142C6D">
        <w:rPr>
          <w:rFonts w:eastAsiaTheme="minorHAnsi"/>
        </w:rPr>
        <w:t>.</w:t>
      </w:r>
    </w:p>
    <w:p w14:paraId="60D1E0D1" w14:textId="77777777" w:rsidR="00142C6D" w:rsidRPr="00142C6D" w:rsidRDefault="00142C6D" w:rsidP="00405EE8">
      <w:pPr>
        <w:spacing w:after="240"/>
        <w:ind w:left="720"/>
        <w:contextualSpacing/>
        <w:jc w:val="both"/>
        <w:rPr>
          <w:rFonts w:eastAsiaTheme="minorHAnsi"/>
        </w:rPr>
      </w:pPr>
      <w:r w:rsidRPr="00142C6D">
        <w:rPr>
          <w:rFonts w:eastAsiaTheme="minorHAnsi"/>
        </w:rPr>
        <w:t xml:space="preserve"> </w:t>
      </w:r>
    </w:p>
    <w:p w14:paraId="56012630" w14:textId="77777777" w:rsidR="00686716" w:rsidRDefault="00142C6D" w:rsidP="00737D62">
      <w:pPr>
        <w:spacing w:after="240"/>
        <w:jc w:val="both"/>
      </w:pPr>
      <w:r w:rsidRPr="00142C6D">
        <w:rPr>
          <w:b/>
        </w:rPr>
        <w:t>Reporting will capture all activities from response through to early recovery</w:t>
      </w:r>
      <w:r w:rsidRPr="00142C6D">
        <w:t xml:space="preserve">. Results will be clearly communicated to the Australian public to raise awareness of the response and demonstrate how Australia’s collective effort has made an impact. </w:t>
      </w:r>
    </w:p>
    <w:p w14:paraId="20814736" w14:textId="3312052F" w:rsidR="0091020D" w:rsidRPr="00737D62" w:rsidRDefault="00142C6D" w:rsidP="00737D62">
      <w:pPr>
        <w:spacing w:after="240"/>
        <w:jc w:val="both"/>
        <w:rPr>
          <w:rFonts w:eastAsiaTheme="majorEastAsia" w:cstheme="majorBidi"/>
          <w:i/>
          <w:iCs/>
          <w:color w:val="365F91" w:themeColor="accent1" w:themeShade="BF"/>
        </w:rPr>
      </w:pPr>
      <w:r w:rsidRPr="00142C6D">
        <w:rPr>
          <w:rFonts w:eastAsiaTheme="majorEastAsia" w:cstheme="majorBidi"/>
          <w:i/>
          <w:iCs/>
          <w:color w:val="365F91" w:themeColor="accent1" w:themeShade="BF"/>
        </w:rPr>
        <w:t xml:space="preserve">Outcome Area 2: </w:t>
      </w:r>
      <w:r w:rsidR="0009760B" w:rsidRPr="00737D62">
        <w:rPr>
          <w:rFonts w:eastAsiaTheme="majorEastAsia" w:cstheme="majorBidi"/>
          <w:i/>
          <w:iCs/>
          <w:color w:val="365F91" w:themeColor="accent1" w:themeShade="BF"/>
        </w:rPr>
        <w:t>Building local humanitarian capability and strengthening disaster resilience of communities in the Pacific</w:t>
      </w:r>
    </w:p>
    <w:p w14:paraId="7C3AF3E2" w14:textId="77777777" w:rsidR="0009760B" w:rsidRPr="00737D62" w:rsidRDefault="00142C6D" w:rsidP="00737D62">
      <w:pPr>
        <w:spacing w:after="120"/>
        <w:jc w:val="both"/>
        <w:rPr>
          <w:rFonts w:ascii="Calibri" w:hAnsi="Calibri"/>
        </w:rPr>
      </w:pPr>
      <w:r w:rsidRPr="00737D62">
        <w:rPr>
          <w:b/>
        </w:rPr>
        <w:t>End of Investment Outcome</w:t>
      </w:r>
      <w:r w:rsidRPr="00405EE8">
        <w:t xml:space="preserve">: </w:t>
      </w:r>
      <w:r w:rsidR="0009760B" w:rsidRPr="00737D62">
        <w:rPr>
          <w:rFonts w:ascii="Calibri" w:hAnsi="Calibri"/>
        </w:rPr>
        <w:t>Local humanitarian capability in the Pacific is strengthened to anticipate, prepare for, respond to and reduce risks from natural hazards; and Pacific communities are more resilient to the impacts of natural hazards.</w:t>
      </w:r>
    </w:p>
    <w:p w14:paraId="492B1C77" w14:textId="550DE4B4" w:rsidR="00142C6D" w:rsidRPr="00142C6D" w:rsidRDefault="00142C6D" w:rsidP="0091020D">
      <w:pPr>
        <w:spacing w:after="120"/>
        <w:jc w:val="both"/>
      </w:pPr>
      <w:r w:rsidRPr="00111040">
        <w:t>This investment outcome will be designed and implemented to support and not undermine local capacity.</w:t>
      </w:r>
      <w:r w:rsidRPr="00142C6D">
        <w:t xml:space="preserve"> </w:t>
      </w:r>
      <w:r w:rsidR="00111040" w:rsidRPr="00AD7042">
        <w:rPr>
          <w:szCs w:val="20"/>
        </w:rPr>
        <w:t>To support a shift towards localisation, initiatives under this outcome area will focus on building the disaster management capacity and coordination of local Pacific</w:t>
      </w:r>
      <w:r w:rsidR="00BC4224" w:rsidRPr="00AD7042">
        <w:rPr>
          <w:szCs w:val="20"/>
        </w:rPr>
        <w:t>-</w:t>
      </w:r>
      <w:r w:rsidR="00111040" w:rsidRPr="00AD7042">
        <w:rPr>
          <w:szCs w:val="20"/>
        </w:rPr>
        <w:t>based NGOs</w:t>
      </w:r>
      <w:r w:rsidR="0091020D" w:rsidRPr="00AD7042">
        <w:rPr>
          <w:szCs w:val="20"/>
        </w:rPr>
        <w:t xml:space="preserve"> and civil society organisations</w:t>
      </w:r>
      <w:r w:rsidR="00111040" w:rsidRPr="00AD7042">
        <w:rPr>
          <w:szCs w:val="20"/>
        </w:rPr>
        <w:t xml:space="preserve">; and strengthening the </w:t>
      </w:r>
      <w:r w:rsidR="00893058" w:rsidRPr="00AD7042">
        <w:rPr>
          <w:szCs w:val="20"/>
        </w:rPr>
        <w:t xml:space="preserve">disaster </w:t>
      </w:r>
      <w:r w:rsidR="00111040" w:rsidRPr="00AD7042">
        <w:rPr>
          <w:szCs w:val="20"/>
        </w:rPr>
        <w:t>resilience of Pacific communities.</w:t>
      </w:r>
      <w:r w:rsidRPr="00AD7042">
        <w:t xml:space="preserve"> </w:t>
      </w:r>
    </w:p>
    <w:p w14:paraId="15EFF00D" w14:textId="110BB039" w:rsidR="00142C6D" w:rsidRPr="00142C6D" w:rsidRDefault="00142C6D" w:rsidP="00142C6D">
      <w:pPr>
        <w:spacing w:after="240"/>
        <w:jc w:val="both"/>
      </w:pPr>
      <w:r w:rsidRPr="00142C6D">
        <w:rPr>
          <w:b/>
        </w:rPr>
        <w:t>The partnership will support a ‘design and implement’ inception phase</w:t>
      </w:r>
      <w:r w:rsidRPr="00142C6D">
        <w:t xml:space="preserve"> with </w:t>
      </w:r>
      <w:r w:rsidR="00D16569">
        <w:t xml:space="preserve">funded NGO </w:t>
      </w:r>
      <w:r w:rsidRPr="00142C6D">
        <w:t xml:space="preserve">partners to design activities under this outcome area. The </w:t>
      </w:r>
      <w:r w:rsidR="00893058">
        <w:t xml:space="preserve">(draft) </w:t>
      </w:r>
      <w:r w:rsidRPr="00142C6D">
        <w:t xml:space="preserve">short-term outcomes represented in this outcome area outline the central outcomes partners </w:t>
      </w:r>
      <w:r w:rsidRPr="00142C6D">
        <w:lastRenderedPageBreak/>
        <w:t xml:space="preserve">must achieve in their designs. </w:t>
      </w:r>
      <w:r w:rsidR="00D16569">
        <w:t>Funded NGO p</w:t>
      </w:r>
      <w:r w:rsidRPr="00142C6D">
        <w:t xml:space="preserve">artners will align and coordinate their initiatives with their own ANCP funded programs; with other selected ANGO partners and Australian investments (including with the Australian Red Cross); and with local communities and authorities. </w:t>
      </w:r>
      <w:r w:rsidRPr="00142C6D">
        <w:rPr>
          <w:b/>
        </w:rPr>
        <w:t xml:space="preserve">The </w:t>
      </w:r>
      <w:r w:rsidR="00893058">
        <w:rPr>
          <w:b/>
        </w:rPr>
        <w:t>inception phase</w:t>
      </w:r>
      <w:r w:rsidRPr="00142C6D">
        <w:rPr>
          <w:b/>
        </w:rPr>
        <w:t xml:space="preserve"> will foster stronger working partnerships in-country and will test innovative approaches</w:t>
      </w:r>
      <w:r w:rsidRPr="00142C6D">
        <w:t xml:space="preserve">. </w:t>
      </w:r>
    </w:p>
    <w:p w14:paraId="30D8EF00" w14:textId="77777777" w:rsidR="00142C6D" w:rsidRPr="00142C6D" w:rsidRDefault="00142C6D" w:rsidP="00142C6D">
      <w:pPr>
        <w:spacing w:after="240"/>
        <w:jc w:val="both"/>
        <w:rPr>
          <w:szCs w:val="20"/>
        </w:rPr>
      </w:pPr>
      <w:r w:rsidRPr="00142C6D">
        <w:rPr>
          <w:szCs w:val="20"/>
        </w:rPr>
        <w:t>The</w:t>
      </w:r>
      <w:r w:rsidR="00893058">
        <w:rPr>
          <w:szCs w:val="20"/>
        </w:rPr>
        <w:t xml:space="preserve"> (draft)</w:t>
      </w:r>
      <w:r w:rsidRPr="00142C6D">
        <w:rPr>
          <w:szCs w:val="20"/>
        </w:rPr>
        <w:t xml:space="preserve"> medium term outcomes represent the core outcomes that must be achieved at the end of each partner’s initiative. As with crisis responses, these initiatives will have </w:t>
      </w:r>
      <w:r w:rsidRPr="00142C6D">
        <w:t xml:space="preserve">a strong focus on protection, gender equality and disability inclusion.  </w:t>
      </w:r>
      <w:r w:rsidRPr="00405EE8">
        <w:rPr>
          <w:szCs w:val="20"/>
        </w:rPr>
        <w:t>The multi-year funding</w:t>
      </w:r>
      <w:r w:rsidRPr="00142C6D">
        <w:rPr>
          <w:szCs w:val="20"/>
        </w:rPr>
        <w:t xml:space="preserve"> provided through this outcome area will enable partners to progress and deepen these aspects, </w:t>
      </w:r>
      <w:r w:rsidRPr="00142C6D">
        <w:rPr>
          <w:b/>
          <w:szCs w:val="20"/>
        </w:rPr>
        <w:t>achieving stronger gains in the leadership of women and people with disabilities</w:t>
      </w:r>
      <w:r w:rsidRPr="00142C6D">
        <w:rPr>
          <w:szCs w:val="20"/>
        </w:rPr>
        <w:t xml:space="preserve">. </w:t>
      </w:r>
      <w:r w:rsidR="00D23F41">
        <w:rPr>
          <w:szCs w:val="20"/>
        </w:rPr>
        <w:t xml:space="preserve">Funded </w:t>
      </w:r>
      <w:r w:rsidRPr="00142C6D">
        <w:rPr>
          <w:szCs w:val="20"/>
        </w:rPr>
        <w:t xml:space="preserve">NGO partners will be expected to support the leadership of women and people with disabilities within their partner organisations and in activities that support </w:t>
      </w:r>
      <w:r w:rsidR="00B670D5">
        <w:rPr>
          <w:szCs w:val="20"/>
        </w:rPr>
        <w:t>risk reduction</w:t>
      </w:r>
      <w:r w:rsidRPr="00142C6D">
        <w:rPr>
          <w:szCs w:val="20"/>
        </w:rPr>
        <w:t xml:space="preserve"> and resilience. </w:t>
      </w:r>
    </w:p>
    <w:p w14:paraId="0D55A965" w14:textId="77777777" w:rsidR="00142C6D" w:rsidRPr="00142C6D" w:rsidRDefault="00142C6D" w:rsidP="00142C6D">
      <w:pPr>
        <w:spacing w:after="240"/>
        <w:jc w:val="both"/>
        <w:rPr>
          <w:szCs w:val="20"/>
        </w:rPr>
      </w:pPr>
      <w:r w:rsidRPr="00142C6D">
        <w:rPr>
          <w:b/>
          <w:szCs w:val="20"/>
        </w:rPr>
        <w:t xml:space="preserve">The initiatives under this outcome area are also an avenue to progress Australia's commitments under the </w:t>
      </w:r>
      <w:r w:rsidRPr="00142C6D">
        <w:rPr>
          <w:b/>
          <w:i/>
          <w:szCs w:val="20"/>
        </w:rPr>
        <w:t>Sendai Framework</w:t>
      </w:r>
      <w:r w:rsidR="00BC4224" w:rsidRPr="00BC4224">
        <w:rPr>
          <w:i/>
          <w:szCs w:val="20"/>
        </w:rPr>
        <w:t xml:space="preserve"> </w:t>
      </w:r>
      <w:r w:rsidR="00BC4224" w:rsidRPr="00B60A49">
        <w:rPr>
          <w:b/>
          <w:i/>
          <w:szCs w:val="20"/>
        </w:rPr>
        <w:t>for Disaster Risk Reduction</w:t>
      </w:r>
      <w:r w:rsidRPr="00142C6D">
        <w:rPr>
          <w:szCs w:val="20"/>
        </w:rPr>
        <w:t xml:space="preserve">, as well as other regional commitments. Activities will work towards delivering specific outcomes within the four priority areas of the </w:t>
      </w:r>
      <w:r w:rsidRPr="00142C6D">
        <w:rPr>
          <w:i/>
          <w:szCs w:val="20"/>
        </w:rPr>
        <w:t>Sendai Framework</w:t>
      </w:r>
      <w:r w:rsidRPr="00142C6D">
        <w:rPr>
          <w:szCs w:val="20"/>
        </w:rPr>
        <w:t xml:space="preserve">. </w:t>
      </w:r>
    </w:p>
    <w:p w14:paraId="2A504BBA" w14:textId="77777777" w:rsidR="00142C6D" w:rsidRPr="00142C6D" w:rsidRDefault="00142C6D" w:rsidP="00142C6D">
      <w:pPr>
        <w:keepNext/>
        <w:keepLines/>
        <w:spacing w:before="40" w:after="240"/>
        <w:jc w:val="both"/>
        <w:outlineLvl w:val="3"/>
        <w:rPr>
          <w:rFonts w:eastAsiaTheme="majorEastAsia" w:cstheme="majorBidi"/>
          <w:i/>
          <w:iCs/>
          <w:color w:val="365F91" w:themeColor="accent1" w:themeShade="BF"/>
        </w:rPr>
      </w:pPr>
      <w:r w:rsidRPr="00142C6D">
        <w:rPr>
          <w:rFonts w:eastAsiaTheme="majorEastAsia" w:cstheme="majorBidi"/>
          <w:i/>
          <w:iCs/>
          <w:color w:val="365F91" w:themeColor="accent1" w:themeShade="BF"/>
        </w:rPr>
        <w:t>Outcome Area 3: The DFAT-HRG Partnership</w:t>
      </w:r>
    </w:p>
    <w:p w14:paraId="6575F5B6" w14:textId="77777777" w:rsidR="00142C6D" w:rsidRPr="00142C6D" w:rsidRDefault="00142C6D" w:rsidP="00142C6D">
      <w:pPr>
        <w:spacing w:after="240"/>
        <w:jc w:val="both"/>
      </w:pPr>
      <w:r w:rsidRPr="00142C6D">
        <w:rPr>
          <w:b/>
        </w:rPr>
        <w:t>End of Investment Outcome:</w:t>
      </w:r>
      <w:r w:rsidRPr="00142C6D">
        <w:t xml:space="preserve"> The DFAT-HRG partnership is strengthened: </w:t>
      </w:r>
      <w:r w:rsidR="004A6672">
        <w:t xml:space="preserve">HRG member </w:t>
      </w:r>
      <w:r w:rsidRPr="00142C6D">
        <w:t>NGOs, their local partners and DFAT work together more effectively.</w:t>
      </w:r>
    </w:p>
    <w:p w14:paraId="79602A78" w14:textId="755B7D68" w:rsidR="00142C6D" w:rsidRPr="00142C6D" w:rsidRDefault="00142C6D" w:rsidP="00142C6D">
      <w:pPr>
        <w:spacing w:after="240"/>
        <w:jc w:val="both"/>
      </w:pPr>
      <w:r w:rsidRPr="00142C6D">
        <w:t xml:space="preserve">This investment builds on existing partnership/dialogue structures </w:t>
      </w:r>
      <w:r w:rsidR="00893058">
        <w:t xml:space="preserve">between DFAT and </w:t>
      </w:r>
      <w:r w:rsidR="00686716">
        <w:t xml:space="preserve">the </w:t>
      </w:r>
      <w:r w:rsidR="00893058">
        <w:t xml:space="preserve">HRG. </w:t>
      </w:r>
      <w:r w:rsidRPr="00142C6D">
        <w:t xml:space="preserve"> </w:t>
      </w:r>
      <w:r w:rsidRPr="00142C6D">
        <w:rPr>
          <w:b/>
        </w:rPr>
        <w:t xml:space="preserve">The outcomes under this area will be </w:t>
      </w:r>
      <w:r w:rsidR="00B670D5">
        <w:rPr>
          <w:b/>
        </w:rPr>
        <w:t xml:space="preserve">primarily </w:t>
      </w:r>
      <w:r w:rsidRPr="00142C6D">
        <w:rPr>
          <w:b/>
        </w:rPr>
        <w:t xml:space="preserve">achieved through the work of the Support Unit. </w:t>
      </w:r>
      <w:r w:rsidRPr="00142C6D">
        <w:t xml:space="preserve">The Support Unit will </w:t>
      </w:r>
      <w:r w:rsidR="00405EE8">
        <w:t>work with</w:t>
      </w:r>
      <w:r w:rsidR="00B670D5">
        <w:t xml:space="preserve"> partners to achieve all three end</w:t>
      </w:r>
      <w:r w:rsidR="00B41169">
        <w:t>-</w:t>
      </w:r>
      <w:r w:rsidR="00B670D5">
        <w:t>of</w:t>
      </w:r>
      <w:r w:rsidR="00B41169">
        <w:t>-</w:t>
      </w:r>
      <w:r w:rsidR="00B670D5">
        <w:t xml:space="preserve">investment outcomes. The Support Unit will </w:t>
      </w:r>
      <w:r w:rsidRPr="00142C6D">
        <w:t xml:space="preserve">provide response coordination, communications and MEL support in a way that benefits </w:t>
      </w:r>
      <w:r w:rsidR="00755894">
        <w:t>all</w:t>
      </w:r>
      <w:r w:rsidRPr="00142C6D">
        <w:t xml:space="preserve"> HRG members</w:t>
      </w:r>
      <w:r w:rsidR="00755894">
        <w:t>, DFAT</w:t>
      </w:r>
      <w:r w:rsidRPr="00142C6D">
        <w:t xml:space="preserve"> and the DFAT-HRG partnership. </w:t>
      </w:r>
    </w:p>
    <w:p w14:paraId="794A3840" w14:textId="008BB4E8" w:rsidR="006F7611" w:rsidRDefault="00142C6D" w:rsidP="00142C6D">
      <w:pPr>
        <w:spacing w:after="240"/>
        <w:jc w:val="both"/>
      </w:pPr>
      <w:r w:rsidRPr="00142C6D">
        <w:t xml:space="preserve">Strengthened coordination between ANGOs was a success of the HPA. </w:t>
      </w:r>
      <w:r w:rsidRPr="00142C6D">
        <w:rPr>
          <w:b/>
        </w:rPr>
        <w:t>The new partnership aims to enhance coordination among NGOs in the areas of visibility and learning</w:t>
      </w:r>
      <w:r w:rsidRPr="00142C6D">
        <w:t>. Under the partnership</w:t>
      </w:r>
      <w:r w:rsidR="00B670D5">
        <w:t>,</w:t>
      </w:r>
      <w:r w:rsidRPr="00142C6D">
        <w:t xml:space="preserve"> </w:t>
      </w:r>
      <w:r w:rsidR="006F7611">
        <w:t xml:space="preserve">DFAT would like to see greater collaboration between </w:t>
      </w:r>
      <w:r w:rsidR="003800CF">
        <w:t xml:space="preserve">HRG member </w:t>
      </w:r>
      <w:r w:rsidRPr="00142C6D">
        <w:t>NGO</w:t>
      </w:r>
      <w:r w:rsidR="003800CF">
        <w:t>s</w:t>
      </w:r>
      <w:r w:rsidRPr="00142C6D">
        <w:t xml:space="preserve"> </w:t>
      </w:r>
      <w:r w:rsidR="006F7611">
        <w:t>in communicating Australia’s collective response to crises. Over time, DFAT would like to explore options for</w:t>
      </w:r>
      <w:r w:rsidR="003E45FD">
        <w:t xml:space="preserve"> joint fundraising efforts </w:t>
      </w:r>
      <w:r w:rsidR="00BC4224">
        <w:t xml:space="preserve">which </w:t>
      </w:r>
      <w:r w:rsidR="006F7611">
        <w:t xml:space="preserve">could </w:t>
      </w:r>
      <w:r w:rsidRPr="00142C6D">
        <w:t xml:space="preserve">leverage additional funding and increase the visibility of Australia’s collective humanitarian efforts. </w:t>
      </w:r>
    </w:p>
    <w:p w14:paraId="2F5CD66D" w14:textId="0AA7DEAF" w:rsidR="00142C6D" w:rsidRPr="00142C6D" w:rsidRDefault="00142C6D" w:rsidP="00142C6D">
      <w:pPr>
        <w:spacing w:after="240"/>
        <w:jc w:val="both"/>
      </w:pPr>
      <w:r w:rsidRPr="00142C6D">
        <w:t xml:space="preserve">The HPA review </w:t>
      </w:r>
      <w:r w:rsidR="006F7611">
        <w:t xml:space="preserve">also </w:t>
      </w:r>
      <w:r w:rsidRPr="00142C6D">
        <w:t xml:space="preserve">found that learnings were generally limited to HPA partners. As such non-HPA partners were often excluded and/or not able to fully benefit from the rich learning processes that occurred. As part of this new arrangement, </w:t>
      </w:r>
      <w:r w:rsidRPr="00C709D6">
        <w:rPr>
          <w:b/>
        </w:rPr>
        <w:t xml:space="preserve">innovation, research and learning will feed into wider sectoral learning forums </w:t>
      </w:r>
      <w:r w:rsidR="006F7611">
        <w:rPr>
          <w:b/>
        </w:rPr>
        <w:t xml:space="preserve">open </w:t>
      </w:r>
      <w:r w:rsidRPr="00C709D6">
        <w:rPr>
          <w:b/>
        </w:rPr>
        <w:t>to all HRG members</w:t>
      </w:r>
      <w:r w:rsidRPr="00142C6D">
        <w:t xml:space="preserve">.  </w:t>
      </w:r>
    </w:p>
    <w:p w14:paraId="2269E268" w14:textId="77777777" w:rsidR="00B41169" w:rsidRDefault="00B41169">
      <w:pPr>
        <w:rPr>
          <w:rFonts w:ascii="Calibri" w:eastAsiaTheme="majorEastAsia" w:hAnsi="Calibri" w:cstheme="majorBidi"/>
          <w:b/>
          <w:bCs/>
          <w:color w:val="4F81BD" w:themeColor="accent1"/>
        </w:rPr>
      </w:pPr>
      <w:r>
        <w:br w:type="page"/>
      </w:r>
    </w:p>
    <w:p w14:paraId="2E45EB58" w14:textId="51E6E848" w:rsidR="00A239A7" w:rsidRPr="007157F7" w:rsidRDefault="00A544E0" w:rsidP="00A67DC0">
      <w:pPr>
        <w:pStyle w:val="Heading2"/>
        <w:spacing w:after="240"/>
        <w:jc w:val="both"/>
        <w:rPr>
          <w:sz w:val="24"/>
          <w:szCs w:val="24"/>
        </w:rPr>
      </w:pPr>
      <w:bookmarkStart w:id="17" w:name="_Toc448777801"/>
      <w:r w:rsidRPr="007157F7">
        <w:rPr>
          <w:sz w:val="24"/>
          <w:szCs w:val="24"/>
        </w:rPr>
        <w:lastRenderedPageBreak/>
        <w:t>Delivery A</w:t>
      </w:r>
      <w:r w:rsidR="008B56F9" w:rsidRPr="007157F7">
        <w:rPr>
          <w:sz w:val="24"/>
          <w:szCs w:val="24"/>
        </w:rPr>
        <w:t>pproach</w:t>
      </w:r>
      <w:bookmarkEnd w:id="17"/>
    </w:p>
    <w:p w14:paraId="4B624F08" w14:textId="5C89B153" w:rsidR="004157EC" w:rsidRPr="00DD70E1" w:rsidRDefault="00B43F8A" w:rsidP="00A67DC0">
      <w:pPr>
        <w:spacing w:after="240"/>
        <w:jc w:val="both"/>
      </w:pPr>
      <w:r w:rsidRPr="00DD70E1">
        <w:rPr>
          <w:b/>
        </w:rPr>
        <w:t>Th</w:t>
      </w:r>
      <w:r w:rsidR="004157EC" w:rsidRPr="00DD70E1">
        <w:rPr>
          <w:b/>
        </w:rPr>
        <w:t xml:space="preserve">is </w:t>
      </w:r>
      <w:r w:rsidR="00A7078B" w:rsidRPr="00DD70E1">
        <w:rPr>
          <w:b/>
        </w:rPr>
        <w:t>I</w:t>
      </w:r>
      <w:r w:rsidR="004157EC" w:rsidRPr="00DD70E1">
        <w:rPr>
          <w:b/>
        </w:rPr>
        <w:t xml:space="preserve">nvestment </w:t>
      </w:r>
      <w:r w:rsidR="00A7078B" w:rsidRPr="00DD70E1">
        <w:rPr>
          <w:b/>
        </w:rPr>
        <w:t xml:space="preserve">Design </w:t>
      </w:r>
      <w:r w:rsidR="004157EC" w:rsidRPr="00DD70E1">
        <w:rPr>
          <w:b/>
        </w:rPr>
        <w:t>describes the “</w:t>
      </w:r>
      <w:r w:rsidR="00001B44">
        <w:rPr>
          <w:b/>
        </w:rPr>
        <w:t>Australian Humanitarian Partnership</w:t>
      </w:r>
      <w:r w:rsidR="004157EC" w:rsidRPr="00DD70E1">
        <w:rPr>
          <w:b/>
        </w:rPr>
        <w:t>”</w:t>
      </w:r>
      <w:r w:rsidR="00B670D5">
        <w:rPr>
          <w:b/>
        </w:rPr>
        <w:t xml:space="preserve">.  </w:t>
      </w:r>
      <w:r w:rsidR="00B670D5" w:rsidRPr="00405EE8">
        <w:t>This</w:t>
      </w:r>
      <w:r w:rsidR="00405EE8">
        <w:rPr>
          <w:b/>
        </w:rPr>
        <w:t xml:space="preserve"> </w:t>
      </w:r>
      <w:r w:rsidR="00E42F81">
        <w:rPr>
          <w:rFonts w:ascii="Calibri" w:eastAsia="Times New Roman" w:hAnsi="Calibri"/>
        </w:rPr>
        <w:t xml:space="preserve">partnership incorporates a </w:t>
      </w:r>
      <w:r w:rsidR="00001B44" w:rsidRPr="00C318DA">
        <w:rPr>
          <w:rFonts w:ascii="Calibri" w:eastAsia="Times New Roman" w:hAnsi="Calibri"/>
        </w:rPr>
        <w:t xml:space="preserve">funding mechanism </w:t>
      </w:r>
      <w:r w:rsidR="00E42F81">
        <w:rPr>
          <w:rFonts w:ascii="Calibri" w:eastAsia="Times New Roman" w:hAnsi="Calibri"/>
        </w:rPr>
        <w:t>that</w:t>
      </w:r>
      <w:r w:rsidR="00001B44" w:rsidRPr="00C318DA">
        <w:rPr>
          <w:rFonts w:ascii="Calibri" w:eastAsia="Times New Roman" w:hAnsi="Calibri"/>
        </w:rPr>
        <w:t xml:space="preserve"> operates under the auspices of the </w:t>
      </w:r>
      <w:r w:rsidR="00E42F81">
        <w:rPr>
          <w:rFonts w:ascii="Calibri" w:eastAsia="Times New Roman" w:hAnsi="Calibri"/>
        </w:rPr>
        <w:t>relationship</w:t>
      </w:r>
      <w:r w:rsidR="00001B44" w:rsidRPr="00C318DA">
        <w:rPr>
          <w:rFonts w:ascii="Calibri" w:eastAsia="Times New Roman" w:hAnsi="Calibri"/>
        </w:rPr>
        <w:t xml:space="preserve"> between DFAT and </w:t>
      </w:r>
      <w:r w:rsidRPr="00DD70E1">
        <w:t xml:space="preserve">the </w:t>
      </w:r>
      <w:r w:rsidR="00A7078B" w:rsidRPr="00DD70E1">
        <w:t>ANGOs who make up</w:t>
      </w:r>
      <w:r w:rsidRPr="00DD70E1">
        <w:t xml:space="preserve"> the HRG. </w:t>
      </w:r>
    </w:p>
    <w:p w14:paraId="157ECB5D" w14:textId="77777777" w:rsidR="004157EC" w:rsidRPr="00DD70E1" w:rsidRDefault="00B43F8A" w:rsidP="00A67DC0">
      <w:pPr>
        <w:spacing w:after="240"/>
        <w:jc w:val="both"/>
      </w:pPr>
      <w:r w:rsidRPr="00DD70E1">
        <w:rPr>
          <w:b/>
        </w:rPr>
        <w:t xml:space="preserve">The </w:t>
      </w:r>
      <w:r w:rsidR="003E2FAF" w:rsidRPr="00DD70E1">
        <w:rPr>
          <w:b/>
        </w:rPr>
        <w:t xml:space="preserve">DFAT-HRG </w:t>
      </w:r>
      <w:r w:rsidRPr="00DD70E1">
        <w:rPr>
          <w:b/>
        </w:rPr>
        <w:t xml:space="preserve">partnership will </w:t>
      </w:r>
      <w:r w:rsidRPr="00C318DA">
        <w:rPr>
          <w:b/>
        </w:rPr>
        <w:t>be</w:t>
      </w:r>
      <w:r w:rsidRPr="00DD70E1">
        <w:rPr>
          <w:b/>
        </w:rPr>
        <w:t xml:space="preserve"> the main channel for strategic dialogue </w:t>
      </w:r>
      <w:r w:rsidR="00590A39" w:rsidRPr="00DD70E1">
        <w:rPr>
          <w:b/>
        </w:rPr>
        <w:t xml:space="preserve">among partners </w:t>
      </w:r>
      <w:r w:rsidRPr="00DD70E1">
        <w:rPr>
          <w:b/>
        </w:rPr>
        <w:t>on humanitarian issues</w:t>
      </w:r>
      <w:r w:rsidRPr="00DD70E1">
        <w:t xml:space="preserve">, building on the established role and value of the HRG. Emphasis will be placed on how </w:t>
      </w:r>
      <w:r w:rsidR="00001B44">
        <w:t>HRG</w:t>
      </w:r>
      <w:r w:rsidR="00001B44" w:rsidRPr="00DD70E1">
        <w:t xml:space="preserve"> </w:t>
      </w:r>
      <w:r w:rsidRPr="00DD70E1">
        <w:t>members</w:t>
      </w:r>
      <w:r w:rsidR="00001B44">
        <w:t xml:space="preserve"> and</w:t>
      </w:r>
      <w:r w:rsidRPr="00DD70E1">
        <w:t xml:space="preserve"> the Australian Government can </w:t>
      </w:r>
      <w:r w:rsidR="00001B44">
        <w:t xml:space="preserve">better </w:t>
      </w:r>
      <w:r w:rsidRPr="00DD70E1">
        <w:t xml:space="preserve">collaborate and coordinate their efforts. </w:t>
      </w:r>
    </w:p>
    <w:p w14:paraId="3C4C6003" w14:textId="2E9988F9" w:rsidR="00B43F8A" w:rsidRPr="00DD70E1" w:rsidRDefault="00B43F8A" w:rsidP="00A67DC0">
      <w:pPr>
        <w:spacing w:after="240"/>
        <w:jc w:val="both"/>
      </w:pPr>
      <w:r w:rsidRPr="00DD70E1">
        <w:rPr>
          <w:b/>
        </w:rPr>
        <w:t xml:space="preserve">The </w:t>
      </w:r>
      <w:r w:rsidR="00983336">
        <w:rPr>
          <w:b/>
        </w:rPr>
        <w:t xml:space="preserve">partnership </w:t>
      </w:r>
      <w:r w:rsidRPr="00DD70E1">
        <w:rPr>
          <w:b/>
        </w:rPr>
        <w:t xml:space="preserve">will include a small unit to help strengthen </w:t>
      </w:r>
      <w:r w:rsidR="00983336">
        <w:rPr>
          <w:b/>
        </w:rPr>
        <w:t>collaboration</w:t>
      </w:r>
      <w:r w:rsidR="006F7611">
        <w:rPr>
          <w:b/>
        </w:rPr>
        <w:t xml:space="preserve"> and manage contractual relationships</w:t>
      </w:r>
      <w:r w:rsidRPr="00DD70E1">
        <w:t xml:space="preserve">. This Support Unit will </w:t>
      </w:r>
      <w:r w:rsidR="006F7611">
        <w:t xml:space="preserve">also </w:t>
      </w:r>
      <w:r w:rsidRPr="00DD70E1">
        <w:t xml:space="preserve">add value to the partnership </w:t>
      </w:r>
      <w:r w:rsidR="00850F81">
        <w:t xml:space="preserve">as a whole </w:t>
      </w:r>
      <w:r w:rsidRPr="00DD70E1">
        <w:t xml:space="preserve">by facilitating information sharing, and supporting innovation, </w:t>
      </w:r>
      <w:r w:rsidR="00E42F81">
        <w:t xml:space="preserve">mutual </w:t>
      </w:r>
      <w:r w:rsidRPr="00DD70E1">
        <w:t xml:space="preserve">learning and public awareness activities. </w:t>
      </w:r>
    </w:p>
    <w:p w14:paraId="590C39E4" w14:textId="77777777" w:rsidR="006F7611" w:rsidRDefault="00B43F8A" w:rsidP="006F7611">
      <w:pPr>
        <w:shd w:val="clear" w:color="auto" w:fill="FFFFFF"/>
        <w:spacing w:after="120"/>
        <w:jc w:val="both"/>
      </w:pPr>
      <w:r w:rsidRPr="00DD70E1">
        <w:rPr>
          <w:b/>
        </w:rPr>
        <w:t>Under the aegis of this partnership, a small number of HRG member</w:t>
      </w:r>
      <w:r w:rsidR="003800CF">
        <w:rPr>
          <w:b/>
        </w:rPr>
        <w:t xml:space="preserve"> NGO</w:t>
      </w:r>
      <w:r w:rsidRPr="00DD70E1">
        <w:rPr>
          <w:b/>
        </w:rPr>
        <w:t>s will be selected</w:t>
      </w:r>
      <w:r w:rsidRPr="00DD70E1">
        <w:t xml:space="preserve"> </w:t>
      </w:r>
      <w:r w:rsidR="00474495">
        <w:t xml:space="preserve">for funding </w:t>
      </w:r>
      <w:r w:rsidRPr="00DD70E1">
        <w:t xml:space="preserve">through a competitive procurement process based on a detailed assessment of capabilities. This will give DFAT the confidence that they are working with the best placed ANGOs in different crises and in different contexts. </w:t>
      </w:r>
      <w:r w:rsidR="006F7611" w:rsidRPr="00DD70E1">
        <w:t xml:space="preserve">The design proposes that the tender process assess </w:t>
      </w:r>
      <w:r w:rsidR="006F7611">
        <w:t>applicants</w:t>
      </w:r>
      <w:r w:rsidR="006F7611" w:rsidRPr="00DD70E1">
        <w:t xml:space="preserve"> against five domains of capability (see section below).</w:t>
      </w:r>
      <w:r w:rsidR="006F7611">
        <w:t xml:space="preserve"> </w:t>
      </w:r>
    </w:p>
    <w:p w14:paraId="4515C1C2" w14:textId="2964AB4C" w:rsidR="006F7611" w:rsidRDefault="00AF17FA" w:rsidP="006F7611">
      <w:pPr>
        <w:shd w:val="clear" w:color="auto" w:fill="FFFFFF"/>
        <w:spacing w:after="120"/>
        <w:jc w:val="both"/>
        <w:rPr>
          <w:rFonts w:ascii="Calibri" w:hAnsi="Calibri"/>
        </w:rPr>
      </w:pPr>
      <w:r>
        <w:rPr>
          <w:rFonts w:ascii="Calibri" w:hAnsi="Calibri"/>
        </w:rPr>
        <w:t>One group of</w:t>
      </w:r>
      <w:r w:rsidR="006F7611">
        <w:rPr>
          <w:rFonts w:ascii="Calibri" w:hAnsi="Calibri"/>
        </w:rPr>
        <w:t xml:space="preserve"> </w:t>
      </w:r>
      <w:r w:rsidR="006F7611" w:rsidRPr="00C335CA">
        <w:rPr>
          <w:rFonts w:ascii="Calibri" w:hAnsi="Calibri"/>
          <w:b/>
        </w:rPr>
        <w:t xml:space="preserve">4-6 </w:t>
      </w:r>
      <w:r w:rsidR="006F7611">
        <w:rPr>
          <w:rFonts w:ascii="Calibri" w:hAnsi="Calibri"/>
          <w:b/>
        </w:rPr>
        <w:t>HRG</w:t>
      </w:r>
      <w:r w:rsidR="006F7611" w:rsidRPr="00C335CA">
        <w:rPr>
          <w:rFonts w:ascii="Calibri" w:hAnsi="Calibri"/>
          <w:b/>
        </w:rPr>
        <w:t xml:space="preserve"> member NGOs</w:t>
      </w:r>
      <w:r w:rsidR="006F7611" w:rsidRPr="00641D0E">
        <w:rPr>
          <w:rFonts w:ascii="Calibri" w:hAnsi="Calibri"/>
        </w:rPr>
        <w:t xml:space="preserve"> will be selected </w:t>
      </w:r>
      <w:r w:rsidR="006F7611">
        <w:rPr>
          <w:rFonts w:ascii="Calibri" w:hAnsi="Calibri"/>
        </w:rPr>
        <w:t xml:space="preserve">by DFAT to be eligible for </w:t>
      </w:r>
      <w:r w:rsidR="006F7611" w:rsidRPr="00C318DA">
        <w:rPr>
          <w:rFonts w:ascii="Calibri" w:hAnsi="Calibri"/>
        </w:rPr>
        <w:t xml:space="preserve">response funding (including early recovery) and </w:t>
      </w:r>
      <w:r>
        <w:rPr>
          <w:rFonts w:ascii="Calibri" w:hAnsi="Calibri"/>
        </w:rPr>
        <w:t xml:space="preserve">to receive </w:t>
      </w:r>
      <w:r w:rsidR="006F7611" w:rsidRPr="00C318DA">
        <w:rPr>
          <w:rFonts w:ascii="Calibri" w:hAnsi="Calibri"/>
        </w:rPr>
        <w:t xml:space="preserve">multi-year funding to support local </w:t>
      </w:r>
      <w:r w:rsidR="006F7611">
        <w:rPr>
          <w:rFonts w:ascii="Calibri" w:hAnsi="Calibri"/>
        </w:rPr>
        <w:t>humanitarian capability</w:t>
      </w:r>
      <w:r w:rsidR="006F7611" w:rsidRPr="00C318DA">
        <w:rPr>
          <w:rFonts w:ascii="Calibri" w:hAnsi="Calibri"/>
        </w:rPr>
        <w:t xml:space="preserve"> </w:t>
      </w:r>
      <w:r w:rsidR="006F7611">
        <w:rPr>
          <w:rFonts w:ascii="Calibri" w:hAnsi="Calibri"/>
        </w:rPr>
        <w:t>and build the disaster resilience of Pacific communities</w:t>
      </w:r>
      <w:r w:rsidR="006F7611" w:rsidRPr="006035B0">
        <w:rPr>
          <w:rFonts w:ascii="Calibri" w:hAnsi="Calibri"/>
        </w:rPr>
        <w:t>.</w:t>
      </w:r>
      <w:r w:rsidR="006F7611" w:rsidRPr="00C335CA">
        <w:rPr>
          <w:rFonts w:ascii="Calibri" w:hAnsi="Calibri"/>
        </w:rPr>
        <w:t xml:space="preserve">  A</w:t>
      </w:r>
      <w:r w:rsidR="006F7611" w:rsidRPr="00641D0E">
        <w:rPr>
          <w:rFonts w:ascii="Calibri" w:hAnsi="Calibri"/>
        </w:rPr>
        <w:t xml:space="preserve">pplications </w:t>
      </w:r>
      <w:r w:rsidR="006F7611">
        <w:rPr>
          <w:rFonts w:ascii="Calibri" w:hAnsi="Calibri"/>
        </w:rPr>
        <w:t xml:space="preserve">will be </w:t>
      </w:r>
      <w:r w:rsidR="006F7611" w:rsidRPr="00641D0E">
        <w:rPr>
          <w:rFonts w:ascii="Calibri" w:hAnsi="Calibri"/>
        </w:rPr>
        <w:t>restricted to HRG</w:t>
      </w:r>
      <w:r w:rsidR="006F7611">
        <w:rPr>
          <w:rFonts w:ascii="Calibri" w:hAnsi="Calibri"/>
        </w:rPr>
        <w:t xml:space="preserve"> member NGOs. </w:t>
      </w:r>
      <w:r w:rsidR="006F7611">
        <w:t xml:space="preserve">HRG members applying for funding are encouraged to consider consortia arrangements that enable them to demonstrate strong capacity over all five domains of capability. </w:t>
      </w:r>
      <w:r w:rsidR="006F7611">
        <w:rPr>
          <w:rFonts w:ascii="Calibri" w:hAnsi="Calibri"/>
        </w:rPr>
        <w:t>Consortia led by an HRG member and involving non-HRG members will be eligible to apply</w:t>
      </w:r>
      <w:r w:rsidR="006F7611" w:rsidRPr="00641D0E">
        <w:rPr>
          <w:rFonts w:ascii="Calibri" w:hAnsi="Calibri"/>
        </w:rPr>
        <w:t>.</w:t>
      </w:r>
      <w:r w:rsidR="006F7611">
        <w:rPr>
          <w:rFonts w:ascii="Calibri" w:hAnsi="Calibri"/>
        </w:rPr>
        <w:t xml:space="preserve"> Consortia arrangements are encouraged but not required.</w:t>
      </w:r>
    </w:p>
    <w:p w14:paraId="01403F55" w14:textId="77777777" w:rsidR="00B43F8A" w:rsidRPr="00502186" w:rsidRDefault="00B43F8A" w:rsidP="00A67DC0">
      <w:pPr>
        <w:spacing w:after="240"/>
        <w:jc w:val="both"/>
        <w:rPr>
          <w:rFonts w:ascii="Calibri" w:eastAsia="Times New Roman" w:hAnsi="Calibri"/>
        </w:rPr>
      </w:pPr>
      <w:r w:rsidRPr="00E1531D">
        <w:rPr>
          <w:rFonts w:ascii="Calibri" w:eastAsia="Times New Roman" w:hAnsi="Calibri"/>
          <w:b/>
        </w:rPr>
        <w:t>Under the partnership, DFAT funding will support</w:t>
      </w:r>
      <w:r>
        <w:rPr>
          <w:rFonts w:ascii="Calibri" w:eastAsia="Times New Roman" w:hAnsi="Calibri"/>
        </w:rPr>
        <w:t>:</w:t>
      </w:r>
      <w:r w:rsidRPr="00502186">
        <w:rPr>
          <w:rFonts w:ascii="Calibri" w:eastAsia="Times New Roman" w:hAnsi="Calibri"/>
        </w:rPr>
        <w:t xml:space="preserve"> </w:t>
      </w:r>
    </w:p>
    <w:p w14:paraId="18CA49EB" w14:textId="77777777" w:rsidR="00B43F8A" w:rsidRPr="00DD70E1" w:rsidRDefault="00B43F8A" w:rsidP="00A67DC0">
      <w:pPr>
        <w:pStyle w:val="ListParagraph"/>
        <w:numPr>
          <w:ilvl w:val="0"/>
          <w:numId w:val="40"/>
        </w:numPr>
        <w:spacing w:after="240" w:line="240" w:lineRule="auto"/>
        <w:ind w:left="1429" w:hanging="357"/>
        <w:jc w:val="both"/>
        <w:rPr>
          <w:sz w:val="24"/>
          <w:szCs w:val="24"/>
        </w:rPr>
      </w:pPr>
      <w:r w:rsidRPr="00DD70E1">
        <w:rPr>
          <w:sz w:val="24"/>
          <w:szCs w:val="24"/>
        </w:rPr>
        <w:t>Humanitarian response to rapid-onset crises</w:t>
      </w:r>
      <w:r w:rsidR="00E42F81">
        <w:rPr>
          <w:sz w:val="24"/>
          <w:szCs w:val="24"/>
        </w:rPr>
        <w:t xml:space="preserve"> (including early recovery)</w:t>
      </w:r>
    </w:p>
    <w:p w14:paraId="23826C07" w14:textId="77777777" w:rsidR="00B43F8A" w:rsidRPr="00DD70E1" w:rsidRDefault="00B43F8A" w:rsidP="00A67DC0">
      <w:pPr>
        <w:pStyle w:val="ListParagraph"/>
        <w:numPr>
          <w:ilvl w:val="0"/>
          <w:numId w:val="40"/>
        </w:numPr>
        <w:spacing w:after="240" w:line="240" w:lineRule="auto"/>
        <w:ind w:left="1429" w:hanging="357"/>
        <w:jc w:val="both"/>
        <w:rPr>
          <w:sz w:val="24"/>
          <w:szCs w:val="24"/>
        </w:rPr>
      </w:pPr>
      <w:r w:rsidRPr="00DD70E1">
        <w:rPr>
          <w:sz w:val="24"/>
          <w:szCs w:val="24"/>
        </w:rPr>
        <w:t>Humanitarian response to protracted and slow-onset crises</w:t>
      </w:r>
      <w:r w:rsidR="00E42F81">
        <w:rPr>
          <w:sz w:val="24"/>
          <w:szCs w:val="24"/>
        </w:rPr>
        <w:t xml:space="preserve"> (including early recovery)</w:t>
      </w:r>
    </w:p>
    <w:p w14:paraId="5D771B99" w14:textId="7B1A5096" w:rsidR="00B43F8A" w:rsidRPr="00895A9F" w:rsidRDefault="003E2FAF" w:rsidP="00A67DC0">
      <w:pPr>
        <w:pStyle w:val="ListParagraph"/>
        <w:numPr>
          <w:ilvl w:val="0"/>
          <w:numId w:val="40"/>
        </w:numPr>
        <w:spacing w:after="240" w:line="240" w:lineRule="auto"/>
        <w:ind w:left="1429" w:hanging="357"/>
        <w:jc w:val="both"/>
        <w:rPr>
          <w:sz w:val="24"/>
          <w:szCs w:val="24"/>
        </w:rPr>
      </w:pPr>
      <w:r w:rsidRPr="00DD70E1">
        <w:rPr>
          <w:sz w:val="24"/>
          <w:szCs w:val="24"/>
        </w:rPr>
        <w:t>L</w:t>
      </w:r>
      <w:r w:rsidR="00B43F8A" w:rsidRPr="00DD70E1">
        <w:rPr>
          <w:sz w:val="24"/>
          <w:szCs w:val="24"/>
        </w:rPr>
        <w:t xml:space="preserve">ocal humanitarian </w:t>
      </w:r>
      <w:r w:rsidR="00B670D5">
        <w:rPr>
          <w:sz w:val="24"/>
          <w:szCs w:val="24"/>
        </w:rPr>
        <w:t>capability</w:t>
      </w:r>
      <w:r w:rsidR="00B670D5" w:rsidRPr="00DD70E1">
        <w:rPr>
          <w:sz w:val="24"/>
          <w:szCs w:val="24"/>
        </w:rPr>
        <w:t xml:space="preserve"> </w:t>
      </w:r>
      <w:r w:rsidR="00F477A2" w:rsidRPr="00F477A2">
        <w:rPr>
          <w:sz w:val="24"/>
          <w:szCs w:val="24"/>
        </w:rPr>
        <w:t xml:space="preserve">and </w:t>
      </w:r>
      <w:r w:rsidR="00F477A2" w:rsidRPr="00895A9F">
        <w:rPr>
          <w:sz w:val="24"/>
          <w:szCs w:val="24"/>
        </w:rPr>
        <w:t>disaster resilience of communities in the Pacific</w:t>
      </w:r>
      <w:r w:rsidR="00895A9F">
        <w:rPr>
          <w:sz w:val="24"/>
          <w:szCs w:val="24"/>
        </w:rPr>
        <w:t>.</w:t>
      </w:r>
    </w:p>
    <w:p w14:paraId="41FA76AD" w14:textId="77777777" w:rsidR="001E5C09" w:rsidRPr="00641D0E" w:rsidRDefault="008B56F9" w:rsidP="00A67DC0">
      <w:pPr>
        <w:pStyle w:val="Heading4"/>
        <w:spacing w:after="240"/>
        <w:jc w:val="both"/>
      </w:pPr>
      <w:r>
        <w:t>An enhanced partnership</w:t>
      </w:r>
    </w:p>
    <w:p w14:paraId="40A7AD3B" w14:textId="0487FACE" w:rsidR="00B43F8A" w:rsidRDefault="00B43F8A" w:rsidP="00A67DC0">
      <w:pPr>
        <w:spacing w:after="240"/>
        <w:jc w:val="both"/>
        <w:rPr>
          <w:rFonts w:ascii="Calibri" w:hAnsi="Calibri"/>
        </w:rPr>
      </w:pPr>
      <w:r w:rsidRPr="00E1531D">
        <w:rPr>
          <w:rFonts w:ascii="Calibri" w:hAnsi="Calibri"/>
          <w:b/>
        </w:rPr>
        <w:t xml:space="preserve">The </w:t>
      </w:r>
      <w:r w:rsidRPr="00C318DA">
        <w:rPr>
          <w:rFonts w:ascii="Calibri" w:hAnsi="Calibri"/>
          <w:b/>
        </w:rPr>
        <w:t xml:space="preserve">DFAT-HRG </w:t>
      </w:r>
      <w:r w:rsidR="00E1531D" w:rsidRPr="00C318DA">
        <w:rPr>
          <w:rFonts w:ascii="Calibri" w:hAnsi="Calibri"/>
          <w:b/>
        </w:rPr>
        <w:t>partnership</w:t>
      </w:r>
      <w:r w:rsidR="00133E1B">
        <w:rPr>
          <w:rFonts w:ascii="Calibri" w:hAnsi="Calibri"/>
          <w:b/>
        </w:rPr>
        <w:t xml:space="preserve"> will be the premier</w:t>
      </w:r>
      <w:r w:rsidRPr="00E1531D">
        <w:rPr>
          <w:rFonts w:ascii="Calibri" w:hAnsi="Calibri"/>
          <w:b/>
        </w:rPr>
        <w:t xml:space="preserve"> forum for </w:t>
      </w:r>
      <w:r w:rsidR="00983336">
        <w:rPr>
          <w:rFonts w:ascii="Calibri" w:hAnsi="Calibri"/>
          <w:b/>
        </w:rPr>
        <w:t>collaboration</w:t>
      </w:r>
      <w:r w:rsidR="00983336" w:rsidRPr="00E1531D">
        <w:rPr>
          <w:rFonts w:ascii="Calibri" w:hAnsi="Calibri"/>
          <w:b/>
        </w:rPr>
        <w:t xml:space="preserve"> </w:t>
      </w:r>
      <w:r w:rsidRPr="00E1531D">
        <w:rPr>
          <w:rFonts w:ascii="Calibri" w:hAnsi="Calibri"/>
          <w:b/>
        </w:rPr>
        <w:t>among ANGOs engaged in humanitarian response and the Australian Government</w:t>
      </w:r>
      <w:r w:rsidRPr="00641D0E">
        <w:rPr>
          <w:rFonts w:ascii="Calibri" w:hAnsi="Calibri"/>
        </w:rPr>
        <w:t xml:space="preserve">. </w:t>
      </w:r>
      <w:r>
        <w:rPr>
          <w:rFonts w:ascii="Calibri" w:hAnsi="Calibri"/>
        </w:rPr>
        <w:t xml:space="preserve">This partnership will be the main channel for strategic dialogue and emphasis will be placed on </w:t>
      </w:r>
      <w:r w:rsidR="003E2FAF">
        <w:rPr>
          <w:rFonts w:ascii="Calibri" w:hAnsi="Calibri"/>
        </w:rPr>
        <w:t xml:space="preserve">collaboration </w:t>
      </w:r>
      <w:r w:rsidR="008B5476">
        <w:rPr>
          <w:rFonts w:ascii="Calibri" w:hAnsi="Calibri"/>
        </w:rPr>
        <w:t xml:space="preserve">among </w:t>
      </w:r>
      <w:r w:rsidR="00983336">
        <w:rPr>
          <w:rFonts w:ascii="Calibri" w:hAnsi="Calibri"/>
        </w:rPr>
        <w:t>the partners</w:t>
      </w:r>
      <w:r>
        <w:rPr>
          <w:rFonts w:ascii="Calibri" w:hAnsi="Calibri"/>
        </w:rPr>
        <w:t xml:space="preserve">. </w:t>
      </w:r>
      <w:r w:rsidR="002E1AEF">
        <w:rPr>
          <w:rFonts w:ascii="Calibri" w:hAnsi="Calibri"/>
        </w:rPr>
        <w:t>An</w:t>
      </w:r>
      <w:r>
        <w:rPr>
          <w:rFonts w:ascii="Calibri" w:hAnsi="Calibri"/>
        </w:rPr>
        <w:t xml:space="preserve"> </w:t>
      </w:r>
      <w:r w:rsidR="003E2FAF">
        <w:rPr>
          <w:rFonts w:ascii="Calibri" w:hAnsi="Calibri"/>
        </w:rPr>
        <w:t>important</w:t>
      </w:r>
      <w:r>
        <w:rPr>
          <w:rFonts w:ascii="Calibri" w:hAnsi="Calibri"/>
        </w:rPr>
        <w:t xml:space="preserve"> aim </w:t>
      </w:r>
      <w:r w:rsidR="003E2FAF">
        <w:rPr>
          <w:rFonts w:ascii="Calibri" w:hAnsi="Calibri"/>
        </w:rPr>
        <w:t xml:space="preserve">of the partnership </w:t>
      </w:r>
      <w:r>
        <w:rPr>
          <w:rFonts w:ascii="Calibri" w:hAnsi="Calibri"/>
        </w:rPr>
        <w:t xml:space="preserve">will be to look for opportunities to leverage resources </w:t>
      </w:r>
      <w:r w:rsidR="0098557A">
        <w:rPr>
          <w:rFonts w:ascii="Calibri" w:hAnsi="Calibri"/>
        </w:rPr>
        <w:t xml:space="preserve">across the DFAT-HRG </w:t>
      </w:r>
      <w:r w:rsidR="00AA7732">
        <w:rPr>
          <w:rFonts w:ascii="Calibri" w:hAnsi="Calibri"/>
        </w:rPr>
        <w:t>engagement</w:t>
      </w:r>
      <w:r w:rsidR="0098557A">
        <w:rPr>
          <w:rFonts w:ascii="Calibri" w:hAnsi="Calibri"/>
        </w:rPr>
        <w:t xml:space="preserve"> </w:t>
      </w:r>
      <w:r>
        <w:rPr>
          <w:rFonts w:ascii="Calibri" w:hAnsi="Calibri"/>
        </w:rPr>
        <w:t xml:space="preserve">and increase visibility of </w:t>
      </w:r>
      <w:r w:rsidR="003E2FAF">
        <w:rPr>
          <w:rFonts w:ascii="Calibri" w:hAnsi="Calibri"/>
        </w:rPr>
        <w:t xml:space="preserve">the </w:t>
      </w:r>
      <w:r>
        <w:rPr>
          <w:rFonts w:ascii="Calibri" w:hAnsi="Calibri"/>
        </w:rPr>
        <w:t xml:space="preserve">collective Australian response. </w:t>
      </w:r>
    </w:p>
    <w:p w14:paraId="7BAD76DD" w14:textId="6CCAF227" w:rsidR="00B43F8A" w:rsidRDefault="00983336" w:rsidP="00A67DC0">
      <w:pPr>
        <w:spacing w:after="240"/>
        <w:jc w:val="both"/>
        <w:rPr>
          <w:rFonts w:ascii="Calibri" w:hAnsi="Calibri"/>
        </w:rPr>
      </w:pPr>
      <w:r>
        <w:rPr>
          <w:rFonts w:ascii="Calibri" w:hAnsi="Calibri"/>
          <w:b/>
        </w:rPr>
        <w:lastRenderedPageBreak/>
        <w:t>Partners</w:t>
      </w:r>
      <w:r w:rsidR="00B43F8A" w:rsidRPr="00E1531D">
        <w:rPr>
          <w:rFonts w:ascii="Calibri" w:hAnsi="Calibri"/>
          <w:b/>
        </w:rPr>
        <w:t xml:space="preserve"> will proactively seek opportunities for greater collaboration</w:t>
      </w:r>
      <w:r w:rsidR="00B43F8A">
        <w:rPr>
          <w:rFonts w:ascii="Calibri" w:hAnsi="Calibri"/>
        </w:rPr>
        <w:t>, including programming resources together where it makes sense</w:t>
      </w:r>
      <w:r w:rsidR="008B5476">
        <w:rPr>
          <w:rFonts w:ascii="Calibri" w:hAnsi="Calibri"/>
        </w:rPr>
        <w:t xml:space="preserve"> to do so</w:t>
      </w:r>
      <w:r w:rsidR="00B43F8A" w:rsidRPr="00641D0E">
        <w:rPr>
          <w:rFonts w:ascii="Calibri" w:hAnsi="Calibri"/>
        </w:rPr>
        <w:t xml:space="preserve">. </w:t>
      </w:r>
      <w:r w:rsidR="00B43F8A">
        <w:rPr>
          <w:rFonts w:ascii="Calibri" w:hAnsi="Calibri"/>
        </w:rPr>
        <w:t xml:space="preserve"> </w:t>
      </w:r>
      <w:r w:rsidR="00B43F8A" w:rsidRPr="00584FD6">
        <w:rPr>
          <w:rFonts w:ascii="Calibri" w:hAnsi="Calibri"/>
        </w:rPr>
        <w:t>NGOs may agree to a greater degree of shared resources, for example by multiple partners drawing on one NGO's specialist protection expertise, another NGO's specialist gender expertise</w:t>
      </w:r>
      <w:r w:rsidR="00B43F8A">
        <w:rPr>
          <w:rFonts w:ascii="Calibri" w:hAnsi="Calibri"/>
        </w:rPr>
        <w:t xml:space="preserve">, and so on. </w:t>
      </w:r>
      <w:r w:rsidR="00B43F8A">
        <w:rPr>
          <w:rFonts w:ascii="Calibri" w:eastAsia="Times New Roman" w:hAnsi="Calibri"/>
        </w:rPr>
        <w:t xml:space="preserve">The </w:t>
      </w:r>
      <w:r w:rsidR="00B43F8A" w:rsidRPr="00502186">
        <w:rPr>
          <w:rFonts w:ascii="Calibri" w:eastAsia="Times New Roman" w:hAnsi="Calibri"/>
        </w:rPr>
        <w:t>operation of the partnership will be facilitated by a strengthened Support Unit which will help to make the most efficient use of partners' resources.</w:t>
      </w:r>
    </w:p>
    <w:p w14:paraId="48B5F299" w14:textId="672242CE" w:rsidR="00B43F8A" w:rsidRPr="00BD0193" w:rsidRDefault="00B43F8A" w:rsidP="00A67DC0">
      <w:pPr>
        <w:spacing w:after="240"/>
        <w:jc w:val="both"/>
      </w:pPr>
      <w:r w:rsidRPr="00BD0193">
        <w:rPr>
          <w:b/>
        </w:rPr>
        <w:t xml:space="preserve">Basing the </w:t>
      </w:r>
      <w:r w:rsidR="00983336">
        <w:rPr>
          <w:b/>
        </w:rPr>
        <w:t xml:space="preserve">Australian Humanitarian Partnership </w:t>
      </w:r>
      <w:r w:rsidRPr="00BD0193">
        <w:rPr>
          <w:b/>
        </w:rPr>
        <w:t>on the HRG membership will strengthen existing coordination structures.</w:t>
      </w:r>
      <w:r w:rsidRPr="00BD0193">
        <w:t xml:space="preserve"> It will bring greater coherence to DFAT's partnerships within the Australian humanitarian sector, including with the Australian Red Cross and RedR, both of whom are members of the HRG and have separate funding relationships with DFAT.</w:t>
      </w:r>
      <w:r w:rsidRPr="00BD0193">
        <w:rPr>
          <w:rStyle w:val="FootnoteReference"/>
          <w:rFonts w:eastAsiaTheme="minorHAnsi"/>
        </w:rPr>
        <w:footnoteReference w:id="32"/>
      </w:r>
      <w:r w:rsidRPr="00BD0193">
        <w:rPr>
          <w:rStyle w:val="FootnoteReference"/>
          <w:rFonts w:eastAsiaTheme="minorHAnsi"/>
        </w:rPr>
        <w:t xml:space="preserve"> </w:t>
      </w:r>
      <w:r w:rsidR="00AA7732">
        <w:rPr>
          <w:rFonts w:eastAsiaTheme="minorHAnsi"/>
        </w:rPr>
        <w:t xml:space="preserve"> </w:t>
      </w:r>
      <w:r w:rsidR="00474495">
        <w:rPr>
          <w:rFonts w:ascii="Calibri" w:hAnsi="Calibri"/>
        </w:rPr>
        <w:t xml:space="preserve">While DFAT funding </w:t>
      </w:r>
      <w:r w:rsidR="003800CF">
        <w:rPr>
          <w:rFonts w:ascii="Calibri" w:hAnsi="Calibri"/>
        </w:rPr>
        <w:t>will</w:t>
      </w:r>
      <w:r w:rsidR="00474495">
        <w:rPr>
          <w:rFonts w:ascii="Calibri" w:hAnsi="Calibri"/>
        </w:rPr>
        <w:t xml:space="preserve"> not flow to all HRG member</w:t>
      </w:r>
      <w:r w:rsidR="00AA7732">
        <w:rPr>
          <w:rFonts w:ascii="Calibri" w:hAnsi="Calibri"/>
        </w:rPr>
        <w:t>s</w:t>
      </w:r>
      <w:r w:rsidR="00474495">
        <w:rPr>
          <w:rFonts w:ascii="Calibri" w:hAnsi="Calibri"/>
        </w:rPr>
        <w:t xml:space="preserve">, they will all </w:t>
      </w:r>
      <w:r w:rsidR="00F477A2">
        <w:rPr>
          <w:rFonts w:ascii="Calibri" w:hAnsi="Calibri"/>
        </w:rPr>
        <w:t xml:space="preserve">be able to </w:t>
      </w:r>
      <w:r w:rsidR="00474495">
        <w:rPr>
          <w:rFonts w:ascii="Calibri" w:hAnsi="Calibri"/>
        </w:rPr>
        <w:t xml:space="preserve">be </w:t>
      </w:r>
      <w:r w:rsidR="000C37F6">
        <w:rPr>
          <w:rFonts w:ascii="Calibri" w:hAnsi="Calibri"/>
        </w:rPr>
        <w:t>full</w:t>
      </w:r>
      <w:r w:rsidR="00474495">
        <w:rPr>
          <w:rFonts w:ascii="Calibri" w:hAnsi="Calibri"/>
        </w:rPr>
        <w:t xml:space="preserve"> participants in strategic dialogue, open communication, </w:t>
      </w:r>
      <w:r w:rsidR="00840739">
        <w:rPr>
          <w:rFonts w:ascii="Calibri" w:hAnsi="Calibri"/>
        </w:rPr>
        <w:t xml:space="preserve">and </w:t>
      </w:r>
      <w:r w:rsidR="00474495">
        <w:rPr>
          <w:rFonts w:ascii="Calibri" w:hAnsi="Calibri"/>
        </w:rPr>
        <w:t>lesson learning activities</w:t>
      </w:r>
      <w:r w:rsidR="00287F87">
        <w:rPr>
          <w:rFonts w:ascii="Calibri" w:hAnsi="Calibri"/>
        </w:rPr>
        <w:t xml:space="preserve"> as facilitated by </w:t>
      </w:r>
      <w:r w:rsidR="00474495">
        <w:rPr>
          <w:rFonts w:ascii="Calibri" w:hAnsi="Calibri"/>
        </w:rPr>
        <w:t>the Support Unit.</w:t>
      </w:r>
    </w:p>
    <w:p w14:paraId="0728AA3B" w14:textId="77777777" w:rsidR="00B43F8A" w:rsidRPr="00BD0193" w:rsidRDefault="00B43F8A" w:rsidP="00A67DC0">
      <w:pPr>
        <w:spacing w:after="240"/>
        <w:jc w:val="both"/>
      </w:pPr>
      <w:r w:rsidRPr="00BD0193">
        <w:rPr>
          <w:b/>
        </w:rPr>
        <w:t>This model builds on the best of the HPA</w:t>
      </w:r>
      <w:r w:rsidRPr="00BD0193">
        <w:t>, including NGO participation in funding decisions, rapid processes enabled by pre-selection of partners, and an element of assured funding to build capacity and strengthen relationships. It seeks to improve on HPA's weaknesses, including the divisive aspects of decision-making processes, ambiguity of HPA's strategic dialogue function in relation to ACFID and HRG, and use of a rapid response mechanism to respond to protracted and slow-onset crises. The model seeks to support the further development of the Australian humanitarian sector, including by fostering collaboration and innovation, and resourcing more comprehensive lesson-learning activities</w:t>
      </w:r>
      <w:r w:rsidR="0098557A">
        <w:t xml:space="preserve"> across the DFAT-HRG partnership</w:t>
      </w:r>
      <w:r w:rsidRPr="00BD0193">
        <w:t>.</w:t>
      </w:r>
    </w:p>
    <w:p w14:paraId="3E175A52" w14:textId="77777777" w:rsidR="00EC7A84" w:rsidRPr="00641D0E" w:rsidRDefault="00EC7A84" w:rsidP="00A67DC0">
      <w:pPr>
        <w:spacing w:after="240"/>
        <w:jc w:val="both"/>
        <w:rPr>
          <w:rFonts w:ascii="Calibri" w:hAnsi="Calibri"/>
        </w:rPr>
      </w:pPr>
      <w:r w:rsidRPr="00EC7A84">
        <w:rPr>
          <w:rFonts w:ascii="Calibri" w:hAnsi="Calibri"/>
          <w:b/>
        </w:rPr>
        <w:t xml:space="preserve">A number of alternative delivery </w:t>
      </w:r>
      <w:r w:rsidR="001001AC">
        <w:rPr>
          <w:rFonts w:ascii="Calibri" w:hAnsi="Calibri"/>
          <w:b/>
        </w:rPr>
        <w:t>models</w:t>
      </w:r>
      <w:r w:rsidRPr="00EC7A84">
        <w:rPr>
          <w:rFonts w:ascii="Calibri" w:hAnsi="Calibri"/>
          <w:b/>
        </w:rPr>
        <w:t xml:space="preserve"> were considered by the design team</w:t>
      </w:r>
      <w:r>
        <w:rPr>
          <w:rFonts w:ascii="Calibri" w:hAnsi="Calibri"/>
        </w:rPr>
        <w:t xml:space="preserve">. </w:t>
      </w:r>
      <w:r w:rsidRPr="00641D0E">
        <w:rPr>
          <w:rFonts w:ascii="Calibri" w:hAnsi="Calibri"/>
        </w:rPr>
        <w:t xml:space="preserve"> </w:t>
      </w:r>
      <w:r>
        <w:rPr>
          <w:rFonts w:ascii="Calibri" w:hAnsi="Calibri"/>
        </w:rPr>
        <w:t xml:space="preserve">See </w:t>
      </w:r>
      <w:r w:rsidRPr="001001AC">
        <w:rPr>
          <w:rFonts w:ascii="Calibri" w:hAnsi="Calibri"/>
          <w:b/>
          <w:u w:val="single"/>
        </w:rPr>
        <w:t xml:space="preserve">Annex </w:t>
      </w:r>
      <w:r w:rsidR="00411A9C" w:rsidRPr="001001AC">
        <w:rPr>
          <w:rFonts w:ascii="Calibri" w:hAnsi="Calibri"/>
          <w:b/>
          <w:u w:val="single"/>
        </w:rPr>
        <w:t>4</w:t>
      </w:r>
      <w:r>
        <w:rPr>
          <w:rFonts w:ascii="Calibri" w:hAnsi="Calibri"/>
        </w:rPr>
        <w:t xml:space="preserve"> for a brief description of e</w:t>
      </w:r>
      <w:r w:rsidRPr="00641D0E">
        <w:rPr>
          <w:rFonts w:ascii="Calibri" w:hAnsi="Calibri"/>
        </w:rPr>
        <w:t>ach option.</w:t>
      </w:r>
    </w:p>
    <w:p w14:paraId="20F0E12B" w14:textId="77777777" w:rsidR="00B43F8A" w:rsidRDefault="00B43F8A" w:rsidP="00A67DC0">
      <w:pPr>
        <w:pStyle w:val="Heading4"/>
        <w:spacing w:after="240"/>
        <w:jc w:val="both"/>
      </w:pPr>
      <w:r>
        <w:t>Selection based on an assessment of capabilities</w:t>
      </w:r>
    </w:p>
    <w:p w14:paraId="53FAFF3E" w14:textId="40B8BE66" w:rsidR="00B43F8A" w:rsidRDefault="00B43F8A" w:rsidP="00A67DC0">
      <w:pPr>
        <w:spacing w:after="240"/>
        <w:jc w:val="both"/>
        <w:rPr>
          <w:rFonts w:ascii="Calibri" w:hAnsi="Calibri"/>
        </w:rPr>
      </w:pPr>
      <w:r w:rsidRPr="00E1531D">
        <w:rPr>
          <w:rFonts w:ascii="Calibri" w:hAnsi="Calibri"/>
          <w:b/>
        </w:rPr>
        <w:t>A small number of HRG member</w:t>
      </w:r>
      <w:r w:rsidR="00CF0FEE">
        <w:rPr>
          <w:rFonts w:ascii="Calibri" w:hAnsi="Calibri"/>
          <w:b/>
        </w:rPr>
        <w:t xml:space="preserve"> NGO</w:t>
      </w:r>
      <w:r w:rsidRPr="00E1531D">
        <w:rPr>
          <w:rFonts w:ascii="Calibri" w:hAnsi="Calibri"/>
          <w:b/>
        </w:rPr>
        <w:t>s will be selected based on an assessment of their capabilities</w:t>
      </w:r>
      <w:r>
        <w:rPr>
          <w:rFonts w:ascii="Calibri" w:hAnsi="Calibri"/>
        </w:rPr>
        <w:t>. DFAT</w:t>
      </w:r>
      <w:r w:rsidR="00000591">
        <w:rPr>
          <w:rFonts w:ascii="Calibri" w:hAnsi="Calibri"/>
        </w:rPr>
        <w:t>, through a competitive tender process,</w:t>
      </w:r>
      <w:r>
        <w:rPr>
          <w:rFonts w:ascii="Calibri" w:hAnsi="Calibri"/>
        </w:rPr>
        <w:t xml:space="preserve"> will seek information from </w:t>
      </w:r>
      <w:r w:rsidR="00CF0FEE">
        <w:rPr>
          <w:rFonts w:ascii="Calibri" w:hAnsi="Calibri"/>
        </w:rPr>
        <w:t xml:space="preserve">HRG member </w:t>
      </w:r>
      <w:r>
        <w:rPr>
          <w:rFonts w:ascii="Calibri" w:hAnsi="Calibri"/>
        </w:rPr>
        <w:t xml:space="preserve">NGOs according to the following five domains of capability, with information broken down geographically (with a greater level of detail sought for the Indo-Pacific region). </w:t>
      </w:r>
    </w:p>
    <w:p w14:paraId="5F1ED872" w14:textId="77777777" w:rsidR="00B43F8A" w:rsidRPr="00212A4B" w:rsidRDefault="00B43F8A" w:rsidP="00A67DC0">
      <w:pPr>
        <w:pStyle w:val="ListParagraph"/>
        <w:numPr>
          <w:ilvl w:val="0"/>
          <w:numId w:val="8"/>
        </w:numPr>
        <w:spacing w:after="240" w:line="240" w:lineRule="auto"/>
        <w:jc w:val="both"/>
        <w:rPr>
          <w:rFonts w:ascii="Calibri" w:hAnsi="Calibri"/>
          <w:sz w:val="24"/>
          <w:szCs w:val="24"/>
        </w:rPr>
      </w:pPr>
      <w:r w:rsidRPr="00212A4B">
        <w:rPr>
          <w:rFonts w:ascii="Calibri" w:hAnsi="Calibri"/>
          <w:sz w:val="24"/>
          <w:szCs w:val="24"/>
        </w:rPr>
        <w:t>Response to rapid-onset crises</w:t>
      </w:r>
      <w:r w:rsidR="00C53395">
        <w:rPr>
          <w:rFonts w:ascii="Calibri" w:hAnsi="Calibri"/>
          <w:sz w:val="24"/>
          <w:szCs w:val="24"/>
        </w:rPr>
        <w:t xml:space="preserve"> (including early recovery)</w:t>
      </w:r>
    </w:p>
    <w:p w14:paraId="3D626EF9" w14:textId="77777777" w:rsidR="00B43F8A" w:rsidRPr="00212A4B" w:rsidRDefault="00B43F8A" w:rsidP="00A67DC0">
      <w:pPr>
        <w:pStyle w:val="ListParagraph"/>
        <w:numPr>
          <w:ilvl w:val="0"/>
          <w:numId w:val="8"/>
        </w:numPr>
        <w:spacing w:after="240" w:line="240" w:lineRule="auto"/>
        <w:jc w:val="both"/>
        <w:rPr>
          <w:rFonts w:ascii="Calibri" w:hAnsi="Calibri"/>
          <w:sz w:val="24"/>
          <w:szCs w:val="24"/>
        </w:rPr>
      </w:pPr>
      <w:r w:rsidRPr="00212A4B">
        <w:rPr>
          <w:rFonts w:ascii="Calibri" w:hAnsi="Calibri"/>
          <w:sz w:val="24"/>
          <w:szCs w:val="24"/>
        </w:rPr>
        <w:t>Response to protracted and slow-onset crises</w:t>
      </w:r>
      <w:r w:rsidR="00C53395">
        <w:rPr>
          <w:rFonts w:ascii="Calibri" w:hAnsi="Calibri"/>
          <w:sz w:val="24"/>
          <w:szCs w:val="24"/>
        </w:rPr>
        <w:t xml:space="preserve"> (including early recovery)</w:t>
      </w:r>
    </w:p>
    <w:p w14:paraId="04480CF8" w14:textId="7587180D" w:rsidR="00B43F8A" w:rsidRPr="00212A4B" w:rsidRDefault="00B43F8A" w:rsidP="00A67DC0">
      <w:pPr>
        <w:pStyle w:val="ListParagraph"/>
        <w:numPr>
          <w:ilvl w:val="0"/>
          <w:numId w:val="8"/>
        </w:numPr>
        <w:spacing w:after="240" w:line="240" w:lineRule="auto"/>
        <w:jc w:val="both"/>
        <w:rPr>
          <w:rFonts w:ascii="Calibri" w:hAnsi="Calibri"/>
          <w:sz w:val="24"/>
          <w:szCs w:val="24"/>
        </w:rPr>
      </w:pPr>
      <w:r w:rsidRPr="00212A4B">
        <w:rPr>
          <w:rFonts w:ascii="Calibri" w:hAnsi="Calibri"/>
          <w:sz w:val="24"/>
          <w:szCs w:val="24"/>
        </w:rPr>
        <w:t xml:space="preserve">Building </w:t>
      </w:r>
      <w:r>
        <w:rPr>
          <w:rFonts w:ascii="Calibri" w:hAnsi="Calibri"/>
          <w:sz w:val="24"/>
          <w:szCs w:val="24"/>
        </w:rPr>
        <w:t xml:space="preserve">local </w:t>
      </w:r>
      <w:r w:rsidRPr="00212A4B">
        <w:rPr>
          <w:rFonts w:ascii="Calibri" w:hAnsi="Calibri"/>
          <w:sz w:val="24"/>
          <w:szCs w:val="24"/>
        </w:rPr>
        <w:t xml:space="preserve">humanitarian capacity </w:t>
      </w:r>
      <w:r w:rsidR="00AA7732">
        <w:rPr>
          <w:rFonts w:ascii="Calibri" w:hAnsi="Calibri"/>
          <w:sz w:val="24"/>
          <w:szCs w:val="24"/>
        </w:rPr>
        <w:t xml:space="preserve">and </w:t>
      </w:r>
      <w:r w:rsidR="00F477A2" w:rsidRPr="00737D62">
        <w:rPr>
          <w:rFonts w:ascii="Calibri" w:hAnsi="Calibri"/>
          <w:sz w:val="24"/>
          <w:szCs w:val="24"/>
        </w:rPr>
        <w:t>strengthening the re</w:t>
      </w:r>
      <w:r w:rsidR="00032FC5">
        <w:rPr>
          <w:rFonts w:ascii="Calibri" w:hAnsi="Calibri"/>
          <w:sz w:val="24"/>
          <w:szCs w:val="24"/>
        </w:rPr>
        <w:t>silience of Pacific communities</w:t>
      </w:r>
    </w:p>
    <w:p w14:paraId="5B2636A5" w14:textId="77777777" w:rsidR="00B43F8A" w:rsidRPr="00212A4B" w:rsidRDefault="00B43F8A" w:rsidP="00A67DC0">
      <w:pPr>
        <w:pStyle w:val="ListParagraph"/>
        <w:numPr>
          <w:ilvl w:val="0"/>
          <w:numId w:val="8"/>
        </w:numPr>
        <w:spacing w:after="240" w:line="240" w:lineRule="auto"/>
        <w:jc w:val="both"/>
        <w:rPr>
          <w:rFonts w:ascii="Calibri" w:hAnsi="Calibri"/>
          <w:sz w:val="24"/>
          <w:szCs w:val="24"/>
        </w:rPr>
      </w:pPr>
      <w:r w:rsidRPr="00212A4B">
        <w:rPr>
          <w:rFonts w:ascii="Calibri" w:hAnsi="Calibri"/>
          <w:sz w:val="24"/>
          <w:szCs w:val="24"/>
        </w:rPr>
        <w:t>Protection and inclusion expertise</w:t>
      </w:r>
    </w:p>
    <w:p w14:paraId="640B4CC1" w14:textId="77777777" w:rsidR="00B43F8A" w:rsidRPr="00212A4B" w:rsidRDefault="00B43F8A" w:rsidP="00A67DC0">
      <w:pPr>
        <w:pStyle w:val="ListParagraph"/>
        <w:numPr>
          <w:ilvl w:val="0"/>
          <w:numId w:val="8"/>
        </w:numPr>
        <w:spacing w:after="240" w:line="240" w:lineRule="auto"/>
        <w:jc w:val="both"/>
        <w:rPr>
          <w:rFonts w:ascii="Calibri" w:hAnsi="Calibri"/>
          <w:sz w:val="24"/>
          <w:szCs w:val="24"/>
        </w:rPr>
      </w:pPr>
      <w:r w:rsidRPr="00212A4B">
        <w:rPr>
          <w:rFonts w:ascii="Calibri" w:hAnsi="Calibri"/>
          <w:sz w:val="24"/>
          <w:szCs w:val="24"/>
        </w:rPr>
        <w:t>Partnership capacity</w:t>
      </w:r>
      <w:r w:rsidR="001C1EB2">
        <w:rPr>
          <w:rFonts w:ascii="Calibri" w:hAnsi="Calibri"/>
          <w:sz w:val="24"/>
          <w:szCs w:val="24"/>
        </w:rPr>
        <w:t>.</w:t>
      </w:r>
    </w:p>
    <w:p w14:paraId="208C68C6" w14:textId="79CEEA4D" w:rsidR="00F477A2" w:rsidRDefault="00B43F8A" w:rsidP="00F477A2">
      <w:pPr>
        <w:jc w:val="both"/>
      </w:pPr>
      <w:r w:rsidRPr="003627E2">
        <w:rPr>
          <w:b/>
        </w:rPr>
        <w:lastRenderedPageBreak/>
        <w:t xml:space="preserve">DFAT will use the information on </w:t>
      </w:r>
      <w:r w:rsidR="00CF0FEE">
        <w:rPr>
          <w:b/>
        </w:rPr>
        <w:t>applicant</w:t>
      </w:r>
      <w:r w:rsidRPr="003627E2">
        <w:rPr>
          <w:b/>
        </w:rPr>
        <w:t>s</w:t>
      </w:r>
      <w:r w:rsidR="00E9153F">
        <w:rPr>
          <w:b/>
        </w:rPr>
        <w:t>'</w:t>
      </w:r>
      <w:r w:rsidRPr="003627E2">
        <w:rPr>
          <w:b/>
        </w:rPr>
        <w:t xml:space="preserve"> capabilities to select a small number </w:t>
      </w:r>
      <w:r w:rsidR="00032FC5" w:rsidRPr="003627E2">
        <w:rPr>
          <w:b/>
        </w:rPr>
        <w:t xml:space="preserve">of agencies </w:t>
      </w:r>
      <w:r w:rsidR="00904602">
        <w:rPr>
          <w:b/>
        </w:rPr>
        <w:t>(</w:t>
      </w:r>
      <w:r w:rsidR="00032FC5">
        <w:rPr>
          <w:b/>
        </w:rPr>
        <w:t xml:space="preserve">an anticipated </w:t>
      </w:r>
      <w:r w:rsidR="00904602">
        <w:rPr>
          <w:b/>
        </w:rPr>
        <w:t xml:space="preserve">4-6) </w:t>
      </w:r>
      <w:r w:rsidRPr="003627E2">
        <w:rPr>
          <w:b/>
        </w:rPr>
        <w:t xml:space="preserve">who will be eligible to receive response funding </w:t>
      </w:r>
      <w:r w:rsidR="00904602">
        <w:rPr>
          <w:b/>
        </w:rPr>
        <w:t xml:space="preserve">and </w:t>
      </w:r>
      <w:r w:rsidRPr="003627E2">
        <w:rPr>
          <w:b/>
        </w:rPr>
        <w:t xml:space="preserve">multi-year funding to build local humanitarian capability </w:t>
      </w:r>
      <w:r w:rsidR="00F477A2">
        <w:rPr>
          <w:b/>
        </w:rPr>
        <w:t>and to strengthen the resilience of Pacific communities</w:t>
      </w:r>
      <w:r w:rsidRPr="003627E2">
        <w:t>.</w:t>
      </w:r>
      <w:r w:rsidR="00481BF6">
        <w:t xml:space="preserve"> </w:t>
      </w:r>
      <w:r w:rsidR="00F477A2">
        <w:t>D</w:t>
      </w:r>
      <w:r w:rsidR="00F477A2" w:rsidRPr="003627E2">
        <w:t xml:space="preserve">ecision-making processes (including DFAT’s </w:t>
      </w:r>
      <w:r w:rsidR="00F477A2">
        <w:t xml:space="preserve">level of </w:t>
      </w:r>
      <w:r w:rsidR="00F477A2" w:rsidRPr="003627E2">
        <w:t xml:space="preserve">involvement) and timeframes for </w:t>
      </w:r>
      <w:r w:rsidR="00F477A2">
        <w:t>protracted and slow-onset</w:t>
      </w:r>
      <w:r w:rsidR="00F477A2" w:rsidRPr="003627E2">
        <w:t xml:space="preserve"> crises will significantly differ from rapid response crises, as set out below.  </w:t>
      </w:r>
    </w:p>
    <w:p w14:paraId="459C338B" w14:textId="77777777" w:rsidR="00F477A2" w:rsidRDefault="00F477A2" w:rsidP="00F477A2">
      <w:pPr>
        <w:jc w:val="both"/>
      </w:pPr>
    </w:p>
    <w:p w14:paraId="14723D81" w14:textId="724C2E0D" w:rsidR="00F477A2" w:rsidRPr="00AA7732" w:rsidRDefault="00481BF6" w:rsidP="00F477A2">
      <w:pPr>
        <w:jc w:val="both"/>
        <w:rPr>
          <w:rFonts w:ascii="Calibri" w:hAnsi="Calibri"/>
          <w:b/>
        </w:rPr>
      </w:pPr>
      <w:r>
        <w:t>HRG members applying for funding are encouraged to consider consortia arrangements that enable them to demonstrate strong capacity over all five domains of capability.</w:t>
      </w:r>
      <w:r w:rsidR="00B43F8A" w:rsidRPr="003627E2">
        <w:t xml:space="preserve"> </w:t>
      </w:r>
      <w:r w:rsidR="00F477A2" w:rsidRPr="00C53395">
        <w:rPr>
          <w:rFonts w:ascii="Calibri" w:hAnsi="Calibri"/>
        </w:rPr>
        <w:t>Non-HRG members will not be eligible for funding under th</w:t>
      </w:r>
      <w:r w:rsidR="00F477A2">
        <w:rPr>
          <w:rFonts w:ascii="Calibri" w:hAnsi="Calibri"/>
        </w:rPr>
        <w:t>is arrangement, except in circumstances where a group of NGOs apply as a consortium led by an HRG member NGO</w:t>
      </w:r>
      <w:r w:rsidR="00F477A2" w:rsidRPr="00C53395">
        <w:rPr>
          <w:rFonts w:ascii="Calibri" w:hAnsi="Calibri"/>
        </w:rPr>
        <w:t>.</w:t>
      </w:r>
      <w:r w:rsidR="00982A65">
        <w:rPr>
          <w:rFonts w:ascii="Calibri" w:hAnsi="Calibri"/>
        </w:rPr>
        <w:t xml:space="preserve"> </w:t>
      </w:r>
      <w:r w:rsidR="00982A65" w:rsidRPr="00AA7732">
        <w:rPr>
          <w:rFonts w:ascii="Calibri" w:hAnsi="Calibri"/>
          <w:b/>
        </w:rPr>
        <w:t>Consortia arrangements are encouraged but not required.</w:t>
      </w:r>
    </w:p>
    <w:p w14:paraId="7DAE47D0" w14:textId="4E9B44FF" w:rsidR="00B43F8A" w:rsidRDefault="00B43F8A" w:rsidP="00A67DC0">
      <w:pPr>
        <w:spacing w:after="240"/>
        <w:jc w:val="both"/>
      </w:pPr>
      <w:r w:rsidRPr="003627E2">
        <w:t xml:space="preserve"> </w:t>
      </w:r>
    </w:p>
    <w:p w14:paraId="2206017B" w14:textId="63CF87F0" w:rsidR="00895395" w:rsidRDefault="00895395" w:rsidP="000D00BE">
      <w:pPr>
        <w:jc w:val="both"/>
        <w:rPr>
          <w:rFonts w:ascii="Calibri" w:hAnsi="Calibri"/>
        </w:rPr>
      </w:pPr>
    </w:p>
    <w:p w14:paraId="5B739C88" w14:textId="77777777" w:rsidR="000D2852" w:rsidRDefault="000D2852" w:rsidP="00A67DC0">
      <w:pPr>
        <w:jc w:val="both"/>
        <w:rPr>
          <w:rFonts w:ascii="Calibri" w:hAnsi="Calibri"/>
        </w:rPr>
      </w:pPr>
      <w:r>
        <w:rPr>
          <w:rFonts w:ascii="Calibri" w:hAnsi="Calibri"/>
          <w:noProof/>
          <w:lang w:eastAsia="en-AU"/>
        </w:rPr>
        <w:lastRenderedPageBreak/>
        <mc:AlternateContent>
          <mc:Choice Requires="wps">
            <w:drawing>
              <wp:anchor distT="0" distB="0" distL="114300" distR="114300" simplePos="0" relativeHeight="251677696" behindDoc="0" locked="0" layoutInCell="1" allowOverlap="1" wp14:anchorId="4B9598C1" wp14:editId="54A3EB1A">
                <wp:simplePos x="0" y="0"/>
                <wp:positionH relativeFrom="column">
                  <wp:posOffset>-175895</wp:posOffset>
                </wp:positionH>
                <wp:positionV relativeFrom="paragraph">
                  <wp:posOffset>-85090</wp:posOffset>
                </wp:positionV>
                <wp:extent cx="6032500" cy="8451215"/>
                <wp:effectExtent l="57150" t="38100" r="82550" b="102235"/>
                <wp:wrapSquare wrapText="bothSides"/>
                <wp:docPr id="7" name="Text Box 7"/>
                <wp:cNvGraphicFramePr/>
                <a:graphic xmlns:a="http://schemas.openxmlformats.org/drawingml/2006/main">
                  <a:graphicData uri="http://schemas.microsoft.com/office/word/2010/wordprocessingShape">
                    <wps:wsp>
                      <wps:cNvSpPr txBox="1"/>
                      <wps:spPr>
                        <a:xfrm>
                          <a:off x="0" y="0"/>
                          <a:ext cx="6032500" cy="845121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127F223" w14:textId="77777777" w:rsidR="001C5460" w:rsidRPr="00CD1CAF" w:rsidRDefault="001C5460" w:rsidP="000D2852">
                            <w:pPr>
                              <w:rPr>
                                <w:rFonts w:ascii="Calibri" w:hAnsi="Calibri"/>
                                <w:b/>
                              </w:rPr>
                            </w:pPr>
                            <w:r w:rsidRPr="00CD1CAF">
                              <w:rPr>
                                <w:rFonts w:ascii="Calibri" w:hAnsi="Calibri"/>
                                <w:b/>
                              </w:rPr>
                              <w:t>Domains of Capability</w:t>
                            </w:r>
                          </w:p>
                          <w:p w14:paraId="7480EBC6" w14:textId="77777777" w:rsidR="001C5460" w:rsidRPr="000D00BE" w:rsidRDefault="001C5460" w:rsidP="000D2852">
                            <w:pPr>
                              <w:rPr>
                                <w:rFonts w:ascii="Calibri" w:hAnsi="Calibri"/>
                                <w:b/>
                                <w:sz w:val="16"/>
                                <w:szCs w:val="16"/>
                              </w:rPr>
                            </w:pPr>
                          </w:p>
                          <w:p w14:paraId="10E1FA94" w14:textId="77777777" w:rsidR="001C5460" w:rsidRPr="00CD1CAF" w:rsidRDefault="001C5460" w:rsidP="000D2852">
                            <w:pPr>
                              <w:rPr>
                                <w:rFonts w:ascii="Calibri" w:hAnsi="Calibri"/>
                              </w:rPr>
                            </w:pPr>
                            <w:r w:rsidRPr="00CD1CAF">
                              <w:rPr>
                                <w:rFonts w:ascii="Calibri" w:hAnsi="Calibri"/>
                              </w:rPr>
                              <w:t>1. Response to rapid-onset crises</w:t>
                            </w:r>
                            <w:r>
                              <w:rPr>
                                <w:rFonts w:ascii="Calibri" w:hAnsi="Calibri"/>
                              </w:rPr>
                              <w:t xml:space="preserve"> (including early recovery)</w:t>
                            </w:r>
                          </w:p>
                          <w:p w14:paraId="4856B125"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Demonstrated emergency response capacity and local capability to provide humanitarian relief and early recovery assistance in response to rapid-onset crises</w:t>
                            </w:r>
                          </w:p>
                          <w:p w14:paraId="40D6A6D1"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Breadth and depth of relationships with local implementing partners</w:t>
                            </w:r>
                          </w:p>
                          <w:p w14:paraId="05CA799E"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Relationships with partner governments</w:t>
                            </w:r>
                          </w:p>
                          <w:p w14:paraId="43A86622"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 xml:space="preserve">Extent of existing development programming </w:t>
                            </w:r>
                          </w:p>
                          <w:p w14:paraId="2E6307FC"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Ability to manage and distribute logistical supplies</w:t>
                            </w:r>
                          </w:p>
                          <w:p w14:paraId="28361C06" w14:textId="77777777" w:rsidR="001C5460" w:rsidRPr="000D00BE" w:rsidRDefault="001C5460" w:rsidP="000D2852">
                            <w:pPr>
                              <w:rPr>
                                <w:rFonts w:ascii="Calibri" w:hAnsi="Calibri"/>
                                <w:b/>
                                <w:sz w:val="16"/>
                                <w:szCs w:val="16"/>
                              </w:rPr>
                            </w:pPr>
                          </w:p>
                          <w:p w14:paraId="3EDDE4FA" w14:textId="77777777" w:rsidR="001C5460" w:rsidRPr="00CD1CAF" w:rsidRDefault="001C5460" w:rsidP="000D2852">
                            <w:pPr>
                              <w:rPr>
                                <w:rFonts w:ascii="Calibri" w:hAnsi="Calibri"/>
                              </w:rPr>
                            </w:pPr>
                            <w:r w:rsidRPr="00CD1CAF">
                              <w:rPr>
                                <w:rFonts w:ascii="Calibri" w:hAnsi="Calibri"/>
                              </w:rPr>
                              <w:t>2. Response to protracted and slow-onset crises</w:t>
                            </w:r>
                            <w:r>
                              <w:rPr>
                                <w:rFonts w:ascii="Calibri" w:hAnsi="Calibri"/>
                              </w:rPr>
                              <w:t xml:space="preserve"> (including early recovery)</w:t>
                            </w:r>
                          </w:p>
                          <w:p w14:paraId="61A619A5"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Demonstrated local capability to provide humanitarian relief and early recovery assistance in response to protracted and slow-onset crises</w:t>
                            </w:r>
                          </w:p>
                          <w:p w14:paraId="3C32AC14"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Breadth and depth of relationships with local implementing partners</w:t>
                            </w:r>
                          </w:p>
                          <w:p w14:paraId="7F004CA2"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Relationships with partner governments</w:t>
                            </w:r>
                          </w:p>
                          <w:p w14:paraId="4988ED18"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 xml:space="preserve">Extent of existing development programming </w:t>
                            </w:r>
                          </w:p>
                          <w:p w14:paraId="24FC9081" w14:textId="77777777" w:rsidR="001C5460" w:rsidRPr="000D00BE" w:rsidRDefault="001C5460" w:rsidP="000D2852">
                            <w:pPr>
                              <w:rPr>
                                <w:rFonts w:ascii="Calibri" w:hAnsi="Calibri"/>
                                <w:b/>
                                <w:sz w:val="16"/>
                                <w:szCs w:val="16"/>
                              </w:rPr>
                            </w:pPr>
                          </w:p>
                          <w:p w14:paraId="08407617" w14:textId="1C58CD9D" w:rsidR="001C5460" w:rsidRPr="00737D62" w:rsidRDefault="001C5460" w:rsidP="00737D62">
                            <w:pPr>
                              <w:rPr>
                                <w:rFonts w:ascii="Calibri" w:hAnsi="Calibri"/>
                              </w:rPr>
                            </w:pPr>
                            <w:r w:rsidRPr="00A95C2C">
                              <w:rPr>
                                <w:rFonts w:ascii="Calibri" w:hAnsi="Calibri"/>
                              </w:rPr>
                              <w:t xml:space="preserve">3. </w:t>
                            </w:r>
                            <w:r w:rsidRPr="00737D62">
                              <w:rPr>
                                <w:rFonts w:ascii="Calibri" w:hAnsi="Calibri"/>
                              </w:rPr>
                              <w:t xml:space="preserve">Building local humanitarian capacity </w:t>
                            </w:r>
                            <w:r>
                              <w:rPr>
                                <w:rFonts w:ascii="Calibri" w:hAnsi="Calibri"/>
                              </w:rPr>
                              <w:t xml:space="preserve">and </w:t>
                            </w:r>
                            <w:r w:rsidRPr="00737D62">
                              <w:rPr>
                                <w:rFonts w:ascii="Calibri" w:hAnsi="Calibri"/>
                              </w:rPr>
                              <w:t>strengthening the resilience of Pacific communities</w:t>
                            </w:r>
                          </w:p>
                          <w:p w14:paraId="70AD5AC6" w14:textId="77777777" w:rsidR="001C5460" w:rsidRPr="00AA7732" w:rsidRDefault="001C5460" w:rsidP="00AA7732">
                            <w:pPr>
                              <w:pStyle w:val="ListParagraph"/>
                              <w:numPr>
                                <w:ilvl w:val="0"/>
                                <w:numId w:val="4"/>
                              </w:numPr>
                              <w:spacing w:after="0"/>
                              <w:rPr>
                                <w:rFonts w:ascii="Calibri" w:hAnsi="Calibri"/>
                                <w:sz w:val="24"/>
                                <w:szCs w:val="24"/>
                              </w:rPr>
                            </w:pPr>
                            <w:r w:rsidRPr="00AA7732">
                              <w:rPr>
                                <w:rFonts w:ascii="Calibri" w:hAnsi="Calibri"/>
                                <w:sz w:val="24"/>
                                <w:szCs w:val="24"/>
                              </w:rPr>
                              <w:t xml:space="preserve">Demonstrated capacity to strengthen local capability to anticipate, prepare for, respond to and reduce risks from natural hazards </w:t>
                            </w:r>
                          </w:p>
                          <w:p w14:paraId="45804DCC"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Knowledge of and experience in the Pacific region</w:t>
                            </w:r>
                            <w:r>
                              <w:rPr>
                                <w:rFonts w:ascii="Calibri" w:hAnsi="Calibri"/>
                                <w:sz w:val="24"/>
                                <w:szCs w:val="24"/>
                              </w:rPr>
                              <w:t>, including a strong understanding of and ability to complement partner government initiatives</w:t>
                            </w:r>
                          </w:p>
                          <w:p w14:paraId="66356C4A"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Breadth and depth of relationships with local implementing partners</w:t>
                            </w:r>
                          </w:p>
                          <w:p w14:paraId="2A884347"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 xml:space="preserve">Extent of existing development programming </w:t>
                            </w:r>
                          </w:p>
                          <w:p w14:paraId="4889BFF4" w14:textId="77777777" w:rsidR="001C5460" w:rsidRPr="000D00BE" w:rsidRDefault="001C5460" w:rsidP="000D2852">
                            <w:pPr>
                              <w:rPr>
                                <w:rFonts w:ascii="Calibri" w:hAnsi="Calibri"/>
                                <w:b/>
                                <w:sz w:val="16"/>
                                <w:szCs w:val="16"/>
                              </w:rPr>
                            </w:pPr>
                          </w:p>
                          <w:p w14:paraId="6795C037" w14:textId="77777777" w:rsidR="001C5460" w:rsidRPr="00CD1CAF" w:rsidRDefault="001C5460" w:rsidP="000D2852">
                            <w:pPr>
                              <w:rPr>
                                <w:rFonts w:ascii="Calibri" w:hAnsi="Calibri"/>
                              </w:rPr>
                            </w:pPr>
                            <w:r w:rsidRPr="00D274AB">
                              <w:rPr>
                                <w:rFonts w:ascii="Calibri" w:hAnsi="Calibri"/>
                                <w:sz w:val="22"/>
                                <w:szCs w:val="22"/>
                              </w:rPr>
                              <w:t>4</w:t>
                            </w:r>
                            <w:r w:rsidRPr="00CD1CAF">
                              <w:rPr>
                                <w:rFonts w:ascii="Calibri" w:hAnsi="Calibri"/>
                              </w:rPr>
                              <w:t xml:space="preserve">. Protection and inclusion expertise </w:t>
                            </w:r>
                          </w:p>
                          <w:p w14:paraId="76FBF03E"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Expertise and experience in protection in program design and delivery – both mainstreaming and specific programming</w:t>
                            </w:r>
                          </w:p>
                          <w:p w14:paraId="3A3C7ACD"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Expertise and experience in gender equality in program design and delivery – both mainstreaming and specific programming</w:t>
                            </w:r>
                          </w:p>
                          <w:p w14:paraId="3D3FE31D"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Expertise and experience in disability inclusion in program design and delivery - both mainstreaming and specific programming</w:t>
                            </w:r>
                          </w:p>
                          <w:p w14:paraId="56F8A4CD" w14:textId="77777777" w:rsidR="001C5460" w:rsidRPr="000D00BE" w:rsidRDefault="001C5460" w:rsidP="000D2852">
                            <w:pPr>
                              <w:rPr>
                                <w:rFonts w:ascii="Calibri" w:hAnsi="Calibri"/>
                                <w:b/>
                                <w:sz w:val="16"/>
                                <w:szCs w:val="16"/>
                              </w:rPr>
                            </w:pPr>
                          </w:p>
                          <w:p w14:paraId="1BD74170" w14:textId="77777777" w:rsidR="001C5460" w:rsidRPr="00CD1CAF" w:rsidRDefault="001C5460" w:rsidP="000D2852">
                            <w:pPr>
                              <w:rPr>
                                <w:rFonts w:ascii="Calibri" w:eastAsiaTheme="minorHAnsi" w:hAnsi="Calibri"/>
                              </w:rPr>
                            </w:pPr>
                            <w:r w:rsidRPr="00CD1CAF">
                              <w:rPr>
                                <w:rFonts w:ascii="Calibri" w:hAnsi="Calibri"/>
                              </w:rPr>
                              <w:t xml:space="preserve">5. Partnership capacity </w:t>
                            </w:r>
                          </w:p>
                          <w:p w14:paraId="2BF62DEC" w14:textId="77777777" w:rsidR="001C5460" w:rsidRPr="00C318DA" w:rsidRDefault="001C5460" w:rsidP="000D2852">
                            <w:pPr>
                              <w:pStyle w:val="ListParagraph"/>
                              <w:numPr>
                                <w:ilvl w:val="0"/>
                                <w:numId w:val="4"/>
                              </w:numPr>
                              <w:spacing w:after="0"/>
                              <w:rPr>
                                <w:rFonts w:ascii="Calibri" w:hAnsi="Calibri"/>
                                <w:sz w:val="24"/>
                                <w:szCs w:val="24"/>
                              </w:rPr>
                            </w:pPr>
                            <w:r w:rsidRPr="00CD1CAF">
                              <w:rPr>
                                <w:rFonts w:ascii="Calibri" w:eastAsia="Times New Roman" w:hAnsi="Calibri"/>
                                <w:sz w:val="24"/>
                                <w:szCs w:val="24"/>
                              </w:rPr>
                              <w:t>Demonstrated track record of collaboration with other partners</w:t>
                            </w:r>
                            <w:r w:rsidRPr="00405EE8">
                              <w:rPr>
                                <w:rFonts w:ascii="Calibri" w:eastAsia="Times New Roman" w:hAnsi="Calibri"/>
                                <w:sz w:val="24"/>
                                <w:szCs w:val="24"/>
                              </w:rPr>
                              <w:t>, including governments, the Red Cross movement, NGOs and local</w:t>
                            </w:r>
                            <w:r w:rsidRPr="00405EE8">
                              <w:rPr>
                                <w:rFonts w:ascii="Calibri" w:eastAsia="Times New Roman" w:hAnsi="Calibri"/>
                              </w:rPr>
                              <w:t xml:space="preserve"> </w:t>
                            </w:r>
                            <w:r w:rsidRPr="00405EE8">
                              <w:rPr>
                                <w:rFonts w:ascii="Calibri" w:eastAsia="Times New Roman" w:hAnsi="Calibri"/>
                                <w:sz w:val="24"/>
                                <w:szCs w:val="24"/>
                              </w:rPr>
                              <w:t>networks (such as churches),</w:t>
                            </w:r>
                            <w:r w:rsidRPr="00CD1CAF">
                              <w:rPr>
                                <w:rFonts w:ascii="Calibri" w:eastAsia="Times New Roman" w:hAnsi="Calibri"/>
                                <w:sz w:val="24"/>
                                <w:szCs w:val="24"/>
                              </w:rPr>
                              <w:t xml:space="preserve"> </w:t>
                            </w:r>
                            <w:r>
                              <w:rPr>
                                <w:rFonts w:ascii="Calibri" w:eastAsia="Times New Roman" w:hAnsi="Calibri"/>
                                <w:sz w:val="24"/>
                                <w:szCs w:val="24"/>
                              </w:rPr>
                              <w:t xml:space="preserve">and the private sector, </w:t>
                            </w:r>
                            <w:r w:rsidRPr="00CD1CAF">
                              <w:rPr>
                                <w:rFonts w:ascii="Calibri" w:eastAsia="Times New Roman" w:hAnsi="Calibri"/>
                                <w:sz w:val="24"/>
                                <w:szCs w:val="24"/>
                              </w:rPr>
                              <w:t xml:space="preserve">especially in </w:t>
                            </w:r>
                            <w:r>
                              <w:rPr>
                                <w:rFonts w:ascii="Calibri" w:eastAsia="Times New Roman" w:hAnsi="Calibri"/>
                                <w:sz w:val="24"/>
                                <w:szCs w:val="24"/>
                              </w:rPr>
                              <w:t>a humanitarian context</w:t>
                            </w:r>
                          </w:p>
                          <w:p w14:paraId="1E4C6E1C" w14:textId="77777777" w:rsidR="001C5460" w:rsidRPr="00CD1CAF" w:rsidRDefault="001C5460" w:rsidP="000D2852">
                            <w:pPr>
                              <w:pStyle w:val="ListParagraph"/>
                              <w:numPr>
                                <w:ilvl w:val="0"/>
                                <w:numId w:val="4"/>
                              </w:numPr>
                              <w:spacing w:after="0"/>
                              <w:rPr>
                                <w:rFonts w:ascii="Calibri" w:hAnsi="Calibri"/>
                                <w:sz w:val="24"/>
                                <w:szCs w:val="24"/>
                              </w:rPr>
                            </w:pPr>
                            <w:r>
                              <w:rPr>
                                <w:rFonts w:ascii="Calibri" w:eastAsia="Times New Roman" w:hAnsi="Calibri"/>
                                <w:sz w:val="24"/>
                                <w:szCs w:val="24"/>
                              </w:rPr>
                              <w:t>Demonstrable community networks and relationships</w:t>
                            </w:r>
                          </w:p>
                          <w:p w14:paraId="7528E490"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eastAsia="Times New Roman" w:hAnsi="Calibri"/>
                                <w:sz w:val="24"/>
                                <w:szCs w:val="24"/>
                              </w:rPr>
                              <w:t>Demonstrated commitment and capacity to increase and enhance collaboration with such partners</w:t>
                            </w:r>
                            <w:r>
                              <w:rPr>
                                <w:rFonts w:ascii="Calibri" w:eastAsia="Times New Roman" w:hAnsi="Calibr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3.85pt;margin-top:-6.7pt;width:475pt;height:66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" fillcolor="#a3c4ff" strokecolor="#4a7ebb" strokeweight="1.5pt">
                <v:fill color2="#e5eeff" rotate="t" angle="180" colors="0 #a3c4ff;22938f #bfd5ff;1 #e5eeff" focus="100%" type="gradient"/>
                <v:shadow on="t" color="black" opacity="24903f" origin=",.5" offset="0,.55556mm"/>
                <v:textbox>
                  <w:txbxContent>
                    <w:p w14:paraId="0127F223" w14:textId="77777777" w:rsidR="001C5460" w:rsidRPr="00CD1CAF" w:rsidRDefault="001C5460" w:rsidP="000D2852">
                      <w:pPr>
                        <w:rPr>
                          <w:rFonts w:ascii="Calibri" w:hAnsi="Calibri"/>
                          <w:b/>
                        </w:rPr>
                      </w:pPr>
                      <w:r w:rsidRPr="00CD1CAF">
                        <w:rPr>
                          <w:rFonts w:ascii="Calibri" w:hAnsi="Calibri"/>
                          <w:b/>
                        </w:rPr>
                        <w:t>Domains of Capability</w:t>
                      </w:r>
                    </w:p>
                    <w:p w14:paraId="7480EBC6" w14:textId="77777777" w:rsidR="001C5460" w:rsidRPr="000D00BE" w:rsidRDefault="001C5460" w:rsidP="000D2852">
                      <w:pPr>
                        <w:rPr>
                          <w:rFonts w:ascii="Calibri" w:hAnsi="Calibri"/>
                          <w:b/>
                          <w:sz w:val="16"/>
                          <w:szCs w:val="16"/>
                        </w:rPr>
                      </w:pPr>
                    </w:p>
                    <w:p w14:paraId="10E1FA94" w14:textId="77777777" w:rsidR="001C5460" w:rsidRPr="00CD1CAF" w:rsidRDefault="001C5460" w:rsidP="000D2852">
                      <w:pPr>
                        <w:rPr>
                          <w:rFonts w:ascii="Calibri" w:hAnsi="Calibri"/>
                        </w:rPr>
                      </w:pPr>
                      <w:r w:rsidRPr="00CD1CAF">
                        <w:rPr>
                          <w:rFonts w:ascii="Calibri" w:hAnsi="Calibri"/>
                        </w:rPr>
                        <w:t>1. Response to rapid-onset crises</w:t>
                      </w:r>
                      <w:r>
                        <w:rPr>
                          <w:rFonts w:ascii="Calibri" w:hAnsi="Calibri"/>
                        </w:rPr>
                        <w:t xml:space="preserve"> (including early recovery)</w:t>
                      </w:r>
                    </w:p>
                    <w:p w14:paraId="4856B125"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Demonstrated emergency response capacity and local capability to provide humanitarian relief and early recovery assistance in response to rapid-onset crises</w:t>
                      </w:r>
                    </w:p>
                    <w:p w14:paraId="40D6A6D1"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Breadth and depth of relationships with local implementing partners</w:t>
                      </w:r>
                    </w:p>
                    <w:p w14:paraId="05CA799E"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Relationships with partner governments</w:t>
                      </w:r>
                    </w:p>
                    <w:p w14:paraId="43A86622"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 xml:space="preserve">Extent of existing development programming </w:t>
                      </w:r>
                    </w:p>
                    <w:p w14:paraId="2E6307FC"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Ability to manage and distribute logistical supplies</w:t>
                      </w:r>
                    </w:p>
                    <w:p w14:paraId="28361C06" w14:textId="77777777" w:rsidR="001C5460" w:rsidRPr="000D00BE" w:rsidRDefault="001C5460" w:rsidP="000D2852">
                      <w:pPr>
                        <w:rPr>
                          <w:rFonts w:ascii="Calibri" w:hAnsi="Calibri"/>
                          <w:b/>
                          <w:sz w:val="16"/>
                          <w:szCs w:val="16"/>
                        </w:rPr>
                      </w:pPr>
                    </w:p>
                    <w:p w14:paraId="3EDDE4FA" w14:textId="77777777" w:rsidR="001C5460" w:rsidRPr="00CD1CAF" w:rsidRDefault="001C5460" w:rsidP="000D2852">
                      <w:pPr>
                        <w:rPr>
                          <w:rFonts w:ascii="Calibri" w:hAnsi="Calibri"/>
                        </w:rPr>
                      </w:pPr>
                      <w:r w:rsidRPr="00CD1CAF">
                        <w:rPr>
                          <w:rFonts w:ascii="Calibri" w:hAnsi="Calibri"/>
                        </w:rPr>
                        <w:t>2. Response to protracted and slow-onset crises</w:t>
                      </w:r>
                      <w:r>
                        <w:rPr>
                          <w:rFonts w:ascii="Calibri" w:hAnsi="Calibri"/>
                        </w:rPr>
                        <w:t xml:space="preserve"> (including early recovery)</w:t>
                      </w:r>
                    </w:p>
                    <w:p w14:paraId="61A619A5"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Demonstrated local capability to provide humanitarian relief and early recovery assistance in response to protracted and slow-onset crises</w:t>
                      </w:r>
                    </w:p>
                    <w:p w14:paraId="3C32AC14"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Breadth and depth of relationships with local implementing partners</w:t>
                      </w:r>
                    </w:p>
                    <w:p w14:paraId="7F004CA2"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Relationships with partner governments</w:t>
                      </w:r>
                    </w:p>
                    <w:p w14:paraId="4988ED18"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 xml:space="preserve">Extent of existing development programming </w:t>
                      </w:r>
                    </w:p>
                    <w:p w14:paraId="24FC9081" w14:textId="77777777" w:rsidR="001C5460" w:rsidRPr="000D00BE" w:rsidRDefault="001C5460" w:rsidP="000D2852">
                      <w:pPr>
                        <w:rPr>
                          <w:rFonts w:ascii="Calibri" w:hAnsi="Calibri"/>
                          <w:b/>
                          <w:sz w:val="16"/>
                          <w:szCs w:val="16"/>
                        </w:rPr>
                      </w:pPr>
                    </w:p>
                    <w:p w14:paraId="08407617" w14:textId="1C58CD9D" w:rsidR="001C5460" w:rsidRPr="00737D62" w:rsidRDefault="001C5460" w:rsidP="00737D62">
                      <w:pPr>
                        <w:rPr>
                          <w:rFonts w:ascii="Calibri" w:hAnsi="Calibri"/>
                        </w:rPr>
                      </w:pPr>
                      <w:r w:rsidRPr="00A95C2C">
                        <w:rPr>
                          <w:rFonts w:ascii="Calibri" w:hAnsi="Calibri"/>
                        </w:rPr>
                        <w:t xml:space="preserve">3. </w:t>
                      </w:r>
                      <w:r w:rsidRPr="00737D62">
                        <w:rPr>
                          <w:rFonts w:ascii="Calibri" w:hAnsi="Calibri"/>
                        </w:rPr>
                        <w:t xml:space="preserve">Building local humanitarian capacity </w:t>
                      </w:r>
                      <w:r>
                        <w:rPr>
                          <w:rFonts w:ascii="Calibri" w:hAnsi="Calibri"/>
                        </w:rPr>
                        <w:t xml:space="preserve">and </w:t>
                      </w:r>
                      <w:r w:rsidRPr="00737D62">
                        <w:rPr>
                          <w:rFonts w:ascii="Calibri" w:hAnsi="Calibri"/>
                        </w:rPr>
                        <w:t>strengthening the resilience of Pacific communities</w:t>
                      </w:r>
                    </w:p>
                    <w:p w14:paraId="70AD5AC6" w14:textId="77777777" w:rsidR="001C5460" w:rsidRPr="00AA7732" w:rsidRDefault="001C5460" w:rsidP="00AA7732">
                      <w:pPr>
                        <w:pStyle w:val="ListParagraph"/>
                        <w:numPr>
                          <w:ilvl w:val="0"/>
                          <w:numId w:val="4"/>
                        </w:numPr>
                        <w:spacing w:after="0"/>
                        <w:rPr>
                          <w:rFonts w:ascii="Calibri" w:hAnsi="Calibri"/>
                          <w:sz w:val="24"/>
                          <w:szCs w:val="24"/>
                        </w:rPr>
                      </w:pPr>
                      <w:r w:rsidRPr="00AA7732">
                        <w:rPr>
                          <w:rFonts w:ascii="Calibri" w:hAnsi="Calibri"/>
                          <w:sz w:val="24"/>
                          <w:szCs w:val="24"/>
                        </w:rPr>
                        <w:t xml:space="preserve">Demonstrated capacity to strengthen local capability to anticipate, prepare for, respond to and reduce risks from natural hazards </w:t>
                      </w:r>
                    </w:p>
                    <w:p w14:paraId="45804DCC"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Knowledge of and experience in the Pacific region</w:t>
                      </w:r>
                      <w:r>
                        <w:rPr>
                          <w:rFonts w:ascii="Calibri" w:hAnsi="Calibri"/>
                          <w:sz w:val="24"/>
                          <w:szCs w:val="24"/>
                        </w:rPr>
                        <w:t>, including a strong understanding of and ability to complement partner government initiatives</w:t>
                      </w:r>
                    </w:p>
                    <w:p w14:paraId="66356C4A"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Breadth and depth of relationships with local implementing partners</w:t>
                      </w:r>
                    </w:p>
                    <w:p w14:paraId="2A884347"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 xml:space="preserve">Extent of existing development programming </w:t>
                      </w:r>
                    </w:p>
                    <w:p w14:paraId="4889BFF4" w14:textId="77777777" w:rsidR="001C5460" w:rsidRPr="000D00BE" w:rsidRDefault="001C5460" w:rsidP="000D2852">
                      <w:pPr>
                        <w:rPr>
                          <w:rFonts w:ascii="Calibri" w:hAnsi="Calibri"/>
                          <w:b/>
                          <w:sz w:val="16"/>
                          <w:szCs w:val="16"/>
                        </w:rPr>
                      </w:pPr>
                    </w:p>
                    <w:p w14:paraId="6795C037" w14:textId="77777777" w:rsidR="001C5460" w:rsidRPr="00CD1CAF" w:rsidRDefault="001C5460" w:rsidP="000D2852">
                      <w:pPr>
                        <w:rPr>
                          <w:rFonts w:ascii="Calibri" w:hAnsi="Calibri"/>
                        </w:rPr>
                      </w:pPr>
                      <w:r w:rsidRPr="00D274AB">
                        <w:rPr>
                          <w:rFonts w:ascii="Calibri" w:hAnsi="Calibri"/>
                          <w:sz w:val="22"/>
                          <w:szCs w:val="22"/>
                        </w:rPr>
                        <w:t>4</w:t>
                      </w:r>
                      <w:r w:rsidRPr="00CD1CAF">
                        <w:rPr>
                          <w:rFonts w:ascii="Calibri" w:hAnsi="Calibri"/>
                        </w:rPr>
                        <w:t xml:space="preserve">. Protection and inclusion expertise </w:t>
                      </w:r>
                    </w:p>
                    <w:p w14:paraId="76FBF03E"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Expertise and experience in protection in program design and delivery – both mainstreaming and specific programming</w:t>
                      </w:r>
                    </w:p>
                    <w:p w14:paraId="3A3C7ACD"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Expertise and experience in gender equality in program design and delivery – both mainstreaming and specific programming</w:t>
                      </w:r>
                    </w:p>
                    <w:p w14:paraId="3D3FE31D"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hAnsi="Calibri"/>
                          <w:sz w:val="24"/>
                          <w:szCs w:val="24"/>
                        </w:rPr>
                        <w:t>Expertise and experience in disability inclusion in program design and delivery - both mainstreaming and specific programming</w:t>
                      </w:r>
                    </w:p>
                    <w:p w14:paraId="56F8A4CD" w14:textId="77777777" w:rsidR="001C5460" w:rsidRPr="000D00BE" w:rsidRDefault="001C5460" w:rsidP="000D2852">
                      <w:pPr>
                        <w:rPr>
                          <w:rFonts w:ascii="Calibri" w:hAnsi="Calibri"/>
                          <w:b/>
                          <w:sz w:val="16"/>
                          <w:szCs w:val="16"/>
                        </w:rPr>
                      </w:pPr>
                    </w:p>
                    <w:p w14:paraId="1BD74170" w14:textId="77777777" w:rsidR="001C5460" w:rsidRPr="00CD1CAF" w:rsidRDefault="001C5460" w:rsidP="000D2852">
                      <w:pPr>
                        <w:rPr>
                          <w:rFonts w:ascii="Calibri" w:eastAsiaTheme="minorHAnsi" w:hAnsi="Calibri"/>
                        </w:rPr>
                      </w:pPr>
                      <w:r w:rsidRPr="00CD1CAF">
                        <w:rPr>
                          <w:rFonts w:ascii="Calibri" w:hAnsi="Calibri"/>
                        </w:rPr>
                        <w:t xml:space="preserve">5. Partnership capacity </w:t>
                      </w:r>
                    </w:p>
                    <w:p w14:paraId="2BF62DEC" w14:textId="77777777" w:rsidR="001C5460" w:rsidRPr="00C318DA" w:rsidRDefault="001C5460" w:rsidP="000D2852">
                      <w:pPr>
                        <w:pStyle w:val="ListParagraph"/>
                        <w:numPr>
                          <w:ilvl w:val="0"/>
                          <w:numId w:val="4"/>
                        </w:numPr>
                        <w:spacing w:after="0"/>
                        <w:rPr>
                          <w:rFonts w:ascii="Calibri" w:hAnsi="Calibri"/>
                          <w:sz w:val="24"/>
                          <w:szCs w:val="24"/>
                        </w:rPr>
                      </w:pPr>
                      <w:r w:rsidRPr="00CD1CAF">
                        <w:rPr>
                          <w:rFonts w:ascii="Calibri" w:eastAsia="Times New Roman" w:hAnsi="Calibri"/>
                          <w:sz w:val="24"/>
                          <w:szCs w:val="24"/>
                        </w:rPr>
                        <w:t>Demonstrated track record of collaboration with other partners</w:t>
                      </w:r>
                      <w:r w:rsidRPr="00405EE8">
                        <w:rPr>
                          <w:rFonts w:ascii="Calibri" w:eastAsia="Times New Roman" w:hAnsi="Calibri"/>
                          <w:sz w:val="24"/>
                          <w:szCs w:val="24"/>
                        </w:rPr>
                        <w:t>, including governments, the Red Cross movement, NGOs and local</w:t>
                      </w:r>
                      <w:r w:rsidRPr="00405EE8">
                        <w:rPr>
                          <w:rFonts w:ascii="Calibri" w:eastAsia="Times New Roman" w:hAnsi="Calibri"/>
                        </w:rPr>
                        <w:t xml:space="preserve"> </w:t>
                      </w:r>
                      <w:r w:rsidRPr="00405EE8">
                        <w:rPr>
                          <w:rFonts w:ascii="Calibri" w:eastAsia="Times New Roman" w:hAnsi="Calibri"/>
                          <w:sz w:val="24"/>
                          <w:szCs w:val="24"/>
                        </w:rPr>
                        <w:t>networks (such as churches),</w:t>
                      </w:r>
                      <w:r w:rsidRPr="00CD1CAF">
                        <w:rPr>
                          <w:rFonts w:ascii="Calibri" w:eastAsia="Times New Roman" w:hAnsi="Calibri"/>
                          <w:sz w:val="24"/>
                          <w:szCs w:val="24"/>
                        </w:rPr>
                        <w:t xml:space="preserve"> </w:t>
                      </w:r>
                      <w:r>
                        <w:rPr>
                          <w:rFonts w:ascii="Calibri" w:eastAsia="Times New Roman" w:hAnsi="Calibri"/>
                          <w:sz w:val="24"/>
                          <w:szCs w:val="24"/>
                        </w:rPr>
                        <w:t xml:space="preserve">and the private sector, </w:t>
                      </w:r>
                      <w:r w:rsidRPr="00CD1CAF">
                        <w:rPr>
                          <w:rFonts w:ascii="Calibri" w:eastAsia="Times New Roman" w:hAnsi="Calibri"/>
                          <w:sz w:val="24"/>
                          <w:szCs w:val="24"/>
                        </w:rPr>
                        <w:t xml:space="preserve">especially in </w:t>
                      </w:r>
                      <w:r>
                        <w:rPr>
                          <w:rFonts w:ascii="Calibri" w:eastAsia="Times New Roman" w:hAnsi="Calibri"/>
                          <w:sz w:val="24"/>
                          <w:szCs w:val="24"/>
                        </w:rPr>
                        <w:t>a humanitarian context</w:t>
                      </w:r>
                    </w:p>
                    <w:p w14:paraId="1E4C6E1C" w14:textId="77777777" w:rsidR="001C5460" w:rsidRPr="00CD1CAF" w:rsidRDefault="001C5460" w:rsidP="000D2852">
                      <w:pPr>
                        <w:pStyle w:val="ListParagraph"/>
                        <w:numPr>
                          <w:ilvl w:val="0"/>
                          <w:numId w:val="4"/>
                        </w:numPr>
                        <w:spacing w:after="0"/>
                        <w:rPr>
                          <w:rFonts w:ascii="Calibri" w:hAnsi="Calibri"/>
                          <w:sz w:val="24"/>
                          <w:szCs w:val="24"/>
                        </w:rPr>
                      </w:pPr>
                      <w:r>
                        <w:rPr>
                          <w:rFonts w:ascii="Calibri" w:eastAsia="Times New Roman" w:hAnsi="Calibri"/>
                          <w:sz w:val="24"/>
                          <w:szCs w:val="24"/>
                        </w:rPr>
                        <w:t>Demonstrable community networks and relationships</w:t>
                      </w:r>
                    </w:p>
                    <w:p w14:paraId="7528E490" w14:textId="77777777" w:rsidR="001C5460" w:rsidRPr="00CD1CAF" w:rsidRDefault="001C5460" w:rsidP="000D2852">
                      <w:pPr>
                        <w:pStyle w:val="ListParagraph"/>
                        <w:numPr>
                          <w:ilvl w:val="0"/>
                          <w:numId w:val="4"/>
                        </w:numPr>
                        <w:spacing w:after="0"/>
                        <w:rPr>
                          <w:rFonts w:ascii="Calibri" w:hAnsi="Calibri"/>
                          <w:sz w:val="24"/>
                          <w:szCs w:val="24"/>
                        </w:rPr>
                      </w:pPr>
                      <w:r w:rsidRPr="00CD1CAF">
                        <w:rPr>
                          <w:rFonts w:ascii="Calibri" w:eastAsia="Times New Roman" w:hAnsi="Calibri"/>
                          <w:sz w:val="24"/>
                          <w:szCs w:val="24"/>
                        </w:rPr>
                        <w:t>Demonstrated commitment and capacity to increase and enhance collaboration with such partners</w:t>
                      </w:r>
                      <w:r>
                        <w:rPr>
                          <w:rFonts w:ascii="Calibri" w:eastAsia="Times New Roman" w:hAnsi="Calibri"/>
                          <w:sz w:val="24"/>
                          <w:szCs w:val="24"/>
                        </w:rPr>
                        <w:t>.</w:t>
                      </w:r>
                    </w:p>
                  </w:txbxContent>
                </v:textbox>
                <w10:wrap type="square"/>
              </v:shape>
            </w:pict>
          </mc:Fallback>
        </mc:AlternateContent>
      </w:r>
    </w:p>
    <w:p w14:paraId="7D48E6DE" w14:textId="77777777" w:rsidR="00B43F8A" w:rsidRPr="007157F7" w:rsidRDefault="00AA5CE5" w:rsidP="00A67DC0">
      <w:pPr>
        <w:pStyle w:val="Heading4"/>
        <w:spacing w:after="240"/>
        <w:jc w:val="both"/>
      </w:pPr>
      <w:r>
        <w:lastRenderedPageBreak/>
        <w:t>Response to r</w:t>
      </w:r>
      <w:r w:rsidR="00B43F8A" w:rsidRPr="007157F7">
        <w:t>apid</w:t>
      </w:r>
      <w:r>
        <w:t>-onset crises</w:t>
      </w:r>
      <w:r w:rsidR="00B43F8A" w:rsidRPr="007157F7">
        <w:t xml:space="preserve"> </w:t>
      </w:r>
    </w:p>
    <w:p w14:paraId="70CDCE34" w14:textId="77777777" w:rsidR="00B43F8A" w:rsidRPr="003627E2" w:rsidRDefault="00B43F8A" w:rsidP="00A67DC0">
      <w:pPr>
        <w:pStyle w:val="CommentText"/>
        <w:keepNext/>
        <w:spacing w:after="240"/>
        <w:jc w:val="both"/>
        <w:rPr>
          <w:rFonts w:ascii="Calibri" w:eastAsiaTheme="minorHAnsi" w:hAnsi="Calibri"/>
          <w:sz w:val="24"/>
          <w:szCs w:val="24"/>
        </w:rPr>
      </w:pPr>
      <w:r w:rsidRPr="00774F50">
        <w:rPr>
          <w:rFonts w:eastAsiaTheme="minorHAnsi"/>
          <w:b/>
          <w:sz w:val="24"/>
          <w:szCs w:val="24"/>
        </w:rPr>
        <w:t xml:space="preserve">Under the </w:t>
      </w:r>
      <w:r w:rsidR="003627E2" w:rsidRPr="00774F50">
        <w:rPr>
          <w:rFonts w:eastAsiaTheme="minorHAnsi"/>
          <w:b/>
          <w:sz w:val="24"/>
          <w:szCs w:val="24"/>
        </w:rPr>
        <w:t>auspices</w:t>
      </w:r>
      <w:r w:rsidRPr="00774F50">
        <w:rPr>
          <w:rFonts w:eastAsiaTheme="minorHAnsi"/>
          <w:b/>
          <w:sz w:val="24"/>
          <w:szCs w:val="24"/>
        </w:rPr>
        <w:t xml:space="preserve"> of the </w:t>
      </w:r>
      <w:r w:rsidR="00C53395">
        <w:rPr>
          <w:rFonts w:eastAsiaTheme="minorHAnsi"/>
          <w:b/>
          <w:sz w:val="24"/>
          <w:szCs w:val="24"/>
        </w:rPr>
        <w:t>Australian Humanitarian Partnership</w:t>
      </w:r>
      <w:r w:rsidRPr="00774F50">
        <w:rPr>
          <w:rFonts w:eastAsiaTheme="minorHAnsi"/>
          <w:b/>
          <w:sz w:val="24"/>
          <w:szCs w:val="24"/>
        </w:rPr>
        <w:t>, it is anticipated that a small group of 4-6 ANGOs will be pre-selected through a competitive procurement process</w:t>
      </w:r>
      <w:r w:rsidRPr="007157F7">
        <w:rPr>
          <w:rFonts w:eastAsiaTheme="minorHAnsi"/>
          <w:sz w:val="24"/>
          <w:szCs w:val="24"/>
        </w:rPr>
        <w:t xml:space="preserve"> to be eligible for funding to respond to rapid-onset humanitarian crises (including through early recovery activities). When rapid response funding is </w:t>
      </w:r>
      <w:r w:rsidR="00F00B29" w:rsidRPr="007157F7">
        <w:rPr>
          <w:rFonts w:eastAsiaTheme="minorHAnsi"/>
          <w:sz w:val="24"/>
          <w:szCs w:val="24"/>
        </w:rPr>
        <w:t xml:space="preserve">made </w:t>
      </w:r>
      <w:r w:rsidRPr="007157F7">
        <w:rPr>
          <w:rFonts w:eastAsiaTheme="minorHAnsi"/>
          <w:sz w:val="24"/>
          <w:szCs w:val="24"/>
        </w:rPr>
        <w:t>available, the Support Unit will convene the pre-selected A</w:t>
      </w:r>
      <w:r w:rsidRPr="003627E2">
        <w:rPr>
          <w:rFonts w:ascii="Calibri" w:eastAsiaTheme="minorHAnsi" w:hAnsi="Calibri"/>
          <w:sz w:val="24"/>
          <w:szCs w:val="24"/>
        </w:rPr>
        <w:t>NGOs to meet as the Response Committee</w:t>
      </w:r>
      <w:r w:rsidR="002E1AEF">
        <w:rPr>
          <w:rStyle w:val="FootnoteReference"/>
          <w:rFonts w:eastAsiaTheme="minorHAnsi"/>
        </w:rPr>
        <w:footnoteReference w:id="33"/>
      </w:r>
      <w:r w:rsidRPr="003627E2">
        <w:rPr>
          <w:rFonts w:ascii="Calibri" w:eastAsiaTheme="minorHAnsi" w:hAnsi="Calibri"/>
          <w:sz w:val="24"/>
          <w:szCs w:val="24"/>
        </w:rPr>
        <w:t xml:space="preserve"> to determine the optimal response within the scope of available funding, and submit a Consolidated Proposal to DFAT for approval.</w:t>
      </w:r>
    </w:p>
    <w:p w14:paraId="226C8EF6" w14:textId="29387075" w:rsidR="00B43F8A" w:rsidRDefault="00A95C2C" w:rsidP="00A67DC0">
      <w:pPr>
        <w:spacing w:after="240"/>
        <w:jc w:val="both"/>
        <w:rPr>
          <w:rFonts w:ascii="Calibri" w:hAnsi="Calibri"/>
        </w:rPr>
      </w:pPr>
      <w:r>
        <w:rPr>
          <w:rFonts w:ascii="Calibri" w:hAnsi="Calibri"/>
          <w:b/>
        </w:rPr>
        <w:t>The same group of 4-6</w:t>
      </w:r>
      <w:r w:rsidR="00960E41">
        <w:rPr>
          <w:rFonts w:ascii="Calibri" w:hAnsi="Calibri"/>
          <w:b/>
        </w:rPr>
        <w:t xml:space="preserve"> </w:t>
      </w:r>
      <w:r w:rsidR="00B43F8A" w:rsidRPr="00774F50">
        <w:rPr>
          <w:rFonts w:ascii="Calibri" w:hAnsi="Calibri"/>
          <w:b/>
        </w:rPr>
        <w:t xml:space="preserve">ANGOs </w:t>
      </w:r>
      <w:r>
        <w:rPr>
          <w:rFonts w:ascii="Calibri" w:hAnsi="Calibri"/>
          <w:b/>
        </w:rPr>
        <w:t>will</w:t>
      </w:r>
      <w:r w:rsidR="00B43F8A" w:rsidRPr="00774F50">
        <w:rPr>
          <w:rFonts w:ascii="Calibri" w:hAnsi="Calibri"/>
          <w:b/>
        </w:rPr>
        <w:t xml:space="preserve"> be eligible for </w:t>
      </w:r>
      <w:r w:rsidR="00FA7328">
        <w:rPr>
          <w:rFonts w:ascii="Calibri" w:hAnsi="Calibri"/>
          <w:b/>
        </w:rPr>
        <w:t>funding for protracted and slow-onset responses</w:t>
      </w:r>
      <w:r>
        <w:rPr>
          <w:rFonts w:ascii="Calibri" w:hAnsi="Calibri"/>
          <w:b/>
        </w:rPr>
        <w:t>, and will receive</w:t>
      </w:r>
      <w:r w:rsidR="00FA7328">
        <w:rPr>
          <w:rFonts w:ascii="Calibri" w:hAnsi="Calibri"/>
          <w:b/>
        </w:rPr>
        <w:t xml:space="preserve"> </w:t>
      </w:r>
      <w:r w:rsidR="00B43F8A" w:rsidRPr="00774F50">
        <w:rPr>
          <w:rFonts w:ascii="Calibri" w:hAnsi="Calibri"/>
          <w:b/>
        </w:rPr>
        <w:t xml:space="preserve">multi-year funding to build humanitarian capability </w:t>
      </w:r>
      <w:r w:rsidR="00960E41">
        <w:rPr>
          <w:rFonts w:ascii="Calibri" w:hAnsi="Calibri"/>
          <w:b/>
        </w:rPr>
        <w:t xml:space="preserve">and </w:t>
      </w:r>
      <w:r w:rsidR="00960E41" w:rsidRPr="00737D62">
        <w:rPr>
          <w:rFonts w:ascii="Calibri" w:hAnsi="Calibri"/>
          <w:b/>
        </w:rPr>
        <w:t>strengthen disaster resilience of communities in</w:t>
      </w:r>
      <w:r w:rsidR="00960E41">
        <w:rPr>
          <w:rFonts w:ascii="Calibri" w:eastAsia="Times New Roman" w:hAnsi="Calibri"/>
          <w:i/>
          <w:iCs/>
          <w:color w:val="365F91"/>
          <w:sz w:val="22"/>
          <w:szCs w:val="22"/>
        </w:rPr>
        <w:t xml:space="preserve"> </w:t>
      </w:r>
      <w:r w:rsidR="00B43F8A" w:rsidRPr="00774F50">
        <w:rPr>
          <w:rFonts w:ascii="Calibri" w:hAnsi="Calibri"/>
          <w:b/>
        </w:rPr>
        <w:t>the Pacific</w:t>
      </w:r>
      <w:r w:rsidR="00B43F8A">
        <w:rPr>
          <w:rFonts w:ascii="Calibri" w:hAnsi="Calibri"/>
        </w:rPr>
        <w:t>.</w:t>
      </w:r>
      <w:r w:rsidR="00764CEA">
        <w:rPr>
          <w:rFonts w:ascii="Calibri" w:hAnsi="Calibri"/>
        </w:rPr>
        <w:t xml:space="preserve"> </w:t>
      </w:r>
      <w:r w:rsidR="00764CEA">
        <w:t>HRG members applying for funding are encouraged to consider consortia arrangements that enable them to demonstrate strong capacity over all five domains of capability.</w:t>
      </w:r>
    </w:p>
    <w:p w14:paraId="39B546C3" w14:textId="77777777" w:rsidR="000D2852" w:rsidRDefault="000D2852" w:rsidP="00A67DC0">
      <w:pPr>
        <w:jc w:val="both"/>
        <w:rPr>
          <w:rFonts w:ascii="Calibri" w:hAnsi="Calibri"/>
        </w:rPr>
      </w:pPr>
    </w:p>
    <w:p w14:paraId="7A68870B" w14:textId="77777777" w:rsidR="002D66F9" w:rsidRDefault="002D66F9" w:rsidP="00A67DC0">
      <w:pPr>
        <w:jc w:val="both"/>
        <w:rPr>
          <w:rFonts w:eastAsiaTheme="majorEastAsia" w:cstheme="majorBidi"/>
          <w:i/>
          <w:iCs/>
          <w:color w:val="365F91" w:themeColor="accent1" w:themeShade="BF"/>
        </w:rPr>
      </w:pPr>
      <w:r>
        <w:rPr>
          <w:rFonts w:ascii="Calibri" w:hAnsi="Calibri"/>
          <w:noProof/>
          <w:lang w:eastAsia="en-AU"/>
        </w:rPr>
        <w:lastRenderedPageBreak/>
        <mc:AlternateContent>
          <mc:Choice Requires="wps">
            <w:drawing>
              <wp:anchor distT="0" distB="0" distL="114300" distR="114300" simplePos="0" relativeHeight="251660288" behindDoc="0" locked="0" layoutInCell="1" allowOverlap="1" wp14:anchorId="606D529C" wp14:editId="2BFFA809">
                <wp:simplePos x="0" y="0"/>
                <wp:positionH relativeFrom="column">
                  <wp:posOffset>-1905</wp:posOffset>
                </wp:positionH>
                <wp:positionV relativeFrom="paragraph">
                  <wp:posOffset>-48260</wp:posOffset>
                </wp:positionV>
                <wp:extent cx="5539740" cy="6664960"/>
                <wp:effectExtent l="57150" t="38100" r="80010" b="97790"/>
                <wp:wrapSquare wrapText="bothSides"/>
                <wp:docPr id="4" name="Text Box 4"/>
                <wp:cNvGraphicFramePr/>
                <a:graphic xmlns:a="http://schemas.openxmlformats.org/drawingml/2006/main">
                  <a:graphicData uri="http://schemas.microsoft.com/office/word/2010/wordprocessingShape">
                    <wps:wsp>
                      <wps:cNvSpPr txBox="1"/>
                      <wps:spPr>
                        <a:xfrm>
                          <a:off x="0" y="0"/>
                          <a:ext cx="5539740" cy="6664960"/>
                        </a:xfrm>
                        <a:prstGeom prst="rect">
                          <a:avLst/>
                        </a:prstGeom>
                        <a:ln w="19050"/>
                      </wps:spPr>
                      <wps:style>
                        <a:lnRef idx="1">
                          <a:schemeClr val="accent1"/>
                        </a:lnRef>
                        <a:fillRef idx="2">
                          <a:schemeClr val="accent1"/>
                        </a:fillRef>
                        <a:effectRef idx="1">
                          <a:schemeClr val="accent1"/>
                        </a:effectRef>
                        <a:fontRef idx="minor">
                          <a:schemeClr val="dk1"/>
                        </a:fontRef>
                      </wps:style>
                      <wps:txbx>
                        <w:txbxContent>
                          <w:p w14:paraId="5EA7C946" w14:textId="77777777" w:rsidR="001C5460" w:rsidRPr="00D274AB" w:rsidRDefault="001C5460" w:rsidP="0076267F">
                            <w:pPr>
                              <w:rPr>
                                <w:rFonts w:ascii="Calibri" w:hAnsi="Calibri"/>
                                <w:b/>
                                <w:color w:val="000000" w:themeColor="text1"/>
                                <w:sz w:val="22"/>
                                <w:szCs w:val="22"/>
                              </w:rPr>
                            </w:pPr>
                            <w:r w:rsidRPr="00D274AB">
                              <w:rPr>
                                <w:rFonts w:ascii="Calibri" w:hAnsi="Calibri"/>
                                <w:b/>
                                <w:color w:val="000000" w:themeColor="text1"/>
                                <w:sz w:val="22"/>
                                <w:szCs w:val="22"/>
                              </w:rPr>
                              <w:t xml:space="preserve">Activation of Rapid Response </w:t>
                            </w:r>
                            <w:r>
                              <w:rPr>
                                <w:rFonts w:ascii="Calibri" w:hAnsi="Calibri"/>
                                <w:b/>
                                <w:color w:val="000000" w:themeColor="text1"/>
                                <w:sz w:val="22"/>
                                <w:szCs w:val="22"/>
                              </w:rPr>
                              <w:t>Funding</w:t>
                            </w:r>
                          </w:p>
                          <w:p w14:paraId="65E15DD7" w14:textId="77777777" w:rsidR="001C5460" w:rsidRPr="00D274AB" w:rsidRDefault="001C5460" w:rsidP="0076267F">
                            <w:pPr>
                              <w:rPr>
                                <w:rFonts w:ascii="Calibri" w:hAnsi="Calibr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85"/>
                            </w:tblGrid>
                            <w:tr w:rsidR="001C5460" w:rsidRPr="00D274AB" w14:paraId="27C210DB" w14:textId="77777777" w:rsidTr="00C318DA">
                              <w:trPr>
                                <w:trHeight w:val="341"/>
                              </w:trPr>
                              <w:tc>
                                <w:tcPr>
                                  <w:tcW w:w="1668" w:type="dxa"/>
                                </w:tcPr>
                                <w:p w14:paraId="11D9F207"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Crisis</w:t>
                                  </w:r>
                                </w:p>
                              </w:tc>
                              <w:tc>
                                <w:tcPr>
                                  <w:tcW w:w="6685" w:type="dxa"/>
                                </w:tcPr>
                                <w:p w14:paraId="71269FC0"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Crisis event occurs</w:t>
                                  </w:r>
                                </w:p>
                                <w:p w14:paraId="71CB8534" w14:textId="77777777" w:rsidR="001C5460" w:rsidRPr="00D274AB" w:rsidRDefault="001C5460" w:rsidP="0076267F">
                                  <w:pPr>
                                    <w:rPr>
                                      <w:rFonts w:ascii="Calibri" w:hAnsi="Calibri"/>
                                      <w:color w:val="000000" w:themeColor="text1"/>
                                      <w:sz w:val="22"/>
                                      <w:szCs w:val="22"/>
                                    </w:rPr>
                                  </w:pPr>
                                </w:p>
                              </w:tc>
                            </w:tr>
                            <w:tr w:rsidR="001C5460" w:rsidRPr="00D274AB" w14:paraId="1F290526" w14:textId="77777777" w:rsidTr="006277E0">
                              <w:tc>
                                <w:tcPr>
                                  <w:tcW w:w="1668" w:type="dxa"/>
                                </w:tcPr>
                                <w:p w14:paraId="5B0D69DD"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Activation</w:t>
                                  </w:r>
                                </w:p>
                              </w:tc>
                              <w:tc>
                                <w:tcPr>
                                  <w:tcW w:w="6685" w:type="dxa"/>
                                </w:tcPr>
                                <w:p w14:paraId="2CA327FE" w14:textId="5D005BEF"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 xml:space="preserve">Foreign Minister </w:t>
                                  </w:r>
                                  <w:r>
                                    <w:rPr>
                                      <w:rFonts w:ascii="Calibri" w:hAnsi="Calibri"/>
                                      <w:color w:val="000000" w:themeColor="text1"/>
                                      <w:sz w:val="22"/>
                                      <w:szCs w:val="22"/>
                                    </w:rPr>
                                    <w:t>approves</w:t>
                                  </w:r>
                                  <w:r w:rsidRPr="00D274AB">
                                    <w:rPr>
                                      <w:rFonts w:ascii="Calibri" w:hAnsi="Calibri"/>
                                      <w:color w:val="000000" w:themeColor="text1"/>
                                      <w:sz w:val="22"/>
                                      <w:szCs w:val="22"/>
                                    </w:rPr>
                                    <w:t xml:space="preserve"> </w:t>
                                  </w:r>
                                  <w:r>
                                    <w:rPr>
                                      <w:rFonts w:ascii="Calibri" w:hAnsi="Calibri"/>
                                      <w:color w:val="000000" w:themeColor="text1"/>
                                      <w:sz w:val="22"/>
                                      <w:szCs w:val="22"/>
                                    </w:rPr>
                                    <w:t>r</w:t>
                                  </w:r>
                                  <w:r w:rsidRPr="00D274AB">
                                    <w:rPr>
                                      <w:rFonts w:ascii="Calibri" w:hAnsi="Calibri"/>
                                      <w:color w:val="000000" w:themeColor="text1"/>
                                      <w:sz w:val="22"/>
                                      <w:szCs w:val="22"/>
                                    </w:rPr>
                                    <w:t>apid</w:t>
                                  </w:r>
                                  <w:r>
                                    <w:rPr>
                                      <w:rFonts w:ascii="Calibri" w:hAnsi="Calibri"/>
                                      <w:color w:val="000000" w:themeColor="text1"/>
                                      <w:sz w:val="22"/>
                                      <w:szCs w:val="22"/>
                                    </w:rPr>
                                    <w:t xml:space="preserve"> r</w:t>
                                  </w:r>
                                  <w:r w:rsidRPr="00D274AB">
                                    <w:rPr>
                                      <w:rFonts w:ascii="Calibri" w:hAnsi="Calibri"/>
                                      <w:color w:val="000000" w:themeColor="text1"/>
                                      <w:sz w:val="22"/>
                                      <w:szCs w:val="22"/>
                                    </w:rPr>
                                    <w:t xml:space="preserve">esponse </w:t>
                                  </w:r>
                                  <w:r>
                                    <w:rPr>
                                      <w:rFonts w:ascii="Calibri" w:hAnsi="Calibri"/>
                                      <w:color w:val="000000" w:themeColor="text1"/>
                                      <w:sz w:val="22"/>
                                      <w:szCs w:val="22"/>
                                    </w:rPr>
                                    <w:t>funding</w:t>
                                  </w:r>
                                  <w:r w:rsidRPr="00D274AB">
                                    <w:rPr>
                                      <w:rFonts w:ascii="Calibri" w:hAnsi="Calibri"/>
                                      <w:color w:val="000000" w:themeColor="text1"/>
                                      <w:sz w:val="22"/>
                                      <w:szCs w:val="22"/>
                                    </w:rPr>
                                    <w:t xml:space="preserve">, and DFAT advises </w:t>
                                  </w:r>
                                  <w:r>
                                    <w:rPr>
                                      <w:rFonts w:ascii="Calibri" w:hAnsi="Calibri"/>
                                      <w:color w:val="000000" w:themeColor="text1"/>
                                      <w:sz w:val="22"/>
                                      <w:szCs w:val="22"/>
                                    </w:rPr>
                                    <w:t>HRG members</w:t>
                                  </w:r>
                                  <w:r w:rsidRPr="00D274AB">
                                    <w:rPr>
                                      <w:rFonts w:ascii="Calibri" w:hAnsi="Calibri"/>
                                      <w:color w:val="000000" w:themeColor="text1"/>
                                      <w:sz w:val="22"/>
                                      <w:szCs w:val="22"/>
                                    </w:rPr>
                                    <w:t xml:space="preserve"> of available funding envelope</w:t>
                                  </w:r>
                                </w:p>
                                <w:p w14:paraId="0A41F38C" w14:textId="77777777" w:rsidR="001C5460" w:rsidRPr="00D274AB" w:rsidRDefault="001C5460" w:rsidP="0076267F">
                                  <w:pPr>
                                    <w:rPr>
                                      <w:rFonts w:ascii="Calibri" w:hAnsi="Calibri"/>
                                      <w:color w:val="000000" w:themeColor="text1"/>
                                      <w:sz w:val="22"/>
                                      <w:szCs w:val="22"/>
                                    </w:rPr>
                                  </w:pPr>
                                </w:p>
                              </w:tc>
                            </w:tr>
                            <w:tr w:rsidR="001C5460" w:rsidRPr="00D274AB" w14:paraId="67CBB6C4" w14:textId="77777777" w:rsidTr="006277E0">
                              <w:tc>
                                <w:tcPr>
                                  <w:tcW w:w="1668" w:type="dxa"/>
                                </w:tcPr>
                                <w:p w14:paraId="03B73AA1"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Activation + 0</w:t>
                                  </w:r>
                                  <w:r w:rsidRPr="00D274AB">
                                    <w:rPr>
                                      <w:rFonts w:ascii="Calibri" w:hAnsi="Calibri"/>
                                      <w:color w:val="000000" w:themeColor="text1"/>
                                      <w:sz w:val="22"/>
                                      <w:szCs w:val="22"/>
                                    </w:rPr>
                                    <w:noBreakHyphen/>
                                    <w:t>48 hours</w:t>
                                  </w:r>
                                </w:p>
                              </w:tc>
                              <w:tc>
                                <w:tcPr>
                                  <w:tcW w:w="6685" w:type="dxa"/>
                                </w:tcPr>
                                <w:p w14:paraId="2750F254" w14:textId="737656C4"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 xml:space="preserve">Response Committee (comprised of one representative of each pre-selected NGO, the </w:t>
                                  </w:r>
                                  <w:r>
                                    <w:rPr>
                                      <w:rFonts w:ascii="Calibri" w:hAnsi="Calibri"/>
                                      <w:color w:val="000000" w:themeColor="text1"/>
                                      <w:sz w:val="22"/>
                                      <w:szCs w:val="22"/>
                                    </w:rPr>
                                    <w:t>Partnership</w:t>
                                  </w:r>
                                  <w:r w:rsidRPr="00D274AB">
                                    <w:rPr>
                                      <w:rFonts w:ascii="Calibri" w:hAnsi="Calibri"/>
                                      <w:color w:val="000000" w:themeColor="text1"/>
                                      <w:sz w:val="22"/>
                                      <w:szCs w:val="22"/>
                                    </w:rPr>
                                    <w:t xml:space="preserve"> Director, an HRG representative and an independent technical expert) meets to agree allocation of funds between the few NGOs best placed to respond. Allocation decisions will be made with reference to </w:t>
                                  </w:r>
                                  <w:r>
                                    <w:rPr>
                                      <w:rFonts w:ascii="Calibri" w:hAnsi="Calibri"/>
                                      <w:color w:val="000000" w:themeColor="text1"/>
                                      <w:sz w:val="22"/>
                                      <w:szCs w:val="22"/>
                                    </w:rPr>
                                    <w:t xml:space="preserve">individual proposals, </w:t>
                                  </w:r>
                                  <w:r w:rsidRPr="00D274AB">
                                    <w:rPr>
                                      <w:rFonts w:ascii="Calibri" w:hAnsi="Calibri"/>
                                      <w:color w:val="000000" w:themeColor="text1"/>
                                      <w:sz w:val="22"/>
                                      <w:szCs w:val="22"/>
                                    </w:rPr>
                                    <w:t xml:space="preserve">the pre-agreed capability map and MEL documentation from previous activations. Voting will be equally weighted among Response Committee members. </w:t>
                                  </w:r>
                                </w:p>
                                <w:p w14:paraId="676D5110" w14:textId="77777777" w:rsidR="001C5460" w:rsidRPr="00D274AB" w:rsidRDefault="001C5460" w:rsidP="0076267F">
                                  <w:pPr>
                                    <w:rPr>
                                      <w:rFonts w:ascii="Calibri" w:hAnsi="Calibri"/>
                                      <w:color w:val="000000" w:themeColor="text1"/>
                                      <w:sz w:val="22"/>
                                      <w:szCs w:val="22"/>
                                    </w:rPr>
                                  </w:pPr>
                                </w:p>
                              </w:tc>
                            </w:tr>
                            <w:tr w:rsidR="001C5460" w:rsidRPr="00D274AB" w14:paraId="5F4506ED" w14:textId="77777777" w:rsidTr="006277E0">
                              <w:tc>
                                <w:tcPr>
                                  <w:tcW w:w="1668" w:type="dxa"/>
                                </w:tcPr>
                                <w:p w14:paraId="0D2F62E2"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Activation + 48 hours</w:t>
                                  </w:r>
                                </w:p>
                              </w:tc>
                              <w:tc>
                                <w:tcPr>
                                  <w:tcW w:w="6685" w:type="dxa"/>
                                </w:tcPr>
                                <w:p w14:paraId="40308144" w14:textId="77777777" w:rsidR="001C5460" w:rsidRDefault="001C5460" w:rsidP="008303E9">
                                  <w:pPr>
                                    <w:rPr>
                                      <w:rFonts w:ascii="Calibri" w:hAnsi="Calibri"/>
                                      <w:color w:val="000000" w:themeColor="text1"/>
                                      <w:sz w:val="22"/>
                                      <w:szCs w:val="22"/>
                                    </w:rPr>
                                  </w:pPr>
                                  <w:r>
                                    <w:rPr>
                                      <w:rFonts w:ascii="Calibri" w:hAnsi="Calibri"/>
                                      <w:color w:val="000000" w:themeColor="text1"/>
                                      <w:sz w:val="22"/>
                                      <w:szCs w:val="22"/>
                                    </w:rPr>
                                    <w:t>Partnership</w:t>
                                  </w:r>
                                  <w:r w:rsidRPr="00D274AB">
                                    <w:rPr>
                                      <w:rFonts w:ascii="Calibri" w:hAnsi="Calibri"/>
                                      <w:color w:val="000000" w:themeColor="text1"/>
                                      <w:sz w:val="22"/>
                                      <w:szCs w:val="22"/>
                                    </w:rPr>
                                    <w:t xml:space="preserve"> Director submits a concise Consolida</w:t>
                                  </w:r>
                                  <w:r>
                                    <w:rPr>
                                      <w:rFonts w:ascii="Calibri" w:hAnsi="Calibri"/>
                                      <w:color w:val="000000" w:themeColor="text1"/>
                                      <w:sz w:val="22"/>
                                      <w:szCs w:val="22"/>
                                    </w:rPr>
                                    <w:t>ted Proposal to DFAT</w:t>
                                  </w:r>
                                </w:p>
                                <w:p w14:paraId="1FDBEBAA" w14:textId="77777777" w:rsidR="001C5460" w:rsidRDefault="001C5460" w:rsidP="008303E9">
                                  <w:pPr>
                                    <w:rPr>
                                      <w:rFonts w:ascii="Calibri" w:hAnsi="Calibri"/>
                                      <w:color w:val="000000" w:themeColor="text1"/>
                                      <w:sz w:val="22"/>
                                      <w:szCs w:val="22"/>
                                    </w:rPr>
                                  </w:pPr>
                                </w:p>
                                <w:p w14:paraId="5AED5E3C" w14:textId="5753AD69" w:rsidR="001C5460" w:rsidRPr="00D274AB" w:rsidRDefault="001C5460" w:rsidP="008303E9">
                                  <w:pPr>
                                    <w:rPr>
                                      <w:rFonts w:ascii="Calibri" w:hAnsi="Calibri"/>
                                      <w:color w:val="000000" w:themeColor="text1"/>
                                      <w:sz w:val="22"/>
                                      <w:szCs w:val="22"/>
                                    </w:rPr>
                                  </w:pPr>
                                </w:p>
                              </w:tc>
                            </w:tr>
                            <w:tr w:rsidR="001C5460" w:rsidRPr="00D274AB" w14:paraId="02174B33" w14:textId="77777777" w:rsidTr="006277E0">
                              <w:tc>
                                <w:tcPr>
                                  <w:tcW w:w="1668" w:type="dxa"/>
                                </w:tcPr>
                                <w:p w14:paraId="762797D9"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 xml:space="preserve">Activation + </w:t>
                                  </w:r>
                                  <w:r>
                                    <w:rPr>
                                      <w:rFonts w:ascii="Calibri" w:hAnsi="Calibri"/>
                                      <w:color w:val="000000" w:themeColor="text1"/>
                                      <w:sz w:val="22"/>
                                      <w:szCs w:val="22"/>
                                    </w:rPr>
                                    <w:t>48</w:t>
                                  </w:r>
                                  <w:r>
                                    <w:rPr>
                                      <w:rFonts w:ascii="Calibri" w:hAnsi="Calibri"/>
                                      <w:color w:val="000000" w:themeColor="text1"/>
                                      <w:sz w:val="22"/>
                                      <w:szCs w:val="22"/>
                                    </w:rPr>
                                    <w:noBreakHyphen/>
                                  </w:r>
                                  <w:r w:rsidRPr="00D274AB">
                                    <w:rPr>
                                      <w:rFonts w:ascii="Calibri" w:hAnsi="Calibri"/>
                                      <w:color w:val="000000" w:themeColor="text1"/>
                                      <w:sz w:val="22"/>
                                      <w:szCs w:val="22"/>
                                    </w:rPr>
                                    <w:t>72 hours</w:t>
                                  </w:r>
                                </w:p>
                              </w:tc>
                              <w:tc>
                                <w:tcPr>
                                  <w:tcW w:w="6685" w:type="dxa"/>
                                </w:tcPr>
                                <w:p w14:paraId="62FD6100" w14:textId="1DEB934B"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DFAT approves the Consolidated Proposal</w:t>
                                  </w:r>
                                  <w:r>
                                    <w:rPr>
                                      <w:rFonts w:ascii="Calibri" w:hAnsi="Calibri"/>
                                      <w:color w:val="000000" w:themeColor="text1"/>
                                      <w:sz w:val="22"/>
                                      <w:szCs w:val="22"/>
                                    </w:rPr>
                                    <w:t xml:space="preserve"> and prepares a contract with the Support Unit and disburses funds to the Unit</w:t>
                                  </w:r>
                                </w:p>
                                <w:p w14:paraId="2D7F2766" w14:textId="77777777" w:rsidR="001C5460" w:rsidRPr="00D274AB" w:rsidRDefault="001C5460" w:rsidP="0076267F">
                                  <w:pPr>
                                    <w:rPr>
                                      <w:rFonts w:ascii="Calibri" w:hAnsi="Calibri"/>
                                      <w:color w:val="000000" w:themeColor="text1"/>
                                      <w:sz w:val="22"/>
                                      <w:szCs w:val="22"/>
                                    </w:rPr>
                                  </w:pPr>
                                </w:p>
                              </w:tc>
                            </w:tr>
                            <w:tr w:rsidR="001C5460" w:rsidRPr="00D274AB" w14:paraId="71A638AA" w14:textId="77777777" w:rsidTr="006277E0">
                              <w:tc>
                                <w:tcPr>
                                  <w:tcW w:w="1668" w:type="dxa"/>
                                </w:tcPr>
                                <w:p w14:paraId="52ACA085"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Activation + 1 week</w:t>
                                  </w:r>
                                </w:p>
                              </w:tc>
                              <w:tc>
                                <w:tcPr>
                                  <w:tcW w:w="6685" w:type="dxa"/>
                                </w:tcPr>
                                <w:p w14:paraId="4396E29D" w14:textId="717E61E9" w:rsidR="001C5460" w:rsidRPr="00D274AB" w:rsidRDefault="001C5460" w:rsidP="0076267F">
                                  <w:pPr>
                                    <w:rPr>
                                      <w:rFonts w:ascii="Calibri" w:hAnsi="Calibri"/>
                                      <w:color w:val="000000" w:themeColor="text1"/>
                                      <w:sz w:val="22"/>
                                      <w:szCs w:val="22"/>
                                    </w:rPr>
                                  </w:pPr>
                                  <w:r>
                                    <w:rPr>
                                      <w:rFonts w:ascii="Calibri" w:hAnsi="Calibri"/>
                                      <w:color w:val="000000" w:themeColor="text1"/>
                                      <w:sz w:val="22"/>
                                      <w:szCs w:val="22"/>
                                    </w:rPr>
                                    <w:t>The Support Unit</w:t>
                                  </w:r>
                                  <w:r w:rsidRPr="00D274AB">
                                    <w:rPr>
                                      <w:rFonts w:ascii="Calibri" w:hAnsi="Calibri"/>
                                      <w:color w:val="000000" w:themeColor="text1"/>
                                      <w:sz w:val="22"/>
                                      <w:szCs w:val="22"/>
                                    </w:rPr>
                                    <w:t xml:space="preserve"> prepares contracts with relevant NGOs, using pre-agreed templates, and disburses funds</w:t>
                                  </w:r>
                                  <w:r>
                                    <w:rPr>
                                      <w:rFonts w:ascii="Calibri" w:hAnsi="Calibri"/>
                                      <w:color w:val="000000" w:themeColor="text1"/>
                                      <w:sz w:val="22"/>
                                      <w:szCs w:val="22"/>
                                    </w:rPr>
                                    <w:t xml:space="preserve"> to the relevant NGOs</w:t>
                                  </w:r>
                                </w:p>
                                <w:p w14:paraId="0E8078C8" w14:textId="77777777" w:rsidR="001C5460" w:rsidRPr="00D274AB" w:rsidRDefault="001C5460" w:rsidP="0076267F">
                                  <w:pPr>
                                    <w:rPr>
                                      <w:rFonts w:ascii="Calibri" w:hAnsi="Calibri"/>
                                      <w:color w:val="000000" w:themeColor="text1"/>
                                      <w:sz w:val="22"/>
                                      <w:szCs w:val="22"/>
                                    </w:rPr>
                                  </w:pPr>
                                </w:p>
                              </w:tc>
                            </w:tr>
                            <w:tr w:rsidR="001C5460" w:rsidRPr="00D274AB" w14:paraId="0BE14EE5" w14:textId="77777777" w:rsidTr="006277E0">
                              <w:tc>
                                <w:tcPr>
                                  <w:tcW w:w="1668" w:type="dxa"/>
                                </w:tcPr>
                                <w:p w14:paraId="10D8D1D0"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Activation + 8 weeks</w:t>
                                  </w:r>
                                </w:p>
                              </w:tc>
                              <w:tc>
                                <w:tcPr>
                                  <w:tcW w:w="6685" w:type="dxa"/>
                                </w:tcPr>
                                <w:p w14:paraId="68F5DC5F"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 xml:space="preserve">Support Unit collates </w:t>
                                  </w:r>
                                  <w:r>
                                    <w:rPr>
                                      <w:rFonts w:ascii="Calibri" w:hAnsi="Calibri"/>
                                      <w:color w:val="000000" w:themeColor="text1"/>
                                      <w:sz w:val="22"/>
                                      <w:szCs w:val="22"/>
                                    </w:rPr>
                                    <w:t xml:space="preserve">funded </w:t>
                                  </w:r>
                                  <w:r w:rsidRPr="00D274AB">
                                    <w:rPr>
                                      <w:rFonts w:ascii="Calibri" w:hAnsi="Calibri"/>
                                      <w:color w:val="000000" w:themeColor="text1"/>
                                      <w:sz w:val="22"/>
                                      <w:szCs w:val="22"/>
                                    </w:rPr>
                                    <w:t xml:space="preserve">NGOs' Implementation Plans and submits to </w:t>
                                  </w:r>
                                  <w:r>
                                    <w:rPr>
                                      <w:rFonts w:ascii="Calibri" w:hAnsi="Calibri"/>
                                      <w:color w:val="000000" w:themeColor="text1"/>
                                      <w:sz w:val="22"/>
                                      <w:szCs w:val="22"/>
                                    </w:rPr>
                                    <w:t>DFAT.</w:t>
                                  </w:r>
                                  <w:r w:rsidRPr="00D274AB">
                                    <w:rPr>
                                      <w:rFonts w:ascii="Calibri" w:hAnsi="Calibri"/>
                                      <w:color w:val="000000" w:themeColor="text1"/>
                                      <w:sz w:val="22"/>
                                      <w:szCs w:val="22"/>
                                    </w:rPr>
                                    <w:t xml:space="preserve"> Adjustments to activities are permitted up to this point in response to changing operational context, with written justification for changes to be included in the Implementation Plan</w:t>
                                  </w:r>
                                </w:p>
                                <w:p w14:paraId="3B14111D" w14:textId="77777777" w:rsidR="001C5460" w:rsidRPr="00D274AB" w:rsidRDefault="001C5460" w:rsidP="0076267F">
                                  <w:pPr>
                                    <w:rPr>
                                      <w:rFonts w:ascii="Calibri" w:hAnsi="Calibri"/>
                                      <w:color w:val="000000" w:themeColor="text1"/>
                                      <w:sz w:val="22"/>
                                      <w:szCs w:val="22"/>
                                    </w:rPr>
                                  </w:pPr>
                                </w:p>
                              </w:tc>
                            </w:tr>
                            <w:tr w:rsidR="001C5460" w:rsidRPr="00D274AB" w14:paraId="6A79B6E4" w14:textId="77777777" w:rsidTr="006277E0">
                              <w:tc>
                                <w:tcPr>
                                  <w:tcW w:w="1668" w:type="dxa"/>
                                </w:tcPr>
                                <w:p w14:paraId="5D9C53FF" w14:textId="77777777" w:rsidR="001C5460" w:rsidRPr="00D274AB" w:rsidRDefault="001C5460" w:rsidP="0076267F">
                                  <w:pPr>
                                    <w:rPr>
                                      <w:rFonts w:ascii="Calibri" w:hAnsi="Calibri"/>
                                      <w:color w:val="000000" w:themeColor="text1"/>
                                      <w:sz w:val="22"/>
                                      <w:szCs w:val="22"/>
                                    </w:rPr>
                                  </w:pPr>
                                  <w:r>
                                    <w:rPr>
                                      <w:rFonts w:ascii="Calibri" w:hAnsi="Calibri"/>
                                      <w:color w:val="000000" w:themeColor="text1"/>
                                      <w:sz w:val="22"/>
                                      <w:szCs w:val="22"/>
                                    </w:rPr>
                                    <w:t>Activation + 2</w:t>
                                  </w:r>
                                  <w:r>
                                    <w:rPr>
                                      <w:rFonts w:ascii="Calibri" w:hAnsi="Calibri"/>
                                      <w:color w:val="000000" w:themeColor="text1"/>
                                      <w:sz w:val="22"/>
                                      <w:szCs w:val="22"/>
                                    </w:rPr>
                                    <w:noBreakHyphen/>
                                  </w:r>
                                  <w:r w:rsidRPr="00D274AB">
                                    <w:rPr>
                                      <w:rFonts w:ascii="Calibri" w:hAnsi="Calibri"/>
                                      <w:color w:val="000000" w:themeColor="text1"/>
                                      <w:sz w:val="22"/>
                                      <w:szCs w:val="22"/>
                                    </w:rPr>
                                    <w:t>12 months</w:t>
                                  </w:r>
                                </w:p>
                              </w:tc>
                              <w:tc>
                                <w:tcPr>
                                  <w:tcW w:w="6685" w:type="dxa"/>
                                </w:tcPr>
                                <w:p w14:paraId="514F4F4D" w14:textId="187F144B"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Support Unit works with DFAT to meet reporting and public communication requirements. Support Unit collates and submits final NGO reports to DFAT</w:t>
                                  </w:r>
                                </w:p>
                                <w:p w14:paraId="6AA22BDD" w14:textId="77777777" w:rsidR="001C5460" w:rsidRPr="00D274AB" w:rsidRDefault="001C5460" w:rsidP="0076267F">
                                  <w:pPr>
                                    <w:rPr>
                                      <w:rFonts w:ascii="Calibri" w:hAnsi="Calibri"/>
                                      <w:color w:val="000000" w:themeColor="text1"/>
                                      <w:sz w:val="22"/>
                                      <w:szCs w:val="22"/>
                                    </w:rPr>
                                  </w:pPr>
                                </w:p>
                              </w:tc>
                            </w:tr>
                            <w:tr w:rsidR="001C5460" w:rsidRPr="00D274AB" w14:paraId="67CB4446" w14:textId="77777777" w:rsidTr="006277E0">
                              <w:tc>
                                <w:tcPr>
                                  <w:tcW w:w="1668" w:type="dxa"/>
                                </w:tcPr>
                                <w:p w14:paraId="5A6A4176"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Subsequently</w:t>
                                  </w:r>
                                </w:p>
                              </w:tc>
                              <w:tc>
                                <w:tcPr>
                                  <w:tcW w:w="6685" w:type="dxa"/>
                                </w:tcPr>
                                <w:p w14:paraId="395E36A4"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 xml:space="preserve">Support Unit, in collaboration with ACFID and HRG </w:t>
                                  </w:r>
                                  <w:r>
                                    <w:rPr>
                                      <w:rFonts w:ascii="Calibri" w:hAnsi="Calibri"/>
                                      <w:color w:val="000000" w:themeColor="text1"/>
                                      <w:sz w:val="22"/>
                                      <w:szCs w:val="22"/>
                                    </w:rPr>
                                    <w:t>Co-</w:t>
                                  </w:r>
                                  <w:r w:rsidRPr="00D274AB">
                                    <w:rPr>
                                      <w:rFonts w:ascii="Calibri" w:hAnsi="Calibri"/>
                                      <w:color w:val="000000" w:themeColor="text1"/>
                                      <w:sz w:val="22"/>
                                      <w:szCs w:val="22"/>
                                    </w:rPr>
                                    <w:t xml:space="preserve">Chairs, facilitates a lesson learning event open to all </w:t>
                                  </w:r>
                                  <w:r>
                                    <w:rPr>
                                      <w:rFonts w:ascii="Calibri" w:hAnsi="Calibri"/>
                                      <w:color w:val="000000" w:themeColor="text1"/>
                                      <w:sz w:val="22"/>
                                      <w:szCs w:val="22"/>
                                    </w:rPr>
                                    <w:t>HRG members</w:t>
                                  </w:r>
                                  <w:r w:rsidRPr="00D274AB">
                                    <w:rPr>
                                      <w:rFonts w:ascii="Calibri" w:hAnsi="Calibri"/>
                                      <w:color w:val="000000" w:themeColor="text1"/>
                                      <w:sz w:val="22"/>
                                      <w:szCs w:val="22"/>
                                    </w:rPr>
                                    <w:t xml:space="preserve"> </w:t>
                                  </w:r>
                                </w:p>
                                <w:p w14:paraId="6E630532" w14:textId="77777777" w:rsidR="001C5460" w:rsidRPr="00D274AB" w:rsidRDefault="001C5460" w:rsidP="0076267F">
                                  <w:pPr>
                                    <w:rPr>
                                      <w:rFonts w:ascii="Calibri" w:hAnsi="Calibri"/>
                                      <w:color w:val="000000" w:themeColor="text1"/>
                                      <w:sz w:val="22"/>
                                      <w:szCs w:val="22"/>
                                    </w:rPr>
                                  </w:pPr>
                                </w:p>
                              </w:tc>
                            </w:tr>
                            <w:tr w:rsidR="001C5460" w:rsidRPr="00D274AB" w14:paraId="0BC94478" w14:textId="77777777" w:rsidTr="006277E0">
                              <w:tc>
                                <w:tcPr>
                                  <w:tcW w:w="1668" w:type="dxa"/>
                                </w:tcPr>
                                <w:p w14:paraId="7C072E08"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Subsequently</w:t>
                                  </w:r>
                                </w:p>
                              </w:tc>
                              <w:tc>
                                <w:tcPr>
                                  <w:tcW w:w="6685" w:type="dxa"/>
                                </w:tcPr>
                                <w:p w14:paraId="3A7DEBBB" w14:textId="77777777" w:rsidR="001C5460" w:rsidRPr="00D274AB" w:rsidRDefault="001C5460" w:rsidP="008659E6">
                                  <w:pPr>
                                    <w:rPr>
                                      <w:rFonts w:ascii="Calibri" w:hAnsi="Calibri"/>
                                      <w:color w:val="000000" w:themeColor="text1"/>
                                      <w:sz w:val="22"/>
                                      <w:szCs w:val="22"/>
                                    </w:rPr>
                                  </w:pPr>
                                  <w:r w:rsidRPr="00D274AB">
                                    <w:rPr>
                                      <w:rFonts w:ascii="Calibri" w:hAnsi="Calibri"/>
                                      <w:color w:val="000000" w:themeColor="text1"/>
                                      <w:sz w:val="22"/>
                                      <w:szCs w:val="22"/>
                                    </w:rPr>
                                    <w:t xml:space="preserve">Lesson learning report distributed to all </w:t>
                                  </w:r>
                                  <w:r>
                                    <w:rPr>
                                      <w:rFonts w:ascii="Calibri" w:hAnsi="Calibri"/>
                                      <w:color w:val="000000" w:themeColor="text1"/>
                                      <w:sz w:val="22"/>
                                      <w:szCs w:val="22"/>
                                    </w:rPr>
                                    <w:t>HRG</w:t>
                                  </w:r>
                                  <w:r w:rsidRPr="00D274AB">
                                    <w:rPr>
                                      <w:rFonts w:ascii="Calibri" w:hAnsi="Calibri"/>
                                      <w:color w:val="000000" w:themeColor="text1"/>
                                      <w:sz w:val="22"/>
                                      <w:szCs w:val="22"/>
                                    </w:rPr>
                                    <w:t xml:space="preserve"> members </w:t>
                                  </w:r>
                                  <w:r>
                                    <w:rPr>
                                      <w:rFonts w:ascii="Calibri" w:hAnsi="Calibri"/>
                                      <w:color w:val="000000" w:themeColor="text1"/>
                                      <w:sz w:val="22"/>
                                      <w:szCs w:val="22"/>
                                    </w:rPr>
                                    <w:t>and shared with local implementing partners.</w:t>
                                  </w:r>
                                </w:p>
                              </w:tc>
                            </w:tr>
                          </w:tbl>
                          <w:p w14:paraId="435479C6" w14:textId="77777777" w:rsidR="001C5460" w:rsidRPr="00D274AB" w:rsidRDefault="001C5460" w:rsidP="00B670D5">
                            <w:pPr>
                              <w:rPr>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15pt;margin-top:-3.8pt;width:436.2pt;height:5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" fillcolor="#a7bfde [1620]" strokecolor="#4579b8 [3044]" strokeweight="1.5pt">
                <v:fill color2="#e4ecf5 [500]" rotate="t" angle="180" colors="0 #a3c4ff;22938f #bfd5ff;1 #e5eeff" focus="100%" type="gradient"/>
                <v:shadow on="t" color="black" opacity="24903f" origin=",.5" offset="0,.55556mm"/>
                <v:textbox>
                  <w:txbxContent>
                    <w:p w14:paraId="5EA7C946" w14:textId="77777777" w:rsidR="001C5460" w:rsidRPr="00D274AB" w:rsidRDefault="001C5460" w:rsidP="0076267F">
                      <w:pPr>
                        <w:rPr>
                          <w:rFonts w:ascii="Calibri" w:hAnsi="Calibri"/>
                          <w:b/>
                          <w:color w:val="000000" w:themeColor="text1"/>
                          <w:sz w:val="22"/>
                          <w:szCs w:val="22"/>
                        </w:rPr>
                      </w:pPr>
                      <w:r w:rsidRPr="00D274AB">
                        <w:rPr>
                          <w:rFonts w:ascii="Calibri" w:hAnsi="Calibri"/>
                          <w:b/>
                          <w:color w:val="000000" w:themeColor="text1"/>
                          <w:sz w:val="22"/>
                          <w:szCs w:val="22"/>
                        </w:rPr>
                        <w:t xml:space="preserve">Activation of Rapid Response </w:t>
                      </w:r>
                      <w:r>
                        <w:rPr>
                          <w:rFonts w:ascii="Calibri" w:hAnsi="Calibri"/>
                          <w:b/>
                          <w:color w:val="000000" w:themeColor="text1"/>
                          <w:sz w:val="22"/>
                          <w:szCs w:val="22"/>
                        </w:rPr>
                        <w:t>Funding</w:t>
                      </w:r>
                    </w:p>
                    <w:p w14:paraId="65E15DD7" w14:textId="77777777" w:rsidR="001C5460" w:rsidRPr="00D274AB" w:rsidRDefault="001C5460" w:rsidP="0076267F">
                      <w:pPr>
                        <w:rPr>
                          <w:rFonts w:ascii="Calibri" w:hAnsi="Calibr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85"/>
                      </w:tblGrid>
                      <w:tr w:rsidR="001C5460" w:rsidRPr="00D274AB" w14:paraId="27C210DB" w14:textId="77777777" w:rsidTr="00C318DA">
                        <w:trPr>
                          <w:trHeight w:val="341"/>
                        </w:trPr>
                        <w:tc>
                          <w:tcPr>
                            <w:tcW w:w="1668" w:type="dxa"/>
                          </w:tcPr>
                          <w:p w14:paraId="11D9F207"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Crisis</w:t>
                            </w:r>
                          </w:p>
                        </w:tc>
                        <w:tc>
                          <w:tcPr>
                            <w:tcW w:w="6685" w:type="dxa"/>
                          </w:tcPr>
                          <w:p w14:paraId="71269FC0"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Crisis event occurs</w:t>
                            </w:r>
                          </w:p>
                          <w:p w14:paraId="71CB8534" w14:textId="77777777" w:rsidR="001C5460" w:rsidRPr="00D274AB" w:rsidRDefault="001C5460" w:rsidP="0076267F">
                            <w:pPr>
                              <w:rPr>
                                <w:rFonts w:ascii="Calibri" w:hAnsi="Calibri"/>
                                <w:color w:val="000000" w:themeColor="text1"/>
                                <w:sz w:val="22"/>
                                <w:szCs w:val="22"/>
                              </w:rPr>
                            </w:pPr>
                          </w:p>
                        </w:tc>
                      </w:tr>
                      <w:tr w:rsidR="001C5460" w:rsidRPr="00D274AB" w14:paraId="1F290526" w14:textId="77777777" w:rsidTr="006277E0">
                        <w:tc>
                          <w:tcPr>
                            <w:tcW w:w="1668" w:type="dxa"/>
                          </w:tcPr>
                          <w:p w14:paraId="5B0D69DD"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Activation</w:t>
                            </w:r>
                          </w:p>
                        </w:tc>
                        <w:tc>
                          <w:tcPr>
                            <w:tcW w:w="6685" w:type="dxa"/>
                          </w:tcPr>
                          <w:p w14:paraId="2CA327FE" w14:textId="5D005BEF"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 xml:space="preserve">Foreign Minister </w:t>
                            </w:r>
                            <w:r>
                              <w:rPr>
                                <w:rFonts w:ascii="Calibri" w:hAnsi="Calibri"/>
                                <w:color w:val="000000" w:themeColor="text1"/>
                                <w:sz w:val="22"/>
                                <w:szCs w:val="22"/>
                              </w:rPr>
                              <w:t>approves</w:t>
                            </w:r>
                            <w:r w:rsidRPr="00D274AB">
                              <w:rPr>
                                <w:rFonts w:ascii="Calibri" w:hAnsi="Calibri"/>
                                <w:color w:val="000000" w:themeColor="text1"/>
                                <w:sz w:val="22"/>
                                <w:szCs w:val="22"/>
                              </w:rPr>
                              <w:t xml:space="preserve"> </w:t>
                            </w:r>
                            <w:r>
                              <w:rPr>
                                <w:rFonts w:ascii="Calibri" w:hAnsi="Calibri"/>
                                <w:color w:val="000000" w:themeColor="text1"/>
                                <w:sz w:val="22"/>
                                <w:szCs w:val="22"/>
                              </w:rPr>
                              <w:t>r</w:t>
                            </w:r>
                            <w:r w:rsidRPr="00D274AB">
                              <w:rPr>
                                <w:rFonts w:ascii="Calibri" w:hAnsi="Calibri"/>
                                <w:color w:val="000000" w:themeColor="text1"/>
                                <w:sz w:val="22"/>
                                <w:szCs w:val="22"/>
                              </w:rPr>
                              <w:t>apid</w:t>
                            </w:r>
                            <w:r>
                              <w:rPr>
                                <w:rFonts w:ascii="Calibri" w:hAnsi="Calibri"/>
                                <w:color w:val="000000" w:themeColor="text1"/>
                                <w:sz w:val="22"/>
                                <w:szCs w:val="22"/>
                              </w:rPr>
                              <w:t xml:space="preserve"> r</w:t>
                            </w:r>
                            <w:r w:rsidRPr="00D274AB">
                              <w:rPr>
                                <w:rFonts w:ascii="Calibri" w:hAnsi="Calibri"/>
                                <w:color w:val="000000" w:themeColor="text1"/>
                                <w:sz w:val="22"/>
                                <w:szCs w:val="22"/>
                              </w:rPr>
                              <w:t xml:space="preserve">esponse </w:t>
                            </w:r>
                            <w:r>
                              <w:rPr>
                                <w:rFonts w:ascii="Calibri" w:hAnsi="Calibri"/>
                                <w:color w:val="000000" w:themeColor="text1"/>
                                <w:sz w:val="22"/>
                                <w:szCs w:val="22"/>
                              </w:rPr>
                              <w:t>funding</w:t>
                            </w:r>
                            <w:r w:rsidRPr="00D274AB">
                              <w:rPr>
                                <w:rFonts w:ascii="Calibri" w:hAnsi="Calibri"/>
                                <w:color w:val="000000" w:themeColor="text1"/>
                                <w:sz w:val="22"/>
                                <w:szCs w:val="22"/>
                              </w:rPr>
                              <w:t xml:space="preserve">, and DFAT advises </w:t>
                            </w:r>
                            <w:r>
                              <w:rPr>
                                <w:rFonts w:ascii="Calibri" w:hAnsi="Calibri"/>
                                <w:color w:val="000000" w:themeColor="text1"/>
                                <w:sz w:val="22"/>
                                <w:szCs w:val="22"/>
                              </w:rPr>
                              <w:t>HRG members</w:t>
                            </w:r>
                            <w:r w:rsidRPr="00D274AB">
                              <w:rPr>
                                <w:rFonts w:ascii="Calibri" w:hAnsi="Calibri"/>
                                <w:color w:val="000000" w:themeColor="text1"/>
                                <w:sz w:val="22"/>
                                <w:szCs w:val="22"/>
                              </w:rPr>
                              <w:t xml:space="preserve"> of available funding envelope</w:t>
                            </w:r>
                          </w:p>
                          <w:p w14:paraId="0A41F38C" w14:textId="77777777" w:rsidR="001C5460" w:rsidRPr="00D274AB" w:rsidRDefault="001C5460" w:rsidP="0076267F">
                            <w:pPr>
                              <w:rPr>
                                <w:rFonts w:ascii="Calibri" w:hAnsi="Calibri"/>
                                <w:color w:val="000000" w:themeColor="text1"/>
                                <w:sz w:val="22"/>
                                <w:szCs w:val="22"/>
                              </w:rPr>
                            </w:pPr>
                          </w:p>
                        </w:tc>
                      </w:tr>
                      <w:tr w:rsidR="001C5460" w:rsidRPr="00D274AB" w14:paraId="67CBB6C4" w14:textId="77777777" w:rsidTr="006277E0">
                        <w:tc>
                          <w:tcPr>
                            <w:tcW w:w="1668" w:type="dxa"/>
                          </w:tcPr>
                          <w:p w14:paraId="03B73AA1"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Activation + 0</w:t>
                            </w:r>
                            <w:r w:rsidRPr="00D274AB">
                              <w:rPr>
                                <w:rFonts w:ascii="Calibri" w:hAnsi="Calibri"/>
                                <w:color w:val="000000" w:themeColor="text1"/>
                                <w:sz w:val="22"/>
                                <w:szCs w:val="22"/>
                              </w:rPr>
                              <w:noBreakHyphen/>
                              <w:t>48 hours</w:t>
                            </w:r>
                          </w:p>
                        </w:tc>
                        <w:tc>
                          <w:tcPr>
                            <w:tcW w:w="6685" w:type="dxa"/>
                          </w:tcPr>
                          <w:p w14:paraId="2750F254" w14:textId="737656C4"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 xml:space="preserve">Response Committee (comprised of one representative of each pre-selected NGO, the </w:t>
                            </w:r>
                            <w:r>
                              <w:rPr>
                                <w:rFonts w:ascii="Calibri" w:hAnsi="Calibri"/>
                                <w:color w:val="000000" w:themeColor="text1"/>
                                <w:sz w:val="22"/>
                                <w:szCs w:val="22"/>
                              </w:rPr>
                              <w:t>Partnership</w:t>
                            </w:r>
                            <w:r w:rsidRPr="00D274AB">
                              <w:rPr>
                                <w:rFonts w:ascii="Calibri" w:hAnsi="Calibri"/>
                                <w:color w:val="000000" w:themeColor="text1"/>
                                <w:sz w:val="22"/>
                                <w:szCs w:val="22"/>
                              </w:rPr>
                              <w:t xml:space="preserve"> Director, an HRG representative and an independent technical expert) meets to agree allocation of funds between the few NGOs best placed to respond. Allocation decisions will be made with reference to </w:t>
                            </w:r>
                            <w:r>
                              <w:rPr>
                                <w:rFonts w:ascii="Calibri" w:hAnsi="Calibri"/>
                                <w:color w:val="000000" w:themeColor="text1"/>
                                <w:sz w:val="22"/>
                                <w:szCs w:val="22"/>
                              </w:rPr>
                              <w:t xml:space="preserve">individual proposals, </w:t>
                            </w:r>
                            <w:r w:rsidRPr="00D274AB">
                              <w:rPr>
                                <w:rFonts w:ascii="Calibri" w:hAnsi="Calibri"/>
                                <w:color w:val="000000" w:themeColor="text1"/>
                                <w:sz w:val="22"/>
                                <w:szCs w:val="22"/>
                              </w:rPr>
                              <w:t xml:space="preserve">the pre-agreed capability map and MEL documentation from previous activations. Voting will be equally weighted among Response Committee members. </w:t>
                            </w:r>
                          </w:p>
                          <w:p w14:paraId="676D5110" w14:textId="77777777" w:rsidR="001C5460" w:rsidRPr="00D274AB" w:rsidRDefault="001C5460" w:rsidP="0076267F">
                            <w:pPr>
                              <w:rPr>
                                <w:rFonts w:ascii="Calibri" w:hAnsi="Calibri"/>
                                <w:color w:val="000000" w:themeColor="text1"/>
                                <w:sz w:val="22"/>
                                <w:szCs w:val="22"/>
                              </w:rPr>
                            </w:pPr>
                          </w:p>
                        </w:tc>
                      </w:tr>
                      <w:tr w:rsidR="001C5460" w:rsidRPr="00D274AB" w14:paraId="5F4506ED" w14:textId="77777777" w:rsidTr="006277E0">
                        <w:tc>
                          <w:tcPr>
                            <w:tcW w:w="1668" w:type="dxa"/>
                          </w:tcPr>
                          <w:p w14:paraId="0D2F62E2"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Activation + 48 hours</w:t>
                            </w:r>
                          </w:p>
                        </w:tc>
                        <w:tc>
                          <w:tcPr>
                            <w:tcW w:w="6685" w:type="dxa"/>
                          </w:tcPr>
                          <w:p w14:paraId="40308144" w14:textId="77777777" w:rsidR="001C5460" w:rsidRDefault="001C5460" w:rsidP="008303E9">
                            <w:pPr>
                              <w:rPr>
                                <w:rFonts w:ascii="Calibri" w:hAnsi="Calibri"/>
                                <w:color w:val="000000" w:themeColor="text1"/>
                                <w:sz w:val="22"/>
                                <w:szCs w:val="22"/>
                              </w:rPr>
                            </w:pPr>
                            <w:r>
                              <w:rPr>
                                <w:rFonts w:ascii="Calibri" w:hAnsi="Calibri"/>
                                <w:color w:val="000000" w:themeColor="text1"/>
                                <w:sz w:val="22"/>
                                <w:szCs w:val="22"/>
                              </w:rPr>
                              <w:t>Partnership</w:t>
                            </w:r>
                            <w:r w:rsidRPr="00D274AB">
                              <w:rPr>
                                <w:rFonts w:ascii="Calibri" w:hAnsi="Calibri"/>
                                <w:color w:val="000000" w:themeColor="text1"/>
                                <w:sz w:val="22"/>
                                <w:szCs w:val="22"/>
                              </w:rPr>
                              <w:t xml:space="preserve"> Director submits a concise Consolida</w:t>
                            </w:r>
                            <w:r>
                              <w:rPr>
                                <w:rFonts w:ascii="Calibri" w:hAnsi="Calibri"/>
                                <w:color w:val="000000" w:themeColor="text1"/>
                                <w:sz w:val="22"/>
                                <w:szCs w:val="22"/>
                              </w:rPr>
                              <w:t>ted Proposal to DFAT</w:t>
                            </w:r>
                          </w:p>
                          <w:p w14:paraId="1FDBEBAA" w14:textId="77777777" w:rsidR="001C5460" w:rsidRDefault="001C5460" w:rsidP="008303E9">
                            <w:pPr>
                              <w:rPr>
                                <w:rFonts w:ascii="Calibri" w:hAnsi="Calibri"/>
                                <w:color w:val="000000" w:themeColor="text1"/>
                                <w:sz w:val="22"/>
                                <w:szCs w:val="22"/>
                              </w:rPr>
                            </w:pPr>
                          </w:p>
                          <w:p w14:paraId="5AED5E3C" w14:textId="5753AD69" w:rsidR="001C5460" w:rsidRPr="00D274AB" w:rsidRDefault="001C5460" w:rsidP="008303E9">
                            <w:pPr>
                              <w:rPr>
                                <w:rFonts w:ascii="Calibri" w:hAnsi="Calibri"/>
                                <w:color w:val="000000" w:themeColor="text1"/>
                                <w:sz w:val="22"/>
                                <w:szCs w:val="22"/>
                              </w:rPr>
                            </w:pPr>
                          </w:p>
                        </w:tc>
                      </w:tr>
                      <w:tr w:rsidR="001C5460" w:rsidRPr="00D274AB" w14:paraId="02174B33" w14:textId="77777777" w:rsidTr="006277E0">
                        <w:tc>
                          <w:tcPr>
                            <w:tcW w:w="1668" w:type="dxa"/>
                          </w:tcPr>
                          <w:p w14:paraId="762797D9"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 xml:space="preserve">Activation + </w:t>
                            </w:r>
                            <w:r>
                              <w:rPr>
                                <w:rFonts w:ascii="Calibri" w:hAnsi="Calibri"/>
                                <w:color w:val="000000" w:themeColor="text1"/>
                                <w:sz w:val="22"/>
                                <w:szCs w:val="22"/>
                              </w:rPr>
                              <w:t>48</w:t>
                            </w:r>
                            <w:r>
                              <w:rPr>
                                <w:rFonts w:ascii="Calibri" w:hAnsi="Calibri"/>
                                <w:color w:val="000000" w:themeColor="text1"/>
                                <w:sz w:val="22"/>
                                <w:szCs w:val="22"/>
                              </w:rPr>
                              <w:noBreakHyphen/>
                            </w:r>
                            <w:r w:rsidRPr="00D274AB">
                              <w:rPr>
                                <w:rFonts w:ascii="Calibri" w:hAnsi="Calibri"/>
                                <w:color w:val="000000" w:themeColor="text1"/>
                                <w:sz w:val="22"/>
                                <w:szCs w:val="22"/>
                              </w:rPr>
                              <w:t>72 hours</w:t>
                            </w:r>
                          </w:p>
                        </w:tc>
                        <w:tc>
                          <w:tcPr>
                            <w:tcW w:w="6685" w:type="dxa"/>
                          </w:tcPr>
                          <w:p w14:paraId="62FD6100" w14:textId="1DEB934B"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DFAT approves the Consolidated Proposal</w:t>
                            </w:r>
                            <w:r>
                              <w:rPr>
                                <w:rFonts w:ascii="Calibri" w:hAnsi="Calibri"/>
                                <w:color w:val="000000" w:themeColor="text1"/>
                                <w:sz w:val="22"/>
                                <w:szCs w:val="22"/>
                              </w:rPr>
                              <w:t xml:space="preserve"> and prepares a contract with the Support Unit and disburses funds to the Unit</w:t>
                            </w:r>
                          </w:p>
                          <w:p w14:paraId="2D7F2766" w14:textId="77777777" w:rsidR="001C5460" w:rsidRPr="00D274AB" w:rsidRDefault="001C5460" w:rsidP="0076267F">
                            <w:pPr>
                              <w:rPr>
                                <w:rFonts w:ascii="Calibri" w:hAnsi="Calibri"/>
                                <w:color w:val="000000" w:themeColor="text1"/>
                                <w:sz w:val="22"/>
                                <w:szCs w:val="22"/>
                              </w:rPr>
                            </w:pPr>
                          </w:p>
                        </w:tc>
                      </w:tr>
                      <w:tr w:rsidR="001C5460" w:rsidRPr="00D274AB" w14:paraId="71A638AA" w14:textId="77777777" w:rsidTr="006277E0">
                        <w:tc>
                          <w:tcPr>
                            <w:tcW w:w="1668" w:type="dxa"/>
                          </w:tcPr>
                          <w:p w14:paraId="52ACA085"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Activation + 1 week</w:t>
                            </w:r>
                          </w:p>
                        </w:tc>
                        <w:tc>
                          <w:tcPr>
                            <w:tcW w:w="6685" w:type="dxa"/>
                          </w:tcPr>
                          <w:p w14:paraId="4396E29D" w14:textId="717E61E9" w:rsidR="001C5460" w:rsidRPr="00D274AB" w:rsidRDefault="001C5460" w:rsidP="0076267F">
                            <w:pPr>
                              <w:rPr>
                                <w:rFonts w:ascii="Calibri" w:hAnsi="Calibri"/>
                                <w:color w:val="000000" w:themeColor="text1"/>
                                <w:sz w:val="22"/>
                                <w:szCs w:val="22"/>
                              </w:rPr>
                            </w:pPr>
                            <w:r>
                              <w:rPr>
                                <w:rFonts w:ascii="Calibri" w:hAnsi="Calibri"/>
                                <w:color w:val="000000" w:themeColor="text1"/>
                                <w:sz w:val="22"/>
                                <w:szCs w:val="22"/>
                              </w:rPr>
                              <w:t>The Support Unit</w:t>
                            </w:r>
                            <w:r w:rsidRPr="00D274AB">
                              <w:rPr>
                                <w:rFonts w:ascii="Calibri" w:hAnsi="Calibri"/>
                                <w:color w:val="000000" w:themeColor="text1"/>
                                <w:sz w:val="22"/>
                                <w:szCs w:val="22"/>
                              </w:rPr>
                              <w:t xml:space="preserve"> prepares contracts with relevant NGOs, using pre-agreed templates, and disburses funds</w:t>
                            </w:r>
                            <w:r>
                              <w:rPr>
                                <w:rFonts w:ascii="Calibri" w:hAnsi="Calibri"/>
                                <w:color w:val="000000" w:themeColor="text1"/>
                                <w:sz w:val="22"/>
                                <w:szCs w:val="22"/>
                              </w:rPr>
                              <w:t xml:space="preserve"> to the relevant NGOs</w:t>
                            </w:r>
                          </w:p>
                          <w:p w14:paraId="0E8078C8" w14:textId="77777777" w:rsidR="001C5460" w:rsidRPr="00D274AB" w:rsidRDefault="001C5460" w:rsidP="0076267F">
                            <w:pPr>
                              <w:rPr>
                                <w:rFonts w:ascii="Calibri" w:hAnsi="Calibri"/>
                                <w:color w:val="000000" w:themeColor="text1"/>
                                <w:sz w:val="22"/>
                                <w:szCs w:val="22"/>
                              </w:rPr>
                            </w:pPr>
                          </w:p>
                        </w:tc>
                      </w:tr>
                      <w:tr w:rsidR="001C5460" w:rsidRPr="00D274AB" w14:paraId="0BE14EE5" w14:textId="77777777" w:rsidTr="006277E0">
                        <w:tc>
                          <w:tcPr>
                            <w:tcW w:w="1668" w:type="dxa"/>
                          </w:tcPr>
                          <w:p w14:paraId="10D8D1D0"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Activation + 8 weeks</w:t>
                            </w:r>
                          </w:p>
                        </w:tc>
                        <w:tc>
                          <w:tcPr>
                            <w:tcW w:w="6685" w:type="dxa"/>
                          </w:tcPr>
                          <w:p w14:paraId="68F5DC5F"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 xml:space="preserve">Support Unit collates </w:t>
                            </w:r>
                            <w:r>
                              <w:rPr>
                                <w:rFonts w:ascii="Calibri" w:hAnsi="Calibri"/>
                                <w:color w:val="000000" w:themeColor="text1"/>
                                <w:sz w:val="22"/>
                                <w:szCs w:val="22"/>
                              </w:rPr>
                              <w:t xml:space="preserve">funded </w:t>
                            </w:r>
                            <w:r w:rsidRPr="00D274AB">
                              <w:rPr>
                                <w:rFonts w:ascii="Calibri" w:hAnsi="Calibri"/>
                                <w:color w:val="000000" w:themeColor="text1"/>
                                <w:sz w:val="22"/>
                                <w:szCs w:val="22"/>
                              </w:rPr>
                              <w:t xml:space="preserve">NGOs' Implementation Plans and submits to </w:t>
                            </w:r>
                            <w:r>
                              <w:rPr>
                                <w:rFonts w:ascii="Calibri" w:hAnsi="Calibri"/>
                                <w:color w:val="000000" w:themeColor="text1"/>
                                <w:sz w:val="22"/>
                                <w:szCs w:val="22"/>
                              </w:rPr>
                              <w:t>DFAT.</w:t>
                            </w:r>
                            <w:r w:rsidRPr="00D274AB">
                              <w:rPr>
                                <w:rFonts w:ascii="Calibri" w:hAnsi="Calibri"/>
                                <w:color w:val="000000" w:themeColor="text1"/>
                                <w:sz w:val="22"/>
                                <w:szCs w:val="22"/>
                              </w:rPr>
                              <w:t xml:space="preserve"> Adjustments to activities are permitted up to this point in response to changing operational context, with written justification for changes to be included in the Implementation Plan</w:t>
                            </w:r>
                          </w:p>
                          <w:p w14:paraId="3B14111D" w14:textId="77777777" w:rsidR="001C5460" w:rsidRPr="00D274AB" w:rsidRDefault="001C5460" w:rsidP="0076267F">
                            <w:pPr>
                              <w:rPr>
                                <w:rFonts w:ascii="Calibri" w:hAnsi="Calibri"/>
                                <w:color w:val="000000" w:themeColor="text1"/>
                                <w:sz w:val="22"/>
                                <w:szCs w:val="22"/>
                              </w:rPr>
                            </w:pPr>
                          </w:p>
                        </w:tc>
                      </w:tr>
                      <w:tr w:rsidR="001C5460" w:rsidRPr="00D274AB" w14:paraId="6A79B6E4" w14:textId="77777777" w:rsidTr="006277E0">
                        <w:tc>
                          <w:tcPr>
                            <w:tcW w:w="1668" w:type="dxa"/>
                          </w:tcPr>
                          <w:p w14:paraId="5D9C53FF" w14:textId="77777777" w:rsidR="001C5460" w:rsidRPr="00D274AB" w:rsidRDefault="001C5460" w:rsidP="0076267F">
                            <w:pPr>
                              <w:rPr>
                                <w:rFonts w:ascii="Calibri" w:hAnsi="Calibri"/>
                                <w:color w:val="000000" w:themeColor="text1"/>
                                <w:sz w:val="22"/>
                                <w:szCs w:val="22"/>
                              </w:rPr>
                            </w:pPr>
                            <w:r>
                              <w:rPr>
                                <w:rFonts w:ascii="Calibri" w:hAnsi="Calibri"/>
                                <w:color w:val="000000" w:themeColor="text1"/>
                                <w:sz w:val="22"/>
                                <w:szCs w:val="22"/>
                              </w:rPr>
                              <w:t>Activation + 2</w:t>
                            </w:r>
                            <w:r>
                              <w:rPr>
                                <w:rFonts w:ascii="Calibri" w:hAnsi="Calibri"/>
                                <w:color w:val="000000" w:themeColor="text1"/>
                                <w:sz w:val="22"/>
                                <w:szCs w:val="22"/>
                              </w:rPr>
                              <w:noBreakHyphen/>
                            </w:r>
                            <w:r w:rsidRPr="00D274AB">
                              <w:rPr>
                                <w:rFonts w:ascii="Calibri" w:hAnsi="Calibri"/>
                                <w:color w:val="000000" w:themeColor="text1"/>
                                <w:sz w:val="22"/>
                                <w:szCs w:val="22"/>
                              </w:rPr>
                              <w:t>12 months</w:t>
                            </w:r>
                          </w:p>
                        </w:tc>
                        <w:tc>
                          <w:tcPr>
                            <w:tcW w:w="6685" w:type="dxa"/>
                          </w:tcPr>
                          <w:p w14:paraId="514F4F4D" w14:textId="187F144B"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Support Unit works with DFAT to meet reporting and public communication requirements. Support Unit collates and submits final NGO reports to DFAT</w:t>
                            </w:r>
                          </w:p>
                          <w:p w14:paraId="6AA22BDD" w14:textId="77777777" w:rsidR="001C5460" w:rsidRPr="00D274AB" w:rsidRDefault="001C5460" w:rsidP="0076267F">
                            <w:pPr>
                              <w:rPr>
                                <w:rFonts w:ascii="Calibri" w:hAnsi="Calibri"/>
                                <w:color w:val="000000" w:themeColor="text1"/>
                                <w:sz w:val="22"/>
                                <w:szCs w:val="22"/>
                              </w:rPr>
                            </w:pPr>
                          </w:p>
                        </w:tc>
                      </w:tr>
                      <w:tr w:rsidR="001C5460" w:rsidRPr="00D274AB" w14:paraId="67CB4446" w14:textId="77777777" w:rsidTr="006277E0">
                        <w:tc>
                          <w:tcPr>
                            <w:tcW w:w="1668" w:type="dxa"/>
                          </w:tcPr>
                          <w:p w14:paraId="5A6A4176"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Subsequently</w:t>
                            </w:r>
                          </w:p>
                        </w:tc>
                        <w:tc>
                          <w:tcPr>
                            <w:tcW w:w="6685" w:type="dxa"/>
                          </w:tcPr>
                          <w:p w14:paraId="395E36A4"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 xml:space="preserve">Support Unit, in collaboration with ACFID and HRG </w:t>
                            </w:r>
                            <w:r>
                              <w:rPr>
                                <w:rFonts w:ascii="Calibri" w:hAnsi="Calibri"/>
                                <w:color w:val="000000" w:themeColor="text1"/>
                                <w:sz w:val="22"/>
                                <w:szCs w:val="22"/>
                              </w:rPr>
                              <w:t>Co-</w:t>
                            </w:r>
                            <w:r w:rsidRPr="00D274AB">
                              <w:rPr>
                                <w:rFonts w:ascii="Calibri" w:hAnsi="Calibri"/>
                                <w:color w:val="000000" w:themeColor="text1"/>
                                <w:sz w:val="22"/>
                                <w:szCs w:val="22"/>
                              </w:rPr>
                              <w:t xml:space="preserve">Chairs, facilitates a lesson learning event open to all </w:t>
                            </w:r>
                            <w:r>
                              <w:rPr>
                                <w:rFonts w:ascii="Calibri" w:hAnsi="Calibri"/>
                                <w:color w:val="000000" w:themeColor="text1"/>
                                <w:sz w:val="22"/>
                                <w:szCs w:val="22"/>
                              </w:rPr>
                              <w:t>HRG members</w:t>
                            </w:r>
                            <w:r w:rsidRPr="00D274AB">
                              <w:rPr>
                                <w:rFonts w:ascii="Calibri" w:hAnsi="Calibri"/>
                                <w:color w:val="000000" w:themeColor="text1"/>
                                <w:sz w:val="22"/>
                                <w:szCs w:val="22"/>
                              </w:rPr>
                              <w:t xml:space="preserve"> </w:t>
                            </w:r>
                          </w:p>
                          <w:p w14:paraId="6E630532" w14:textId="77777777" w:rsidR="001C5460" w:rsidRPr="00D274AB" w:rsidRDefault="001C5460" w:rsidP="0076267F">
                            <w:pPr>
                              <w:rPr>
                                <w:rFonts w:ascii="Calibri" w:hAnsi="Calibri"/>
                                <w:color w:val="000000" w:themeColor="text1"/>
                                <w:sz w:val="22"/>
                                <w:szCs w:val="22"/>
                              </w:rPr>
                            </w:pPr>
                          </w:p>
                        </w:tc>
                      </w:tr>
                      <w:tr w:rsidR="001C5460" w:rsidRPr="00D274AB" w14:paraId="0BC94478" w14:textId="77777777" w:rsidTr="006277E0">
                        <w:tc>
                          <w:tcPr>
                            <w:tcW w:w="1668" w:type="dxa"/>
                          </w:tcPr>
                          <w:p w14:paraId="7C072E08" w14:textId="77777777" w:rsidR="001C5460" w:rsidRPr="00D274AB" w:rsidRDefault="001C5460" w:rsidP="0076267F">
                            <w:pPr>
                              <w:rPr>
                                <w:rFonts w:ascii="Calibri" w:hAnsi="Calibri"/>
                                <w:color w:val="000000" w:themeColor="text1"/>
                                <w:sz w:val="22"/>
                                <w:szCs w:val="22"/>
                              </w:rPr>
                            </w:pPr>
                            <w:r w:rsidRPr="00D274AB">
                              <w:rPr>
                                <w:rFonts w:ascii="Calibri" w:hAnsi="Calibri"/>
                                <w:color w:val="000000" w:themeColor="text1"/>
                                <w:sz w:val="22"/>
                                <w:szCs w:val="22"/>
                              </w:rPr>
                              <w:t>Subsequently</w:t>
                            </w:r>
                          </w:p>
                        </w:tc>
                        <w:tc>
                          <w:tcPr>
                            <w:tcW w:w="6685" w:type="dxa"/>
                          </w:tcPr>
                          <w:p w14:paraId="3A7DEBBB" w14:textId="77777777" w:rsidR="001C5460" w:rsidRPr="00D274AB" w:rsidRDefault="001C5460" w:rsidP="008659E6">
                            <w:pPr>
                              <w:rPr>
                                <w:rFonts w:ascii="Calibri" w:hAnsi="Calibri"/>
                                <w:color w:val="000000" w:themeColor="text1"/>
                                <w:sz w:val="22"/>
                                <w:szCs w:val="22"/>
                              </w:rPr>
                            </w:pPr>
                            <w:r w:rsidRPr="00D274AB">
                              <w:rPr>
                                <w:rFonts w:ascii="Calibri" w:hAnsi="Calibri"/>
                                <w:color w:val="000000" w:themeColor="text1"/>
                                <w:sz w:val="22"/>
                                <w:szCs w:val="22"/>
                              </w:rPr>
                              <w:t xml:space="preserve">Lesson learning report distributed to all </w:t>
                            </w:r>
                            <w:r>
                              <w:rPr>
                                <w:rFonts w:ascii="Calibri" w:hAnsi="Calibri"/>
                                <w:color w:val="000000" w:themeColor="text1"/>
                                <w:sz w:val="22"/>
                                <w:szCs w:val="22"/>
                              </w:rPr>
                              <w:t>HRG</w:t>
                            </w:r>
                            <w:r w:rsidRPr="00D274AB">
                              <w:rPr>
                                <w:rFonts w:ascii="Calibri" w:hAnsi="Calibri"/>
                                <w:color w:val="000000" w:themeColor="text1"/>
                                <w:sz w:val="22"/>
                                <w:szCs w:val="22"/>
                              </w:rPr>
                              <w:t xml:space="preserve"> members </w:t>
                            </w:r>
                            <w:r>
                              <w:rPr>
                                <w:rFonts w:ascii="Calibri" w:hAnsi="Calibri"/>
                                <w:color w:val="000000" w:themeColor="text1"/>
                                <w:sz w:val="22"/>
                                <w:szCs w:val="22"/>
                              </w:rPr>
                              <w:t>and shared with local implementing partners.</w:t>
                            </w:r>
                          </w:p>
                        </w:tc>
                      </w:tr>
                    </w:tbl>
                    <w:p w14:paraId="435479C6" w14:textId="77777777" w:rsidR="001C5460" w:rsidRPr="00D274AB" w:rsidRDefault="001C5460" w:rsidP="00B670D5">
                      <w:pPr>
                        <w:rPr>
                          <w:color w:val="000000" w:themeColor="text1"/>
                          <w:sz w:val="22"/>
                          <w:szCs w:val="22"/>
                        </w:rPr>
                      </w:pPr>
                    </w:p>
                  </w:txbxContent>
                </v:textbox>
                <w10:wrap type="square"/>
              </v:shape>
            </w:pict>
          </mc:Fallback>
        </mc:AlternateContent>
      </w:r>
    </w:p>
    <w:p w14:paraId="1711B9E5" w14:textId="77777777" w:rsidR="00B43F8A" w:rsidRDefault="00AA5CE5" w:rsidP="00A67DC0">
      <w:pPr>
        <w:pStyle w:val="Heading4"/>
        <w:spacing w:after="240"/>
        <w:jc w:val="both"/>
      </w:pPr>
      <w:r>
        <w:t>Response to p</w:t>
      </w:r>
      <w:r w:rsidR="00022DF8">
        <w:t>rotracted and slow-onset</w:t>
      </w:r>
      <w:r w:rsidR="00B43F8A">
        <w:t xml:space="preserve"> </w:t>
      </w:r>
      <w:r>
        <w:t xml:space="preserve">crises </w:t>
      </w:r>
    </w:p>
    <w:p w14:paraId="1E153446" w14:textId="2224DBAF" w:rsidR="00FA7328" w:rsidRDefault="00BF75DC" w:rsidP="00FA7328">
      <w:pPr>
        <w:spacing w:after="240"/>
        <w:jc w:val="both"/>
        <w:rPr>
          <w:rFonts w:ascii="Calibri" w:hAnsi="Calibri"/>
        </w:rPr>
      </w:pPr>
      <w:r>
        <w:rPr>
          <w:rFonts w:ascii="Calibri" w:hAnsi="Calibri"/>
          <w:b/>
        </w:rPr>
        <w:t>U</w:t>
      </w:r>
      <w:r w:rsidR="00B43F8A" w:rsidRPr="00DB635A">
        <w:rPr>
          <w:rFonts w:ascii="Calibri" w:hAnsi="Calibri"/>
          <w:b/>
        </w:rPr>
        <w:t xml:space="preserve">nder the </w:t>
      </w:r>
      <w:r w:rsidR="00232C63">
        <w:rPr>
          <w:rFonts w:ascii="Calibri" w:hAnsi="Calibri"/>
          <w:b/>
        </w:rPr>
        <w:t>partnership</w:t>
      </w:r>
      <w:r w:rsidR="00B43F8A" w:rsidRPr="00DB635A">
        <w:rPr>
          <w:rFonts w:ascii="Calibri" w:hAnsi="Calibri"/>
          <w:b/>
        </w:rPr>
        <w:t xml:space="preserve">, </w:t>
      </w:r>
      <w:r w:rsidR="00FA7328">
        <w:rPr>
          <w:rFonts w:eastAsiaTheme="minorHAnsi"/>
          <w:b/>
        </w:rPr>
        <w:t>the</w:t>
      </w:r>
      <w:r w:rsidR="00FA7328" w:rsidRPr="00774F50">
        <w:rPr>
          <w:rFonts w:eastAsiaTheme="minorHAnsi"/>
          <w:b/>
        </w:rPr>
        <w:t xml:space="preserve"> </w:t>
      </w:r>
      <w:r w:rsidR="00960E41">
        <w:rPr>
          <w:rFonts w:eastAsiaTheme="minorHAnsi"/>
          <w:b/>
        </w:rPr>
        <w:t xml:space="preserve">same </w:t>
      </w:r>
      <w:r w:rsidR="00FA7328" w:rsidRPr="00774F50">
        <w:rPr>
          <w:rFonts w:eastAsiaTheme="minorHAnsi"/>
          <w:b/>
        </w:rPr>
        <w:t xml:space="preserve">small group of 4-6 ANGOs selected through </w:t>
      </w:r>
      <w:r w:rsidR="00A40411">
        <w:rPr>
          <w:rFonts w:eastAsiaTheme="minorHAnsi"/>
          <w:b/>
        </w:rPr>
        <w:t>the</w:t>
      </w:r>
      <w:r w:rsidR="00FA7328" w:rsidRPr="00774F50">
        <w:rPr>
          <w:rFonts w:eastAsiaTheme="minorHAnsi"/>
          <w:b/>
        </w:rPr>
        <w:t xml:space="preserve"> competitive procurement process</w:t>
      </w:r>
      <w:r w:rsidR="00FA7328" w:rsidRPr="007157F7">
        <w:rPr>
          <w:rFonts w:eastAsiaTheme="minorHAnsi"/>
        </w:rPr>
        <w:t xml:space="preserve"> </w:t>
      </w:r>
      <w:r w:rsidR="00A40411">
        <w:rPr>
          <w:rFonts w:eastAsiaTheme="minorHAnsi"/>
        </w:rPr>
        <w:t xml:space="preserve">will </w:t>
      </w:r>
      <w:r w:rsidR="00FA7328" w:rsidRPr="007157F7">
        <w:rPr>
          <w:rFonts w:eastAsiaTheme="minorHAnsi"/>
        </w:rPr>
        <w:t xml:space="preserve">be eligible for funding to respond to </w:t>
      </w:r>
      <w:r w:rsidR="00FA7328">
        <w:rPr>
          <w:rFonts w:eastAsiaTheme="minorHAnsi"/>
        </w:rPr>
        <w:t>protracted and slow-onset crise</w:t>
      </w:r>
      <w:r w:rsidR="00FA7328" w:rsidRPr="007157F7">
        <w:rPr>
          <w:rFonts w:eastAsiaTheme="minorHAnsi"/>
        </w:rPr>
        <w:t>s</w:t>
      </w:r>
      <w:r w:rsidR="00FA7328">
        <w:rPr>
          <w:rFonts w:eastAsiaTheme="minorHAnsi"/>
        </w:rPr>
        <w:t>.</w:t>
      </w:r>
      <w:r w:rsidR="00FA7328" w:rsidRPr="007157F7">
        <w:rPr>
          <w:rFonts w:eastAsiaTheme="minorHAnsi"/>
        </w:rPr>
        <w:t xml:space="preserve"> </w:t>
      </w:r>
      <w:r w:rsidR="00FA7328">
        <w:t>HRG members applying for funding are encouraged to consider consortia arrangements that enable them to demonstrate strong capacity over all five domains of capability.</w:t>
      </w:r>
    </w:p>
    <w:p w14:paraId="2E83301B" w14:textId="228A1D2D" w:rsidR="00B43F8A" w:rsidRDefault="00B43F8A" w:rsidP="00A67DC0">
      <w:pPr>
        <w:spacing w:after="240"/>
        <w:jc w:val="both"/>
        <w:rPr>
          <w:rFonts w:ascii="Calibri" w:hAnsi="Calibri"/>
        </w:rPr>
      </w:pPr>
      <w:r w:rsidRPr="00AC79B6">
        <w:rPr>
          <w:rFonts w:ascii="Calibri" w:hAnsi="Calibri"/>
          <w:b/>
        </w:rPr>
        <w:t xml:space="preserve">When DFAT activates funding to respond to </w:t>
      </w:r>
      <w:r w:rsidR="00022DF8" w:rsidRPr="00AC79B6">
        <w:rPr>
          <w:rFonts w:ascii="Calibri" w:hAnsi="Calibri"/>
          <w:b/>
        </w:rPr>
        <w:t xml:space="preserve">such </w:t>
      </w:r>
      <w:r w:rsidRPr="00AC79B6">
        <w:rPr>
          <w:rFonts w:ascii="Calibri" w:hAnsi="Calibri"/>
          <w:b/>
        </w:rPr>
        <w:t>cris</w:t>
      </w:r>
      <w:r w:rsidR="00AA5CE5" w:rsidRPr="00AC79B6">
        <w:rPr>
          <w:rFonts w:ascii="Calibri" w:hAnsi="Calibri"/>
          <w:b/>
        </w:rPr>
        <w:t>e</w:t>
      </w:r>
      <w:r w:rsidRPr="00AC79B6">
        <w:rPr>
          <w:rFonts w:ascii="Calibri" w:hAnsi="Calibri"/>
          <w:b/>
        </w:rPr>
        <w:t>s</w:t>
      </w:r>
      <w:r>
        <w:rPr>
          <w:rFonts w:ascii="Calibri" w:hAnsi="Calibri"/>
        </w:rPr>
        <w:t xml:space="preserve">, it will set out </w:t>
      </w:r>
      <w:r w:rsidRPr="00126181">
        <w:rPr>
          <w:rFonts w:ascii="Calibri" w:hAnsi="Calibri"/>
        </w:rPr>
        <w:t>funding parameters (such as priority sectors, geographic areas</w:t>
      </w:r>
      <w:r w:rsidR="00895A9F">
        <w:rPr>
          <w:rFonts w:ascii="Calibri" w:hAnsi="Calibri"/>
        </w:rPr>
        <w:t xml:space="preserve">, composition of the technical </w:t>
      </w:r>
      <w:r w:rsidR="00895A9F">
        <w:rPr>
          <w:rFonts w:ascii="Calibri" w:hAnsi="Calibri"/>
        </w:rPr>
        <w:lastRenderedPageBreak/>
        <w:t>assessment panel</w:t>
      </w:r>
      <w:r>
        <w:rPr>
          <w:rFonts w:ascii="Calibri" w:hAnsi="Calibri"/>
        </w:rPr>
        <w:t xml:space="preserve"> and preferred number of partners)</w:t>
      </w:r>
      <w:r w:rsidRPr="00126181">
        <w:rPr>
          <w:rFonts w:ascii="Calibri" w:hAnsi="Calibri"/>
        </w:rPr>
        <w:t>, assessment</w:t>
      </w:r>
      <w:r>
        <w:rPr>
          <w:rFonts w:ascii="Calibri" w:hAnsi="Calibri"/>
        </w:rPr>
        <w:t xml:space="preserve"> criteria,</w:t>
      </w:r>
      <w:r w:rsidRPr="00126181">
        <w:rPr>
          <w:rFonts w:ascii="Calibri" w:hAnsi="Calibri"/>
        </w:rPr>
        <w:t xml:space="preserve"> </w:t>
      </w:r>
      <w:r>
        <w:rPr>
          <w:rFonts w:ascii="Calibri" w:hAnsi="Calibri"/>
        </w:rPr>
        <w:t xml:space="preserve">and decision-making timeframes. </w:t>
      </w:r>
    </w:p>
    <w:p w14:paraId="79D94B01" w14:textId="77777777" w:rsidR="00B43F8A" w:rsidRDefault="00B43F8A" w:rsidP="00A67DC0">
      <w:pPr>
        <w:spacing w:after="240"/>
        <w:jc w:val="both"/>
        <w:rPr>
          <w:rFonts w:ascii="Calibri" w:hAnsi="Calibri"/>
        </w:rPr>
      </w:pPr>
      <w:r w:rsidRPr="00DB635A">
        <w:rPr>
          <w:rFonts w:ascii="Calibri" w:hAnsi="Calibri"/>
          <w:b/>
        </w:rPr>
        <w:t>DFAT may determine the partner(s) to be funded, or suggest preferred partners for the activation</w:t>
      </w:r>
      <w:r>
        <w:rPr>
          <w:rFonts w:ascii="Calibri" w:hAnsi="Calibri"/>
        </w:rPr>
        <w:t>. This acknowledges the central role to be played by DFAT's country programs (</w:t>
      </w:r>
      <w:r w:rsidR="00BF53F5">
        <w:rPr>
          <w:rFonts w:ascii="Calibri" w:hAnsi="Calibri"/>
        </w:rPr>
        <w:t>including</w:t>
      </w:r>
      <w:r>
        <w:rPr>
          <w:rFonts w:ascii="Calibri" w:hAnsi="Calibri"/>
        </w:rPr>
        <w:t xml:space="preserve"> Posts) in setting the scope of humanitarian response activities, as well as the </w:t>
      </w:r>
      <w:r w:rsidR="00022DF8" w:rsidRPr="00AA5CE5">
        <w:rPr>
          <w:rFonts w:ascii="Calibri" w:hAnsi="Calibri"/>
        </w:rPr>
        <w:t xml:space="preserve">need for </w:t>
      </w:r>
      <w:r w:rsidR="00022DF8" w:rsidRPr="00C318DA">
        <w:rPr>
          <w:rFonts w:ascii="Calibri" w:eastAsia="Times New Roman" w:hAnsi="Calibri"/>
        </w:rPr>
        <w:t>context specific approaches to protracted crises, protracted displacement and natural disasters.</w:t>
      </w:r>
      <w:r w:rsidR="00022DF8">
        <w:rPr>
          <w:rFonts w:ascii="Calibri" w:eastAsia="Times New Roman" w:hAnsi="Calibri"/>
          <w:sz w:val="22"/>
          <w:szCs w:val="22"/>
        </w:rPr>
        <w:t xml:space="preserve"> </w:t>
      </w:r>
    </w:p>
    <w:p w14:paraId="201F6558" w14:textId="77777777" w:rsidR="002E1AEF" w:rsidRPr="00B65680" w:rsidRDefault="00B43F8A" w:rsidP="00A67DC0">
      <w:pPr>
        <w:spacing w:after="240"/>
        <w:jc w:val="both"/>
        <w:rPr>
          <w:rFonts w:ascii="Calibri" w:hAnsi="Calibri"/>
        </w:rPr>
      </w:pPr>
      <w:r w:rsidRPr="00DB635A">
        <w:rPr>
          <w:rFonts w:ascii="Calibri" w:hAnsi="Calibri"/>
          <w:b/>
        </w:rPr>
        <w:t>When funding is</w:t>
      </w:r>
      <w:r w:rsidR="002E1AEF">
        <w:rPr>
          <w:rFonts w:ascii="Calibri" w:hAnsi="Calibri"/>
          <w:b/>
        </w:rPr>
        <w:t xml:space="preserve">, or </w:t>
      </w:r>
      <w:r w:rsidR="002654D1">
        <w:rPr>
          <w:rFonts w:ascii="Calibri" w:hAnsi="Calibri"/>
          <w:b/>
        </w:rPr>
        <w:t xml:space="preserve">is </w:t>
      </w:r>
      <w:r w:rsidR="002E1AEF">
        <w:rPr>
          <w:rFonts w:ascii="Calibri" w:hAnsi="Calibri"/>
          <w:b/>
        </w:rPr>
        <w:t>likely to be,</w:t>
      </w:r>
      <w:r w:rsidRPr="00DB635A">
        <w:rPr>
          <w:rFonts w:ascii="Calibri" w:hAnsi="Calibri"/>
          <w:b/>
        </w:rPr>
        <w:t xml:space="preserve"> available for a </w:t>
      </w:r>
      <w:r w:rsidR="00022DF8">
        <w:rPr>
          <w:rFonts w:ascii="Calibri" w:hAnsi="Calibri"/>
          <w:b/>
        </w:rPr>
        <w:t>protracted or slow onset</w:t>
      </w:r>
      <w:r w:rsidRPr="00DB635A">
        <w:rPr>
          <w:rFonts w:ascii="Calibri" w:hAnsi="Calibri"/>
          <w:b/>
        </w:rPr>
        <w:t xml:space="preserve"> response, the Support Unit will convene a</w:t>
      </w:r>
      <w:r w:rsidR="002E1AEF">
        <w:rPr>
          <w:rFonts w:ascii="Calibri" w:hAnsi="Calibri"/>
          <w:b/>
        </w:rPr>
        <w:t>n early teleconference</w:t>
      </w:r>
      <w:r w:rsidR="00BC4224">
        <w:rPr>
          <w:rFonts w:ascii="Calibri" w:hAnsi="Calibri"/>
          <w:b/>
        </w:rPr>
        <w:t>(</w:t>
      </w:r>
      <w:r w:rsidR="00974F7F">
        <w:rPr>
          <w:rFonts w:ascii="Calibri" w:hAnsi="Calibri"/>
          <w:b/>
        </w:rPr>
        <w:t>s</w:t>
      </w:r>
      <w:r w:rsidR="00BC4224">
        <w:rPr>
          <w:rFonts w:ascii="Calibri" w:hAnsi="Calibri"/>
          <w:b/>
        </w:rPr>
        <w:t>)</w:t>
      </w:r>
      <w:r w:rsidR="002E1AEF">
        <w:rPr>
          <w:rFonts w:ascii="Calibri" w:hAnsi="Calibri"/>
          <w:b/>
        </w:rPr>
        <w:t xml:space="preserve"> </w:t>
      </w:r>
      <w:r w:rsidR="002E1AEF" w:rsidRPr="00974F7F">
        <w:rPr>
          <w:rFonts w:ascii="Calibri" w:hAnsi="Calibri"/>
        </w:rPr>
        <w:t>i</w:t>
      </w:r>
      <w:r w:rsidR="002E1AEF" w:rsidRPr="002E1AEF">
        <w:rPr>
          <w:rFonts w:ascii="Calibri" w:hAnsi="Calibri"/>
        </w:rPr>
        <w:t>nvolving DFAT and</w:t>
      </w:r>
      <w:r w:rsidR="002E1AEF">
        <w:rPr>
          <w:rFonts w:ascii="Calibri" w:hAnsi="Calibri"/>
          <w:b/>
        </w:rPr>
        <w:t xml:space="preserve"> </w:t>
      </w:r>
      <w:r w:rsidR="00232C63" w:rsidRPr="00C318DA">
        <w:rPr>
          <w:rFonts w:ascii="Calibri" w:hAnsi="Calibri"/>
        </w:rPr>
        <w:t>HRG</w:t>
      </w:r>
      <w:r w:rsidR="00232C63" w:rsidRPr="00D274AB">
        <w:rPr>
          <w:rFonts w:ascii="Calibri" w:hAnsi="Calibri"/>
          <w:sz w:val="22"/>
          <w:szCs w:val="22"/>
        </w:rPr>
        <w:t xml:space="preserve"> </w:t>
      </w:r>
      <w:r w:rsidR="002E1AEF" w:rsidRPr="00B65680">
        <w:rPr>
          <w:rFonts w:ascii="Calibri" w:hAnsi="Calibri"/>
        </w:rPr>
        <w:t>members to discuss the unfolding crisis and the potential scale, objective</w:t>
      </w:r>
      <w:r w:rsidR="00BC4224">
        <w:rPr>
          <w:rFonts w:ascii="Calibri" w:hAnsi="Calibri"/>
        </w:rPr>
        <w:t>(</w:t>
      </w:r>
      <w:r w:rsidR="002E1AEF" w:rsidRPr="00B65680">
        <w:rPr>
          <w:rFonts w:ascii="Calibri" w:hAnsi="Calibri"/>
        </w:rPr>
        <w:t>s</w:t>
      </w:r>
      <w:r w:rsidR="00BC4224">
        <w:rPr>
          <w:rFonts w:ascii="Calibri" w:hAnsi="Calibri"/>
        </w:rPr>
        <w:t>)</w:t>
      </w:r>
      <w:r w:rsidR="002E1AEF" w:rsidRPr="00B65680">
        <w:rPr>
          <w:rFonts w:ascii="Calibri" w:hAnsi="Calibri"/>
        </w:rPr>
        <w:t xml:space="preserve"> and expectations of Government funding.  </w:t>
      </w:r>
      <w:r w:rsidR="00974F7F" w:rsidRPr="00B65680">
        <w:rPr>
          <w:rFonts w:ascii="Calibri" w:hAnsi="Calibri"/>
        </w:rPr>
        <w:t>Partners will discuss the likely scale of the funding parameters and decision-making timeframes. It will be important to consider the role of in-country consultations (i.e. between DFAT</w:t>
      </w:r>
      <w:r w:rsidR="001001AC">
        <w:rPr>
          <w:rFonts w:ascii="Calibri" w:hAnsi="Calibri"/>
        </w:rPr>
        <w:t xml:space="preserve"> posts</w:t>
      </w:r>
      <w:r w:rsidR="00974F7F" w:rsidRPr="00B65680">
        <w:rPr>
          <w:rFonts w:ascii="Calibri" w:hAnsi="Calibri"/>
        </w:rPr>
        <w:t xml:space="preserve">, ANGO </w:t>
      </w:r>
      <w:r w:rsidR="00E109BD">
        <w:rPr>
          <w:rFonts w:ascii="Calibri" w:hAnsi="Calibri"/>
        </w:rPr>
        <w:t>representatives</w:t>
      </w:r>
      <w:r w:rsidR="00974F7F" w:rsidRPr="00B65680">
        <w:rPr>
          <w:rFonts w:ascii="Calibri" w:hAnsi="Calibri"/>
        </w:rPr>
        <w:t xml:space="preserve"> and recipient government bodies) in shaping the funding proposals. </w:t>
      </w:r>
    </w:p>
    <w:p w14:paraId="6F7F9DBC" w14:textId="52ECAA0E" w:rsidR="00DB635A" w:rsidRDefault="00974F7F" w:rsidP="00A67DC0">
      <w:pPr>
        <w:spacing w:after="240"/>
        <w:jc w:val="both"/>
        <w:rPr>
          <w:rFonts w:ascii="Calibri" w:hAnsi="Calibri"/>
        </w:rPr>
      </w:pPr>
      <w:r w:rsidRPr="00974F7F">
        <w:rPr>
          <w:rFonts w:ascii="Calibri" w:hAnsi="Calibri"/>
          <w:b/>
        </w:rPr>
        <w:t xml:space="preserve">The Support Unit will convene a </w:t>
      </w:r>
      <w:r w:rsidR="00960E41">
        <w:rPr>
          <w:rFonts w:ascii="Calibri" w:hAnsi="Calibri"/>
          <w:b/>
        </w:rPr>
        <w:t xml:space="preserve">small technical assessment </w:t>
      </w:r>
      <w:r w:rsidRPr="00974F7F">
        <w:rPr>
          <w:rFonts w:ascii="Calibri" w:hAnsi="Calibri"/>
          <w:b/>
        </w:rPr>
        <w:t>panel to consider ANGO proposals</w:t>
      </w:r>
      <w:r>
        <w:rPr>
          <w:rFonts w:ascii="Calibri" w:hAnsi="Calibri"/>
        </w:rPr>
        <w:t xml:space="preserve">, </w:t>
      </w:r>
      <w:r w:rsidRPr="00641D0E">
        <w:rPr>
          <w:rFonts w:ascii="Calibri" w:hAnsi="Calibri"/>
        </w:rPr>
        <w:t xml:space="preserve">determine the optimal response within the scope of available funding, and submit a </w:t>
      </w:r>
      <w:r>
        <w:rPr>
          <w:rFonts w:ascii="Calibri" w:hAnsi="Calibri"/>
        </w:rPr>
        <w:t xml:space="preserve">draft </w:t>
      </w:r>
      <w:r w:rsidRPr="00641D0E">
        <w:rPr>
          <w:rFonts w:ascii="Calibri" w:hAnsi="Calibri"/>
        </w:rPr>
        <w:t xml:space="preserve">Consolidated Proposal to DFAT for </w:t>
      </w:r>
      <w:r>
        <w:rPr>
          <w:rFonts w:ascii="Calibri" w:hAnsi="Calibri"/>
        </w:rPr>
        <w:t>consideration</w:t>
      </w:r>
      <w:r w:rsidRPr="00641D0E">
        <w:rPr>
          <w:rFonts w:ascii="Calibri" w:hAnsi="Calibri"/>
        </w:rPr>
        <w:t>.</w:t>
      </w:r>
      <w:r>
        <w:rPr>
          <w:rFonts w:ascii="Calibri" w:hAnsi="Calibri"/>
        </w:rPr>
        <w:t xml:space="preserve"> </w:t>
      </w:r>
      <w:r w:rsidR="00B43F8A">
        <w:rPr>
          <w:rFonts w:ascii="Calibri" w:hAnsi="Calibri"/>
        </w:rPr>
        <w:t xml:space="preserve">The Response Committee </w:t>
      </w:r>
      <w:r w:rsidR="00232C63">
        <w:rPr>
          <w:rFonts w:ascii="Calibri" w:hAnsi="Calibri"/>
        </w:rPr>
        <w:t xml:space="preserve">(which is convened to make decisions for rapid-onset crises) </w:t>
      </w:r>
      <w:r w:rsidR="00B43F8A">
        <w:rPr>
          <w:rFonts w:ascii="Calibri" w:hAnsi="Calibri"/>
        </w:rPr>
        <w:t xml:space="preserve">will </w:t>
      </w:r>
      <w:r w:rsidR="00B43F8A" w:rsidRPr="00E109BD">
        <w:rPr>
          <w:rFonts w:ascii="Calibri" w:hAnsi="Calibri"/>
          <w:u w:val="single"/>
        </w:rPr>
        <w:t>not</w:t>
      </w:r>
      <w:r w:rsidR="00B43F8A">
        <w:rPr>
          <w:rFonts w:ascii="Calibri" w:hAnsi="Calibri"/>
        </w:rPr>
        <w:t xml:space="preserve"> be used to make decisions around </w:t>
      </w:r>
      <w:r w:rsidR="00022DF8">
        <w:rPr>
          <w:rFonts w:ascii="Calibri" w:hAnsi="Calibri"/>
        </w:rPr>
        <w:t xml:space="preserve">protracted and slow-onset </w:t>
      </w:r>
      <w:r w:rsidR="00AA5CE5">
        <w:rPr>
          <w:rFonts w:ascii="Calibri" w:hAnsi="Calibri"/>
        </w:rPr>
        <w:t xml:space="preserve">crises </w:t>
      </w:r>
      <w:r w:rsidR="00022DF8">
        <w:rPr>
          <w:rFonts w:ascii="Calibri" w:hAnsi="Calibri"/>
        </w:rPr>
        <w:t>responses</w:t>
      </w:r>
      <w:r w:rsidR="00B43F8A">
        <w:rPr>
          <w:rFonts w:ascii="Calibri" w:hAnsi="Calibri"/>
        </w:rPr>
        <w:t xml:space="preserve">, unless a sudden peak in </w:t>
      </w:r>
      <w:r w:rsidR="00DD3E40">
        <w:rPr>
          <w:rFonts w:ascii="Calibri" w:hAnsi="Calibri"/>
        </w:rPr>
        <w:t xml:space="preserve">a </w:t>
      </w:r>
      <w:r w:rsidR="00B43F8A">
        <w:rPr>
          <w:rFonts w:ascii="Calibri" w:hAnsi="Calibri"/>
        </w:rPr>
        <w:t>cris</w:t>
      </w:r>
      <w:r w:rsidR="00DD3E40">
        <w:rPr>
          <w:rFonts w:ascii="Calibri" w:hAnsi="Calibri"/>
        </w:rPr>
        <w:t>i</w:t>
      </w:r>
      <w:r w:rsidR="00B43F8A">
        <w:rPr>
          <w:rFonts w:ascii="Calibri" w:hAnsi="Calibri"/>
        </w:rPr>
        <w:t xml:space="preserve">s requires a rapid response. </w:t>
      </w:r>
    </w:p>
    <w:p w14:paraId="0DD31B0E" w14:textId="77777777" w:rsidR="00B43F8A" w:rsidRDefault="00B43F8A" w:rsidP="00A67DC0">
      <w:pPr>
        <w:spacing w:after="240"/>
        <w:jc w:val="both"/>
        <w:rPr>
          <w:rFonts w:ascii="Calibri" w:hAnsi="Calibri"/>
        </w:rPr>
      </w:pPr>
      <w:r w:rsidRPr="00DB635A">
        <w:rPr>
          <w:rFonts w:ascii="Calibri" w:hAnsi="Calibri"/>
          <w:b/>
        </w:rPr>
        <w:t>DFAT will strive to allocate multi-year funding to protracted crises</w:t>
      </w:r>
      <w:r>
        <w:rPr>
          <w:rFonts w:ascii="Calibri" w:hAnsi="Calibri"/>
        </w:rPr>
        <w:t>, acknowledging that multi-year funding allows longer-term planning which is more efficient and more conducive to responding to the root causes of crises rather than just their effects.</w:t>
      </w:r>
      <w:r w:rsidRPr="00641D0E">
        <w:rPr>
          <w:rFonts w:ascii="Calibri" w:hAnsi="Calibri"/>
        </w:rPr>
        <w:t xml:space="preserve"> </w:t>
      </w:r>
      <w:r>
        <w:rPr>
          <w:rFonts w:ascii="Calibri" w:hAnsi="Calibri"/>
        </w:rPr>
        <w:t>DFAT and its partners will make use of early warning systems that have been developed to quickly identify the emergence of a slow-onset crisis, such as a food security crisis.</w:t>
      </w:r>
    </w:p>
    <w:p w14:paraId="76C18EF9" w14:textId="77777777" w:rsidR="001E5C09" w:rsidRDefault="00123FA5" w:rsidP="00A67DC0">
      <w:pPr>
        <w:jc w:val="both"/>
        <w:rPr>
          <w:rFonts w:ascii="Calibri" w:hAnsi="Calibri"/>
        </w:rPr>
      </w:pPr>
      <w:r>
        <w:rPr>
          <w:rFonts w:ascii="Calibri" w:hAnsi="Calibri"/>
          <w:noProof/>
          <w:lang w:eastAsia="en-AU"/>
        </w:rPr>
        <w:lastRenderedPageBreak/>
        <mc:AlternateContent>
          <mc:Choice Requires="wps">
            <w:drawing>
              <wp:anchor distT="0" distB="0" distL="114300" distR="114300" simplePos="0" relativeHeight="251662336" behindDoc="0" locked="0" layoutInCell="1" allowOverlap="1" wp14:anchorId="73F9A817" wp14:editId="4F334A6A">
                <wp:simplePos x="0" y="0"/>
                <wp:positionH relativeFrom="column">
                  <wp:posOffset>51435</wp:posOffset>
                </wp:positionH>
                <wp:positionV relativeFrom="paragraph">
                  <wp:posOffset>20955</wp:posOffset>
                </wp:positionV>
                <wp:extent cx="5486400" cy="8594090"/>
                <wp:effectExtent l="57150" t="38100" r="76200" b="92710"/>
                <wp:wrapSquare wrapText="bothSides"/>
                <wp:docPr id="5" name="Text Box 5"/>
                <wp:cNvGraphicFramePr/>
                <a:graphic xmlns:a="http://schemas.openxmlformats.org/drawingml/2006/main">
                  <a:graphicData uri="http://schemas.microsoft.com/office/word/2010/wordprocessingShape">
                    <wps:wsp>
                      <wps:cNvSpPr txBox="1"/>
                      <wps:spPr>
                        <a:xfrm>
                          <a:off x="0" y="0"/>
                          <a:ext cx="5486400" cy="8594090"/>
                        </a:xfrm>
                        <a:prstGeom prst="rect">
                          <a:avLst/>
                        </a:prstGeom>
                        <a:ln w="19050"/>
                      </wps:spPr>
                      <wps:style>
                        <a:lnRef idx="1">
                          <a:schemeClr val="accent1"/>
                        </a:lnRef>
                        <a:fillRef idx="2">
                          <a:schemeClr val="accent1"/>
                        </a:fillRef>
                        <a:effectRef idx="1">
                          <a:schemeClr val="accent1"/>
                        </a:effectRef>
                        <a:fontRef idx="minor">
                          <a:schemeClr val="dk1"/>
                        </a:fontRef>
                      </wps:style>
                      <wps:txbx>
                        <w:txbxContent>
                          <w:p w14:paraId="49FFF4E1" w14:textId="77777777" w:rsidR="001C5460" w:rsidRPr="00D274AB" w:rsidRDefault="001C5460" w:rsidP="00C029BF">
                            <w:pPr>
                              <w:rPr>
                                <w:rFonts w:ascii="Calibri" w:hAnsi="Calibri"/>
                                <w:b/>
                                <w:sz w:val="22"/>
                                <w:szCs w:val="22"/>
                              </w:rPr>
                            </w:pPr>
                            <w:r w:rsidRPr="00D274AB">
                              <w:rPr>
                                <w:rFonts w:ascii="Calibri" w:hAnsi="Calibri"/>
                                <w:b/>
                                <w:sz w:val="22"/>
                                <w:szCs w:val="22"/>
                              </w:rPr>
                              <w:t xml:space="preserve">Activation of </w:t>
                            </w:r>
                            <w:r>
                              <w:rPr>
                                <w:rFonts w:ascii="Calibri" w:hAnsi="Calibri"/>
                                <w:b/>
                                <w:sz w:val="22"/>
                                <w:szCs w:val="22"/>
                              </w:rPr>
                              <w:t>Funding for Protracted and Slow-onset Crises</w:t>
                            </w:r>
                            <w:r w:rsidRPr="00D274AB">
                              <w:rPr>
                                <w:rFonts w:ascii="Calibri" w:hAnsi="Calibri"/>
                                <w:b/>
                                <w:sz w:val="22"/>
                                <w:szCs w:val="22"/>
                              </w:rPr>
                              <w:t xml:space="preserve"> </w:t>
                            </w:r>
                          </w:p>
                          <w:p w14:paraId="7B622863" w14:textId="77777777" w:rsidR="001C5460" w:rsidRPr="00D274AB" w:rsidRDefault="001C5460" w:rsidP="00C029BF">
                            <w:pPr>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85"/>
                            </w:tblGrid>
                            <w:tr w:rsidR="001C5460" w:rsidRPr="00D274AB" w14:paraId="098C3B3D" w14:textId="77777777" w:rsidTr="006277E0">
                              <w:tc>
                                <w:tcPr>
                                  <w:tcW w:w="1668" w:type="dxa"/>
                                </w:tcPr>
                                <w:p w14:paraId="7FB45732" w14:textId="77777777" w:rsidR="001C5460" w:rsidRPr="00D274AB" w:rsidRDefault="001C5460" w:rsidP="0076267F">
                                  <w:pPr>
                                    <w:rPr>
                                      <w:rFonts w:ascii="Calibri" w:hAnsi="Calibri"/>
                                      <w:sz w:val="22"/>
                                      <w:szCs w:val="22"/>
                                    </w:rPr>
                                  </w:pPr>
                                  <w:r w:rsidRPr="00D274AB">
                                    <w:rPr>
                                      <w:rFonts w:ascii="Calibri" w:hAnsi="Calibri"/>
                                      <w:sz w:val="22"/>
                                      <w:szCs w:val="22"/>
                                    </w:rPr>
                                    <w:t>Crisis</w:t>
                                  </w:r>
                                </w:p>
                              </w:tc>
                              <w:tc>
                                <w:tcPr>
                                  <w:tcW w:w="6685" w:type="dxa"/>
                                </w:tcPr>
                                <w:p w14:paraId="44821578" w14:textId="77777777" w:rsidR="001C5460" w:rsidRPr="00D274AB" w:rsidRDefault="001C5460" w:rsidP="0076267F">
                                  <w:pPr>
                                    <w:rPr>
                                      <w:rFonts w:ascii="Calibri" w:hAnsi="Calibri"/>
                                      <w:sz w:val="22"/>
                                      <w:szCs w:val="22"/>
                                    </w:rPr>
                                  </w:pPr>
                                  <w:r w:rsidRPr="00D274AB">
                                    <w:rPr>
                                      <w:rFonts w:ascii="Calibri" w:hAnsi="Calibri"/>
                                      <w:sz w:val="22"/>
                                      <w:szCs w:val="22"/>
                                    </w:rPr>
                                    <w:t>Crisis occurs</w:t>
                                  </w:r>
                                </w:p>
                                <w:p w14:paraId="4D7E839F" w14:textId="77777777" w:rsidR="001C5460" w:rsidRPr="00D274AB" w:rsidRDefault="001C5460" w:rsidP="0076267F">
                                  <w:pPr>
                                    <w:rPr>
                                      <w:rFonts w:ascii="Calibri" w:hAnsi="Calibri"/>
                                      <w:sz w:val="22"/>
                                      <w:szCs w:val="22"/>
                                    </w:rPr>
                                  </w:pPr>
                                </w:p>
                              </w:tc>
                            </w:tr>
                            <w:tr w:rsidR="001C5460" w:rsidRPr="00D274AB" w14:paraId="04D8D9DC" w14:textId="77777777" w:rsidTr="006277E0">
                              <w:tc>
                                <w:tcPr>
                                  <w:tcW w:w="1668" w:type="dxa"/>
                                </w:tcPr>
                                <w:p w14:paraId="63C949C8" w14:textId="77777777" w:rsidR="001C5460" w:rsidRDefault="001C5460" w:rsidP="0076267F">
                                  <w:pPr>
                                    <w:rPr>
                                      <w:rFonts w:ascii="Calibri" w:hAnsi="Calibri"/>
                                      <w:sz w:val="22"/>
                                      <w:szCs w:val="22"/>
                                    </w:rPr>
                                  </w:pPr>
                                  <w:r>
                                    <w:rPr>
                                      <w:rFonts w:ascii="Calibri" w:hAnsi="Calibri"/>
                                      <w:sz w:val="22"/>
                                      <w:szCs w:val="22"/>
                                    </w:rPr>
                                    <w:t>Pre-activation</w:t>
                                  </w:r>
                                </w:p>
                                <w:p w14:paraId="3C206775" w14:textId="77777777" w:rsidR="001C5460" w:rsidRDefault="001C5460" w:rsidP="0076267F">
                                  <w:pPr>
                                    <w:rPr>
                                      <w:rFonts w:ascii="Calibri" w:hAnsi="Calibri"/>
                                      <w:sz w:val="22"/>
                                      <w:szCs w:val="22"/>
                                    </w:rPr>
                                  </w:pPr>
                                </w:p>
                                <w:p w14:paraId="422DB943" w14:textId="77777777" w:rsidR="001C5460" w:rsidRDefault="001C5460" w:rsidP="0076267F">
                                  <w:pPr>
                                    <w:rPr>
                                      <w:rFonts w:ascii="Calibri" w:hAnsi="Calibri"/>
                                      <w:sz w:val="22"/>
                                      <w:szCs w:val="22"/>
                                    </w:rPr>
                                  </w:pPr>
                                </w:p>
                                <w:p w14:paraId="6F291D4C" w14:textId="77777777" w:rsidR="001C5460" w:rsidRDefault="001C5460" w:rsidP="0076267F">
                                  <w:pPr>
                                    <w:rPr>
                                      <w:rFonts w:ascii="Calibri" w:hAnsi="Calibri"/>
                                      <w:sz w:val="22"/>
                                      <w:szCs w:val="22"/>
                                    </w:rPr>
                                  </w:pPr>
                                </w:p>
                                <w:p w14:paraId="1755E446" w14:textId="77777777" w:rsidR="001C5460" w:rsidRDefault="001C5460" w:rsidP="0076267F">
                                  <w:pPr>
                                    <w:rPr>
                                      <w:rFonts w:ascii="Calibri" w:hAnsi="Calibri"/>
                                      <w:sz w:val="22"/>
                                      <w:szCs w:val="22"/>
                                    </w:rPr>
                                  </w:pPr>
                                </w:p>
                                <w:p w14:paraId="5523080D" w14:textId="77777777" w:rsidR="001C5460" w:rsidRPr="00D274AB" w:rsidRDefault="001C5460" w:rsidP="0076267F">
                                  <w:pPr>
                                    <w:rPr>
                                      <w:rFonts w:ascii="Calibri" w:hAnsi="Calibri"/>
                                      <w:sz w:val="22"/>
                                      <w:szCs w:val="22"/>
                                    </w:rPr>
                                  </w:pPr>
                                  <w:r w:rsidRPr="00D274AB">
                                    <w:rPr>
                                      <w:rFonts w:ascii="Calibri" w:hAnsi="Calibri"/>
                                      <w:sz w:val="22"/>
                                      <w:szCs w:val="22"/>
                                    </w:rPr>
                                    <w:t>Activation</w:t>
                                  </w:r>
                                </w:p>
                              </w:tc>
                              <w:tc>
                                <w:tcPr>
                                  <w:tcW w:w="6685" w:type="dxa"/>
                                </w:tcPr>
                                <w:p w14:paraId="3BF8C486" w14:textId="77777777" w:rsidR="001C5460" w:rsidRDefault="001C5460" w:rsidP="00C029BF">
                                  <w:pPr>
                                    <w:rPr>
                                      <w:rFonts w:ascii="Calibri" w:hAnsi="Calibri"/>
                                      <w:sz w:val="22"/>
                                      <w:szCs w:val="22"/>
                                    </w:rPr>
                                  </w:pPr>
                                  <w:r>
                                    <w:rPr>
                                      <w:rFonts w:ascii="Calibri" w:hAnsi="Calibri"/>
                                      <w:sz w:val="22"/>
                                      <w:szCs w:val="22"/>
                                    </w:rPr>
                                    <w:t>DFAT convenes teleconference(s) with HRG members to discuss unfolding crisis and the potential scale, objective(s) and expectations of Government funding.  Support Unit assists, documents any decisions and provides any follow-up support to partners.</w:t>
                                  </w:r>
                                </w:p>
                                <w:p w14:paraId="51980E70" w14:textId="77777777" w:rsidR="001C5460" w:rsidRDefault="001C5460" w:rsidP="00C029BF">
                                  <w:pPr>
                                    <w:rPr>
                                      <w:rFonts w:ascii="Calibri" w:hAnsi="Calibri"/>
                                      <w:sz w:val="22"/>
                                      <w:szCs w:val="22"/>
                                    </w:rPr>
                                  </w:pPr>
                                </w:p>
                                <w:p w14:paraId="516EBCA6" w14:textId="5C44B7FF" w:rsidR="001C5460" w:rsidRPr="00D274AB" w:rsidRDefault="001C5460" w:rsidP="00C029BF">
                                  <w:pPr>
                                    <w:rPr>
                                      <w:rFonts w:ascii="Calibri" w:hAnsi="Calibri"/>
                                      <w:sz w:val="22"/>
                                      <w:szCs w:val="22"/>
                                    </w:rPr>
                                  </w:pPr>
                                  <w:r w:rsidRPr="00D274AB">
                                    <w:rPr>
                                      <w:rFonts w:ascii="Calibri" w:hAnsi="Calibri"/>
                                      <w:sz w:val="22"/>
                                      <w:szCs w:val="22"/>
                                    </w:rPr>
                                    <w:t xml:space="preserve">Foreign Minister </w:t>
                                  </w:r>
                                  <w:r>
                                    <w:rPr>
                                      <w:rFonts w:ascii="Calibri" w:hAnsi="Calibri"/>
                                      <w:sz w:val="22"/>
                                      <w:szCs w:val="22"/>
                                    </w:rPr>
                                    <w:t>approves</w:t>
                                  </w:r>
                                  <w:r w:rsidRPr="00D274AB">
                                    <w:rPr>
                                      <w:rFonts w:ascii="Calibri" w:hAnsi="Calibri"/>
                                      <w:sz w:val="22"/>
                                      <w:szCs w:val="22"/>
                                    </w:rPr>
                                    <w:t xml:space="preserve"> </w:t>
                                  </w:r>
                                  <w:r>
                                    <w:rPr>
                                      <w:rFonts w:ascii="Calibri" w:hAnsi="Calibri"/>
                                      <w:sz w:val="22"/>
                                      <w:szCs w:val="22"/>
                                    </w:rPr>
                                    <w:t>funding</w:t>
                                  </w:r>
                                  <w:r w:rsidRPr="00D274AB">
                                    <w:rPr>
                                      <w:rFonts w:ascii="Calibri" w:hAnsi="Calibri"/>
                                      <w:sz w:val="22"/>
                                      <w:szCs w:val="22"/>
                                    </w:rPr>
                                    <w:t xml:space="preserve">, and DFAT advises </w:t>
                                  </w:r>
                                  <w:r>
                                    <w:rPr>
                                      <w:rFonts w:ascii="Calibri" w:hAnsi="Calibri"/>
                                      <w:sz w:val="22"/>
                                      <w:szCs w:val="22"/>
                                    </w:rPr>
                                    <w:t>HRG</w:t>
                                  </w:r>
                                  <w:r w:rsidRPr="00D274AB">
                                    <w:rPr>
                                      <w:rFonts w:ascii="Calibri" w:hAnsi="Calibri"/>
                                      <w:sz w:val="22"/>
                                      <w:szCs w:val="22"/>
                                    </w:rPr>
                                    <w:t xml:space="preserve"> members of available funding envelope</w:t>
                                  </w:r>
                                </w:p>
                                <w:p w14:paraId="2047FD9B" w14:textId="77777777" w:rsidR="001C5460" w:rsidRPr="00D274AB" w:rsidRDefault="001C5460" w:rsidP="0076267F">
                                  <w:pPr>
                                    <w:rPr>
                                      <w:rFonts w:ascii="Calibri" w:hAnsi="Calibri"/>
                                      <w:sz w:val="22"/>
                                      <w:szCs w:val="22"/>
                                    </w:rPr>
                                  </w:pPr>
                                </w:p>
                              </w:tc>
                            </w:tr>
                            <w:tr w:rsidR="001C5460" w:rsidRPr="00D274AB" w14:paraId="792905EC" w14:textId="77777777" w:rsidTr="006277E0">
                              <w:tc>
                                <w:tcPr>
                                  <w:tcW w:w="1668" w:type="dxa"/>
                                </w:tcPr>
                                <w:p w14:paraId="0E2A8964" w14:textId="77777777" w:rsidR="001C5460" w:rsidRPr="00D274AB" w:rsidRDefault="001C5460" w:rsidP="000B4674">
                                  <w:pPr>
                                    <w:rPr>
                                      <w:rFonts w:ascii="Calibri" w:hAnsi="Calibri"/>
                                      <w:sz w:val="22"/>
                                      <w:szCs w:val="22"/>
                                    </w:rPr>
                                  </w:pPr>
                                  <w:r w:rsidRPr="00D274AB">
                                    <w:rPr>
                                      <w:rFonts w:ascii="Calibri" w:hAnsi="Calibri"/>
                                      <w:sz w:val="22"/>
                                      <w:szCs w:val="22"/>
                                    </w:rPr>
                                    <w:t xml:space="preserve">Activation + </w:t>
                                  </w:r>
                                  <w:r>
                                    <w:rPr>
                                      <w:rFonts w:ascii="Calibri" w:hAnsi="Calibri"/>
                                      <w:sz w:val="22"/>
                                      <w:szCs w:val="22"/>
                                    </w:rPr>
                                    <w:t>5</w:t>
                                  </w:r>
                                  <w:r w:rsidRPr="00D274AB">
                                    <w:rPr>
                                      <w:rFonts w:ascii="Calibri" w:hAnsi="Calibri"/>
                                      <w:sz w:val="22"/>
                                      <w:szCs w:val="22"/>
                                    </w:rPr>
                                    <w:t xml:space="preserve"> days</w:t>
                                  </w:r>
                                </w:p>
                              </w:tc>
                              <w:tc>
                                <w:tcPr>
                                  <w:tcW w:w="6685" w:type="dxa"/>
                                </w:tcPr>
                                <w:p w14:paraId="10E58B36" w14:textId="5E3A4342" w:rsidR="001C5460" w:rsidRPr="00D274AB" w:rsidRDefault="001C5460" w:rsidP="0076267F">
                                  <w:pPr>
                                    <w:rPr>
                                      <w:rFonts w:ascii="Calibri" w:hAnsi="Calibri"/>
                                      <w:sz w:val="22"/>
                                      <w:szCs w:val="22"/>
                                    </w:rPr>
                                  </w:pPr>
                                  <w:r w:rsidRPr="00D274AB">
                                    <w:rPr>
                                      <w:rFonts w:ascii="Calibri" w:hAnsi="Calibri"/>
                                      <w:sz w:val="22"/>
                                      <w:szCs w:val="22"/>
                                    </w:rPr>
                                    <w:t xml:space="preserve">DFAT advises </w:t>
                                  </w:r>
                                  <w:r>
                                    <w:rPr>
                                      <w:rFonts w:ascii="Calibri" w:hAnsi="Calibri"/>
                                      <w:sz w:val="22"/>
                                      <w:szCs w:val="22"/>
                                    </w:rPr>
                                    <w:t>HRG</w:t>
                                  </w:r>
                                  <w:r w:rsidRPr="00D274AB">
                                    <w:rPr>
                                      <w:rFonts w:ascii="Calibri" w:hAnsi="Calibri"/>
                                      <w:sz w:val="22"/>
                                      <w:szCs w:val="22"/>
                                    </w:rPr>
                                    <w:t xml:space="preserve"> members of funding parameters (such as priority sectors, geographic areas, preferred number of partners, suggested partners), assessment criteria, and decision-making timeframes</w:t>
                                  </w:r>
                                </w:p>
                                <w:p w14:paraId="511A4DD7" w14:textId="77777777" w:rsidR="001C5460" w:rsidRPr="00D274AB" w:rsidRDefault="001C5460" w:rsidP="0076267F">
                                  <w:pPr>
                                    <w:rPr>
                                      <w:rFonts w:ascii="Calibri" w:hAnsi="Calibri"/>
                                      <w:sz w:val="22"/>
                                      <w:szCs w:val="22"/>
                                    </w:rPr>
                                  </w:pPr>
                                </w:p>
                              </w:tc>
                            </w:tr>
                            <w:tr w:rsidR="001C5460" w:rsidRPr="00D274AB" w14:paraId="47ABA870" w14:textId="77777777" w:rsidTr="006277E0">
                              <w:tc>
                                <w:tcPr>
                                  <w:tcW w:w="1668" w:type="dxa"/>
                                </w:tcPr>
                                <w:p w14:paraId="35D52040" w14:textId="77777777" w:rsidR="001C5460" w:rsidRPr="00D274AB" w:rsidRDefault="001C5460" w:rsidP="00C029BF">
                                  <w:pPr>
                                    <w:rPr>
                                      <w:rFonts w:ascii="Calibri" w:hAnsi="Calibri"/>
                                      <w:sz w:val="22"/>
                                      <w:szCs w:val="22"/>
                                    </w:rPr>
                                  </w:pPr>
                                  <w:r>
                                    <w:rPr>
                                      <w:rFonts w:ascii="Calibri" w:hAnsi="Calibri"/>
                                      <w:sz w:val="22"/>
                                      <w:szCs w:val="22"/>
                                    </w:rPr>
                                    <w:t>Activation + 5</w:t>
                                  </w:r>
                                  <w:r>
                                    <w:rPr>
                                      <w:rFonts w:ascii="Calibri" w:hAnsi="Calibri"/>
                                      <w:sz w:val="22"/>
                                      <w:szCs w:val="22"/>
                                    </w:rPr>
                                    <w:noBreakHyphen/>
                                  </w:r>
                                  <w:r w:rsidRPr="00D274AB">
                                    <w:rPr>
                                      <w:rFonts w:ascii="Calibri" w:hAnsi="Calibri"/>
                                      <w:sz w:val="22"/>
                                      <w:szCs w:val="22"/>
                                    </w:rPr>
                                    <w:t>14 days</w:t>
                                  </w:r>
                                </w:p>
                              </w:tc>
                              <w:tc>
                                <w:tcPr>
                                  <w:tcW w:w="6685" w:type="dxa"/>
                                </w:tcPr>
                                <w:p w14:paraId="4C431848" w14:textId="7C3315C9" w:rsidR="001C5460" w:rsidRPr="00D274AB" w:rsidRDefault="001C5460" w:rsidP="0076267F">
                                  <w:pPr>
                                    <w:rPr>
                                      <w:rFonts w:ascii="Calibri" w:hAnsi="Calibri"/>
                                      <w:sz w:val="22"/>
                                      <w:szCs w:val="22"/>
                                    </w:rPr>
                                  </w:pPr>
                                  <w:r>
                                    <w:rPr>
                                      <w:rFonts w:ascii="Calibri" w:hAnsi="Calibri"/>
                                      <w:sz w:val="22"/>
                                      <w:szCs w:val="22"/>
                                    </w:rPr>
                                    <w:t>The Support Unit convenes the t</w:t>
                                  </w:r>
                                  <w:r w:rsidRPr="00D274AB">
                                    <w:rPr>
                                      <w:rFonts w:ascii="Calibri" w:hAnsi="Calibri"/>
                                      <w:sz w:val="22"/>
                                      <w:szCs w:val="22"/>
                                    </w:rPr>
                                    <w:t>echnical assessment panel (generally comprised of 2-3 independent humanitarian experts)</w:t>
                                  </w:r>
                                  <w:r>
                                    <w:rPr>
                                      <w:rFonts w:ascii="Calibri" w:hAnsi="Calibri"/>
                                      <w:sz w:val="22"/>
                                      <w:szCs w:val="22"/>
                                    </w:rPr>
                                    <w:t>. The panel</w:t>
                                  </w:r>
                                  <w:r w:rsidRPr="00D274AB">
                                    <w:rPr>
                                      <w:rFonts w:ascii="Calibri" w:hAnsi="Calibri"/>
                                      <w:sz w:val="22"/>
                                      <w:szCs w:val="22"/>
                                    </w:rPr>
                                    <w:t xml:space="preserve"> proposes allocation of funds between the few NGOs best placed to respond, in line with the parameters set by DFAT. Allocation decisions will be made with reference to the pre-agreed capability map and MEL documentation from previous activations</w:t>
                                  </w:r>
                                </w:p>
                                <w:p w14:paraId="4507649D" w14:textId="77777777" w:rsidR="001C5460" w:rsidRPr="00D274AB" w:rsidRDefault="001C5460" w:rsidP="0076267F">
                                  <w:pPr>
                                    <w:rPr>
                                      <w:rFonts w:ascii="Calibri" w:hAnsi="Calibri"/>
                                      <w:sz w:val="22"/>
                                      <w:szCs w:val="22"/>
                                    </w:rPr>
                                  </w:pPr>
                                </w:p>
                              </w:tc>
                            </w:tr>
                            <w:tr w:rsidR="001C5460" w:rsidRPr="00D274AB" w14:paraId="2E1785E9" w14:textId="77777777" w:rsidTr="006277E0">
                              <w:tc>
                                <w:tcPr>
                                  <w:tcW w:w="1668" w:type="dxa"/>
                                </w:tcPr>
                                <w:p w14:paraId="1F699C84" w14:textId="77777777" w:rsidR="001C5460" w:rsidRPr="00D274AB" w:rsidRDefault="001C5460" w:rsidP="00C029BF">
                                  <w:pPr>
                                    <w:rPr>
                                      <w:rFonts w:ascii="Calibri" w:hAnsi="Calibri"/>
                                      <w:sz w:val="22"/>
                                      <w:szCs w:val="22"/>
                                    </w:rPr>
                                  </w:pPr>
                                  <w:r>
                                    <w:rPr>
                                      <w:rFonts w:ascii="Calibri" w:hAnsi="Calibri"/>
                                      <w:sz w:val="22"/>
                                      <w:szCs w:val="22"/>
                                    </w:rPr>
                                    <w:t>Activation + 5</w:t>
                                  </w:r>
                                  <w:r>
                                    <w:rPr>
                                      <w:rFonts w:ascii="Calibri" w:hAnsi="Calibri"/>
                                      <w:sz w:val="22"/>
                                      <w:szCs w:val="22"/>
                                    </w:rPr>
                                    <w:noBreakHyphen/>
                                  </w:r>
                                  <w:r w:rsidRPr="00D274AB">
                                    <w:rPr>
                                      <w:rFonts w:ascii="Calibri" w:hAnsi="Calibri"/>
                                      <w:sz w:val="22"/>
                                      <w:szCs w:val="22"/>
                                    </w:rPr>
                                    <w:t>15 days</w:t>
                                  </w:r>
                                </w:p>
                              </w:tc>
                              <w:tc>
                                <w:tcPr>
                                  <w:tcW w:w="6685" w:type="dxa"/>
                                </w:tcPr>
                                <w:p w14:paraId="31A646E6" w14:textId="77777777" w:rsidR="001C5460" w:rsidRPr="00D274AB" w:rsidRDefault="001C5460" w:rsidP="0076267F">
                                  <w:pPr>
                                    <w:rPr>
                                      <w:rFonts w:ascii="Calibri" w:hAnsi="Calibri"/>
                                      <w:sz w:val="22"/>
                                      <w:szCs w:val="22"/>
                                    </w:rPr>
                                  </w:pPr>
                                  <w:r w:rsidRPr="00D274AB">
                                    <w:rPr>
                                      <w:rFonts w:ascii="Calibri" w:hAnsi="Calibri"/>
                                      <w:sz w:val="22"/>
                                      <w:szCs w:val="22"/>
                                    </w:rPr>
                                    <w:t xml:space="preserve">Support Unit submits a </w:t>
                                  </w:r>
                                  <w:r>
                                    <w:rPr>
                                      <w:rFonts w:ascii="Calibri" w:hAnsi="Calibri"/>
                                      <w:sz w:val="22"/>
                                      <w:szCs w:val="22"/>
                                    </w:rPr>
                                    <w:t xml:space="preserve">draft </w:t>
                                  </w:r>
                                  <w:r w:rsidRPr="00D274AB">
                                    <w:rPr>
                                      <w:rFonts w:ascii="Calibri" w:hAnsi="Calibri"/>
                                      <w:sz w:val="22"/>
                                      <w:szCs w:val="22"/>
                                    </w:rPr>
                                    <w:t xml:space="preserve">Consolidated Proposal to DFAT </w:t>
                                  </w:r>
                                </w:p>
                                <w:p w14:paraId="52FAC251" w14:textId="77777777" w:rsidR="001C5460" w:rsidRPr="00D274AB" w:rsidRDefault="001C5460" w:rsidP="0076267F">
                                  <w:pPr>
                                    <w:rPr>
                                      <w:rFonts w:ascii="Calibri" w:hAnsi="Calibri"/>
                                      <w:sz w:val="22"/>
                                      <w:szCs w:val="22"/>
                                    </w:rPr>
                                  </w:pPr>
                                </w:p>
                                <w:p w14:paraId="78FD7251" w14:textId="77777777" w:rsidR="001C5460" w:rsidRPr="00D274AB" w:rsidRDefault="001C5460" w:rsidP="0076267F">
                                  <w:pPr>
                                    <w:rPr>
                                      <w:rFonts w:ascii="Calibri" w:hAnsi="Calibri"/>
                                      <w:sz w:val="22"/>
                                      <w:szCs w:val="22"/>
                                    </w:rPr>
                                  </w:pPr>
                                </w:p>
                              </w:tc>
                            </w:tr>
                            <w:tr w:rsidR="001C5460" w:rsidRPr="00D274AB" w14:paraId="2D740F22" w14:textId="77777777" w:rsidTr="006277E0">
                              <w:tc>
                                <w:tcPr>
                                  <w:tcW w:w="1668" w:type="dxa"/>
                                </w:tcPr>
                                <w:p w14:paraId="5779187B" w14:textId="77777777" w:rsidR="001C5460" w:rsidRPr="00D274AB" w:rsidRDefault="001C5460" w:rsidP="00C029BF">
                                  <w:pPr>
                                    <w:rPr>
                                      <w:rFonts w:ascii="Calibri" w:hAnsi="Calibri"/>
                                      <w:sz w:val="22"/>
                                      <w:szCs w:val="22"/>
                                    </w:rPr>
                                  </w:pPr>
                                  <w:r>
                                    <w:rPr>
                                      <w:rFonts w:ascii="Calibri" w:hAnsi="Calibri"/>
                                      <w:sz w:val="22"/>
                                      <w:szCs w:val="22"/>
                                    </w:rPr>
                                    <w:t>Activation + 7</w:t>
                                  </w:r>
                                  <w:r>
                                    <w:rPr>
                                      <w:rFonts w:ascii="Calibri" w:hAnsi="Calibri"/>
                                      <w:sz w:val="22"/>
                                      <w:szCs w:val="22"/>
                                    </w:rPr>
                                    <w:noBreakHyphen/>
                                  </w:r>
                                  <w:r w:rsidRPr="00D274AB">
                                    <w:rPr>
                                      <w:rFonts w:ascii="Calibri" w:hAnsi="Calibri"/>
                                      <w:sz w:val="22"/>
                                      <w:szCs w:val="22"/>
                                    </w:rPr>
                                    <w:t>18 days</w:t>
                                  </w:r>
                                </w:p>
                              </w:tc>
                              <w:tc>
                                <w:tcPr>
                                  <w:tcW w:w="6685" w:type="dxa"/>
                                </w:tcPr>
                                <w:p w14:paraId="5BAD028B" w14:textId="77777777" w:rsidR="001C5460" w:rsidRPr="00D274AB" w:rsidRDefault="001C5460" w:rsidP="0076267F">
                                  <w:pPr>
                                    <w:rPr>
                                      <w:rFonts w:ascii="Calibri" w:hAnsi="Calibri"/>
                                      <w:sz w:val="22"/>
                                      <w:szCs w:val="22"/>
                                    </w:rPr>
                                  </w:pPr>
                                  <w:r w:rsidRPr="00D274AB">
                                    <w:rPr>
                                      <w:rFonts w:ascii="Calibri" w:hAnsi="Calibri"/>
                                      <w:sz w:val="22"/>
                                      <w:szCs w:val="22"/>
                                    </w:rPr>
                                    <w:t>DFAT provides feedback and proposes changes to the Consolidated Proposal</w:t>
                                  </w:r>
                                </w:p>
                                <w:p w14:paraId="174782DD" w14:textId="77777777" w:rsidR="001C5460" w:rsidRPr="00D274AB" w:rsidRDefault="001C5460" w:rsidP="0076267F">
                                  <w:pPr>
                                    <w:rPr>
                                      <w:rFonts w:ascii="Calibri" w:hAnsi="Calibri"/>
                                      <w:sz w:val="22"/>
                                      <w:szCs w:val="22"/>
                                    </w:rPr>
                                  </w:pPr>
                                </w:p>
                              </w:tc>
                            </w:tr>
                            <w:tr w:rsidR="001C5460" w:rsidRPr="00D274AB" w14:paraId="65F1CF52" w14:textId="77777777" w:rsidTr="006277E0">
                              <w:tc>
                                <w:tcPr>
                                  <w:tcW w:w="1668" w:type="dxa"/>
                                </w:tcPr>
                                <w:p w14:paraId="587563B1" w14:textId="77777777" w:rsidR="001C5460" w:rsidRPr="00D274AB" w:rsidRDefault="001C5460" w:rsidP="00C029BF">
                                  <w:pPr>
                                    <w:rPr>
                                      <w:rFonts w:ascii="Calibri" w:hAnsi="Calibri"/>
                                      <w:sz w:val="22"/>
                                      <w:szCs w:val="22"/>
                                    </w:rPr>
                                  </w:pPr>
                                  <w:r>
                                    <w:rPr>
                                      <w:rFonts w:ascii="Calibri" w:hAnsi="Calibri"/>
                                      <w:sz w:val="22"/>
                                      <w:szCs w:val="22"/>
                                    </w:rPr>
                                    <w:t>Activation + 7</w:t>
                                  </w:r>
                                  <w:r>
                                    <w:rPr>
                                      <w:rFonts w:ascii="Calibri" w:hAnsi="Calibri"/>
                                      <w:sz w:val="22"/>
                                      <w:szCs w:val="22"/>
                                    </w:rPr>
                                    <w:noBreakHyphen/>
                                  </w:r>
                                  <w:r w:rsidRPr="00D274AB">
                                    <w:rPr>
                                      <w:rFonts w:ascii="Calibri" w:hAnsi="Calibri"/>
                                      <w:sz w:val="22"/>
                                      <w:szCs w:val="22"/>
                                    </w:rPr>
                                    <w:t>20 days</w:t>
                                  </w:r>
                                </w:p>
                              </w:tc>
                              <w:tc>
                                <w:tcPr>
                                  <w:tcW w:w="6685" w:type="dxa"/>
                                </w:tcPr>
                                <w:p w14:paraId="2A7E5D10" w14:textId="77777777" w:rsidR="001C5460" w:rsidRPr="00D274AB" w:rsidRDefault="001C5460" w:rsidP="0076267F">
                                  <w:pPr>
                                    <w:rPr>
                                      <w:rFonts w:ascii="Calibri" w:hAnsi="Calibri"/>
                                      <w:sz w:val="22"/>
                                      <w:szCs w:val="22"/>
                                    </w:rPr>
                                  </w:pPr>
                                  <w:r w:rsidRPr="00D274AB">
                                    <w:rPr>
                                      <w:rFonts w:ascii="Calibri" w:hAnsi="Calibri"/>
                                      <w:sz w:val="22"/>
                                      <w:szCs w:val="22"/>
                                    </w:rPr>
                                    <w:t>DFAT and relevant NGOs agree to the amended Consolidated Proposal</w:t>
                                  </w:r>
                                </w:p>
                                <w:p w14:paraId="4CC4E788" w14:textId="77777777" w:rsidR="001C5460" w:rsidRDefault="001C5460" w:rsidP="0076267F">
                                  <w:pPr>
                                    <w:rPr>
                                      <w:rFonts w:ascii="Calibri" w:hAnsi="Calibri"/>
                                      <w:sz w:val="22"/>
                                      <w:szCs w:val="22"/>
                                    </w:rPr>
                                  </w:pPr>
                                </w:p>
                                <w:p w14:paraId="38F33981" w14:textId="77777777" w:rsidR="001C5460" w:rsidRPr="00D274AB" w:rsidRDefault="001C5460" w:rsidP="0076267F">
                                  <w:pPr>
                                    <w:rPr>
                                      <w:rFonts w:ascii="Calibri" w:hAnsi="Calibri"/>
                                      <w:sz w:val="22"/>
                                      <w:szCs w:val="22"/>
                                    </w:rPr>
                                  </w:pPr>
                                </w:p>
                              </w:tc>
                            </w:tr>
                            <w:tr w:rsidR="001C5460" w:rsidRPr="00D274AB" w14:paraId="5307CC49" w14:textId="77777777" w:rsidTr="006277E0">
                              <w:tc>
                                <w:tcPr>
                                  <w:tcW w:w="1668" w:type="dxa"/>
                                </w:tcPr>
                                <w:p w14:paraId="08AB653E" w14:textId="77777777" w:rsidR="001C5460" w:rsidRPr="00D274AB" w:rsidRDefault="001C5460" w:rsidP="00C029BF">
                                  <w:pPr>
                                    <w:rPr>
                                      <w:rFonts w:ascii="Calibri" w:hAnsi="Calibri"/>
                                      <w:sz w:val="22"/>
                                      <w:szCs w:val="22"/>
                                    </w:rPr>
                                  </w:pPr>
                                  <w:r w:rsidRPr="00D274AB">
                                    <w:rPr>
                                      <w:rFonts w:ascii="Calibri" w:hAnsi="Calibri"/>
                                      <w:sz w:val="22"/>
                                      <w:szCs w:val="22"/>
                                    </w:rPr>
                                    <w:t>Activation + 3 weeks</w:t>
                                  </w:r>
                                </w:p>
                              </w:tc>
                              <w:tc>
                                <w:tcPr>
                                  <w:tcW w:w="6685" w:type="dxa"/>
                                </w:tcPr>
                                <w:p w14:paraId="3257B6F1" w14:textId="46D092A0" w:rsidR="001C5460" w:rsidRPr="00D274AB" w:rsidRDefault="001C5460" w:rsidP="0076267F">
                                  <w:pPr>
                                    <w:rPr>
                                      <w:rFonts w:ascii="Calibri" w:hAnsi="Calibri"/>
                                      <w:sz w:val="22"/>
                                      <w:szCs w:val="22"/>
                                    </w:rPr>
                                  </w:pPr>
                                  <w:r w:rsidRPr="00D274AB">
                                    <w:rPr>
                                      <w:rFonts w:ascii="Calibri" w:hAnsi="Calibri"/>
                                      <w:sz w:val="22"/>
                                      <w:szCs w:val="22"/>
                                    </w:rPr>
                                    <w:t xml:space="preserve">DFAT prepares </w:t>
                                  </w:r>
                                  <w:r>
                                    <w:rPr>
                                      <w:rFonts w:ascii="Calibri" w:hAnsi="Calibri"/>
                                      <w:sz w:val="22"/>
                                      <w:szCs w:val="22"/>
                                    </w:rPr>
                                    <w:t xml:space="preserve">a </w:t>
                                  </w:r>
                                  <w:r w:rsidRPr="00D274AB">
                                    <w:rPr>
                                      <w:rFonts w:ascii="Calibri" w:hAnsi="Calibri"/>
                                      <w:sz w:val="22"/>
                                      <w:szCs w:val="22"/>
                                    </w:rPr>
                                    <w:t>contract</w:t>
                                  </w:r>
                                  <w:r>
                                    <w:rPr>
                                      <w:rFonts w:ascii="Calibri" w:hAnsi="Calibri"/>
                                      <w:sz w:val="22"/>
                                      <w:szCs w:val="22"/>
                                    </w:rPr>
                                    <w:t xml:space="preserve"> with the Support Unit</w:t>
                                  </w:r>
                                  <w:r w:rsidRPr="00D274AB">
                                    <w:rPr>
                                      <w:rFonts w:ascii="Calibri" w:hAnsi="Calibri"/>
                                      <w:sz w:val="22"/>
                                      <w:szCs w:val="22"/>
                                    </w:rPr>
                                    <w:t xml:space="preserve"> and disburses funds</w:t>
                                  </w:r>
                                  <w:r>
                                    <w:rPr>
                                      <w:rFonts w:ascii="Calibri" w:hAnsi="Calibri"/>
                                      <w:sz w:val="22"/>
                                      <w:szCs w:val="22"/>
                                    </w:rPr>
                                    <w:t>. The Support Unit prepares contracts with the relevant NGOs, using pre-agreed templates, and disburses funds</w:t>
                                  </w:r>
                                  <w:r w:rsidRPr="00D274AB">
                                    <w:rPr>
                                      <w:rFonts w:ascii="Calibri" w:hAnsi="Calibri"/>
                                      <w:sz w:val="22"/>
                                      <w:szCs w:val="22"/>
                                    </w:rPr>
                                    <w:t xml:space="preserve"> </w:t>
                                  </w:r>
                                </w:p>
                                <w:p w14:paraId="6A1216F6" w14:textId="77777777" w:rsidR="001C5460" w:rsidRPr="00D274AB" w:rsidRDefault="001C5460" w:rsidP="0076267F">
                                  <w:pPr>
                                    <w:rPr>
                                      <w:rFonts w:ascii="Calibri" w:hAnsi="Calibri"/>
                                      <w:sz w:val="22"/>
                                      <w:szCs w:val="22"/>
                                    </w:rPr>
                                  </w:pPr>
                                </w:p>
                              </w:tc>
                            </w:tr>
                            <w:tr w:rsidR="001C5460" w:rsidRPr="00D274AB" w14:paraId="362D8F7D" w14:textId="77777777" w:rsidTr="00570132">
                              <w:trPr>
                                <w:trHeight w:val="885"/>
                              </w:trPr>
                              <w:tc>
                                <w:tcPr>
                                  <w:tcW w:w="1668" w:type="dxa"/>
                                </w:tcPr>
                                <w:p w14:paraId="6D34DC17" w14:textId="77777777" w:rsidR="001C5460" w:rsidRPr="00D274AB" w:rsidRDefault="001C5460" w:rsidP="0076267F">
                                  <w:pPr>
                                    <w:rPr>
                                      <w:rFonts w:ascii="Calibri" w:hAnsi="Calibri"/>
                                      <w:sz w:val="22"/>
                                      <w:szCs w:val="22"/>
                                    </w:rPr>
                                  </w:pPr>
                                  <w:r w:rsidRPr="00D274AB">
                                    <w:rPr>
                                      <w:rFonts w:ascii="Calibri" w:hAnsi="Calibri"/>
                                      <w:sz w:val="22"/>
                                      <w:szCs w:val="22"/>
                                    </w:rPr>
                                    <w:t>Activation + 8 weeks</w:t>
                                  </w:r>
                                </w:p>
                              </w:tc>
                              <w:tc>
                                <w:tcPr>
                                  <w:tcW w:w="6685" w:type="dxa"/>
                                </w:tcPr>
                                <w:p w14:paraId="1FEC5AD0" w14:textId="77777777" w:rsidR="001C5460" w:rsidRDefault="001C5460" w:rsidP="0076267F">
                                  <w:pPr>
                                    <w:rPr>
                                      <w:rFonts w:ascii="Calibri" w:hAnsi="Calibri"/>
                                      <w:sz w:val="22"/>
                                      <w:szCs w:val="22"/>
                                    </w:rPr>
                                  </w:pPr>
                                  <w:r w:rsidRPr="00D274AB">
                                    <w:rPr>
                                      <w:rFonts w:ascii="Calibri" w:hAnsi="Calibri"/>
                                      <w:sz w:val="22"/>
                                      <w:szCs w:val="22"/>
                                    </w:rPr>
                                    <w:t xml:space="preserve">Support Unit collates and submits consolidated Implementation Plan to DFAT. Adjustments to response activities may be negotiated with DFAT during this period, and recorded in the implementation plan </w:t>
                                  </w:r>
                                </w:p>
                                <w:p w14:paraId="4964AC29" w14:textId="77777777" w:rsidR="001C5460" w:rsidRPr="00D274AB" w:rsidRDefault="001C5460" w:rsidP="0076267F">
                                  <w:pPr>
                                    <w:rPr>
                                      <w:rFonts w:ascii="Calibri" w:hAnsi="Calibri"/>
                                      <w:sz w:val="22"/>
                                      <w:szCs w:val="22"/>
                                    </w:rPr>
                                  </w:pPr>
                                </w:p>
                              </w:tc>
                            </w:tr>
                            <w:tr w:rsidR="001C5460" w:rsidRPr="00D274AB" w14:paraId="777A496F" w14:textId="77777777" w:rsidTr="002B50D3">
                              <w:trPr>
                                <w:trHeight w:val="1150"/>
                              </w:trPr>
                              <w:tc>
                                <w:tcPr>
                                  <w:tcW w:w="1668" w:type="dxa"/>
                                </w:tcPr>
                                <w:p w14:paraId="0CE68C26" w14:textId="77777777" w:rsidR="001C5460" w:rsidRPr="00D274AB" w:rsidRDefault="001C5460" w:rsidP="0076267F">
                                  <w:pPr>
                                    <w:rPr>
                                      <w:rFonts w:ascii="Calibri" w:hAnsi="Calibri"/>
                                      <w:sz w:val="22"/>
                                      <w:szCs w:val="22"/>
                                    </w:rPr>
                                  </w:pPr>
                                  <w:r>
                                    <w:rPr>
                                      <w:rFonts w:ascii="Calibri" w:hAnsi="Calibri"/>
                                      <w:sz w:val="22"/>
                                      <w:szCs w:val="22"/>
                                    </w:rPr>
                                    <w:t>Activation + 3</w:t>
                                  </w:r>
                                  <w:r>
                                    <w:rPr>
                                      <w:rFonts w:ascii="Calibri" w:hAnsi="Calibri"/>
                                      <w:sz w:val="22"/>
                                      <w:szCs w:val="22"/>
                                    </w:rPr>
                                    <w:noBreakHyphen/>
                                  </w:r>
                                  <w:r w:rsidRPr="00D274AB">
                                    <w:rPr>
                                      <w:rFonts w:ascii="Calibri" w:hAnsi="Calibri"/>
                                      <w:sz w:val="22"/>
                                      <w:szCs w:val="22"/>
                                    </w:rPr>
                                    <w:t>30 months</w:t>
                                  </w:r>
                                </w:p>
                              </w:tc>
                              <w:tc>
                                <w:tcPr>
                                  <w:tcW w:w="6685" w:type="dxa"/>
                                </w:tcPr>
                                <w:p w14:paraId="039B4A33" w14:textId="4A95DE30" w:rsidR="001C5460" w:rsidRPr="00D274AB" w:rsidRDefault="001C5460" w:rsidP="00993395">
                                  <w:pPr>
                                    <w:rPr>
                                      <w:rFonts w:ascii="Calibri" w:hAnsi="Calibri"/>
                                      <w:sz w:val="22"/>
                                      <w:szCs w:val="22"/>
                                    </w:rPr>
                                  </w:pPr>
                                  <w:r w:rsidRPr="00D274AB">
                                    <w:rPr>
                                      <w:rFonts w:ascii="Calibri" w:hAnsi="Calibri"/>
                                      <w:sz w:val="22"/>
                                      <w:szCs w:val="22"/>
                                    </w:rPr>
                                    <w:t>Support Unit works with DFAT to meet reporting and public communication requirements. Support Unit coordinates, collates and submits final reports to DFAT</w:t>
                                  </w:r>
                                  <w:r w:rsidRPr="00D274AB">
                                    <w:rPr>
                                      <w:rFonts w:ascii="Calibri" w:hAnsi="Calibri"/>
                                      <w:i/>
                                      <w:sz w:val="22"/>
                                      <w:szCs w:val="22"/>
                                    </w:rPr>
                                    <w:t xml:space="preserve"> </w:t>
                                  </w:r>
                                </w:p>
                              </w:tc>
                            </w:tr>
                            <w:tr w:rsidR="001C5460" w:rsidRPr="00D274AB" w14:paraId="1F1B222A" w14:textId="77777777" w:rsidTr="00C029BF">
                              <w:trPr>
                                <w:trHeight w:val="514"/>
                              </w:trPr>
                              <w:tc>
                                <w:tcPr>
                                  <w:tcW w:w="1668" w:type="dxa"/>
                                </w:tcPr>
                                <w:p w14:paraId="6A070A22" w14:textId="77777777" w:rsidR="001C5460" w:rsidRPr="00D274AB" w:rsidRDefault="001C5460" w:rsidP="0076267F">
                                  <w:pPr>
                                    <w:rPr>
                                      <w:rFonts w:ascii="Calibri" w:hAnsi="Calibri"/>
                                      <w:sz w:val="22"/>
                                      <w:szCs w:val="22"/>
                                    </w:rPr>
                                  </w:pPr>
                                  <w:r w:rsidRPr="00D274AB">
                                    <w:rPr>
                                      <w:rFonts w:ascii="Calibri" w:hAnsi="Calibri"/>
                                      <w:sz w:val="22"/>
                                      <w:szCs w:val="22"/>
                                    </w:rPr>
                                    <w:t>Subsequently</w:t>
                                  </w:r>
                                </w:p>
                              </w:tc>
                              <w:tc>
                                <w:tcPr>
                                  <w:tcW w:w="6685" w:type="dxa"/>
                                </w:tcPr>
                                <w:p w14:paraId="06815E88" w14:textId="77777777" w:rsidR="001C5460" w:rsidRPr="00D274AB" w:rsidRDefault="001C5460" w:rsidP="0076267F">
                                  <w:pPr>
                                    <w:rPr>
                                      <w:rFonts w:ascii="Calibri" w:hAnsi="Calibri"/>
                                      <w:sz w:val="22"/>
                                      <w:szCs w:val="22"/>
                                    </w:rPr>
                                  </w:pPr>
                                  <w:r w:rsidRPr="00D274AB">
                                    <w:rPr>
                                      <w:rFonts w:ascii="Calibri" w:hAnsi="Calibri"/>
                                      <w:sz w:val="22"/>
                                      <w:szCs w:val="22"/>
                                    </w:rPr>
                                    <w:t xml:space="preserve">Support Unit, in collaboration with ACFID and HRG </w:t>
                                  </w:r>
                                  <w:r>
                                    <w:rPr>
                                      <w:rFonts w:ascii="Calibri" w:hAnsi="Calibri"/>
                                      <w:sz w:val="22"/>
                                      <w:szCs w:val="22"/>
                                    </w:rPr>
                                    <w:t>Co-</w:t>
                                  </w:r>
                                  <w:r w:rsidRPr="00D274AB">
                                    <w:rPr>
                                      <w:rFonts w:ascii="Calibri" w:hAnsi="Calibri"/>
                                      <w:sz w:val="22"/>
                                      <w:szCs w:val="22"/>
                                    </w:rPr>
                                    <w:t xml:space="preserve">Chairs, facilitates a lesson learning event open to all </w:t>
                                  </w:r>
                                  <w:r>
                                    <w:rPr>
                                      <w:rFonts w:ascii="Calibri" w:hAnsi="Calibri"/>
                                      <w:sz w:val="22"/>
                                      <w:szCs w:val="22"/>
                                    </w:rPr>
                                    <w:t>HRG</w:t>
                                  </w:r>
                                  <w:r w:rsidRPr="00D274AB">
                                    <w:rPr>
                                      <w:rFonts w:ascii="Calibri" w:hAnsi="Calibri"/>
                                      <w:sz w:val="22"/>
                                      <w:szCs w:val="22"/>
                                    </w:rPr>
                                    <w:t xml:space="preserve"> members</w:t>
                                  </w:r>
                                </w:p>
                                <w:p w14:paraId="2C143AA9" w14:textId="77777777" w:rsidR="001C5460" w:rsidRPr="00D274AB" w:rsidRDefault="001C5460" w:rsidP="0076267F">
                                  <w:pPr>
                                    <w:rPr>
                                      <w:rFonts w:ascii="Calibri" w:hAnsi="Calibri"/>
                                      <w:sz w:val="22"/>
                                      <w:szCs w:val="22"/>
                                    </w:rPr>
                                  </w:pPr>
                                </w:p>
                              </w:tc>
                            </w:tr>
                            <w:tr w:rsidR="001C5460" w:rsidRPr="00D274AB" w14:paraId="29E6C92D" w14:textId="77777777" w:rsidTr="00C029BF">
                              <w:tc>
                                <w:tcPr>
                                  <w:tcW w:w="1668" w:type="dxa"/>
                                </w:tcPr>
                                <w:p w14:paraId="6EFA64A5" w14:textId="77777777" w:rsidR="001C5460" w:rsidRPr="00D274AB" w:rsidRDefault="001C5460" w:rsidP="0076267F">
                                  <w:pPr>
                                    <w:rPr>
                                      <w:rFonts w:ascii="Calibri" w:hAnsi="Calibri"/>
                                      <w:sz w:val="22"/>
                                      <w:szCs w:val="22"/>
                                    </w:rPr>
                                  </w:pPr>
                                  <w:r w:rsidRPr="00D274AB">
                                    <w:rPr>
                                      <w:rFonts w:ascii="Calibri" w:hAnsi="Calibri"/>
                                      <w:sz w:val="22"/>
                                      <w:szCs w:val="22"/>
                                    </w:rPr>
                                    <w:t>Subsequently</w:t>
                                  </w:r>
                                </w:p>
                              </w:tc>
                              <w:tc>
                                <w:tcPr>
                                  <w:tcW w:w="6685" w:type="dxa"/>
                                </w:tcPr>
                                <w:p w14:paraId="16F40169" w14:textId="77777777" w:rsidR="001C5460" w:rsidRPr="00D274AB" w:rsidRDefault="001C5460" w:rsidP="00F135D1">
                                  <w:pPr>
                                    <w:rPr>
                                      <w:rFonts w:ascii="Calibri" w:hAnsi="Calibri"/>
                                      <w:sz w:val="22"/>
                                      <w:szCs w:val="22"/>
                                    </w:rPr>
                                  </w:pPr>
                                  <w:r w:rsidRPr="00D274AB">
                                    <w:rPr>
                                      <w:rFonts w:ascii="Calibri" w:hAnsi="Calibri"/>
                                      <w:sz w:val="22"/>
                                      <w:szCs w:val="22"/>
                                    </w:rPr>
                                    <w:t xml:space="preserve">Lesson learning report distributed to all </w:t>
                                  </w:r>
                                  <w:r>
                                    <w:rPr>
                                      <w:rFonts w:ascii="Calibri" w:hAnsi="Calibri"/>
                                      <w:sz w:val="22"/>
                                      <w:szCs w:val="22"/>
                                    </w:rPr>
                                    <w:t>HRG</w:t>
                                  </w:r>
                                  <w:r w:rsidRPr="00D274AB">
                                    <w:rPr>
                                      <w:rFonts w:ascii="Calibri" w:hAnsi="Calibri"/>
                                      <w:sz w:val="22"/>
                                      <w:szCs w:val="22"/>
                                    </w:rPr>
                                    <w:t xml:space="preserve"> members</w:t>
                                  </w:r>
                                  <w:r>
                                    <w:rPr>
                                      <w:rFonts w:ascii="Calibri" w:hAnsi="Calibri"/>
                                      <w:sz w:val="22"/>
                                      <w:szCs w:val="22"/>
                                    </w:rPr>
                                    <w:t xml:space="preserve"> and shared with local implementing partners</w:t>
                                  </w:r>
                                  <w:r w:rsidRPr="00D274AB">
                                    <w:rPr>
                                      <w:rFonts w:ascii="Calibri" w:hAnsi="Calibri"/>
                                      <w:sz w:val="22"/>
                                      <w:szCs w:val="22"/>
                                    </w:rPr>
                                    <w:t xml:space="preserve"> </w:t>
                                  </w:r>
                                </w:p>
                              </w:tc>
                            </w:tr>
                            <w:tr w:rsidR="001C5460" w:rsidRPr="00D274AB" w14:paraId="7AE20960" w14:textId="77777777" w:rsidTr="00C029BF">
                              <w:trPr>
                                <w:trHeight w:val="272"/>
                              </w:trPr>
                              <w:tc>
                                <w:tcPr>
                                  <w:tcW w:w="1668" w:type="dxa"/>
                                </w:tcPr>
                                <w:p w14:paraId="15C08763" w14:textId="77777777" w:rsidR="001C5460" w:rsidRPr="00D274AB" w:rsidRDefault="001C5460" w:rsidP="0076267F">
                                  <w:pPr>
                                    <w:rPr>
                                      <w:rFonts w:ascii="Calibri" w:hAnsi="Calibri"/>
                                      <w:sz w:val="22"/>
                                      <w:szCs w:val="22"/>
                                    </w:rPr>
                                  </w:pPr>
                                </w:p>
                              </w:tc>
                              <w:tc>
                                <w:tcPr>
                                  <w:tcW w:w="6685" w:type="dxa"/>
                                </w:tcPr>
                                <w:p w14:paraId="161691BF" w14:textId="77777777" w:rsidR="001C5460" w:rsidRPr="00D274AB" w:rsidRDefault="001C5460" w:rsidP="006277E0">
                                  <w:pPr>
                                    <w:rPr>
                                      <w:rFonts w:ascii="Calibri" w:hAnsi="Calibri"/>
                                      <w:sz w:val="22"/>
                                      <w:szCs w:val="22"/>
                                    </w:rPr>
                                  </w:pPr>
                                </w:p>
                              </w:tc>
                            </w:tr>
                          </w:tbl>
                          <w:p w14:paraId="4C8EA288" w14:textId="77777777" w:rsidR="001C5460" w:rsidRPr="00D274AB" w:rsidRDefault="001C5460" w:rsidP="00C029BF">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left:0;text-align:left;margin-left:4.05pt;margin-top:1.65pt;width:6in;height:676.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" fillcolor="#a7bfde [1620]" strokecolor="#4579b8 [3044]" strokeweight="1.5pt">
                <v:fill color2="#e4ecf5 [500]" rotate="t" angle="180" colors="0 #a3c4ff;22938f #bfd5ff;1 #e5eeff" focus="100%" type="gradient"/>
                <v:shadow on="t" color="black" opacity="24903f" origin=",.5" offset="0,.55556mm"/>
                <v:textbox>
                  <w:txbxContent>
                    <w:p w14:paraId="49FFF4E1" w14:textId="77777777" w:rsidR="001C5460" w:rsidRPr="00D274AB" w:rsidRDefault="001C5460" w:rsidP="00C029BF">
                      <w:pPr>
                        <w:rPr>
                          <w:rFonts w:ascii="Calibri" w:hAnsi="Calibri"/>
                          <w:b/>
                          <w:sz w:val="22"/>
                          <w:szCs w:val="22"/>
                        </w:rPr>
                      </w:pPr>
                      <w:r w:rsidRPr="00D274AB">
                        <w:rPr>
                          <w:rFonts w:ascii="Calibri" w:hAnsi="Calibri"/>
                          <w:b/>
                          <w:sz w:val="22"/>
                          <w:szCs w:val="22"/>
                        </w:rPr>
                        <w:t xml:space="preserve">Activation of </w:t>
                      </w:r>
                      <w:r>
                        <w:rPr>
                          <w:rFonts w:ascii="Calibri" w:hAnsi="Calibri"/>
                          <w:b/>
                          <w:sz w:val="22"/>
                          <w:szCs w:val="22"/>
                        </w:rPr>
                        <w:t>Funding for Protracted and Slow-onset Crises</w:t>
                      </w:r>
                      <w:r w:rsidRPr="00D274AB">
                        <w:rPr>
                          <w:rFonts w:ascii="Calibri" w:hAnsi="Calibri"/>
                          <w:b/>
                          <w:sz w:val="22"/>
                          <w:szCs w:val="22"/>
                        </w:rPr>
                        <w:t xml:space="preserve"> </w:t>
                      </w:r>
                    </w:p>
                    <w:p w14:paraId="7B622863" w14:textId="77777777" w:rsidR="001C5460" w:rsidRPr="00D274AB" w:rsidRDefault="001C5460" w:rsidP="00C029BF">
                      <w:pPr>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85"/>
                      </w:tblGrid>
                      <w:tr w:rsidR="001C5460" w:rsidRPr="00D274AB" w14:paraId="098C3B3D" w14:textId="77777777" w:rsidTr="006277E0">
                        <w:tc>
                          <w:tcPr>
                            <w:tcW w:w="1668" w:type="dxa"/>
                          </w:tcPr>
                          <w:p w14:paraId="7FB45732" w14:textId="77777777" w:rsidR="001C5460" w:rsidRPr="00D274AB" w:rsidRDefault="001C5460" w:rsidP="0076267F">
                            <w:pPr>
                              <w:rPr>
                                <w:rFonts w:ascii="Calibri" w:hAnsi="Calibri"/>
                                <w:sz w:val="22"/>
                                <w:szCs w:val="22"/>
                              </w:rPr>
                            </w:pPr>
                            <w:r w:rsidRPr="00D274AB">
                              <w:rPr>
                                <w:rFonts w:ascii="Calibri" w:hAnsi="Calibri"/>
                                <w:sz w:val="22"/>
                                <w:szCs w:val="22"/>
                              </w:rPr>
                              <w:t>Crisis</w:t>
                            </w:r>
                          </w:p>
                        </w:tc>
                        <w:tc>
                          <w:tcPr>
                            <w:tcW w:w="6685" w:type="dxa"/>
                          </w:tcPr>
                          <w:p w14:paraId="44821578" w14:textId="77777777" w:rsidR="001C5460" w:rsidRPr="00D274AB" w:rsidRDefault="001C5460" w:rsidP="0076267F">
                            <w:pPr>
                              <w:rPr>
                                <w:rFonts w:ascii="Calibri" w:hAnsi="Calibri"/>
                                <w:sz w:val="22"/>
                                <w:szCs w:val="22"/>
                              </w:rPr>
                            </w:pPr>
                            <w:r w:rsidRPr="00D274AB">
                              <w:rPr>
                                <w:rFonts w:ascii="Calibri" w:hAnsi="Calibri"/>
                                <w:sz w:val="22"/>
                                <w:szCs w:val="22"/>
                              </w:rPr>
                              <w:t>Crisis occurs</w:t>
                            </w:r>
                          </w:p>
                          <w:p w14:paraId="4D7E839F" w14:textId="77777777" w:rsidR="001C5460" w:rsidRPr="00D274AB" w:rsidRDefault="001C5460" w:rsidP="0076267F">
                            <w:pPr>
                              <w:rPr>
                                <w:rFonts w:ascii="Calibri" w:hAnsi="Calibri"/>
                                <w:sz w:val="22"/>
                                <w:szCs w:val="22"/>
                              </w:rPr>
                            </w:pPr>
                          </w:p>
                        </w:tc>
                      </w:tr>
                      <w:tr w:rsidR="001C5460" w:rsidRPr="00D274AB" w14:paraId="04D8D9DC" w14:textId="77777777" w:rsidTr="006277E0">
                        <w:tc>
                          <w:tcPr>
                            <w:tcW w:w="1668" w:type="dxa"/>
                          </w:tcPr>
                          <w:p w14:paraId="63C949C8" w14:textId="77777777" w:rsidR="001C5460" w:rsidRDefault="001C5460" w:rsidP="0076267F">
                            <w:pPr>
                              <w:rPr>
                                <w:rFonts w:ascii="Calibri" w:hAnsi="Calibri"/>
                                <w:sz w:val="22"/>
                                <w:szCs w:val="22"/>
                              </w:rPr>
                            </w:pPr>
                            <w:r>
                              <w:rPr>
                                <w:rFonts w:ascii="Calibri" w:hAnsi="Calibri"/>
                                <w:sz w:val="22"/>
                                <w:szCs w:val="22"/>
                              </w:rPr>
                              <w:t>Pre-activation</w:t>
                            </w:r>
                          </w:p>
                          <w:p w14:paraId="3C206775" w14:textId="77777777" w:rsidR="001C5460" w:rsidRDefault="001C5460" w:rsidP="0076267F">
                            <w:pPr>
                              <w:rPr>
                                <w:rFonts w:ascii="Calibri" w:hAnsi="Calibri"/>
                                <w:sz w:val="22"/>
                                <w:szCs w:val="22"/>
                              </w:rPr>
                            </w:pPr>
                          </w:p>
                          <w:p w14:paraId="422DB943" w14:textId="77777777" w:rsidR="001C5460" w:rsidRDefault="001C5460" w:rsidP="0076267F">
                            <w:pPr>
                              <w:rPr>
                                <w:rFonts w:ascii="Calibri" w:hAnsi="Calibri"/>
                                <w:sz w:val="22"/>
                                <w:szCs w:val="22"/>
                              </w:rPr>
                            </w:pPr>
                          </w:p>
                          <w:p w14:paraId="6F291D4C" w14:textId="77777777" w:rsidR="001C5460" w:rsidRDefault="001C5460" w:rsidP="0076267F">
                            <w:pPr>
                              <w:rPr>
                                <w:rFonts w:ascii="Calibri" w:hAnsi="Calibri"/>
                                <w:sz w:val="22"/>
                                <w:szCs w:val="22"/>
                              </w:rPr>
                            </w:pPr>
                          </w:p>
                          <w:p w14:paraId="1755E446" w14:textId="77777777" w:rsidR="001C5460" w:rsidRDefault="001C5460" w:rsidP="0076267F">
                            <w:pPr>
                              <w:rPr>
                                <w:rFonts w:ascii="Calibri" w:hAnsi="Calibri"/>
                                <w:sz w:val="22"/>
                                <w:szCs w:val="22"/>
                              </w:rPr>
                            </w:pPr>
                          </w:p>
                          <w:p w14:paraId="5523080D" w14:textId="77777777" w:rsidR="001C5460" w:rsidRPr="00D274AB" w:rsidRDefault="001C5460" w:rsidP="0076267F">
                            <w:pPr>
                              <w:rPr>
                                <w:rFonts w:ascii="Calibri" w:hAnsi="Calibri"/>
                                <w:sz w:val="22"/>
                                <w:szCs w:val="22"/>
                              </w:rPr>
                            </w:pPr>
                            <w:r w:rsidRPr="00D274AB">
                              <w:rPr>
                                <w:rFonts w:ascii="Calibri" w:hAnsi="Calibri"/>
                                <w:sz w:val="22"/>
                                <w:szCs w:val="22"/>
                              </w:rPr>
                              <w:t>Activation</w:t>
                            </w:r>
                          </w:p>
                        </w:tc>
                        <w:tc>
                          <w:tcPr>
                            <w:tcW w:w="6685" w:type="dxa"/>
                          </w:tcPr>
                          <w:p w14:paraId="3BF8C486" w14:textId="77777777" w:rsidR="001C5460" w:rsidRDefault="001C5460" w:rsidP="00C029BF">
                            <w:pPr>
                              <w:rPr>
                                <w:rFonts w:ascii="Calibri" w:hAnsi="Calibri"/>
                                <w:sz w:val="22"/>
                                <w:szCs w:val="22"/>
                              </w:rPr>
                            </w:pPr>
                            <w:r>
                              <w:rPr>
                                <w:rFonts w:ascii="Calibri" w:hAnsi="Calibri"/>
                                <w:sz w:val="22"/>
                                <w:szCs w:val="22"/>
                              </w:rPr>
                              <w:t>DFAT convenes teleconference(s) with HRG members to discuss unfolding crisis and the potential scale, objective(s) and expectations of Government funding.  Support Unit assists, documents any decisions and provides any follow-up support to partners.</w:t>
                            </w:r>
                          </w:p>
                          <w:p w14:paraId="51980E70" w14:textId="77777777" w:rsidR="001C5460" w:rsidRDefault="001C5460" w:rsidP="00C029BF">
                            <w:pPr>
                              <w:rPr>
                                <w:rFonts w:ascii="Calibri" w:hAnsi="Calibri"/>
                                <w:sz w:val="22"/>
                                <w:szCs w:val="22"/>
                              </w:rPr>
                            </w:pPr>
                          </w:p>
                          <w:p w14:paraId="516EBCA6" w14:textId="5C44B7FF" w:rsidR="001C5460" w:rsidRPr="00D274AB" w:rsidRDefault="001C5460" w:rsidP="00C029BF">
                            <w:pPr>
                              <w:rPr>
                                <w:rFonts w:ascii="Calibri" w:hAnsi="Calibri"/>
                                <w:sz w:val="22"/>
                                <w:szCs w:val="22"/>
                              </w:rPr>
                            </w:pPr>
                            <w:r w:rsidRPr="00D274AB">
                              <w:rPr>
                                <w:rFonts w:ascii="Calibri" w:hAnsi="Calibri"/>
                                <w:sz w:val="22"/>
                                <w:szCs w:val="22"/>
                              </w:rPr>
                              <w:t xml:space="preserve">Foreign Minister </w:t>
                            </w:r>
                            <w:r>
                              <w:rPr>
                                <w:rFonts w:ascii="Calibri" w:hAnsi="Calibri"/>
                                <w:sz w:val="22"/>
                                <w:szCs w:val="22"/>
                              </w:rPr>
                              <w:t>approves</w:t>
                            </w:r>
                            <w:r w:rsidRPr="00D274AB">
                              <w:rPr>
                                <w:rFonts w:ascii="Calibri" w:hAnsi="Calibri"/>
                                <w:sz w:val="22"/>
                                <w:szCs w:val="22"/>
                              </w:rPr>
                              <w:t xml:space="preserve"> </w:t>
                            </w:r>
                            <w:r>
                              <w:rPr>
                                <w:rFonts w:ascii="Calibri" w:hAnsi="Calibri"/>
                                <w:sz w:val="22"/>
                                <w:szCs w:val="22"/>
                              </w:rPr>
                              <w:t>funding</w:t>
                            </w:r>
                            <w:r w:rsidRPr="00D274AB">
                              <w:rPr>
                                <w:rFonts w:ascii="Calibri" w:hAnsi="Calibri"/>
                                <w:sz w:val="22"/>
                                <w:szCs w:val="22"/>
                              </w:rPr>
                              <w:t xml:space="preserve">, and DFAT advises </w:t>
                            </w:r>
                            <w:r>
                              <w:rPr>
                                <w:rFonts w:ascii="Calibri" w:hAnsi="Calibri"/>
                                <w:sz w:val="22"/>
                                <w:szCs w:val="22"/>
                              </w:rPr>
                              <w:t>HRG</w:t>
                            </w:r>
                            <w:r w:rsidRPr="00D274AB">
                              <w:rPr>
                                <w:rFonts w:ascii="Calibri" w:hAnsi="Calibri"/>
                                <w:sz w:val="22"/>
                                <w:szCs w:val="22"/>
                              </w:rPr>
                              <w:t xml:space="preserve"> members of available funding envelope</w:t>
                            </w:r>
                          </w:p>
                          <w:p w14:paraId="2047FD9B" w14:textId="77777777" w:rsidR="001C5460" w:rsidRPr="00D274AB" w:rsidRDefault="001C5460" w:rsidP="0076267F">
                            <w:pPr>
                              <w:rPr>
                                <w:rFonts w:ascii="Calibri" w:hAnsi="Calibri"/>
                                <w:sz w:val="22"/>
                                <w:szCs w:val="22"/>
                              </w:rPr>
                            </w:pPr>
                          </w:p>
                        </w:tc>
                      </w:tr>
                      <w:tr w:rsidR="001C5460" w:rsidRPr="00D274AB" w14:paraId="792905EC" w14:textId="77777777" w:rsidTr="006277E0">
                        <w:tc>
                          <w:tcPr>
                            <w:tcW w:w="1668" w:type="dxa"/>
                          </w:tcPr>
                          <w:p w14:paraId="0E2A8964" w14:textId="77777777" w:rsidR="001C5460" w:rsidRPr="00D274AB" w:rsidRDefault="001C5460" w:rsidP="000B4674">
                            <w:pPr>
                              <w:rPr>
                                <w:rFonts w:ascii="Calibri" w:hAnsi="Calibri"/>
                                <w:sz w:val="22"/>
                                <w:szCs w:val="22"/>
                              </w:rPr>
                            </w:pPr>
                            <w:r w:rsidRPr="00D274AB">
                              <w:rPr>
                                <w:rFonts w:ascii="Calibri" w:hAnsi="Calibri"/>
                                <w:sz w:val="22"/>
                                <w:szCs w:val="22"/>
                              </w:rPr>
                              <w:t xml:space="preserve">Activation + </w:t>
                            </w:r>
                            <w:r>
                              <w:rPr>
                                <w:rFonts w:ascii="Calibri" w:hAnsi="Calibri"/>
                                <w:sz w:val="22"/>
                                <w:szCs w:val="22"/>
                              </w:rPr>
                              <w:t>5</w:t>
                            </w:r>
                            <w:r w:rsidRPr="00D274AB">
                              <w:rPr>
                                <w:rFonts w:ascii="Calibri" w:hAnsi="Calibri"/>
                                <w:sz w:val="22"/>
                                <w:szCs w:val="22"/>
                              </w:rPr>
                              <w:t xml:space="preserve"> days</w:t>
                            </w:r>
                          </w:p>
                        </w:tc>
                        <w:tc>
                          <w:tcPr>
                            <w:tcW w:w="6685" w:type="dxa"/>
                          </w:tcPr>
                          <w:p w14:paraId="10E58B36" w14:textId="5E3A4342" w:rsidR="001C5460" w:rsidRPr="00D274AB" w:rsidRDefault="001C5460" w:rsidP="0076267F">
                            <w:pPr>
                              <w:rPr>
                                <w:rFonts w:ascii="Calibri" w:hAnsi="Calibri"/>
                                <w:sz w:val="22"/>
                                <w:szCs w:val="22"/>
                              </w:rPr>
                            </w:pPr>
                            <w:r w:rsidRPr="00D274AB">
                              <w:rPr>
                                <w:rFonts w:ascii="Calibri" w:hAnsi="Calibri"/>
                                <w:sz w:val="22"/>
                                <w:szCs w:val="22"/>
                              </w:rPr>
                              <w:t xml:space="preserve">DFAT advises </w:t>
                            </w:r>
                            <w:r>
                              <w:rPr>
                                <w:rFonts w:ascii="Calibri" w:hAnsi="Calibri"/>
                                <w:sz w:val="22"/>
                                <w:szCs w:val="22"/>
                              </w:rPr>
                              <w:t>HRG</w:t>
                            </w:r>
                            <w:r w:rsidRPr="00D274AB">
                              <w:rPr>
                                <w:rFonts w:ascii="Calibri" w:hAnsi="Calibri"/>
                                <w:sz w:val="22"/>
                                <w:szCs w:val="22"/>
                              </w:rPr>
                              <w:t xml:space="preserve"> members of funding parameters (such as priority sectors, geographic areas, preferred number of partners, suggested partners), assessment criteria, and decision-making timeframes</w:t>
                            </w:r>
                          </w:p>
                          <w:p w14:paraId="511A4DD7" w14:textId="77777777" w:rsidR="001C5460" w:rsidRPr="00D274AB" w:rsidRDefault="001C5460" w:rsidP="0076267F">
                            <w:pPr>
                              <w:rPr>
                                <w:rFonts w:ascii="Calibri" w:hAnsi="Calibri"/>
                                <w:sz w:val="22"/>
                                <w:szCs w:val="22"/>
                              </w:rPr>
                            </w:pPr>
                          </w:p>
                        </w:tc>
                      </w:tr>
                      <w:tr w:rsidR="001C5460" w:rsidRPr="00D274AB" w14:paraId="47ABA870" w14:textId="77777777" w:rsidTr="006277E0">
                        <w:tc>
                          <w:tcPr>
                            <w:tcW w:w="1668" w:type="dxa"/>
                          </w:tcPr>
                          <w:p w14:paraId="35D52040" w14:textId="77777777" w:rsidR="001C5460" w:rsidRPr="00D274AB" w:rsidRDefault="001C5460" w:rsidP="00C029BF">
                            <w:pPr>
                              <w:rPr>
                                <w:rFonts w:ascii="Calibri" w:hAnsi="Calibri"/>
                                <w:sz w:val="22"/>
                                <w:szCs w:val="22"/>
                              </w:rPr>
                            </w:pPr>
                            <w:r>
                              <w:rPr>
                                <w:rFonts w:ascii="Calibri" w:hAnsi="Calibri"/>
                                <w:sz w:val="22"/>
                                <w:szCs w:val="22"/>
                              </w:rPr>
                              <w:t>Activation + 5</w:t>
                            </w:r>
                            <w:r>
                              <w:rPr>
                                <w:rFonts w:ascii="Calibri" w:hAnsi="Calibri"/>
                                <w:sz w:val="22"/>
                                <w:szCs w:val="22"/>
                              </w:rPr>
                              <w:noBreakHyphen/>
                            </w:r>
                            <w:r w:rsidRPr="00D274AB">
                              <w:rPr>
                                <w:rFonts w:ascii="Calibri" w:hAnsi="Calibri"/>
                                <w:sz w:val="22"/>
                                <w:szCs w:val="22"/>
                              </w:rPr>
                              <w:t>14 days</w:t>
                            </w:r>
                          </w:p>
                        </w:tc>
                        <w:tc>
                          <w:tcPr>
                            <w:tcW w:w="6685" w:type="dxa"/>
                          </w:tcPr>
                          <w:p w14:paraId="4C431848" w14:textId="7C3315C9" w:rsidR="001C5460" w:rsidRPr="00D274AB" w:rsidRDefault="001C5460" w:rsidP="0076267F">
                            <w:pPr>
                              <w:rPr>
                                <w:rFonts w:ascii="Calibri" w:hAnsi="Calibri"/>
                                <w:sz w:val="22"/>
                                <w:szCs w:val="22"/>
                              </w:rPr>
                            </w:pPr>
                            <w:r>
                              <w:rPr>
                                <w:rFonts w:ascii="Calibri" w:hAnsi="Calibri"/>
                                <w:sz w:val="22"/>
                                <w:szCs w:val="22"/>
                              </w:rPr>
                              <w:t>The Support Unit convenes the t</w:t>
                            </w:r>
                            <w:r w:rsidRPr="00D274AB">
                              <w:rPr>
                                <w:rFonts w:ascii="Calibri" w:hAnsi="Calibri"/>
                                <w:sz w:val="22"/>
                                <w:szCs w:val="22"/>
                              </w:rPr>
                              <w:t>echnical assessment panel (generally comprised of 2-3 independent humanitarian experts)</w:t>
                            </w:r>
                            <w:r>
                              <w:rPr>
                                <w:rFonts w:ascii="Calibri" w:hAnsi="Calibri"/>
                                <w:sz w:val="22"/>
                                <w:szCs w:val="22"/>
                              </w:rPr>
                              <w:t>. The panel</w:t>
                            </w:r>
                            <w:r w:rsidRPr="00D274AB">
                              <w:rPr>
                                <w:rFonts w:ascii="Calibri" w:hAnsi="Calibri"/>
                                <w:sz w:val="22"/>
                                <w:szCs w:val="22"/>
                              </w:rPr>
                              <w:t xml:space="preserve"> proposes allocation of funds between the few NGOs best placed to respond, in line with the parameters set by DFAT. Allocation decisions will be made with reference to the pre-agreed capability map and MEL documentation from previous activations</w:t>
                            </w:r>
                          </w:p>
                          <w:p w14:paraId="4507649D" w14:textId="77777777" w:rsidR="001C5460" w:rsidRPr="00D274AB" w:rsidRDefault="001C5460" w:rsidP="0076267F">
                            <w:pPr>
                              <w:rPr>
                                <w:rFonts w:ascii="Calibri" w:hAnsi="Calibri"/>
                                <w:sz w:val="22"/>
                                <w:szCs w:val="22"/>
                              </w:rPr>
                            </w:pPr>
                          </w:p>
                        </w:tc>
                      </w:tr>
                      <w:tr w:rsidR="001C5460" w:rsidRPr="00D274AB" w14:paraId="2E1785E9" w14:textId="77777777" w:rsidTr="006277E0">
                        <w:tc>
                          <w:tcPr>
                            <w:tcW w:w="1668" w:type="dxa"/>
                          </w:tcPr>
                          <w:p w14:paraId="1F699C84" w14:textId="77777777" w:rsidR="001C5460" w:rsidRPr="00D274AB" w:rsidRDefault="001C5460" w:rsidP="00C029BF">
                            <w:pPr>
                              <w:rPr>
                                <w:rFonts w:ascii="Calibri" w:hAnsi="Calibri"/>
                                <w:sz w:val="22"/>
                                <w:szCs w:val="22"/>
                              </w:rPr>
                            </w:pPr>
                            <w:r>
                              <w:rPr>
                                <w:rFonts w:ascii="Calibri" w:hAnsi="Calibri"/>
                                <w:sz w:val="22"/>
                                <w:szCs w:val="22"/>
                              </w:rPr>
                              <w:t>Activation + 5</w:t>
                            </w:r>
                            <w:r>
                              <w:rPr>
                                <w:rFonts w:ascii="Calibri" w:hAnsi="Calibri"/>
                                <w:sz w:val="22"/>
                                <w:szCs w:val="22"/>
                              </w:rPr>
                              <w:noBreakHyphen/>
                            </w:r>
                            <w:r w:rsidRPr="00D274AB">
                              <w:rPr>
                                <w:rFonts w:ascii="Calibri" w:hAnsi="Calibri"/>
                                <w:sz w:val="22"/>
                                <w:szCs w:val="22"/>
                              </w:rPr>
                              <w:t>15 days</w:t>
                            </w:r>
                          </w:p>
                        </w:tc>
                        <w:tc>
                          <w:tcPr>
                            <w:tcW w:w="6685" w:type="dxa"/>
                          </w:tcPr>
                          <w:p w14:paraId="31A646E6" w14:textId="77777777" w:rsidR="001C5460" w:rsidRPr="00D274AB" w:rsidRDefault="001C5460" w:rsidP="0076267F">
                            <w:pPr>
                              <w:rPr>
                                <w:rFonts w:ascii="Calibri" w:hAnsi="Calibri"/>
                                <w:sz w:val="22"/>
                                <w:szCs w:val="22"/>
                              </w:rPr>
                            </w:pPr>
                            <w:r w:rsidRPr="00D274AB">
                              <w:rPr>
                                <w:rFonts w:ascii="Calibri" w:hAnsi="Calibri"/>
                                <w:sz w:val="22"/>
                                <w:szCs w:val="22"/>
                              </w:rPr>
                              <w:t xml:space="preserve">Support Unit submits a </w:t>
                            </w:r>
                            <w:r>
                              <w:rPr>
                                <w:rFonts w:ascii="Calibri" w:hAnsi="Calibri"/>
                                <w:sz w:val="22"/>
                                <w:szCs w:val="22"/>
                              </w:rPr>
                              <w:t xml:space="preserve">draft </w:t>
                            </w:r>
                            <w:r w:rsidRPr="00D274AB">
                              <w:rPr>
                                <w:rFonts w:ascii="Calibri" w:hAnsi="Calibri"/>
                                <w:sz w:val="22"/>
                                <w:szCs w:val="22"/>
                              </w:rPr>
                              <w:t xml:space="preserve">Consolidated Proposal to DFAT </w:t>
                            </w:r>
                          </w:p>
                          <w:p w14:paraId="52FAC251" w14:textId="77777777" w:rsidR="001C5460" w:rsidRPr="00D274AB" w:rsidRDefault="001C5460" w:rsidP="0076267F">
                            <w:pPr>
                              <w:rPr>
                                <w:rFonts w:ascii="Calibri" w:hAnsi="Calibri"/>
                                <w:sz w:val="22"/>
                                <w:szCs w:val="22"/>
                              </w:rPr>
                            </w:pPr>
                          </w:p>
                          <w:p w14:paraId="78FD7251" w14:textId="77777777" w:rsidR="001C5460" w:rsidRPr="00D274AB" w:rsidRDefault="001C5460" w:rsidP="0076267F">
                            <w:pPr>
                              <w:rPr>
                                <w:rFonts w:ascii="Calibri" w:hAnsi="Calibri"/>
                                <w:sz w:val="22"/>
                                <w:szCs w:val="22"/>
                              </w:rPr>
                            </w:pPr>
                          </w:p>
                        </w:tc>
                      </w:tr>
                      <w:tr w:rsidR="001C5460" w:rsidRPr="00D274AB" w14:paraId="2D740F22" w14:textId="77777777" w:rsidTr="006277E0">
                        <w:tc>
                          <w:tcPr>
                            <w:tcW w:w="1668" w:type="dxa"/>
                          </w:tcPr>
                          <w:p w14:paraId="5779187B" w14:textId="77777777" w:rsidR="001C5460" w:rsidRPr="00D274AB" w:rsidRDefault="001C5460" w:rsidP="00C029BF">
                            <w:pPr>
                              <w:rPr>
                                <w:rFonts w:ascii="Calibri" w:hAnsi="Calibri"/>
                                <w:sz w:val="22"/>
                                <w:szCs w:val="22"/>
                              </w:rPr>
                            </w:pPr>
                            <w:r>
                              <w:rPr>
                                <w:rFonts w:ascii="Calibri" w:hAnsi="Calibri"/>
                                <w:sz w:val="22"/>
                                <w:szCs w:val="22"/>
                              </w:rPr>
                              <w:t>Activation + 7</w:t>
                            </w:r>
                            <w:r>
                              <w:rPr>
                                <w:rFonts w:ascii="Calibri" w:hAnsi="Calibri"/>
                                <w:sz w:val="22"/>
                                <w:szCs w:val="22"/>
                              </w:rPr>
                              <w:noBreakHyphen/>
                            </w:r>
                            <w:r w:rsidRPr="00D274AB">
                              <w:rPr>
                                <w:rFonts w:ascii="Calibri" w:hAnsi="Calibri"/>
                                <w:sz w:val="22"/>
                                <w:szCs w:val="22"/>
                              </w:rPr>
                              <w:t>18 days</w:t>
                            </w:r>
                          </w:p>
                        </w:tc>
                        <w:tc>
                          <w:tcPr>
                            <w:tcW w:w="6685" w:type="dxa"/>
                          </w:tcPr>
                          <w:p w14:paraId="5BAD028B" w14:textId="77777777" w:rsidR="001C5460" w:rsidRPr="00D274AB" w:rsidRDefault="001C5460" w:rsidP="0076267F">
                            <w:pPr>
                              <w:rPr>
                                <w:rFonts w:ascii="Calibri" w:hAnsi="Calibri"/>
                                <w:sz w:val="22"/>
                                <w:szCs w:val="22"/>
                              </w:rPr>
                            </w:pPr>
                            <w:r w:rsidRPr="00D274AB">
                              <w:rPr>
                                <w:rFonts w:ascii="Calibri" w:hAnsi="Calibri"/>
                                <w:sz w:val="22"/>
                                <w:szCs w:val="22"/>
                              </w:rPr>
                              <w:t>DFAT provides feedback and proposes changes to the Consolidated Proposal</w:t>
                            </w:r>
                          </w:p>
                          <w:p w14:paraId="174782DD" w14:textId="77777777" w:rsidR="001C5460" w:rsidRPr="00D274AB" w:rsidRDefault="001C5460" w:rsidP="0076267F">
                            <w:pPr>
                              <w:rPr>
                                <w:rFonts w:ascii="Calibri" w:hAnsi="Calibri"/>
                                <w:sz w:val="22"/>
                                <w:szCs w:val="22"/>
                              </w:rPr>
                            </w:pPr>
                          </w:p>
                        </w:tc>
                      </w:tr>
                      <w:tr w:rsidR="001C5460" w:rsidRPr="00D274AB" w14:paraId="65F1CF52" w14:textId="77777777" w:rsidTr="006277E0">
                        <w:tc>
                          <w:tcPr>
                            <w:tcW w:w="1668" w:type="dxa"/>
                          </w:tcPr>
                          <w:p w14:paraId="587563B1" w14:textId="77777777" w:rsidR="001C5460" w:rsidRPr="00D274AB" w:rsidRDefault="001C5460" w:rsidP="00C029BF">
                            <w:pPr>
                              <w:rPr>
                                <w:rFonts w:ascii="Calibri" w:hAnsi="Calibri"/>
                                <w:sz w:val="22"/>
                                <w:szCs w:val="22"/>
                              </w:rPr>
                            </w:pPr>
                            <w:r>
                              <w:rPr>
                                <w:rFonts w:ascii="Calibri" w:hAnsi="Calibri"/>
                                <w:sz w:val="22"/>
                                <w:szCs w:val="22"/>
                              </w:rPr>
                              <w:t>Activation + 7</w:t>
                            </w:r>
                            <w:r>
                              <w:rPr>
                                <w:rFonts w:ascii="Calibri" w:hAnsi="Calibri"/>
                                <w:sz w:val="22"/>
                                <w:szCs w:val="22"/>
                              </w:rPr>
                              <w:noBreakHyphen/>
                            </w:r>
                            <w:r w:rsidRPr="00D274AB">
                              <w:rPr>
                                <w:rFonts w:ascii="Calibri" w:hAnsi="Calibri"/>
                                <w:sz w:val="22"/>
                                <w:szCs w:val="22"/>
                              </w:rPr>
                              <w:t>20 days</w:t>
                            </w:r>
                          </w:p>
                        </w:tc>
                        <w:tc>
                          <w:tcPr>
                            <w:tcW w:w="6685" w:type="dxa"/>
                          </w:tcPr>
                          <w:p w14:paraId="2A7E5D10" w14:textId="77777777" w:rsidR="001C5460" w:rsidRPr="00D274AB" w:rsidRDefault="001C5460" w:rsidP="0076267F">
                            <w:pPr>
                              <w:rPr>
                                <w:rFonts w:ascii="Calibri" w:hAnsi="Calibri"/>
                                <w:sz w:val="22"/>
                                <w:szCs w:val="22"/>
                              </w:rPr>
                            </w:pPr>
                            <w:r w:rsidRPr="00D274AB">
                              <w:rPr>
                                <w:rFonts w:ascii="Calibri" w:hAnsi="Calibri"/>
                                <w:sz w:val="22"/>
                                <w:szCs w:val="22"/>
                              </w:rPr>
                              <w:t>DFAT and relevant NGOs agree to the amended Consolidated Proposal</w:t>
                            </w:r>
                          </w:p>
                          <w:p w14:paraId="4CC4E788" w14:textId="77777777" w:rsidR="001C5460" w:rsidRDefault="001C5460" w:rsidP="0076267F">
                            <w:pPr>
                              <w:rPr>
                                <w:rFonts w:ascii="Calibri" w:hAnsi="Calibri"/>
                                <w:sz w:val="22"/>
                                <w:szCs w:val="22"/>
                              </w:rPr>
                            </w:pPr>
                          </w:p>
                          <w:p w14:paraId="38F33981" w14:textId="77777777" w:rsidR="001C5460" w:rsidRPr="00D274AB" w:rsidRDefault="001C5460" w:rsidP="0076267F">
                            <w:pPr>
                              <w:rPr>
                                <w:rFonts w:ascii="Calibri" w:hAnsi="Calibri"/>
                                <w:sz w:val="22"/>
                                <w:szCs w:val="22"/>
                              </w:rPr>
                            </w:pPr>
                          </w:p>
                        </w:tc>
                      </w:tr>
                      <w:tr w:rsidR="001C5460" w:rsidRPr="00D274AB" w14:paraId="5307CC49" w14:textId="77777777" w:rsidTr="006277E0">
                        <w:tc>
                          <w:tcPr>
                            <w:tcW w:w="1668" w:type="dxa"/>
                          </w:tcPr>
                          <w:p w14:paraId="08AB653E" w14:textId="77777777" w:rsidR="001C5460" w:rsidRPr="00D274AB" w:rsidRDefault="001C5460" w:rsidP="00C029BF">
                            <w:pPr>
                              <w:rPr>
                                <w:rFonts w:ascii="Calibri" w:hAnsi="Calibri"/>
                                <w:sz w:val="22"/>
                                <w:szCs w:val="22"/>
                              </w:rPr>
                            </w:pPr>
                            <w:r w:rsidRPr="00D274AB">
                              <w:rPr>
                                <w:rFonts w:ascii="Calibri" w:hAnsi="Calibri"/>
                                <w:sz w:val="22"/>
                                <w:szCs w:val="22"/>
                              </w:rPr>
                              <w:t>Activation + 3 weeks</w:t>
                            </w:r>
                          </w:p>
                        </w:tc>
                        <w:tc>
                          <w:tcPr>
                            <w:tcW w:w="6685" w:type="dxa"/>
                          </w:tcPr>
                          <w:p w14:paraId="3257B6F1" w14:textId="46D092A0" w:rsidR="001C5460" w:rsidRPr="00D274AB" w:rsidRDefault="001C5460" w:rsidP="0076267F">
                            <w:pPr>
                              <w:rPr>
                                <w:rFonts w:ascii="Calibri" w:hAnsi="Calibri"/>
                                <w:sz w:val="22"/>
                                <w:szCs w:val="22"/>
                              </w:rPr>
                            </w:pPr>
                            <w:r w:rsidRPr="00D274AB">
                              <w:rPr>
                                <w:rFonts w:ascii="Calibri" w:hAnsi="Calibri"/>
                                <w:sz w:val="22"/>
                                <w:szCs w:val="22"/>
                              </w:rPr>
                              <w:t xml:space="preserve">DFAT prepares </w:t>
                            </w:r>
                            <w:r>
                              <w:rPr>
                                <w:rFonts w:ascii="Calibri" w:hAnsi="Calibri"/>
                                <w:sz w:val="22"/>
                                <w:szCs w:val="22"/>
                              </w:rPr>
                              <w:t xml:space="preserve">a </w:t>
                            </w:r>
                            <w:r w:rsidRPr="00D274AB">
                              <w:rPr>
                                <w:rFonts w:ascii="Calibri" w:hAnsi="Calibri"/>
                                <w:sz w:val="22"/>
                                <w:szCs w:val="22"/>
                              </w:rPr>
                              <w:t>contract</w:t>
                            </w:r>
                            <w:r>
                              <w:rPr>
                                <w:rFonts w:ascii="Calibri" w:hAnsi="Calibri"/>
                                <w:sz w:val="22"/>
                                <w:szCs w:val="22"/>
                              </w:rPr>
                              <w:t xml:space="preserve"> with the Support Unit</w:t>
                            </w:r>
                            <w:r w:rsidRPr="00D274AB">
                              <w:rPr>
                                <w:rFonts w:ascii="Calibri" w:hAnsi="Calibri"/>
                                <w:sz w:val="22"/>
                                <w:szCs w:val="22"/>
                              </w:rPr>
                              <w:t xml:space="preserve"> and disburses funds</w:t>
                            </w:r>
                            <w:r>
                              <w:rPr>
                                <w:rFonts w:ascii="Calibri" w:hAnsi="Calibri"/>
                                <w:sz w:val="22"/>
                                <w:szCs w:val="22"/>
                              </w:rPr>
                              <w:t>. The Support Unit prepares contracts with the relevant NGOs, using pre-agreed templates, and disburses funds</w:t>
                            </w:r>
                            <w:r w:rsidRPr="00D274AB">
                              <w:rPr>
                                <w:rFonts w:ascii="Calibri" w:hAnsi="Calibri"/>
                                <w:sz w:val="22"/>
                                <w:szCs w:val="22"/>
                              </w:rPr>
                              <w:t xml:space="preserve"> </w:t>
                            </w:r>
                          </w:p>
                          <w:p w14:paraId="6A1216F6" w14:textId="77777777" w:rsidR="001C5460" w:rsidRPr="00D274AB" w:rsidRDefault="001C5460" w:rsidP="0076267F">
                            <w:pPr>
                              <w:rPr>
                                <w:rFonts w:ascii="Calibri" w:hAnsi="Calibri"/>
                                <w:sz w:val="22"/>
                                <w:szCs w:val="22"/>
                              </w:rPr>
                            </w:pPr>
                          </w:p>
                        </w:tc>
                      </w:tr>
                      <w:tr w:rsidR="001C5460" w:rsidRPr="00D274AB" w14:paraId="362D8F7D" w14:textId="77777777" w:rsidTr="00570132">
                        <w:trPr>
                          <w:trHeight w:val="885"/>
                        </w:trPr>
                        <w:tc>
                          <w:tcPr>
                            <w:tcW w:w="1668" w:type="dxa"/>
                          </w:tcPr>
                          <w:p w14:paraId="6D34DC17" w14:textId="77777777" w:rsidR="001C5460" w:rsidRPr="00D274AB" w:rsidRDefault="001C5460" w:rsidP="0076267F">
                            <w:pPr>
                              <w:rPr>
                                <w:rFonts w:ascii="Calibri" w:hAnsi="Calibri"/>
                                <w:sz w:val="22"/>
                                <w:szCs w:val="22"/>
                              </w:rPr>
                            </w:pPr>
                            <w:r w:rsidRPr="00D274AB">
                              <w:rPr>
                                <w:rFonts w:ascii="Calibri" w:hAnsi="Calibri"/>
                                <w:sz w:val="22"/>
                                <w:szCs w:val="22"/>
                              </w:rPr>
                              <w:t>Activation + 8 weeks</w:t>
                            </w:r>
                          </w:p>
                        </w:tc>
                        <w:tc>
                          <w:tcPr>
                            <w:tcW w:w="6685" w:type="dxa"/>
                          </w:tcPr>
                          <w:p w14:paraId="1FEC5AD0" w14:textId="77777777" w:rsidR="001C5460" w:rsidRDefault="001C5460" w:rsidP="0076267F">
                            <w:pPr>
                              <w:rPr>
                                <w:rFonts w:ascii="Calibri" w:hAnsi="Calibri"/>
                                <w:sz w:val="22"/>
                                <w:szCs w:val="22"/>
                              </w:rPr>
                            </w:pPr>
                            <w:r w:rsidRPr="00D274AB">
                              <w:rPr>
                                <w:rFonts w:ascii="Calibri" w:hAnsi="Calibri"/>
                                <w:sz w:val="22"/>
                                <w:szCs w:val="22"/>
                              </w:rPr>
                              <w:t xml:space="preserve">Support Unit collates and submits consolidated Implementation Plan to DFAT. Adjustments to response activities may be negotiated with DFAT during this period, and recorded in the implementation plan </w:t>
                            </w:r>
                          </w:p>
                          <w:p w14:paraId="4964AC29" w14:textId="77777777" w:rsidR="001C5460" w:rsidRPr="00D274AB" w:rsidRDefault="001C5460" w:rsidP="0076267F">
                            <w:pPr>
                              <w:rPr>
                                <w:rFonts w:ascii="Calibri" w:hAnsi="Calibri"/>
                                <w:sz w:val="22"/>
                                <w:szCs w:val="22"/>
                              </w:rPr>
                            </w:pPr>
                          </w:p>
                        </w:tc>
                      </w:tr>
                      <w:tr w:rsidR="001C5460" w:rsidRPr="00D274AB" w14:paraId="777A496F" w14:textId="77777777" w:rsidTr="002B50D3">
                        <w:trPr>
                          <w:trHeight w:val="1150"/>
                        </w:trPr>
                        <w:tc>
                          <w:tcPr>
                            <w:tcW w:w="1668" w:type="dxa"/>
                          </w:tcPr>
                          <w:p w14:paraId="0CE68C26" w14:textId="77777777" w:rsidR="001C5460" w:rsidRPr="00D274AB" w:rsidRDefault="001C5460" w:rsidP="0076267F">
                            <w:pPr>
                              <w:rPr>
                                <w:rFonts w:ascii="Calibri" w:hAnsi="Calibri"/>
                                <w:sz w:val="22"/>
                                <w:szCs w:val="22"/>
                              </w:rPr>
                            </w:pPr>
                            <w:r>
                              <w:rPr>
                                <w:rFonts w:ascii="Calibri" w:hAnsi="Calibri"/>
                                <w:sz w:val="22"/>
                                <w:szCs w:val="22"/>
                              </w:rPr>
                              <w:t>Activation + 3</w:t>
                            </w:r>
                            <w:r>
                              <w:rPr>
                                <w:rFonts w:ascii="Calibri" w:hAnsi="Calibri"/>
                                <w:sz w:val="22"/>
                                <w:szCs w:val="22"/>
                              </w:rPr>
                              <w:noBreakHyphen/>
                            </w:r>
                            <w:r w:rsidRPr="00D274AB">
                              <w:rPr>
                                <w:rFonts w:ascii="Calibri" w:hAnsi="Calibri"/>
                                <w:sz w:val="22"/>
                                <w:szCs w:val="22"/>
                              </w:rPr>
                              <w:t>30 months</w:t>
                            </w:r>
                          </w:p>
                        </w:tc>
                        <w:tc>
                          <w:tcPr>
                            <w:tcW w:w="6685" w:type="dxa"/>
                          </w:tcPr>
                          <w:p w14:paraId="039B4A33" w14:textId="4A95DE30" w:rsidR="001C5460" w:rsidRPr="00D274AB" w:rsidRDefault="001C5460" w:rsidP="00993395">
                            <w:pPr>
                              <w:rPr>
                                <w:rFonts w:ascii="Calibri" w:hAnsi="Calibri"/>
                                <w:sz w:val="22"/>
                                <w:szCs w:val="22"/>
                              </w:rPr>
                            </w:pPr>
                            <w:r w:rsidRPr="00D274AB">
                              <w:rPr>
                                <w:rFonts w:ascii="Calibri" w:hAnsi="Calibri"/>
                                <w:sz w:val="22"/>
                                <w:szCs w:val="22"/>
                              </w:rPr>
                              <w:t>Support Unit works with DFAT to meet reporting and public communication requirements. Support Unit coordinates, collates and submits final reports to DFAT</w:t>
                            </w:r>
                            <w:r w:rsidRPr="00D274AB">
                              <w:rPr>
                                <w:rFonts w:ascii="Calibri" w:hAnsi="Calibri"/>
                                <w:i/>
                                <w:sz w:val="22"/>
                                <w:szCs w:val="22"/>
                              </w:rPr>
                              <w:t xml:space="preserve"> </w:t>
                            </w:r>
                          </w:p>
                        </w:tc>
                      </w:tr>
                      <w:tr w:rsidR="001C5460" w:rsidRPr="00D274AB" w14:paraId="1F1B222A" w14:textId="77777777" w:rsidTr="00C029BF">
                        <w:trPr>
                          <w:trHeight w:val="514"/>
                        </w:trPr>
                        <w:tc>
                          <w:tcPr>
                            <w:tcW w:w="1668" w:type="dxa"/>
                          </w:tcPr>
                          <w:p w14:paraId="6A070A22" w14:textId="77777777" w:rsidR="001C5460" w:rsidRPr="00D274AB" w:rsidRDefault="001C5460" w:rsidP="0076267F">
                            <w:pPr>
                              <w:rPr>
                                <w:rFonts w:ascii="Calibri" w:hAnsi="Calibri"/>
                                <w:sz w:val="22"/>
                                <w:szCs w:val="22"/>
                              </w:rPr>
                            </w:pPr>
                            <w:r w:rsidRPr="00D274AB">
                              <w:rPr>
                                <w:rFonts w:ascii="Calibri" w:hAnsi="Calibri"/>
                                <w:sz w:val="22"/>
                                <w:szCs w:val="22"/>
                              </w:rPr>
                              <w:t>Subsequently</w:t>
                            </w:r>
                          </w:p>
                        </w:tc>
                        <w:tc>
                          <w:tcPr>
                            <w:tcW w:w="6685" w:type="dxa"/>
                          </w:tcPr>
                          <w:p w14:paraId="06815E88" w14:textId="77777777" w:rsidR="001C5460" w:rsidRPr="00D274AB" w:rsidRDefault="001C5460" w:rsidP="0076267F">
                            <w:pPr>
                              <w:rPr>
                                <w:rFonts w:ascii="Calibri" w:hAnsi="Calibri"/>
                                <w:sz w:val="22"/>
                                <w:szCs w:val="22"/>
                              </w:rPr>
                            </w:pPr>
                            <w:r w:rsidRPr="00D274AB">
                              <w:rPr>
                                <w:rFonts w:ascii="Calibri" w:hAnsi="Calibri"/>
                                <w:sz w:val="22"/>
                                <w:szCs w:val="22"/>
                              </w:rPr>
                              <w:t xml:space="preserve">Support Unit, in collaboration with ACFID and HRG </w:t>
                            </w:r>
                            <w:r>
                              <w:rPr>
                                <w:rFonts w:ascii="Calibri" w:hAnsi="Calibri"/>
                                <w:sz w:val="22"/>
                                <w:szCs w:val="22"/>
                              </w:rPr>
                              <w:t>Co-</w:t>
                            </w:r>
                            <w:r w:rsidRPr="00D274AB">
                              <w:rPr>
                                <w:rFonts w:ascii="Calibri" w:hAnsi="Calibri"/>
                                <w:sz w:val="22"/>
                                <w:szCs w:val="22"/>
                              </w:rPr>
                              <w:t xml:space="preserve">Chairs, facilitates a lesson learning event open to all </w:t>
                            </w:r>
                            <w:r>
                              <w:rPr>
                                <w:rFonts w:ascii="Calibri" w:hAnsi="Calibri"/>
                                <w:sz w:val="22"/>
                                <w:szCs w:val="22"/>
                              </w:rPr>
                              <w:t>HRG</w:t>
                            </w:r>
                            <w:r w:rsidRPr="00D274AB">
                              <w:rPr>
                                <w:rFonts w:ascii="Calibri" w:hAnsi="Calibri"/>
                                <w:sz w:val="22"/>
                                <w:szCs w:val="22"/>
                              </w:rPr>
                              <w:t xml:space="preserve"> members</w:t>
                            </w:r>
                          </w:p>
                          <w:p w14:paraId="2C143AA9" w14:textId="77777777" w:rsidR="001C5460" w:rsidRPr="00D274AB" w:rsidRDefault="001C5460" w:rsidP="0076267F">
                            <w:pPr>
                              <w:rPr>
                                <w:rFonts w:ascii="Calibri" w:hAnsi="Calibri"/>
                                <w:sz w:val="22"/>
                                <w:szCs w:val="22"/>
                              </w:rPr>
                            </w:pPr>
                          </w:p>
                        </w:tc>
                      </w:tr>
                      <w:tr w:rsidR="001C5460" w:rsidRPr="00D274AB" w14:paraId="29E6C92D" w14:textId="77777777" w:rsidTr="00C029BF">
                        <w:tc>
                          <w:tcPr>
                            <w:tcW w:w="1668" w:type="dxa"/>
                          </w:tcPr>
                          <w:p w14:paraId="6EFA64A5" w14:textId="77777777" w:rsidR="001C5460" w:rsidRPr="00D274AB" w:rsidRDefault="001C5460" w:rsidP="0076267F">
                            <w:pPr>
                              <w:rPr>
                                <w:rFonts w:ascii="Calibri" w:hAnsi="Calibri"/>
                                <w:sz w:val="22"/>
                                <w:szCs w:val="22"/>
                              </w:rPr>
                            </w:pPr>
                            <w:r w:rsidRPr="00D274AB">
                              <w:rPr>
                                <w:rFonts w:ascii="Calibri" w:hAnsi="Calibri"/>
                                <w:sz w:val="22"/>
                                <w:szCs w:val="22"/>
                              </w:rPr>
                              <w:t>Subsequently</w:t>
                            </w:r>
                          </w:p>
                        </w:tc>
                        <w:tc>
                          <w:tcPr>
                            <w:tcW w:w="6685" w:type="dxa"/>
                          </w:tcPr>
                          <w:p w14:paraId="16F40169" w14:textId="77777777" w:rsidR="001C5460" w:rsidRPr="00D274AB" w:rsidRDefault="001C5460" w:rsidP="00F135D1">
                            <w:pPr>
                              <w:rPr>
                                <w:rFonts w:ascii="Calibri" w:hAnsi="Calibri"/>
                                <w:sz w:val="22"/>
                                <w:szCs w:val="22"/>
                              </w:rPr>
                            </w:pPr>
                            <w:r w:rsidRPr="00D274AB">
                              <w:rPr>
                                <w:rFonts w:ascii="Calibri" w:hAnsi="Calibri"/>
                                <w:sz w:val="22"/>
                                <w:szCs w:val="22"/>
                              </w:rPr>
                              <w:t xml:space="preserve">Lesson learning report distributed to all </w:t>
                            </w:r>
                            <w:r>
                              <w:rPr>
                                <w:rFonts w:ascii="Calibri" w:hAnsi="Calibri"/>
                                <w:sz w:val="22"/>
                                <w:szCs w:val="22"/>
                              </w:rPr>
                              <w:t>HRG</w:t>
                            </w:r>
                            <w:r w:rsidRPr="00D274AB">
                              <w:rPr>
                                <w:rFonts w:ascii="Calibri" w:hAnsi="Calibri"/>
                                <w:sz w:val="22"/>
                                <w:szCs w:val="22"/>
                              </w:rPr>
                              <w:t xml:space="preserve"> members</w:t>
                            </w:r>
                            <w:r>
                              <w:rPr>
                                <w:rFonts w:ascii="Calibri" w:hAnsi="Calibri"/>
                                <w:sz w:val="22"/>
                                <w:szCs w:val="22"/>
                              </w:rPr>
                              <w:t xml:space="preserve"> and shared with local implementing partners</w:t>
                            </w:r>
                            <w:r w:rsidRPr="00D274AB">
                              <w:rPr>
                                <w:rFonts w:ascii="Calibri" w:hAnsi="Calibri"/>
                                <w:sz w:val="22"/>
                                <w:szCs w:val="22"/>
                              </w:rPr>
                              <w:t xml:space="preserve"> </w:t>
                            </w:r>
                          </w:p>
                        </w:tc>
                      </w:tr>
                      <w:tr w:rsidR="001C5460" w:rsidRPr="00D274AB" w14:paraId="7AE20960" w14:textId="77777777" w:rsidTr="00C029BF">
                        <w:trPr>
                          <w:trHeight w:val="272"/>
                        </w:trPr>
                        <w:tc>
                          <w:tcPr>
                            <w:tcW w:w="1668" w:type="dxa"/>
                          </w:tcPr>
                          <w:p w14:paraId="15C08763" w14:textId="77777777" w:rsidR="001C5460" w:rsidRPr="00D274AB" w:rsidRDefault="001C5460" w:rsidP="0076267F">
                            <w:pPr>
                              <w:rPr>
                                <w:rFonts w:ascii="Calibri" w:hAnsi="Calibri"/>
                                <w:sz w:val="22"/>
                                <w:szCs w:val="22"/>
                              </w:rPr>
                            </w:pPr>
                          </w:p>
                        </w:tc>
                        <w:tc>
                          <w:tcPr>
                            <w:tcW w:w="6685" w:type="dxa"/>
                          </w:tcPr>
                          <w:p w14:paraId="161691BF" w14:textId="77777777" w:rsidR="001C5460" w:rsidRPr="00D274AB" w:rsidRDefault="001C5460" w:rsidP="006277E0">
                            <w:pPr>
                              <w:rPr>
                                <w:rFonts w:ascii="Calibri" w:hAnsi="Calibri"/>
                                <w:sz w:val="22"/>
                                <w:szCs w:val="22"/>
                              </w:rPr>
                            </w:pPr>
                          </w:p>
                        </w:tc>
                      </w:tr>
                    </w:tbl>
                    <w:p w14:paraId="4C8EA288" w14:textId="77777777" w:rsidR="001C5460" w:rsidRPr="00D274AB" w:rsidRDefault="001C5460" w:rsidP="00C029BF">
                      <w:pPr>
                        <w:rPr>
                          <w:rFonts w:ascii="Calibri" w:hAnsi="Calibri"/>
                          <w:sz w:val="22"/>
                          <w:szCs w:val="22"/>
                        </w:rPr>
                      </w:pPr>
                    </w:p>
                  </w:txbxContent>
                </v:textbox>
                <w10:wrap type="square"/>
              </v:shape>
            </w:pict>
          </mc:Fallback>
        </mc:AlternateContent>
      </w:r>
    </w:p>
    <w:p w14:paraId="7A96CAB5" w14:textId="63CA3F5F" w:rsidR="00993395" w:rsidRPr="00993395" w:rsidRDefault="00022DF8" w:rsidP="00993395">
      <w:pPr>
        <w:pStyle w:val="Heading4"/>
        <w:spacing w:after="240"/>
        <w:jc w:val="both"/>
      </w:pPr>
      <w:r>
        <w:lastRenderedPageBreak/>
        <w:t xml:space="preserve">Building local humanitarian capability in the Pacific </w:t>
      </w:r>
      <w:r w:rsidR="00993395" w:rsidRPr="00993395">
        <w:t>and strengthening the disaster resilience of Pacific communities</w:t>
      </w:r>
    </w:p>
    <w:p w14:paraId="371EE32A" w14:textId="77777777" w:rsidR="00022DF8" w:rsidRDefault="00022DF8" w:rsidP="00022DF8">
      <w:pPr>
        <w:keepNext/>
        <w:spacing w:after="240"/>
        <w:jc w:val="both"/>
        <w:rPr>
          <w:rFonts w:ascii="Calibri" w:hAnsi="Calibri"/>
        </w:rPr>
      </w:pPr>
      <w:r w:rsidRPr="00000591">
        <w:rPr>
          <w:rFonts w:ascii="Calibri" w:hAnsi="Calibri"/>
          <w:b/>
        </w:rPr>
        <w:t>Australia is a major donor in the Pacific</w:t>
      </w:r>
      <w:r>
        <w:rPr>
          <w:rFonts w:ascii="Calibri" w:hAnsi="Calibri"/>
        </w:rPr>
        <w:t xml:space="preserve"> </w:t>
      </w:r>
      <w:r w:rsidRPr="00ED2771">
        <w:rPr>
          <w:rFonts w:ascii="Calibri" w:hAnsi="Calibri"/>
        </w:rPr>
        <w:t>and this investment will contribute to the development of a more effective and appropriate humanitarian system in the region</w:t>
      </w:r>
      <w:r w:rsidR="00993395" w:rsidRPr="00ED2771">
        <w:rPr>
          <w:rFonts w:ascii="Calibri" w:hAnsi="Calibri"/>
        </w:rPr>
        <w:t xml:space="preserve"> and strengthen the disaster resilience of Pacific communities</w:t>
      </w:r>
      <w:r w:rsidRPr="00ED2771">
        <w:rPr>
          <w:rFonts w:ascii="Calibri" w:hAnsi="Calibri"/>
        </w:rPr>
        <w:t>.</w:t>
      </w:r>
      <w:r w:rsidRPr="00076BFD">
        <w:rPr>
          <w:rFonts w:ascii="Calibri" w:hAnsi="Calibri"/>
        </w:rPr>
        <w:t xml:space="preserve"> </w:t>
      </w:r>
    </w:p>
    <w:p w14:paraId="36FD9CEC" w14:textId="3F9D2F48" w:rsidR="00993395" w:rsidRPr="00993395" w:rsidRDefault="00993395" w:rsidP="00993395">
      <w:pPr>
        <w:spacing w:after="240"/>
        <w:jc w:val="both"/>
        <w:rPr>
          <w:rFonts w:ascii="Calibri" w:hAnsi="Calibri"/>
        </w:rPr>
      </w:pPr>
      <w:r w:rsidRPr="00993395">
        <w:rPr>
          <w:rFonts w:ascii="Calibri" w:hAnsi="Calibri"/>
          <w:b/>
        </w:rPr>
        <w:t xml:space="preserve">Under the partnership, DFAT will provide funding to a small number of ANGOs to </w:t>
      </w:r>
      <w:r w:rsidR="00ED2771">
        <w:rPr>
          <w:rFonts w:ascii="Calibri" w:hAnsi="Calibri"/>
          <w:b/>
        </w:rPr>
        <w:t>build</w:t>
      </w:r>
      <w:r w:rsidRPr="00993395">
        <w:rPr>
          <w:rFonts w:ascii="Calibri" w:hAnsi="Calibri"/>
          <w:b/>
        </w:rPr>
        <w:t xml:space="preserve"> local humanitarian capability</w:t>
      </w:r>
      <w:r w:rsidRPr="00993395">
        <w:rPr>
          <w:rFonts w:ascii="Calibri" w:hAnsi="Calibri"/>
        </w:rPr>
        <w:t xml:space="preserve"> </w:t>
      </w:r>
      <w:r w:rsidRPr="00993395">
        <w:rPr>
          <w:rFonts w:ascii="Calibri" w:hAnsi="Calibri"/>
          <w:b/>
        </w:rPr>
        <w:t>in the Pacific and strengthen the disaster resilience of Pacific communities</w:t>
      </w:r>
      <w:r w:rsidRPr="00993395">
        <w:rPr>
          <w:rFonts w:ascii="Calibri" w:hAnsi="Calibri"/>
        </w:rPr>
        <w:t>. This investment will focus on building the disaster management capacity and coordination of local Pacific based NGOs; as well as strengthening the disaster resilience of Pacific communities. Allocations for this set of activities will be multi-year, with a strong focus on supporting the 'localisation' agenda.</w:t>
      </w:r>
    </w:p>
    <w:p w14:paraId="6FE01E4C" w14:textId="277A18E9" w:rsidR="00993395" w:rsidRDefault="00BA5801" w:rsidP="00993395">
      <w:pPr>
        <w:spacing w:after="120"/>
        <w:jc w:val="both"/>
        <w:rPr>
          <w:rFonts w:ascii="Calibri" w:hAnsi="Calibri"/>
        </w:rPr>
      </w:pPr>
      <w:r>
        <w:rPr>
          <w:rFonts w:ascii="Calibri" w:hAnsi="Calibri"/>
          <w:b/>
        </w:rPr>
        <w:t>S</w:t>
      </w:r>
      <w:r w:rsidR="00022DF8">
        <w:rPr>
          <w:rFonts w:ascii="Calibri" w:hAnsi="Calibri"/>
          <w:b/>
        </w:rPr>
        <w:t xml:space="preserve">elected </w:t>
      </w:r>
      <w:r w:rsidR="00022DF8" w:rsidRPr="00DB635A">
        <w:rPr>
          <w:rFonts w:ascii="Calibri" w:hAnsi="Calibri"/>
          <w:b/>
        </w:rPr>
        <w:t>ANGO partners will participate with DFAT in a</w:t>
      </w:r>
      <w:r w:rsidR="0043337A">
        <w:rPr>
          <w:rFonts w:ascii="Calibri" w:hAnsi="Calibri"/>
          <w:b/>
        </w:rPr>
        <w:t xml:space="preserve"> 6 month </w:t>
      </w:r>
      <w:r w:rsidR="00022DF8" w:rsidRPr="00DB635A">
        <w:rPr>
          <w:rFonts w:ascii="Calibri" w:hAnsi="Calibri"/>
          <w:b/>
        </w:rPr>
        <w:t xml:space="preserve"> ‘design-and-implement' inception phase</w:t>
      </w:r>
      <w:r w:rsidR="00022DF8">
        <w:rPr>
          <w:rFonts w:ascii="Calibri" w:hAnsi="Calibri"/>
        </w:rPr>
        <w:t xml:space="preserve"> </w:t>
      </w:r>
      <w:r w:rsidR="00022DF8" w:rsidRPr="008659E6">
        <w:rPr>
          <w:rFonts w:ascii="Calibri" w:hAnsi="Calibri"/>
        </w:rPr>
        <w:t>in 2016-17</w:t>
      </w:r>
      <w:r w:rsidR="00022DF8">
        <w:rPr>
          <w:rFonts w:ascii="Calibri" w:hAnsi="Calibri"/>
        </w:rPr>
        <w:t xml:space="preserve">. During this inception phase, partners will work together to determine the priorities, partnerships and program initiatives to be pursued. </w:t>
      </w:r>
      <w:r w:rsidR="00993395">
        <w:rPr>
          <w:rFonts w:ascii="Calibri" w:hAnsi="Calibri"/>
        </w:rPr>
        <w:t xml:space="preserve">The inception phase will include systematic mapping, gap analysis and coordination with local actors to ensure this investment reaches it proposed outcomes, and strengthens </w:t>
      </w:r>
      <w:r w:rsidR="00FD20EA">
        <w:rPr>
          <w:rFonts w:ascii="Calibri" w:hAnsi="Calibri"/>
        </w:rPr>
        <w:t>(</w:t>
      </w:r>
      <w:r w:rsidR="00993395">
        <w:rPr>
          <w:rFonts w:ascii="Calibri" w:hAnsi="Calibri"/>
        </w:rPr>
        <w:t>rather than undermines</w:t>
      </w:r>
      <w:r w:rsidR="00FD20EA">
        <w:rPr>
          <w:rFonts w:ascii="Calibri" w:hAnsi="Calibri"/>
        </w:rPr>
        <w:t>)</w:t>
      </w:r>
      <w:r w:rsidR="00993395">
        <w:rPr>
          <w:rFonts w:ascii="Calibri" w:hAnsi="Calibri"/>
        </w:rPr>
        <w:t xml:space="preserve"> local capacity. The split of funding between different activit</w:t>
      </w:r>
      <w:r w:rsidR="009F492C">
        <w:rPr>
          <w:rFonts w:ascii="Calibri" w:hAnsi="Calibri"/>
        </w:rPr>
        <w:t>i</w:t>
      </w:r>
      <w:r w:rsidR="00993395">
        <w:rPr>
          <w:rFonts w:ascii="Calibri" w:hAnsi="Calibri"/>
        </w:rPr>
        <w:t xml:space="preserve">es and different countries will be determined during this phase. DFAT staff at Post will be engaged as part of this process. </w:t>
      </w:r>
    </w:p>
    <w:p w14:paraId="3FB80F3E" w14:textId="77777777" w:rsidR="00022DF8" w:rsidRPr="00AB47D4" w:rsidRDefault="00022DF8" w:rsidP="00022DF8">
      <w:pPr>
        <w:spacing w:after="240"/>
        <w:jc w:val="both"/>
        <w:rPr>
          <w:rFonts w:ascii="Calibri" w:hAnsi="Calibri"/>
        </w:rPr>
      </w:pPr>
      <w:r>
        <w:rPr>
          <w:rFonts w:ascii="Calibri" w:hAnsi="Calibri"/>
          <w:b/>
          <w:szCs w:val="20"/>
        </w:rPr>
        <w:t xml:space="preserve">It will be important that this programming </w:t>
      </w:r>
      <w:r w:rsidRPr="00AB47D4">
        <w:rPr>
          <w:rFonts w:ascii="Calibri" w:hAnsi="Calibri"/>
          <w:b/>
        </w:rPr>
        <w:t>complements other DFAT DRR</w:t>
      </w:r>
      <w:r w:rsidR="00AA5CE5">
        <w:rPr>
          <w:rFonts w:ascii="Calibri" w:hAnsi="Calibri"/>
          <w:b/>
        </w:rPr>
        <w:t xml:space="preserve"> and</w:t>
      </w:r>
      <w:r>
        <w:rPr>
          <w:rFonts w:ascii="Calibri" w:hAnsi="Calibri"/>
          <w:b/>
        </w:rPr>
        <w:t xml:space="preserve"> climate change </w:t>
      </w:r>
      <w:r w:rsidRPr="00AB47D4">
        <w:rPr>
          <w:rFonts w:ascii="Calibri" w:hAnsi="Calibri"/>
          <w:b/>
        </w:rPr>
        <w:t xml:space="preserve">investments </w:t>
      </w:r>
      <w:r w:rsidRPr="00E109BD">
        <w:rPr>
          <w:rFonts w:ascii="Calibri" w:hAnsi="Calibri"/>
        </w:rPr>
        <w:t>in the region (including through ANCP and bilateral and regional programs)</w:t>
      </w:r>
      <w:r>
        <w:rPr>
          <w:rFonts w:ascii="Calibri" w:hAnsi="Calibri"/>
          <w:b/>
        </w:rPr>
        <w:t xml:space="preserve">. </w:t>
      </w:r>
      <w:r w:rsidRPr="00AB47D4">
        <w:rPr>
          <w:rFonts w:ascii="Calibri" w:hAnsi="Calibri"/>
        </w:rPr>
        <w:t>People and organisations of the Pacific clearly want to see a greater collective and coordinate</w:t>
      </w:r>
      <w:r>
        <w:rPr>
          <w:rFonts w:ascii="Calibri" w:hAnsi="Calibri"/>
        </w:rPr>
        <w:t>d</w:t>
      </w:r>
      <w:r w:rsidRPr="00AB47D4">
        <w:rPr>
          <w:rFonts w:ascii="Calibri" w:hAnsi="Calibri"/>
        </w:rPr>
        <w:t xml:space="preserve"> effort to address risk “between humanitarian, recovery, development, risk reduction and climate change adaption sectors.”</w:t>
      </w:r>
      <w:r w:rsidRPr="00AB47D4">
        <w:rPr>
          <w:rStyle w:val="FootnoteReference"/>
        </w:rPr>
        <w:footnoteReference w:id="34"/>
      </w:r>
    </w:p>
    <w:p w14:paraId="132D93FE" w14:textId="77777777" w:rsidR="00022DF8" w:rsidRDefault="00022DF8" w:rsidP="00022DF8">
      <w:pPr>
        <w:spacing w:after="240"/>
        <w:jc w:val="both"/>
        <w:rPr>
          <w:rFonts w:ascii="Calibri" w:hAnsi="Calibri"/>
        </w:rPr>
      </w:pPr>
      <w:r>
        <w:rPr>
          <w:rFonts w:ascii="Calibri" w:hAnsi="Calibri"/>
          <w:b/>
        </w:rPr>
        <w:t xml:space="preserve">It will also be critical that this programming is based on </w:t>
      </w:r>
      <w:r w:rsidRPr="008659E6">
        <w:rPr>
          <w:rFonts w:ascii="Calibri" w:hAnsi="Calibri"/>
          <w:b/>
        </w:rPr>
        <w:t>further design work</w:t>
      </w:r>
      <w:r>
        <w:rPr>
          <w:rFonts w:ascii="Calibri" w:hAnsi="Calibri"/>
          <w:b/>
        </w:rPr>
        <w:t xml:space="preserve"> </w:t>
      </w:r>
      <w:r w:rsidRPr="00E109BD">
        <w:rPr>
          <w:rFonts w:ascii="Calibri" w:hAnsi="Calibri"/>
        </w:rPr>
        <w:t xml:space="preserve">that identifies the specific contribution that this partnership can make to </w:t>
      </w:r>
      <w:r w:rsidRPr="00E109BD">
        <w:rPr>
          <w:rFonts w:ascii="Calibri" w:hAnsi="Calibri"/>
          <w:szCs w:val="20"/>
        </w:rPr>
        <w:t xml:space="preserve">progress Pacific stakeholder aspirations as articulated through regional consultations in the lead up to the </w:t>
      </w:r>
      <w:r w:rsidRPr="00E109BD">
        <w:rPr>
          <w:rFonts w:ascii="Calibri" w:hAnsi="Calibri"/>
          <w:i/>
          <w:szCs w:val="20"/>
        </w:rPr>
        <w:t>World Humanitarian Summit</w:t>
      </w:r>
      <w:r w:rsidRPr="00E109BD">
        <w:rPr>
          <w:rFonts w:ascii="Calibri" w:hAnsi="Calibri"/>
          <w:szCs w:val="20"/>
        </w:rPr>
        <w:t>.</w:t>
      </w:r>
      <w:r>
        <w:rPr>
          <w:rFonts w:ascii="Calibri" w:hAnsi="Calibri"/>
          <w:b/>
          <w:szCs w:val="20"/>
        </w:rPr>
        <w:t xml:space="preserve"> </w:t>
      </w:r>
      <w:r w:rsidRPr="00AB47D4">
        <w:rPr>
          <w:rFonts w:ascii="Calibri" w:hAnsi="Calibri"/>
        </w:rPr>
        <w:t xml:space="preserve">These aspirations are summarised in six humanitarian priorities for the region: </w:t>
      </w:r>
    </w:p>
    <w:p w14:paraId="56934247" w14:textId="77777777" w:rsidR="00022DF8" w:rsidRPr="00AB47D4" w:rsidRDefault="00022DF8" w:rsidP="00022DF8">
      <w:pPr>
        <w:pStyle w:val="ListParagraph"/>
        <w:numPr>
          <w:ilvl w:val="0"/>
          <w:numId w:val="9"/>
        </w:numPr>
        <w:spacing w:after="240" w:line="240" w:lineRule="auto"/>
        <w:ind w:left="1071" w:hanging="357"/>
        <w:jc w:val="both"/>
        <w:rPr>
          <w:sz w:val="24"/>
          <w:szCs w:val="24"/>
        </w:rPr>
      </w:pPr>
      <w:r w:rsidRPr="00AB47D4">
        <w:rPr>
          <w:sz w:val="24"/>
          <w:szCs w:val="24"/>
        </w:rPr>
        <w:t>Placing affected people at the centre of humanitarian action</w:t>
      </w:r>
    </w:p>
    <w:p w14:paraId="6A6270D0" w14:textId="77777777" w:rsidR="00022DF8" w:rsidRPr="00AB47D4" w:rsidRDefault="00022DF8" w:rsidP="00022DF8">
      <w:pPr>
        <w:pStyle w:val="ListParagraph"/>
        <w:numPr>
          <w:ilvl w:val="0"/>
          <w:numId w:val="9"/>
        </w:numPr>
        <w:spacing w:after="240" w:line="240" w:lineRule="auto"/>
        <w:ind w:left="1071" w:hanging="357"/>
        <w:jc w:val="both"/>
        <w:rPr>
          <w:sz w:val="24"/>
          <w:szCs w:val="24"/>
        </w:rPr>
      </w:pPr>
      <w:r w:rsidRPr="00AB47D4">
        <w:rPr>
          <w:sz w:val="24"/>
          <w:szCs w:val="24"/>
        </w:rPr>
        <w:t>Realigning the humanitarian system to build on local capacities</w:t>
      </w:r>
    </w:p>
    <w:p w14:paraId="5D8EBF4A" w14:textId="77777777" w:rsidR="00022DF8" w:rsidRPr="00AB47D4" w:rsidRDefault="00022DF8" w:rsidP="00022DF8">
      <w:pPr>
        <w:pStyle w:val="ListParagraph"/>
        <w:numPr>
          <w:ilvl w:val="0"/>
          <w:numId w:val="9"/>
        </w:numPr>
        <w:spacing w:after="240" w:line="240" w:lineRule="auto"/>
        <w:ind w:left="1071" w:hanging="357"/>
        <w:jc w:val="both"/>
        <w:rPr>
          <w:sz w:val="24"/>
          <w:szCs w:val="24"/>
        </w:rPr>
      </w:pPr>
      <w:r w:rsidRPr="00AB47D4">
        <w:rPr>
          <w:sz w:val="24"/>
          <w:szCs w:val="24"/>
        </w:rPr>
        <w:t>Responding to displacement and human mobility</w:t>
      </w:r>
    </w:p>
    <w:p w14:paraId="484D7105" w14:textId="77777777" w:rsidR="00022DF8" w:rsidRPr="00AB47D4" w:rsidRDefault="00022DF8" w:rsidP="00022DF8">
      <w:pPr>
        <w:pStyle w:val="ListParagraph"/>
        <w:numPr>
          <w:ilvl w:val="0"/>
          <w:numId w:val="9"/>
        </w:numPr>
        <w:spacing w:after="240" w:line="240" w:lineRule="auto"/>
        <w:ind w:left="1071" w:hanging="357"/>
        <w:jc w:val="both"/>
        <w:rPr>
          <w:sz w:val="24"/>
          <w:szCs w:val="24"/>
        </w:rPr>
      </w:pPr>
      <w:r w:rsidRPr="00AB47D4">
        <w:rPr>
          <w:sz w:val="24"/>
          <w:szCs w:val="24"/>
        </w:rPr>
        <w:t>Bridging the humanitarian-development divide</w:t>
      </w:r>
    </w:p>
    <w:p w14:paraId="5DF59F50" w14:textId="77777777" w:rsidR="00022DF8" w:rsidRPr="00AB47D4" w:rsidRDefault="00022DF8" w:rsidP="00022DF8">
      <w:pPr>
        <w:pStyle w:val="ListParagraph"/>
        <w:numPr>
          <w:ilvl w:val="0"/>
          <w:numId w:val="9"/>
        </w:numPr>
        <w:spacing w:after="240" w:line="240" w:lineRule="auto"/>
        <w:ind w:left="1071" w:hanging="357"/>
        <w:jc w:val="both"/>
        <w:rPr>
          <w:sz w:val="24"/>
          <w:szCs w:val="24"/>
        </w:rPr>
      </w:pPr>
      <w:r w:rsidRPr="00AB47D4">
        <w:rPr>
          <w:sz w:val="24"/>
          <w:szCs w:val="24"/>
        </w:rPr>
        <w:t>Financing for preparedness, response and early recovery, and</w:t>
      </w:r>
    </w:p>
    <w:p w14:paraId="32ED9961" w14:textId="77777777" w:rsidR="00022DF8" w:rsidRPr="00AB47D4" w:rsidRDefault="00022DF8" w:rsidP="00022DF8">
      <w:pPr>
        <w:pStyle w:val="ListParagraph"/>
        <w:numPr>
          <w:ilvl w:val="0"/>
          <w:numId w:val="9"/>
        </w:numPr>
        <w:spacing w:after="240" w:line="240" w:lineRule="auto"/>
        <w:ind w:left="1071" w:hanging="357"/>
        <w:jc w:val="both"/>
        <w:rPr>
          <w:sz w:val="24"/>
          <w:szCs w:val="24"/>
        </w:rPr>
      </w:pPr>
      <w:r w:rsidRPr="00AB47D4">
        <w:rPr>
          <w:sz w:val="24"/>
          <w:szCs w:val="24"/>
        </w:rPr>
        <w:t>Partnering with the private sector</w:t>
      </w:r>
      <w:r>
        <w:rPr>
          <w:sz w:val="24"/>
          <w:szCs w:val="24"/>
        </w:rPr>
        <w:t>.</w:t>
      </w:r>
      <w:r w:rsidRPr="00AB47D4">
        <w:rPr>
          <w:rStyle w:val="FootnoteReference"/>
          <w:rFonts w:ascii="Calibri" w:eastAsiaTheme="minorEastAsia" w:hAnsi="Calibri"/>
          <w:szCs w:val="16"/>
        </w:rPr>
        <w:footnoteReference w:id="35"/>
      </w:r>
    </w:p>
    <w:p w14:paraId="6021E57E" w14:textId="77777777" w:rsidR="00022DF8" w:rsidRDefault="00022DF8" w:rsidP="00022DF8">
      <w:pPr>
        <w:spacing w:after="240"/>
        <w:jc w:val="both"/>
        <w:rPr>
          <w:rFonts w:ascii="Calibri" w:hAnsi="Calibri"/>
        </w:rPr>
      </w:pPr>
      <w:r w:rsidRPr="00641D0E">
        <w:rPr>
          <w:rFonts w:ascii="Calibri" w:hAnsi="Calibri"/>
        </w:rPr>
        <w:lastRenderedPageBreak/>
        <w:t>The</w:t>
      </w:r>
      <w:r>
        <w:rPr>
          <w:rFonts w:ascii="Calibri" w:hAnsi="Calibri"/>
        </w:rPr>
        <w:t xml:space="preserve"> collective impact of these initiatives</w:t>
      </w:r>
      <w:r w:rsidRPr="00641D0E">
        <w:rPr>
          <w:rFonts w:ascii="Calibri" w:hAnsi="Calibri"/>
        </w:rPr>
        <w:t xml:space="preserve"> will be an </w:t>
      </w:r>
      <w:r w:rsidRPr="00232C63">
        <w:rPr>
          <w:rFonts w:ascii="Calibri" w:hAnsi="Calibri"/>
        </w:rPr>
        <w:t xml:space="preserve">important tool for DFAT to progress its </w:t>
      </w:r>
      <w:r w:rsidRPr="00232C63">
        <w:rPr>
          <w:rFonts w:ascii="Calibri" w:hAnsi="Calibri"/>
          <w:b/>
          <w:szCs w:val="20"/>
        </w:rPr>
        <w:t xml:space="preserve">commitments under the </w:t>
      </w:r>
      <w:r w:rsidRPr="00232C63">
        <w:rPr>
          <w:rFonts w:ascii="Calibri" w:hAnsi="Calibri"/>
          <w:b/>
          <w:i/>
          <w:szCs w:val="20"/>
        </w:rPr>
        <w:t>Sendai Framework</w:t>
      </w:r>
      <w:r w:rsidRPr="00232C63">
        <w:rPr>
          <w:rFonts w:ascii="Calibri" w:hAnsi="Calibri"/>
          <w:szCs w:val="20"/>
        </w:rPr>
        <w:t xml:space="preserve"> and </w:t>
      </w:r>
      <w:r w:rsidR="00993395">
        <w:rPr>
          <w:rFonts w:ascii="Calibri" w:hAnsi="Calibri"/>
          <w:szCs w:val="20"/>
        </w:rPr>
        <w:t xml:space="preserve">will </w:t>
      </w:r>
      <w:r w:rsidRPr="00232C63">
        <w:rPr>
          <w:rFonts w:ascii="Calibri" w:hAnsi="Calibri"/>
          <w:szCs w:val="20"/>
        </w:rPr>
        <w:t xml:space="preserve">contribute to DFAT’s </w:t>
      </w:r>
      <w:r w:rsidRPr="00232C63">
        <w:rPr>
          <w:rFonts w:ascii="Calibri" w:hAnsi="Calibri"/>
        </w:rPr>
        <w:t>objective to support a fit-for-purpose humanitarian system in the Pacific</w:t>
      </w:r>
      <w:r w:rsidRPr="00641D0E">
        <w:rPr>
          <w:rFonts w:ascii="Calibri" w:hAnsi="Calibri"/>
        </w:rPr>
        <w:t xml:space="preserve">. </w:t>
      </w:r>
    </w:p>
    <w:p w14:paraId="0F6E0903" w14:textId="77777777" w:rsidR="00B43F8A" w:rsidRDefault="00B43F8A" w:rsidP="00A67DC0">
      <w:pPr>
        <w:pStyle w:val="Heading4"/>
        <w:spacing w:after="240"/>
        <w:jc w:val="both"/>
      </w:pPr>
      <w:r>
        <w:t>A strengthened Support Unit</w:t>
      </w:r>
    </w:p>
    <w:p w14:paraId="0B5C83B2" w14:textId="3BFCBC4C" w:rsidR="00123FA5" w:rsidRDefault="00B43F8A" w:rsidP="00A67DC0">
      <w:pPr>
        <w:spacing w:after="240"/>
        <w:jc w:val="both"/>
        <w:rPr>
          <w:rFonts w:ascii="Calibri" w:hAnsi="Calibri"/>
        </w:rPr>
      </w:pPr>
      <w:r w:rsidRPr="00B65680">
        <w:rPr>
          <w:rFonts w:ascii="Calibri" w:hAnsi="Calibri"/>
          <w:b/>
        </w:rPr>
        <w:t xml:space="preserve">The operation of the </w:t>
      </w:r>
      <w:r w:rsidR="00F135D1">
        <w:rPr>
          <w:rFonts w:ascii="Calibri" w:hAnsi="Calibri"/>
          <w:b/>
        </w:rPr>
        <w:t>DFAT-HRG partnership</w:t>
      </w:r>
      <w:r w:rsidRPr="00B65680">
        <w:rPr>
          <w:rFonts w:ascii="Calibri" w:hAnsi="Calibri"/>
          <w:b/>
        </w:rPr>
        <w:t xml:space="preserve"> will be facilitated by a strengthened Support Unit</w:t>
      </w:r>
      <w:r w:rsidRPr="00641D0E">
        <w:rPr>
          <w:rFonts w:ascii="Calibri" w:hAnsi="Calibri"/>
        </w:rPr>
        <w:t xml:space="preserve">. This unit, building on the role played to date by the HPA Director, will be staffed by three people responsible for managing the </w:t>
      </w:r>
      <w:r>
        <w:rPr>
          <w:rFonts w:ascii="Calibri" w:hAnsi="Calibri"/>
        </w:rPr>
        <w:t>response activation</w:t>
      </w:r>
      <w:r w:rsidRPr="00641D0E">
        <w:rPr>
          <w:rFonts w:ascii="Calibri" w:hAnsi="Calibri"/>
        </w:rPr>
        <w:t xml:space="preserve"> processes</w:t>
      </w:r>
      <w:r w:rsidR="00993395">
        <w:rPr>
          <w:rFonts w:ascii="Calibri" w:hAnsi="Calibri"/>
        </w:rPr>
        <w:t xml:space="preserve"> (including contractual agreements with the </w:t>
      </w:r>
      <w:r w:rsidR="00CA7C05">
        <w:rPr>
          <w:rFonts w:ascii="Calibri" w:hAnsi="Calibri"/>
        </w:rPr>
        <w:t>relevant</w:t>
      </w:r>
      <w:r w:rsidR="00993395">
        <w:rPr>
          <w:rFonts w:ascii="Calibri" w:hAnsi="Calibri"/>
        </w:rPr>
        <w:t xml:space="preserve"> HRG member NGOs </w:t>
      </w:r>
      <w:r w:rsidR="00CA7C05">
        <w:rPr>
          <w:rFonts w:ascii="Calibri" w:hAnsi="Calibri"/>
        </w:rPr>
        <w:t>selected</w:t>
      </w:r>
      <w:r w:rsidR="00993395">
        <w:rPr>
          <w:rFonts w:ascii="Calibri" w:hAnsi="Calibri"/>
        </w:rPr>
        <w:t xml:space="preserve"> to receive DFAT funding)</w:t>
      </w:r>
      <w:r w:rsidRPr="00641D0E">
        <w:rPr>
          <w:rFonts w:ascii="Calibri" w:hAnsi="Calibri"/>
        </w:rPr>
        <w:t xml:space="preserve">; </w:t>
      </w:r>
      <w:r w:rsidR="0017007E">
        <w:rPr>
          <w:rFonts w:ascii="Calibri" w:hAnsi="Calibri"/>
        </w:rPr>
        <w:t xml:space="preserve">enhancing collaboration and coordination amongst </w:t>
      </w:r>
      <w:r w:rsidR="008B4830">
        <w:rPr>
          <w:rFonts w:ascii="Calibri" w:hAnsi="Calibri"/>
        </w:rPr>
        <w:t xml:space="preserve">all HRG-DFAT </w:t>
      </w:r>
      <w:r w:rsidR="0017007E">
        <w:rPr>
          <w:rFonts w:ascii="Calibri" w:hAnsi="Calibri"/>
        </w:rPr>
        <w:t xml:space="preserve">partners; supporting </w:t>
      </w:r>
      <w:r w:rsidR="00CA7C05">
        <w:rPr>
          <w:rFonts w:ascii="Calibri" w:hAnsi="Calibri"/>
        </w:rPr>
        <w:t xml:space="preserve">innovation and </w:t>
      </w:r>
      <w:r w:rsidRPr="00641D0E">
        <w:rPr>
          <w:rFonts w:ascii="Calibri" w:hAnsi="Calibri"/>
        </w:rPr>
        <w:t xml:space="preserve">monitoring, </w:t>
      </w:r>
      <w:r w:rsidR="00CA7C05">
        <w:rPr>
          <w:rFonts w:ascii="Calibri" w:hAnsi="Calibri"/>
        </w:rPr>
        <w:t xml:space="preserve">evaluation and </w:t>
      </w:r>
      <w:r w:rsidRPr="00641D0E">
        <w:rPr>
          <w:rFonts w:ascii="Calibri" w:hAnsi="Calibri"/>
        </w:rPr>
        <w:t>reporting</w:t>
      </w:r>
      <w:r w:rsidR="00CA7C05">
        <w:rPr>
          <w:rFonts w:ascii="Calibri" w:hAnsi="Calibri"/>
        </w:rPr>
        <w:t xml:space="preserve">; </w:t>
      </w:r>
      <w:r w:rsidR="002F6DF2">
        <w:rPr>
          <w:rFonts w:ascii="Calibri" w:hAnsi="Calibri"/>
        </w:rPr>
        <w:t xml:space="preserve">supporting </w:t>
      </w:r>
      <w:r w:rsidRPr="00641D0E">
        <w:rPr>
          <w:rFonts w:ascii="Calibri" w:hAnsi="Calibri"/>
        </w:rPr>
        <w:t xml:space="preserve">learning; and </w:t>
      </w:r>
      <w:r w:rsidR="0017007E">
        <w:rPr>
          <w:rFonts w:ascii="Calibri" w:hAnsi="Calibri"/>
        </w:rPr>
        <w:t>improving</w:t>
      </w:r>
      <w:r w:rsidR="0017007E" w:rsidRPr="00641D0E">
        <w:rPr>
          <w:rFonts w:ascii="Calibri" w:hAnsi="Calibri"/>
        </w:rPr>
        <w:t xml:space="preserve"> </w:t>
      </w:r>
      <w:r w:rsidRPr="00641D0E">
        <w:rPr>
          <w:rFonts w:ascii="Calibri" w:hAnsi="Calibri"/>
        </w:rPr>
        <w:t xml:space="preserve">visibility of Australian humanitarian action. </w:t>
      </w:r>
    </w:p>
    <w:p w14:paraId="773501B4" w14:textId="77777777" w:rsidR="00CA7C05" w:rsidRDefault="00CA7C05" w:rsidP="00CA7C05">
      <w:pPr>
        <w:spacing w:after="120"/>
        <w:jc w:val="both"/>
        <w:rPr>
          <w:rFonts w:ascii="Calibri" w:hAnsi="Calibri"/>
        </w:rPr>
      </w:pPr>
      <w:r w:rsidRPr="00737D62">
        <w:rPr>
          <w:rFonts w:ascii="Calibri" w:hAnsi="Calibri"/>
          <w:b/>
        </w:rPr>
        <w:t>An organisation to host the Support Unit will be selected through a competitive procurement process</w:t>
      </w:r>
      <w:r>
        <w:rPr>
          <w:rFonts w:ascii="Calibri" w:hAnsi="Calibri"/>
        </w:rPr>
        <w:t xml:space="preserve">. DFAT envisages that the competitive process will draw interest from organisations in the non-government sector including possibly HRG NGO members and/or peak bodies such as ACFID. The procurement process will also be open to private sector bodies. The work of the Unit will support the achievement of all three end-of-investment outcomes. </w:t>
      </w:r>
    </w:p>
    <w:p w14:paraId="478F3F84" w14:textId="0BFE713F" w:rsidR="00B43F8A" w:rsidRDefault="00B43F8A" w:rsidP="00A67DC0">
      <w:pPr>
        <w:spacing w:after="240"/>
        <w:jc w:val="both"/>
        <w:rPr>
          <w:rFonts w:ascii="Calibri" w:hAnsi="Calibri"/>
        </w:rPr>
      </w:pPr>
      <w:r w:rsidRPr="00B65680">
        <w:rPr>
          <w:rFonts w:ascii="Calibri" w:hAnsi="Calibri"/>
          <w:b/>
        </w:rPr>
        <w:t>The Support Unit will be able to draw on external humanitarian and communication experts where needed</w:t>
      </w:r>
      <w:r w:rsidRPr="00641D0E">
        <w:rPr>
          <w:rFonts w:ascii="Calibri" w:hAnsi="Calibri"/>
        </w:rPr>
        <w:t>.</w:t>
      </w:r>
      <w:r>
        <w:rPr>
          <w:rFonts w:ascii="Calibri" w:hAnsi="Calibri"/>
        </w:rPr>
        <w:t xml:space="preserve"> See the Management and Staffing section on </w:t>
      </w:r>
      <w:r w:rsidRPr="00411A9C">
        <w:rPr>
          <w:rFonts w:ascii="Calibri" w:hAnsi="Calibri"/>
        </w:rPr>
        <w:t xml:space="preserve">page </w:t>
      </w:r>
      <w:r w:rsidR="00BF4509">
        <w:rPr>
          <w:rFonts w:ascii="Calibri" w:hAnsi="Calibri"/>
        </w:rPr>
        <w:t>4</w:t>
      </w:r>
      <w:r w:rsidR="003D57AA">
        <w:rPr>
          <w:rFonts w:ascii="Calibri" w:hAnsi="Calibri"/>
        </w:rPr>
        <w:t>4</w:t>
      </w:r>
      <w:r>
        <w:rPr>
          <w:rFonts w:ascii="Calibri" w:hAnsi="Calibri"/>
        </w:rPr>
        <w:t xml:space="preserve"> for details. </w:t>
      </w:r>
      <w:r w:rsidR="00123FA5">
        <w:rPr>
          <w:rFonts w:ascii="Calibri" w:hAnsi="Calibri"/>
        </w:rPr>
        <w:t xml:space="preserve"> </w:t>
      </w:r>
    </w:p>
    <w:p w14:paraId="5D847ECC" w14:textId="48B68B04" w:rsidR="00B43F8A" w:rsidRDefault="00B43F8A" w:rsidP="00A67DC0">
      <w:pPr>
        <w:pStyle w:val="Heading4"/>
        <w:spacing w:after="240"/>
        <w:jc w:val="both"/>
      </w:pPr>
      <w:r>
        <w:t>Promoting humanitarian innovation</w:t>
      </w:r>
      <w:r w:rsidR="00B245E9">
        <w:t xml:space="preserve"> </w:t>
      </w:r>
    </w:p>
    <w:p w14:paraId="3F013BC4" w14:textId="121A5F7D" w:rsidR="00B43F8A" w:rsidRDefault="00123FA5" w:rsidP="00A67DC0">
      <w:pPr>
        <w:spacing w:after="240"/>
        <w:jc w:val="both"/>
        <w:rPr>
          <w:rFonts w:ascii="Calibri" w:hAnsi="Calibri"/>
        </w:rPr>
      </w:pPr>
      <w:r>
        <w:rPr>
          <w:rFonts w:ascii="Calibri" w:hAnsi="Calibri"/>
        </w:rPr>
        <w:t>Through</w:t>
      </w:r>
      <w:r w:rsidR="00B43F8A">
        <w:rPr>
          <w:rFonts w:ascii="Calibri" w:hAnsi="Calibri"/>
        </w:rPr>
        <w:t xml:space="preserve"> the </w:t>
      </w:r>
      <w:r w:rsidR="00F135D1">
        <w:rPr>
          <w:rFonts w:ascii="Calibri" w:hAnsi="Calibri"/>
        </w:rPr>
        <w:t>Australian Humanitarian Partnership</w:t>
      </w:r>
      <w:r w:rsidR="00B43F8A">
        <w:rPr>
          <w:rFonts w:ascii="Calibri" w:hAnsi="Calibri"/>
        </w:rPr>
        <w:t xml:space="preserve">, </w:t>
      </w:r>
      <w:r w:rsidR="00B43F8A" w:rsidRPr="00B65680">
        <w:rPr>
          <w:rFonts w:ascii="Calibri" w:hAnsi="Calibri"/>
          <w:b/>
        </w:rPr>
        <w:t xml:space="preserve">DFAT will </w:t>
      </w:r>
      <w:r w:rsidR="00CA7C05">
        <w:rPr>
          <w:rFonts w:ascii="Calibri" w:hAnsi="Calibri"/>
          <w:b/>
        </w:rPr>
        <w:t>promote the mainstreaming of innovation across all three outcomes</w:t>
      </w:r>
      <w:r w:rsidR="002F6DF2">
        <w:rPr>
          <w:rFonts w:ascii="Calibri" w:hAnsi="Calibri"/>
          <w:b/>
        </w:rPr>
        <w:t>.</w:t>
      </w:r>
      <w:r w:rsidR="00B43F8A">
        <w:rPr>
          <w:rFonts w:ascii="Calibri" w:hAnsi="Calibri"/>
        </w:rPr>
        <w:t xml:space="preserve"> </w:t>
      </w:r>
      <w:r w:rsidR="00B43F8A" w:rsidRPr="00641D0E">
        <w:rPr>
          <w:rFonts w:ascii="Calibri" w:hAnsi="Calibri"/>
        </w:rPr>
        <w:t>In the initial two years of the partners</w:t>
      </w:r>
      <w:r w:rsidR="00B43F8A">
        <w:rPr>
          <w:rFonts w:ascii="Calibri" w:hAnsi="Calibri"/>
        </w:rPr>
        <w:t xml:space="preserve">hip, it is anticipated that </w:t>
      </w:r>
      <w:r w:rsidR="005A54F6">
        <w:rPr>
          <w:rFonts w:ascii="Calibri" w:hAnsi="Calibri"/>
        </w:rPr>
        <w:t xml:space="preserve">HRG member </w:t>
      </w:r>
      <w:r w:rsidR="00B43F8A">
        <w:rPr>
          <w:rFonts w:ascii="Calibri" w:hAnsi="Calibri"/>
        </w:rPr>
        <w:t xml:space="preserve">NGOs </w:t>
      </w:r>
      <w:r w:rsidR="00CA7C05">
        <w:rPr>
          <w:rFonts w:ascii="Calibri" w:hAnsi="Calibri"/>
        </w:rPr>
        <w:t xml:space="preserve">will continue to </w:t>
      </w:r>
      <w:r w:rsidR="00B43F8A" w:rsidRPr="00641D0E">
        <w:rPr>
          <w:rFonts w:ascii="Calibri" w:hAnsi="Calibri"/>
        </w:rPr>
        <w:t>explor</w:t>
      </w:r>
      <w:r w:rsidR="00B43F8A">
        <w:rPr>
          <w:rFonts w:ascii="Calibri" w:hAnsi="Calibri"/>
        </w:rPr>
        <w:t>e</w:t>
      </w:r>
      <w:r w:rsidR="00B43F8A" w:rsidRPr="00641D0E">
        <w:rPr>
          <w:rFonts w:ascii="Calibri" w:hAnsi="Calibri"/>
        </w:rPr>
        <w:t xml:space="preserve"> </w:t>
      </w:r>
      <w:r w:rsidR="00B43F8A">
        <w:rPr>
          <w:rFonts w:ascii="Calibri" w:hAnsi="Calibri"/>
        </w:rPr>
        <w:t>innovative approaches to humanitarian response</w:t>
      </w:r>
      <w:r w:rsidR="002F6DF2">
        <w:rPr>
          <w:rFonts w:ascii="Calibri" w:hAnsi="Calibri"/>
        </w:rPr>
        <w:t>, as well as</w:t>
      </w:r>
      <w:r w:rsidR="00B43F8A">
        <w:rPr>
          <w:rFonts w:ascii="Calibri" w:hAnsi="Calibri"/>
        </w:rPr>
        <w:t xml:space="preserve"> capacity building</w:t>
      </w:r>
      <w:r w:rsidR="00FD20EA">
        <w:rPr>
          <w:rFonts w:ascii="Calibri" w:hAnsi="Calibri"/>
        </w:rPr>
        <w:t>,</w:t>
      </w:r>
      <w:r w:rsidR="00B43F8A">
        <w:rPr>
          <w:rFonts w:ascii="Calibri" w:hAnsi="Calibri"/>
        </w:rPr>
        <w:t xml:space="preserve"> through partnership</w:t>
      </w:r>
      <w:r w:rsidR="007E20DC">
        <w:rPr>
          <w:rFonts w:ascii="Calibri" w:hAnsi="Calibri"/>
        </w:rPr>
        <w:t>s</w:t>
      </w:r>
      <w:r w:rsidR="00B43F8A">
        <w:rPr>
          <w:rFonts w:ascii="Calibri" w:hAnsi="Calibri"/>
        </w:rPr>
        <w:t xml:space="preserve"> with the </w:t>
      </w:r>
      <w:r w:rsidR="00B43F8A" w:rsidRPr="00B60A49">
        <w:rPr>
          <w:rFonts w:ascii="Calibri" w:hAnsi="Calibri"/>
          <w:b/>
        </w:rPr>
        <w:t>private sector</w:t>
      </w:r>
      <w:r w:rsidR="00B43F8A">
        <w:rPr>
          <w:rFonts w:ascii="Calibri" w:hAnsi="Calibri"/>
        </w:rPr>
        <w:t xml:space="preserve">. </w:t>
      </w:r>
    </w:p>
    <w:p w14:paraId="2D5E9802" w14:textId="77777777" w:rsidR="001E5C09" w:rsidRPr="007157F7" w:rsidRDefault="001E5C09" w:rsidP="00A67DC0">
      <w:pPr>
        <w:pStyle w:val="Heading2"/>
        <w:spacing w:after="240"/>
        <w:jc w:val="both"/>
        <w:rPr>
          <w:sz w:val="24"/>
          <w:szCs w:val="24"/>
        </w:rPr>
      </w:pPr>
      <w:bookmarkStart w:id="18" w:name="_Toc448777802"/>
      <w:r w:rsidRPr="007157F7">
        <w:rPr>
          <w:sz w:val="24"/>
          <w:szCs w:val="24"/>
        </w:rPr>
        <w:t>Budget</w:t>
      </w:r>
      <w:bookmarkEnd w:id="18"/>
    </w:p>
    <w:p w14:paraId="20FA5B59" w14:textId="3343A2DC" w:rsidR="001E5C09" w:rsidRPr="00641D0E" w:rsidRDefault="001E5C09" w:rsidP="00A67DC0">
      <w:pPr>
        <w:keepNext/>
        <w:spacing w:after="240"/>
        <w:jc w:val="both"/>
        <w:rPr>
          <w:rFonts w:ascii="Calibri" w:eastAsia="Times New Roman" w:hAnsi="Calibri"/>
        </w:rPr>
      </w:pPr>
      <w:r w:rsidRPr="00123FA5">
        <w:rPr>
          <w:rFonts w:ascii="Calibri" w:eastAsia="Times New Roman" w:hAnsi="Calibri"/>
          <w:b/>
        </w:rPr>
        <w:t xml:space="preserve">The budget allocation for the operation of the </w:t>
      </w:r>
      <w:r w:rsidR="00F135D1">
        <w:rPr>
          <w:rFonts w:ascii="Calibri" w:eastAsia="Times New Roman" w:hAnsi="Calibri"/>
          <w:b/>
        </w:rPr>
        <w:t>Australian Humanitarian Partnership</w:t>
      </w:r>
      <w:r w:rsidRPr="00123FA5">
        <w:rPr>
          <w:rFonts w:ascii="Calibri" w:eastAsia="Times New Roman" w:hAnsi="Calibri"/>
          <w:b/>
        </w:rPr>
        <w:t xml:space="preserve"> is </w:t>
      </w:r>
      <w:r w:rsidR="007E20DC">
        <w:rPr>
          <w:rFonts w:ascii="Calibri" w:eastAsia="Times New Roman" w:hAnsi="Calibri"/>
          <w:b/>
        </w:rPr>
        <w:t>estimated at AUD</w:t>
      </w:r>
      <w:r w:rsidR="00CA7C05" w:rsidRPr="00123FA5">
        <w:rPr>
          <w:rFonts w:ascii="Calibri" w:eastAsia="Times New Roman" w:hAnsi="Calibri"/>
          <w:b/>
        </w:rPr>
        <w:t>5</w:t>
      </w:r>
      <w:r w:rsidR="00CA7C05">
        <w:rPr>
          <w:rFonts w:ascii="Calibri" w:eastAsia="Times New Roman" w:hAnsi="Calibri"/>
          <w:b/>
        </w:rPr>
        <w:t>0</w:t>
      </w:r>
      <w:r w:rsidR="00CA7C05" w:rsidRPr="00123FA5">
        <w:rPr>
          <w:rFonts w:ascii="Calibri" w:eastAsia="Times New Roman" w:hAnsi="Calibri"/>
          <w:b/>
        </w:rPr>
        <w:t xml:space="preserve"> </w:t>
      </w:r>
      <w:r w:rsidRPr="00123FA5">
        <w:rPr>
          <w:rFonts w:ascii="Calibri" w:eastAsia="Times New Roman" w:hAnsi="Calibri"/>
          <w:b/>
        </w:rPr>
        <w:t>million</w:t>
      </w:r>
      <w:r w:rsidR="00E0236C">
        <w:rPr>
          <w:rFonts w:ascii="Calibri" w:eastAsia="Times New Roman" w:hAnsi="Calibri"/>
          <w:b/>
        </w:rPr>
        <w:t xml:space="preserve"> (TBC)</w:t>
      </w:r>
      <w:r w:rsidRPr="00123FA5">
        <w:rPr>
          <w:rFonts w:ascii="Calibri" w:eastAsia="Times New Roman" w:hAnsi="Calibri"/>
          <w:b/>
        </w:rPr>
        <w:t xml:space="preserve"> over 5 years (2016-2021).</w:t>
      </w:r>
      <w:r w:rsidRPr="00641D0E">
        <w:rPr>
          <w:rFonts w:ascii="Calibri" w:eastAsia="Times New Roman" w:hAnsi="Calibri"/>
        </w:rPr>
        <w:t xml:space="preserve"> This allocation will fund all activities </w:t>
      </w:r>
      <w:r w:rsidR="00643DF6">
        <w:rPr>
          <w:rFonts w:ascii="Calibri" w:eastAsia="Times New Roman" w:hAnsi="Calibri"/>
        </w:rPr>
        <w:t xml:space="preserve">focused on building local humanitarian capability </w:t>
      </w:r>
      <w:r w:rsidR="00CA7C05">
        <w:rPr>
          <w:rFonts w:ascii="Calibri" w:eastAsia="Times New Roman" w:hAnsi="Calibri"/>
        </w:rPr>
        <w:t>and strengthening the disaster resilience of Pacific communities.</w:t>
      </w:r>
      <w:r w:rsidR="00205953">
        <w:rPr>
          <w:rFonts w:ascii="Calibri" w:eastAsia="Times New Roman" w:hAnsi="Calibri"/>
        </w:rPr>
        <w:t xml:space="preserve"> </w:t>
      </w:r>
      <w:r w:rsidR="00CA7C05">
        <w:rPr>
          <w:rFonts w:ascii="Calibri" w:eastAsia="Times New Roman" w:hAnsi="Calibri"/>
        </w:rPr>
        <w:t xml:space="preserve">It will </w:t>
      </w:r>
      <w:r w:rsidR="00FD20EA">
        <w:rPr>
          <w:rFonts w:ascii="Calibri" w:eastAsia="Times New Roman" w:hAnsi="Calibri"/>
        </w:rPr>
        <w:t xml:space="preserve">also </w:t>
      </w:r>
      <w:r w:rsidR="00CA7C05">
        <w:rPr>
          <w:rFonts w:ascii="Calibri" w:eastAsia="Times New Roman" w:hAnsi="Calibri"/>
        </w:rPr>
        <w:t>fund</w:t>
      </w:r>
      <w:r w:rsidR="00AA5CE5">
        <w:rPr>
          <w:rFonts w:ascii="Calibri" w:eastAsia="Times New Roman" w:hAnsi="Calibri"/>
        </w:rPr>
        <w:t xml:space="preserve"> the entire cost of the Support Unit.</w:t>
      </w:r>
    </w:p>
    <w:p w14:paraId="3F8F17E9" w14:textId="2759A823" w:rsidR="001E5C09" w:rsidRPr="00641D0E" w:rsidRDefault="001E5C09" w:rsidP="00A67DC0">
      <w:pPr>
        <w:spacing w:after="240"/>
        <w:jc w:val="both"/>
        <w:rPr>
          <w:rFonts w:ascii="Calibri" w:eastAsia="Times New Roman" w:hAnsi="Calibri"/>
        </w:rPr>
      </w:pPr>
      <w:r w:rsidRPr="007E20DC">
        <w:rPr>
          <w:rFonts w:ascii="Calibri" w:eastAsia="Times New Roman" w:hAnsi="Calibri"/>
          <w:b/>
        </w:rPr>
        <w:t xml:space="preserve">Funding for </w:t>
      </w:r>
      <w:r w:rsidR="00182C95" w:rsidRPr="007E20DC">
        <w:rPr>
          <w:rFonts w:ascii="Calibri" w:eastAsia="Times New Roman" w:hAnsi="Calibri"/>
          <w:b/>
        </w:rPr>
        <w:t>r</w:t>
      </w:r>
      <w:r w:rsidR="00671EF8" w:rsidRPr="007E20DC">
        <w:rPr>
          <w:rFonts w:ascii="Calibri" w:eastAsia="Times New Roman" w:hAnsi="Calibri"/>
          <w:b/>
        </w:rPr>
        <w:t>apid</w:t>
      </w:r>
      <w:r w:rsidR="00123FA5" w:rsidRPr="007E20DC">
        <w:rPr>
          <w:rFonts w:ascii="Calibri" w:eastAsia="Times New Roman" w:hAnsi="Calibri"/>
          <w:b/>
        </w:rPr>
        <w:t>-</w:t>
      </w:r>
      <w:r w:rsidR="00182C95" w:rsidRPr="007E20DC">
        <w:rPr>
          <w:rFonts w:ascii="Calibri" w:eastAsia="Times New Roman" w:hAnsi="Calibri"/>
          <w:b/>
        </w:rPr>
        <w:t>onset</w:t>
      </w:r>
      <w:r w:rsidR="00AA5CE5">
        <w:rPr>
          <w:rFonts w:ascii="Calibri" w:eastAsia="Times New Roman" w:hAnsi="Calibri"/>
          <w:b/>
        </w:rPr>
        <w:t>,</w:t>
      </w:r>
      <w:r w:rsidRPr="007E20DC">
        <w:rPr>
          <w:rFonts w:ascii="Calibri" w:eastAsia="Times New Roman" w:hAnsi="Calibri"/>
          <w:b/>
        </w:rPr>
        <w:t xml:space="preserve"> </w:t>
      </w:r>
      <w:r w:rsidR="00AA5CE5">
        <w:rPr>
          <w:rFonts w:ascii="Calibri" w:eastAsia="Times New Roman" w:hAnsi="Calibri"/>
          <w:b/>
        </w:rPr>
        <w:t>protracted and slow-onset</w:t>
      </w:r>
      <w:r w:rsidR="00AA5CE5" w:rsidRPr="007E20DC">
        <w:rPr>
          <w:rFonts w:ascii="Calibri" w:eastAsia="Times New Roman" w:hAnsi="Calibri"/>
          <w:b/>
        </w:rPr>
        <w:t xml:space="preserve"> </w:t>
      </w:r>
      <w:r w:rsidR="00182C95" w:rsidRPr="007E20DC">
        <w:rPr>
          <w:rFonts w:ascii="Calibri" w:eastAsia="Times New Roman" w:hAnsi="Calibri"/>
          <w:b/>
        </w:rPr>
        <w:t xml:space="preserve">crisis responses </w:t>
      </w:r>
      <w:r w:rsidRPr="007E20DC">
        <w:rPr>
          <w:rFonts w:ascii="Calibri" w:eastAsia="Times New Roman" w:hAnsi="Calibri"/>
          <w:b/>
        </w:rPr>
        <w:t>will be drawn from DFAT's annual humanitarian allocation</w:t>
      </w:r>
      <w:r w:rsidR="005F2031" w:rsidRPr="007E20DC">
        <w:rPr>
          <w:rFonts w:ascii="Calibri" w:eastAsia="Times New Roman" w:hAnsi="Calibri"/>
          <w:b/>
        </w:rPr>
        <w:t xml:space="preserve"> (and/or other DFAT funding)</w:t>
      </w:r>
      <w:r w:rsidRPr="007E20DC">
        <w:rPr>
          <w:rFonts w:ascii="Calibri" w:eastAsia="Times New Roman" w:hAnsi="Calibri"/>
          <w:b/>
        </w:rPr>
        <w:t xml:space="preserve"> and </w:t>
      </w:r>
      <w:r w:rsidR="00671EF8" w:rsidRPr="007E20DC">
        <w:rPr>
          <w:rFonts w:ascii="Calibri" w:eastAsia="Times New Roman" w:hAnsi="Calibri"/>
          <w:b/>
        </w:rPr>
        <w:t xml:space="preserve">will </w:t>
      </w:r>
      <w:r w:rsidRPr="007E20DC">
        <w:rPr>
          <w:rFonts w:ascii="Calibri" w:eastAsia="Times New Roman" w:hAnsi="Calibri"/>
          <w:b/>
        </w:rPr>
        <w:t xml:space="preserve">be additional to </w:t>
      </w:r>
      <w:r w:rsidR="00E0236C">
        <w:rPr>
          <w:rFonts w:ascii="Calibri" w:eastAsia="Times New Roman" w:hAnsi="Calibri"/>
          <w:b/>
        </w:rPr>
        <w:t>core</w:t>
      </w:r>
      <w:r w:rsidR="00671EF8" w:rsidRPr="007E20DC">
        <w:rPr>
          <w:rFonts w:ascii="Calibri" w:eastAsia="Times New Roman" w:hAnsi="Calibri"/>
          <w:b/>
        </w:rPr>
        <w:t xml:space="preserve"> funding</w:t>
      </w:r>
      <w:r>
        <w:rPr>
          <w:rFonts w:ascii="Calibri" w:eastAsia="Times New Roman" w:hAnsi="Calibri"/>
        </w:rPr>
        <w:t>.</w:t>
      </w:r>
      <w:r w:rsidRPr="00641D0E">
        <w:rPr>
          <w:rFonts w:ascii="Calibri" w:eastAsia="Times New Roman" w:hAnsi="Calibri"/>
        </w:rPr>
        <w:t xml:space="preserve"> The design anticipates increased funding </w:t>
      </w:r>
      <w:r w:rsidR="00123FA5">
        <w:rPr>
          <w:rFonts w:ascii="Calibri" w:eastAsia="Times New Roman" w:hAnsi="Calibri"/>
        </w:rPr>
        <w:t xml:space="preserve">for </w:t>
      </w:r>
      <w:r w:rsidR="00123FA5" w:rsidRPr="00641D0E">
        <w:rPr>
          <w:rFonts w:ascii="Calibri" w:eastAsia="Times New Roman" w:hAnsi="Calibri"/>
        </w:rPr>
        <w:t>responses</w:t>
      </w:r>
      <w:r w:rsidRPr="00641D0E">
        <w:rPr>
          <w:rFonts w:ascii="Calibri" w:eastAsia="Times New Roman" w:hAnsi="Calibri"/>
        </w:rPr>
        <w:t xml:space="preserve">, relative to funding under the HPA and relative to other </w:t>
      </w:r>
      <w:r w:rsidR="00DA6D1A">
        <w:rPr>
          <w:rFonts w:ascii="Calibri" w:eastAsia="Times New Roman" w:hAnsi="Calibri"/>
        </w:rPr>
        <w:t xml:space="preserve">DFAT </w:t>
      </w:r>
      <w:r w:rsidRPr="00641D0E">
        <w:rPr>
          <w:rFonts w:ascii="Calibri" w:eastAsia="Times New Roman" w:hAnsi="Calibri"/>
        </w:rPr>
        <w:t xml:space="preserve">humanitarian funding </w:t>
      </w:r>
      <w:r w:rsidR="00DA6D1A">
        <w:rPr>
          <w:rFonts w:ascii="Calibri" w:eastAsia="Times New Roman" w:hAnsi="Calibri"/>
        </w:rPr>
        <w:t>mechanisms</w:t>
      </w:r>
      <w:r w:rsidRPr="00641D0E">
        <w:rPr>
          <w:rFonts w:ascii="Calibri" w:eastAsia="Times New Roman" w:hAnsi="Calibri"/>
        </w:rPr>
        <w:t xml:space="preserve">. It is proposed that DFAT </w:t>
      </w:r>
      <w:r>
        <w:rPr>
          <w:rFonts w:ascii="Calibri" w:eastAsia="Times New Roman" w:hAnsi="Calibri"/>
        </w:rPr>
        <w:t xml:space="preserve">aim to </w:t>
      </w:r>
      <w:r w:rsidRPr="00641D0E">
        <w:rPr>
          <w:rFonts w:ascii="Calibri" w:eastAsia="Times New Roman" w:hAnsi="Calibri"/>
        </w:rPr>
        <w:t xml:space="preserve">increase the </w:t>
      </w:r>
      <w:r w:rsidRPr="00641D0E">
        <w:rPr>
          <w:rFonts w:ascii="Calibri" w:eastAsia="Times New Roman" w:hAnsi="Calibri"/>
        </w:rPr>
        <w:lastRenderedPageBreak/>
        <w:t>share of response funding being channelled through ANG</w:t>
      </w:r>
      <w:r>
        <w:rPr>
          <w:rFonts w:ascii="Calibri" w:eastAsia="Times New Roman" w:hAnsi="Calibri"/>
        </w:rPr>
        <w:t>Os</w:t>
      </w:r>
      <w:r w:rsidR="00BF5B79">
        <w:rPr>
          <w:rFonts w:ascii="Calibri" w:eastAsia="Times New Roman" w:hAnsi="Calibri"/>
        </w:rPr>
        <w:t xml:space="preserve"> from the current 10% to 18</w:t>
      </w:r>
      <w:r w:rsidR="00BF5B79">
        <w:rPr>
          <w:rFonts w:ascii="Calibri" w:eastAsia="Times New Roman" w:hAnsi="Calibri"/>
        </w:rPr>
        <w:noBreakHyphen/>
      </w:r>
      <w:r w:rsidRPr="00641D0E">
        <w:rPr>
          <w:rFonts w:ascii="Calibri" w:eastAsia="Times New Roman" w:hAnsi="Calibri"/>
        </w:rPr>
        <w:t>20%.</w:t>
      </w:r>
      <w:r w:rsidR="00F57104">
        <w:rPr>
          <w:rStyle w:val="FootnoteReference"/>
          <w:rFonts w:eastAsia="Times New Roman"/>
        </w:rPr>
        <w:footnoteReference w:id="36"/>
      </w:r>
      <w:r w:rsidRPr="00641D0E">
        <w:rPr>
          <w:rFonts w:ascii="Calibri" w:eastAsia="Times New Roman" w:hAnsi="Calibri"/>
        </w:rPr>
        <w:t xml:space="preserve"> Such an increase would be in line with other OECD DAC donors and recognise the niche role of NGOs in effective humanitarian action due to their local knowledge and community relationships. </w:t>
      </w:r>
    </w:p>
    <w:p w14:paraId="6F95106C" w14:textId="0E16803F" w:rsidR="001E5C09" w:rsidRDefault="001E5C09" w:rsidP="00A67DC0">
      <w:pPr>
        <w:spacing w:after="240"/>
        <w:jc w:val="both"/>
        <w:rPr>
          <w:rFonts w:ascii="Calibri" w:eastAsia="Times New Roman" w:hAnsi="Calibri"/>
        </w:rPr>
      </w:pPr>
      <w:r w:rsidRPr="00B65680">
        <w:rPr>
          <w:rFonts w:ascii="Calibri" w:eastAsia="Times New Roman" w:hAnsi="Calibri"/>
          <w:b/>
        </w:rPr>
        <w:t xml:space="preserve">The following table presents indicative DFAT allocations </w:t>
      </w:r>
      <w:r w:rsidR="001E4426" w:rsidRPr="00B65680">
        <w:rPr>
          <w:rFonts w:ascii="Calibri" w:eastAsia="Times New Roman" w:hAnsi="Calibri"/>
          <w:b/>
        </w:rPr>
        <w:t xml:space="preserve">of the </w:t>
      </w:r>
      <w:r w:rsidR="007E20DC" w:rsidRPr="00B65680">
        <w:rPr>
          <w:rFonts w:ascii="Calibri" w:eastAsia="Times New Roman" w:hAnsi="Calibri"/>
          <w:b/>
        </w:rPr>
        <w:t>AUD</w:t>
      </w:r>
      <w:r w:rsidR="00CA7C05" w:rsidRPr="00B65680">
        <w:rPr>
          <w:rFonts w:ascii="Calibri" w:eastAsia="Times New Roman" w:hAnsi="Calibri"/>
          <w:b/>
        </w:rPr>
        <w:t>5</w:t>
      </w:r>
      <w:r w:rsidR="00CA7C05">
        <w:rPr>
          <w:rFonts w:ascii="Calibri" w:eastAsia="Times New Roman" w:hAnsi="Calibri"/>
          <w:b/>
        </w:rPr>
        <w:t>0</w:t>
      </w:r>
      <w:r w:rsidR="00CA7C05" w:rsidRPr="00B65680">
        <w:rPr>
          <w:rFonts w:ascii="Calibri" w:eastAsia="Times New Roman" w:hAnsi="Calibri"/>
          <w:b/>
        </w:rPr>
        <w:t xml:space="preserve"> </w:t>
      </w:r>
      <w:r w:rsidR="001E4426" w:rsidRPr="00B65680">
        <w:rPr>
          <w:rFonts w:ascii="Calibri" w:eastAsia="Times New Roman" w:hAnsi="Calibri"/>
          <w:b/>
        </w:rPr>
        <w:t xml:space="preserve">million </w:t>
      </w:r>
      <w:r w:rsidR="001E4426">
        <w:rPr>
          <w:rFonts w:ascii="Calibri" w:eastAsia="Times New Roman" w:hAnsi="Calibri"/>
        </w:rPr>
        <w:t>for the</w:t>
      </w:r>
      <w:r w:rsidR="00F135D1">
        <w:rPr>
          <w:rFonts w:ascii="Calibri" w:eastAsia="Times New Roman" w:hAnsi="Calibri"/>
        </w:rPr>
        <w:t xml:space="preserve"> Australian Humanitarian Partnership</w:t>
      </w:r>
      <w:r w:rsidR="001E4426">
        <w:rPr>
          <w:rFonts w:ascii="Calibri" w:eastAsia="Times New Roman" w:hAnsi="Calibri"/>
        </w:rPr>
        <w:t>, along with procurement arrangements</w:t>
      </w:r>
      <w:r w:rsidRPr="00641D0E">
        <w:rPr>
          <w:rFonts w:ascii="Calibri" w:eastAsia="Times New Roman" w:hAnsi="Calibri"/>
        </w:rPr>
        <w:t xml:space="preserve">. </w:t>
      </w:r>
      <w:r w:rsidR="00CA7C05">
        <w:rPr>
          <w:rFonts w:ascii="Calibri" w:eastAsia="Times New Roman" w:hAnsi="Calibri"/>
        </w:rPr>
        <w:t>D</w:t>
      </w:r>
      <w:r w:rsidR="00123FA5" w:rsidRPr="00641D0E">
        <w:rPr>
          <w:rFonts w:ascii="Calibri" w:eastAsia="Times New Roman" w:hAnsi="Calibri"/>
        </w:rPr>
        <w:t>etail</w:t>
      </w:r>
      <w:r w:rsidR="00123FA5">
        <w:rPr>
          <w:rFonts w:ascii="Calibri" w:eastAsia="Times New Roman" w:hAnsi="Calibri"/>
        </w:rPr>
        <w:t>s</w:t>
      </w:r>
      <w:r w:rsidR="00123FA5" w:rsidRPr="00641D0E">
        <w:rPr>
          <w:rFonts w:ascii="Calibri" w:eastAsia="Times New Roman" w:hAnsi="Calibri"/>
        </w:rPr>
        <w:t xml:space="preserve"> on procurement arrangements are</w:t>
      </w:r>
      <w:r w:rsidRPr="00641D0E">
        <w:rPr>
          <w:rFonts w:ascii="Calibri" w:eastAsia="Times New Roman" w:hAnsi="Calibri"/>
        </w:rPr>
        <w:t xml:space="preserve"> provided on </w:t>
      </w:r>
      <w:r w:rsidRPr="00DF005B">
        <w:rPr>
          <w:rFonts w:ascii="Calibri" w:eastAsia="Times New Roman" w:hAnsi="Calibri"/>
        </w:rPr>
        <w:t xml:space="preserve">page </w:t>
      </w:r>
      <w:r w:rsidR="00411A9C" w:rsidRPr="00DF005B">
        <w:rPr>
          <w:rFonts w:ascii="Calibri" w:eastAsia="Times New Roman" w:hAnsi="Calibri"/>
        </w:rPr>
        <w:t>4</w:t>
      </w:r>
      <w:r w:rsidR="00B41169">
        <w:rPr>
          <w:rFonts w:ascii="Calibri" w:eastAsia="Times New Roman" w:hAnsi="Calibri"/>
        </w:rPr>
        <w:t>5</w:t>
      </w:r>
      <w:r w:rsidRPr="00641D0E">
        <w:rPr>
          <w:rFonts w:ascii="Calibri" w:eastAsia="Times New Roman" w:hAnsi="Calibri"/>
        </w:rPr>
        <w:t>.</w:t>
      </w:r>
    </w:p>
    <w:tbl>
      <w:tblPr>
        <w:tblStyle w:val="TableGrid"/>
        <w:tblW w:w="8755" w:type="dxa"/>
        <w:tblLayout w:type="fixed"/>
        <w:tblLook w:val="04A0" w:firstRow="1" w:lastRow="0" w:firstColumn="1" w:lastColumn="0" w:noHBand="0" w:noVBand="1"/>
      </w:tblPr>
      <w:tblGrid>
        <w:gridCol w:w="1384"/>
        <w:gridCol w:w="2126"/>
        <w:gridCol w:w="2268"/>
        <w:gridCol w:w="2268"/>
        <w:gridCol w:w="709"/>
      </w:tblGrid>
      <w:tr w:rsidR="00E80C23" w:rsidRPr="00641D0E" w14:paraId="3DA48433" w14:textId="77777777" w:rsidTr="00E80C23">
        <w:tc>
          <w:tcPr>
            <w:tcW w:w="1384" w:type="dxa"/>
          </w:tcPr>
          <w:p w14:paraId="5E63AD49" w14:textId="77777777" w:rsidR="002F6DF2" w:rsidRPr="00760943" w:rsidRDefault="002F6DF2" w:rsidP="00B90BFE">
            <w:pPr>
              <w:rPr>
                <w:rFonts w:eastAsia="Times New Roman"/>
                <w:b/>
                <w:sz w:val="20"/>
                <w:szCs w:val="20"/>
              </w:rPr>
            </w:pPr>
          </w:p>
        </w:tc>
        <w:tc>
          <w:tcPr>
            <w:tcW w:w="2126" w:type="dxa"/>
          </w:tcPr>
          <w:p w14:paraId="30FBA023" w14:textId="5995A55E" w:rsidR="002F6DF2" w:rsidRPr="00F135D1" w:rsidRDefault="002F6DF2" w:rsidP="00B90BFE">
            <w:pPr>
              <w:rPr>
                <w:rFonts w:eastAsia="Times New Roman"/>
                <w:b/>
                <w:sz w:val="20"/>
                <w:szCs w:val="20"/>
              </w:rPr>
            </w:pPr>
            <w:r w:rsidRPr="00F135D1">
              <w:rPr>
                <w:rFonts w:eastAsia="Times New Roman"/>
                <w:b/>
                <w:sz w:val="20"/>
                <w:szCs w:val="20"/>
              </w:rPr>
              <w:t>Building local humanitarian capacity in the Pacific</w:t>
            </w:r>
            <w:r>
              <w:rPr>
                <w:rFonts w:eastAsia="Times New Roman"/>
                <w:b/>
                <w:sz w:val="20"/>
                <w:szCs w:val="20"/>
              </w:rPr>
              <w:t xml:space="preserve"> and strengthening the disaster resilience of Pacific communities</w:t>
            </w:r>
            <w:r w:rsidRPr="00F135D1">
              <w:rPr>
                <w:rStyle w:val="FootnoteReference"/>
                <w:rFonts w:eastAsia="Times New Roman"/>
              </w:rPr>
              <w:footnoteReference w:id="37"/>
            </w:r>
          </w:p>
        </w:tc>
        <w:tc>
          <w:tcPr>
            <w:tcW w:w="2268" w:type="dxa"/>
          </w:tcPr>
          <w:p w14:paraId="3AD2F2CF" w14:textId="77777777" w:rsidR="002F6DF2" w:rsidRPr="00F135D1" w:rsidRDefault="002F6DF2" w:rsidP="00B90BFE">
            <w:pPr>
              <w:rPr>
                <w:rFonts w:eastAsia="Times New Roman"/>
                <w:b/>
                <w:sz w:val="20"/>
                <w:szCs w:val="20"/>
              </w:rPr>
            </w:pPr>
            <w:r w:rsidRPr="00F135D1">
              <w:rPr>
                <w:rFonts w:eastAsia="Times New Roman"/>
                <w:b/>
                <w:sz w:val="20"/>
                <w:szCs w:val="20"/>
              </w:rPr>
              <w:t>Support Unit</w:t>
            </w:r>
          </w:p>
        </w:tc>
        <w:tc>
          <w:tcPr>
            <w:tcW w:w="2268" w:type="dxa"/>
          </w:tcPr>
          <w:p w14:paraId="49B9D3AE" w14:textId="77777777" w:rsidR="002F6DF2" w:rsidRPr="00F135D1" w:rsidRDefault="002F6DF2" w:rsidP="00B90BFE">
            <w:pPr>
              <w:rPr>
                <w:rFonts w:eastAsia="Times New Roman"/>
                <w:b/>
                <w:sz w:val="20"/>
                <w:szCs w:val="20"/>
              </w:rPr>
            </w:pPr>
            <w:r w:rsidRPr="00F135D1">
              <w:rPr>
                <w:rFonts w:eastAsia="Times New Roman"/>
                <w:b/>
                <w:sz w:val="20"/>
                <w:szCs w:val="20"/>
              </w:rPr>
              <w:t>M &amp; E</w:t>
            </w:r>
          </w:p>
        </w:tc>
        <w:tc>
          <w:tcPr>
            <w:tcW w:w="709" w:type="dxa"/>
          </w:tcPr>
          <w:p w14:paraId="78FA83F0" w14:textId="77777777" w:rsidR="002F6DF2" w:rsidRPr="00F135D1" w:rsidRDefault="002F6DF2" w:rsidP="00B90BFE">
            <w:pPr>
              <w:rPr>
                <w:rFonts w:eastAsia="Times New Roman"/>
                <w:b/>
                <w:sz w:val="20"/>
                <w:szCs w:val="20"/>
              </w:rPr>
            </w:pPr>
            <w:r w:rsidRPr="00F135D1">
              <w:rPr>
                <w:rFonts w:eastAsia="Times New Roman"/>
                <w:b/>
                <w:sz w:val="20"/>
                <w:szCs w:val="20"/>
              </w:rPr>
              <w:t>Total</w:t>
            </w:r>
          </w:p>
        </w:tc>
      </w:tr>
      <w:tr w:rsidR="00E80C23" w:rsidRPr="00641D0E" w14:paraId="0E6348F6" w14:textId="77777777" w:rsidTr="00E80C23">
        <w:tc>
          <w:tcPr>
            <w:tcW w:w="1384" w:type="dxa"/>
          </w:tcPr>
          <w:p w14:paraId="6B7075A9" w14:textId="77777777" w:rsidR="002F6DF2" w:rsidRPr="00760943" w:rsidRDefault="002F6DF2" w:rsidP="00A67DC0">
            <w:pPr>
              <w:jc w:val="both"/>
              <w:rPr>
                <w:rFonts w:eastAsia="Times New Roman"/>
                <w:b/>
                <w:sz w:val="20"/>
                <w:szCs w:val="20"/>
              </w:rPr>
            </w:pPr>
            <w:r w:rsidRPr="00760943">
              <w:rPr>
                <w:rFonts w:eastAsia="Times New Roman"/>
                <w:b/>
                <w:sz w:val="20"/>
                <w:szCs w:val="20"/>
              </w:rPr>
              <w:t>Procurement arrangements</w:t>
            </w:r>
          </w:p>
        </w:tc>
        <w:tc>
          <w:tcPr>
            <w:tcW w:w="2126" w:type="dxa"/>
          </w:tcPr>
          <w:p w14:paraId="545ECC21" w14:textId="78644021" w:rsidR="002F6DF2" w:rsidRPr="00F135D1" w:rsidRDefault="002F6DF2" w:rsidP="00FD20EA">
            <w:pPr>
              <w:rPr>
                <w:rFonts w:eastAsia="Times New Roman"/>
                <w:sz w:val="20"/>
                <w:szCs w:val="20"/>
              </w:rPr>
            </w:pPr>
            <w:r w:rsidRPr="00F135D1">
              <w:rPr>
                <w:rFonts w:eastAsia="Times New Roman"/>
                <w:sz w:val="20"/>
                <w:szCs w:val="20"/>
              </w:rPr>
              <w:t xml:space="preserve">NGOs </w:t>
            </w:r>
            <w:r>
              <w:rPr>
                <w:rFonts w:eastAsia="Times New Roman"/>
                <w:sz w:val="20"/>
                <w:szCs w:val="20"/>
              </w:rPr>
              <w:t xml:space="preserve">selected </w:t>
            </w:r>
            <w:r w:rsidRPr="00F135D1">
              <w:rPr>
                <w:rFonts w:eastAsia="Times New Roman"/>
                <w:sz w:val="20"/>
                <w:szCs w:val="20"/>
              </w:rPr>
              <w:t xml:space="preserve">through </w:t>
            </w:r>
            <w:r w:rsidR="00FD20EA">
              <w:rPr>
                <w:rFonts w:eastAsia="Times New Roman"/>
                <w:sz w:val="20"/>
                <w:szCs w:val="20"/>
              </w:rPr>
              <w:t>a</w:t>
            </w:r>
            <w:r w:rsidRPr="00F135D1">
              <w:rPr>
                <w:rFonts w:eastAsia="Times New Roman"/>
                <w:sz w:val="20"/>
                <w:szCs w:val="20"/>
              </w:rPr>
              <w:t xml:space="preserve"> competitive tender process </w:t>
            </w:r>
          </w:p>
        </w:tc>
        <w:tc>
          <w:tcPr>
            <w:tcW w:w="2268" w:type="dxa"/>
          </w:tcPr>
          <w:p w14:paraId="0556701A" w14:textId="578222DE" w:rsidR="002F6DF2" w:rsidRPr="00F135D1" w:rsidRDefault="00E0236C" w:rsidP="00E0236C">
            <w:pPr>
              <w:rPr>
                <w:rFonts w:eastAsia="Times New Roman"/>
                <w:sz w:val="20"/>
                <w:szCs w:val="20"/>
              </w:rPr>
            </w:pPr>
            <w:r>
              <w:rPr>
                <w:rFonts w:eastAsia="Times New Roman"/>
                <w:sz w:val="20"/>
                <w:szCs w:val="20"/>
              </w:rPr>
              <w:t>O</w:t>
            </w:r>
            <w:r w:rsidR="002F6DF2">
              <w:rPr>
                <w:rFonts w:eastAsia="Times New Roman"/>
                <w:sz w:val="20"/>
                <w:szCs w:val="20"/>
              </w:rPr>
              <w:t xml:space="preserve">rganisation </w:t>
            </w:r>
            <w:r w:rsidR="00E80C23">
              <w:rPr>
                <w:rFonts w:eastAsia="Times New Roman"/>
                <w:sz w:val="20"/>
                <w:szCs w:val="20"/>
              </w:rPr>
              <w:t xml:space="preserve">selected to </w:t>
            </w:r>
            <w:r w:rsidR="002F6DF2">
              <w:rPr>
                <w:rFonts w:eastAsia="Times New Roman"/>
                <w:sz w:val="20"/>
                <w:szCs w:val="20"/>
              </w:rPr>
              <w:t>host the Support Unit</w:t>
            </w:r>
            <w:r w:rsidR="002F6DF2" w:rsidRPr="00F135D1">
              <w:rPr>
                <w:rStyle w:val="FootnoteReference"/>
                <w:rFonts w:asciiTheme="majorHAnsi" w:eastAsia="Times New Roman" w:hAnsiTheme="majorHAnsi"/>
                <w:szCs w:val="16"/>
              </w:rPr>
              <w:footnoteReference w:id="38"/>
            </w:r>
          </w:p>
        </w:tc>
        <w:tc>
          <w:tcPr>
            <w:tcW w:w="2268" w:type="dxa"/>
          </w:tcPr>
          <w:p w14:paraId="60175775" w14:textId="630E75C3" w:rsidR="002F6DF2" w:rsidRPr="00F135D1" w:rsidRDefault="00E0236C" w:rsidP="00E0236C">
            <w:pPr>
              <w:rPr>
                <w:rFonts w:eastAsia="Times New Roman"/>
                <w:sz w:val="20"/>
                <w:szCs w:val="20"/>
              </w:rPr>
            </w:pPr>
            <w:r>
              <w:rPr>
                <w:rFonts w:eastAsia="Times New Roman"/>
                <w:sz w:val="20"/>
                <w:szCs w:val="20"/>
              </w:rPr>
              <w:t>O</w:t>
            </w:r>
            <w:r w:rsidR="002F6DF2">
              <w:rPr>
                <w:rFonts w:eastAsia="Times New Roman"/>
                <w:sz w:val="20"/>
                <w:szCs w:val="20"/>
              </w:rPr>
              <w:t xml:space="preserve">rganisation </w:t>
            </w:r>
            <w:r w:rsidR="00E80C23">
              <w:rPr>
                <w:rFonts w:eastAsia="Times New Roman"/>
                <w:sz w:val="20"/>
                <w:szCs w:val="20"/>
              </w:rPr>
              <w:t xml:space="preserve">selected to </w:t>
            </w:r>
            <w:r w:rsidR="002F6DF2">
              <w:rPr>
                <w:rFonts w:eastAsia="Times New Roman"/>
                <w:sz w:val="20"/>
                <w:szCs w:val="20"/>
              </w:rPr>
              <w:t>host the Support Unit</w:t>
            </w:r>
          </w:p>
        </w:tc>
        <w:tc>
          <w:tcPr>
            <w:tcW w:w="709" w:type="dxa"/>
          </w:tcPr>
          <w:p w14:paraId="7A82FE50" w14:textId="77777777" w:rsidR="002F6DF2" w:rsidRPr="00F135D1" w:rsidRDefault="002F6DF2" w:rsidP="00A67DC0">
            <w:pPr>
              <w:jc w:val="both"/>
              <w:rPr>
                <w:rFonts w:eastAsia="Times New Roman"/>
                <w:sz w:val="20"/>
                <w:szCs w:val="20"/>
              </w:rPr>
            </w:pPr>
          </w:p>
        </w:tc>
      </w:tr>
      <w:tr w:rsidR="00E80C23" w:rsidRPr="00641D0E" w14:paraId="608157BF" w14:textId="77777777" w:rsidTr="00E80C23">
        <w:tc>
          <w:tcPr>
            <w:tcW w:w="1384" w:type="dxa"/>
          </w:tcPr>
          <w:p w14:paraId="11F2CFA0" w14:textId="77777777" w:rsidR="002F6DF2" w:rsidRDefault="002F6DF2" w:rsidP="00A67DC0">
            <w:pPr>
              <w:jc w:val="both"/>
              <w:rPr>
                <w:rFonts w:eastAsia="Times New Roman"/>
                <w:b/>
                <w:sz w:val="20"/>
                <w:szCs w:val="20"/>
              </w:rPr>
            </w:pPr>
            <w:r w:rsidRPr="00760943">
              <w:rPr>
                <w:rFonts w:eastAsia="Times New Roman"/>
                <w:b/>
                <w:sz w:val="20"/>
                <w:szCs w:val="20"/>
              </w:rPr>
              <w:t>2016-17</w:t>
            </w:r>
          </w:p>
          <w:p w14:paraId="2B13E0D4" w14:textId="77777777" w:rsidR="002F6DF2" w:rsidRPr="00760943" w:rsidRDefault="002F6DF2" w:rsidP="00A67DC0">
            <w:pPr>
              <w:jc w:val="both"/>
              <w:rPr>
                <w:rFonts w:eastAsia="Times New Roman"/>
                <w:b/>
                <w:sz w:val="20"/>
                <w:szCs w:val="20"/>
              </w:rPr>
            </w:pPr>
          </w:p>
        </w:tc>
        <w:tc>
          <w:tcPr>
            <w:tcW w:w="2126" w:type="dxa"/>
          </w:tcPr>
          <w:p w14:paraId="34A4E53B" w14:textId="1F094CAA" w:rsidR="002F6DF2" w:rsidRPr="00F135D1" w:rsidRDefault="00B6204D" w:rsidP="00B6204D">
            <w:pPr>
              <w:jc w:val="both"/>
              <w:rPr>
                <w:rFonts w:eastAsia="Times New Roman"/>
                <w:sz w:val="20"/>
                <w:szCs w:val="20"/>
              </w:rPr>
            </w:pPr>
            <w:r>
              <w:rPr>
                <w:rFonts w:eastAsia="Times New Roman"/>
                <w:sz w:val="20"/>
                <w:szCs w:val="20"/>
              </w:rPr>
              <w:t>4,000,000</w:t>
            </w:r>
          </w:p>
        </w:tc>
        <w:tc>
          <w:tcPr>
            <w:tcW w:w="2268" w:type="dxa"/>
          </w:tcPr>
          <w:p w14:paraId="15DBDF38" w14:textId="16DEDCDD" w:rsidR="002F6DF2" w:rsidRPr="00F135D1" w:rsidRDefault="00E80C23" w:rsidP="00A67DC0">
            <w:pPr>
              <w:jc w:val="both"/>
              <w:rPr>
                <w:rFonts w:eastAsia="Times New Roman"/>
                <w:sz w:val="20"/>
                <w:szCs w:val="20"/>
              </w:rPr>
            </w:pPr>
            <w:r>
              <w:rPr>
                <w:rFonts w:eastAsia="Times New Roman"/>
                <w:sz w:val="20"/>
                <w:szCs w:val="20"/>
              </w:rPr>
              <w:t>600,000</w:t>
            </w:r>
            <w:r w:rsidR="002F6DF2" w:rsidRPr="00F135D1">
              <w:rPr>
                <w:rStyle w:val="FootnoteReference"/>
                <w:rFonts w:eastAsia="Times New Roman"/>
              </w:rPr>
              <w:footnoteReference w:id="39"/>
            </w:r>
          </w:p>
        </w:tc>
        <w:tc>
          <w:tcPr>
            <w:tcW w:w="2268" w:type="dxa"/>
          </w:tcPr>
          <w:p w14:paraId="2F0F2888" w14:textId="77777777" w:rsidR="002F6DF2" w:rsidRPr="00F135D1" w:rsidRDefault="002F6DF2" w:rsidP="00A67DC0">
            <w:pPr>
              <w:jc w:val="both"/>
              <w:rPr>
                <w:rFonts w:eastAsia="Times New Roman"/>
                <w:sz w:val="20"/>
                <w:szCs w:val="20"/>
              </w:rPr>
            </w:pPr>
            <w:r>
              <w:rPr>
                <w:rFonts w:eastAsia="Times New Roman"/>
                <w:sz w:val="20"/>
                <w:szCs w:val="20"/>
              </w:rPr>
              <w:t>4</w:t>
            </w:r>
            <w:r w:rsidRPr="00F135D1">
              <w:rPr>
                <w:rFonts w:eastAsia="Times New Roman"/>
                <w:sz w:val="20"/>
                <w:szCs w:val="20"/>
              </w:rPr>
              <w:t>00,000</w:t>
            </w:r>
          </w:p>
        </w:tc>
        <w:tc>
          <w:tcPr>
            <w:tcW w:w="709" w:type="dxa"/>
          </w:tcPr>
          <w:p w14:paraId="7392C44B" w14:textId="7ECBB5F7" w:rsidR="002F6DF2" w:rsidRPr="00F135D1" w:rsidRDefault="00B6204D" w:rsidP="00A67DC0">
            <w:pPr>
              <w:jc w:val="both"/>
              <w:rPr>
                <w:rFonts w:eastAsia="Times New Roman"/>
                <w:sz w:val="20"/>
                <w:szCs w:val="20"/>
              </w:rPr>
            </w:pPr>
            <w:r>
              <w:rPr>
                <w:rFonts w:eastAsia="Times New Roman"/>
                <w:sz w:val="20"/>
                <w:szCs w:val="20"/>
              </w:rPr>
              <w:t>5</w:t>
            </w:r>
            <w:r w:rsidR="002F6DF2" w:rsidRPr="00F135D1">
              <w:rPr>
                <w:rFonts w:eastAsia="Times New Roman"/>
                <w:sz w:val="20"/>
                <w:szCs w:val="20"/>
              </w:rPr>
              <w:t>m</w:t>
            </w:r>
          </w:p>
        </w:tc>
      </w:tr>
      <w:tr w:rsidR="00E80C23" w:rsidRPr="00641D0E" w14:paraId="10AF412C" w14:textId="77777777" w:rsidTr="00E80C23">
        <w:tc>
          <w:tcPr>
            <w:tcW w:w="1384" w:type="dxa"/>
          </w:tcPr>
          <w:p w14:paraId="5D1026CE" w14:textId="77777777" w:rsidR="002F6DF2" w:rsidRDefault="002F6DF2" w:rsidP="00A67DC0">
            <w:pPr>
              <w:jc w:val="both"/>
              <w:rPr>
                <w:rFonts w:eastAsia="Times New Roman"/>
                <w:b/>
                <w:sz w:val="20"/>
                <w:szCs w:val="20"/>
              </w:rPr>
            </w:pPr>
            <w:r w:rsidRPr="00760943">
              <w:rPr>
                <w:rFonts w:eastAsia="Times New Roman"/>
                <w:b/>
                <w:sz w:val="20"/>
                <w:szCs w:val="20"/>
              </w:rPr>
              <w:t>2017-18</w:t>
            </w:r>
          </w:p>
          <w:p w14:paraId="4FADA6AB" w14:textId="77777777" w:rsidR="002F6DF2" w:rsidRPr="00760943" w:rsidRDefault="002F6DF2" w:rsidP="00A67DC0">
            <w:pPr>
              <w:jc w:val="both"/>
              <w:rPr>
                <w:rFonts w:eastAsia="Times New Roman"/>
                <w:b/>
                <w:sz w:val="20"/>
                <w:szCs w:val="20"/>
              </w:rPr>
            </w:pPr>
          </w:p>
        </w:tc>
        <w:tc>
          <w:tcPr>
            <w:tcW w:w="2126" w:type="dxa"/>
          </w:tcPr>
          <w:p w14:paraId="53DFD54C" w14:textId="6810C0F6" w:rsidR="002F6DF2" w:rsidRPr="00F135D1" w:rsidRDefault="00B6204D" w:rsidP="00530A06">
            <w:pPr>
              <w:jc w:val="both"/>
              <w:rPr>
                <w:rFonts w:eastAsia="Times New Roman"/>
                <w:sz w:val="20"/>
                <w:szCs w:val="20"/>
              </w:rPr>
            </w:pPr>
            <w:r>
              <w:rPr>
                <w:rFonts w:eastAsia="Times New Roman"/>
                <w:sz w:val="20"/>
                <w:szCs w:val="20"/>
              </w:rPr>
              <w:t>8,000,000</w:t>
            </w:r>
          </w:p>
        </w:tc>
        <w:tc>
          <w:tcPr>
            <w:tcW w:w="2268" w:type="dxa"/>
          </w:tcPr>
          <w:p w14:paraId="12A8CB90" w14:textId="3120B352" w:rsidR="002F6DF2" w:rsidRPr="00F135D1" w:rsidRDefault="00E80C23" w:rsidP="00A67DC0">
            <w:pPr>
              <w:jc w:val="both"/>
              <w:rPr>
                <w:rFonts w:eastAsia="Times New Roman"/>
                <w:sz w:val="20"/>
                <w:szCs w:val="20"/>
              </w:rPr>
            </w:pPr>
            <w:r>
              <w:rPr>
                <w:rFonts w:eastAsia="Times New Roman"/>
                <w:sz w:val="20"/>
                <w:szCs w:val="20"/>
              </w:rPr>
              <w:t>600,000</w:t>
            </w:r>
          </w:p>
        </w:tc>
        <w:tc>
          <w:tcPr>
            <w:tcW w:w="2268" w:type="dxa"/>
          </w:tcPr>
          <w:p w14:paraId="7096177F" w14:textId="77777777" w:rsidR="002F6DF2" w:rsidRPr="00F135D1" w:rsidRDefault="002F6DF2" w:rsidP="00A67DC0">
            <w:pPr>
              <w:jc w:val="both"/>
              <w:rPr>
                <w:rFonts w:eastAsia="Times New Roman"/>
                <w:sz w:val="20"/>
                <w:szCs w:val="20"/>
              </w:rPr>
            </w:pPr>
            <w:r>
              <w:rPr>
                <w:rFonts w:eastAsia="Times New Roman"/>
                <w:sz w:val="20"/>
                <w:szCs w:val="20"/>
              </w:rPr>
              <w:t>4</w:t>
            </w:r>
            <w:r w:rsidRPr="00F135D1">
              <w:rPr>
                <w:rFonts w:eastAsia="Times New Roman"/>
                <w:sz w:val="20"/>
                <w:szCs w:val="20"/>
              </w:rPr>
              <w:t>00,000</w:t>
            </w:r>
          </w:p>
        </w:tc>
        <w:tc>
          <w:tcPr>
            <w:tcW w:w="709" w:type="dxa"/>
          </w:tcPr>
          <w:p w14:paraId="49104837" w14:textId="4E8C3185" w:rsidR="002F6DF2" w:rsidRPr="00F135D1" w:rsidRDefault="00B6204D" w:rsidP="00A67DC0">
            <w:pPr>
              <w:jc w:val="both"/>
              <w:rPr>
                <w:rFonts w:eastAsia="Times New Roman"/>
                <w:sz w:val="20"/>
                <w:szCs w:val="20"/>
              </w:rPr>
            </w:pPr>
            <w:r>
              <w:rPr>
                <w:rFonts w:eastAsia="Times New Roman"/>
                <w:sz w:val="20"/>
                <w:szCs w:val="20"/>
              </w:rPr>
              <w:t>9</w:t>
            </w:r>
            <w:r w:rsidR="002F6DF2" w:rsidRPr="00F135D1">
              <w:rPr>
                <w:rFonts w:eastAsia="Times New Roman"/>
                <w:sz w:val="20"/>
                <w:szCs w:val="20"/>
              </w:rPr>
              <w:t>m</w:t>
            </w:r>
          </w:p>
        </w:tc>
      </w:tr>
      <w:tr w:rsidR="00E80C23" w:rsidRPr="00641D0E" w14:paraId="1EA53FDC" w14:textId="77777777" w:rsidTr="00E80C23">
        <w:tc>
          <w:tcPr>
            <w:tcW w:w="1384" w:type="dxa"/>
          </w:tcPr>
          <w:p w14:paraId="2E63EAA2" w14:textId="77777777" w:rsidR="002F6DF2" w:rsidRDefault="002F6DF2" w:rsidP="00A67DC0">
            <w:pPr>
              <w:jc w:val="both"/>
              <w:rPr>
                <w:rFonts w:eastAsia="Times New Roman"/>
                <w:b/>
                <w:sz w:val="20"/>
                <w:szCs w:val="20"/>
              </w:rPr>
            </w:pPr>
            <w:r w:rsidRPr="00760943">
              <w:rPr>
                <w:rFonts w:eastAsia="Times New Roman"/>
                <w:b/>
                <w:sz w:val="20"/>
                <w:szCs w:val="20"/>
              </w:rPr>
              <w:t>2018-19</w:t>
            </w:r>
          </w:p>
          <w:p w14:paraId="4A2D24CA" w14:textId="77777777" w:rsidR="002F6DF2" w:rsidRPr="00760943" w:rsidRDefault="002F6DF2" w:rsidP="00A67DC0">
            <w:pPr>
              <w:jc w:val="both"/>
              <w:rPr>
                <w:rFonts w:eastAsia="Times New Roman"/>
                <w:b/>
                <w:sz w:val="20"/>
                <w:szCs w:val="20"/>
              </w:rPr>
            </w:pPr>
          </w:p>
        </w:tc>
        <w:tc>
          <w:tcPr>
            <w:tcW w:w="2126" w:type="dxa"/>
          </w:tcPr>
          <w:p w14:paraId="40E92E5A" w14:textId="7354A842" w:rsidR="002F6DF2" w:rsidRPr="00F135D1" w:rsidRDefault="009B74FB" w:rsidP="00E80C23">
            <w:pPr>
              <w:jc w:val="both"/>
              <w:rPr>
                <w:rFonts w:eastAsia="Times New Roman"/>
                <w:sz w:val="20"/>
                <w:szCs w:val="20"/>
              </w:rPr>
            </w:pPr>
            <w:r>
              <w:rPr>
                <w:rFonts w:eastAsia="Times New Roman"/>
                <w:sz w:val="20"/>
                <w:szCs w:val="20"/>
              </w:rPr>
              <w:t>11</w:t>
            </w:r>
            <w:r w:rsidR="00E80C23">
              <w:rPr>
                <w:rFonts w:eastAsia="Times New Roman"/>
                <w:sz w:val="20"/>
                <w:szCs w:val="20"/>
              </w:rPr>
              <w:t>,000,000</w:t>
            </w:r>
          </w:p>
        </w:tc>
        <w:tc>
          <w:tcPr>
            <w:tcW w:w="2268" w:type="dxa"/>
          </w:tcPr>
          <w:p w14:paraId="4C64F6BC" w14:textId="3E57AB79" w:rsidR="002F6DF2" w:rsidRPr="00F135D1" w:rsidRDefault="00E80C23" w:rsidP="00A67DC0">
            <w:pPr>
              <w:jc w:val="both"/>
              <w:rPr>
                <w:rFonts w:eastAsia="Times New Roman"/>
                <w:sz w:val="20"/>
                <w:szCs w:val="20"/>
              </w:rPr>
            </w:pPr>
            <w:r>
              <w:rPr>
                <w:rFonts w:eastAsia="Times New Roman"/>
                <w:sz w:val="20"/>
                <w:szCs w:val="20"/>
              </w:rPr>
              <w:t>600,000</w:t>
            </w:r>
          </w:p>
        </w:tc>
        <w:tc>
          <w:tcPr>
            <w:tcW w:w="2268" w:type="dxa"/>
          </w:tcPr>
          <w:p w14:paraId="585A6688" w14:textId="51E21D56" w:rsidR="002F6DF2" w:rsidRPr="00F135D1" w:rsidRDefault="00E80C23" w:rsidP="00A67DC0">
            <w:pPr>
              <w:jc w:val="both"/>
              <w:rPr>
                <w:rFonts w:eastAsia="Times New Roman"/>
                <w:sz w:val="20"/>
                <w:szCs w:val="20"/>
              </w:rPr>
            </w:pPr>
            <w:r>
              <w:rPr>
                <w:rFonts w:eastAsia="Times New Roman"/>
                <w:sz w:val="20"/>
                <w:szCs w:val="20"/>
              </w:rPr>
              <w:t>400,000</w:t>
            </w:r>
          </w:p>
        </w:tc>
        <w:tc>
          <w:tcPr>
            <w:tcW w:w="709" w:type="dxa"/>
          </w:tcPr>
          <w:p w14:paraId="1F1C6040" w14:textId="6A8C6061" w:rsidR="002F6DF2" w:rsidRPr="00F135D1" w:rsidRDefault="009B74FB" w:rsidP="00A67DC0">
            <w:pPr>
              <w:jc w:val="both"/>
              <w:rPr>
                <w:rFonts w:eastAsia="Times New Roman"/>
                <w:sz w:val="20"/>
                <w:szCs w:val="20"/>
              </w:rPr>
            </w:pPr>
            <w:r>
              <w:rPr>
                <w:rFonts w:eastAsia="Times New Roman"/>
                <w:sz w:val="20"/>
                <w:szCs w:val="20"/>
              </w:rPr>
              <w:t>12</w:t>
            </w:r>
            <w:r w:rsidR="002F6DF2" w:rsidRPr="00F135D1">
              <w:rPr>
                <w:rFonts w:eastAsia="Times New Roman"/>
                <w:sz w:val="20"/>
                <w:szCs w:val="20"/>
              </w:rPr>
              <w:t>m</w:t>
            </w:r>
          </w:p>
        </w:tc>
      </w:tr>
      <w:tr w:rsidR="00E80C23" w:rsidRPr="00641D0E" w14:paraId="46F6B663" w14:textId="77777777" w:rsidTr="00E80C23">
        <w:tc>
          <w:tcPr>
            <w:tcW w:w="1384" w:type="dxa"/>
          </w:tcPr>
          <w:p w14:paraId="448F8EC6" w14:textId="77777777" w:rsidR="002F6DF2" w:rsidRDefault="002F6DF2" w:rsidP="00A67DC0">
            <w:pPr>
              <w:jc w:val="both"/>
              <w:rPr>
                <w:rFonts w:eastAsia="Times New Roman"/>
                <w:b/>
                <w:sz w:val="20"/>
                <w:szCs w:val="20"/>
              </w:rPr>
            </w:pPr>
            <w:r w:rsidRPr="00760943">
              <w:rPr>
                <w:rFonts w:eastAsia="Times New Roman"/>
                <w:b/>
                <w:sz w:val="20"/>
                <w:szCs w:val="20"/>
              </w:rPr>
              <w:t>2019-20</w:t>
            </w:r>
          </w:p>
          <w:p w14:paraId="52651014" w14:textId="77777777" w:rsidR="002F6DF2" w:rsidRPr="00760943" w:rsidRDefault="002F6DF2" w:rsidP="00A67DC0">
            <w:pPr>
              <w:jc w:val="both"/>
              <w:rPr>
                <w:rFonts w:eastAsia="Times New Roman"/>
                <w:b/>
                <w:sz w:val="20"/>
                <w:szCs w:val="20"/>
              </w:rPr>
            </w:pPr>
          </w:p>
        </w:tc>
        <w:tc>
          <w:tcPr>
            <w:tcW w:w="2126" w:type="dxa"/>
          </w:tcPr>
          <w:p w14:paraId="0A26BA6B" w14:textId="402EDE7A" w:rsidR="002F6DF2" w:rsidRPr="00F135D1" w:rsidRDefault="009B74FB" w:rsidP="00E80C23">
            <w:pPr>
              <w:jc w:val="both"/>
              <w:rPr>
                <w:rFonts w:eastAsia="Times New Roman"/>
                <w:sz w:val="20"/>
                <w:szCs w:val="20"/>
              </w:rPr>
            </w:pPr>
            <w:r>
              <w:rPr>
                <w:rFonts w:eastAsia="Times New Roman"/>
                <w:sz w:val="20"/>
                <w:szCs w:val="20"/>
              </w:rPr>
              <w:t>11</w:t>
            </w:r>
            <w:r w:rsidR="00E80C23">
              <w:rPr>
                <w:rFonts w:eastAsia="Times New Roman"/>
                <w:sz w:val="20"/>
                <w:szCs w:val="20"/>
              </w:rPr>
              <w:t>,000,000</w:t>
            </w:r>
          </w:p>
        </w:tc>
        <w:tc>
          <w:tcPr>
            <w:tcW w:w="2268" w:type="dxa"/>
          </w:tcPr>
          <w:p w14:paraId="0CB6CED2" w14:textId="365CD057" w:rsidR="002F6DF2" w:rsidRPr="00F135D1" w:rsidRDefault="00E80C23" w:rsidP="00A67DC0">
            <w:pPr>
              <w:jc w:val="both"/>
              <w:rPr>
                <w:rFonts w:eastAsia="Times New Roman"/>
                <w:sz w:val="20"/>
                <w:szCs w:val="20"/>
              </w:rPr>
            </w:pPr>
            <w:r>
              <w:rPr>
                <w:rFonts w:eastAsia="Times New Roman"/>
                <w:sz w:val="20"/>
                <w:szCs w:val="20"/>
              </w:rPr>
              <w:t>600,000</w:t>
            </w:r>
          </w:p>
        </w:tc>
        <w:tc>
          <w:tcPr>
            <w:tcW w:w="2268" w:type="dxa"/>
          </w:tcPr>
          <w:p w14:paraId="5C28FFF7" w14:textId="30A3A2B5" w:rsidR="002F6DF2" w:rsidRPr="00F135D1" w:rsidRDefault="00E80C23" w:rsidP="00A67DC0">
            <w:pPr>
              <w:jc w:val="both"/>
              <w:rPr>
                <w:rFonts w:eastAsia="Times New Roman"/>
                <w:sz w:val="20"/>
                <w:szCs w:val="20"/>
              </w:rPr>
            </w:pPr>
            <w:r>
              <w:rPr>
                <w:rFonts w:eastAsia="Times New Roman"/>
                <w:sz w:val="20"/>
                <w:szCs w:val="20"/>
              </w:rPr>
              <w:t>400,000</w:t>
            </w:r>
          </w:p>
        </w:tc>
        <w:tc>
          <w:tcPr>
            <w:tcW w:w="709" w:type="dxa"/>
          </w:tcPr>
          <w:p w14:paraId="2BF090FB" w14:textId="42071EAC" w:rsidR="002F6DF2" w:rsidRPr="00F135D1" w:rsidRDefault="009B74FB" w:rsidP="0080170F">
            <w:pPr>
              <w:jc w:val="both"/>
              <w:rPr>
                <w:rFonts w:eastAsia="Times New Roman"/>
                <w:sz w:val="20"/>
                <w:szCs w:val="20"/>
              </w:rPr>
            </w:pPr>
            <w:r>
              <w:rPr>
                <w:rFonts w:eastAsia="Times New Roman"/>
                <w:sz w:val="20"/>
                <w:szCs w:val="20"/>
              </w:rPr>
              <w:t>12</w:t>
            </w:r>
            <w:r w:rsidR="002F6DF2" w:rsidRPr="00F135D1">
              <w:rPr>
                <w:rFonts w:eastAsia="Times New Roman"/>
                <w:sz w:val="20"/>
                <w:szCs w:val="20"/>
              </w:rPr>
              <w:t>m</w:t>
            </w:r>
          </w:p>
        </w:tc>
      </w:tr>
      <w:tr w:rsidR="00E80C23" w:rsidRPr="00641D0E" w14:paraId="0493FE5E" w14:textId="77777777" w:rsidTr="00E80C23">
        <w:tc>
          <w:tcPr>
            <w:tcW w:w="1384" w:type="dxa"/>
          </w:tcPr>
          <w:p w14:paraId="01BFDF91" w14:textId="77777777" w:rsidR="002F6DF2" w:rsidRDefault="002F6DF2" w:rsidP="00A67DC0">
            <w:pPr>
              <w:jc w:val="both"/>
              <w:rPr>
                <w:rFonts w:eastAsia="Times New Roman"/>
                <w:b/>
                <w:sz w:val="20"/>
                <w:szCs w:val="20"/>
              </w:rPr>
            </w:pPr>
            <w:r w:rsidRPr="00760943">
              <w:rPr>
                <w:rFonts w:eastAsia="Times New Roman"/>
                <w:b/>
                <w:sz w:val="20"/>
                <w:szCs w:val="20"/>
              </w:rPr>
              <w:t>2020-21</w:t>
            </w:r>
          </w:p>
          <w:p w14:paraId="38F06ADC" w14:textId="77777777" w:rsidR="002F6DF2" w:rsidRPr="00760943" w:rsidRDefault="002F6DF2" w:rsidP="00A67DC0">
            <w:pPr>
              <w:jc w:val="both"/>
              <w:rPr>
                <w:rFonts w:eastAsia="Times New Roman"/>
                <w:b/>
                <w:sz w:val="20"/>
                <w:szCs w:val="20"/>
              </w:rPr>
            </w:pPr>
          </w:p>
        </w:tc>
        <w:tc>
          <w:tcPr>
            <w:tcW w:w="2126" w:type="dxa"/>
          </w:tcPr>
          <w:p w14:paraId="7A4041B4" w14:textId="2C0E8D50" w:rsidR="002F6DF2" w:rsidRPr="00F135D1" w:rsidRDefault="009B74FB" w:rsidP="0080170F">
            <w:pPr>
              <w:jc w:val="both"/>
              <w:rPr>
                <w:rFonts w:eastAsia="Times New Roman"/>
                <w:sz w:val="20"/>
                <w:szCs w:val="20"/>
              </w:rPr>
            </w:pPr>
            <w:r>
              <w:rPr>
                <w:rFonts w:eastAsia="Times New Roman"/>
                <w:sz w:val="20"/>
                <w:szCs w:val="20"/>
              </w:rPr>
              <w:t>11</w:t>
            </w:r>
            <w:r w:rsidR="00E80C23">
              <w:rPr>
                <w:rFonts w:eastAsia="Times New Roman"/>
                <w:sz w:val="20"/>
                <w:szCs w:val="20"/>
              </w:rPr>
              <w:t>,000,000</w:t>
            </w:r>
          </w:p>
        </w:tc>
        <w:tc>
          <w:tcPr>
            <w:tcW w:w="2268" w:type="dxa"/>
          </w:tcPr>
          <w:p w14:paraId="50D310A0" w14:textId="77777777" w:rsidR="002F6DF2" w:rsidRPr="00F135D1" w:rsidRDefault="002F6DF2" w:rsidP="00A67DC0">
            <w:pPr>
              <w:jc w:val="both"/>
              <w:rPr>
                <w:rFonts w:eastAsia="Times New Roman"/>
                <w:sz w:val="20"/>
                <w:szCs w:val="20"/>
              </w:rPr>
            </w:pPr>
            <w:r>
              <w:rPr>
                <w:rFonts w:eastAsia="Times New Roman"/>
                <w:sz w:val="20"/>
                <w:szCs w:val="20"/>
              </w:rPr>
              <w:t>600</w:t>
            </w:r>
            <w:r w:rsidRPr="00F135D1">
              <w:rPr>
                <w:rFonts w:eastAsia="Times New Roman"/>
                <w:sz w:val="20"/>
                <w:szCs w:val="20"/>
              </w:rPr>
              <w:t>,000</w:t>
            </w:r>
          </w:p>
        </w:tc>
        <w:tc>
          <w:tcPr>
            <w:tcW w:w="2268" w:type="dxa"/>
          </w:tcPr>
          <w:p w14:paraId="4C31B1FA" w14:textId="288244FE" w:rsidR="002F6DF2" w:rsidRPr="00F135D1" w:rsidRDefault="00E80C23" w:rsidP="00A67DC0">
            <w:pPr>
              <w:jc w:val="both"/>
              <w:rPr>
                <w:rFonts w:eastAsia="Times New Roman"/>
                <w:sz w:val="20"/>
                <w:szCs w:val="20"/>
              </w:rPr>
            </w:pPr>
            <w:r>
              <w:rPr>
                <w:rFonts w:eastAsia="Times New Roman"/>
                <w:sz w:val="20"/>
                <w:szCs w:val="20"/>
              </w:rPr>
              <w:t>400,000</w:t>
            </w:r>
          </w:p>
        </w:tc>
        <w:tc>
          <w:tcPr>
            <w:tcW w:w="709" w:type="dxa"/>
          </w:tcPr>
          <w:p w14:paraId="29859438" w14:textId="3F43AD2D" w:rsidR="002F6DF2" w:rsidRPr="00F135D1" w:rsidRDefault="009B74FB" w:rsidP="00C74A3B">
            <w:pPr>
              <w:jc w:val="both"/>
              <w:rPr>
                <w:rFonts w:eastAsia="Times New Roman"/>
                <w:sz w:val="20"/>
                <w:szCs w:val="20"/>
              </w:rPr>
            </w:pPr>
            <w:r>
              <w:rPr>
                <w:rFonts w:eastAsia="Times New Roman"/>
                <w:sz w:val="20"/>
                <w:szCs w:val="20"/>
              </w:rPr>
              <w:t>12</w:t>
            </w:r>
            <w:r w:rsidR="002F6DF2" w:rsidRPr="00F135D1">
              <w:rPr>
                <w:rFonts w:eastAsia="Times New Roman"/>
                <w:sz w:val="20"/>
                <w:szCs w:val="20"/>
              </w:rPr>
              <w:t>m</w:t>
            </w:r>
          </w:p>
        </w:tc>
      </w:tr>
      <w:tr w:rsidR="00E80C23" w:rsidRPr="00B90BFE" w14:paraId="49CD045E" w14:textId="77777777" w:rsidTr="00E80C23">
        <w:tc>
          <w:tcPr>
            <w:tcW w:w="1384" w:type="dxa"/>
          </w:tcPr>
          <w:p w14:paraId="3C91FD58" w14:textId="77777777" w:rsidR="002F6DF2" w:rsidRPr="00B90BFE" w:rsidRDefault="002F6DF2" w:rsidP="00A67DC0">
            <w:pPr>
              <w:jc w:val="both"/>
              <w:rPr>
                <w:rFonts w:eastAsia="Times New Roman"/>
                <w:b/>
                <w:sz w:val="20"/>
                <w:szCs w:val="20"/>
              </w:rPr>
            </w:pPr>
            <w:r w:rsidRPr="00B90BFE">
              <w:rPr>
                <w:rFonts w:eastAsia="Times New Roman"/>
                <w:b/>
                <w:sz w:val="20"/>
                <w:szCs w:val="20"/>
              </w:rPr>
              <w:t>Total</w:t>
            </w:r>
          </w:p>
          <w:p w14:paraId="47B0DE5A" w14:textId="77777777" w:rsidR="002F6DF2" w:rsidRPr="00B90BFE" w:rsidRDefault="002F6DF2" w:rsidP="00A67DC0">
            <w:pPr>
              <w:jc w:val="both"/>
              <w:rPr>
                <w:rFonts w:eastAsia="Times New Roman"/>
                <w:b/>
                <w:sz w:val="20"/>
                <w:szCs w:val="20"/>
              </w:rPr>
            </w:pPr>
          </w:p>
        </w:tc>
        <w:tc>
          <w:tcPr>
            <w:tcW w:w="2126" w:type="dxa"/>
          </w:tcPr>
          <w:p w14:paraId="674F042D" w14:textId="32A016D0" w:rsidR="002F6DF2" w:rsidRPr="00B90BFE" w:rsidRDefault="009B74FB" w:rsidP="00E00B4B">
            <w:pPr>
              <w:jc w:val="both"/>
              <w:rPr>
                <w:rFonts w:eastAsia="Times New Roman"/>
                <w:b/>
                <w:sz w:val="20"/>
                <w:szCs w:val="20"/>
              </w:rPr>
            </w:pPr>
            <w:r>
              <w:rPr>
                <w:rFonts w:eastAsia="Times New Roman"/>
                <w:b/>
                <w:sz w:val="20"/>
                <w:szCs w:val="20"/>
              </w:rPr>
              <w:t>45m</w:t>
            </w:r>
          </w:p>
        </w:tc>
        <w:tc>
          <w:tcPr>
            <w:tcW w:w="2268" w:type="dxa"/>
          </w:tcPr>
          <w:p w14:paraId="4A8F2A4A" w14:textId="5871CA02" w:rsidR="002F6DF2" w:rsidRPr="00B90BFE" w:rsidRDefault="009B74FB" w:rsidP="00A67DC0">
            <w:pPr>
              <w:jc w:val="both"/>
              <w:rPr>
                <w:rFonts w:eastAsia="Times New Roman"/>
                <w:b/>
                <w:sz w:val="20"/>
                <w:szCs w:val="20"/>
              </w:rPr>
            </w:pPr>
            <w:r>
              <w:rPr>
                <w:rFonts w:eastAsia="Times New Roman"/>
                <w:b/>
                <w:sz w:val="20"/>
                <w:szCs w:val="20"/>
              </w:rPr>
              <w:t>3m</w:t>
            </w:r>
          </w:p>
        </w:tc>
        <w:tc>
          <w:tcPr>
            <w:tcW w:w="2268" w:type="dxa"/>
          </w:tcPr>
          <w:p w14:paraId="715626F5" w14:textId="71A8CA5A" w:rsidR="002F6DF2" w:rsidRPr="00B90BFE" w:rsidRDefault="009B74FB" w:rsidP="00530A06">
            <w:pPr>
              <w:jc w:val="both"/>
              <w:rPr>
                <w:rFonts w:eastAsia="Times New Roman"/>
                <w:b/>
                <w:sz w:val="20"/>
                <w:szCs w:val="20"/>
              </w:rPr>
            </w:pPr>
            <w:r>
              <w:rPr>
                <w:rFonts w:eastAsia="Times New Roman"/>
                <w:b/>
                <w:sz w:val="20"/>
                <w:szCs w:val="20"/>
              </w:rPr>
              <w:t>2m</w:t>
            </w:r>
          </w:p>
        </w:tc>
        <w:tc>
          <w:tcPr>
            <w:tcW w:w="709" w:type="dxa"/>
          </w:tcPr>
          <w:p w14:paraId="11216930" w14:textId="7367DD79" w:rsidR="002F6DF2" w:rsidRPr="00B90BFE" w:rsidRDefault="002F6DF2" w:rsidP="00CA7C05">
            <w:pPr>
              <w:jc w:val="both"/>
              <w:rPr>
                <w:rFonts w:eastAsia="Times New Roman"/>
                <w:b/>
                <w:sz w:val="20"/>
                <w:szCs w:val="20"/>
              </w:rPr>
            </w:pPr>
            <w:r w:rsidRPr="00B90BFE">
              <w:rPr>
                <w:rFonts w:eastAsia="Times New Roman"/>
                <w:b/>
                <w:sz w:val="20"/>
                <w:szCs w:val="20"/>
              </w:rPr>
              <w:t>5</w:t>
            </w:r>
            <w:r>
              <w:rPr>
                <w:rFonts w:eastAsia="Times New Roman"/>
                <w:b/>
                <w:sz w:val="20"/>
                <w:szCs w:val="20"/>
              </w:rPr>
              <w:t>0</w:t>
            </w:r>
            <w:r w:rsidRPr="00B90BFE">
              <w:rPr>
                <w:rFonts w:eastAsia="Times New Roman"/>
                <w:b/>
                <w:sz w:val="20"/>
                <w:szCs w:val="20"/>
              </w:rPr>
              <w:t>m</w:t>
            </w:r>
          </w:p>
        </w:tc>
      </w:tr>
    </w:tbl>
    <w:p w14:paraId="592D7140" w14:textId="77777777" w:rsidR="001E5C09" w:rsidRPr="007157F7" w:rsidRDefault="001E5C09" w:rsidP="00A67DC0">
      <w:pPr>
        <w:pStyle w:val="Heading2"/>
        <w:spacing w:after="240"/>
        <w:jc w:val="both"/>
        <w:rPr>
          <w:sz w:val="24"/>
          <w:szCs w:val="24"/>
        </w:rPr>
      </w:pPr>
      <w:bookmarkStart w:id="19" w:name="_Toc448777803"/>
      <w:r w:rsidRPr="007157F7">
        <w:rPr>
          <w:sz w:val="24"/>
          <w:szCs w:val="24"/>
        </w:rPr>
        <w:t>Value for money</w:t>
      </w:r>
      <w:bookmarkEnd w:id="19"/>
      <w:r w:rsidRPr="007157F7">
        <w:rPr>
          <w:sz w:val="24"/>
          <w:szCs w:val="24"/>
        </w:rPr>
        <w:t xml:space="preserve"> </w:t>
      </w:r>
    </w:p>
    <w:p w14:paraId="3D936A59" w14:textId="77777777" w:rsidR="00ED2771" w:rsidRDefault="00E00B4B" w:rsidP="00A67DC0">
      <w:pPr>
        <w:spacing w:after="240"/>
        <w:jc w:val="both"/>
        <w:rPr>
          <w:rFonts w:ascii="Calibri" w:hAnsi="Calibri"/>
        </w:rPr>
      </w:pPr>
      <w:r w:rsidRPr="007E20DC">
        <w:rPr>
          <w:rFonts w:ascii="Calibri" w:hAnsi="Calibri"/>
          <w:b/>
        </w:rPr>
        <w:t xml:space="preserve">Value for money </w:t>
      </w:r>
      <w:r w:rsidRPr="00FD20EA">
        <w:rPr>
          <w:rFonts w:ascii="Calibri" w:hAnsi="Calibri"/>
        </w:rPr>
        <w:t>will be maximised by leveraging existing arrangements, improving coordination between partners (including through joint activities) and avoiding</w:t>
      </w:r>
      <w:r>
        <w:rPr>
          <w:rFonts w:ascii="Calibri" w:hAnsi="Calibri"/>
          <w:b/>
        </w:rPr>
        <w:t xml:space="preserve"> </w:t>
      </w:r>
      <w:r>
        <w:rPr>
          <w:rFonts w:ascii="Calibri" w:hAnsi="Calibri"/>
        </w:rPr>
        <w:t>duplication of investments. These elements, combined with a focus on strengthening (and not undermining) local actors, will produce better programming.</w:t>
      </w:r>
      <w:r w:rsidR="00591547">
        <w:rPr>
          <w:rFonts w:ascii="Calibri" w:hAnsi="Calibri"/>
        </w:rPr>
        <w:t xml:space="preserve"> </w:t>
      </w:r>
    </w:p>
    <w:p w14:paraId="26BC0E2B" w14:textId="5B63B4B8" w:rsidR="001E5C09" w:rsidRPr="00641D0E" w:rsidRDefault="001E5C09" w:rsidP="00A67DC0">
      <w:pPr>
        <w:spacing w:after="240"/>
        <w:jc w:val="both"/>
        <w:rPr>
          <w:rFonts w:ascii="Calibri" w:hAnsi="Calibri"/>
        </w:rPr>
      </w:pPr>
      <w:r w:rsidRPr="007E20DC">
        <w:rPr>
          <w:rFonts w:ascii="Calibri" w:hAnsi="Calibri"/>
          <w:b/>
        </w:rPr>
        <w:t>NGO mechanisms generally have lower transaction costs than multilateral humanitarian mechanisms</w:t>
      </w:r>
      <w:r w:rsidRPr="00641D0E">
        <w:rPr>
          <w:rFonts w:ascii="Calibri" w:hAnsi="Calibri"/>
        </w:rPr>
        <w:t xml:space="preserve">.  Evidence from an independent scoping study found </w:t>
      </w:r>
      <w:r w:rsidRPr="00641D0E">
        <w:rPr>
          <w:rFonts w:ascii="Calibri" w:hAnsi="Calibri"/>
        </w:rPr>
        <w:lastRenderedPageBreak/>
        <w:t>NGO mechanisms had between 5 to 8 administrative steps, in comparison to up to eleven stages for the UN CERF, and UN agencies will often sub-contract to implementing partners including NGOs.</w:t>
      </w:r>
      <w:r w:rsidRPr="00C15BB8">
        <w:rPr>
          <w:rStyle w:val="FootnoteReference"/>
          <w:szCs w:val="16"/>
        </w:rPr>
        <w:footnoteReference w:id="40"/>
      </w:r>
    </w:p>
    <w:p w14:paraId="17784B6F" w14:textId="77777777" w:rsidR="001E5C09" w:rsidRPr="00423CF7" w:rsidRDefault="00400F0D" w:rsidP="00A67DC0">
      <w:pPr>
        <w:spacing w:after="240"/>
        <w:jc w:val="both"/>
        <w:rPr>
          <w:rFonts w:ascii="Calibri" w:hAnsi="Calibri"/>
        </w:rPr>
      </w:pPr>
      <w:r w:rsidRPr="007E20DC">
        <w:rPr>
          <w:rFonts w:ascii="Calibri" w:hAnsi="Calibri"/>
          <w:b/>
        </w:rPr>
        <w:t xml:space="preserve">The Support Unit will maximise DFAT's (and </w:t>
      </w:r>
      <w:r w:rsidR="00B90BFE">
        <w:rPr>
          <w:rFonts w:ascii="Calibri" w:hAnsi="Calibri"/>
          <w:b/>
        </w:rPr>
        <w:t>HRG</w:t>
      </w:r>
      <w:r w:rsidRPr="007E20DC">
        <w:rPr>
          <w:rFonts w:ascii="Calibri" w:hAnsi="Calibri"/>
          <w:b/>
        </w:rPr>
        <w:t xml:space="preserve"> </w:t>
      </w:r>
      <w:r w:rsidR="00743605">
        <w:rPr>
          <w:rFonts w:ascii="Calibri" w:hAnsi="Calibri"/>
          <w:b/>
        </w:rPr>
        <w:t>member</w:t>
      </w:r>
      <w:r w:rsidRPr="007E20DC">
        <w:rPr>
          <w:rFonts w:ascii="Calibri" w:hAnsi="Calibri"/>
          <w:b/>
        </w:rPr>
        <w:t>s') return on investment</w:t>
      </w:r>
      <w:r>
        <w:rPr>
          <w:rFonts w:ascii="Calibri" w:hAnsi="Calibri"/>
        </w:rPr>
        <w:t xml:space="preserve"> by </w:t>
      </w:r>
      <w:r w:rsidR="00E00B4B">
        <w:rPr>
          <w:rFonts w:ascii="Calibri" w:hAnsi="Calibri"/>
        </w:rPr>
        <w:t xml:space="preserve">streamlining contracting processes, </w:t>
      </w:r>
      <w:r>
        <w:rPr>
          <w:rFonts w:ascii="Calibri" w:hAnsi="Calibri"/>
        </w:rPr>
        <w:t xml:space="preserve">improving </w:t>
      </w:r>
      <w:r w:rsidR="00E00B4B">
        <w:rPr>
          <w:rFonts w:ascii="Calibri" w:hAnsi="Calibri"/>
        </w:rPr>
        <w:t xml:space="preserve">coordination between partners, enhancing </w:t>
      </w:r>
      <w:r>
        <w:rPr>
          <w:rFonts w:ascii="Calibri" w:hAnsi="Calibri"/>
        </w:rPr>
        <w:t>the public visibility of Australian humanitarian interventions and providing a stronger focus on improving the quality of humanitarian action through well-resourced and focused lesson learning exercises.</w:t>
      </w:r>
    </w:p>
    <w:p w14:paraId="7CF2A38F" w14:textId="77777777" w:rsidR="000B4674" w:rsidRPr="005D712C" w:rsidRDefault="000B4674" w:rsidP="000B4674">
      <w:pPr>
        <w:spacing w:after="240"/>
        <w:jc w:val="both"/>
        <w:rPr>
          <w:rFonts w:ascii="Calibri" w:hAnsi="Calibri"/>
        </w:rPr>
      </w:pPr>
      <w:r w:rsidRPr="007E20DC">
        <w:rPr>
          <w:rFonts w:ascii="Calibri" w:hAnsi="Calibri"/>
          <w:b/>
        </w:rPr>
        <w:t>Efficiency will also be improved by the anticipated increase in funding directed through the partnership</w:t>
      </w:r>
      <w:r>
        <w:rPr>
          <w:rFonts w:ascii="Calibri" w:hAnsi="Calibri"/>
        </w:rPr>
        <w:t>. The independent review of the HPA found that value for money was difficult to assess, but identified high transaction costs relative to funding volume as a significant constraint to efficiency.</w:t>
      </w:r>
      <w:r>
        <w:rPr>
          <w:rStyle w:val="FootnoteReference"/>
        </w:rPr>
        <w:footnoteReference w:id="41"/>
      </w:r>
    </w:p>
    <w:p w14:paraId="037994AC" w14:textId="77777777" w:rsidR="001E5C09" w:rsidRPr="00641D0E" w:rsidRDefault="001E5C09" w:rsidP="00A67DC0">
      <w:pPr>
        <w:spacing w:after="240"/>
        <w:jc w:val="both"/>
        <w:rPr>
          <w:rFonts w:ascii="Calibri" w:eastAsiaTheme="majorEastAsia" w:hAnsi="Calibri" w:cstheme="majorBidi"/>
          <w:b/>
          <w:bCs/>
          <w:color w:val="4F81BD" w:themeColor="accent1"/>
        </w:rPr>
      </w:pPr>
      <w:r w:rsidRPr="00641D0E">
        <w:rPr>
          <w:rFonts w:ascii="Calibri" w:hAnsi="Calibri"/>
        </w:rPr>
        <w:br w:type="page"/>
      </w:r>
    </w:p>
    <w:p w14:paraId="6A49375D" w14:textId="77777777" w:rsidR="009B11CA" w:rsidRPr="00FF73B0" w:rsidRDefault="009B11CA" w:rsidP="00A67DC0">
      <w:pPr>
        <w:pStyle w:val="Heading1"/>
        <w:jc w:val="both"/>
      </w:pPr>
      <w:bookmarkStart w:id="20" w:name="_Toc448777804"/>
      <w:r w:rsidRPr="00FF73B0">
        <w:lastRenderedPageBreak/>
        <w:t>4. Monitoring, Ev</w:t>
      </w:r>
      <w:r w:rsidR="004C38B2" w:rsidRPr="00FF73B0">
        <w:t>aluation and Learning</w:t>
      </w:r>
      <w:bookmarkEnd w:id="20"/>
    </w:p>
    <w:p w14:paraId="15DDE36C" w14:textId="77777777" w:rsidR="003E45FD" w:rsidRPr="00A00184" w:rsidRDefault="003E45FD" w:rsidP="003E45FD">
      <w:pPr>
        <w:spacing w:before="120" w:after="240"/>
        <w:jc w:val="both"/>
        <w:rPr>
          <w:b/>
          <w:color w:val="4F81BD" w:themeColor="accent1"/>
        </w:rPr>
      </w:pPr>
      <w:r w:rsidRPr="00A00184">
        <w:rPr>
          <w:b/>
          <w:color w:val="4F81BD" w:themeColor="accent1"/>
        </w:rPr>
        <w:t xml:space="preserve">Purpose </w:t>
      </w:r>
    </w:p>
    <w:p w14:paraId="7C6A6AA4" w14:textId="2C94546B" w:rsidR="00E00B4B" w:rsidRDefault="003E45FD" w:rsidP="003E45FD">
      <w:pPr>
        <w:spacing w:after="240"/>
        <w:jc w:val="both"/>
        <w:rPr>
          <w:rFonts w:ascii="Calibri" w:eastAsia="Calibri" w:hAnsi="Calibri" w:cs="Times New Roman"/>
        </w:rPr>
      </w:pPr>
      <w:r w:rsidRPr="004C38B2">
        <w:rPr>
          <w:rFonts w:ascii="Calibri" w:eastAsia="Calibri" w:hAnsi="Calibri" w:cs="Times New Roman"/>
        </w:rPr>
        <w:t>Th</w:t>
      </w:r>
      <w:r w:rsidR="00E00B4B">
        <w:rPr>
          <w:rFonts w:ascii="Calibri" w:eastAsia="Calibri" w:hAnsi="Calibri" w:cs="Times New Roman"/>
        </w:rPr>
        <w:t>is draft</w:t>
      </w:r>
      <w:r w:rsidRPr="004C38B2">
        <w:rPr>
          <w:rFonts w:ascii="Calibri" w:eastAsia="Calibri" w:hAnsi="Calibri" w:cs="Times New Roman"/>
        </w:rPr>
        <w:t xml:space="preserve"> Monitoring Evaluation and </w:t>
      </w:r>
      <w:r>
        <w:rPr>
          <w:rFonts w:ascii="Calibri" w:eastAsia="Calibri" w:hAnsi="Calibri" w:cs="Times New Roman"/>
        </w:rPr>
        <w:t>L</w:t>
      </w:r>
      <w:r w:rsidRPr="004C38B2">
        <w:rPr>
          <w:rFonts w:ascii="Calibri" w:eastAsia="Calibri" w:hAnsi="Calibri" w:cs="Times New Roman"/>
        </w:rPr>
        <w:t xml:space="preserve">earning (MEL) framework has been designed to </w:t>
      </w:r>
      <w:r w:rsidRPr="00FD20EA">
        <w:rPr>
          <w:rFonts w:ascii="Calibri" w:eastAsia="Calibri" w:hAnsi="Calibri" w:cs="Times New Roman"/>
        </w:rPr>
        <w:t>assess and improve the performance of</w:t>
      </w:r>
      <w:r w:rsidRPr="004C38B2">
        <w:rPr>
          <w:rFonts w:ascii="Calibri" w:eastAsia="Calibri" w:hAnsi="Calibri" w:cs="Times New Roman"/>
        </w:rPr>
        <w:t xml:space="preserve"> the partnership and its components. </w:t>
      </w:r>
      <w:r w:rsidR="00E00B4B" w:rsidRPr="00BA4617">
        <w:rPr>
          <w:rFonts w:ascii="Calibri" w:eastAsia="Calibri" w:hAnsi="Calibri" w:cs="Times New Roman"/>
          <w:b/>
        </w:rPr>
        <w:t xml:space="preserve">This framework will be further developed and refined </w:t>
      </w:r>
      <w:r w:rsidR="00E00B4B">
        <w:rPr>
          <w:rFonts w:ascii="Calibri" w:eastAsia="Calibri" w:hAnsi="Calibri" w:cs="Times New Roman"/>
          <w:b/>
        </w:rPr>
        <w:t>by the Support Unit</w:t>
      </w:r>
      <w:r w:rsidR="00FD20EA">
        <w:rPr>
          <w:rFonts w:ascii="Calibri" w:eastAsia="Calibri" w:hAnsi="Calibri" w:cs="Times New Roman"/>
          <w:b/>
        </w:rPr>
        <w:t xml:space="preserve">. The design team recommends that, during the inception phase, the Support Unit </w:t>
      </w:r>
      <w:r w:rsidR="00E00B4B">
        <w:rPr>
          <w:rFonts w:ascii="Calibri" w:eastAsia="Calibri" w:hAnsi="Calibri" w:cs="Times New Roman"/>
          <w:b/>
        </w:rPr>
        <w:t>facilitate</w:t>
      </w:r>
      <w:r w:rsidR="00FD20EA">
        <w:rPr>
          <w:rFonts w:ascii="Calibri" w:eastAsia="Calibri" w:hAnsi="Calibri" w:cs="Times New Roman"/>
          <w:b/>
        </w:rPr>
        <w:t xml:space="preserve"> a conversation </w:t>
      </w:r>
      <w:r w:rsidR="00E00B4B">
        <w:rPr>
          <w:rFonts w:ascii="Calibri" w:eastAsia="Calibri" w:hAnsi="Calibri" w:cs="Times New Roman"/>
          <w:b/>
        </w:rPr>
        <w:t xml:space="preserve">with partners </w:t>
      </w:r>
      <w:r w:rsidR="00FD20EA">
        <w:rPr>
          <w:rFonts w:ascii="Calibri" w:eastAsia="Calibri" w:hAnsi="Calibri" w:cs="Times New Roman"/>
          <w:b/>
        </w:rPr>
        <w:t>to</w:t>
      </w:r>
      <w:r w:rsidR="00E00B4B">
        <w:rPr>
          <w:rFonts w:ascii="Calibri" w:eastAsia="Calibri" w:hAnsi="Calibri" w:cs="Times New Roman"/>
          <w:b/>
        </w:rPr>
        <w:t xml:space="preserve"> review </w:t>
      </w:r>
      <w:r w:rsidR="00E00B4B" w:rsidRPr="00BA4617">
        <w:rPr>
          <w:rFonts w:ascii="Calibri" w:eastAsia="Calibri" w:hAnsi="Calibri" w:cs="Times New Roman"/>
          <w:b/>
        </w:rPr>
        <w:t>the program logic and success criteria.</w:t>
      </w:r>
    </w:p>
    <w:p w14:paraId="198A0F90" w14:textId="51775B52" w:rsidR="003E45FD" w:rsidRPr="00BA4617" w:rsidRDefault="003E45FD" w:rsidP="003E45FD">
      <w:pPr>
        <w:spacing w:after="240"/>
        <w:jc w:val="both"/>
        <w:rPr>
          <w:rFonts w:ascii="Calibri" w:eastAsia="Calibri" w:hAnsi="Calibri" w:cs="Times New Roman"/>
          <w:b/>
        </w:rPr>
      </w:pPr>
      <w:r w:rsidRPr="004C38B2">
        <w:rPr>
          <w:rFonts w:ascii="Calibri" w:eastAsia="Calibri" w:hAnsi="Calibri" w:cs="Times New Roman"/>
        </w:rPr>
        <w:t>Th</w:t>
      </w:r>
      <w:r w:rsidR="00E00B4B">
        <w:rPr>
          <w:rFonts w:ascii="Calibri" w:eastAsia="Calibri" w:hAnsi="Calibri" w:cs="Times New Roman"/>
        </w:rPr>
        <w:t>is draft MEL framework</w:t>
      </w:r>
      <w:r w:rsidRPr="004C38B2">
        <w:rPr>
          <w:rFonts w:ascii="Calibri" w:eastAsia="Calibri" w:hAnsi="Calibri" w:cs="Times New Roman"/>
        </w:rPr>
        <w:t xml:space="preserve"> includes assessment of the three </w:t>
      </w:r>
      <w:r>
        <w:rPr>
          <w:rFonts w:ascii="Calibri" w:eastAsia="Calibri" w:hAnsi="Calibri" w:cs="Times New Roman"/>
        </w:rPr>
        <w:t>outcome areas</w:t>
      </w:r>
      <w:r w:rsidRPr="004C38B2">
        <w:rPr>
          <w:rFonts w:ascii="Calibri" w:eastAsia="Calibri" w:hAnsi="Calibri" w:cs="Times New Roman"/>
        </w:rPr>
        <w:t xml:space="preserve"> of the partnership (as outlined in the Program </w:t>
      </w:r>
      <w:r>
        <w:rPr>
          <w:rFonts w:ascii="Calibri" w:eastAsia="Calibri" w:hAnsi="Calibri" w:cs="Times New Roman"/>
        </w:rPr>
        <w:t>Theory</w:t>
      </w:r>
      <w:r w:rsidRPr="004C38B2">
        <w:rPr>
          <w:rFonts w:ascii="Calibri" w:eastAsia="Calibri" w:hAnsi="Calibri" w:cs="Times New Roman"/>
        </w:rPr>
        <w:t xml:space="preserve"> in </w:t>
      </w:r>
      <w:r>
        <w:rPr>
          <w:rFonts w:ascii="Calibri" w:eastAsia="Calibri" w:hAnsi="Calibri" w:cs="Times New Roman"/>
        </w:rPr>
        <w:t>S</w:t>
      </w:r>
      <w:r w:rsidRPr="004C38B2">
        <w:rPr>
          <w:rFonts w:ascii="Calibri" w:eastAsia="Calibri" w:hAnsi="Calibri" w:cs="Times New Roman"/>
        </w:rPr>
        <w:t xml:space="preserve">ection 3). The program </w:t>
      </w:r>
      <w:r>
        <w:rPr>
          <w:rFonts w:ascii="Calibri" w:eastAsia="Calibri" w:hAnsi="Calibri" w:cs="Times New Roman"/>
        </w:rPr>
        <w:t>theory</w:t>
      </w:r>
      <w:r w:rsidRPr="004C38B2">
        <w:rPr>
          <w:rFonts w:ascii="Calibri" w:eastAsia="Calibri" w:hAnsi="Calibri" w:cs="Times New Roman"/>
        </w:rPr>
        <w:t xml:space="preserve"> forms the basis of the MEL framework which has been designed to test the partnership’s theory and </w:t>
      </w:r>
      <w:r>
        <w:rPr>
          <w:rFonts w:ascii="Calibri" w:eastAsia="Calibri" w:hAnsi="Calibri" w:cs="Times New Roman"/>
        </w:rPr>
        <w:t xml:space="preserve">to </w:t>
      </w:r>
      <w:r w:rsidRPr="004C38B2">
        <w:rPr>
          <w:rFonts w:ascii="Calibri" w:eastAsia="Calibri" w:hAnsi="Calibri" w:cs="Times New Roman"/>
        </w:rPr>
        <w:t xml:space="preserve">capture, analyse and use information in relation to the expected outcomes and measures of success. </w:t>
      </w:r>
    </w:p>
    <w:p w14:paraId="6083D60F" w14:textId="77777777" w:rsidR="003E45FD" w:rsidRPr="004C38B2" w:rsidRDefault="003E45FD" w:rsidP="003E45FD">
      <w:pPr>
        <w:spacing w:after="240"/>
        <w:jc w:val="both"/>
        <w:rPr>
          <w:rFonts w:ascii="Calibri" w:eastAsia="Calibri" w:hAnsi="Calibri" w:cs="Times New Roman"/>
        </w:rPr>
      </w:pPr>
      <w:r w:rsidRPr="004C38B2">
        <w:rPr>
          <w:rFonts w:ascii="Calibri" w:eastAsia="Calibri" w:hAnsi="Calibri" w:cs="Times New Roman"/>
        </w:rPr>
        <w:t xml:space="preserve">The MEL framework has been designed to ensure the new </w:t>
      </w:r>
      <w:r>
        <w:rPr>
          <w:rFonts w:ascii="Calibri" w:eastAsia="Calibri" w:hAnsi="Calibri" w:cs="Times New Roman"/>
        </w:rPr>
        <w:t>partnership</w:t>
      </w:r>
      <w:r w:rsidRPr="004C38B2">
        <w:rPr>
          <w:rFonts w:ascii="Calibri" w:eastAsia="Calibri" w:hAnsi="Calibri" w:cs="Times New Roman"/>
        </w:rPr>
        <w:t xml:space="preserve"> supports: </w:t>
      </w:r>
    </w:p>
    <w:p w14:paraId="3CB7F9FB" w14:textId="77777777" w:rsidR="003E45FD" w:rsidRPr="004C38B2" w:rsidRDefault="003E45FD" w:rsidP="003E45FD">
      <w:pPr>
        <w:numPr>
          <w:ilvl w:val="0"/>
          <w:numId w:val="22"/>
        </w:numPr>
        <w:spacing w:after="240"/>
        <w:ind w:left="714" w:hanging="357"/>
        <w:contextualSpacing/>
        <w:jc w:val="both"/>
        <w:rPr>
          <w:rFonts w:ascii="Calibri" w:eastAsia="Calibri" w:hAnsi="Calibri" w:cs="Times New Roman"/>
        </w:rPr>
      </w:pPr>
      <w:r w:rsidRPr="004C38B2">
        <w:rPr>
          <w:rFonts w:ascii="Calibri" w:eastAsia="Calibri" w:hAnsi="Calibri" w:cs="Times New Roman"/>
          <w:b/>
        </w:rPr>
        <w:t xml:space="preserve">Learning for improvement </w:t>
      </w:r>
      <w:r w:rsidRPr="004C38B2">
        <w:rPr>
          <w:rFonts w:ascii="Calibri" w:eastAsia="Calibri" w:hAnsi="Calibri" w:cs="Times New Roman"/>
        </w:rPr>
        <w:t>– of the partnership as a whole</w:t>
      </w:r>
      <w:r>
        <w:rPr>
          <w:rFonts w:ascii="Calibri" w:eastAsia="Calibri" w:hAnsi="Calibri" w:cs="Times New Roman"/>
        </w:rPr>
        <w:t>;</w:t>
      </w:r>
      <w:r w:rsidRPr="004C38B2">
        <w:rPr>
          <w:rFonts w:ascii="Calibri" w:eastAsia="Calibri" w:hAnsi="Calibri" w:cs="Times New Roman"/>
        </w:rPr>
        <w:t xml:space="preserve"> crisis and early recovery responses</w:t>
      </w:r>
      <w:r>
        <w:rPr>
          <w:rFonts w:ascii="Calibri" w:eastAsia="Calibri" w:hAnsi="Calibri" w:cs="Times New Roman"/>
        </w:rPr>
        <w:t>;</w:t>
      </w:r>
      <w:r w:rsidRPr="004C38B2">
        <w:rPr>
          <w:rFonts w:ascii="Calibri" w:eastAsia="Calibri" w:hAnsi="Calibri" w:cs="Times New Roman"/>
        </w:rPr>
        <w:t xml:space="preserve"> and DRR and resilience initiatives</w:t>
      </w:r>
    </w:p>
    <w:p w14:paraId="78FDE7AC" w14:textId="77777777" w:rsidR="003E45FD" w:rsidRPr="004C38B2" w:rsidRDefault="003E45FD" w:rsidP="003E45FD">
      <w:pPr>
        <w:numPr>
          <w:ilvl w:val="0"/>
          <w:numId w:val="22"/>
        </w:numPr>
        <w:spacing w:after="240"/>
        <w:ind w:left="714" w:hanging="357"/>
        <w:contextualSpacing/>
        <w:jc w:val="both"/>
        <w:rPr>
          <w:rFonts w:ascii="Calibri" w:eastAsia="Calibri" w:hAnsi="Calibri" w:cs="Times New Roman"/>
        </w:rPr>
      </w:pPr>
      <w:r w:rsidRPr="004C38B2">
        <w:rPr>
          <w:rFonts w:ascii="Calibri" w:eastAsia="Calibri" w:hAnsi="Calibri" w:cs="Times New Roman"/>
          <w:b/>
        </w:rPr>
        <w:t>Accountability</w:t>
      </w:r>
      <w:r w:rsidRPr="004C38B2">
        <w:rPr>
          <w:rFonts w:ascii="Calibri" w:eastAsia="Calibri" w:hAnsi="Calibri" w:cs="Times New Roman"/>
        </w:rPr>
        <w:t xml:space="preserve"> to demonstrate the impact of the Australian Government’s and partners’ investment to stakeholders</w:t>
      </w:r>
    </w:p>
    <w:p w14:paraId="3FADBB5A" w14:textId="77777777" w:rsidR="003E45FD" w:rsidRPr="004C38B2" w:rsidRDefault="003E45FD" w:rsidP="003E45FD">
      <w:pPr>
        <w:numPr>
          <w:ilvl w:val="0"/>
          <w:numId w:val="22"/>
        </w:numPr>
        <w:spacing w:after="240"/>
        <w:ind w:left="714" w:hanging="357"/>
        <w:contextualSpacing/>
        <w:jc w:val="both"/>
        <w:rPr>
          <w:rFonts w:ascii="Calibri" w:eastAsia="Calibri" w:hAnsi="Calibri" w:cs="Times New Roman"/>
        </w:rPr>
      </w:pPr>
      <w:r w:rsidRPr="004C38B2">
        <w:rPr>
          <w:rFonts w:ascii="Calibri" w:eastAsia="Calibri" w:hAnsi="Calibri" w:cs="Times New Roman"/>
          <w:b/>
        </w:rPr>
        <w:t xml:space="preserve">Aggregation </w:t>
      </w:r>
      <w:r w:rsidRPr="0003133E">
        <w:rPr>
          <w:rFonts w:ascii="Calibri" w:eastAsia="Calibri" w:hAnsi="Calibri" w:cs="Times New Roman"/>
        </w:rPr>
        <w:t>of results internally</w:t>
      </w:r>
      <w:r w:rsidRPr="004C38B2">
        <w:rPr>
          <w:rFonts w:ascii="Calibri" w:eastAsia="Calibri" w:hAnsi="Calibri" w:cs="Times New Roman"/>
        </w:rPr>
        <w:t xml:space="preserve"> </w:t>
      </w:r>
    </w:p>
    <w:p w14:paraId="06F94DEE" w14:textId="77777777" w:rsidR="003E45FD" w:rsidRPr="004C38B2" w:rsidRDefault="003E45FD" w:rsidP="003E45FD">
      <w:pPr>
        <w:numPr>
          <w:ilvl w:val="0"/>
          <w:numId w:val="22"/>
        </w:numPr>
        <w:spacing w:after="240"/>
        <w:ind w:left="714" w:hanging="357"/>
        <w:contextualSpacing/>
        <w:jc w:val="both"/>
        <w:rPr>
          <w:rFonts w:ascii="Calibri" w:eastAsia="Calibri" w:hAnsi="Calibri" w:cs="Times New Roman"/>
        </w:rPr>
      </w:pPr>
      <w:r w:rsidRPr="004C38B2">
        <w:rPr>
          <w:rFonts w:ascii="Calibri" w:eastAsia="Calibri" w:hAnsi="Calibri" w:cs="Times New Roman"/>
          <w:b/>
        </w:rPr>
        <w:t xml:space="preserve">Actioning </w:t>
      </w:r>
      <w:r w:rsidRPr="0003133E">
        <w:rPr>
          <w:rFonts w:ascii="Calibri" w:eastAsia="Calibri" w:hAnsi="Calibri" w:cs="Times New Roman"/>
        </w:rPr>
        <w:t>of learnings</w:t>
      </w:r>
      <w:r w:rsidRPr="004C38B2">
        <w:rPr>
          <w:rFonts w:ascii="Calibri" w:eastAsia="Calibri" w:hAnsi="Calibri" w:cs="Times New Roman"/>
        </w:rPr>
        <w:t xml:space="preserve"> in a systematic way</w:t>
      </w:r>
    </w:p>
    <w:p w14:paraId="252F5BF5" w14:textId="77777777" w:rsidR="003E45FD" w:rsidRPr="000B4674" w:rsidRDefault="003E45FD" w:rsidP="003E45FD">
      <w:pPr>
        <w:numPr>
          <w:ilvl w:val="0"/>
          <w:numId w:val="22"/>
        </w:numPr>
        <w:spacing w:after="240"/>
        <w:ind w:left="714" w:hanging="357"/>
        <w:contextualSpacing/>
        <w:jc w:val="both"/>
        <w:rPr>
          <w:rFonts w:ascii="Calibri" w:eastAsia="Calibri" w:hAnsi="Calibri" w:cs="Times New Roman"/>
        </w:rPr>
      </w:pPr>
      <w:r w:rsidRPr="00774F50">
        <w:rPr>
          <w:rFonts w:ascii="Calibri" w:eastAsia="Calibri" w:hAnsi="Calibri" w:cs="Times New Roman"/>
          <w:b/>
        </w:rPr>
        <w:t xml:space="preserve">Communication of results </w:t>
      </w:r>
      <w:r w:rsidRPr="000B4674">
        <w:rPr>
          <w:rFonts w:ascii="Calibri" w:eastAsia="Calibri" w:hAnsi="Calibri" w:cs="Times New Roman"/>
        </w:rPr>
        <w:t>to external stakeholders.</w:t>
      </w:r>
    </w:p>
    <w:p w14:paraId="24E79E32" w14:textId="77777777" w:rsidR="003E45FD" w:rsidRDefault="003E45FD" w:rsidP="003E45FD">
      <w:pPr>
        <w:spacing w:after="240"/>
        <w:jc w:val="both"/>
        <w:rPr>
          <w:rFonts w:ascii="Calibri" w:eastAsia="Calibri" w:hAnsi="Calibri" w:cs="Times New Roman"/>
        </w:rPr>
      </w:pPr>
    </w:p>
    <w:p w14:paraId="64ACB5FC" w14:textId="77777777" w:rsidR="003E45FD" w:rsidRPr="004C38B2" w:rsidRDefault="003E45FD" w:rsidP="003E45FD">
      <w:pPr>
        <w:spacing w:after="240"/>
        <w:jc w:val="both"/>
        <w:rPr>
          <w:rFonts w:ascii="Calibri" w:eastAsia="Calibri" w:hAnsi="Calibri" w:cs="Times New Roman"/>
        </w:rPr>
      </w:pPr>
      <w:r w:rsidRPr="004C38B2">
        <w:rPr>
          <w:rFonts w:ascii="Calibri" w:eastAsia="Calibri" w:hAnsi="Calibri" w:cs="Times New Roman"/>
        </w:rPr>
        <w:t>This MEL framework builds on the lessons of the HPA review and takes forward MEL recommendations. To ensure these are embedded in the new MEL framework, the following principles will guide the design and implementation of partnership MEL:</w:t>
      </w:r>
    </w:p>
    <w:p w14:paraId="50CE6BDF" w14:textId="777828D1" w:rsidR="003E45FD" w:rsidRPr="004C38B2" w:rsidRDefault="003E45FD" w:rsidP="003E45FD">
      <w:pPr>
        <w:numPr>
          <w:ilvl w:val="0"/>
          <w:numId w:val="22"/>
        </w:numPr>
        <w:spacing w:after="240"/>
        <w:ind w:left="714" w:hanging="357"/>
        <w:contextualSpacing/>
        <w:jc w:val="both"/>
        <w:rPr>
          <w:rFonts w:ascii="Calibri" w:eastAsia="Calibri" w:hAnsi="Calibri" w:cs="Times New Roman"/>
          <w:b/>
        </w:rPr>
      </w:pPr>
      <w:r w:rsidRPr="004C38B2">
        <w:rPr>
          <w:rFonts w:ascii="Calibri" w:eastAsia="Calibri" w:hAnsi="Calibri" w:cs="Times New Roman"/>
          <w:b/>
        </w:rPr>
        <w:t xml:space="preserve">Inclusive learning </w:t>
      </w:r>
      <w:r w:rsidRPr="004C38B2">
        <w:rPr>
          <w:rFonts w:ascii="Calibri" w:eastAsia="Calibri" w:hAnsi="Calibri" w:cs="Times New Roman"/>
        </w:rPr>
        <w:t xml:space="preserve">– partnership learning will </w:t>
      </w:r>
      <w:r w:rsidR="00C83E1C">
        <w:rPr>
          <w:rFonts w:ascii="Calibri" w:eastAsia="Calibri" w:hAnsi="Calibri" w:cs="Times New Roman"/>
        </w:rPr>
        <w:t>be open to</w:t>
      </w:r>
      <w:r>
        <w:rPr>
          <w:rFonts w:ascii="Calibri" w:eastAsia="Calibri" w:hAnsi="Calibri" w:cs="Times New Roman"/>
        </w:rPr>
        <w:t xml:space="preserve"> </w:t>
      </w:r>
      <w:r w:rsidRPr="004C38B2">
        <w:rPr>
          <w:rFonts w:ascii="Calibri" w:eastAsia="Calibri" w:hAnsi="Calibri" w:cs="Times New Roman"/>
        </w:rPr>
        <w:t xml:space="preserve">HRG </w:t>
      </w:r>
      <w:r>
        <w:rPr>
          <w:rFonts w:ascii="Calibri" w:eastAsia="Calibri" w:hAnsi="Calibri" w:cs="Times New Roman"/>
        </w:rPr>
        <w:t xml:space="preserve">members </w:t>
      </w:r>
      <w:r w:rsidRPr="004C38B2">
        <w:rPr>
          <w:rFonts w:ascii="Calibri" w:eastAsia="Calibri" w:hAnsi="Calibri" w:cs="Times New Roman"/>
        </w:rPr>
        <w:t>and will not be limited to funded partners.</w:t>
      </w:r>
      <w:r w:rsidRPr="004C38B2">
        <w:rPr>
          <w:rFonts w:ascii="Calibri" w:eastAsia="Calibri" w:hAnsi="Calibri" w:cs="Times New Roman"/>
          <w:b/>
        </w:rPr>
        <w:t xml:space="preserve"> </w:t>
      </w:r>
    </w:p>
    <w:p w14:paraId="1A0D365C" w14:textId="77777777" w:rsidR="003E45FD" w:rsidRPr="004C38B2" w:rsidRDefault="003E45FD" w:rsidP="003E45FD">
      <w:pPr>
        <w:numPr>
          <w:ilvl w:val="0"/>
          <w:numId w:val="22"/>
        </w:numPr>
        <w:spacing w:after="240"/>
        <w:ind w:left="714" w:hanging="357"/>
        <w:contextualSpacing/>
        <w:jc w:val="both"/>
        <w:rPr>
          <w:rFonts w:ascii="Calibri" w:eastAsia="Calibri" w:hAnsi="Calibri" w:cs="Times New Roman"/>
          <w:b/>
        </w:rPr>
      </w:pPr>
      <w:r w:rsidRPr="004C38B2">
        <w:rPr>
          <w:rFonts w:ascii="Calibri" w:eastAsia="Calibri" w:hAnsi="Calibri" w:cs="Times New Roman"/>
          <w:b/>
        </w:rPr>
        <w:t xml:space="preserve">Engagement of local partners </w:t>
      </w:r>
      <w:r w:rsidRPr="004C38B2">
        <w:rPr>
          <w:rFonts w:ascii="Calibri" w:eastAsia="Calibri" w:hAnsi="Calibri" w:cs="Times New Roman"/>
        </w:rPr>
        <w:t>– local partners will be engaged in MEL and the learnings of collective activations will be shared with local partners.</w:t>
      </w:r>
    </w:p>
    <w:p w14:paraId="07EB33ED" w14:textId="77777777" w:rsidR="003E45FD" w:rsidRPr="004C38B2" w:rsidRDefault="003E45FD" w:rsidP="003E45FD">
      <w:pPr>
        <w:numPr>
          <w:ilvl w:val="0"/>
          <w:numId w:val="22"/>
        </w:numPr>
        <w:spacing w:after="240"/>
        <w:ind w:left="714" w:hanging="357"/>
        <w:contextualSpacing/>
        <w:jc w:val="both"/>
        <w:rPr>
          <w:rFonts w:ascii="Calibri" w:eastAsia="Calibri" w:hAnsi="Calibri" w:cs="Times New Roman"/>
          <w:b/>
        </w:rPr>
      </w:pPr>
      <w:r w:rsidRPr="004C38B2">
        <w:rPr>
          <w:rFonts w:ascii="Calibri" w:eastAsia="Calibri" w:hAnsi="Calibri" w:cs="Times New Roman"/>
          <w:b/>
        </w:rPr>
        <w:t>Take into account the fast moving pace of crises –</w:t>
      </w:r>
      <w:r w:rsidRPr="004C38B2">
        <w:rPr>
          <w:rFonts w:ascii="Calibri" w:eastAsia="Calibri" w:hAnsi="Calibri" w:cs="Times New Roman"/>
        </w:rPr>
        <w:t xml:space="preserve"> keeping MEL processes minimal in response periods and more involved in quieter periods during ‘out of response’ times</w:t>
      </w:r>
      <w:r>
        <w:rPr>
          <w:rFonts w:ascii="Calibri" w:eastAsia="Calibri" w:hAnsi="Calibri" w:cs="Times New Roman"/>
        </w:rPr>
        <w:t>.</w:t>
      </w:r>
      <w:r w:rsidRPr="004C38B2">
        <w:rPr>
          <w:rFonts w:eastAsia="Calibri" w:cs="Times New Roman"/>
          <w:position w:val="6"/>
          <w:sz w:val="16"/>
          <w:szCs w:val="16"/>
        </w:rPr>
        <w:footnoteReference w:id="42"/>
      </w:r>
    </w:p>
    <w:p w14:paraId="6533D008" w14:textId="77777777" w:rsidR="003E45FD" w:rsidRPr="004C38B2" w:rsidRDefault="003E45FD" w:rsidP="003E45FD">
      <w:pPr>
        <w:numPr>
          <w:ilvl w:val="0"/>
          <w:numId w:val="22"/>
        </w:numPr>
        <w:spacing w:after="240"/>
        <w:ind w:left="714" w:hanging="357"/>
        <w:contextualSpacing/>
        <w:jc w:val="both"/>
        <w:rPr>
          <w:rFonts w:ascii="Calibri" w:eastAsia="Calibri" w:hAnsi="Calibri" w:cs="Times New Roman"/>
        </w:rPr>
      </w:pPr>
      <w:r w:rsidRPr="004C38B2">
        <w:rPr>
          <w:rFonts w:ascii="Calibri" w:eastAsia="Calibri" w:hAnsi="Calibri" w:cs="Times New Roman"/>
          <w:b/>
        </w:rPr>
        <w:t xml:space="preserve">Prioritised and resourced </w:t>
      </w:r>
      <w:r w:rsidRPr="004C38B2">
        <w:rPr>
          <w:rFonts w:ascii="Calibri" w:eastAsia="Calibri" w:hAnsi="Calibri" w:cs="Times New Roman"/>
        </w:rPr>
        <w:t xml:space="preserve">– </w:t>
      </w:r>
      <w:r>
        <w:rPr>
          <w:rFonts w:ascii="Calibri" w:eastAsia="Calibri" w:hAnsi="Calibri" w:cs="Times New Roman"/>
        </w:rPr>
        <w:t>t</w:t>
      </w:r>
      <w:r w:rsidRPr="004C38B2">
        <w:rPr>
          <w:rFonts w:ascii="Calibri" w:eastAsia="Calibri" w:hAnsi="Calibri" w:cs="Times New Roman"/>
        </w:rPr>
        <w:t xml:space="preserve">he Support Unit will have a dedicated role responsible for coordinating MEL of collective interventions. The partnership will support the strengthening of local implementing partners’ MEL. </w:t>
      </w:r>
    </w:p>
    <w:p w14:paraId="0FC0A0F2" w14:textId="77777777" w:rsidR="003E45FD" w:rsidRPr="004C38B2" w:rsidRDefault="003E45FD" w:rsidP="003E45FD">
      <w:pPr>
        <w:numPr>
          <w:ilvl w:val="0"/>
          <w:numId w:val="22"/>
        </w:numPr>
        <w:spacing w:after="240"/>
        <w:ind w:left="714" w:hanging="357"/>
        <w:contextualSpacing/>
        <w:jc w:val="both"/>
        <w:rPr>
          <w:rFonts w:ascii="Calibri" w:eastAsia="Calibri" w:hAnsi="Calibri" w:cs="Times New Roman"/>
        </w:rPr>
      </w:pPr>
      <w:r w:rsidRPr="004C38B2">
        <w:rPr>
          <w:rFonts w:ascii="Calibri" w:eastAsia="Calibri" w:hAnsi="Calibri" w:cs="Times New Roman"/>
          <w:b/>
        </w:rPr>
        <w:t xml:space="preserve">A focus on learning about innovations in humanitarian practice </w:t>
      </w:r>
      <w:r w:rsidRPr="004C38B2">
        <w:rPr>
          <w:rFonts w:ascii="Calibri" w:eastAsia="Calibri" w:hAnsi="Calibri" w:cs="Times New Roman"/>
        </w:rPr>
        <w:t xml:space="preserve">– such as partnership models or technologies </w:t>
      </w:r>
      <w:r>
        <w:rPr>
          <w:rFonts w:ascii="Calibri" w:eastAsia="Calibri" w:hAnsi="Calibri" w:cs="Times New Roman"/>
        </w:rPr>
        <w:t xml:space="preserve">– </w:t>
      </w:r>
      <w:r w:rsidRPr="004C38B2">
        <w:rPr>
          <w:rFonts w:ascii="Calibri" w:eastAsia="Calibri" w:hAnsi="Calibri" w:cs="Times New Roman"/>
        </w:rPr>
        <w:t>will ensure learnings are documented and shared widely.</w:t>
      </w:r>
      <w:r w:rsidRPr="004C38B2">
        <w:rPr>
          <w:rFonts w:ascii="Calibri" w:eastAsia="Calibri" w:hAnsi="Calibri" w:cs="Times New Roman"/>
          <w:b/>
        </w:rPr>
        <w:t xml:space="preserve"> </w:t>
      </w:r>
    </w:p>
    <w:p w14:paraId="6BEB15D0" w14:textId="77777777" w:rsidR="003E45FD" w:rsidRPr="00A00184" w:rsidRDefault="003E45FD" w:rsidP="003E45FD">
      <w:pPr>
        <w:keepNext/>
        <w:spacing w:before="120" w:after="240"/>
        <w:jc w:val="both"/>
        <w:rPr>
          <w:b/>
          <w:color w:val="4F81BD" w:themeColor="accent1"/>
        </w:rPr>
      </w:pPr>
      <w:r w:rsidRPr="00A00184">
        <w:rPr>
          <w:b/>
          <w:color w:val="4F81BD" w:themeColor="accent1"/>
        </w:rPr>
        <w:lastRenderedPageBreak/>
        <w:t>Features</w:t>
      </w:r>
    </w:p>
    <w:p w14:paraId="34B0CBB8" w14:textId="77777777" w:rsidR="003E45FD" w:rsidRPr="004C38B2" w:rsidRDefault="003E45FD" w:rsidP="003E45FD">
      <w:pPr>
        <w:keepNext/>
        <w:spacing w:after="240"/>
        <w:jc w:val="both"/>
        <w:rPr>
          <w:rFonts w:ascii="Calibri" w:eastAsia="Calibri" w:hAnsi="Calibri" w:cs="Times New Roman"/>
        </w:rPr>
      </w:pPr>
      <w:r w:rsidRPr="004C38B2">
        <w:rPr>
          <w:rFonts w:ascii="Calibri" w:eastAsia="Calibri" w:hAnsi="Calibri" w:cs="Times New Roman"/>
        </w:rPr>
        <w:t>This MEL framework includes:</w:t>
      </w:r>
    </w:p>
    <w:p w14:paraId="7D840EC2" w14:textId="77777777" w:rsidR="003E45FD" w:rsidRPr="00C07829" w:rsidRDefault="003E45FD" w:rsidP="00C07829">
      <w:pPr>
        <w:keepNext/>
        <w:numPr>
          <w:ilvl w:val="0"/>
          <w:numId w:val="22"/>
        </w:numPr>
        <w:spacing w:after="240"/>
        <w:contextualSpacing/>
        <w:jc w:val="both"/>
        <w:rPr>
          <w:rFonts w:ascii="Calibri" w:eastAsia="Calibri" w:hAnsi="Calibri" w:cs="Times New Roman"/>
        </w:rPr>
      </w:pPr>
      <w:r w:rsidRPr="004C38B2">
        <w:rPr>
          <w:rFonts w:ascii="Calibri" w:eastAsia="Calibri" w:hAnsi="Calibri" w:cs="Times New Roman"/>
        </w:rPr>
        <w:t xml:space="preserve">Measures of success (outlined in the </w:t>
      </w:r>
      <w:r w:rsidR="00E00B4B">
        <w:rPr>
          <w:rFonts w:ascii="Calibri" w:eastAsia="Calibri" w:hAnsi="Calibri" w:cs="Times New Roman"/>
        </w:rPr>
        <w:t xml:space="preserve">(draft) </w:t>
      </w:r>
      <w:r w:rsidRPr="004C38B2">
        <w:rPr>
          <w:rFonts w:ascii="Calibri" w:eastAsia="Calibri" w:hAnsi="Calibri" w:cs="Times New Roman"/>
        </w:rPr>
        <w:t xml:space="preserve">Theory of Action in </w:t>
      </w:r>
      <w:r w:rsidRPr="00B60A49">
        <w:rPr>
          <w:rFonts w:ascii="Calibri" w:eastAsia="Calibri" w:hAnsi="Calibri" w:cs="Times New Roman"/>
          <w:b/>
          <w:u w:val="single"/>
        </w:rPr>
        <w:t>Annex 3</w:t>
      </w:r>
      <w:r w:rsidRPr="004C38B2">
        <w:rPr>
          <w:rFonts w:ascii="Calibri" w:eastAsia="Calibri" w:hAnsi="Calibri" w:cs="Times New Roman"/>
        </w:rPr>
        <w:t>)</w:t>
      </w:r>
    </w:p>
    <w:p w14:paraId="4E371C2A" w14:textId="77777777" w:rsidR="003E45FD" w:rsidRPr="00C07829" w:rsidRDefault="003E45FD" w:rsidP="00C07829">
      <w:pPr>
        <w:keepNext/>
        <w:numPr>
          <w:ilvl w:val="0"/>
          <w:numId w:val="22"/>
        </w:numPr>
        <w:spacing w:after="240"/>
        <w:contextualSpacing/>
        <w:jc w:val="both"/>
        <w:rPr>
          <w:rFonts w:ascii="Calibri" w:eastAsia="Calibri" w:hAnsi="Calibri" w:cs="Times New Roman"/>
        </w:rPr>
      </w:pPr>
      <w:r w:rsidRPr="004C38B2">
        <w:rPr>
          <w:rFonts w:ascii="Calibri" w:eastAsia="Calibri" w:hAnsi="Calibri" w:cs="Times New Roman"/>
        </w:rPr>
        <w:t xml:space="preserve">A learning agenda (as outlined in key evaluation questions for each </w:t>
      </w:r>
      <w:r w:rsidR="00C07829">
        <w:rPr>
          <w:rFonts w:ascii="Calibri" w:eastAsia="Calibri" w:hAnsi="Calibri" w:cs="Times New Roman"/>
        </w:rPr>
        <w:t xml:space="preserve">outcome) </w:t>
      </w:r>
    </w:p>
    <w:p w14:paraId="3340627B" w14:textId="77777777" w:rsidR="003E45FD" w:rsidRPr="00C07829" w:rsidRDefault="003E45FD" w:rsidP="00C07829">
      <w:pPr>
        <w:keepNext/>
        <w:numPr>
          <w:ilvl w:val="0"/>
          <w:numId w:val="22"/>
        </w:numPr>
        <w:spacing w:after="240"/>
        <w:contextualSpacing/>
        <w:jc w:val="both"/>
        <w:rPr>
          <w:rFonts w:ascii="Calibri" w:eastAsia="Calibri" w:hAnsi="Calibri" w:cs="Times New Roman"/>
        </w:rPr>
      </w:pPr>
      <w:r w:rsidRPr="004C38B2">
        <w:rPr>
          <w:rFonts w:ascii="Calibri" w:eastAsia="Calibri" w:hAnsi="Calibri" w:cs="Times New Roman"/>
        </w:rPr>
        <w:t>MEL processes and products (</w:t>
      </w:r>
      <w:r w:rsidRPr="00B60A49">
        <w:rPr>
          <w:rFonts w:ascii="Calibri" w:eastAsia="Calibri" w:hAnsi="Calibri" w:cs="Times New Roman"/>
          <w:b/>
          <w:u w:val="single"/>
        </w:rPr>
        <w:t>Annex 5</w:t>
      </w:r>
      <w:r w:rsidRPr="004C38B2">
        <w:rPr>
          <w:rFonts w:ascii="Calibri" w:eastAsia="Calibri" w:hAnsi="Calibri" w:cs="Times New Roman"/>
        </w:rPr>
        <w:t xml:space="preserve">) </w:t>
      </w:r>
    </w:p>
    <w:p w14:paraId="480EDFC0" w14:textId="77777777" w:rsidR="003E45FD" w:rsidRPr="00C07829" w:rsidRDefault="003E45FD" w:rsidP="00C07829">
      <w:pPr>
        <w:keepNext/>
        <w:numPr>
          <w:ilvl w:val="0"/>
          <w:numId w:val="22"/>
        </w:numPr>
        <w:spacing w:after="240"/>
        <w:contextualSpacing/>
        <w:jc w:val="both"/>
        <w:rPr>
          <w:rFonts w:ascii="Calibri" w:eastAsia="Calibri" w:hAnsi="Calibri" w:cs="Times New Roman"/>
        </w:rPr>
      </w:pPr>
      <w:r>
        <w:rPr>
          <w:rFonts w:ascii="Calibri" w:eastAsia="Calibri" w:hAnsi="Calibri" w:cs="Times New Roman"/>
        </w:rPr>
        <w:t>MEL roles and responsibilities.</w:t>
      </w:r>
      <w:r w:rsidRPr="004C38B2">
        <w:rPr>
          <w:rFonts w:ascii="Calibri" w:eastAsia="Calibri" w:hAnsi="Calibri" w:cs="Times New Roman"/>
        </w:rPr>
        <w:t xml:space="preserve"> </w:t>
      </w:r>
    </w:p>
    <w:p w14:paraId="7DAAA522" w14:textId="77777777" w:rsidR="003E45FD" w:rsidRPr="004C38B2" w:rsidRDefault="003E45FD" w:rsidP="003E45FD">
      <w:pPr>
        <w:keepNext/>
        <w:spacing w:after="240"/>
        <w:ind w:left="720"/>
        <w:contextualSpacing/>
        <w:jc w:val="both"/>
        <w:rPr>
          <w:rFonts w:ascii="Calibri" w:eastAsia="Calibri" w:hAnsi="Calibri" w:cs="Times New Roman"/>
          <w:color w:val="1F497D"/>
        </w:rPr>
      </w:pPr>
    </w:p>
    <w:p w14:paraId="168E0822" w14:textId="77777777" w:rsidR="00B744F5" w:rsidRPr="00B744F5" w:rsidRDefault="00B744F5" w:rsidP="00B744F5">
      <w:pPr>
        <w:keepNext/>
        <w:spacing w:before="120" w:after="240"/>
        <w:jc w:val="both"/>
        <w:rPr>
          <w:b/>
          <w:color w:val="4F81BD" w:themeColor="accent1"/>
        </w:rPr>
      </w:pPr>
      <w:r w:rsidRPr="00B744F5">
        <w:rPr>
          <w:b/>
          <w:color w:val="4F81BD" w:themeColor="accent1"/>
        </w:rPr>
        <w:t>Alignment</w:t>
      </w:r>
    </w:p>
    <w:p w14:paraId="61DAC0B7" w14:textId="77777777" w:rsidR="00B744F5" w:rsidRPr="00B744F5" w:rsidRDefault="00B744F5" w:rsidP="00B744F5">
      <w:pPr>
        <w:keepNext/>
        <w:spacing w:after="240"/>
        <w:jc w:val="both"/>
        <w:rPr>
          <w:rFonts w:ascii="Calibri" w:eastAsia="Calibri" w:hAnsi="Calibri" w:cs="Times New Roman"/>
        </w:rPr>
      </w:pPr>
      <w:r w:rsidRPr="00B744F5">
        <w:rPr>
          <w:rFonts w:ascii="Calibri" w:eastAsia="Calibri" w:hAnsi="Calibri" w:cs="Times New Roman"/>
        </w:rPr>
        <w:t xml:space="preserve">This </w:t>
      </w:r>
      <w:r w:rsidR="00E00B4B">
        <w:rPr>
          <w:rFonts w:ascii="Calibri" w:eastAsia="Calibri" w:hAnsi="Calibri" w:cs="Times New Roman"/>
        </w:rPr>
        <w:t xml:space="preserve">draft </w:t>
      </w:r>
      <w:r w:rsidRPr="00B744F5">
        <w:rPr>
          <w:rFonts w:ascii="Calibri" w:eastAsia="Calibri" w:hAnsi="Calibri" w:cs="Times New Roman"/>
        </w:rPr>
        <w:t>MEL framework:</w:t>
      </w:r>
    </w:p>
    <w:p w14:paraId="20200772" w14:textId="77777777" w:rsidR="00E00B4B" w:rsidRDefault="00E00B4B" w:rsidP="00B744F5">
      <w:pPr>
        <w:keepNext/>
        <w:numPr>
          <w:ilvl w:val="0"/>
          <w:numId w:val="22"/>
        </w:numPr>
        <w:spacing w:after="240"/>
        <w:contextualSpacing/>
        <w:jc w:val="both"/>
        <w:rPr>
          <w:rFonts w:ascii="Calibri" w:eastAsia="Calibri" w:hAnsi="Calibri" w:cs="Times New Roman"/>
        </w:rPr>
      </w:pPr>
      <w:r>
        <w:rPr>
          <w:rFonts w:ascii="Calibri" w:eastAsia="Calibri" w:hAnsi="Calibri" w:cs="Times New Roman"/>
        </w:rPr>
        <w:t>Will be revisited with partners during the inception phase</w:t>
      </w:r>
    </w:p>
    <w:p w14:paraId="07CA6786" w14:textId="77777777" w:rsidR="00B744F5" w:rsidRPr="00B744F5" w:rsidRDefault="00B744F5" w:rsidP="00B744F5">
      <w:pPr>
        <w:keepNext/>
        <w:numPr>
          <w:ilvl w:val="0"/>
          <w:numId w:val="22"/>
        </w:numPr>
        <w:spacing w:after="240"/>
        <w:contextualSpacing/>
        <w:jc w:val="both"/>
        <w:rPr>
          <w:rFonts w:ascii="Calibri" w:eastAsia="Calibri" w:hAnsi="Calibri" w:cs="Times New Roman"/>
        </w:rPr>
      </w:pPr>
      <w:r w:rsidRPr="00B744F5">
        <w:rPr>
          <w:rFonts w:ascii="Calibri" w:eastAsia="Calibri" w:hAnsi="Calibri" w:cs="Times New Roman"/>
        </w:rPr>
        <w:t>Aligns with the Core Humanitarian Standards</w:t>
      </w:r>
    </w:p>
    <w:p w14:paraId="7AF2419D" w14:textId="77777777" w:rsidR="00B744F5" w:rsidRPr="00B744F5" w:rsidRDefault="00B744F5" w:rsidP="00B744F5">
      <w:pPr>
        <w:keepNext/>
        <w:numPr>
          <w:ilvl w:val="0"/>
          <w:numId w:val="22"/>
        </w:numPr>
        <w:spacing w:after="240"/>
        <w:contextualSpacing/>
        <w:jc w:val="both"/>
        <w:rPr>
          <w:rFonts w:ascii="Calibri" w:eastAsia="Calibri" w:hAnsi="Calibri" w:cs="Times New Roman"/>
        </w:rPr>
      </w:pPr>
      <w:r w:rsidRPr="00B744F5">
        <w:rPr>
          <w:rFonts w:ascii="Calibri" w:eastAsia="Calibri" w:hAnsi="Calibri" w:cs="Times New Roman"/>
        </w:rPr>
        <w:t xml:space="preserve">Aligns with and will feed into the </w:t>
      </w:r>
      <w:r>
        <w:rPr>
          <w:rFonts w:ascii="Calibri" w:eastAsia="Calibri" w:hAnsi="Calibri" w:cs="Times New Roman"/>
        </w:rPr>
        <w:t>Performance Assessment Framework (</w:t>
      </w:r>
      <w:r w:rsidRPr="00B744F5">
        <w:rPr>
          <w:rFonts w:ascii="Calibri" w:eastAsia="Calibri" w:hAnsi="Calibri" w:cs="Times New Roman"/>
        </w:rPr>
        <w:t>PAF</w:t>
      </w:r>
      <w:r>
        <w:rPr>
          <w:rFonts w:ascii="Calibri" w:eastAsia="Calibri" w:hAnsi="Calibri" w:cs="Times New Roman"/>
        </w:rPr>
        <w:t>)</w:t>
      </w:r>
      <w:r w:rsidRPr="00B744F5">
        <w:rPr>
          <w:rFonts w:ascii="Calibri" w:eastAsia="Calibri" w:hAnsi="Calibri" w:cs="Times New Roman"/>
        </w:rPr>
        <w:t xml:space="preserve"> of DFAT</w:t>
      </w:r>
      <w:r>
        <w:rPr>
          <w:rFonts w:ascii="Calibri" w:eastAsia="Calibri" w:hAnsi="Calibri" w:cs="Times New Roman"/>
        </w:rPr>
        <w:t>’s (draft)</w:t>
      </w:r>
      <w:r w:rsidRPr="00B744F5">
        <w:rPr>
          <w:rFonts w:ascii="Calibri" w:eastAsia="Calibri" w:hAnsi="Calibri" w:cs="Times New Roman"/>
        </w:rPr>
        <w:t xml:space="preserve"> Humanitarian Strategy</w:t>
      </w:r>
    </w:p>
    <w:p w14:paraId="3ACC1E3E" w14:textId="77777777" w:rsidR="00B744F5" w:rsidRDefault="00B744F5" w:rsidP="00B744F5">
      <w:pPr>
        <w:keepNext/>
        <w:numPr>
          <w:ilvl w:val="0"/>
          <w:numId w:val="22"/>
        </w:numPr>
        <w:spacing w:after="240"/>
        <w:contextualSpacing/>
        <w:jc w:val="both"/>
        <w:rPr>
          <w:rFonts w:ascii="Calibri" w:eastAsia="Calibri" w:hAnsi="Calibri" w:cs="Times New Roman"/>
        </w:rPr>
      </w:pPr>
      <w:r>
        <w:rPr>
          <w:rFonts w:ascii="Calibri" w:eastAsia="Calibri" w:hAnsi="Calibri" w:cs="Times New Roman"/>
        </w:rPr>
        <w:t>Will be</w:t>
      </w:r>
      <w:r w:rsidRPr="00B744F5">
        <w:rPr>
          <w:rFonts w:ascii="Calibri" w:eastAsia="Calibri" w:hAnsi="Calibri" w:cs="Times New Roman"/>
        </w:rPr>
        <w:t xml:space="preserve"> adapted to align with and feed into the DFAT-NZMFAT joint MEL framework at the whole of response level that is currently being developed. </w:t>
      </w:r>
    </w:p>
    <w:p w14:paraId="43B11441" w14:textId="77777777" w:rsidR="00B744F5" w:rsidRPr="00B744F5" w:rsidRDefault="00B744F5" w:rsidP="00B744F5">
      <w:pPr>
        <w:keepNext/>
        <w:spacing w:after="240"/>
        <w:ind w:left="720"/>
        <w:contextualSpacing/>
        <w:jc w:val="both"/>
        <w:rPr>
          <w:rFonts w:ascii="Calibri" w:eastAsia="Calibri" w:hAnsi="Calibri" w:cs="Times New Roman"/>
        </w:rPr>
      </w:pPr>
    </w:p>
    <w:p w14:paraId="7B62D262" w14:textId="77777777" w:rsidR="003E45FD" w:rsidRPr="00A00184" w:rsidRDefault="003E45FD" w:rsidP="00B744F5">
      <w:pPr>
        <w:keepNext/>
        <w:spacing w:before="120" w:after="240"/>
        <w:jc w:val="both"/>
        <w:rPr>
          <w:b/>
          <w:color w:val="4F81BD" w:themeColor="accent1"/>
        </w:rPr>
      </w:pPr>
      <w:r w:rsidRPr="00A00184">
        <w:rPr>
          <w:b/>
          <w:color w:val="4F81BD" w:themeColor="accent1"/>
        </w:rPr>
        <w:t>Approach</w:t>
      </w:r>
    </w:p>
    <w:p w14:paraId="192DF277" w14:textId="77777777" w:rsidR="003E45FD" w:rsidRPr="004C38B2" w:rsidRDefault="003E45FD" w:rsidP="003E45FD">
      <w:pPr>
        <w:spacing w:after="240"/>
        <w:jc w:val="both"/>
        <w:rPr>
          <w:rFonts w:ascii="Calibri" w:eastAsia="Calibri" w:hAnsi="Calibri" w:cs="Times New Roman"/>
        </w:rPr>
      </w:pPr>
      <w:r w:rsidRPr="000B4674">
        <w:rPr>
          <w:rFonts w:ascii="Calibri" w:eastAsia="Calibri" w:hAnsi="Calibri" w:cs="Times New Roman"/>
          <w:b/>
        </w:rPr>
        <w:t xml:space="preserve">This section outlines the high level approaches that will be used to track and assess how well the partnership is achieving success in each of the three </w:t>
      </w:r>
      <w:r>
        <w:rPr>
          <w:rFonts w:ascii="Calibri" w:eastAsia="Calibri" w:hAnsi="Calibri" w:cs="Times New Roman"/>
          <w:b/>
        </w:rPr>
        <w:t>outcome areas</w:t>
      </w:r>
      <w:r w:rsidRPr="004C38B2">
        <w:rPr>
          <w:rFonts w:ascii="Calibri" w:eastAsia="Calibri" w:hAnsi="Calibri" w:cs="Times New Roman"/>
        </w:rPr>
        <w:t xml:space="preserve"> (as articulated in the Measures of Success for each outcome). The Measures of Success aim to ensure stakeholders have a clear understanding of what the partnership aims to achieve and how change will be brought about. Tracking and assess</w:t>
      </w:r>
      <w:r>
        <w:rPr>
          <w:rFonts w:ascii="Calibri" w:eastAsia="Calibri" w:hAnsi="Calibri" w:cs="Times New Roman"/>
        </w:rPr>
        <w:t>ing</w:t>
      </w:r>
      <w:r w:rsidRPr="004C38B2">
        <w:rPr>
          <w:rFonts w:ascii="Calibri" w:eastAsia="Calibri" w:hAnsi="Calibri" w:cs="Times New Roman"/>
        </w:rPr>
        <w:t xml:space="preserve"> these will enable stakeholders to see if the partnership is delivering as planned and if and how it needs to be adapted over the five year period to ensure optimal performance.</w:t>
      </w:r>
      <w:r>
        <w:rPr>
          <w:rFonts w:ascii="Calibri" w:eastAsia="Calibri" w:hAnsi="Calibri" w:cs="Times New Roman"/>
        </w:rPr>
        <w:t xml:space="preserve">  </w:t>
      </w:r>
    </w:p>
    <w:p w14:paraId="12BB7242" w14:textId="77777777" w:rsidR="003E45FD" w:rsidRPr="00774F50" w:rsidRDefault="003E45FD" w:rsidP="003E45FD">
      <w:pPr>
        <w:pStyle w:val="Heading4"/>
        <w:spacing w:after="240"/>
        <w:jc w:val="both"/>
      </w:pPr>
      <w:r>
        <w:t>Outcome Area</w:t>
      </w:r>
      <w:r w:rsidRPr="00774F50">
        <w:t xml:space="preserve"> 1: Response and Early Recovery</w:t>
      </w:r>
    </w:p>
    <w:p w14:paraId="3C1B1C34" w14:textId="77777777" w:rsidR="003E45FD" w:rsidRPr="004C38B2" w:rsidRDefault="003E45FD" w:rsidP="003E45FD">
      <w:pPr>
        <w:spacing w:after="240"/>
        <w:jc w:val="both"/>
        <w:rPr>
          <w:rFonts w:ascii="Calibri" w:eastAsia="Calibri" w:hAnsi="Calibri" w:cs="Times New Roman"/>
          <w:b/>
          <w:u w:val="single"/>
        </w:rPr>
      </w:pPr>
      <w:r w:rsidRPr="004C38B2">
        <w:rPr>
          <w:rFonts w:ascii="Calibri" w:eastAsia="Calibri" w:hAnsi="Calibri" w:cs="Times New Roman"/>
          <w:b/>
          <w:u w:val="single"/>
        </w:rPr>
        <w:t>The selection process</w:t>
      </w:r>
    </w:p>
    <w:p w14:paraId="7715C2A4" w14:textId="77777777" w:rsidR="003E45FD" w:rsidRDefault="003E45FD" w:rsidP="003E45FD">
      <w:pPr>
        <w:spacing w:after="240"/>
        <w:jc w:val="both"/>
        <w:rPr>
          <w:rFonts w:ascii="Calibri" w:eastAsia="Calibri" w:hAnsi="Calibri" w:cs="Times New Roman"/>
        </w:rPr>
      </w:pPr>
      <w:r>
        <w:rPr>
          <w:rFonts w:ascii="Calibri" w:eastAsia="Calibri" w:hAnsi="Calibri" w:cs="Times New Roman"/>
        </w:rPr>
        <w:t>S</w:t>
      </w:r>
      <w:r w:rsidRPr="004C38B2">
        <w:rPr>
          <w:rFonts w:ascii="Calibri" w:eastAsia="Calibri" w:hAnsi="Calibri" w:cs="Times New Roman"/>
        </w:rPr>
        <w:t>election processes have been designed to ensure the best placed partners are selected to deliver responses. In the predecessor mechanism (the HPA) there was no accountability mechanism in place to review the decisions of the peer review panel, and ensure the best placed partners and proposals were selected. Under the new partnership, selection and decision</w:t>
      </w:r>
      <w:r w:rsidR="00C07829">
        <w:rPr>
          <w:rFonts w:ascii="Calibri" w:eastAsia="Calibri" w:hAnsi="Calibri" w:cs="Times New Roman"/>
        </w:rPr>
        <w:t>-</w:t>
      </w:r>
      <w:r w:rsidRPr="004C38B2">
        <w:rPr>
          <w:rFonts w:ascii="Calibri" w:eastAsia="Calibri" w:hAnsi="Calibri" w:cs="Times New Roman"/>
        </w:rPr>
        <w:t xml:space="preserve">making will be documented and </w:t>
      </w:r>
      <w:r>
        <w:rPr>
          <w:rFonts w:ascii="Calibri" w:eastAsia="Calibri" w:hAnsi="Calibri" w:cs="Times New Roman"/>
        </w:rPr>
        <w:t xml:space="preserve">will be </w:t>
      </w:r>
      <w:r w:rsidRPr="004C38B2">
        <w:rPr>
          <w:rFonts w:ascii="Calibri" w:eastAsia="Calibri" w:hAnsi="Calibri" w:cs="Times New Roman"/>
        </w:rPr>
        <w:t xml:space="preserve">transparent and open to independent scrutiny. </w:t>
      </w:r>
    </w:p>
    <w:p w14:paraId="18D8FFEC" w14:textId="77777777" w:rsidR="003E45FD" w:rsidRPr="004C38B2" w:rsidRDefault="003E45FD" w:rsidP="003E45FD">
      <w:pPr>
        <w:spacing w:after="240"/>
        <w:jc w:val="both"/>
        <w:rPr>
          <w:rFonts w:ascii="Calibri" w:eastAsia="Calibri" w:hAnsi="Calibri" w:cs="Times New Roman"/>
        </w:rPr>
      </w:pPr>
      <w:r w:rsidRPr="00737D62">
        <w:rPr>
          <w:rFonts w:ascii="Calibri" w:eastAsia="Calibri" w:hAnsi="Calibri" w:cs="Times New Roman"/>
          <w:b/>
        </w:rPr>
        <w:t>The design team recommends</w:t>
      </w:r>
      <w:r>
        <w:rPr>
          <w:rFonts w:ascii="Calibri" w:eastAsia="Calibri" w:hAnsi="Calibri" w:cs="Times New Roman"/>
        </w:rPr>
        <w:t xml:space="preserve"> that an</w:t>
      </w:r>
      <w:r w:rsidRPr="004C38B2">
        <w:rPr>
          <w:rFonts w:ascii="Calibri" w:eastAsia="Calibri" w:hAnsi="Calibri" w:cs="Times New Roman"/>
        </w:rPr>
        <w:t xml:space="preserve"> independent accountability review of the decisions of the Response Committees and Technical Assessment Panels be conducted after the first year and third year of the partnership. These reviews will be conducted through a random sample of completed responses using a </w:t>
      </w:r>
      <w:r w:rsidRPr="00737D62">
        <w:rPr>
          <w:rFonts w:ascii="Calibri" w:eastAsia="Calibri" w:hAnsi="Calibri" w:cs="Times New Roman"/>
          <w:b/>
        </w:rPr>
        <w:t>light desk-top review process</w:t>
      </w:r>
      <w:r w:rsidRPr="004C38B2">
        <w:rPr>
          <w:rFonts w:ascii="Calibri" w:eastAsia="Calibri" w:hAnsi="Calibri" w:cs="Times New Roman"/>
        </w:rPr>
        <w:t xml:space="preserve"> and confidential informant surveys. Changes </w:t>
      </w:r>
      <w:r w:rsidR="00487823">
        <w:rPr>
          <w:rFonts w:ascii="Calibri" w:eastAsia="Calibri" w:hAnsi="Calibri" w:cs="Times New Roman"/>
        </w:rPr>
        <w:t>may</w:t>
      </w:r>
      <w:r w:rsidR="00487823" w:rsidRPr="004C38B2">
        <w:rPr>
          <w:rFonts w:ascii="Calibri" w:eastAsia="Calibri" w:hAnsi="Calibri" w:cs="Times New Roman"/>
        </w:rPr>
        <w:t xml:space="preserve"> </w:t>
      </w:r>
      <w:r w:rsidRPr="004C38B2">
        <w:rPr>
          <w:rFonts w:ascii="Calibri" w:eastAsia="Calibri" w:hAnsi="Calibri" w:cs="Times New Roman"/>
        </w:rPr>
        <w:t xml:space="preserve">be made to the </w:t>
      </w:r>
      <w:r w:rsidRPr="004C38B2">
        <w:rPr>
          <w:rFonts w:ascii="Calibri" w:eastAsia="Calibri" w:hAnsi="Calibri" w:cs="Times New Roman"/>
        </w:rPr>
        <w:lastRenderedPageBreak/>
        <w:t xml:space="preserve">peer review composition, selection criteria, selection process and DFAT parameter-setting as required. </w:t>
      </w:r>
    </w:p>
    <w:p w14:paraId="57DEBB67" w14:textId="77777777" w:rsidR="003E45FD" w:rsidRPr="004C38B2" w:rsidRDefault="003E45FD" w:rsidP="003E45FD">
      <w:pPr>
        <w:jc w:val="both"/>
        <w:rPr>
          <w:rFonts w:ascii="Calibri" w:eastAsia="Calibri" w:hAnsi="Calibri" w:cs="Times New Roman"/>
        </w:rPr>
      </w:pPr>
      <w:r w:rsidRPr="004C38B2">
        <w:rPr>
          <w:rFonts w:ascii="Calibri" w:eastAsia="Calibri" w:hAnsi="Calibri" w:cs="Times New Roman"/>
          <w:noProof/>
          <w:lang w:eastAsia="en-AU"/>
        </w:rPr>
        <mc:AlternateContent>
          <mc:Choice Requires="wps">
            <w:drawing>
              <wp:anchor distT="0" distB="0" distL="114300" distR="114300" simplePos="0" relativeHeight="251689984" behindDoc="0" locked="0" layoutInCell="1" allowOverlap="1" wp14:anchorId="19A72B2E" wp14:editId="41E23520">
                <wp:simplePos x="0" y="0"/>
                <wp:positionH relativeFrom="column">
                  <wp:posOffset>22860</wp:posOffset>
                </wp:positionH>
                <wp:positionV relativeFrom="paragraph">
                  <wp:posOffset>137795</wp:posOffset>
                </wp:positionV>
                <wp:extent cx="5732145" cy="2796540"/>
                <wp:effectExtent l="57150" t="38100" r="78105" b="99060"/>
                <wp:wrapSquare wrapText="bothSides"/>
                <wp:docPr id="1" name="Text Box 1"/>
                <wp:cNvGraphicFramePr/>
                <a:graphic xmlns:a="http://schemas.openxmlformats.org/drawingml/2006/main">
                  <a:graphicData uri="http://schemas.microsoft.com/office/word/2010/wordprocessingShape">
                    <wps:wsp>
                      <wps:cNvSpPr txBox="1"/>
                      <wps:spPr>
                        <a:xfrm>
                          <a:off x="0" y="0"/>
                          <a:ext cx="5732145" cy="27965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E818C8A" w14:textId="77777777" w:rsidR="001C5460" w:rsidRPr="00560312" w:rsidRDefault="001C5460" w:rsidP="003E45FD">
                            <w:pPr>
                              <w:spacing w:after="120"/>
                              <w:contextualSpacing/>
                              <w:rPr>
                                <w:b/>
                              </w:rPr>
                            </w:pPr>
                            <w:r w:rsidRPr="00560312">
                              <w:rPr>
                                <w:b/>
                              </w:rPr>
                              <w:t>KEY ACCOUNTABILITY REVIEW QUESTIONS:</w:t>
                            </w:r>
                          </w:p>
                          <w:p w14:paraId="3AF95EE1" w14:textId="77777777" w:rsidR="001C5460" w:rsidRPr="00560312" w:rsidRDefault="001C5460" w:rsidP="003E45FD">
                            <w:pPr>
                              <w:pStyle w:val="ListParagraph"/>
                              <w:numPr>
                                <w:ilvl w:val="0"/>
                                <w:numId w:val="26"/>
                              </w:numPr>
                              <w:rPr>
                                <w:sz w:val="24"/>
                                <w:szCs w:val="24"/>
                              </w:rPr>
                            </w:pPr>
                            <w:r w:rsidRPr="00560312">
                              <w:rPr>
                                <w:sz w:val="24"/>
                                <w:szCs w:val="24"/>
                              </w:rPr>
                              <w:t>Have peer review member</w:t>
                            </w:r>
                            <w:r>
                              <w:rPr>
                                <w:sz w:val="24"/>
                                <w:szCs w:val="24"/>
                              </w:rPr>
                              <w:t>s objectively selected partners</w:t>
                            </w:r>
                            <w:r w:rsidRPr="00560312">
                              <w:rPr>
                                <w:sz w:val="24"/>
                                <w:szCs w:val="24"/>
                              </w:rPr>
                              <w:t xml:space="preserve">/proposals according to the selection criteria and specified process? </w:t>
                            </w:r>
                          </w:p>
                          <w:p w14:paraId="0BB9A1ED" w14:textId="77777777" w:rsidR="001C5460" w:rsidRPr="00560312" w:rsidRDefault="001C5460" w:rsidP="003E45FD">
                            <w:pPr>
                              <w:pStyle w:val="ListParagraph"/>
                              <w:numPr>
                                <w:ilvl w:val="0"/>
                                <w:numId w:val="26"/>
                              </w:numPr>
                              <w:rPr>
                                <w:sz w:val="24"/>
                                <w:szCs w:val="24"/>
                              </w:rPr>
                            </w:pPr>
                            <w:r w:rsidRPr="00560312">
                              <w:rPr>
                                <w:sz w:val="24"/>
                                <w:szCs w:val="24"/>
                              </w:rPr>
                              <w:t xml:space="preserve">Is there evidence to suggest that the best partners and proposals were selected? In hindsight, could additional information or processes have supported a better decision? </w:t>
                            </w:r>
                          </w:p>
                          <w:p w14:paraId="6B85BFCF" w14:textId="77777777" w:rsidR="001C5460" w:rsidRPr="00560312" w:rsidRDefault="001C5460" w:rsidP="003E45FD">
                            <w:pPr>
                              <w:pStyle w:val="ListParagraph"/>
                              <w:numPr>
                                <w:ilvl w:val="0"/>
                                <w:numId w:val="26"/>
                              </w:numPr>
                              <w:rPr>
                                <w:sz w:val="24"/>
                                <w:szCs w:val="24"/>
                              </w:rPr>
                            </w:pPr>
                            <w:r w:rsidRPr="00560312">
                              <w:rPr>
                                <w:sz w:val="24"/>
                                <w:szCs w:val="24"/>
                              </w:rPr>
                              <w:t>Is the composition of peer review members appropriate? Does it need to be changed?</w:t>
                            </w:r>
                          </w:p>
                          <w:p w14:paraId="051C69AE" w14:textId="77777777" w:rsidR="001C5460" w:rsidRPr="00560312" w:rsidRDefault="001C5460" w:rsidP="003E45FD">
                            <w:pPr>
                              <w:pStyle w:val="ListParagraph"/>
                              <w:numPr>
                                <w:ilvl w:val="0"/>
                                <w:numId w:val="26"/>
                              </w:numPr>
                              <w:rPr>
                                <w:sz w:val="24"/>
                                <w:szCs w:val="24"/>
                              </w:rPr>
                            </w:pPr>
                            <w:r w:rsidRPr="00560312">
                              <w:rPr>
                                <w:sz w:val="24"/>
                                <w:szCs w:val="24"/>
                              </w:rPr>
                              <w:t>Are the selection criteria and parameters set by DFAT appropriate? How could they be strengthened?</w:t>
                            </w:r>
                          </w:p>
                          <w:p w14:paraId="2E0EE6E5" w14:textId="77777777" w:rsidR="001C5460" w:rsidRPr="00560312" w:rsidRDefault="001C5460" w:rsidP="003E45FD">
                            <w:pPr>
                              <w:pStyle w:val="ListParagraph"/>
                              <w:numPr>
                                <w:ilvl w:val="0"/>
                                <w:numId w:val="26"/>
                              </w:numPr>
                              <w:rPr>
                                <w:sz w:val="24"/>
                                <w:szCs w:val="24"/>
                              </w:rPr>
                            </w:pPr>
                            <w:r w:rsidRPr="00560312">
                              <w:rPr>
                                <w:sz w:val="24"/>
                                <w:szCs w:val="24"/>
                              </w:rPr>
                              <w:t xml:space="preserve">Has the process had </w:t>
                            </w:r>
                            <w:r>
                              <w:rPr>
                                <w:sz w:val="24"/>
                                <w:szCs w:val="24"/>
                              </w:rPr>
                              <w:t xml:space="preserve">any </w:t>
                            </w:r>
                            <w:r w:rsidRPr="00560312">
                              <w:rPr>
                                <w:sz w:val="24"/>
                                <w:szCs w:val="24"/>
                              </w:rPr>
                              <w:t>negative effects on ANGO relationships? What process could be put in place to prevent this?</w:t>
                            </w:r>
                          </w:p>
                          <w:p w14:paraId="0CBC98E4" w14:textId="77777777" w:rsidR="001C5460" w:rsidRPr="00CD56AD" w:rsidRDefault="001C5460" w:rsidP="003E4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left:0;text-align:left;margin-left:1.8pt;margin-top:10.85pt;width:451.35pt;height:22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" fillcolor="#a3c4ff" strokecolor="#4a7ebb" strokeweight="1.5pt">
                <v:fill color2="#e5eeff" rotate="t" angle="180" colors="0 #a3c4ff;22938f #bfd5ff;1 #e5eeff" focus="100%" type="gradient"/>
                <v:shadow on="t" color="black" opacity="24903f" origin=",.5" offset="0,.55556mm"/>
                <v:textbox>
                  <w:txbxContent>
                    <w:p w14:paraId="2E818C8A" w14:textId="77777777" w:rsidR="001C5460" w:rsidRPr="00560312" w:rsidRDefault="001C5460" w:rsidP="003E45FD">
                      <w:pPr>
                        <w:spacing w:after="120"/>
                        <w:contextualSpacing/>
                        <w:rPr>
                          <w:b/>
                        </w:rPr>
                      </w:pPr>
                      <w:r w:rsidRPr="00560312">
                        <w:rPr>
                          <w:b/>
                        </w:rPr>
                        <w:t>KEY ACCOUNTABILITY REVIEW QUESTIONS:</w:t>
                      </w:r>
                    </w:p>
                    <w:p w14:paraId="3AF95EE1" w14:textId="77777777" w:rsidR="001C5460" w:rsidRPr="00560312" w:rsidRDefault="001C5460" w:rsidP="003E45FD">
                      <w:pPr>
                        <w:pStyle w:val="ListParagraph"/>
                        <w:numPr>
                          <w:ilvl w:val="0"/>
                          <w:numId w:val="26"/>
                        </w:numPr>
                        <w:rPr>
                          <w:sz w:val="24"/>
                          <w:szCs w:val="24"/>
                        </w:rPr>
                      </w:pPr>
                      <w:r w:rsidRPr="00560312">
                        <w:rPr>
                          <w:sz w:val="24"/>
                          <w:szCs w:val="24"/>
                        </w:rPr>
                        <w:t>Have peer review member</w:t>
                      </w:r>
                      <w:r>
                        <w:rPr>
                          <w:sz w:val="24"/>
                          <w:szCs w:val="24"/>
                        </w:rPr>
                        <w:t>s objectively selected partners</w:t>
                      </w:r>
                      <w:r w:rsidRPr="00560312">
                        <w:rPr>
                          <w:sz w:val="24"/>
                          <w:szCs w:val="24"/>
                        </w:rPr>
                        <w:t xml:space="preserve">/proposals according to the selection criteria and specified process? </w:t>
                      </w:r>
                    </w:p>
                    <w:p w14:paraId="0BB9A1ED" w14:textId="77777777" w:rsidR="001C5460" w:rsidRPr="00560312" w:rsidRDefault="001C5460" w:rsidP="003E45FD">
                      <w:pPr>
                        <w:pStyle w:val="ListParagraph"/>
                        <w:numPr>
                          <w:ilvl w:val="0"/>
                          <w:numId w:val="26"/>
                        </w:numPr>
                        <w:rPr>
                          <w:sz w:val="24"/>
                          <w:szCs w:val="24"/>
                        </w:rPr>
                      </w:pPr>
                      <w:r w:rsidRPr="00560312">
                        <w:rPr>
                          <w:sz w:val="24"/>
                          <w:szCs w:val="24"/>
                        </w:rPr>
                        <w:t xml:space="preserve">Is there evidence to suggest that the best partners and proposals were selected? In hindsight, could additional information or processes have supported a better decision? </w:t>
                      </w:r>
                    </w:p>
                    <w:p w14:paraId="6B85BFCF" w14:textId="77777777" w:rsidR="001C5460" w:rsidRPr="00560312" w:rsidRDefault="001C5460" w:rsidP="003E45FD">
                      <w:pPr>
                        <w:pStyle w:val="ListParagraph"/>
                        <w:numPr>
                          <w:ilvl w:val="0"/>
                          <w:numId w:val="26"/>
                        </w:numPr>
                        <w:rPr>
                          <w:sz w:val="24"/>
                          <w:szCs w:val="24"/>
                        </w:rPr>
                      </w:pPr>
                      <w:r w:rsidRPr="00560312">
                        <w:rPr>
                          <w:sz w:val="24"/>
                          <w:szCs w:val="24"/>
                        </w:rPr>
                        <w:t>Is the composition of peer review members appropriate? Does it need to be changed?</w:t>
                      </w:r>
                    </w:p>
                    <w:p w14:paraId="051C69AE" w14:textId="77777777" w:rsidR="001C5460" w:rsidRPr="00560312" w:rsidRDefault="001C5460" w:rsidP="003E45FD">
                      <w:pPr>
                        <w:pStyle w:val="ListParagraph"/>
                        <w:numPr>
                          <w:ilvl w:val="0"/>
                          <w:numId w:val="26"/>
                        </w:numPr>
                        <w:rPr>
                          <w:sz w:val="24"/>
                          <w:szCs w:val="24"/>
                        </w:rPr>
                      </w:pPr>
                      <w:r w:rsidRPr="00560312">
                        <w:rPr>
                          <w:sz w:val="24"/>
                          <w:szCs w:val="24"/>
                        </w:rPr>
                        <w:t>Are the selection criteria and parameters set by DFAT appropriate? How could they be strengthened?</w:t>
                      </w:r>
                    </w:p>
                    <w:p w14:paraId="2E0EE6E5" w14:textId="77777777" w:rsidR="001C5460" w:rsidRPr="00560312" w:rsidRDefault="001C5460" w:rsidP="003E45FD">
                      <w:pPr>
                        <w:pStyle w:val="ListParagraph"/>
                        <w:numPr>
                          <w:ilvl w:val="0"/>
                          <w:numId w:val="26"/>
                        </w:numPr>
                        <w:rPr>
                          <w:sz w:val="24"/>
                          <w:szCs w:val="24"/>
                        </w:rPr>
                      </w:pPr>
                      <w:r w:rsidRPr="00560312">
                        <w:rPr>
                          <w:sz w:val="24"/>
                          <w:szCs w:val="24"/>
                        </w:rPr>
                        <w:t xml:space="preserve">Has the process had </w:t>
                      </w:r>
                      <w:r>
                        <w:rPr>
                          <w:sz w:val="24"/>
                          <w:szCs w:val="24"/>
                        </w:rPr>
                        <w:t xml:space="preserve">any </w:t>
                      </w:r>
                      <w:r w:rsidRPr="00560312">
                        <w:rPr>
                          <w:sz w:val="24"/>
                          <w:szCs w:val="24"/>
                        </w:rPr>
                        <w:t>negative effects on ANGO relationships? What process could be put in place to prevent this?</w:t>
                      </w:r>
                    </w:p>
                    <w:p w14:paraId="0CBC98E4" w14:textId="77777777" w:rsidR="001C5460" w:rsidRPr="00CD56AD" w:rsidRDefault="001C5460" w:rsidP="003E45FD"/>
                  </w:txbxContent>
                </v:textbox>
                <w10:wrap type="square"/>
              </v:shape>
            </w:pict>
          </mc:Fallback>
        </mc:AlternateContent>
      </w:r>
    </w:p>
    <w:p w14:paraId="16C840E0" w14:textId="77777777" w:rsidR="003E45FD" w:rsidRPr="004C38B2" w:rsidRDefault="003E45FD" w:rsidP="003E45FD">
      <w:pPr>
        <w:spacing w:after="240"/>
        <w:jc w:val="both"/>
        <w:rPr>
          <w:rFonts w:ascii="Calibri" w:eastAsia="Calibri" w:hAnsi="Calibri" w:cs="Times New Roman"/>
          <w:b/>
          <w:u w:val="single"/>
        </w:rPr>
      </w:pPr>
      <w:r w:rsidRPr="004C38B2">
        <w:rPr>
          <w:rFonts w:ascii="Calibri" w:eastAsia="Calibri" w:hAnsi="Calibri" w:cs="Times New Roman"/>
          <w:b/>
          <w:u w:val="single"/>
        </w:rPr>
        <w:t xml:space="preserve">MEL of </w:t>
      </w:r>
      <w:r>
        <w:rPr>
          <w:rFonts w:ascii="Calibri" w:eastAsia="Calibri" w:hAnsi="Calibri" w:cs="Times New Roman"/>
          <w:b/>
          <w:u w:val="single"/>
        </w:rPr>
        <w:t>i</w:t>
      </w:r>
      <w:r w:rsidRPr="004C38B2">
        <w:rPr>
          <w:rFonts w:ascii="Calibri" w:eastAsia="Calibri" w:hAnsi="Calibri" w:cs="Times New Roman"/>
          <w:b/>
          <w:u w:val="single"/>
        </w:rPr>
        <w:t xml:space="preserve">ndividual </w:t>
      </w:r>
      <w:r>
        <w:rPr>
          <w:rFonts w:ascii="Calibri" w:eastAsia="Calibri" w:hAnsi="Calibri" w:cs="Times New Roman"/>
          <w:b/>
          <w:u w:val="single"/>
        </w:rPr>
        <w:t>r</w:t>
      </w:r>
      <w:r w:rsidRPr="004C38B2">
        <w:rPr>
          <w:rFonts w:ascii="Calibri" w:eastAsia="Calibri" w:hAnsi="Calibri" w:cs="Times New Roman"/>
          <w:b/>
          <w:u w:val="single"/>
        </w:rPr>
        <w:t>esponses</w:t>
      </w:r>
    </w:p>
    <w:p w14:paraId="1B6D9EC7" w14:textId="531333CF" w:rsidR="003E45FD" w:rsidRPr="004C38B2" w:rsidRDefault="002A73DF" w:rsidP="003E45FD">
      <w:pPr>
        <w:spacing w:after="240"/>
        <w:jc w:val="both"/>
        <w:rPr>
          <w:rFonts w:ascii="Calibri" w:eastAsia="Calibri" w:hAnsi="Calibri" w:cs="Times New Roman"/>
        </w:rPr>
      </w:pPr>
      <w:r>
        <w:rPr>
          <w:rFonts w:ascii="Calibri" w:eastAsia="Calibri" w:hAnsi="Calibri" w:cs="Times New Roman"/>
          <w:b/>
        </w:rPr>
        <w:t>Funded NGO p</w:t>
      </w:r>
      <w:r w:rsidR="003E45FD" w:rsidRPr="000B4674">
        <w:rPr>
          <w:rFonts w:ascii="Calibri" w:eastAsia="Calibri" w:hAnsi="Calibri" w:cs="Times New Roman"/>
          <w:b/>
        </w:rPr>
        <w:t>artners will undertake their own internal monitoring and evaluation of their response and early recovery efforts</w:t>
      </w:r>
      <w:r w:rsidR="003E45FD" w:rsidRPr="004C38B2">
        <w:rPr>
          <w:rFonts w:ascii="Calibri" w:eastAsia="Calibri" w:hAnsi="Calibri" w:cs="Times New Roman"/>
        </w:rPr>
        <w:t xml:space="preserve"> in accordance with their agency MEL approaches. </w:t>
      </w:r>
      <w:r>
        <w:rPr>
          <w:rFonts w:ascii="Calibri" w:eastAsia="Calibri" w:hAnsi="Calibri" w:cs="Times New Roman"/>
        </w:rPr>
        <w:t>Funded NGO p</w:t>
      </w:r>
      <w:r w:rsidR="003E45FD" w:rsidRPr="004C38B2">
        <w:rPr>
          <w:rFonts w:ascii="Calibri" w:eastAsia="Calibri" w:hAnsi="Calibri" w:cs="Times New Roman"/>
        </w:rPr>
        <w:t xml:space="preserve">artners will be </w:t>
      </w:r>
      <w:r w:rsidR="00E00B4B">
        <w:rPr>
          <w:rFonts w:ascii="Calibri" w:eastAsia="Calibri" w:hAnsi="Calibri" w:cs="Times New Roman"/>
        </w:rPr>
        <w:t>expected</w:t>
      </w:r>
      <w:r w:rsidR="00E00B4B" w:rsidRPr="004C38B2">
        <w:rPr>
          <w:rFonts w:ascii="Calibri" w:eastAsia="Calibri" w:hAnsi="Calibri" w:cs="Times New Roman"/>
        </w:rPr>
        <w:t xml:space="preserve"> </w:t>
      </w:r>
      <w:r w:rsidR="003E45FD" w:rsidRPr="004C38B2">
        <w:rPr>
          <w:rFonts w:ascii="Calibri" w:eastAsia="Calibri" w:hAnsi="Calibri" w:cs="Times New Roman"/>
        </w:rPr>
        <w:t xml:space="preserve">to report on progress in relation to the targets and indicators outlined in their proposals. In addition, </w:t>
      </w:r>
      <w:r>
        <w:rPr>
          <w:rFonts w:ascii="Calibri" w:eastAsia="Calibri" w:hAnsi="Calibri" w:cs="Times New Roman"/>
        </w:rPr>
        <w:t>they</w:t>
      </w:r>
      <w:r w:rsidRPr="004C38B2">
        <w:rPr>
          <w:rFonts w:ascii="Calibri" w:eastAsia="Calibri" w:hAnsi="Calibri" w:cs="Times New Roman"/>
        </w:rPr>
        <w:t xml:space="preserve"> </w:t>
      </w:r>
      <w:r w:rsidR="003E45FD" w:rsidRPr="004C38B2">
        <w:rPr>
          <w:rFonts w:ascii="Calibri" w:eastAsia="Calibri" w:hAnsi="Calibri" w:cs="Times New Roman"/>
        </w:rPr>
        <w:t>are expected to incorporate the medium-term</w:t>
      </w:r>
      <w:r w:rsidR="003E45FD" w:rsidRPr="004C38B2">
        <w:rPr>
          <w:rFonts w:ascii="Calibri" w:eastAsia="Calibri" w:hAnsi="Calibri" w:cs="Times New Roman"/>
          <w:position w:val="6"/>
          <w:sz w:val="16"/>
          <w:szCs w:val="16"/>
        </w:rPr>
        <w:footnoteReference w:id="43"/>
      </w:r>
      <w:r w:rsidR="003E45FD" w:rsidRPr="004C38B2">
        <w:rPr>
          <w:rFonts w:ascii="Calibri" w:eastAsia="Calibri" w:hAnsi="Calibri" w:cs="Times New Roman"/>
        </w:rPr>
        <w:t xml:space="preserve"> outcomes into their response MEL frameworks and report on these. In relation to </w:t>
      </w:r>
      <w:r w:rsidR="003E45FD">
        <w:rPr>
          <w:rFonts w:ascii="Calibri" w:eastAsia="Calibri" w:hAnsi="Calibri" w:cs="Times New Roman"/>
        </w:rPr>
        <w:t xml:space="preserve">the cross-cutting </w:t>
      </w:r>
      <w:r w:rsidR="003E45FD" w:rsidRPr="004C38B2">
        <w:rPr>
          <w:rFonts w:ascii="Calibri" w:eastAsia="Calibri" w:hAnsi="Calibri" w:cs="Times New Roman"/>
        </w:rPr>
        <w:t xml:space="preserve">outcome </w:t>
      </w:r>
      <w:r w:rsidR="003E45FD">
        <w:rPr>
          <w:rFonts w:ascii="Calibri" w:eastAsia="Calibri" w:hAnsi="Calibri" w:cs="Times New Roman"/>
        </w:rPr>
        <w:t>related to engagement and leadership of women and people with disabilities, i</w:t>
      </w:r>
      <w:r w:rsidR="003E45FD" w:rsidRPr="004C38B2">
        <w:rPr>
          <w:rFonts w:ascii="Calibri" w:eastAsia="Calibri" w:hAnsi="Calibri" w:cs="Times New Roman"/>
        </w:rPr>
        <w:t xml:space="preserve">n addition to providing </w:t>
      </w:r>
      <w:r w:rsidR="003E45FD">
        <w:rPr>
          <w:rFonts w:ascii="Calibri" w:eastAsia="Calibri" w:hAnsi="Calibri" w:cs="Times New Roman"/>
        </w:rPr>
        <w:t>sex</w:t>
      </w:r>
      <w:r w:rsidR="003E45FD" w:rsidRPr="004C38B2">
        <w:rPr>
          <w:rFonts w:ascii="Calibri" w:eastAsia="Calibri" w:hAnsi="Calibri" w:cs="Times New Roman"/>
        </w:rPr>
        <w:t xml:space="preserve"> and disability disaggregated data, </w:t>
      </w:r>
      <w:r>
        <w:rPr>
          <w:rFonts w:ascii="Calibri" w:eastAsia="Calibri" w:hAnsi="Calibri" w:cs="Times New Roman"/>
        </w:rPr>
        <w:t xml:space="preserve">funded NGO </w:t>
      </w:r>
      <w:r w:rsidR="003E45FD" w:rsidRPr="004C38B2">
        <w:rPr>
          <w:rFonts w:ascii="Calibri" w:eastAsia="Calibri" w:hAnsi="Calibri" w:cs="Times New Roman"/>
        </w:rPr>
        <w:t xml:space="preserve">partners will report on the approaches they have used to ensure inclusive and equitable responses and how effective these have been. </w:t>
      </w:r>
    </w:p>
    <w:p w14:paraId="5771041F" w14:textId="77777777" w:rsidR="003E45FD" w:rsidRPr="004C38B2" w:rsidRDefault="003E45FD" w:rsidP="003E45FD">
      <w:pPr>
        <w:spacing w:after="240"/>
        <w:jc w:val="both"/>
        <w:rPr>
          <w:rFonts w:ascii="Calibri" w:eastAsia="Calibri" w:hAnsi="Calibri" w:cs="Times New Roman"/>
        </w:rPr>
      </w:pPr>
      <w:r w:rsidRPr="000B4674">
        <w:rPr>
          <w:rFonts w:ascii="Calibri" w:eastAsia="Calibri" w:hAnsi="Calibri" w:cs="Times New Roman"/>
          <w:b/>
        </w:rPr>
        <w:t>Response budget allocations will include provision of approximately 1</w:t>
      </w:r>
      <w:r w:rsidR="0043337A">
        <w:rPr>
          <w:rFonts w:ascii="Calibri" w:eastAsia="Calibri" w:hAnsi="Calibri" w:cs="Times New Roman"/>
          <w:b/>
        </w:rPr>
        <w:t>0</w:t>
      </w:r>
      <w:r w:rsidRPr="000B4674">
        <w:rPr>
          <w:rFonts w:ascii="Calibri" w:eastAsia="Calibri" w:hAnsi="Calibri" w:cs="Times New Roman"/>
          <w:b/>
        </w:rPr>
        <w:t>% for MEL of individual responses.</w:t>
      </w:r>
      <w:r w:rsidRPr="004C38B2">
        <w:rPr>
          <w:rFonts w:ascii="Calibri" w:eastAsia="Calibri" w:hAnsi="Calibri" w:cs="Times New Roman"/>
        </w:rPr>
        <w:t xml:space="preserve"> This will enable </w:t>
      </w:r>
      <w:r w:rsidR="002A73DF">
        <w:rPr>
          <w:rFonts w:ascii="Calibri" w:eastAsia="Calibri" w:hAnsi="Calibri" w:cs="Times New Roman"/>
        </w:rPr>
        <w:t xml:space="preserve">funded partner </w:t>
      </w:r>
      <w:r w:rsidRPr="004C38B2">
        <w:rPr>
          <w:rFonts w:ascii="Calibri" w:eastAsia="Calibri" w:hAnsi="Calibri" w:cs="Times New Roman"/>
        </w:rPr>
        <w:t xml:space="preserve">NGOs to conduct final evaluations and effectively support their local implementing partners to undertake MEL and strengthen their MEL processes. Funds to support the capacity development of the MEL of implementing partners can be used for activities such as local learning and reflection processes, MEL training and systems development, and strengthening equity and inclusion within MEL processes and practice. </w:t>
      </w:r>
      <w:r w:rsidR="00876E4E">
        <w:rPr>
          <w:rFonts w:ascii="Calibri" w:eastAsia="Calibri" w:hAnsi="Calibri" w:cs="Times New Roman"/>
        </w:rPr>
        <w:t xml:space="preserve">Funded partner </w:t>
      </w:r>
      <w:r w:rsidRPr="004C38B2">
        <w:rPr>
          <w:rFonts w:ascii="Calibri" w:eastAsia="Calibri" w:hAnsi="Calibri" w:cs="Times New Roman"/>
        </w:rPr>
        <w:t>NGO partners will share and feed this on</w:t>
      </w:r>
      <w:r>
        <w:rPr>
          <w:rFonts w:ascii="Calibri" w:eastAsia="Calibri" w:hAnsi="Calibri" w:cs="Times New Roman"/>
        </w:rPr>
        <w:t>-</w:t>
      </w:r>
      <w:r w:rsidRPr="004C38B2">
        <w:rPr>
          <w:rFonts w:ascii="Calibri" w:eastAsia="Calibri" w:hAnsi="Calibri" w:cs="Times New Roman"/>
        </w:rPr>
        <w:t>the</w:t>
      </w:r>
      <w:r>
        <w:rPr>
          <w:rFonts w:ascii="Calibri" w:eastAsia="Calibri" w:hAnsi="Calibri" w:cs="Times New Roman"/>
        </w:rPr>
        <w:t>-</w:t>
      </w:r>
      <w:r w:rsidRPr="004C38B2">
        <w:rPr>
          <w:rFonts w:ascii="Calibri" w:eastAsia="Calibri" w:hAnsi="Calibri" w:cs="Times New Roman"/>
        </w:rPr>
        <w:t xml:space="preserve">ground learning into </w:t>
      </w:r>
      <w:r>
        <w:rPr>
          <w:rFonts w:ascii="Calibri" w:eastAsia="Calibri" w:hAnsi="Calibri" w:cs="Times New Roman"/>
        </w:rPr>
        <w:t>broader partnership</w:t>
      </w:r>
      <w:r w:rsidRPr="004C38B2">
        <w:rPr>
          <w:rFonts w:ascii="Calibri" w:eastAsia="Calibri" w:hAnsi="Calibri" w:cs="Times New Roman"/>
        </w:rPr>
        <w:t xml:space="preserve"> learning processes. </w:t>
      </w:r>
    </w:p>
    <w:p w14:paraId="25B7EC36" w14:textId="77777777" w:rsidR="003E45FD" w:rsidRPr="004C38B2" w:rsidRDefault="003E45FD" w:rsidP="00B41169">
      <w:pPr>
        <w:keepNext/>
        <w:keepLines/>
        <w:spacing w:after="240"/>
        <w:jc w:val="both"/>
        <w:rPr>
          <w:rFonts w:ascii="Calibri" w:eastAsia="Calibri" w:hAnsi="Calibri" w:cs="Times New Roman"/>
          <w:b/>
          <w:u w:val="single"/>
        </w:rPr>
      </w:pPr>
      <w:r w:rsidRPr="004C38B2">
        <w:rPr>
          <w:rFonts w:ascii="Calibri" w:eastAsia="Calibri" w:hAnsi="Calibri" w:cs="Times New Roman"/>
          <w:b/>
          <w:u w:val="single"/>
        </w:rPr>
        <w:lastRenderedPageBreak/>
        <w:t>MEL of collective responses</w:t>
      </w:r>
    </w:p>
    <w:p w14:paraId="1BED8A05" w14:textId="39CD7BD5" w:rsidR="003E45FD" w:rsidRPr="004C38B2" w:rsidRDefault="003E45FD" w:rsidP="00B41169">
      <w:pPr>
        <w:keepNext/>
        <w:keepLines/>
        <w:spacing w:after="240"/>
        <w:jc w:val="both"/>
        <w:rPr>
          <w:rFonts w:ascii="Calibri" w:eastAsia="Calibri" w:hAnsi="Calibri" w:cs="Times New Roman"/>
        </w:rPr>
      </w:pPr>
      <w:r w:rsidRPr="004C38B2">
        <w:rPr>
          <w:rFonts w:ascii="Calibri" w:eastAsia="Calibri" w:hAnsi="Calibri" w:cs="Times New Roman"/>
        </w:rPr>
        <w:t xml:space="preserve">As with the previous HPA, </w:t>
      </w:r>
      <w:r w:rsidR="00554A4A">
        <w:rPr>
          <w:rFonts w:ascii="Calibri" w:eastAsia="Calibri" w:hAnsi="Calibri" w:cs="Times New Roman"/>
        </w:rPr>
        <w:t xml:space="preserve">the design team proposes that </w:t>
      </w:r>
      <w:r w:rsidRPr="004C38B2">
        <w:rPr>
          <w:rFonts w:ascii="Calibri" w:eastAsia="Calibri" w:hAnsi="Calibri" w:cs="Times New Roman"/>
        </w:rPr>
        <w:t xml:space="preserve">a </w:t>
      </w:r>
      <w:r w:rsidRPr="004C38B2">
        <w:rPr>
          <w:rFonts w:ascii="Calibri" w:eastAsia="Calibri" w:hAnsi="Calibri" w:cs="Times New Roman"/>
          <w:b/>
        </w:rPr>
        <w:t xml:space="preserve">learning event be held after </w:t>
      </w:r>
      <w:r>
        <w:rPr>
          <w:rFonts w:ascii="Calibri" w:eastAsia="Calibri" w:hAnsi="Calibri" w:cs="Times New Roman"/>
          <w:b/>
        </w:rPr>
        <w:t>each</w:t>
      </w:r>
      <w:r w:rsidRPr="004C38B2">
        <w:rPr>
          <w:rFonts w:ascii="Calibri" w:eastAsia="Calibri" w:hAnsi="Calibri" w:cs="Times New Roman"/>
          <w:b/>
        </w:rPr>
        <w:t xml:space="preserve"> activation</w:t>
      </w:r>
      <w:r w:rsidRPr="004C38B2">
        <w:rPr>
          <w:rFonts w:ascii="Calibri" w:eastAsia="Calibri" w:hAnsi="Calibri" w:cs="Times New Roman"/>
        </w:rPr>
        <w:t>. This will ensure learnings relating to selection, coordination in decision</w:t>
      </w:r>
      <w:r>
        <w:rPr>
          <w:rFonts w:ascii="Calibri" w:eastAsia="Calibri" w:hAnsi="Calibri" w:cs="Times New Roman"/>
        </w:rPr>
        <w:t xml:space="preserve"> </w:t>
      </w:r>
      <w:r w:rsidRPr="004C38B2">
        <w:rPr>
          <w:rFonts w:ascii="Calibri" w:eastAsia="Calibri" w:hAnsi="Calibri" w:cs="Times New Roman"/>
        </w:rPr>
        <w:t xml:space="preserve">making and other operational </w:t>
      </w:r>
      <w:r>
        <w:rPr>
          <w:rFonts w:ascii="Calibri" w:eastAsia="Calibri" w:hAnsi="Calibri" w:cs="Times New Roman"/>
        </w:rPr>
        <w:t>matters</w:t>
      </w:r>
      <w:r w:rsidRPr="004C38B2">
        <w:rPr>
          <w:rFonts w:ascii="Calibri" w:eastAsia="Calibri" w:hAnsi="Calibri" w:cs="Times New Roman"/>
        </w:rPr>
        <w:t xml:space="preserve"> are captured and inform ongoing improvements. </w:t>
      </w:r>
    </w:p>
    <w:p w14:paraId="02D4905A" w14:textId="1B1469F5" w:rsidR="003E45FD" w:rsidRPr="004C38B2" w:rsidRDefault="003E45FD" w:rsidP="003E45FD">
      <w:pPr>
        <w:spacing w:after="240"/>
        <w:jc w:val="both"/>
        <w:rPr>
          <w:rFonts w:ascii="Calibri" w:eastAsia="Calibri" w:hAnsi="Calibri" w:cs="Times New Roman"/>
        </w:rPr>
      </w:pPr>
      <w:r w:rsidRPr="004C38B2">
        <w:rPr>
          <w:rFonts w:ascii="Calibri" w:eastAsia="Calibri" w:hAnsi="Calibri" w:cs="Times New Roman"/>
        </w:rPr>
        <w:t xml:space="preserve">An </w:t>
      </w:r>
      <w:r w:rsidRPr="00FB46A0">
        <w:rPr>
          <w:rFonts w:ascii="Calibri" w:eastAsia="Calibri" w:hAnsi="Calibri" w:cs="Times New Roman"/>
          <w:b/>
        </w:rPr>
        <w:t xml:space="preserve">independent joint evaluation of certain </w:t>
      </w:r>
      <w:r>
        <w:rPr>
          <w:rFonts w:ascii="Calibri" w:eastAsia="Calibri" w:hAnsi="Calibri" w:cs="Times New Roman"/>
          <w:b/>
        </w:rPr>
        <w:t>responses</w:t>
      </w:r>
      <w:r w:rsidRPr="004C38B2">
        <w:rPr>
          <w:rFonts w:ascii="Calibri" w:eastAsia="Calibri" w:hAnsi="Calibri" w:cs="Times New Roman"/>
        </w:rPr>
        <w:t xml:space="preserve"> </w:t>
      </w:r>
      <w:r w:rsidR="00554A4A">
        <w:rPr>
          <w:rFonts w:ascii="Calibri" w:eastAsia="Calibri" w:hAnsi="Calibri" w:cs="Times New Roman"/>
        </w:rPr>
        <w:t>should</w:t>
      </w:r>
      <w:r w:rsidR="00554A4A" w:rsidRPr="004C38B2">
        <w:rPr>
          <w:rFonts w:ascii="Calibri" w:eastAsia="Calibri" w:hAnsi="Calibri" w:cs="Times New Roman"/>
        </w:rPr>
        <w:t xml:space="preserve"> </w:t>
      </w:r>
      <w:r w:rsidRPr="004C38B2">
        <w:rPr>
          <w:rFonts w:ascii="Calibri" w:eastAsia="Calibri" w:hAnsi="Calibri" w:cs="Times New Roman"/>
        </w:rPr>
        <w:t xml:space="preserve">be </w:t>
      </w:r>
      <w:r>
        <w:rPr>
          <w:rFonts w:ascii="Calibri" w:eastAsia="Calibri" w:hAnsi="Calibri" w:cs="Times New Roman"/>
        </w:rPr>
        <w:t>undertaken, with relevant activations selected</w:t>
      </w:r>
      <w:r w:rsidRPr="004C38B2">
        <w:rPr>
          <w:rFonts w:ascii="Calibri" w:eastAsia="Calibri" w:hAnsi="Calibri" w:cs="Times New Roman"/>
        </w:rPr>
        <w:t xml:space="preserve"> by mutual agreement. This process will be coordinated and managed by the </w:t>
      </w:r>
      <w:r w:rsidRPr="00A71E34">
        <w:rPr>
          <w:rFonts w:ascii="Calibri" w:eastAsia="Calibri" w:hAnsi="Calibri" w:cs="Times New Roman"/>
        </w:rPr>
        <w:t>MEL Officer</w:t>
      </w:r>
      <w:r w:rsidRPr="004C38B2">
        <w:rPr>
          <w:rFonts w:ascii="Calibri" w:eastAsia="Calibri" w:hAnsi="Calibri" w:cs="Times New Roman"/>
        </w:rPr>
        <w:t xml:space="preserve"> of the Support Unit. While the approach taken for joint evaluations will be context dependent, peer learning processes which foster participation of local partner staff, ANGO staff and DFAT will be encouraged. </w:t>
      </w:r>
    </w:p>
    <w:p w14:paraId="2FB27874" w14:textId="7EB054E9" w:rsidR="003E45FD" w:rsidRPr="004C38B2" w:rsidRDefault="003E45FD" w:rsidP="003E45FD">
      <w:pPr>
        <w:spacing w:after="240"/>
        <w:jc w:val="both"/>
        <w:rPr>
          <w:rFonts w:ascii="Calibri" w:eastAsia="Calibri" w:hAnsi="Calibri" w:cs="Times New Roman"/>
        </w:rPr>
      </w:pPr>
      <w:r w:rsidRPr="000B4674">
        <w:rPr>
          <w:rFonts w:ascii="Calibri" w:eastAsia="Calibri" w:hAnsi="Calibri" w:cs="Times New Roman"/>
          <w:b/>
        </w:rPr>
        <w:t>Joint evaluations will be planned for at the outset of a response</w:t>
      </w:r>
      <w:r w:rsidRPr="004C38B2">
        <w:rPr>
          <w:rFonts w:ascii="Calibri" w:eastAsia="Calibri" w:hAnsi="Calibri" w:cs="Times New Roman"/>
        </w:rPr>
        <w:t xml:space="preserve"> and a joint MEL framework/work plan will be developed to ensure adequate planning and input into key MEL activities. Terms of Reference will be developed for team members (in addition to the lead consultant) to ensure clear roles for field work and participation in planning and reflection activities. Evaluations will allow for sufficient time to visit an adequate sample of all participating agencies’ project sites</w:t>
      </w:r>
      <w:r>
        <w:rPr>
          <w:rFonts w:ascii="Calibri" w:eastAsia="Calibri" w:hAnsi="Calibri" w:cs="Times New Roman"/>
        </w:rPr>
        <w:t>.</w:t>
      </w:r>
      <w:r w:rsidRPr="004C38B2">
        <w:rPr>
          <w:rFonts w:ascii="Calibri" w:eastAsia="Calibri" w:hAnsi="Calibri" w:cs="Times New Roman"/>
          <w:position w:val="6"/>
          <w:sz w:val="16"/>
          <w:szCs w:val="16"/>
        </w:rPr>
        <w:footnoteReference w:id="44"/>
      </w:r>
      <w:r w:rsidRPr="004C38B2">
        <w:rPr>
          <w:rFonts w:ascii="Calibri" w:eastAsia="Calibri" w:hAnsi="Calibri" w:cs="Times New Roman"/>
        </w:rPr>
        <w:t xml:space="preserve"> </w:t>
      </w:r>
      <w:r w:rsidR="00554A4A">
        <w:rPr>
          <w:rFonts w:ascii="Calibri" w:eastAsia="Calibri" w:hAnsi="Calibri" w:cs="Times New Roman"/>
        </w:rPr>
        <w:t>The design team recommends that a</w:t>
      </w:r>
      <w:r w:rsidRPr="004C38B2">
        <w:rPr>
          <w:rFonts w:ascii="Calibri" w:eastAsia="Calibri" w:hAnsi="Calibri" w:cs="Times New Roman"/>
        </w:rPr>
        <w:t xml:space="preserve"> digi-story collector</w:t>
      </w:r>
      <w:r w:rsidR="00901DC1">
        <w:rPr>
          <w:rStyle w:val="FootnoteReference"/>
          <w:rFonts w:eastAsia="Calibri" w:cs="Times New Roman"/>
        </w:rPr>
        <w:footnoteReference w:id="45"/>
      </w:r>
      <w:r w:rsidRPr="004C38B2">
        <w:rPr>
          <w:rFonts w:ascii="Calibri" w:eastAsia="Calibri" w:hAnsi="Calibri" w:cs="Times New Roman"/>
        </w:rPr>
        <w:t xml:space="preserve"> be part of the evaluation team and a strategy be developed for ensuring participating affected populations have an opportunity to view the film, as an appropriate feedback medium for affected communities and broader stakeholders.</w:t>
      </w:r>
    </w:p>
    <w:p w14:paraId="6CC3D6FA" w14:textId="6BFDBE9C" w:rsidR="003E45FD" w:rsidRPr="004C38B2" w:rsidRDefault="003E45FD" w:rsidP="003E45FD">
      <w:pPr>
        <w:spacing w:after="240"/>
        <w:jc w:val="both"/>
        <w:rPr>
          <w:rFonts w:ascii="Calibri" w:eastAsia="Calibri" w:hAnsi="Calibri" w:cs="Times New Roman"/>
        </w:rPr>
      </w:pPr>
      <w:r w:rsidRPr="004C38B2">
        <w:rPr>
          <w:rFonts w:ascii="Calibri" w:eastAsia="Calibri" w:hAnsi="Calibri" w:cs="Times New Roman"/>
        </w:rPr>
        <w:t xml:space="preserve">As outlined above, the information collected by </w:t>
      </w:r>
      <w:r w:rsidR="006E0401">
        <w:rPr>
          <w:rFonts w:ascii="Calibri" w:eastAsia="Calibri" w:hAnsi="Calibri" w:cs="Times New Roman"/>
        </w:rPr>
        <w:t>funded NGO partners</w:t>
      </w:r>
      <w:r w:rsidR="006E0401" w:rsidRPr="004C38B2">
        <w:rPr>
          <w:rFonts w:ascii="Calibri" w:eastAsia="Calibri" w:hAnsi="Calibri" w:cs="Times New Roman"/>
        </w:rPr>
        <w:t xml:space="preserve"> </w:t>
      </w:r>
      <w:r w:rsidRPr="004C38B2">
        <w:rPr>
          <w:rFonts w:ascii="Calibri" w:eastAsia="Calibri" w:hAnsi="Calibri" w:cs="Times New Roman"/>
        </w:rPr>
        <w:t xml:space="preserve">on their own responses will be reported on and individual response data will be centrally aggregated by the Support Unit. Joint evaluations </w:t>
      </w:r>
      <w:r w:rsidR="00554A4A">
        <w:rPr>
          <w:rFonts w:ascii="Calibri" w:eastAsia="Calibri" w:hAnsi="Calibri" w:cs="Times New Roman"/>
        </w:rPr>
        <w:t>should</w:t>
      </w:r>
      <w:r w:rsidR="00554A4A" w:rsidRPr="004C38B2">
        <w:rPr>
          <w:rFonts w:ascii="Calibri" w:eastAsia="Calibri" w:hAnsi="Calibri" w:cs="Times New Roman"/>
        </w:rPr>
        <w:t xml:space="preserve"> </w:t>
      </w:r>
      <w:r w:rsidRPr="004C38B2">
        <w:rPr>
          <w:rFonts w:ascii="Calibri" w:eastAsia="Calibri" w:hAnsi="Calibri" w:cs="Times New Roman"/>
        </w:rPr>
        <w:t xml:space="preserve">not duplicate this information. The focus </w:t>
      </w:r>
      <w:r w:rsidR="00554A4A">
        <w:rPr>
          <w:rFonts w:ascii="Calibri" w:eastAsia="Calibri" w:hAnsi="Calibri" w:cs="Times New Roman"/>
        </w:rPr>
        <w:t>should</w:t>
      </w:r>
      <w:r w:rsidR="00554A4A" w:rsidRPr="004C38B2">
        <w:rPr>
          <w:rFonts w:ascii="Calibri" w:eastAsia="Calibri" w:hAnsi="Calibri" w:cs="Times New Roman"/>
        </w:rPr>
        <w:t xml:space="preserve"> </w:t>
      </w:r>
      <w:r w:rsidRPr="004C38B2">
        <w:rPr>
          <w:rFonts w:ascii="Calibri" w:eastAsia="Calibri" w:hAnsi="Calibri" w:cs="Times New Roman"/>
        </w:rPr>
        <w:t xml:space="preserve">be on conducting analysis and synthesis across the </w:t>
      </w:r>
      <w:r w:rsidR="00F42A9D" w:rsidRPr="00511EF0">
        <w:rPr>
          <w:rFonts w:ascii="Calibri" w:eastAsia="Calibri" w:hAnsi="Calibri" w:cs="Times New Roman"/>
        </w:rPr>
        <w:t>partnership</w:t>
      </w:r>
      <w:r w:rsidRPr="00511EF0">
        <w:rPr>
          <w:rFonts w:ascii="Calibri" w:eastAsia="Calibri" w:hAnsi="Calibri" w:cs="Times New Roman"/>
        </w:rPr>
        <w:t xml:space="preserve"> </w:t>
      </w:r>
      <w:r w:rsidRPr="004C38B2">
        <w:rPr>
          <w:rFonts w:ascii="Calibri" w:eastAsia="Calibri" w:hAnsi="Calibri" w:cs="Times New Roman"/>
        </w:rPr>
        <w:t xml:space="preserve">responses as a whole. </w:t>
      </w:r>
      <w:r>
        <w:rPr>
          <w:rFonts w:ascii="Calibri" w:eastAsia="Calibri" w:hAnsi="Calibri" w:cs="Times New Roman"/>
        </w:rPr>
        <w:t>A</w:t>
      </w:r>
      <w:r w:rsidRPr="004C38B2">
        <w:rPr>
          <w:rFonts w:ascii="Calibri" w:eastAsia="Calibri" w:hAnsi="Calibri" w:cs="Times New Roman"/>
        </w:rPr>
        <w:t xml:space="preserve"> joint evaluation will assess whether the response has achieved the end of investment outcome for </w:t>
      </w:r>
      <w:r>
        <w:rPr>
          <w:rFonts w:ascii="Calibri" w:eastAsia="Calibri" w:hAnsi="Calibri" w:cs="Times New Roman"/>
        </w:rPr>
        <w:t>outcome area</w:t>
      </w:r>
      <w:r w:rsidRPr="004C38B2">
        <w:rPr>
          <w:rFonts w:ascii="Calibri" w:eastAsia="Calibri" w:hAnsi="Calibri" w:cs="Times New Roman"/>
        </w:rPr>
        <w:t xml:space="preserve"> 1</w:t>
      </w:r>
      <w:r>
        <w:rPr>
          <w:rFonts w:ascii="Calibri" w:eastAsia="Calibri" w:hAnsi="Calibri" w:cs="Times New Roman"/>
        </w:rPr>
        <w:t xml:space="preserve"> (as defined by the agreed upon measures of success)</w:t>
      </w:r>
      <w:r w:rsidRPr="004C38B2">
        <w:rPr>
          <w:rFonts w:ascii="Calibri" w:eastAsia="Calibri" w:hAnsi="Calibri" w:cs="Times New Roman"/>
        </w:rPr>
        <w:t xml:space="preserve"> and test the assumptions o</w:t>
      </w:r>
      <w:r>
        <w:rPr>
          <w:rFonts w:ascii="Calibri" w:eastAsia="Calibri" w:hAnsi="Calibri" w:cs="Times New Roman"/>
        </w:rPr>
        <w:t>utlined in the Theory of Change</w:t>
      </w:r>
      <w:r w:rsidRPr="004C38B2">
        <w:rPr>
          <w:rFonts w:ascii="Calibri" w:eastAsia="Calibri" w:hAnsi="Calibri" w:cs="Times New Roman"/>
        </w:rPr>
        <w:t xml:space="preserve">. </w:t>
      </w:r>
    </w:p>
    <w:p w14:paraId="301B27B0" w14:textId="77777777" w:rsidR="003E45FD" w:rsidRPr="004C38B2" w:rsidRDefault="003E45FD" w:rsidP="003E45FD">
      <w:pPr>
        <w:spacing w:after="240"/>
        <w:jc w:val="both"/>
        <w:rPr>
          <w:rFonts w:ascii="Calibri" w:eastAsia="Calibri" w:hAnsi="Calibri" w:cs="Times New Roman"/>
        </w:rPr>
      </w:pPr>
      <w:r w:rsidRPr="000B4674">
        <w:rPr>
          <w:rFonts w:ascii="Calibri" w:eastAsia="Calibri" w:hAnsi="Calibri" w:cs="Times New Roman"/>
          <w:b/>
        </w:rPr>
        <w:t xml:space="preserve">The </w:t>
      </w:r>
      <w:r w:rsidRPr="00A71E34">
        <w:rPr>
          <w:rFonts w:ascii="Calibri" w:eastAsia="Calibri" w:hAnsi="Calibri" w:cs="Times New Roman"/>
          <w:b/>
        </w:rPr>
        <w:t>MEL Officer</w:t>
      </w:r>
      <w:r w:rsidRPr="000B4674">
        <w:rPr>
          <w:rFonts w:ascii="Calibri" w:eastAsia="Calibri" w:hAnsi="Calibri" w:cs="Times New Roman"/>
          <w:b/>
        </w:rPr>
        <w:t xml:space="preserve"> will be responsible for developing the terms of reference for </w:t>
      </w:r>
      <w:r>
        <w:rPr>
          <w:rFonts w:ascii="Calibri" w:eastAsia="Calibri" w:hAnsi="Calibri" w:cs="Times New Roman"/>
          <w:b/>
        </w:rPr>
        <w:t>joint</w:t>
      </w:r>
      <w:r w:rsidRPr="000B4674">
        <w:rPr>
          <w:rFonts w:ascii="Calibri" w:eastAsia="Calibri" w:hAnsi="Calibri" w:cs="Times New Roman"/>
          <w:b/>
        </w:rPr>
        <w:t xml:space="preserve"> evaluation</w:t>
      </w:r>
      <w:r w:rsidR="00511EF0">
        <w:rPr>
          <w:rFonts w:ascii="Calibri" w:eastAsia="Calibri" w:hAnsi="Calibri" w:cs="Times New Roman"/>
          <w:b/>
        </w:rPr>
        <w:t>s</w:t>
      </w:r>
      <w:r w:rsidRPr="000B4674">
        <w:rPr>
          <w:rFonts w:ascii="Calibri" w:eastAsia="Calibri" w:hAnsi="Calibri" w:cs="Times New Roman"/>
          <w:b/>
        </w:rPr>
        <w:t xml:space="preserve"> in collaboration with DFAT, </w:t>
      </w:r>
      <w:r w:rsidR="006E0401">
        <w:rPr>
          <w:rFonts w:ascii="Calibri" w:eastAsia="Calibri" w:hAnsi="Calibri" w:cs="Times New Roman"/>
          <w:b/>
        </w:rPr>
        <w:t xml:space="preserve">funded </w:t>
      </w:r>
      <w:r w:rsidRPr="000B4674">
        <w:rPr>
          <w:rFonts w:ascii="Calibri" w:eastAsia="Calibri" w:hAnsi="Calibri" w:cs="Times New Roman"/>
          <w:b/>
        </w:rPr>
        <w:t>NGO partners and other key stakeholders</w:t>
      </w:r>
      <w:r w:rsidRPr="004C38B2">
        <w:rPr>
          <w:rFonts w:ascii="Calibri" w:eastAsia="Calibri" w:hAnsi="Calibri" w:cs="Times New Roman"/>
        </w:rPr>
        <w:t xml:space="preserve">. Given the complexity of joint evaluations (and the short-term nature of humanitarian responses) it is difficult to assess impact, and focus will therefore be on outcomes, learning and quality of response (using assessments of key </w:t>
      </w:r>
      <w:r w:rsidR="00487823">
        <w:rPr>
          <w:rFonts w:ascii="Calibri" w:eastAsia="Calibri" w:hAnsi="Calibri" w:cs="Times New Roman"/>
        </w:rPr>
        <w:t xml:space="preserve">OECD </w:t>
      </w:r>
      <w:r w:rsidRPr="004C38B2">
        <w:rPr>
          <w:rFonts w:ascii="Calibri" w:eastAsia="Calibri" w:hAnsi="Calibri" w:cs="Times New Roman"/>
        </w:rPr>
        <w:t>DAC criteria areas as proxy indicators of quality and impact). Suggested key evaluation questions to be considered or adapted have been developed. These questions integrate assessment of the Core Humanitarian Standards (CHS).</w:t>
      </w:r>
    </w:p>
    <w:p w14:paraId="1CCE4FF3" w14:textId="77777777" w:rsidR="003E45FD" w:rsidRPr="004C38B2" w:rsidRDefault="003E45FD" w:rsidP="003E45FD">
      <w:pPr>
        <w:jc w:val="both"/>
        <w:rPr>
          <w:rFonts w:ascii="Calibri" w:eastAsia="Calibri" w:hAnsi="Calibri" w:cs="Times New Roman"/>
        </w:rPr>
      </w:pPr>
    </w:p>
    <w:p w14:paraId="274A9A84" w14:textId="50195340" w:rsidR="003E45FD" w:rsidRPr="004C38B2" w:rsidRDefault="003E45FD" w:rsidP="00B41169">
      <w:pPr>
        <w:spacing w:after="200" w:line="276" w:lineRule="auto"/>
        <w:jc w:val="both"/>
        <w:rPr>
          <w:rFonts w:ascii="Calibri" w:eastAsia="Calibri" w:hAnsi="Calibri" w:cs="Times New Roman"/>
          <w:b/>
          <w:color w:val="4F81BD"/>
        </w:rPr>
      </w:pPr>
      <w:r w:rsidRPr="004C38B2">
        <w:rPr>
          <w:rFonts w:ascii="Calibri" w:eastAsia="Calibri" w:hAnsi="Calibri" w:cs="Times New Roman"/>
          <w:noProof/>
          <w:lang w:eastAsia="en-AU"/>
        </w:rPr>
        <w:lastRenderedPageBreak/>
        <mc:AlternateContent>
          <mc:Choice Requires="wps">
            <w:drawing>
              <wp:anchor distT="0" distB="0" distL="114300" distR="114300" simplePos="0" relativeHeight="251687936" behindDoc="0" locked="0" layoutInCell="1" allowOverlap="1" wp14:anchorId="7D072683" wp14:editId="6E2F2B0A">
                <wp:simplePos x="0" y="0"/>
                <wp:positionH relativeFrom="column">
                  <wp:posOffset>-54610</wp:posOffset>
                </wp:positionH>
                <wp:positionV relativeFrom="paragraph">
                  <wp:posOffset>36830</wp:posOffset>
                </wp:positionV>
                <wp:extent cx="5661660" cy="6833870"/>
                <wp:effectExtent l="57150" t="38100" r="72390" b="100330"/>
                <wp:wrapSquare wrapText="bothSides"/>
                <wp:docPr id="16" name="Text Box 16"/>
                <wp:cNvGraphicFramePr/>
                <a:graphic xmlns:a="http://schemas.openxmlformats.org/drawingml/2006/main">
                  <a:graphicData uri="http://schemas.microsoft.com/office/word/2010/wordprocessingShape">
                    <wps:wsp>
                      <wps:cNvSpPr txBox="1"/>
                      <wps:spPr>
                        <a:xfrm>
                          <a:off x="0" y="0"/>
                          <a:ext cx="5661660" cy="683387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3954910" w14:textId="77777777" w:rsidR="001C5460" w:rsidRPr="00147709" w:rsidRDefault="001C5460" w:rsidP="003E45FD">
                            <w:pPr>
                              <w:spacing w:after="120"/>
                              <w:contextualSpacing/>
                              <w:rPr>
                                <w:b/>
                              </w:rPr>
                            </w:pPr>
                            <w:r w:rsidRPr="00147709">
                              <w:rPr>
                                <w:b/>
                              </w:rPr>
                              <w:t>JOINT RESPONSE EVALUATION QUESTIONS:</w:t>
                            </w:r>
                          </w:p>
                          <w:p w14:paraId="6120B1C5" w14:textId="77777777" w:rsidR="001C5460" w:rsidRPr="00147709" w:rsidRDefault="001C5460" w:rsidP="003E45FD">
                            <w:pPr>
                              <w:spacing w:after="120"/>
                              <w:contextualSpacing/>
                              <w:rPr>
                                <w:b/>
                              </w:rPr>
                            </w:pPr>
                          </w:p>
                          <w:p w14:paraId="3E50ACEE" w14:textId="77777777" w:rsidR="001C5460" w:rsidRPr="00147709" w:rsidRDefault="001C5460" w:rsidP="003E45FD">
                            <w:pPr>
                              <w:spacing w:after="120"/>
                              <w:contextualSpacing/>
                              <w:rPr>
                                <w:b/>
                              </w:rPr>
                            </w:pPr>
                            <w:r w:rsidRPr="00147709">
                              <w:rPr>
                                <w:b/>
                              </w:rPr>
                              <w:t>How did the response</w:t>
                            </w:r>
                            <w:r>
                              <w:rPr>
                                <w:b/>
                              </w:rPr>
                              <w:t xml:space="preserve"> approach</w:t>
                            </w:r>
                            <w:r w:rsidRPr="00147709">
                              <w:rPr>
                                <w:b/>
                              </w:rPr>
                              <w:t xml:space="preserve"> support localisation?</w:t>
                            </w:r>
                          </w:p>
                          <w:p w14:paraId="3807028C" w14:textId="77777777" w:rsidR="001C5460" w:rsidRPr="00147709" w:rsidRDefault="001C5460" w:rsidP="003E45FD">
                            <w:pPr>
                              <w:numPr>
                                <w:ilvl w:val="0"/>
                                <w:numId w:val="24"/>
                              </w:numPr>
                              <w:spacing w:after="120"/>
                              <w:contextualSpacing/>
                            </w:pPr>
                            <w:r w:rsidRPr="00147709">
                              <w:t>To what extent have responses supported those affected by disasters to rebuild their lives? (CHS3)</w:t>
                            </w:r>
                          </w:p>
                          <w:p w14:paraId="7FF997C3" w14:textId="77777777" w:rsidR="001C5460" w:rsidRPr="00147709" w:rsidRDefault="001C5460" w:rsidP="003E45FD">
                            <w:pPr>
                              <w:numPr>
                                <w:ilvl w:val="0"/>
                                <w:numId w:val="24"/>
                              </w:numPr>
                              <w:spacing w:after="120"/>
                              <w:contextualSpacing/>
                            </w:pPr>
                            <w:r w:rsidRPr="00147709">
                              <w:t>To what extent did approaches support local leadership and not undermine local efforts? (CHS3)</w:t>
                            </w:r>
                          </w:p>
                          <w:p w14:paraId="25400B0D" w14:textId="77777777" w:rsidR="001C5460" w:rsidRPr="00147709" w:rsidRDefault="001C5460" w:rsidP="003E45FD">
                            <w:pPr>
                              <w:numPr>
                                <w:ilvl w:val="0"/>
                                <w:numId w:val="24"/>
                              </w:numPr>
                              <w:spacing w:after="120"/>
                              <w:contextualSpacing/>
                            </w:pPr>
                            <w:r w:rsidRPr="00147709">
                              <w:t>How well did responses support and align with local government efforts and structures (local, provincial and national)? (CHS6)</w:t>
                            </w:r>
                          </w:p>
                          <w:p w14:paraId="24F4CB44" w14:textId="77777777" w:rsidR="001C5460" w:rsidRPr="00147709" w:rsidRDefault="001C5460" w:rsidP="003E45FD">
                            <w:pPr>
                              <w:numPr>
                                <w:ilvl w:val="0"/>
                                <w:numId w:val="24"/>
                              </w:numPr>
                              <w:spacing w:after="120"/>
                              <w:contextualSpacing/>
                            </w:pPr>
                            <w:r w:rsidRPr="00147709">
                              <w:t>How well did disaster management capacity building support staff and volunteers do their job effectively? (CHS 8)</w:t>
                            </w:r>
                          </w:p>
                          <w:p w14:paraId="5E26A580" w14:textId="77777777" w:rsidR="001C5460" w:rsidRPr="00147709" w:rsidRDefault="001C5460" w:rsidP="003E45FD">
                            <w:pPr>
                              <w:spacing w:after="120"/>
                              <w:ind w:left="360"/>
                              <w:contextualSpacing/>
                            </w:pPr>
                          </w:p>
                          <w:p w14:paraId="0BA80961" w14:textId="77777777" w:rsidR="001C5460" w:rsidRPr="00147709" w:rsidRDefault="001C5460" w:rsidP="003E45FD">
                            <w:pPr>
                              <w:spacing w:after="120"/>
                              <w:contextualSpacing/>
                              <w:rPr>
                                <w:b/>
                              </w:rPr>
                            </w:pPr>
                            <w:r w:rsidRPr="00147709">
                              <w:rPr>
                                <w:b/>
                              </w:rPr>
                              <w:t xml:space="preserve">To what extent did </w:t>
                            </w:r>
                            <w:r>
                              <w:rPr>
                                <w:b/>
                              </w:rPr>
                              <w:t xml:space="preserve">the </w:t>
                            </w:r>
                            <w:r w:rsidRPr="00511EF0">
                              <w:rPr>
                                <w:b/>
                              </w:rPr>
                              <w:t>Partnership</w:t>
                            </w:r>
                            <w:r>
                              <w:rPr>
                                <w:b/>
                              </w:rPr>
                              <w:t xml:space="preserve"> </w:t>
                            </w:r>
                            <w:r w:rsidRPr="00511EF0">
                              <w:rPr>
                                <w:b/>
                              </w:rPr>
                              <w:t>deliver</w:t>
                            </w:r>
                            <w:r w:rsidRPr="00147709">
                              <w:rPr>
                                <w:b/>
                              </w:rPr>
                              <w:t xml:space="preserve"> quality and accountable responses?</w:t>
                            </w:r>
                          </w:p>
                          <w:p w14:paraId="487C749A" w14:textId="77777777" w:rsidR="001C5460" w:rsidRPr="00147709" w:rsidRDefault="001C5460" w:rsidP="003E45FD">
                            <w:pPr>
                              <w:numPr>
                                <w:ilvl w:val="0"/>
                                <w:numId w:val="24"/>
                              </w:numPr>
                              <w:spacing w:after="120"/>
                              <w:contextualSpacing/>
                            </w:pPr>
                            <w:r w:rsidRPr="00147709">
                              <w:t>How timely did was the disbursement of funds, and how quickly did assistance reach affected communities (CHS 2)</w:t>
                            </w:r>
                          </w:p>
                          <w:p w14:paraId="699211C8" w14:textId="77777777" w:rsidR="001C5460" w:rsidRPr="00147709" w:rsidRDefault="001C5460" w:rsidP="003E45FD">
                            <w:pPr>
                              <w:numPr>
                                <w:ilvl w:val="0"/>
                                <w:numId w:val="24"/>
                              </w:numPr>
                              <w:spacing w:after="120"/>
                              <w:contextualSpacing/>
                            </w:pPr>
                            <w:r w:rsidRPr="00147709">
                              <w:t>To what extent did interventions respond to and meet identified needs of the affected population (men, women, boys and girls)? (CHS 1)</w:t>
                            </w:r>
                          </w:p>
                          <w:p w14:paraId="23C11DB2" w14:textId="77777777" w:rsidR="001C5460" w:rsidRPr="00147709" w:rsidRDefault="001C5460" w:rsidP="003E45FD">
                            <w:pPr>
                              <w:numPr>
                                <w:ilvl w:val="0"/>
                                <w:numId w:val="24"/>
                              </w:numPr>
                              <w:spacing w:after="120"/>
                              <w:contextualSpacing/>
                            </w:pPr>
                            <w:r w:rsidRPr="00147709">
                              <w:t>To what extent did women, men, children and people with disabilit</w:t>
                            </w:r>
                            <w:r>
                              <w:t>ies</w:t>
                            </w:r>
                            <w:r w:rsidRPr="00147709">
                              <w:t xml:space="preserve"> participate in </w:t>
                            </w:r>
                            <w:r>
                              <w:t xml:space="preserve">and lead </w:t>
                            </w:r>
                            <w:r w:rsidRPr="00147709">
                              <w:t>decision making? (CHS</w:t>
                            </w:r>
                            <w:r>
                              <w:t xml:space="preserve"> </w:t>
                            </w:r>
                            <w:r w:rsidRPr="00147709">
                              <w:t>4)</w:t>
                            </w:r>
                          </w:p>
                          <w:p w14:paraId="429CE8B1" w14:textId="77777777" w:rsidR="001C5460" w:rsidRPr="00147709" w:rsidRDefault="001C5460" w:rsidP="003E45FD">
                            <w:pPr>
                              <w:numPr>
                                <w:ilvl w:val="0"/>
                                <w:numId w:val="24"/>
                              </w:numPr>
                              <w:spacing w:after="120"/>
                              <w:contextualSpacing/>
                            </w:pPr>
                            <w:r w:rsidRPr="00147709">
                              <w:t xml:space="preserve">How well were gender, disability and child protection needs met in responses? </w:t>
                            </w:r>
                          </w:p>
                          <w:p w14:paraId="18979C87" w14:textId="77777777" w:rsidR="001C5460" w:rsidRPr="00147709" w:rsidRDefault="001C5460" w:rsidP="003E45FD">
                            <w:pPr>
                              <w:numPr>
                                <w:ilvl w:val="0"/>
                                <w:numId w:val="24"/>
                              </w:numPr>
                              <w:spacing w:after="120"/>
                              <w:contextualSpacing/>
                            </w:pPr>
                            <w:r w:rsidRPr="00147709">
                              <w:t>Did communities and people affected by crisis have access to safe and responsive mechanisms to handle complaints? (CHS 5)</w:t>
                            </w:r>
                          </w:p>
                          <w:p w14:paraId="0B5CB2CD" w14:textId="77777777" w:rsidR="001C5460" w:rsidRDefault="001C5460" w:rsidP="003E45FD">
                            <w:pPr>
                              <w:numPr>
                                <w:ilvl w:val="0"/>
                                <w:numId w:val="24"/>
                              </w:numPr>
                              <w:spacing w:after="120"/>
                              <w:contextualSpacing/>
                            </w:pPr>
                            <w:r w:rsidRPr="00147709">
                              <w:t>How well did relief responses link with longer-term processes of recovery and development?</w:t>
                            </w:r>
                            <w:r>
                              <w:t xml:space="preserve"> Did this occur early on in responses?</w:t>
                            </w:r>
                          </w:p>
                          <w:p w14:paraId="7E440815" w14:textId="77777777" w:rsidR="001C5460" w:rsidRPr="00147709" w:rsidRDefault="001C5460" w:rsidP="003E45FD">
                            <w:pPr>
                              <w:numPr>
                                <w:ilvl w:val="0"/>
                                <w:numId w:val="24"/>
                              </w:numPr>
                              <w:spacing w:after="120"/>
                              <w:contextualSpacing/>
                            </w:pPr>
                            <w:r>
                              <w:t>Were partners able to make good decisions on limited initial rapid assessment?</w:t>
                            </w:r>
                          </w:p>
                          <w:p w14:paraId="12F714E1" w14:textId="77777777" w:rsidR="001C5460" w:rsidRPr="00147709" w:rsidRDefault="001C5460" w:rsidP="003E45FD">
                            <w:pPr>
                              <w:numPr>
                                <w:ilvl w:val="0"/>
                                <w:numId w:val="24"/>
                              </w:numPr>
                              <w:spacing w:after="120"/>
                              <w:contextualSpacing/>
                            </w:pPr>
                            <w:r w:rsidRPr="00147709">
                              <w:t>How efficiently and ethically were resources shared and managed? (CHS 9)</w:t>
                            </w:r>
                          </w:p>
                          <w:p w14:paraId="2BE8A9F8" w14:textId="77777777" w:rsidR="001C5460" w:rsidRPr="00147709" w:rsidRDefault="001C5460" w:rsidP="003E45FD">
                            <w:pPr>
                              <w:spacing w:after="120"/>
                              <w:contextualSpacing/>
                              <w:rPr>
                                <w:b/>
                              </w:rPr>
                            </w:pPr>
                          </w:p>
                          <w:p w14:paraId="17CD6BB5" w14:textId="77777777" w:rsidR="001C5460" w:rsidRPr="00147709" w:rsidRDefault="001C5460" w:rsidP="003E45FD">
                            <w:pPr>
                              <w:spacing w:after="120"/>
                              <w:contextualSpacing/>
                              <w:rPr>
                                <w:b/>
                              </w:rPr>
                            </w:pPr>
                            <w:r w:rsidRPr="00147709">
                              <w:rPr>
                                <w:b/>
                              </w:rPr>
                              <w:t xml:space="preserve">How coordinated was </w:t>
                            </w:r>
                            <w:r w:rsidRPr="00511EF0">
                              <w:rPr>
                                <w:b/>
                              </w:rPr>
                              <w:t xml:space="preserve">the </w:t>
                            </w:r>
                            <w:r w:rsidRPr="00147709">
                              <w:rPr>
                                <w:b/>
                              </w:rPr>
                              <w:t>response?</w:t>
                            </w:r>
                          </w:p>
                          <w:p w14:paraId="3EA9C5B6" w14:textId="77777777" w:rsidR="001C5460" w:rsidRPr="00147709" w:rsidRDefault="001C5460" w:rsidP="003E45FD">
                            <w:pPr>
                              <w:numPr>
                                <w:ilvl w:val="0"/>
                                <w:numId w:val="24"/>
                              </w:numPr>
                              <w:spacing w:after="120"/>
                              <w:contextualSpacing/>
                            </w:pPr>
                            <w:r w:rsidRPr="00147709">
                              <w:t>How did cooperation through the DFAT-HRG partnership add value to individual NGO interventions? (CHS</w:t>
                            </w:r>
                            <w:r>
                              <w:t xml:space="preserve"> </w:t>
                            </w:r>
                            <w:r w:rsidRPr="00147709">
                              <w:t>6)</w:t>
                            </w:r>
                          </w:p>
                          <w:p w14:paraId="1212B17C" w14:textId="77777777" w:rsidR="001C5460" w:rsidRDefault="001C5460" w:rsidP="003E45FD">
                            <w:pPr>
                              <w:numPr>
                                <w:ilvl w:val="0"/>
                                <w:numId w:val="24"/>
                              </w:numPr>
                              <w:spacing w:after="120"/>
                              <w:contextualSpacing/>
                            </w:pPr>
                            <w:r w:rsidRPr="00147709">
                              <w:t>How effective was the coordination of the contract management, MEL and reporting of the response? (CHS</w:t>
                            </w:r>
                            <w:r>
                              <w:t xml:space="preserve"> </w:t>
                            </w:r>
                            <w:r w:rsidRPr="00147709">
                              <w:t>6)</w:t>
                            </w:r>
                          </w:p>
                          <w:p w14:paraId="722F97C5" w14:textId="77777777" w:rsidR="001C5460" w:rsidRPr="00147709" w:rsidRDefault="001C5460" w:rsidP="003E45FD">
                            <w:pPr>
                              <w:numPr>
                                <w:ilvl w:val="0"/>
                                <w:numId w:val="24"/>
                              </w:numPr>
                              <w:spacing w:after="120"/>
                              <w:contextualSpacing/>
                            </w:pPr>
                            <w:r>
                              <w:t>How effective was coordination at the field level? (CHS 6)</w:t>
                            </w:r>
                          </w:p>
                          <w:p w14:paraId="26DE4379" w14:textId="77777777" w:rsidR="001C5460" w:rsidRPr="00147709" w:rsidRDefault="001C5460" w:rsidP="003E45FD">
                            <w:pPr>
                              <w:numPr>
                                <w:ilvl w:val="0"/>
                                <w:numId w:val="24"/>
                              </w:numPr>
                              <w:spacing w:after="120"/>
                              <w:contextualSpacing/>
                            </w:pPr>
                            <w:r w:rsidRPr="00147709">
                              <w:t>Were there any significant gaps or duplications evidenced at response locations? (CHS</w:t>
                            </w:r>
                            <w:r>
                              <w:t xml:space="preserve"> </w:t>
                            </w:r>
                            <w:r w:rsidRPr="00147709">
                              <w:t xml:space="preserve">6) </w:t>
                            </w:r>
                          </w:p>
                          <w:p w14:paraId="37CF49CE" w14:textId="77777777" w:rsidR="001C5460" w:rsidRDefault="001C5460" w:rsidP="003E4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4.3pt;margin-top:2.9pt;width:445.8pt;height:53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" fillcolor="#a3c4ff" strokecolor="#4a7ebb" strokeweight="1.5pt">
                <v:fill color2="#e5eeff" rotate="t" angle="180" colors="0 #a3c4ff;22938f #bfd5ff;1 #e5eeff" focus="100%" type="gradient"/>
                <v:shadow on="t" color="black" opacity="24903f" origin=",.5" offset="0,.55556mm"/>
                <v:textbox>
                  <w:txbxContent>
                    <w:p w14:paraId="13954910" w14:textId="77777777" w:rsidR="001C5460" w:rsidRPr="00147709" w:rsidRDefault="001C5460" w:rsidP="003E45FD">
                      <w:pPr>
                        <w:spacing w:after="120"/>
                        <w:contextualSpacing/>
                        <w:rPr>
                          <w:b/>
                        </w:rPr>
                      </w:pPr>
                      <w:r w:rsidRPr="00147709">
                        <w:rPr>
                          <w:b/>
                        </w:rPr>
                        <w:t>JOINT RESPONSE EVALUATION QUESTIONS:</w:t>
                      </w:r>
                    </w:p>
                    <w:p w14:paraId="6120B1C5" w14:textId="77777777" w:rsidR="001C5460" w:rsidRPr="00147709" w:rsidRDefault="001C5460" w:rsidP="003E45FD">
                      <w:pPr>
                        <w:spacing w:after="120"/>
                        <w:contextualSpacing/>
                        <w:rPr>
                          <w:b/>
                        </w:rPr>
                      </w:pPr>
                    </w:p>
                    <w:p w14:paraId="3E50ACEE" w14:textId="77777777" w:rsidR="001C5460" w:rsidRPr="00147709" w:rsidRDefault="001C5460" w:rsidP="003E45FD">
                      <w:pPr>
                        <w:spacing w:after="120"/>
                        <w:contextualSpacing/>
                        <w:rPr>
                          <w:b/>
                        </w:rPr>
                      </w:pPr>
                      <w:r w:rsidRPr="00147709">
                        <w:rPr>
                          <w:b/>
                        </w:rPr>
                        <w:t>How did the response</w:t>
                      </w:r>
                      <w:r>
                        <w:rPr>
                          <w:b/>
                        </w:rPr>
                        <w:t xml:space="preserve"> approach</w:t>
                      </w:r>
                      <w:r w:rsidRPr="00147709">
                        <w:rPr>
                          <w:b/>
                        </w:rPr>
                        <w:t xml:space="preserve"> support localisation?</w:t>
                      </w:r>
                    </w:p>
                    <w:p w14:paraId="3807028C" w14:textId="77777777" w:rsidR="001C5460" w:rsidRPr="00147709" w:rsidRDefault="001C5460" w:rsidP="003E45FD">
                      <w:pPr>
                        <w:numPr>
                          <w:ilvl w:val="0"/>
                          <w:numId w:val="24"/>
                        </w:numPr>
                        <w:spacing w:after="120"/>
                        <w:contextualSpacing/>
                      </w:pPr>
                      <w:r w:rsidRPr="00147709">
                        <w:t>To what extent have responses supported those affected by disasters to rebuild their lives? (CHS3)</w:t>
                      </w:r>
                    </w:p>
                    <w:p w14:paraId="7FF997C3" w14:textId="77777777" w:rsidR="001C5460" w:rsidRPr="00147709" w:rsidRDefault="001C5460" w:rsidP="003E45FD">
                      <w:pPr>
                        <w:numPr>
                          <w:ilvl w:val="0"/>
                          <w:numId w:val="24"/>
                        </w:numPr>
                        <w:spacing w:after="120"/>
                        <w:contextualSpacing/>
                      </w:pPr>
                      <w:r w:rsidRPr="00147709">
                        <w:t>To what extent did approaches support local leadership and not undermine local efforts? (CHS3)</w:t>
                      </w:r>
                    </w:p>
                    <w:p w14:paraId="25400B0D" w14:textId="77777777" w:rsidR="001C5460" w:rsidRPr="00147709" w:rsidRDefault="001C5460" w:rsidP="003E45FD">
                      <w:pPr>
                        <w:numPr>
                          <w:ilvl w:val="0"/>
                          <w:numId w:val="24"/>
                        </w:numPr>
                        <w:spacing w:after="120"/>
                        <w:contextualSpacing/>
                      </w:pPr>
                      <w:r w:rsidRPr="00147709">
                        <w:t>How well did responses support and align with local government efforts and structures (local, provincial and national)? (CHS6)</w:t>
                      </w:r>
                    </w:p>
                    <w:p w14:paraId="24F4CB44" w14:textId="77777777" w:rsidR="001C5460" w:rsidRPr="00147709" w:rsidRDefault="001C5460" w:rsidP="003E45FD">
                      <w:pPr>
                        <w:numPr>
                          <w:ilvl w:val="0"/>
                          <w:numId w:val="24"/>
                        </w:numPr>
                        <w:spacing w:after="120"/>
                        <w:contextualSpacing/>
                      </w:pPr>
                      <w:r w:rsidRPr="00147709">
                        <w:t>How well did disaster management capacity building support staff and volunteers do their job effectively? (CHS 8)</w:t>
                      </w:r>
                    </w:p>
                    <w:p w14:paraId="5E26A580" w14:textId="77777777" w:rsidR="001C5460" w:rsidRPr="00147709" w:rsidRDefault="001C5460" w:rsidP="003E45FD">
                      <w:pPr>
                        <w:spacing w:after="120"/>
                        <w:ind w:left="360"/>
                        <w:contextualSpacing/>
                      </w:pPr>
                    </w:p>
                    <w:p w14:paraId="0BA80961" w14:textId="77777777" w:rsidR="001C5460" w:rsidRPr="00147709" w:rsidRDefault="001C5460" w:rsidP="003E45FD">
                      <w:pPr>
                        <w:spacing w:after="120"/>
                        <w:contextualSpacing/>
                        <w:rPr>
                          <w:b/>
                        </w:rPr>
                      </w:pPr>
                      <w:r w:rsidRPr="00147709">
                        <w:rPr>
                          <w:b/>
                        </w:rPr>
                        <w:t xml:space="preserve">To what extent did </w:t>
                      </w:r>
                      <w:r>
                        <w:rPr>
                          <w:b/>
                        </w:rPr>
                        <w:t xml:space="preserve">the </w:t>
                      </w:r>
                      <w:r w:rsidRPr="00511EF0">
                        <w:rPr>
                          <w:b/>
                        </w:rPr>
                        <w:t>Partnership</w:t>
                      </w:r>
                      <w:r>
                        <w:rPr>
                          <w:b/>
                        </w:rPr>
                        <w:t xml:space="preserve"> </w:t>
                      </w:r>
                      <w:r w:rsidRPr="00511EF0">
                        <w:rPr>
                          <w:b/>
                        </w:rPr>
                        <w:t>deliver</w:t>
                      </w:r>
                      <w:r w:rsidRPr="00147709">
                        <w:rPr>
                          <w:b/>
                        </w:rPr>
                        <w:t xml:space="preserve"> quality and accountable responses?</w:t>
                      </w:r>
                    </w:p>
                    <w:p w14:paraId="487C749A" w14:textId="77777777" w:rsidR="001C5460" w:rsidRPr="00147709" w:rsidRDefault="001C5460" w:rsidP="003E45FD">
                      <w:pPr>
                        <w:numPr>
                          <w:ilvl w:val="0"/>
                          <w:numId w:val="24"/>
                        </w:numPr>
                        <w:spacing w:after="120"/>
                        <w:contextualSpacing/>
                      </w:pPr>
                      <w:r w:rsidRPr="00147709">
                        <w:t>How timely did was the disbursement of funds, and how quickly did assistance reach affected communities (CHS 2)</w:t>
                      </w:r>
                    </w:p>
                    <w:p w14:paraId="699211C8" w14:textId="77777777" w:rsidR="001C5460" w:rsidRPr="00147709" w:rsidRDefault="001C5460" w:rsidP="003E45FD">
                      <w:pPr>
                        <w:numPr>
                          <w:ilvl w:val="0"/>
                          <w:numId w:val="24"/>
                        </w:numPr>
                        <w:spacing w:after="120"/>
                        <w:contextualSpacing/>
                      </w:pPr>
                      <w:r w:rsidRPr="00147709">
                        <w:t>To what extent did interventions respond to and meet identified needs of the affected population (men, women, boys and girls)? (CHS 1)</w:t>
                      </w:r>
                    </w:p>
                    <w:p w14:paraId="23C11DB2" w14:textId="77777777" w:rsidR="001C5460" w:rsidRPr="00147709" w:rsidRDefault="001C5460" w:rsidP="003E45FD">
                      <w:pPr>
                        <w:numPr>
                          <w:ilvl w:val="0"/>
                          <w:numId w:val="24"/>
                        </w:numPr>
                        <w:spacing w:after="120"/>
                        <w:contextualSpacing/>
                      </w:pPr>
                      <w:r w:rsidRPr="00147709">
                        <w:t>To what extent did women, men, children and people with disabilit</w:t>
                      </w:r>
                      <w:r>
                        <w:t>ies</w:t>
                      </w:r>
                      <w:r w:rsidRPr="00147709">
                        <w:t xml:space="preserve"> participate in </w:t>
                      </w:r>
                      <w:r>
                        <w:t xml:space="preserve">and lead </w:t>
                      </w:r>
                      <w:r w:rsidRPr="00147709">
                        <w:t>decision making? (CHS</w:t>
                      </w:r>
                      <w:r>
                        <w:t xml:space="preserve"> </w:t>
                      </w:r>
                      <w:r w:rsidRPr="00147709">
                        <w:t>4)</w:t>
                      </w:r>
                    </w:p>
                    <w:p w14:paraId="429CE8B1" w14:textId="77777777" w:rsidR="001C5460" w:rsidRPr="00147709" w:rsidRDefault="001C5460" w:rsidP="003E45FD">
                      <w:pPr>
                        <w:numPr>
                          <w:ilvl w:val="0"/>
                          <w:numId w:val="24"/>
                        </w:numPr>
                        <w:spacing w:after="120"/>
                        <w:contextualSpacing/>
                      </w:pPr>
                      <w:r w:rsidRPr="00147709">
                        <w:t xml:space="preserve">How well were gender, disability and child protection needs met in responses? </w:t>
                      </w:r>
                    </w:p>
                    <w:p w14:paraId="18979C87" w14:textId="77777777" w:rsidR="001C5460" w:rsidRPr="00147709" w:rsidRDefault="001C5460" w:rsidP="003E45FD">
                      <w:pPr>
                        <w:numPr>
                          <w:ilvl w:val="0"/>
                          <w:numId w:val="24"/>
                        </w:numPr>
                        <w:spacing w:after="120"/>
                        <w:contextualSpacing/>
                      </w:pPr>
                      <w:r w:rsidRPr="00147709">
                        <w:t>Did communities and people affected by crisis have access to safe and responsive mechanisms to handle complaints? (CHS 5)</w:t>
                      </w:r>
                    </w:p>
                    <w:p w14:paraId="0B5CB2CD" w14:textId="77777777" w:rsidR="001C5460" w:rsidRDefault="001C5460" w:rsidP="003E45FD">
                      <w:pPr>
                        <w:numPr>
                          <w:ilvl w:val="0"/>
                          <w:numId w:val="24"/>
                        </w:numPr>
                        <w:spacing w:after="120"/>
                        <w:contextualSpacing/>
                      </w:pPr>
                      <w:r w:rsidRPr="00147709">
                        <w:t>How well did relief responses link with longer-term processes of recovery and development?</w:t>
                      </w:r>
                      <w:r>
                        <w:t xml:space="preserve"> Did this occur early on in responses?</w:t>
                      </w:r>
                    </w:p>
                    <w:p w14:paraId="7E440815" w14:textId="77777777" w:rsidR="001C5460" w:rsidRPr="00147709" w:rsidRDefault="001C5460" w:rsidP="003E45FD">
                      <w:pPr>
                        <w:numPr>
                          <w:ilvl w:val="0"/>
                          <w:numId w:val="24"/>
                        </w:numPr>
                        <w:spacing w:after="120"/>
                        <w:contextualSpacing/>
                      </w:pPr>
                      <w:r>
                        <w:t>Were partners able to make good decisions on limited initial rapid assessment?</w:t>
                      </w:r>
                    </w:p>
                    <w:p w14:paraId="12F714E1" w14:textId="77777777" w:rsidR="001C5460" w:rsidRPr="00147709" w:rsidRDefault="001C5460" w:rsidP="003E45FD">
                      <w:pPr>
                        <w:numPr>
                          <w:ilvl w:val="0"/>
                          <w:numId w:val="24"/>
                        </w:numPr>
                        <w:spacing w:after="120"/>
                        <w:contextualSpacing/>
                      </w:pPr>
                      <w:r w:rsidRPr="00147709">
                        <w:t>How efficiently and ethically were resources shared and managed? (CHS 9)</w:t>
                      </w:r>
                    </w:p>
                    <w:p w14:paraId="2BE8A9F8" w14:textId="77777777" w:rsidR="001C5460" w:rsidRPr="00147709" w:rsidRDefault="001C5460" w:rsidP="003E45FD">
                      <w:pPr>
                        <w:spacing w:after="120"/>
                        <w:contextualSpacing/>
                        <w:rPr>
                          <w:b/>
                        </w:rPr>
                      </w:pPr>
                    </w:p>
                    <w:p w14:paraId="17CD6BB5" w14:textId="77777777" w:rsidR="001C5460" w:rsidRPr="00147709" w:rsidRDefault="001C5460" w:rsidP="003E45FD">
                      <w:pPr>
                        <w:spacing w:after="120"/>
                        <w:contextualSpacing/>
                        <w:rPr>
                          <w:b/>
                        </w:rPr>
                      </w:pPr>
                      <w:r w:rsidRPr="00147709">
                        <w:rPr>
                          <w:b/>
                        </w:rPr>
                        <w:t xml:space="preserve">How coordinated was </w:t>
                      </w:r>
                      <w:r w:rsidRPr="00511EF0">
                        <w:rPr>
                          <w:b/>
                        </w:rPr>
                        <w:t xml:space="preserve">the </w:t>
                      </w:r>
                      <w:r w:rsidRPr="00147709">
                        <w:rPr>
                          <w:b/>
                        </w:rPr>
                        <w:t>response?</w:t>
                      </w:r>
                    </w:p>
                    <w:p w14:paraId="3EA9C5B6" w14:textId="77777777" w:rsidR="001C5460" w:rsidRPr="00147709" w:rsidRDefault="001C5460" w:rsidP="003E45FD">
                      <w:pPr>
                        <w:numPr>
                          <w:ilvl w:val="0"/>
                          <w:numId w:val="24"/>
                        </w:numPr>
                        <w:spacing w:after="120"/>
                        <w:contextualSpacing/>
                      </w:pPr>
                      <w:r w:rsidRPr="00147709">
                        <w:t>How did cooperation through the DFAT-HRG partnership add value to individual NGO interventions? (CHS</w:t>
                      </w:r>
                      <w:r>
                        <w:t xml:space="preserve"> </w:t>
                      </w:r>
                      <w:r w:rsidRPr="00147709">
                        <w:t>6)</w:t>
                      </w:r>
                    </w:p>
                    <w:p w14:paraId="1212B17C" w14:textId="77777777" w:rsidR="001C5460" w:rsidRDefault="001C5460" w:rsidP="003E45FD">
                      <w:pPr>
                        <w:numPr>
                          <w:ilvl w:val="0"/>
                          <w:numId w:val="24"/>
                        </w:numPr>
                        <w:spacing w:after="120"/>
                        <w:contextualSpacing/>
                      </w:pPr>
                      <w:r w:rsidRPr="00147709">
                        <w:t>How effective was the coordination of the contract management, MEL and reporting of the response? (CHS</w:t>
                      </w:r>
                      <w:r>
                        <w:t xml:space="preserve"> </w:t>
                      </w:r>
                      <w:r w:rsidRPr="00147709">
                        <w:t>6)</w:t>
                      </w:r>
                    </w:p>
                    <w:p w14:paraId="722F97C5" w14:textId="77777777" w:rsidR="001C5460" w:rsidRPr="00147709" w:rsidRDefault="001C5460" w:rsidP="003E45FD">
                      <w:pPr>
                        <w:numPr>
                          <w:ilvl w:val="0"/>
                          <w:numId w:val="24"/>
                        </w:numPr>
                        <w:spacing w:after="120"/>
                        <w:contextualSpacing/>
                      </w:pPr>
                      <w:r>
                        <w:t>How effective was coordination at the field level? (CHS 6)</w:t>
                      </w:r>
                    </w:p>
                    <w:p w14:paraId="26DE4379" w14:textId="77777777" w:rsidR="001C5460" w:rsidRPr="00147709" w:rsidRDefault="001C5460" w:rsidP="003E45FD">
                      <w:pPr>
                        <w:numPr>
                          <w:ilvl w:val="0"/>
                          <w:numId w:val="24"/>
                        </w:numPr>
                        <w:spacing w:after="120"/>
                        <w:contextualSpacing/>
                      </w:pPr>
                      <w:r w:rsidRPr="00147709">
                        <w:t>Were there any significant gaps or duplications evidenced at response locations? (CHS</w:t>
                      </w:r>
                      <w:r>
                        <w:t xml:space="preserve"> </w:t>
                      </w:r>
                      <w:r w:rsidRPr="00147709">
                        <w:t xml:space="preserve">6) </w:t>
                      </w:r>
                    </w:p>
                    <w:p w14:paraId="37CF49CE" w14:textId="77777777" w:rsidR="001C5460" w:rsidRDefault="001C5460" w:rsidP="003E45FD"/>
                  </w:txbxContent>
                </v:textbox>
                <w10:wrap type="square"/>
              </v:shape>
            </w:pict>
          </mc:Fallback>
        </mc:AlternateContent>
      </w:r>
    </w:p>
    <w:p w14:paraId="7416931D" w14:textId="77777777" w:rsidR="00554A4A" w:rsidRPr="00554A4A" w:rsidRDefault="003E45FD" w:rsidP="00554A4A">
      <w:pPr>
        <w:pStyle w:val="Heading4"/>
        <w:spacing w:after="240"/>
        <w:jc w:val="both"/>
      </w:pPr>
      <w:r w:rsidRPr="00511EF0">
        <w:t>Outcome Area 2: Building local humanitarian capability in the Pacific</w:t>
      </w:r>
      <w:r w:rsidR="00554A4A" w:rsidRPr="00554A4A">
        <w:t xml:space="preserve"> and strengthening disaster resilience of Pacific communities</w:t>
      </w:r>
    </w:p>
    <w:p w14:paraId="01A6BD53" w14:textId="77777777" w:rsidR="003E45FD" w:rsidRDefault="003E45FD" w:rsidP="003E45FD">
      <w:pPr>
        <w:spacing w:after="240"/>
        <w:jc w:val="both"/>
        <w:rPr>
          <w:rFonts w:ascii="Calibri" w:eastAsia="Calibri" w:hAnsi="Calibri" w:cs="Times New Roman"/>
        </w:rPr>
      </w:pPr>
      <w:r w:rsidRPr="004C38B2">
        <w:rPr>
          <w:rFonts w:ascii="Calibri" w:eastAsia="Calibri" w:hAnsi="Calibri" w:cs="Times New Roman"/>
        </w:rPr>
        <w:t xml:space="preserve">Partners selected to deliver activities in the Pacific will participate with DFAT in a 'design-and-implement' inception </w:t>
      </w:r>
      <w:r w:rsidRPr="00511EF0">
        <w:rPr>
          <w:rFonts w:ascii="Calibri" w:eastAsia="Calibri" w:hAnsi="Calibri" w:cs="Times New Roman"/>
        </w:rPr>
        <w:t>phase</w:t>
      </w:r>
      <w:r w:rsidRPr="004C38B2">
        <w:rPr>
          <w:rFonts w:ascii="Calibri" w:eastAsia="Calibri" w:hAnsi="Calibri" w:cs="Times New Roman"/>
        </w:rPr>
        <w:t xml:space="preserve">. The MEL frameworks for these initiatives will therefore be developed by the partners involved. It is expected that partners integrate the </w:t>
      </w:r>
      <w:r w:rsidR="00511EF0">
        <w:rPr>
          <w:rFonts w:ascii="Calibri" w:eastAsia="Calibri" w:hAnsi="Calibri" w:cs="Times New Roman"/>
        </w:rPr>
        <w:t>five</w:t>
      </w:r>
      <w:r w:rsidRPr="004C38B2">
        <w:rPr>
          <w:rFonts w:ascii="Calibri" w:eastAsia="Calibri" w:hAnsi="Calibri" w:cs="Times New Roman"/>
        </w:rPr>
        <w:t xml:space="preserve"> medium-term outcomes</w:t>
      </w:r>
      <w:r w:rsidRPr="004C38B2">
        <w:rPr>
          <w:rFonts w:ascii="Calibri" w:eastAsia="Calibri" w:hAnsi="Calibri" w:cs="Times New Roman"/>
          <w:sz w:val="16"/>
          <w:szCs w:val="16"/>
        </w:rPr>
        <w:t xml:space="preserve"> </w:t>
      </w:r>
      <w:r w:rsidRPr="004C38B2">
        <w:rPr>
          <w:rFonts w:ascii="Calibri" w:eastAsia="Calibri" w:hAnsi="Calibri" w:cs="Times New Roman"/>
        </w:rPr>
        <w:t xml:space="preserve">articulated in the </w:t>
      </w:r>
      <w:r w:rsidR="00554A4A">
        <w:rPr>
          <w:rFonts w:ascii="Calibri" w:eastAsia="Calibri" w:hAnsi="Calibri" w:cs="Times New Roman"/>
        </w:rPr>
        <w:t xml:space="preserve">draft </w:t>
      </w:r>
      <w:r w:rsidRPr="004C38B2">
        <w:rPr>
          <w:rFonts w:ascii="Calibri" w:eastAsia="Calibri" w:hAnsi="Calibri" w:cs="Times New Roman"/>
        </w:rPr>
        <w:t xml:space="preserve">Theory of Change for </w:t>
      </w:r>
      <w:r>
        <w:rPr>
          <w:rFonts w:ascii="Calibri" w:eastAsia="Calibri" w:hAnsi="Calibri" w:cs="Times New Roman"/>
        </w:rPr>
        <w:t>outcome area</w:t>
      </w:r>
      <w:r w:rsidRPr="004C38B2">
        <w:rPr>
          <w:rFonts w:ascii="Calibri" w:eastAsia="Calibri" w:hAnsi="Calibri" w:cs="Times New Roman"/>
        </w:rPr>
        <w:t xml:space="preserve"> 2 into their MEL frameworks. </w:t>
      </w:r>
    </w:p>
    <w:p w14:paraId="15B87C01" w14:textId="77777777" w:rsidR="003E45FD" w:rsidRPr="004C38B2" w:rsidRDefault="003E45FD" w:rsidP="00511EF0">
      <w:pPr>
        <w:keepNext/>
        <w:keepLines/>
        <w:widowControl w:val="0"/>
        <w:spacing w:after="240"/>
        <w:jc w:val="both"/>
        <w:rPr>
          <w:rFonts w:ascii="Calibri" w:eastAsia="Calibri" w:hAnsi="Calibri" w:cs="Times New Roman"/>
          <w:b/>
          <w:u w:val="single"/>
        </w:rPr>
      </w:pPr>
      <w:r w:rsidRPr="004C38B2">
        <w:rPr>
          <w:rFonts w:ascii="Calibri" w:eastAsia="Calibri" w:hAnsi="Calibri" w:cs="Times New Roman"/>
          <w:b/>
          <w:u w:val="single"/>
        </w:rPr>
        <w:lastRenderedPageBreak/>
        <w:t xml:space="preserve">Evaluation </w:t>
      </w:r>
    </w:p>
    <w:p w14:paraId="6179DD98" w14:textId="00865652" w:rsidR="003E45FD" w:rsidRPr="004C38B2" w:rsidRDefault="003E45FD" w:rsidP="00511EF0">
      <w:pPr>
        <w:keepNext/>
        <w:keepLines/>
        <w:widowControl w:val="0"/>
        <w:spacing w:after="240"/>
        <w:jc w:val="both"/>
        <w:rPr>
          <w:rFonts w:ascii="Calibri" w:eastAsia="Calibri" w:hAnsi="Calibri" w:cs="Times New Roman"/>
        </w:rPr>
      </w:pPr>
      <w:r w:rsidRPr="000B4674">
        <w:rPr>
          <w:rFonts w:ascii="Calibri" w:eastAsia="Calibri" w:hAnsi="Calibri" w:cs="Times New Roman"/>
          <w:b/>
          <w:noProof/>
          <w:lang w:eastAsia="en-AU"/>
        </w:rPr>
        <mc:AlternateContent>
          <mc:Choice Requires="wps">
            <w:drawing>
              <wp:anchor distT="0" distB="0" distL="114300" distR="114300" simplePos="0" relativeHeight="251692032" behindDoc="0" locked="0" layoutInCell="1" allowOverlap="1" wp14:anchorId="196B725C" wp14:editId="03457A46">
                <wp:simplePos x="0" y="0"/>
                <wp:positionH relativeFrom="column">
                  <wp:posOffset>-54610</wp:posOffset>
                </wp:positionH>
                <wp:positionV relativeFrom="paragraph">
                  <wp:posOffset>2245995</wp:posOffset>
                </wp:positionV>
                <wp:extent cx="5888355" cy="5940425"/>
                <wp:effectExtent l="57150" t="38100" r="74295" b="98425"/>
                <wp:wrapSquare wrapText="bothSides"/>
                <wp:docPr id="18" name="Text Box 18"/>
                <wp:cNvGraphicFramePr/>
                <a:graphic xmlns:a="http://schemas.openxmlformats.org/drawingml/2006/main">
                  <a:graphicData uri="http://schemas.microsoft.com/office/word/2010/wordprocessingShape">
                    <wps:wsp>
                      <wps:cNvSpPr txBox="1"/>
                      <wps:spPr>
                        <a:xfrm>
                          <a:off x="0" y="0"/>
                          <a:ext cx="5888355" cy="59404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8EF882A" w14:textId="7279BE03" w:rsidR="001C5460" w:rsidRPr="00E567C0" w:rsidRDefault="001C5460" w:rsidP="00737D62">
                            <w:pPr>
                              <w:pStyle w:val="Heading4"/>
                              <w:spacing w:after="240"/>
                              <w:jc w:val="both"/>
                              <w:rPr>
                                <w:rFonts w:eastAsiaTheme="minorEastAsia" w:cstheme="minorBidi"/>
                                <w:b/>
                                <w:i w:val="0"/>
                                <w:iCs w:val="0"/>
                                <w:color w:val="auto"/>
                              </w:rPr>
                            </w:pPr>
                            <w:r w:rsidRPr="00E567C0">
                              <w:rPr>
                                <w:rFonts w:eastAsiaTheme="minorEastAsia" w:cstheme="minorBidi"/>
                                <w:b/>
                                <w:i w:val="0"/>
                                <w:iCs w:val="0"/>
                                <w:color w:val="auto"/>
                              </w:rPr>
                              <w:t>BUILDING LOCAL HUMANITARIAN CAPABILITY AND STRENGTHENING DISASTER RESILIENCE OF PACIFIC COMMUNITIES - INITIATIVE EVALUATION QUESTIONS:</w:t>
                            </w:r>
                          </w:p>
                          <w:p w14:paraId="5F0206F7" w14:textId="77777777" w:rsidR="001C5460" w:rsidRPr="00147709" w:rsidRDefault="001C5460" w:rsidP="003E45FD">
                            <w:pPr>
                              <w:spacing w:after="120"/>
                              <w:contextualSpacing/>
                              <w:rPr>
                                <w:b/>
                              </w:rPr>
                            </w:pPr>
                            <w:r w:rsidRPr="00147709">
                              <w:rPr>
                                <w:b/>
                              </w:rPr>
                              <w:t>Localisation</w:t>
                            </w:r>
                          </w:p>
                          <w:p w14:paraId="6BD20F17" w14:textId="77777777" w:rsidR="001C5460" w:rsidRPr="00147709" w:rsidRDefault="001C5460" w:rsidP="003E45FD">
                            <w:pPr>
                              <w:numPr>
                                <w:ilvl w:val="0"/>
                                <w:numId w:val="24"/>
                              </w:numPr>
                              <w:spacing w:after="120"/>
                              <w:contextualSpacing/>
                            </w:pPr>
                            <w:r w:rsidRPr="00147709">
                              <w:t xml:space="preserve">How have initiatives supported local communities to anticipate, prepare for and reduce risks from natural </w:t>
                            </w:r>
                            <w:r>
                              <w:t>hazards</w:t>
                            </w:r>
                            <w:r w:rsidRPr="00147709">
                              <w:t>? (knowledge, skills, connections and structures)</w:t>
                            </w:r>
                          </w:p>
                          <w:p w14:paraId="7499CBA1" w14:textId="77777777" w:rsidR="001C5460" w:rsidRPr="00147709" w:rsidRDefault="001C5460" w:rsidP="003E45FD">
                            <w:pPr>
                              <w:numPr>
                                <w:ilvl w:val="0"/>
                                <w:numId w:val="24"/>
                              </w:numPr>
                              <w:spacing w:after="120"/>
                              <w:contextualSpacing/>
                            </w:pPr>
                            <w:r w:rsidRPr="00147709">
                              <w:t>How have initiatives supported local authorities to implement inclusive DRR and resilience activities? (knowledge, skills, connections and structures)</w:t>
                            </w:r>
                          </w:p>
                          <w:p w14:paraId="4B25DD71" w14:textId="77777777" w:rsidR="001C5460" w:rsidRPr="00147709" w:rsidRDefault="001C5460" w:rsidP="003E45FD">
                            <w:pPr>
                              <w:numPr>
                                <w:ilvl w:val="0"/>
                                <w:numId w:val="24"/>
                              </w:numPr>
                              <w:spacing w:after="120"/>
                              <w:contextualSpacing/>
                            </w:pPr>
                            <w:r w:rsidRPr="00147709">
                              <w:t xml:space="preserve">To what extent did approaches support local leadership and not undermine local efforts? </w:t>
                            </w:r>
                          </w:p>
                          <w:p w14:paraId="06AD1EEE" w14:textId="77777777" w:rsidR="001C5460" w:rsidRPr="00147709" w:rsidRDefault="001C5460" w:rsidP="003E45FD"/>
                          <w:p w14:paraId="3A8852FF" w14:textId="77777777" w:rsidR="001C5460" w:rsidRPr="00147709" w:rsidRDefault="001C5460" w:rsidP="003E45FD">
                            <w:pPr>
                              <w:rPr>
                                <w:b/>
                              </w:rPr>
                            </w:pPr>
                            <w:r w:rsidRPr="00147709">
                              <w:rPr>
                                <w:b/>
                              </w:rPr>
                              <w:t>Inclusion</w:t>
                            </w:r>
                          </w:p>
                          <w:p w14:paraId="1AE4E5DE" w14:textId="77777777" w:rsidR="001C5460" w:rsidRPr="00147709" w:rsidRDefault="001C5460" w:rsidP="003E45FD">
                            <w:pPr>
                              <w:numPr>
                                <w:ilvl w:val="0"/>
                                <w:numId w:val="24"/>
                              </w:numPr>
                              <w:spacing w:after="120"/>
                              <w:contextualSpacing/>
                            </w:pPr>
                            <w:r w:rsidRPr="00147709">
                              <w:t xml:space="preserve">How well have partners </w:t>
                            </w:r>
                            <w:r>
                              <w:t>supported</w:t>
                            </w:r>
                            <w:r w:rsidRPr="00147709">
                              <w:t xml:space="preserve"> the inclusion </w:t>
                            </w:r>
                            <w:r>
                              <w:t xml:space="preserve">and leadership </w:t>
                            </w:r>
                            <w:r w:rsidRPr="00147709">
                              <w:t>of women and people with disabilit</w:t>
                            </w:r>
                            <w:r>
                              <w:t>ies</w:t>
                            </w:r>
                            <w:r w:rsidRPr="00147709">
                              <w:t xml:space="preserve"> in their own staffing, volunteer and community structures that support DRR/resilience initiatives? </w:t>
                            </w:r>
                          </w:p>
                          <w:p w14:paraId="5A533855" w14:textId="77777777" w:rsidR="001C5460" w:rsidRPr="00147709" w:rsidRDefault="001C5460" w:rsidP="003E45FD">
                            <w:pPr>
                              <w:numPr>
                                <w:ilvl w:val="0"/>
                                <w:numId w:val="24"/>
                              </w:numPr>
                              <w:spacing w:after="120"/>
                              <w:contextualSpacing/>
                            </w:pPr>
                            <w:r w:rsidRPr="00147709">
                              <w:t>What evidence is there that women and people with disabilit</w:t>
                            </w:r>
                            <w:r>
                              <w:t>ies</w:t>
                            </w:r>
                            <w:r w:rsidRPr="00147709">
                              <w:t xml:space="preserve"> are leading initiatives and playing key operational, management and decision making roles in initiatives?</w:t>
                            </w:r>
                          </w:p>
                          <w:p w14:paraId="45A5080B" w14:textId="77777777" w:rsidR="001C5460" w:rsidRPr="00147709" w:rsidRDefault="001C5460" w:rsidP="003E45FD">
                            <w:pPr>
                              <w:numPr>
                                <w:ilvl w:val="0"/>
                                <w:numId w:val="24"/>
                              </w:numPr>
                              <w:spacing w:after="120"/>
                              <w:contextualSpacing/>
                            </w:pPr>
                            <w:r w:rsidRPr="00147709">
                              <w:t>Are women and people with disabilit</w:t>
                            </w:r>
                            <w:r>
                              <w:t>ies</w:t>
                            </w:r>
                            <w:r w:rsidRPr="00147709">
                              <w:t xml:space="preserve"> benefiting </w:t>
                            </w:r>
                            <w:r>
                              <w:t>equitably</w:t>
                            </w:r>
                            <w:r w:rsidRPr="00147709">
                              <w:t xml:space="preserve"> from initiatives?</w:t>
                            </w:r>
                          </w:p>
                          <w:p w14:paraId="67326ECD" w14:textId="77777777" w:rsidR="001C5460" w:rsidRPr="00147709" w:rsidRDefault="001C5460" w:rsidP="003E45FD">
                            <w:pPr>
                              <w:numPr>
                                <w:ilvl w:val="0"/>
                                <w:numId w:val="24"/>
                              </w:numPr>
                              <w:spacing w:after="120"/>
                              <w:contextualSpacing/>
                            </w:pPr>
                            <w:r w:rsidRPr="00147709">
                              <w:t xml:space="preserve">Did different groups have access to safe and responsive mechanisms to handle complaints? </w:t>
                            </w:r>
                            <w:r w:rsidRPr="00147709">
                              <w:br/>
                            </w:r>
                          </w:p>
                          <w:p w14:paraId="14D1A264" w14:textId="77777777" w:rsidR="001C5460" w:rsidRPr="00147709" w:rsidRDefault="001C5460" w:rsidP="003E45FD">
                            <w:pPr>
                              <w:rPr>
                                <w:b/>
                              </w:rPr>
                            </w:pPr>
                            <w:r w:rsidRPr="00147709">
                              <w:rPr>
                                <w:b/>
                              </w:rPr>
                              <w:t>Coordination</w:t>
                            </w:r>
                          </w:p>
                          <w:p w14:paraId="494F89BB" w14:textId="77777777" w:rsidR="001C5460" w:rsidRPr="00147709" w:rsidRDefault="001C5460" w:rsidP="003E45FD">
                            <w:pPr>
                              <w:numPr>
                                <w:ilvl w:val="0"/>
                                <w:numId w:val="24"/>
                              </w:numPr>
                              <w:spacing w:after="120"/>
                              <w:contextualSpacing/>
                            </w:pPr>
                            <w:r w:rsidRPr="00147709">
                              <w:t>How well have agencies collaborated to design and implement initiatives (including shar</w:t>
                            </w:r>
                            <w:r>
                              <w:t>ing</w:t>
                            </w:r>
                            <w:r w:rsidRPr="00147709">
                              <w:t xml:space="preserve"> and manag</w:t>
                            </w:r>
                            <w:r>
                              <w:t>ing</w:t>
                            </w:r>
                            <w:r w:rsidRPr="00147709">
                              <w:t xml:space="preserve"> resources)?</w:t>
                            </w:r>
                          </w:p>
                          <w:p w14:paraId="0B6395A4" w14:textId="77777777" w:rsidR="001C5460" w:rsidRPr="00147709" w:rsidRDefault="001C5460" w:rsidP="003E45FD">
                            <w:pPr>
                              <w:numPr>
                                <w:ilvl w:val="0"/>
                                <w:numId w:val="24"/>
                              </w:numPr>
                              <w:spacing w:after="120"/>
                              <w:contextualSpacing/>
                            </w:pPr>
                            <w:r w:rsidRPr="00147709">
                              <w:t xml:space="preserve">What factors have supported and hindered inter-agency collaboration? </w:t>
                            </w:r>
                          </w:p>
                          <w:p w14:paraId="06706BBB" w14:textId="77777777" w:rsidR="001C5460" w:rsidRPr="00147709" w:rsidRDefault="001C5460" w:rsidP="003E45FD">
                            <w:pPr>
                              <w:numPr>
                                <w:ilvl w:val="0"/>
                                <w:numId w:val="24"/>
                              </w:numPr>
                              <w:spacing w:after="120"/>
                              <w:contextualSpacing/>
                            </w:pPr>
                            <w:r w:rsidRPr="00147709">
                              <w:t xml:space="preserve">What can be learned about ensuring strong alignment between DRR and development? </w:t>
                            </w:r>
                          </w:p>
                          <w:p w14:paraId="21E18C6C" w14:textId="77777777" w:rsidR="001C5460" w:rsidRPr="00147709" w:rsidRDefault="001C5460" w:rsidP="003E45FD">
                            <w:pPr>
                              <w:numPr>
                                <w:ilvl w:val="0"/>
                                <w:numId w:val="24"/>
                              </w:numPr>
                              <w:spacing w:after="120"/>
                              <w:contextualSpacing/>
                            </w:pPr>
                            <w:r w:rsidRPr="00147709">
                              <w:t xml:space="preserve">How have partners worked with </w:t>
                            </w:r>
                            <w:r>
                              <w:t xml:space="preserve">the </w:t>
                            </w:r>
                            <w:r w:rsidRPr="00147709">
                              <w:t>private sector and what efficiencies and benefits has this created?</w:t>
                            </w:r>
                          </w:p>
                          <w:p w14:paraId="64D4DA82" w14:textId="77777777" w:rsidR="001C5460" w:rsidRPr="00391792" w:rsidRDefault="001C5460" w:rsidP="003E45FD">
                            <w:pPr>
                              <w:numPr>
                                <w:ilvl w:val="0"/>
                                <w:numId w:val="24"/>
                              </w:numPr>
                              <w:spacing w:after="120"/>
                              <w:contextualSpacing/>
                            </w:pPr>
                            <w:r w:rsidRPr="00147709">
                              <w:t>How effective was the coordination of the contract management, MEL and reporting of the initiatives?</w:t>
                            </w:r>
                            <w:r w:rsidRPr="00391792">
                              <w:t xml:space="preserve"> </w:t>
                            </w:r>
                          </w:p>
                          <w:p w14:paraId="54CF8DCF" w14:textId="77777777" w:rsidR="001C5460" w:rsidRPr="00391792" w:rsidRDefault="001C5460" w:rsidP="003E45FD">
                            <w:pPr>
                              <w:rPr>
                                <w:b/>
                                <w:u w:val="single"/>
                              </w:rPr>
                            </w:pPr>
                            <w:r w:rsidRPr="00391792">
                              <w:rPr>
                                <w:b/>
                                <w:u w:val="single"/>
                              </w:rPr>
                              <w:br w:type="page"/>
                            </w:r>
                          </w:p>
                          <w:p w14:paraId="39801D36" w14:textId="77777777" w:rsidR="001C5460" w:rsidRDefault="001C5460" w:rsidP="003E4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4.3pt;margin-top:176.85pt;width:463.65pt;height:46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" fillcolor="#a3c4ff" strokecolor="#4a7ebb" strokeweight="1.5pt">
                <v:fill color2="#e5eeff" rotate="t" angle="180" colors="0 #a3c4ff;22938f #bfd5ff;1 #e5eeff" focus="100%" type="gradient"/>
                <v:shadow on="t" color="black" opacity="24903f" origin=",.5" offset="0,.55556mm"/>
                <v:textbox>
                  <w:txbxContent>
                    <w:p w14:paraId="48EF882A" w14:textId="7279BE03" w:rsidR="001C5460" w:rsidRPr="00E567C0" w:rsidRDefault="001C5460" w:rsidP="00737D62">
                      <w:pPr>
                        <w:pStyle w:val="Heading4"/>
                        <w:spacing w:after="240"/>
                        <w:jc w:val="both"/>
                        <w:rPr>
                          <w:rFonts w:eastAsiaTheme="minorEastAsia" w:cstheme="minorBidi"/>
                          <w:b/>
                          <w:i w:val="0"/>
                          <w:iCs w:val="0"/>
                          <w:color w:val="auto"/>
                        </w:rPr>
                      </w:pPr>
                      <w:r w:rsidRPr="00E567C0">
                        <w:rPr>
                          <w:rFonts w:eastAsiaTheme="minorEastAsia" w:cstheme="minorBidi"/>
                          <w:b/>
                          <w:i w:val="0"/>
                          <w:iCs w:val="0"/>
                          <w:color w:val="auto"/>
                        </w:rPr>
                        <w:t>BUILDING LOCAL HUMANITARIAN CAPABILITY AND STRENGTHENING DISASTER RESILIENCE OF PACIFIC COMMUNITIES - INITIATIVE EVALUATION QUESTIONS:</w:t>
                      </w:r>
                    </w:p>
                    <w:p w14:paraId="5F0206F7" w14:textId="77777777" w:rsidR="001C5460" w:rsidRPr="00147709" w:rsidRDefault="001C5460" w:rsidP="003E45FD">
                      <w:pPr>
                        <w:spacing w:after="120"/>
                        <w:contextualSpacing/>
                        <w:rPr>
                          <w:b/>
                        </w:rPr>
                      </w:pPr>
                      <w:r w:rsidRPr="00147709">
                        <w:rPr>
                          <w:b/>
                        </w:rPr>
                        <w:t>Localisation</w:t>
                      </w:r>
                    </w:p>
                    <w:p w14:paraId="6BD20F17" w14:textId="77777777" w:rsidR="001C5460" w:rsidRPr="00147709" w:rsidRDefault="001C5460" w:rsidP="003E45FD">
                      <w:pPr>
                        <w:numPr>
                          <w:ilvl w:val="0"/>
                          <w:numId w:val="24"/>
                        </w:numPr>
                        <w:spacing w:after="120"/>
                        <w:contextualSpacing/>
                      </w:pPr>
                      <w:r w:rsidRPr="00147709">
                        <w:t xml:space="preserve">How have initiatives supported local communities to anticipate, prepare for and reduce risks from natural </w:t>
                      </w:r>
                      <w:r>
                        <w:t>hazards</w:t>
                      </w:r>
                      <w:r w:rsidRPr="00147709">
                        <w:t>? (knowledge, skills, connections and structures)</w:t>
                      </w:r>
                    </w:p>
                    <w:p w14:paraId="7499CBA1" w14:textId="77777777" w:rsidR="001C5460" w:rsidRPr="00147709" w:rsidRDefault="001C5460" w:rsidP="003E45FD">
                      <w:pPr>
                        <w:numPr>
                          <w:ilvl w:val="0"/>
                          <w:numId w:val="24"/>
                        </w:numPr>
                        <w:spacing w:after="120"/>
                        <w:contextualSpacing/>
                      </w:pPr>
                      <w:r w:rsidRPr="00147709">
                        <w:t>How have initiatives supported local authorities to implement inclusive DRR and resilience activities? (knowledge, skills, connections and structures)</w:t>
                      </w:r>
                    </w:p>
                    <w:p w14:paraId="4B25DD71" w14:textId="77777777" w:rsidR="001C5460" w:rsidRPr="00147709" w:rsidRDefault="001C5460" w:rsidP="003E45FD">
                      <w:pPr>
                        <w:numPr>
                          <w:ilvl w:val="0"/>
                          <w:numId w:val="24"/>
                        </w:numPr>
                        <w:spacing w:after="120"/>
                        <w:contextualSpacing/>
                      </w:pPr>
                      <w:r w:rsidRPr="00147709">
                        <w:t xml:space="preserve">To what extent did approaches support local leadership and not undermine local efforts? </w:t>
                      </w:r>
                    </w:p>
                    <w:p w14:paraId="06AD1EEE" w14:textId="77777777" w:rsidR="001C5460" w:rsidRPr="00147709" w:rsidRDefault="001C5460" w:rsidP="003E45FD"/>
                    <w:p w14:paraId="3A8852FF" w14:textId="77777777" w:rsidR="001C5460" w:rsidRPr="00147709" w:rsidRDefault="001C5460" w:rsidP="003E45FD">
                      <w:pPr>
                        <w:rPr>
                          <w:b/>
                        </w:rPr>
                      </w:pPr>
                      <w:r w:rsidRPr="00147709">
                        <w:rPr>
                          <w:b/>
                        </w:rPr>
                        <w:t>Inclusion</w:t>
                      </w:r>
                    </w:p>
                    <w:p w14:paraId="1AE4E5DE" w14:textId="77777777" w:rsidR="001C5460" w:rsidRPr="00147709" w:rsidRDefault="001C5460" w:rsidP="003E45FD">
                      <w:pPr>
                        <w:numPr>
                          <w:ilvl w:val="0"/>
                          <w:numId w:val="24"/>
                        </w:numPr>
                        <w:spacing w:after="120"/>
                        <w:contextualSpacing/>
                      </w:pPr>
                      <w:r w:rsidRPr="00147709">
                        <w:t xml:space="preserve">How well have partners </w:t>
                      </w:r>
                      <w:r>
                        <w:t>supported</w:t>
                      </w:r>
                      <w:r w:rsidRPr="00147709">
                        <w:t xml:space="preserve"> the inclusion </w:t>
                      </w:r>
                      <w:r>
                        <w:t xml:space="preserve">and leadership </w:t>
                      </w:r>
                      <w:r w:rsidRPr="00147709">
                        <w:t>of women and people with disabilit</w:t>
                      </w:r>
                      <w:r>
                        <w:t>ies</w:t>
                      </w:r>
                      <w:r w:rsidRPr="00147709">
                        <w:t xml:space="preserve"> in their own staffing, volunteer and community structures that support DRR/resilience initiatives? </w:t>
                      </w:r>
                    </w:p>
                    <w:p w14:paraId="5A533855" w14:textId="77777777" w:rsidR="001C5460" w:rsidRPr="00147709" w:rsidRDefault="001C5460" w:rsidP="003E45FD">
                      <w:pPr>
                        <w:numPr>
                          <w:ilvl w:val="0"/>
                          <w:numId w:val="24"/>
                        </w:numPr>
                        <w:spacing w:after="120"/>
                        <w:contextualSpacing/>
                      </w:pPr>
                      <w:r w:rsidRPr="00147709">
                        <w:t>What evidence is there that women and people with disabilit</w:t>
                      </w:r>
                      <w:r>
                        <w:t>ies</w:t>
                      </w:r>
                      <w:r w:rsidRPr="00147709">
                        <w:t xml:space="preserve"> are leading initiatives and playing key operational, management and decision making roles in initiatives?</w:t>
                      </w:r>
                    </w:p>
                    <w:p w14:paraId="45A5080B" w14:textId="77777777" w:rsidR="001C5460" w:rsidRPr="00147709" w:rsidRDefault="001C5460" w:rsidP="003E45FD">
                      <w:pPr>
                        <w:numPr>
                          <w:ilvl w:val="0"/>
                          <w:numId w:val="24"/>
                        </w:numPr>
                        <w:spacing w:after="120"/>
                        <w:contextualSpacing/>
                      </w:pPr>
                      <w:r w:rsidRPr="00147709">
                        <w:t>Are women and people with disabilit</w:t>
                      </w:r>
                      <w:r>
                        <w:t>ies</w:t>
                      </w:r>
                      <w:r w:rsidRPr="00147709">
                        <w:t xml:space="preserve"> benefiting </w:t>
                      </w:r>
                      <w:r>
                        <w:t>equitably</w:t>
                      </w:r>
                      <w:r w:rsidRPr="00147709">
                        <w:t xml:space="preserve"> from initiatives?</w:t>
                      </w:r>
                    </w:p>
                    <w:p w14:paraId="67326ECD" w14:textId="77777777" w:rsidR="001C5460" w:rsidRPr="00147709" w:rsidRDefault="001C5460" w:rsidP="003E45FD">
                      <w:pPr>
                        <w:numPr>
                          <w:ilvl w:val="0"/>
                          <w:numId w:val="24"/>
                        </w:numPr>
                        <w:spacing w:after="120"/>
                        <w:contextualSpacing/>
                      </w:pPr>
                      <w:r w:rsidRPr="00147709">
                        <w:t xml:space="preserve">Did different groups have access to safe and responsive mechanisms to handle complaints? </w:t>
                      </w:r>
                      <w:r w:rsidRPr="00147709">
                        <w:br/>
                      </w:r>
                    </w:p>
                    <w:p w14:paraId="14D1A264" w14:textId="77777777" w:rsidR="001C5460" w:rsidRPr="00147709" w:rsidRDefault="001C5460" w:rsidP="003E45FD">
                      <w:pPr>
                        <w:rPr>
                          <w:b/>
                        </w:rPr>
                      </w:pPr>
                      <w:r w:rsidRPr="00147709">
                        <w:rPr>
                          <w:b/>
                        </w:rPr>
                        <w:t>Coordination</w:t>
                      </w:r>
                    </w:p>
                    <w:p w14:paraId="494F89BB" w14:textId="77777777" w:rsidR="001C5460" w:rsidRPr="00147709" w:rsidRDefault="001C5460" w:rsidP="003E45FD">
                      <w:pPr>
                        <w:numPr>
                          <w:ilvl w:val="0"/>
                          <w:numId w:val="24"/>
                        </w:numPr>
                        <w:spacing w:after="120"/>
                        <w:contextualSpacing/>
                      </w:pPr>
                      <w:r w:rsidRPr="00147709">
                        <w:t>How well have agencies collaborated to design and implement initiatives (including shar</w:t>
                      </w:r>
                      <w:r>
                        <w:t>ing</w:t>
                      </w:r>
                      <w:r w:rsidRPr="00147709">
                        <w:t xml:space="preserve"> and manag</w:t>
                      </w:r>
                      <w:r>
                        <w:t>ing</w:t>
                      </w:r>
                      <w:r w:rsidRPr="00147709">
                        <w:t xml:space="preserve"> resources)?</w:t>
                      </w:r>
                    </w:p>
                    <w:p w14:paraId="0B6395A4" w14:textId="77777777" w:rsidR="001C5460" w:rsidRPr="00147709" w:rsidRDefault="001C5460" w:rsidP="003E45FD">
                      <w:pPr>
                        <w:numPr>
                          <w:ilvl w:val="0"/>
                          <w:numId w:val="24"/>
                        </w:numPr>
                        <w:spacing w:after="120"/>
                        <w:contextualSpacing/>
                      </w:pPr>
                      <w:r w:rsidRPr="00147709">
                        <w:t xml:space="preserve">What factors have supported and hindered inter-agency collaboration? </w:t>
                      </w:r>
                    </w:p>
                    <w:p w14:paraId="06706BBB" w14:textId="77777777" w:rsidR="001C5460" w:rsidRPr="00147709" w:rsidRDefault="001C5460" w:rsidP="003E45FD">
                      <w:pPr>
                        <w:numPr>
                          <w:ilvl w:val="0"/>
                          <w:numId w:val="24"/>
                        </w:numPr>
                        <w:spacing w:after="120"/>
                        <w:contextualSpacing/>
                      </w:pPr>
                      <w:r w:rsidRPr="00147709">
                        <w:t xml:space="preserve">What can be learned about ensuring strong alignment between DRR and development? </w:t>
                      </w:r>
                    </w:p>
                    <w:p w14:paraId="21E18C6C" w14:textId="77777777" w:rsidR="001C5460" w:rsidRPr="00147709" w:rsidRDefault="001C5460" w:rsidP="003E45FD">
                      <w:pPr>
                        <w:numPr>
                          <w:ilvl w:val="0"/>
                          <w:numId w:val="24"/>
                        </w:numPr>
                        <w:spacing w:after="120"/>
                        <w:contextualSpacing/>
                      </w:pPr>
                      <w:r w:rsidRPr="00147709">
                        <w:t xml:space="preserve">How have partners worked with </w:t>
                      </w:r>
                      <w:r>
                        <w:t xml:space="preserve">the </w:t>
                      </w:r>
                      <w:r w:rsidRPr="00147709">
                        <w:t>private sector and what efficiencies and benefits has this created?</w:t>
                      </w:r>
                    </w:p>
                    <w:p w14:paraId="64D4DA82" w14:textId="77777777" w:rsidR="001C5460" w:rsidRPr="00391792" w:rsidRDefault="001C5460" w:rsidP="003E45FD">
                      <w:pPr>
                        <w:numPr>
                          <w:ilvl w:val="0"/>
                          <w:numId w:val="24"/>
                        </w:numPr>
                        <w:spacing w:after="120"/>
                        <w:contextualSpacing/>
                      </w:pPr>
                      <w:r w:rsidRPr="00147709">
                        <w:t>How effective was the coordination of the contract management, MEL and reporting of the initiatives?</w:t>
                      </w:r>
                      <w:r w:rsidRPr="00391792">
                        <w:t xml:space="preserve"> </w:t>
                      </w:r>
                    </w:p>
                    <w:p w14:paraId="54CF8DCF" w14:textId="77777777" w:rsidR="001C5460" w:rsidRPr="00391792" w:rsidRDefault="001C5460" w:rsidP="003E45FD">
                      <w:pPr>
                        <w:rPr>
                          <w:b/>
                          <w:u w:val="single"/>
                        </w:rPr>
                      </w:pPr>
                      <w:r w:rsidRPr="00391792">
                        <w:rPr>
                          <w:b/>
                          <w:u w:val="single"/>
                        </w:rPr>
                        <w:br w:type="page"/>
                      </w:r>
                    </w:p>
                    <w:p w14:paraId="39801D36" w14:textId="77777777" w:rsidR="001C5460" w:rsidRDefault="001C5460" w:rsidP="003E45FD"/>
                  </w:txbxContent>
                </v:textbox>
                <w10:wrap type="square"/>
              </v:shape>
            </w:pict>
          </mc:Fallback>
        </mc:AlternateContent>
      </w:r>
      <w:r w:rsidR="00D14069">
        <w:rPr>
          <w:rFonts w:ascii="Calibri" w:eastAsia="Calibri" w:hAnsi="Calibri" w:cs="Times New Roman"/>
          <w:b/>
        </w:rPr>
        <w:t xml:space="preserve">Funded </w:t>
      </w:r>
      <w:r w:rsidRPr="000B4674">
        <w:rPr>
          <w:rFonts w:ascii="Calibri" w:eastAsia="Calibri" w:hAnsi="Calibri" w:cs="Times New Roman"/>
          <w:b/>
        </w:rPr>
        <w:t>NGO</w:t>
      </w:r>
      <w:r w:rsidR="00D14069">
        <w:rPr>
          <w:rFonts w:ascii="Calibri" w:eastAsia="Calibri" w:hAnsi="Calibri" w:cs="Times New Roman"/>
          <w:b/>
        </w:rPr>
        <w:t xml:space="preserve"> partner</w:t>
      </w:r>
      <w:r w:rsidRPr="000B4674">
        <w:rPr>
          <w:rFonts w:ascii="Calibri" w:eastAsia="Calibri" w:hAnsi="Calibri" w:cs="Times New Roman"/>
          <w:b/>
        </w:rPr>
        <w:t>s will have the flexibility to conduct evaluations of their initiatives according to the partnerships they have adopted and approaches used</w:t>
      </w:r>
      <w:r w:rsidRPr="004C38B2">
        <w:rPr>
          <w:rFonts w:ascii="Calibri" w:eastAsia="Calibri" w:hAnsi="Calibri" w:cs="Times New Roman"/>
        </w:rPr>
        <w:t xml:space="preserve">. For example, partners may conduct a joint ANCP and </w:t>
      </w:r>
      <w:r w:rsidR="00F42A9D">
        <w:rPr>
          <w:rFonts w:ascii="Calibri" w:eastAsia="Calibri" w:hAnsi="Calibri" w:cs="Times New Roman"/>
        </w:rPr>
        <w:t>Australian Humanitarian Partnership</w:t>
      </w:r>
      <w:r>
        <w:rPr>
          <w:rFonts w:ascii="Calibri" w:eastAsia="Calibri" w:hAnsi="Calibri" w:cs="Times New Roman"/>
        </w:rPr>
        <w:t xml:space="preserve"> </w:t>
      </w:r>
      <w:r w:rsidRPr="004C38B2">
        <w:rPr>
          <w:rFonts w:ascii="Calibri" w:eastAsia="Calibri" w:hAnsi="Calibri" w:cs="Times New Roman"/>
        </w:rPr>
        <w:t>evaluation to assess how their integrated approaches have supported communities to become more resilient.  Partners may conduct joint evaluations with other organisations (such as the A</w:t>
      </w:r>
      <w:r w:rsidR="00554A4A">
        <w:rPr>
          <w:rFonts w:ascii="Calibri" w:eastAsia="Calibri" w:hAnsi="Calibri" w:cs="Times New Roman"/>
        </w:rPr>
        <w:t>ustralian Red Cross</w:t>
      </w:r>
      <w:r w:rsidRPr="004C38B2">
        <w:rPr>
          <w:rFonts w:ascii="Calibri" w:eastAsia="Calibri" w:hAnsi="Calibri" w:cs="Times New Roman"/>
        </w:rPr>
        <w:t xml:space="preserve">). MEL approaches should support collaboration (with Australian partners and local communities) and encourage joint ownership and accountability for results. A </w:t>
      </w:r>
      <w:r w:rsidR="00554A4A">
        <w:rPr>
          <w:rFonts w:ascii="Calibri" w:eastAsia="Calibri" w:hAnsi="Calibri" w:cs="Times New Roman"/>
        </w:rPr>
        <w:t xml:space="preserve">possible </w:t>
      </w:r>
      <w:r w:rsidRPr="004C38B2">
        <w:rPr>
          <w:rFonts w:ascii="Calibri" w:eastAsia="Calibri" w:hAnsi="Calibri" w:cs="Times New Roman"/>
        </w:rPr>
        <w:t xml:space="preserve">set of evaluation questions which can be used or adapted by </w:t>
      </w:r>
      <w:r w:rsidR="00D14069">
        <w:rPr>
          <w:rFonts w:ascii="Calibri" w:eastAsia="Calibri" w:hAnsi="Calibri" w:cs="Times New Roman"/>
        </w:rPr>
        <w:t xml:space="preserve">funded </w:t>
      </w:r>
      <w:r w:rsidRPr="004C38B2">
        <w:rPr>
          <w:rFonts w:ascii="Calibri" w:eastAsia="Calibri" w:hAnsi="Calibri" w:cs="Times New Roman"/>
        </w:rPr>
        <w:t>NGO partners when evaluating their initiatives, and by the Support Unit when designing an overall review of intervention in the Pacific</w:t>
      </w:r>
      <w:r>
        <w:rPr>
          <w:rFonts w:ascii="Calibri" w:eastAsia="Calibri" w:hAnsi="Calibri" w:cs="Times New Roman"/>
        </w:rPr>
        <w:t>,</w:t>
      </w:r>
      <w:r w:rsidRPr="004C38B2">
        <w:rPr>
          <w:rFonts w:ascii="Calibri" w:eastAsia="Calibri" w:hAnsi="Calibri" w:cs="Times New Roman"/>
        </w:rPr>
        <w:t xml:space="preserve"> is provided:</w:t>
      </w:r>
    </w:p>
    <w:p w14:paraId="29613DB6" w14:textId="77777777" w:rsidR="003E45FD" w:rsidRPr="004C38B2" w:rsidRDefault="003E45FD" w:rsidP="003E45FD">
      <w:pPr>
        <w:spacing w:after="240"/>
        <w:jc w:val="both"/>
        <w:rPr>
          <w:rFonts w:ascii="Calibri" w:eastAsia="Calibri" w:hAnsi="Calibri" w:cs="Times New Roman"/>
          <w:b/>
          <w:u w:val="single"/>
        </w:rPr>
      </w:pPr>
      <w:r w:rsidRPr="004C38B2">
        <w:rPr>
          <w:rFonts w:ascii="Calibri" w:eastAsia="Calibri" w:hAnsi="Calibri" w:cs="Times New Roman"/>
          <w:b/>
          <w:u w:val="single"/>
        </w:rPr>
        <w:lastRenderedPageBreak/>
        <w:t>Learning</w:t>
      </w:r>
    </w:p>
    <w:p w14:paraId="12893A80" w14:textId="179FDFA3" w:rsidR="003E45FD" w:rsidRPr="004C38B2" w:rsidRDefault="003E45FD" w:rsidP="003E45FD">
      <w:pPr>
        <w:spacing w:after="240"/>
        <w:jc w:val="both"/>
        <w:rPr>
          <w:rFonts w:ascii="Calibri" w:eastAsia="Calibri" w:hAnsi="Calibri" w:cs="Times New Roman"/>
        </w:rPr>
      </w:pPr>
      <w:r w:rsidRPr="004C38B2">
        <w:rPr>
          <w:rFonts w:ascii="Calibri" w:eastAsia="Calibri" w:hAnsi="Calibri" w:cs="Times New Roman"/>
        </w:rPr>
        <w:t xml:space="preserve">As outlined in the section below, </w:t>
      </w:r>
      <w:r w:rsidRPr="000B4674">
        <w:rPr>
          <w:rFonts w:ascii="Calibri" w:eastAsia="Calibri" w:hAnsi="Calibri" w:cs="Times New Roman"/>
          <w:b/>
        </w:rPr>
        <w:t>the Support Unit will commission meta and strategic evaluations of capacity building activities in the Pacific.</w:t>
      </w:r>
      <w:r>
        <w:rPr>
          <w:rStyle w:val="FootnoteReference"/>
          <w:rFonts w:eastAsia="Calibri" w:cs="Times New Roman"/>
        </w:rPr>
        <w:footnoteReference w:id="46"/>
      </w:r>
      <w:r w:rsidRPr="004C38B2">
        <w:rPr>
          <w:rFonts w:ascii="Calibri" w:eastAsia="Calibri" w:hAnsi="Calibri" w:cs="Times New Roman"/>
        </w:rPr>
        <w:t xml:space="preserve"> It will also support ACFID to facilitate wider DRR and resilience lea</w:t>
      </w:r>
      <w:r>
        <w:rPr>
          <w:rFonts w:ascii="Calibri" w:eastAsia="Calibri" w:hAnsi="Calibri" w:cs="Times New Roman"/>
        </w:rPr>
        <w:t>r</w:t>
      </w:r>
      <w:r w:rsidRPr="004C38B2">
        <w:rPr>
          <w:rFonts w:ascii="Calibri" w:eastAsia="Calibri" w:hAnsi="Calibri" w:cs="Times New Roman"/>
        </w:rPr>
        <w:t xml:space="preserve">ning forums, to which </w:t>
      </w:r>
      <w:r>
        <w:rPr>
          <w:rFonts w:ascii="Calibri" w:eastAsia="Calibri" w:hAnsi="Calibri" w:cs="Times New Roman"/>
        </w:rPr>
        <w:t>the</w:t>
      </w:r>
      <w:r w:rsidRPr="004C38B2">
        <w:rPr>
          <w:rFonts w:ascii="Calibri" w:eastAsia="Calibri" w:hAnsi="Calibri" w:cs="Times New Roman"/>
        </w:rPr>
        <w:t xml:space="preserve"> </w:t>
      </w:r>
      <w:r w:rsidR="00511EF0">
        <w:rPr>
          <w:rFonts w:ascii="Calibri" w:eastAsia="Calibri" w:hAnsi="Calibri" w:cs="Times New Roman"/>
        </w:rPr>
        <w:t>partnership</w:t>
      </w:r>
      <w:r>
        <w:rPr>
          <w:rFonts w:ascii="Calibri" w:eastAsia="Calibri" w:hAnsi="Calibri" w:cs="Times New Roman"/>
        </w:rPr>
        <w:t xml:space="preserve"> </w:t>
      </w:r>
      <w:r w:rsidRPr="004C38B2">
        <w:rPr>
          <w:rFonts w:ascii="Calibri" w:eastAsia="Calibri" w:hAnsi="Calibri" w:cs="Times New Roman"/>
        </w:rPr>
        <w:t xml:space="preserve">interventions will contribute. In addition, the Support Unit will work to document and share learnings in relation to innovations in DRR and resilience practice in the Pacific (such as emergent partnership approaches or technologies). The partnership </w:t>
      </w:r>
      <w:r w:rsidR="00554A4A">
        <w:rPr>
          <w:rFonts w:ascii="Calibri" w:eastAsia="Calibri" w:hAnsi="Calibri" w:cs="Times New Roman"/>
        </w:rPr>
        <w:t>may</w:t>
      </w:r>
      <w:r w:rsidR="00554A4A" w:rsidRPr="004C38B2">
        <w:rPr>
          <w:rFonts w:ascii="Calibri" w:eastAsia="Calibri" w:hAnsi="Calibri" w:cs="Times New Roman"/>
        </w:rPr>
        <w:t xml:space="preserve"> </w:t>
      </w:r>
      <w:r w:rsidR="00511EF0">
        <w:rPr>
          <w:rFonts w:ascii="Calibri" w:eastAsia="Calibri" w:hAnsi="Calibri" w:cs="Times New Roman"/>
        </w:rPr>
        <w:t xml:space="preserve">seek to </w:t>
      </w:r>
      <w:r w:rsidRPr="004C38B2">
        <w:rPr>
          <w:rFonts w:ascii="Calibri" w:eastAsia="Calibri" w:hAnsi="Calibri" w:cs="Times New Roman"/>
        </w:rPr>
        <w:t xml:space="preserve">either host an innovation sharing workshop in the Pacific or support participating partners to feed learning into a local event (if this is planned and hosted by other stakeholders locally) over the course of the partnership. </w:t>
      </w:r>
    </w:p>
    <w:p w14:paraId="3595E9A3" w14:textId="77777777" w:rsidR="003E45FD" w:rsidRPr="00511EF0" w:rsidRDefault="003E45FD" w:rsidP="003E45FD">
      <w:pPr>
        <w:pStyle w:val="Heading4"/>
        <w:spacing w:after="240"/>
        <w:jc w:val="both"/>
      </w:pPr>
      <w:r w:rsidRPr="00511EF0">
        <w:t>Outcome Area 3: The DFAT-HRG Partnership</w:t>
      </w:r>
    </w:p>
    <w:p w14:paraId="5330E157" w14:textId="03D4533E" w:rsidR="003E45FD" w:rsidRPr="004C38B2" w:rsidRDefault="003E45FD" w:rsidP="003E45FD">
      <w:pPr>
        <w:spacing w:after="240"/>
        <w:jc w:val="both"/>
        <w:rPr>
          <w:rFonts w:ascii="Calibri" w:eastAsia="Calibri" w:hAnsi="Calibri" w:cs="Times New Roman"/>
        </w:rPr>
      </w:pPr>
      <w:r w:rsidRPr="00511EF0">
        <w:rPr>
          <w:rFonts w:ascii="Calibri" w:eastAsia="Calibri" w:hAnsi="Calibri" w:cs="Times New Roman"/>
          <w:b/>
        </w:rPr>
        <w:t xml:space="preserve">The DFAT-HRG partnership will be </w:t>
      </w:r>
      <w:r w:rsidR="00F42A9D" w:rsidRPr="00511EF0">
        <w:rPr>
          <w:rFonts w:ascii="Calibri" w:eastAsia="Calibri" w:hAnsi="Calibri" w:cs="Times New Roman"/>
          <w:b/>
        </w:rPr>
        <w:t>enhanced by the operations of the Support Unit.</w:t>
      </w:r>
      <w:r w:rsidRPr="00511EF0">
        <w:rPr>
          <w:rFonts w:ascii="Calibri" w:eastAsia="Calibri" w:hAnsi="Calibri" w:cs="Times New Roman"/>
          <w:b/>
        </w:rPr>
        <w:t xml:space="preserve"> </w:t>
      </w:r>
      <w:r w:rsidR="00F42A9D" w:rsidRPr="00737D62">
        <w:rPr>
          <w:rFonts w:ascii="Calibri" w:eastAsia="Calibri" w:hAnsi="Calibri" w:cs="Times New Roman"/>
          <w:b/>
        </w:rPr>
        <w:t>The design team</w:t>
      </w:r>
      <w:r w:rsidRPr="00737D62">
        <w:rPr>
          <w:rFonts w:ascii="Calibri" w:eastAsia="Calibri" w:hAnsi="Calibri" w:cs="Times New Roman"/>
          <w:b/>
        </w:rPr>
        <w:t xml:space="preserve"> suggest</w:t>
      </w:r>
      <w:r w:rsidR="00F42A9D" w:rsidRPr="00737D62">
        <w:rPr>
          <w:rFonts w:ascii="Calibri" w:eastAsia="Calibri" w:hAnsi="Calibri" w:cs="Times New Roman"/>
          <w:b/>
        </w:rPr>
        <w:t xml:space="preserve">s </w:t>
      </w:r>
      <w:r w:rsidRPr="00737D62">
        <w:rPr>
          <w:rFonts w:ascii="Calibri" w:eastAsia="Calibri" w:hAnsi="Calibri" w:cs="Times New Roman"/>
          <w:b/>
        </w:rPr>
        <w:t>that</w:t>
      </w:r>
      <w:r w:rsidR="00F42A9D" w:rsidRPr="00737D62">
        <w:rPr>
          <w:rFonts w:ascii="Calibri" w:eastAsia="Calibri" w:hAnsi="Calibri" w:cs="Times New Roman"/>
          <w:b/>
        </w:rPr>
        <w:t xml:space="preserve"> early in the inception phase, the Support Unit facilitates a discussion between </w:t>
      </w:r>
      <w:r w:rsidR="00B60A49" w:rsidRPr="00737D62">
        <w:rPr>
          <w:rFonts w:ascii="Calibri" w:eastAsia="Calibri" w:hAnsi="Calibri" w:cs="Times New Roman"/>
          <w:b/>
        </w:rPr>
        <w:t>DFAT</w:t>
      </w:r>
      <w:r w:rsidR="00ED2771">
        <w:rPr>
          <w:rFonts w:ascii="Calibri" w:eastAsia="Calibri" w:hAnsi="Calibri" w:cs="Times New Roman"/>
          <w:b/>
        </w:rPr>
        <w:t xml:space="preserve">, </w:t>
      </w:r>
      <w:r w:rsidR="00FA5AB6" w:rsidRPr="00737D62">
        <w:rPr>
          <w:rFonts w:ascii="Calibri" w:eastAsia="Calibri" w:hAnsi="Calibri" w:cs="Times New Roman"/>
          <w:b/>
        </w:rPr>
        <w:t xml:space="preserve">all </w:t>
      </w:r>
      <w:r w:rsidR="00B60A49" w:rsidRPr="00737D62">
        <w:rPr>
          <w:rFonts w:ascii="Calibri" w:eastAsia="Calibri" w:hAnsi="Calibri" w:cs="Times New Roman"/>
          <w:b/>
        </w:rPr>
        <w:t xml:space="preserve">HRG </w:t>
      </w:r>
      <w:r w:rsidR="00F42A9D" w:rsidRPr="00737D62">
        <w:rPr>
          <w:rFonts w:ascii="Calibri" w:eastAsia="Calibri" w:hAnsi="Calibri" w:cs="Times New Roman"/>
          <w:b/>
        </w:rPr>
        <w:t>partners</w:t>
      </w:r>
      <w:r w:rsidR="00ED2771">
        <w:rPr>
          <w:rFonts w:ascii="Calibri" w:eastAsia="Calibri" w:hAnsi="Calibri" w:cs="Times New Roman"/>
          <w:b/>
        </w:rPr>
        <w:t xml:space="preserve"> (and ACFID)</w:t>
      </w:r>
      <w:r w:rsidR="00F42A9D" w:rsidRPr="00737D62">
        <w:rPr>
          <w:rFonts w:ascii="Calibri" w:eastAsia="Calibri" w:hAnsi="Calibri" w:cs="Times New Roman"/>
          <w:b/>
        </w:rPr>
        <w:t xml:space="preserve"> </w:t>
      </w:r>
      <w:r w:rsidRPr="00737D62">
        <w:rPr>
          <w:rFonts w:ascii="Calibri" w:eastAsia="Calibri" w:hAnsi="Calibri" w:cs="Times New Roman"/>
          <w:b/>
        </w:rPr>
        <w:t xml:space="preserve">to outline specific partnership outcomes and </w:t>
      </w:r>
      <w:r w:rsidR="00511EF0" w:rsidRPr="00737D62">
        <w:rPr>
          <w:rFonts w:ascii="Calibri" w:eastAsia="Calibri" w:hAnsi="Calibri" w:cs="Times New Roman"/>
          <w:b/>
        </w:rPr>
        <w:t>refine the</w:t>
      </w:r>
      <w:r w:rsidRPr="00737D62">
        <w:rPr>
          <w:rFonts w:ascii="Calibri" w:eastAsia="Calibri" w:hAnsi="Calibri" w:cs="Times New Roman"/>
          <w:b/>
        </w:rPr>
        <w:t xml:space="preserve"> measures of success that can then be incorporated within the MEL framework.</w:t>
      </w:r>
      <w:r w:rsidRPr="00511EF0">
        <w:rPr>
          <w:rFonts w:ascii="Calibri" w:eastAsia="Calibri" w:hAnsi="Calibri" w:cs="Times New Roman"/>
        </w:rPr>
        <w:t xml:space="preserve"> </w:t>
      </w:r>
    </w:p>
    <w:p w14:paraId="15419941" w14:textId="77777777" w:rsidR="003E45FD" w:rsidRDefault="003E45FD" w:rsidP="003E45FD">
      <w:pPr>
        <w:spacing w:after="240"/>
        <w:jc w:val="both"/>
        <w:rPr>
          <w:rFonts w:ascii="Calibri" w:eastAsia="Calibri" w:hAnsi="Calibri" w:cs="Times New Roman"/>
        </w:rPr>
      </w:pPr>
      <w:r w:rsidRPr="004C38B2">
        <w:rPr>
          <w:rFonts w:ascii="Calibri" w:eastAsia="Calibri" w:hAnsi="Calibri" w:cs="Times New Roman"/>
        </w:rPr>
        <w:t xml:space="preserve">As outlined in the evaluation questions for </w:t>
      </w:r>
      <w:r>
        <w:rPr>
          <w:rFonts w:ascii="Calibri" w:eastAsia="Calibri" w:hAnsi="Calibri" w:cs="Times New Roman"/>
        </w:rPr>
        <w:t>outcome areas</w:t>
      </w:r>
      <w:r w:rsidRPr="004C38B2">
        <w:rPr>
          <w:rFonts w:ascii="Calibri" w:eastAsia="Calibri" w:hAnsi="Calibri" w:cs="Times New Roman"/>
        </w:rPr>
        <w:t xml:space="preserve"> 1 </w:t>
      </w:r>
      <w:r>
        <w:rPr>
          <w:rFonts w:ascii="Calibri" w:eastAsia="Calibri" w:hAnsi="Calibri" w:cs="Times New Roman"/>
        </w:rPr>
        <w:t>and</w:t>
      </w:r>
      <w:r w:rsidRPr="004C38B2">
        <w:rPr>
          <w:rFonts w:ascii="Calibri" w:eastAsia="Calibri" w:hAnsi="Calibri" w:cs="Times New Roman"/>
        </w:rPr>
        <w:t xml:space="preserve"> 2, the value</w:t>
      </w:r>
      <w:r>
        <w:rPr>
          <w:rFonts w:ascii="Calibri" w:eastAsia="Calibri" w:hAnsi="Calibri" w:cs="Times New Roman"/>
        </w:rPr>
        <w:t>-</w:t>
      </w:r>
      <w:r w:rsidRPr="004C38B2">
        <w:rPr>
          <w:rFonts w:ascii="Calibri" w:eastAsia="Calibri" w:hAnsi="Calibri" w:cs="Times New Roman"/>
        </w:rPr>
        <w:t>add of the coordination between DFAT and HRG, and between HRG members</w:t>
      </w:r>
      <w:r>
        <w:rPr>
          <w:rFonts w:ascii="Calibri" w:eastAsia="Calibri" w:hAnsi="Calibri" w:cs="Times New Roman"/>
        </w:rPr>
        <w:t>,</w:t>
      </w:r>
      <w:r w:rsidRPr="004C38B2">
        <w:rPr>
          <w:rFonts w:ascii="Calibri" w:eastAsia="Calibri" w:hAnsi="Calibri" w:cs="Times New Roman"/>
        </w:rPr>
        <w:t xml:space="preserve"> to cris</w:t>
      </w:r>
      <w:r>
        <w:rPr>
          <w:rFonts w:ascii="Calibri" w:eastAsia="Calibri" w:hAnsi="Calibri" w:cs="Times New Roman"/>
        </w:rPr>
        <w:t>i</w:t>
      </w:r>
      <w:r w:rsidRPr="004C38B2">
        <w:rPr>
          <w:rFonts w:ascii="Calibri" w:eastAsia="Calibri" w:hAnsi="Calibri" w:cs="Times New Roman"/>
        </w:rPr>
        <w:t xml:space="preserve">s response and early recovery, </w:t>
      </w:r>
      <w:r>
        <w:rPr>
          <w:rFonts w:ascii="Calibri" w:eastAsia="Calibri" w:hAnsi="Calibri" w:cs="Times New Roman"/>
        </w:rPr>
        <w:t>as well as</w:t>
      </w:r>
      <w:r w:rsidRPr="004C38B2">
        <w:rPr>
          <w:rFonts w:ascii="Calibri" w:eastAsia="Calibri" w:hAnsi="Calibri" w:cs="Times New Roman"/>
        </w:rPr>
        <w:t xml:space="preserve"> DRR and </w:t>
      </w:r>
      <w:r w:rsidR="00947153">
        <w:rPr>
          <w:rFonts w:ascii="Calibri" w:eastAsia="Calibri" w:hAnsi="Calibri" w:cs="Times New Roman"/>
        </w:rPr>
        <w:t>resilience</w:t>
      </w:r>
      <w:r w:rsidR="00947153" w:rsidRPr="004C38B2">
        <w:rPr>
          <w:rFonts w:ascii="Calibri" w:eastAsia="Calibri" w:hAnsi="Calibri" w:cs="Times New Roman"/>
        </w:rPr>
        <w:t xml:space="preserve"> </w:t>
      </w:r>
      <w:r w:rsidRPr="004C38B2">
        <w:rPr>
          <w:rFonts w:ascii="Calibri" w:eastAsia="Calibri" w:hAnsi="Calibri" w:cs="Times New Roman"/>
        </w:rPr>
        <w:t>initiatives</w:t>
      </w:r>
      <w:r>
        <w:rPr>
          <w:rFonts w:ascii="Calibri" w:eastAsia="Calibri" w:hAnsi="Calibri" w:cs="Times New Roman"/>
        </w:rPr>
        <w:t>,</w:t>
      </w:r>
      <w:r w:rsidRPr="004C38B2">
        <w:rPr>
          <w:rFonts w:ascii="Calibri" w:eastAsia="Calibri" w:hAnsi="Calibri" w:cs="Times New Roman"/>
        </w:rPr>
        <w:t xml:space="preserve"> will be assessed as part of the MEL of these </w:t>
      </w:r>
      <w:r w:rsidR="00511EF0">
        <w:rPr>
          <w:rFonts w:ascii="Calibri" w:eastAsia="Calibri" w:hAnsi="Calibri" w:cs="Times New Roman"/>
        </w:rPr>
        <w:t>outcome</w:t>
      </w:r>
      <w:r w:rsidR="006A6579">
        <w:rPr>
          <w:rFonts w:ascii="Calibri" w:eastAsia="Calibri" w:hAnsi="Calibri" w:cs="Times New Roman"/>
        </w:rPr>
        <w:t xml:space="preserve"> areas</w:t>
      </w:r>
      <w:r w:rsidRPr="004C38B2">
        <w:rPr>
          <w:rFonts w:ascii="Calibri" w:eastAsia="Calibri" w:hAnsi="Calibri" w:cs="Times New Roman"/>
        </w:rPr>
        <w:t>.  This will ensure data is collected to inform an assessment of the short</w:t>
      </w:r>
      <w:r w:rsidR="006A6579">
        <w:rPr>
          <w:rFonts w:ascii="Calibri" w:eastAsia="Calibri" w:hAnsi="Calibri" w:cs="Times New Roman"/>
        </w:rPr>
        <w:t>-</w:t>
      </w:r>
      <w:r w:rsidRPr="004C38B2">
        <w:rPr>
          <w:rFonts w:ascii="Calibri" w:eastAsia="Calibri" w:hAnsi="Calibri" w:cs="Times New Roman"/>
        </w:rPr>
        <w:t xml:space="preserve">term outcome ‘DFAT and HRG coordinate to select and deliver responses’. </w:t>
      </w:r>
    </w:p>
    <w:p w14:paraId="10A11381" w14:textId="77777777" w:rsidR="003E45FD" w:rsidRPr="004C38B2" w:rsidRDefault="003E45FD" w:rsidP="003E45FD">
      <w:pPr>
        <w:spacing w:after="240"/>
        <w:jc w:val="both"/>
        <w:rPr>
          <w:rFonts w:ascii="Calibri" w:eastAsia="Calibri" w:hAnsi="Calibri" w:cs="Times New Roman"/>
        </w:rPr>
      </w:pPr>
      <w:r w:rsidRPr="000B4674">
        <w:rPr>
          <w:rFonts w:ascii="Calibri" w:eastAsia="Calibri" w:hAnsi="Calibri" w:cs="Times New Roman"/>
          <w:b/>
        </w:rPr>
        <w:t>The accountability review of the response selection process will also build a picture of the effectiveness of HRG coordination</w:t>
      </w:r>
      <w:r w:rsidRPr="004C38B2">
        <w:rPr>
          <w:rFonts w:ascii="Calibri" w:eastAsia="Calibri" w:hAnsi="Calibri" w:cs="Times New Roman"/>
        </w:rPr>
        <w:t xml:space="preserve">. The Support Unit will request, store and track information relating to the funding raised through </w:t>
      </w:r>
      <w:r w:rsidR="006A6579">
        <w:rPr>
          <w:rFonts w:ascii="Calibri" w:eastAsia="Calibri" w:hAnsi="Calibri" w:cs="Times New Roman"/>
        </w:rPr>
        <w:t xml:space="preserve">any </w:t>
      </w:r>
      <w:r w:rsidRPr="004C38B2">
        <w:rPr>
          <w:rFonts w:ascii="Calibri" w:eastAsia="Calibri" w:hAnsi="Calibri" w:cs="Times New Roman"/>
        </w:rPr>
        <w:t xml:space="preserve">joint appeal processes, and undertake analysis to determine if the collective approach and visibility and awareness raising activities are leveraging additional funding. </w:t>
      </w:r>
    </w:p>
    <w:p w14:paraId="0E75FAE2" w14:textId="77777777" w:rsidR="003E45FD" w:rsidRPr="004C38B2" w:rsidRDefault="00B07486" w:rsidP="003E45FD">
      <w:pPr>
        <w:spacing w:after="240"/>
        <w:jc w:val="both"/>
        <w:rPr>
          <w:rFonts w:ascii="Calibri" w:eastAsia="Calibri" w:hAnsi="Calibri" w:cs="Times New Roman"/>
          <w:b/>
          <w:color w:val="4F81BD"/>
        </w:rPr>
      </w:pPr>
      <w:r>
        <w:rPr>
          <w:rFonts w:ascii="Calibri" w:eastAsia="Calibri" w:hAnsi="Calibri" w:cs="Times New Roman"/>
          <w:b/>
        </w:rPr>
        <w:t>The design team suggests that a</w:t>
      </w:r>
      <w:r w:rsidR="003E45FD" w:rsidRPr="000B4674">
        <w:rPr>
          <w:rFonts w:ascii="Calibri" w:eastAsia="Calibri" w:hAnsi="Calibri" w:cs="Times New Roman"/>
          <w:b/>
        </w:rPr>
        <w:t>nnual light touch ‘</w:t>
      </w:r>
      <w:r w:rsidR="003E45FD">
        <w:rPr>
          <w:rFonts w:ascii="Calibri" w:eastAsia="Calibri" w:hAnsi="Calibri" w:cs="Times New Roman"/>
          <w:b/>
        </w:rPr>
        <w:t xml:space="preserve">partnership </w:t>
      </w:r>
      <w:r w:rsidR="003E45FD" w:rsidRPr="000B4674">
        <w:rPr>
          <w:rFonts w:ascii="Calibri" w:eastAsia="Calibri" w:hAnsi="Calibri" w:cs="Times New Roman"/>
          <w:b/>
        </w:rPr>
        <w:t>health checks’ be conducted during the partnership to ensure it is tracking as planned</w:t>
      </w:r>
      <w:r w:rsidR="003E45FD">
        <w:rPr>
          <w:rFonts w:ascii="Calibri" w:eastAsia="Calibri" w:hAnsi="Calibri" w:cs="Times New Roman"/>
        </w:rPr>
        <w:t xml:space="preserve">. As part of </w:t>
      </w:r>
      <w:r w:rsidR="003E45FD" w:rsidRPr="004C38B2">
        <w:rPr>
          <w:rFonts w:ascii="Calibri" w:eastAsia="Calibri" w:hAnsi="Calibri" w:cs="Times New Roman"/>
        </w:rPr>
        <w:t>the mid-term review</w:t>
      </w:r>
      <w:r w:rsidR="003E45FD">
        <w:rPr>
          <w:rFonts w:ascii="Calibri" w:eastAsia="Calibri" w:hAnsi="Calibri" w:cs="Times New Roman"/>
        </w:rPr>
        <w:t xml:space="preserve"> (MTR)</w:t>
      </w:r>
      <w:r w:rsidR="003E45FD" w:rsidRPr="004C38B2">
        <w:rPr>
          <w:rFonts w:ascii="Calibri" w:eastAsia="Calibri" w:hAnsi="Calibri" w:cs="Times New Roman"/>
        </w:rPr>
        <w:t xml:space="preserve"> of the partnership, a DFAT-HRG partnership reflection </w:t>
      </w:r>
      <w:r w:rsidR="006A6579">
        <w:rPr>
          <w:rFonts w:ascii="Calibri" w:eastAsia="Calibri" w:hAnsi="Calibri" w:cs="Times New Roman"/>
        </w:rPr>
        <w:t>will</w:t>
      </w:r>
      <w:r w:rsidR="003E45FD" w:rsidRPr="004C38B2">
        <w:rPr>
          <w:rFonts w:ascii="Calibri" w:eastAsia="Calibri" w:hAnsi="Calibri" w:cs="Times New Roman"/>
        </w:rPr>
        <w:t xml:space="preserve"> be held. It will </w:t>
      </w:r>
      <w:r w:rsidR="003E45FD">
        <w:rPr>
          <w:rFonts w:ascii="Calibri" w:eastAsia="Calibri" w:hAnsi="Calibri" w:cs="Times New Roman"/>
        </w:rPr>
        <w:t xml:space="preserve">support DFAT and </w:t>
      </w:r>
      <w:r w:rsidR="00664C4F">
        <w:rPr>
          <w:rFonts w:ascii="Calibri" w:eastAsia="Calibri" w:hAnsi="Calibri" w:cs="Times New Roman"/>
        </w:rPr>
        <w:t xml:space="preserve">HRG member NGOs </w:t>
      </w:r>
      <w:r w:rsidR="003E45FD">
        <w:rPr>
          <w:rFonts w:ascii="Calibri" w:eastAsia="Calibri" w:hAnsi="Calibri" w:cs="Times New Roman"/>
        </w:rPr>
        <w:t xml:space="preserve">to </w:t>
      </w:r>
      <w:r w:rsidR="003E45FD" w:rsidRPr="004C38B2">
        <w:rPr>
          <w:rFonts w:ascii="Calibri" w:eastAsia="Calibri" w:hAnsi="Calibri" w:cs="Times New Roman"/>
        </w:rPr>
        <w:t xml:space="preserve">reflect on </w:t>
      </w:r>
      <w:r w:rsidR="003E45FD">
        <w:rPr>
          <w:rFonts w:ascii="Calibri" w:eastAsia="Calibri" w:hAnsi="Calibri" w:cs="Times New Roman"/>
        </w:rPr>
        <w:t>whether</w:t>
      </w:r>
      <w:r w:rsidR="003E45FD" w:rsidRPr="004C38B2">
        <w:rPr>
          <w:rFonts w:ascii="Calibri" w:eastAsia="Calibri" w:hAnsi="Calibri" w:cs="Times New Roman"/>
        </w:rPr>
        <w:t xml:space="preserve"> the partnership is meeting </w:t>
      </w:r>
      <w:r w:rsidR="003E45FD">
        <w:rPr>
          <w:rFonts w:ascii="Calibri" w:eastAsia="Calibri" w:hAnsi="Calibri" w:cs="Times New Roman"/>
        </w:rPr>
        <w:t xml:space="preserve">its agreed partnership outcomes and </w:t>
      </w:r>
      <w:r w:rsidR="003E45FD" w:rsidRPr="004C38B2">
        <w:rPr>
          <w:rFonts w:ascii="Calibri" w:eastAsia="Calibri" w:hAnsi="Calibri" w:cs="Times New Roman"/>
        </w:rPr>
        <w:t>its end-of investment outcome</w:t>
      </w:r>
      <w:r w:rsidR="003E45FD">
        <w:rPr>
          <w:rFonts w:ascii="Calibri" w:eastAsia="Calibri" w:hAnsi="Calibri" w:cs="Times New Roman"/>
        </w:rPr>
        <w:t>.</w:t>
      </w:r>
      <w:r w:rsidR="003E45FD" w:rsidRPr="004C38B2">
        <w:rPr>
          <w:rFonts w:ascii="Calibri" w:eastAsia="Calibri" w:hAnsi="Calibri" w:cs="Times New Roman"/>
        </w:rPr>
        <w:t xml:space="preserve"> </w:t>
      </w:r>
    </w:p>
    <w:p w14:paraId="5F265A5C" w14:textId="77777777" w:rsidR="003E45FD" w:rsidRPr="00A00184" w:rsidRDefault="003E45FD" w:rsidP="003E45FD">
      <w:pPr>
        <w:spacing w:before="120" w:after="240"/>
        <w:jc w:val="both"/>
        <w:rPr>
          <w:b/>
          <w:color w:val="4F81BD" w:themeColor="accent1"/>
        </w:rPr>
      </w:pPr>
      <w:r w:rsidRPr="00A00184">
        <w:rPr>
          <w:b/>
          <w:noProof/>
          <w:color w:val="4F81BD" w:themeColor="accent1"/>
          <w:lang w:eastAsia="en-AU"/>
        </w:rPr>
        <w:lastRenderedPageBreak/>
        <mc:AlternateContent>
          <mc:Choice Requires="wps">
            <w:drawing>
              <wp:anchor distT="0" distB="0" distL="114300" distR="114300" simplePos="0" relativeHeight="251688960" behindDoc="0" locked="0" layoutInCell="1" allowOverlap="1" wp14:anchorId="3C2F4F86" wp14:editId="7E0AA1E4">
                <wp:simplePos x="0" y="0"/>
                <wp:positionH relativeFrom="column">
                  <wp:posOffset>-40640</wp:posOffset>
                </wp:positionH>
                <wp:positionV relativeFrom="paragraph">
                  <wp:posOffset>5080</wp:posOffset>
                </wp:positionV>
                <wp:extent cx="5723255" cy="3249930"/>
                <wp:effectExtent l="57150" t="38100" r="67945" b="102870"/>
                <wp:wrapSquare wrapText="bothSides"/>
                <wp:docPr id="19" name="Text Box 19"/>
                <wp:cNvGraphicFramePr/>
                <a:graphic xmlns:a="http://schemas.openxmlformats.org/drawingml/2006/main">
                  <a:graphicData uri="http://schemas.microsoft.com/office/word/2010/wordprocessingShape">
                    <wps:wsp>
                      <wps:cNvSpPr txBox="1"/>
                      <wps:spPr>
                        <a:xfrm>
                          <a:off x="0" y="0"/>
                          <a:ext cx="5723255" cy="32499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797592E" w14:textId="77777777" w:rsidR="001C5460" w:rsidRPr="00C303D5" w:rsidRDefault="001C5460" w:rsidP="003E45FD">
                            <w:pPr>
                              <w:spacing w:after="120"/>
                              <w:contextualSpacing/>
                              <w:rPr>
                                <w:b/>
                              </w:rPr>
                            </w:pPr>
                            <w:r>
                              <w:rPr>
                                <w:b/>
                              </w:rPr>
                              <w:t xml:space="preserve">POSSIBLE </w:t>
                            </w:r>
                            <w:r w:rsidRPr="00C303D5">
                              <w:rPr>
                                <w:b/>
                              </w:rPr>
                              <w:t>DFAT-HRG REVIEW QUESTIONS:</w:t>
                            </w:r>
                          </w:p>
                          <w:p w14:paraId="344521CA" w14:textId="77777777" w:rsidR="001C5460" w:rsidRPr="00C303D5" w:rsidRDefault="001C5460" w:rsidP="003E45FD">
                            <w:pPr>
                              <w:numPr>
                                <w:ilvl w:val="0"/>
                                <w:numId w:val="24"/>
                              </w:numPr>
                              <w:spacing w:after="120"/>
                              <w:contextualSpacing/>
                            </w:pPr>
                            <w:r w:rsidRPr="00C303D5">
                              <w:t>Has locating the partnership within the DFAT-HRG diluted or dominated HRG dialogue?</w:t>
                            </w:r>
                          </w:p>
                          <w:p w14:paraId="5B2E1853" w14:textId="77777777" w:rsidR="001C5460" w:rsidRPr="00C303D5" w:rsidRDefault="001C5460" w:rsidP="003E45FD">
                            <w:pPr>
                              <w:numPr>
                                <w:ilvl w:val="0"/>
                                <w:numId w:val="24"/>
                              </w:numPr>
                              <w:spacing w:after="120"/>
                              <w:contextualSpacing/>
                            </w:pPr>
                            <w:r w:rsidRPr="00C303D5">
                              <w:t xml:space="preserve">Do HRG members who do not receive funding experience significant benefits or drawbacks from engagement with the </w:t>
                            </w:r>
                            <w:r>
                              <w:t>partnership</w:t>
                            </w:r>
                            <w:r w:rsidRPr="00C303D5">
                              <w:t xml:space="preserve">? </w:t>
                            </w:r>
                          </w:p>
                          <w:p w14:paraId="12680F1B" w14:textId="77777777" w:rsidR="001C5460" w:rsidRPr="00C303D5" w:rsidRDefault="001C5460" w:rsidP="003E45FD">
                            <w:pPr>
                              <w:numPr>
                                <w:ilvl w:val="0"/>
                                <w:numId w:val="24"/>
                              </w:numPr>
                              <w:spacing w:after="120"/>
                              <w:contextualSpacing/>
                            </w:pPr>
                            <w:r w:rsidRPr="00C303D5">
                              <w:t>How has the peer review process fostered collaboration or created tensions among members?</w:t>
                            </w:r>
                          </w:p>
                          <w:p w14:paraId="3D184850" w14:textId="77777777" w:rsidR="001C5460" w:rsidRPr="00C303D5" w:rsidRDefault="001C5460" w:rsidP="003E45FD">
                            <w:pPr>
                              <w:numPr>
                                <w:ilvl w:val="0"/>
                                <w:numId w:val="24"/>
                              </w:numPr>
                              <w:spacing w:after="120"/>
                              <w:contextualSpacing/>
                            </w:pPr>
                            <w:r w:rsidRPr="00C303D5">
                              <w:t xml:space="preserve">What are the key ways in which the Support Unit has strengthened the DFAT-HRG partnership and how has this in turn strengthened humanitarian practice? </w:t>
                            </w:r>
                          </w:p>
                          <w:p w14:paraId="679B062B" w14:textId="77777777" w:rsidR="001C5460" w:rsidRPr="00C303D5" w:rsidRDefault="001C5460" w:rsidP="003E45FD">
                            <w:pPr>
                              <w:numPr>
                                <w:ilvl w:val="0"/>
                                <w:numId w:val="24"/>
                              </w:numPr>
                              <w:spacing w:after="120"/>
                              <w:contextualSpacing/>
                            </w:pPr>
                            <w:r w:rsidRPr="00C303D5">
                              <w:t xml:space="preserve">Has the context for collaboration changed? </w:t>
                            </w:r>
                          </w:p>
                          <w:p w14:paraId="4148890C" w14:textId="77777777" w:rsidR="001C5460" w:rsidRPr="00C303D5" w:rsidRDefault="001C5460" w:rsidP="003E45FD">
                            <w:pPr>
                              <w:numPr>
                                <w:ilvl w:val="0"/>
                                <w:numId w:val="24"/>
                              </w:numPr>
                              <w:spacing w:after="120"/>
                              <w:contextualSpacing/>
                            </w:pPr>
                            <w:r w:rsidRPr="00C303D5">
                              <w:t xml:space="preserve">Have specific joint appeals been particularly successful? Do HRG members perceive joint appeals to benefit or disadvantage the fundraising results of their own agencies? </w:t>
                            </w:r>
                          </w:p>
                          <w:p w14:paraId="16BE5AA4" w14:textId="77777777" w:rsidR="001C5460" w:rsidRPr="00C303D5" w:rsidRDefault="001C5460" w:rsidP="003E45FD">
                            <w:pPr>
                              <w:numPr>
                                <w:ilvl w:val="0"/>
                                <w:numId w:val="24"/>
                              </w:numPr>
                              <w:spacing w:after="120"/>
                              <w:contextualSpacing/>
                            </w:pPr>
                            <w:r w:rsidRPr="00C303D5">
                              <w:t>How many joint appeals and visibility initiatives were conducted? Is there evidence to indicate that this has resulted in a deeper awareness of the Australian public and/or result</w:t>
                            </w:r>
                            <w:r>
                              <w:t>ed</w:t>
                            </w:r>
                            <w:r w:rsidRPr="00C303D5">
                              <w:t xml:space="preserve"> in additional funding being allocated to agencies? </w:t>
                            </w:r>
                          </w:p>
                          <w:p w14:paraId="1FA811C8" w14:textId="77777777" w:rsidR="001C5460" w:rsidRDefault="001C5460" w:rsidP="003E4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left:0;text-align:left;margin-left:-3.2pt;margin-top:.4pt;width:450.65pt;height:25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" fillcolor="#a3c4ff" strokecolor="#4a7ebb" strokeweight="1.5pt">
                <v:fill color2="#e5eeff" rotate="t" angle="180" colors="0 #a3c4ff;22938f #bfd5ff;1 #e5eeff" focus="100%" type="gradient"/>
                <v:shadow on="t" color="black" opacity="24903f" origin=",.5" offset="0,.55556mm"/>
                <v:textbox>
                  <w:txbxContent>
                    <w:p w14:paraId="6797592E" w14:textId="77777777" w:rsidR="001C5460" w:rsidRPr="00C303D5" w:rsidRDefault="001C5460" w:rsidP="003E45FD">
                      <w:pPr>
                        <w:spacing w:after="120"/>
                        <w:contextualSpacing/>
                        <w:rPr>
                          <w:b/>
                        </w:rPr>
                      </w:pPr>
                      <w:r>
                        <w:rPr>
                          <w:b/>
                        </w:rPr>
                        <w:t xml:space="preserve">POSSIBLE </w:t>
                      </w:r>
                      <w:r w:rsidRPr="00C303D5">
                        <w:rPr>
                          <w:b/>
                        </w:rPr>
                        <w:t>DFAT-HRG REVIEW QUESTIONS:</w:t>
                      </w:r>
                    </w:p>
                    <w:p w14:paraId="344521CA" w14:textId="77777777" w:rsidR="001C5460" w:rsidRPr="00C303D5" w:rsidRDefault="001C5460" w:rsidP="003E45FD">
                      <w:pPr>
                        <w:numPr>
                          <w:ilvl w:val="0"/>
                          <w:numId w:val="24"/>
                        </w:numPr>
                        <w:spacing w:after="120"/>
                        <w:contextualSpacing/>
                      </w:pPr>
                      <w:r w:rsidRPr="00C303D5">
                        <w:t>Has locating the partnership within the DFAT-HRG diluted or dominated HRG dialogue?</w:t>
                      </w:r>
                    </w:p>
                    <w:p w14:paraId="5B2E1853" w14:textId="77777777" w:rsidR="001C5460" w:rsidRPr="00C303D5" w:rsidRDefault="001C5460" w:rsidP="003E45FD">
                      <w:pPr>
                        <w:numPr>
                          <w:ilvl w:val="0"/>
                          <w:numId w:val="24"/>
                        </w:numPr>
                        <w:spacing w:after="120"/>
                        <w:contextualSpacing/>
                      </w:pPr>
                      <w:r w:rsidRPr="00C303D5">
                        <w:t xml:space="preserve">Do HRG members who do not receive funding experience significant benefits or drawbacks from engagement with the </w:t>
                      </w:r>
                      <w:r>
                        <w:t>partnership</w:t>
                      </w:r>
                      <w:r w:rsidRPr="00C303D5">
                        <w:t xml:space="preserve">? </w:t>
                      </w:r>
                    </w:p>
                    <w:p w14:paraId="12680F1B" w14:textId="77777777" w:rsidR="001C5460" w:rsidRPr="00C303D5" w:rsidRDefault="001C5460" w:rsidP="003E45FD">
                      <w:pPr>
                        <w:numPr>
                          <w:ilvl w:val="0"/>
                          <w:numId w:val="24"/>
                        </w:numPr>
                        <w:spacing w:after="120"/>
                        <w:contextualSpacing/>
                      </w:pPr>
                      <w:r w:rsidRPr="00C303D5">
                        <w:t>How has the peer review process fostered collaboration or created tensions among members?</w:t>
                      </w:r>
                    </w:p>
                    <w:p w14:paraId="3D184850" w14:textId="77777777" w:rsidR="001C5460" w:rsidRPr="00C303D5" w:rsidRDefault="001C5460" w:rsidP="003E45FD">
                      <w:pPr>
                        <w:numPr>
                          <w:ilvl w:val="0"/>
                          <w:numId w:val="24"/>
                        </w:numPr>
                        <w:spacing w:after="120"/>
                        <w:contextualSpacing/>
                      </w:pPr>
                      <w:r w:rsidRPr="00C303D5">
                        <w:t xml:space="preserve">What are the key ways in which the Support Unit has strengthened the DFAT-HRG partnership and how has this in turn strengthened humanitarian practice? </w:t>
                      </w:r>
                    </w:p>
                    <w:p w14:paraId="679B062B" w14:textId="77777777" w:rsidR="001C5460" w:rsidRPr="00C303D5" w:rsidRDefault="001C5460" w:rsidP="003E45FD">
                      <w:pPr>
                        <w:numPr>
                          <w:ilvl w:val="0"/>
                          <w:numId w:val="24"/>
                        </w:numPr>
                        <w:spacing w:after="120"/>
                        <w:contextualSpacing/>
                      </w:pPr>
                      <w:r w:rsidRPr="00C303D5">
                        <w:t xml:space="preserve">Has the context for collaboration changed? </w:t>
                      </w:r>
                    </w:p>
                    <w:p w14:paraId="4148890C" w14:textId="77777777" w:rsidR="001C5460" w:rsidRPr="00C303D5" w:rsidRDefault="001C5460" w:rsidP="003E45FD">
                      <w:pPr>
                        <w:numPr>
                          <w:ilvl w:val="0"/>
                          <w:numId w:val="24"/>
                        </w:numPr>
                        <w:spacing w:after="120"/>
                        <w:contextualSpacing/>
                      </w:pPr>
                      <w:r w:rsidRPr="00C303D5">
                        <w:t xml:space="preserve">Have specific joint appeals been particularly successful? Do HRG members perceive joint appeals to benefit or disadvantage the fundraising results of their own agencies? </w:t>
                      </w:r>
                    </w:p>
                    <w:p w14:paraId="16BE5AA4" w14:textId="77777777" w:rsidR="001C5460" w:rsidRPr="00C303D5" w:rsidRDefault="001C5460" w:rsidP="003E45FD">
                      <w:pPr>
                        <w:numPr>
                          <w:ilvl w:val="0"/>
                          <w:numId w:val="24"/>
                        </w:numPr>
                        <w:spacing w:after="120"/>
                        <w:contextualSpacing/>
                      </w:pPr>
                      <w:r w:rsidRPr="00C303D5">
                        <w:t>How many joint appeals and visibility initiatives were conducted? Is there evidence to indicate that this has resulted in a deeper awareness of the Australian public and/or result</w:t>
                      </w:r>
                      <w:r>
                        <w:t>ed</w:t>
                      </w:r>
                      <w:r w:rsidRPr="00C303D5">
                        <w:t xml:space="preserve"> in additional funding being allocated to agencies? </w:t>
                      </w:r>
                    </w:p>
                    <w:p w14:paraId="1FA811C8" w14:textId="77777777" w:rsidR="001C5460" w:rsidRDefault="001C5460" w:rsidP="003E45FD"/>
                  </w:txbxContent>
                </v:textbox>
                <w10:wrap type="square"/>
              </v:shape>
            </w:pict>
          </mc:Fallback>
        </mc:AlternateContent>
      </w:r>
      <w:r w:rsidRPr="00A00184">
        <w:rPr>
          <w:b/>
          <w:color w:val="4F81BD" w:themeColor="accent1"/>
        </w:rPr>
        <w:t>Overall Partnership MEL</w:t>
      </w:r>
    </w:p>
    <w:p w14:paraId="5D656658" w14:textId="77777777" w:rsidR="003E45FD" w:rsidRDefault="003E45FD" w:rsidP="003E45FD">
      <w:pPr>
        <w:spacing w:after="240"/>
        <w:jc w:val="both"/>
        <w:rPr>
          <w:rFonts w:ascii="Calibri" w:eastAsia="Calibri" w:hAnsi="Calibri" w:cs="Times New Roman"/>
        </w:rPr>
      </w:pPr>
      <w:r w:rsidRPr="000B4674">
        <w:rPr>
          <w:rFonts w:ascii="Calibri" w:eastAsia="Calibri" w:hAnsi="Calibri" w:cs="Times New Roman"/>
          <w:b/>
          <w:noProof/>
          <w:lang w:eastAsia="en-AU"/>
        </w:rPr>
        <mc:AlternateContent>
          <mc:Choice Requires="wps">
            <w:drawing>
              <wp:anchor distT="0" distB="0" distL="114300" distR="114300" simplePos="0" relativeHeight="251691008" behindDoc="0" locked="0" layoutInCell="1" allowOverlap="1" wp14:anchorId="78F19C57" wp14:editId="6807A0D3">
                <wp:simplePos x="0" y="0"/>
                <wp:positionH relativeFrom="column">
                  <wp:posOffset>-1905</wp:posOffset>
                </wp:positionH>
                <wp:positionV relativeFrom="paragraph">
                  <wp:posOffset>2335530</wp:posOffset>
                </wp:positionV>
                <wp:extent cx="5762625" cy="2009775"/>
                <wp:effectExtent l="57150" t="38100" r="85725" b="104775"/>
                <wp:wrapSquare wrapText="bothSides"/>
                <wp:docPr id="20" name="Text Box 20"/>
                <wp:cNvGraphicFramePr/>
                <a:graphic xmlns:a="http://schemas.openxmlformats.org/drawingml/2006/main">
                  <a:graphicData uri="http://schemas.microsoft.com/office/word/2010/wordprocessingShape">
                    <wps:wsp>
                      <wps:cNvSpPr txBox="1"/>
                      <wps:spPr>
                        <a:xfrm>
                          <a:off x="0" y="0"/>
                          <a:ext cx="5762625" cy="20097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1CCEEC8" w14:textId="77777777" w:rsidR="001C5460" w:rsidRPr="00A94DAD" w:rsidRDefault="001C5460" w:rsidP="003E45FD">
                            <w:pPr>
                              <w:spacing w:after="240"/>
                              <w:contextualSpacing/>
                              <w:rPr>
                                <w:b/>
                              </w:rPr>
                            </w:pPr>
                            <w:r w:rsidRPr="00A94DAD">
                              <w:rPr>
                                <w:b/>
                              </w:rPr>
                              <w:t>OVERALL PARTNERSHIP EVALUATION QUESTIONS:</w:t>
                            </w:r>
                          </w:p>
                          <w:p w14:paraId="5DF16BC9" w14:textId="77777777" w:rsidR="001C5460" w:rsidRDefault="001C5460" w:rsidP="003E45FD">
                            <w:pPr>
                              <w:numPr>
                                <w:ilvl w:val="0"/>
                                <w:numId w:val="24"/>
                              </w:numPr>
                              <w:spacing w:after="240"/>
                              <w:contextualSpacing/>
                            </w:pPr>
                            <w:r w:rsidRPr="00A94DAD">
                              <w:t>Is the overall program theory sound? (Are the assumptions correct?</w:t>
                            </w:r>
                            <w:r>
                              <w:t>)</w:t>
                            </w:r>
                          </w:p>
                          <w:p w14:paraId="11C0E50D" w14:textId="77777777" w:rsidR="001C5460" w:rsidRDefault="001C5460" w:rsidP="003E45FD">
                            <w:pPr>
                              <w:numPr>
                                <w:ilvl w:val="0"/>
                                <w:numId w:val="24"/>
                              </w:numPr>
                              <w:spacing w:after="240"/>
                              <w:contextualSpacing/>
                            </w:pPr>
                            <w:r>
                              <w:t>To what extent is the partnership achieving outcomes in each of the three outcome areas</w:t>
                            </w:r>
                            <w:r w:rsidRPr="00A94DAD">
                              <w:t xml:space="preserve">? </w:t>
                            </w:r>
                          </w:p>
                          <w:p w14:paraId="301FCDD5" w14:textId="77777777" w:rsidR="001C5460" w:rsidRPr="00A94DAD" w:rsidRDefault="001C5460" w:rsidP="003E45FD">
                            <w:pPr>
                              <w:numPr>
                                <w:ilvl w:val="0"/>
                                <w:numId w:val="24"/>
                              </w:numPr>
                              <w:spacing w:after="240"/>
                              <w:contextualSpacing/>
                            </w:pPr>
                            <w:r w:rsidRPr="00A94DAD">
                              <w:t>Are the expected outcomes and measure</w:t>
                            </w:r>
                            <w:r>
                              <w:t>s</w:t>
                            </w:r>
                            <w:r w:rsidRPr="00A94DAD">
                              <w:t xml:space="preserve"> of success still relevant?</w:t>
                            </w:r>
                          </w:p>
                          <w:p w14:paraId="4F28415D" w14:textId="77777777" w:rsidR="001C5460" w:rsidRPr="00A94DAD" w:rsidRDefault="001C5460" w:rsidP="003E45FD">
                            <w:pPr>
                              <w:numPr>
                                <w:ilvl w:val="0"/>
                                <w:numId w:val="24"/>
                              </w:numPr>
                              <w:spacing w:after="240"/>
                              <w:contextualSpacing/>
                            </w:pPr>
                            <w:r w:rsidRPr="00A94DAD">
                              <w:t xml:space="preserve">Do DFAT and HRG </w:t>
                            </w:r>
                            <w:r>
                              <w:t>member NGOs</w:t>
                            </w:r>
                            <w:r w:rsidRPr="00A94DAD">
                              <w:t xml:space="preserve"> have sufficient commitment to, investment in and ownership of the partnership? What shortfalls need to be addressed?</w:t>
                            </w:r>
                          </w:p>
                          <w:p w14:paraId="56607695" w14:textId="77777777" w:rsidR="001C5460" w:rsidRPr="00A94DAD" w:rsidRDefault="001C5460" w:rsidP="003E45FD">
                            <w:pPr>
                              <w:numPr>
                                <w:ilvl w:val="0"/>
                                <w:numId w:val="24"/>
                              </w:numPr>
                              <w:spacing w:after="240"/>
                              <w:contextualSpacing/>
                            </w:pPr>
                            <w:r w:rsidRPr="00A94DAD">
                              <w:t xml:space="preserve">Are the capabilities and resources within the Support Unit and within participating partner organisations sufficient to ensure the partnership functions as intended?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left:0;text-align:left;margin-left:-.15pt;margin-top:183.9pt;width:453.75pt;height:15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" fillcolor="#a3c4ff" strokecolor="#4a7ebb" strokeweight="1.5pt">
                <v:fill color2="#e5eeff" rotate="t" angle="180" colors="0 #a3c4ff;22938f #bfd5ff;1 #e5eeff" focus="100%" type="gradient"/>
                <v:shadow on="t" color="black" opacity="24903f" origin=",.5" offset="0,.55556mm"/>
                <v:textbox>
                  <w:txbxContent>
                    <w:p w14:paraId="71CCEEC8" w14:textId="77777777" w:rsidR="001C5460" w:rsidRPr="00A94DAD" w:rsidRDefault="001C5460" w:rsidP="003E45FD">
                      <w:pPr>
                        <w:spacing w:after="240"/>
                        <w:contextualSpacing/>
                        <w:rPr>
                          <w:b/>
                        </w:rPr>
                      </w:pPr>
                      <w:r w:rsidRPr="00A94DAD">
                        <w:rPr>
                          <w:b/>
                        </w:rPr>
                        <w:t>OVERALL PARTNERSHIP EVALUATION QUESTIONS:</w:t>
                      </w:r>
                    </w:p>
                    <w:p w14:paraId="5DF16BC9" w14:textId="77777777" w:rsidR="001C5460" w:rsidRDefault="001C5460" w:rsidP="003E45FD">
                      <w:pPr>
                        <w:numPr>
                          <w:ilvl w:val="0"/>
                          <w:numId w:val="24"/>
                        </w:numPr>
                        <w:spacing w:after="240"/>
                        <w:contextualSpacing/>
                      </w:pPr>
                      <w:r w:rsidRPr="00A94DAD">
                        <w:t>Is the overall program theory sound? (Are the assumptions correct?</w:t>
                      </w:r>
                      <w:r>
                        <w:t>)</w:t>
                      </w:r>
                    </w:p>
                    <w:p w14:paraId="11C0E50D" w14:textId="77777777" w:rsidR="001C5460" w:rsidRDefault="001C5460" w:rsidP="003E45FD">
                      <w:pPr>
                        <w:numPr>
                          <w:ilvl w:val="0"/>
                          <w:numId w:val="24"/>
                        </w:numPr>
                        <w:spacing w:after="240"/>
                        <w:contextualSpacing/>
                      </w:pPr>
                      <w:r>
                        <w:t>To what extent is the partnership achieving outcomes in each of the three outcome areas</w:t>
                      </w:r>
                      <w:r w:rsidRPr="00A94DAD">
                        <w:t xml:space="preserve">? </w:t>
                      </w:r>
                    </w:p>
                    <w:p w14:paraId="301FCDD5" w14:textId="77777777" w:rsidR="001C5460" w:rsidRPr="00A94DAD" w:rsidRDefault="001C5460" w:rsidP="003E45FD">
                      <w:pPr>
                        <w:numPr>
                          <w:ilvl w:val="0"/>
                          <w:numId w:val="24"/>
                        </w:numPr>
                        <w:spacing w:after="240"/>
                        <w:contextualSpacing/>
                      </w:pPr>
                      <w:r w:rsidRPr="00A94DAD">
                        <w:t>Are the expected outcomes and measure</w:t>
                      </w:r>
                      <w:r>
                        <w:t>s</w:t>
                      </w:r>
                      <w:r w:rsidRPr="00A94DAD">
                        <w:t xml:space="preserve"> of success still relevant?</w:t>
                      </w:r>
                    </w:p>
                    <w:p w14:paraId="4F28415D" w14:textId="77777777" w:rsidR="001C5460" w:rsidRPr="00A94DAD" w:rsidRDefault="001C5460" w:rsidP="003E45FD">
                      <w:pPr>
                        <w:numPr>
                          <w:ilvl w:val="0"/>
                          <w:numId w:val="24"/>
                        </w:numPr>
                        <w:spacing w:after="240"/>
                        <w:contextualSpacing/>
                      </w:pPr>
                      <w:r w:rsidRPr="00A94DAD">
                        <w:t xml:space="preserve">Do DFAT and HRG </w:t>
                      </w:r>
                      <w:r>
                        <w:t>member NGOs</w:t>
                      </w:r>
                      <w:r w:rsidRPr="00A94DAD">
                        <w:t xml:space="preserve"> have sufficient commitment to, investment in and ownership of the partnership? What shortfalls need to be addressed?</w:t>
                      </w:r>
                    </w:p>
                    <w:p w14:paraId="56607695" w14:textId="77777777" w:rsidR="001C5460" w:rsidRPr="00A94DAD" w:rsidRDefault="001C5460" w:rsidP="003E45FD">
                      <w:pPr>
                        <w:numPr>
                          <w:ilvl w:val="0"/>
                          <w:numId w:val="24"/>
                        </w:numPr>
                        <w:spacing w:after="240"/>
                        <w:contextualSpacing/>
                      </w:pPr>
                      <w:r w:rsidRPr="00A94DAD">
                        <w:t xml:space="preserve">Are the capabilities and resources within the Support Unit and within participating partner organisations sufficient to ensure the partnership functions as intended? </w:t>
                      </w:r>
                    </w:p>
                  </w:txbxContent>
                </v:textbox>
                <w10:wrap type="square"/>
              </v:shape>
            </w:pict>
          </mc:Fallback>
        </mc:AlternateContent>
      </w:r>
      <w:r w:rsidRPr="000B4674">
        <w:rPr>
          <w:rFonts w:ascii="Calibri" w:eastAsia="Calibri" w:hAnsi="Calibri" w:cs="Times New Roman"/>
          <w:b/>
        </w:rPr>
        <w:t xml:space="preserve">The MEL processes and products produced through the different </w:t>
      </w:r>
      <w:r>
        <w:rPr>
          <w:rFonts w:ascii="Calibri" w:eastAsia="Calibri" w:hAnsi="Calibri" w:cs="Times New Roman"/>
          <w:b/>
        </w:rPr>
        <w:t>outcome areas</w:t>
      </w:r>
      <w:r w:rsidRPr="000B4674">
        <w:rPr>
          <w:rFonts w:ascii="Calibri" w:eastAsia="Calibri" w:hAnsi="Calibri" w:cs="Times New Roman"/>
          <w:b/>
        </w:rPr>
        <w:t xml:space="preserve"> will feed into the overall partnership MEL as represented in</w:t>
      </w:r>
      <w:r w:rsidRPr="004C38B2">
        <w:rPr>
          <w:rFonts w:ascii="Calibri" w:eastAsia="Calibri" w:hAnsi="Calibri" w:cs="Times New Roman"/>
        </w:rPr>
        <w:t xml:space="preserve"> </w:t>
      </w:r>
      <w:r w:rsidRPr="00626C77">
        <w:rPr>
          <w:rFonts w:ascii="Calibri" w:eastAsia="Calibri" w:hAnsi="Calibri" w:cs="Times New Roman"/>
          <w:b/>
          <w:u w:val="single"/>
        </w:rPr>
        <w:t xml:space="preserve">Annex </w:t>
      </w:r>
      <w:r>
        <w:rPr>
          <w:rFonts w:ascii="Calibri" w:eastAsia="Calibri" w:hAnsi="Calibri" w:cs="Times New Roman"/>
          <w:b/>
          <w:u w:val="single"/>
        </w:rPr>
        <w:t>5</w:t>
      </w:r>
      <w:r w:rsidRPr="004C38B2">
        <w:rPr>
          <w:rFonts w:ascii="Calibri" w:eastAsia="Calibri" w:hAnsi="Calibri" w:cs="Times New Roman"/>
        </w:rPr>
        <w:t>.</w:t>
      </w:r>
      <w:r>
        <w:rPr>
          <w:rFonts w:ascii="Calibri" w:eastAsia="Calibri" w:hAnsi="Calibri" w:cs="Times New Roman"/>
        </w:rPr>
        <w:t xml:space="preserve"> This will be assessed through an independent mid-term review and a final review.</w:t>
      </w:r>
      <w:r w:rsidRPr="004C38B2">
        <w:rPr>
          <w:rFonts w:ascii="Calibri" w:eastAsia="Calibri" w:hAnsi="Calibri" w:cs="Times New Roman"/>
        </w:rPr>
        <w:t xml:space="preserve"> The Support Unit will work to assess key aspects of the partnership’s performance and support continuous improvement.</w:t>
      </w:r>
      <w:r>
        <w:rPr>
          <w:rFonts w:ascii="Calibri" w:eastAsia="Calibri" w:hAnsi="Calibri" w:cs="Times New Roman"/>
        </w:rPr>
        <w:t xml:space="preserve"> T</w:t>
      </w:r>
      <w:r w:rsidRPr="004C38B2">
        <w:rPr>
          <w:rFonts w:ascii="Calibri" w:eastAsia="Calibri" w:hAnsi="Calibri" w:cs="Times New Roman"/>
        </w:rPr>
        <w:t xml:space="preserve">he partnership is expected to evolve over the five year period. It will be important to test the program’s theory and its foundations, and </w:t>
      </w:r>
      <w:r>
        <w:rPr>
          <w:rFonts w:ascii="Calibri" w:eastAsia="Calibri" w:hAnsi="Calibri" w:cs="Times New Roman"/>
        </w:rPr>
        <w:t>whether</w:t>
      </w:r>
      <w:r w:rsidRPr="004C38B2">
        <w:rPr>
          <w:rFonts w:ascii="Calibri" w:eastAsia="Calibri" w:hAnsi="Calibri" w:cs="Times New Roman"/>
        </w:rPr>
        <w:t xml:space="preserve"> the mechanism has been appropriately designed to deliver the end of investment outcomes. It will also be important to ensure the necessary structures, capabilities and resources are in place and make any necessary adjustments. </w:t>
      </w:r>
      <w:r w:rsidRPr="000B4674">
        <w:rPr>
          <w:rFonts w:ascii="Calibri" w:eastAsia="Calibri" w:hAnsi="Calibri" w:cs="Times New Roman"/>
          <w:b/>
        </w:rPr>
        <w:t xml:space="preserve">Core questions to guide the assessment of the overall partnership </w:t>
      </w:r>
      <w:r>
        <w:rPr>
          <w:rFonts w:ascii="Calibri" w:eastAsia="Calibri" w:hAnsi="Calibri" w:cs="Times New Roman"/>
        </w:rPr>
        <w:t xml:space="preserve">that could be incorporated into the MTR </w:t>
      </w:r>
      <w:r w:rsidRPr="00114530">
        <w:rPr>
          <w:rFonts w:ascii="Calibri" w:eastAsia="Calibri" w:hAnsi="Calibri" w:cs="Times New Roman"/>
        </w:rPr>
        <w:t>are provided</w:t>
      </w:r>
      <w:r w:rsidRPr="00A107A2">
        <w:rPr>
          <w:rFonts w:ascii="Calibri" w:eastAsia="Calibri" w:hAnsi="Calibri" w:cs="Times New Roman"/>
        </w:rPr>
        <w:t>.</w:t>
      </w:r>
      <w:r w:rsidRPr="004C38B2">
        <w:rPr>
          <w:rFonts w:ascii="Calibri" w:eastAsia="Calibri" w:hAnsi="Calibri" w:cs="Times New Roman"/>
        </w:rPr>
        <w:t xml:space="preserve"> </w:t>
      </w:r>
    </w:p>
    <w:p w14:paraId="16141F87" w14:textId="77777777" w:rsidR="003E45FD" w:rsidRDefault="003E45FD" w:rsidP="003E45FD">
      <w:pPr>
        <w:jc w:val="both"/>
        <w:rPr>
          <w:rFonts w:ascii="Calibri" w:eastAsia="Calibri" w:hAnsi="Calibri" w:cs="Times New Roman"/>
          <w:b/>
          <w:color w:val="4F81BD"/>
        </w:rPr>
      </w:pPr>
    </w:p>
    <w:p w14:paraId="1D0A448E" w14:textId="77777777" w:rsidR="003E45FD" w:rsidRDefault="003E45FD" w:rsidP="003E45FD">
      <w:pPr>
        <w:jc w:val="both"/>
        <w:rPr>
          <w:rFonts w:ascii="Calibri" w:eastAsia="Calibri" w:hAnsi="Calibri" w:cs="Times New Roman"/>
          <w:b/>
          <w:color w:val="4F81BD"/>
        </w:rPr>
      </w:pPr>
    </w:p>
    <w:p w14:paraId="2DF4AC24" w14:textId="77777777" w:rsidR="003E45FD" w:rsidRDefault="003E45FD" w:rsidP="003E45FD">
      <w:pPr>
        <w:jc w:val="both"/>
        <w:rPr>
          <w:rFonts w:ascii="Calibri" w:eastAsia="Calibri" w:hAnsi="Calibri" w:cs="Times New Roman"/>
          <w:b/>
          <w:color w:val="4F81BD"/>
        </w:rPr>
      </w:pPr>
    </w:p>
    <w:p w14:paraId="1E7CAF88" w14:textId="77777777" w:rsidR="003E45FD" w:rsidRPr="00A00184" w:rsidRDefault="003E45FD" w:rsidP="003E45FD">
      <w:pPr>
        <w:spacing w:before="120" w:after="240"/>
        <w:jc w:val="both"/>
        <w:rPr>
          <w:b/>
          <w:color w:val="4F81BD" w:themeColor="accent1"/>
        </w:rPr>
      </w:pPr>
      <w:r w:rsidRPr="00A00184">
        <w:rPr>
          <w:b/>
          <w:color w:val="4F81BD" w:themeColor="accent1"/>
        </w:rPr>
        <w:lastRenderedPageBreak/>
        <w:t>Learning, sharing and dissemination of MEL products</w:t>
      </w:r>
    </w:p>
    <w:p w14:paraId="3066AEB4" w14:textId="77777777" w:rsidR="003E45FD" w:rsidRPr="004C38B2" w:rsidRDefault="003E45FD" w:rsidP="003E45FD">
      <w:pPr>
        <w:spacing w:after="240"/>
        <w:jc w:val="both"/>
        <w:rPr>
          <w:rFonts w:ascii="Calibri" w:eastAsia="Calibri" w:hAnsi="Calibri" w:cs="Times New Roman"/>
        </w:rPr>
      </w:pPr>
      <w:r w:rsidRPr="006A010C">
        <w:rPr>
          <w:rFonts w:ascii="Calibri" w:eastAsia="Calibri" w:hAnsi="Calibri" w:cs="Times New Roman"/>
          <w:b/>
        </w:rPr>
        <w:t>The Support Unit will play a key role in coordinating and leading MEL</w:t>
      </w:r>
      <w:r w:rsidRPr="004C38B2">
        <w:rPr>
          <w:rFonts w:ascii="Calibri" w:eastAsia="Calibri" w:hAnsi="Calibri" w:cs="Times New Roman"/>
        </w:rPr>
        <w:t xml:space="preserve">. This </w:t>
      </w:r>
      <w:r>
        <w:rPr>
          <w:rFonts w:ascii="Calibri" w:eastAsia="Calibri" w:hAnsi="Calibri" w:cs="Times New Roman"/>
        </w:rPr>
        <w:t xml:space="preserve">investment of </w:t>
      </w:r>
      <w:r w:rsidRPr="004C38B2">
        <w:rPr>
          <w:rFonts w:ascii="Calibri" w:eastAsia="Calibri" w:hAnsi="Calibri" w:cs="Times New Roman"/>
        </w:rPr>
        <w:t>resource</w:t>
      </w:r>
      <w:r>
        <w:rPr>
          <w:rFonts w:ascii="Calibri" w:eastAsia="Calibri" w:hAnsi="Calibri" w:cs="Times New Roman"/>
        </w:rPr>
        <w:t>s</w:t>
      </w:r>
      <w:r w:rsidRPr="004C38B2">
        <w:rPr>
          <w:rFonts w:ascii="Calibri" w:eastAsia="Calibri" w:hAnsi="Calibri" w:cs="Times New Roman"/>
        </w:rPr>
        <w:t xml:space="preserve"> is expected to support the partnership to be able </w:t>
      </w:r>
      <w:r>
        <w:rPr>
          <w:rFonts w:ascii="Calibri" w:eastAsia="Calibri" w:hAnsi="Calibri" w:cs="Times New Roman"/>
        </w:rPr>
        <w:t xml:space="preserve">to </w:t>
      </w:r>
      <w:r w:rsidRPr="004C38B2">
        <w:rPr>
          <w:rFonts w:ascii="Calibri" w:eastAsia="Calibri" w:hAnsi="Calibri" w:cs="Times New Roman"/>
        </w:rPr>
        <w:t xml:space="preserve">measure results, and deepen </w:t>
      </w:r>
      <w:r w:rsidR="006A6579">
        <w:rPr>
          <w:rFonts w:ascii="Calibri" w:eastAsia="Calibri" w:hAnsi="Calibri" w:cs="Times New Roman"/>
        </w:rPr>
        <w:t>mutual</w:t>
      </w:r>
      <w:r w:rsidRPr="004C38B2">
        <w:rPr>
          <w:rFonts w:ascii="Calibri" w:eastAsia="Calibri" w:hAnsi="Calibri" w:cs="Times New Roman"/>
        </w:rPr>
        <w:t xml:space="preserve"> learning. </w:t>
      </w:r>
    </w:p>
    <w:p w14:paraId="6E48EF01" w14:textId="686C23A2" w:rsidR="003E45FD" w:rsidRPr="004C38B2" w:rsidRDefault="003E45FD" w:rsidP="003E45FD">
      <w:pPr>
        <w:spacing w:after="240"/>
        <w:jc w:val="both"/>
        <w:rPr>
          <w:rFonts w:ascii="Calibri" w:eastAsia="Calibri" w:hAnsi="Calibri" w:cs="Times New Roman"/>
        </w:rPr>
      </w:pPr>
      <w:r w:rsidRPr="00080091">
        <w:rPr>
          <w:rFonts w:ascii="Calibri" w:eastAsia="Calibri" w:hAnsi="Calibri" w:cs="Times New Roman"/>
          <w:b/>
        </w:rPr>
        <w:t>The Support Unit will help to facilitate ‘lesson learning’ meetings for response activities</w:t>
      </w:r>
      <w:r w:rsidRPr="004C38B2">
        <w:rPr>
          <w:rFonts w:ascii="Calibri" w:eastAsia="Calibri" w:hAnsi="Calibri" w:cs="Times New Roman"/>
        </w:rPr>
        <w:t xml:space="preserve">. The Support Unit will hold responsibility for documenting and sharing learnings in relation to innovations in </w:t>
      </w:r>
      <w:r w:rsidR="00554A4A">
        <w:rPr>
          <w:rFonts w:ascii="Calibri" w:eastAsia="Calibri" w:hAnsi="Calibri" w:cs="Times New Roman"/>
        </w:rPr>
        <w:t xml:space="preserve">response, </w:t>
      </w:r>
      <w:r w:rsidRPr="004C38B2">
        <w:rPr>
          <w:rFonts w:ascii="Calibri" w:eastAsia="Calibri" w:hAnsi="Calibri" w:cs="Times New Roman"/>
        </w:rPr>
        <w:t xml:space="preserve">DRR and resilience practice. As outlined above, it will also coordinate joint crisis response and recovery evaluations. </w:t>
      </w:r>
      <w:r>
        <w:rPr>
          <w:rFonts w:ascii="Calibri" w:eastAsia="Calibri" w:hAnsi="Calibri" w:cs="Times New Roman"/>
        </w:rPr>
        <w:t>T</w:t>
      </w:r>
      <w:r w:rsidRPr="004C38B2">
        <w:rPr>
          <w:rFonts w:ascii="Calibri" w:eastAsia="Calibri" w:hAnsi="Calibri" w:cs="Times New Roman"/>
        </w:rPr>
        <w:t xml:space="preserve">he Support Unit will commission meta and strategic evaluations to deepen analysis and assessments of key aspects of the partnership; areas of enquiry may relate to any of the three </w:t>
      </w:r>
      <w:r w:rsidR="00B07486">
        <w:rPr>
          <w:rFonts w:ascii="Calibri" w:eastAsia="Calibri" w:hAnsi="Calibri" w:cs="Times New Roman"/>
        </w:rPr>
        <w:t>outcome</w:t>
      </w:r>
      <w:r w:rsidRPr="004C38B2">
        <w:rPr>
          <w:rFonts w:ascii="Calibri" w:eastAsia="Calibri" w:hAnsi="Calibri" w:cs="Times New Roman"/>
        </w:rPr>
        <w:t xml:space="preserve"> </w:t>
      </w:r>
      <w:r>
        <w:rPr>
          <w:rFonts w:ascii="Calibri" w:eastAsia="Calibri" w:hAnsi="Calibri" w:cs="Times New Roman"/>
        </w:rPr>
        <w:t>areas</w:t>
      </w:r>
      <w:r w:rsidRPr="004C38B2">
        <w:rPr>
          <w:rFonts w:ascii="Calibri" w:eastAsia="Calibri" w:hAnsi="Calibri" w:cs="Times New Roman"/>
        </w:rPr>
        <w:t xml:space="preserve"> and will be determined by DFAT-HRG. </w:t>
      </w:r>
    </w:p>
    <w:p w14:paraId="7F05DB5E" w14:textId="77777777" w:rsidR="003E45FD" w:rsidRPr="004C38B2" w:rsidRDefault="003E45FD" w:rsidP="003E45FD">
      <w:pPr>
        <w:spacing w:after="240"/>
        <w:jc w:val="both"/>
        <w:rPr>
          <w:rFonts w:ascii="Calibri" w:eastAsia="Calibri" w:hAnsi="Calibri" w:cs="Times New Roman"/>
        </w:rPr>
      </w:pPr>
      <w:r>
        <w:rPr>
          <w:rFonts w:ascii="Calibri" w:eastAsia="Calibri" w:hAnsi="Calibri" w:cs="Times New Roman"/>
          <w:b/>
        </w:rPr>
        <w:t xml:space="preserve">When learning events occur, </w:t>
      </w:r>
      <w:r w:rsidR="00E00CBA">
        <w:rPr>
          <w:rFonts w:ascii="Calibri" w:eastAsia="Calibri" w:hAnsi="Calibri" w:cs="Times New Roman"/>
          <w:b/>
        </w:rPr>
        <w:t xml:space="preserve">funded NGO </w:t>
      </w:r>
      <w:r>
        <w:rPr>
          <w:rFonts w:ascii="Calibri" w:eastAsia="Calibri" w:hAnsi="Calibri" w:cs="Times New Roman"/>
          <w:b/>
        </w:rPr>
        <w:t>p</w:t>
      </w:r>
      <w:r w:rsidRPr="006A010C">
        <w:rPr>
          <w:rFonts w:ascii="Calibri" w:eastAsia="Calibri" w:hAnsi="Calibri" w:cs="Times New Roman"/>
          <w:b/>
        </w:rPr>
        <w:t>artners will be encouraged to invite local staff from their implementing partner organisations</w:t>
      </w:r>
      <w:r>
        <w:rPr>
          <w:rFonts w:ascii="Calibri" w:eastAsia="Calibri" w:hAnsi="Calibri" w:cs="Times New Roman"/>
          <w:b/>
        </w:rPr>
        <w:t xml:space="preserve"> to participate</w:t>
      </w:r>
      <w:r w:rsidRPr="004C38B2">
        <w:rPr>
          <w:rFonts w:ascii="Calibri" w:eastAsia="Calibri" w:hAnsi="Calibri" w:cs="Times New Roman"/>
        </w:rPr>
        <w:t xml:space="preserve">. The Support Unit in collaboration with </w:t>
      </w:r>
      <w:r w:rsidR="00E00CBA">
        <w:rPr>
          <w:rFonts w:ascii="Calibri" w:eastAsia="Calibri" w:hAnsi="Calibri" w:cs="Times New Roman"/>
        </w:rPr>
        <w:t xml:space="preserve">funded </w:t>
      </w:r>
      <w:r w:rsidRPr="004C38B2">
        <w:rPr>
          <w:rFonts w:ascii="Calibri" w:eastAsia="Calibri" w:hAnsi="Calibri" w:cs="Times New Roman"/>
        </w:rPr>
        <w:t>NGO</w:t>
      </w:r>
      <w:r w:rsidR="00E00CBA">
        <w:rPr>
          <w:rFonts w:ascii="Calibri" w:eastAsia="Calibri" w:hAnsi="Calibri" w:cs="Times New Roman"/>
        </w:rPr>
        <w:t xml:space="preserve"> partner</w:t>
      </w:r>
      <w:r w:rsidRPr="004C38B2">
        <w:rPr>
          <w:rFonts w:ascii="Calibri" w:eastAsia="Calibri" w:hAnsi="Calibri" w:cs="Times New Roman"/>
        </w:rPr>
        <w:t xml:space="preserve">s will also ensure learning documents and collective evaluation reports are disseminated to implementing partners. It is important to ensure collective Australian learnings are shared with local stakeholders on the ground, as this was identified as a gap of the predecessor mechanism. </w:t>
      </w:r>
    </w:p>
    <w:p w14:paraId="1EBD9578" w14:textId="77777777" w:rsidR="003E45FD" w:rsidRPr="004C38B2" w:rsidRDefault="003E45FD" w:rsidP="003E45FD">
      <w:pPr>
        <w:spacing w:after="240"/>
        <w:jc w:val="both"/>
        <w:rPr>
          <w:rFonts w:ascii="Calibri" w:eastAsia="Calibri" w:hAnsi="Calibri" w:cs="Times New Roman"/>
        </w:rPr>
      </w:pPr>
      <w:r w:rsidRPr="004C38B2">
        <w:rPr>
          <w:rFonts w:ascii="Calibri" w:eastAsia="Calibri" w:hAnsi="Calibri" w:cs="Times New Roman"/>
        </w:rPr>
        <w:t xml:space="preserve">Another key gap of the HPA was the lack of take up of evaluation and review recommendations. The Support Unit will manage and monitor a </w:t>
      </w:r>
      <w:r w:rsidRPr="00737D62">
        <w:rPr>
          <w:rFonts w:ascii="Calibri" w:eastAsia="Calibri" w:hAnsi="Calibri" w:cs="Times New Roman"/>
          <w:b/>
        </w:rPr>
        <w:t>recommendations register</w:t>
      </w:r>
      <w:r w:rsidRPr="004C38B2">
        <w:rPr>
          <w:rFonts w:ascii="Calibri" w:eastAsia="Calibri" w:hAnsi="Calibri" w:cs="Times New Roman"/>
        </w:rPr>
        <w:t xml:space="preserve"> and work with the HRG and DFAT to develop action plans to ensure recommendations are taken forward. </w:t>
      </w:r>
      <w:r>
        <w:rPr>
          <w:rFonts w:ascii="Calibri" w:eastAsia="Calibri" w:hAnsi="Calibri" w:cs="Times New Roman"/>
        </w:rPr>
        <w:t>Processes for activation of funding will reference lessons learned in previous activations, as outlined in section 3 above.</w:t>
      </w:r>
    </w:p>
    <w:p w14:paraId="6A1BDADB" w14:textId="77777777" w:rsidR="003E45FD" w:rsidRPr="00A00184" w:rsidRDefault="003E45FD" w:rsidP="003E45FD">
      <w:pPr>
        <w:spacing w:before="120" w:after="240"/>
        <w:jc w:val="both"/>
        <w:rPr>
          <w:b/>
          <w:color w:val="4F81BD" w:themeColor="accent1"/>
        </w:rPr>
      </w:pPr>
      <w:r w:rsidRPr="00A00184">
        <w:rPr>
          <w:b/>
          <w:color w:val="4F81BD" w:themeColor="accent1"/>
        </w:rPr>
        <w:t xml:space="preserve">MEL roles and responsibilities </w:t>
      </w:r>
    </w:p>
    <w:p w14:paraId="49A80196" w14:textId="77777777" w:rsidR="003E45FD" w:rsidRPr="004C38B2" w:rsidRDefault="003E45FD" w:rsidP="003E45FD">
      <w:pPr>
        <w:spacing w:after="240"/>
        <w:jc w:val="both"/>
        <w:rPr>
          <w:rFonts w:ascii="Calibri" w:eastAsia="Calibri" w:hAnsi="Calibri" w:cs="Times New Roman"/>
          <w:b/>
        </w:rPr>
      </w:pPr>
      <w:r w:rsidRPr="004C38B2">
        <w:rPr>
          <w:rFonts w:ascii="Calibri" w:eastAsia="Calibri" w:hAnsi="Calibri" w:cs="Times New Roman"/>
          <w:b/>
        </w:rPr>
        <w:t xml:space="preserve">The </w:t>
      </w:r>
      <w:r>
        <w:rPr>
          <w:rFonts w:ascii="Calibri" w:eastAsia="Calibri" w:hAnsi="Calibri" w:cs="Times New Roman"/>
          <w:b/>
        </w:rPr>
        <w:t>S</w:t>
      </w:r>
      <w:r w:rsidRPr="004C38B2">
        <w:rPr>
          <w:rFonts w:ascii="Calibri" w:eastAsia="Calibri" w:hAnsi="Calibri" w:cs="Times New Roman"/>
          <w:b/>
        </w:rPr>
        <w:t>upport Unit</w:t>
      </w:r>
      <w:r>
        <w:rPr>
          <w:rFonts w:ascii="Calibri" w:eastAsia="Calibri" w:hAnsi="Calibri" w:cs="Times New Roman"/>
          <w:b/>
        </w:rPr>
        <w:t xml:space="preserve"> will</w:t>
      </w:r>
      <w:r w:rsidRPr="004C38B2">
        <w:rPr>
          <w:rFonts w:ascii="Calibri" w:eastAsia="Calibri" w:hAnsi="Calibri" w:cs="Times New Roman"/>
          <w:b/>
        </w:rPr>
        <w:t>:</w:t>
      </w:r>
    </w:p>
    <w:p w14:paraId="4D51C543" w14:textId="77777777" w:rsidR="003E45FD" w:rsidRDefault="003E45FD" w:rsidP="003E45FD">
      <w:pPr>
        <w:numPr>
          <w:ilvl w:val="0"/>
          <w:numId w:val="25"/>
        </w:numPr>
        <w:spacing w:after="240"/>
        <w:ind w:left="714" w:hanging="357"/>
        <w:contextualSpacing/>
        <w:jc w:val="both"/>
        <w:rPr>
          <w:rFonts w:ascii="Calibri" w:eastAsia="Calibri" w:hAnsi="Calibri" w:cs="Times New Roman"/>
        </w:rPr>
      </w:pPr>
      <w:r>
        <w:rPr>
          <w:rFonts w:ascii="Calibri" w:eastAsia="Calibri" w:hAnsi="Calibri" w:cs="Times New Roman"/>
        </w:rPr>
        <w:t xml:space="preserve">Facilitate a DFAT-HRG partnership </w:t>
      </w:r>
      <w:r w:rsidR="00554A4A">
        <w:rPr>
          <w:rFonts w:ascii="Calibri" w:eastAsia="Calibri" w:hAnsi="Calibri" w:cs="Times New Roman"/>
        </w:rPr>
        <w:t xml:space="preserve">brokering </w:t>
      </w:r>
      <w:r w:rsidR="00B07486">
        <w:rPr>
          <w:rFonts w:ascii="Calibri" w:eastAsia="Calibri" w:hAnsi="Calibri" w:cs="Times New Roman"/>
        </w:rPr>
        <w:t>discussion</w:t>
      </w:r>
      <w:r>
        <w:rPr>
          <w:rFonts w:ascii="Calibri" w:eastAsia="Calibri" w:hAnsi="Calibri" w:cs="Times New Roman"/>
        </w:rPr>
        <w:t xml:space="preserve"> </w:t>
      </w:r>
      <w:r w:rsidR="00B07486">
        <w:rPr>
          <w:rFonts w:ascii="Calibri" w:eastAsia="Calibri" w:hAnsi="Calibri" w:cs="Times New Roman"/>
        </w:rPr>
        <w:t>during the inception phase</w:t>
      </w:r>
      <w:r>
        <w:rPr>
          <w:rFonts w:ascii="Calibri" w:eastAsia="Calibri" w:hAnsi="Calibri" w:cs="Times New Roman"/>
        </w:rPr>
        <w:t xml:space="preserve"> to help partners identify partnership outcomes and measures of success</w:t>
      </w:r>
    </w:p>
    <w:p w14:paraId="55097926" w14:textId="77777777" w:rsidR="00176212" w:rsidRDefault="00176212" w:rsidP="003E45FD">
      <w:pPr>
        <w:numPr>
          <w:ilvl w:val="0"/>
          <w:numId w:val="25"/>
        </w:numPr>
        <w:spacing w:after="240"/>
        <w:ind w:left="714" w:hanging="357"/>
        <w:contextualSpacing/>
        <w:jc w:val="both"/>
        <w:rPr>
          <w:rFonts w:ascii="Calibri" w:eastAsia="Calibri" w:hAnsi="Calibri" w:cs="Times New Roman"/>
        </w:rPr>
      </w:pPr>
      <w:r>
        <w:rPr>
          <w:rFonts w:ascii="Calibri" w:eastAsia="Calibri" w:hAnsi="Calibri" w:cs="Times New Roman"/>
        </w:rPr>
        <w:t>Use the draft Theory of Change and Theory of Action as a basis to revise and develop a MEL framework with partners</w:t>
      </w:r>
    </w:p>
    <w:p w14:paraId="67799087" w14:textId="77777777" w:rsidR="003E45FD" w:rsidRDefault="003E45FD" w:rsidP="003E45FD">
      <w:pPr>
        <w:numPr>
          <w:ilvl w:val="0"/>
          <w:numId w:val="25"/>
        </w:numPr>
        <w:spacing w:after="240"/>
        <w:ind w:left="714" w:hanging="357"/>
        <w:contextualSpacing/>
        <w:jc w:val="both"/>
        <w:rPr>
          <w:rFonts w:ascii="Calibri" w:eastAsia="Calibri" w:hAnsi="Calibri" w:cs="Times New Roman"/>
        </w:rPr>
      </w:pPr>
      <w:r>
        <w:rPr>
          <w:rFonts w:ascii="Calibri" w:eastAsia="Calibri" w:hAnsi="Calibri" w:cs="Times New Roman"/>
        </w:rPr>
        <w:t xml:space="preserve">Support selected partners (outcome area 2) to develop MEL frameworks in line with this </w:t>
      </w:r>
      <w:r w:rsidR="00176212">
        <w:rPr>
          <w:rFonts w:ascii="Calibri" w:eastAsia="Calibri" w:hAnsi="Calibri" w:cs="Times New Roman"/>
        </w:rPr>
        <w:t xml:space="preserve">revised </w:t>
      </w:r>
      <w:r>
        <w:rPr>
          <w:rFonts w:ascii="Calibri" w:eastAsia="Calibri" w:hAnsi="Calibri" w:cs="Times New Roman"/>
        </w:rPr>
        <w:t>MEL framework.</w:t>
      </w:r>
    </w:p>
    <w:p w14:paraId="3DAA7032"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 xml:space="preserve">Aggregate response and early recovery, and DRR and </w:t>
      </w:r>
      <w:r>
        <w:rPr>
          <w:rFonts w:ascii="Calibri" w:eastAsia="Calibri" w:hAnsi="Calibri" w:cs="Times New Roman"/>
        </w:rPr>
        <w:t>resilience</w:t>
      </w:r>
      <w:r w:rsidRPr="004C38B2">
        <w:rPr>
          <w:rFonts w:ascii="Calibri" w:eastAsia="Calibri" w:hAnsi="Calibri" w:cs="Times New Roman"/>
        </w:rPr>
        <w:t xml:space="preserve"> partner reports</w:t>
      </w:r>
    </w:p>
    <w:p w14:paraId="4E9F103F"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Coordinate and manage joint response evaluations</w:t>
      </w:r>
    </w:p>
    <w:p w14:paraId="473F11CF"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Pr>
          <w:rFonts w:ascii="Calibri" w:eastAsia="Calibri" w:hAnsi="Calibri" w:cs="Times New Roman"/>
        </w:rPr>
        <w:t>Commission</w:t>
      </w:r>
      <w:r w:rsidRPr="004C38B2">
        <w:rPr>
          <w:rFonts w:ascii="Calibri" w:eastAsia="Calibri" w:hAnsi="Calibri" w:cs="Times New Roman"/>
        </w:rPr>
        <w:t xml:space="preserve"> meta and strategic reviews to deepen analysis and assessments of key aspects of the partnership</w:t>
      </w:r>
      <w:r>
        <w:rPr>
          <w:rFonts w:ascii="Calibri" w:eastAsia="Calibri" w:hAnsi="Calibri" w:cs="Times New Roman"/>
        </w:rPr>
        <w:t xml:space="preserve">. </w:t>
      </w:r>
    </w:p>
    <w:p w14:paraId="3E1EC91B"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Pr>
          <w:rFonts w:ascii="Calibri" w:eastAsia="Calibri" w:hAnsi="Calibri" w:cs="Times New Roman"/>
        </w:rPr>
        <w:t>Help facilitate</w:t>
      </w:r>
      <w:r w:rsidRPr="004C38B2">
        <w:rPr>
          <w:rFonts w:ascii="Calibri" w:eastAsia="Calibri" w:hAnsi="Calibri" w:cs="Times New Roman"/>
        </w:rPr>
        <w:t xml:space="preserve"> the mid-term and final review of the </w:t>
      </w:r>
      <w:r>
        <w:rPr>
          <w:rFonts w:ascii="Calibri" w:eastAsia="Calibri" w:hAnsi="Calibri" w:cs="Times New Roman"/>
        </w:rPr>
        <w:t>partnership (assessing all outcome areas)</w:t>
      </w:r>
    </w:p>
    <w:p w14:paraId="3E15D9A4"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Facilitate</w:t>
      </w:r>
      <w:r>
        <w:rPr>
          <w:rFonts w:ascii="Calibri" w:eastAsia="Calibri" w:hAnsi="Calibri" w:cs="Times New Roman"/>
        </w:rPr>
        <w:t xml:space="preserve"> ‘light</w:t>
      </w:r>
      <w:r w:rsidRPr="004C38B2">
        <w:rPr>
          <w:rFonts w:ascii="Calibri" w:eastAsia="Calibri" w:hAnsi="Calibri" w:cs="Times New Roman"/>
        </w:rPr>
        <w:t xml:space="preserve"> </w:t>
      </w:r>
      <w:r>
        <w:rPr>
          <w:rFonts w:ascii="Calibri" w:eastAsia="Calibri" w:hAnsi="Calibri" w:cs="Times New Roman"/>
        </w:rPr>
        <w:t xml:space="preserve">touch’ annual </w:t>
      </w:r>
      <w:r w:rsidRPr="004C38B2">
        <w:rPr>
          <w:rFonts w:ascii="Calibri" w:eastAsia="Calibri" w:hAnsi="Calibri" w:cs="Times New Roman"/>
        </w:rPr>
        <w:t>DFAT-HRG partnership</w:t>
      </w:r>
      <w:r>
        <w:rPr>
          <w:rFonts w:ascii="Calibri" w:eastAsia="Calibri" w:hAnsi="Calibri" w:cs="Times New Roman"/>
        </w:rPr>
        <w:t xml:space="preserve"> health checks</w:t>
      </w:r>
      <w:r w:rsidRPr="004C38B2">
        <w:rPr>
          <w:rFonts w:ascii="Calibri" w:eastAsia="Calibri" w:hAnsi="Calibri" w:cs="Times New Roman"/>
        </w:rPr>
        <w:t xml:space="preserve"> </w:t>
      </w:r>
    </w:p>
    <w:p w14:paraId="674B3155"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lastRenderedPageBreak/>
        <w:t>Action and monitor take up of recommendations resulting from evaluations and reviews</w:t>
      </w:r>
    </w:p>
    <w:p w14:paraId="4AB07207" w14:textId="77777777" w:rsidR="003E45FD"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Support appropriate sharing of information to in-country and Australian stakeholders</w:t>
      </w:r>
      <w:r>
        <w:rPr>
          <w:rFonts w:ascii="Calibri" w:eastAsia="Calibri" w:hAnsi="Calibri" w:cs="Times New Roman"/>
        </w:rPr>
        <w:t>.</w:t>
      </w:r>
    </w:p>
    <w:p w14:paraId="6E1362D0"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Pr>
          <w:rFonts w:ascii="Calibri" w:eastAsia="Calibri" w:hAnsi="Calibri" w:cs="Times New Roman"/>
        </w:rPr>
        <w:t>Review and revise the partnerships’ MEL framework</w:t>
      </w:r>
      <w:r w:rsidR="006A6579">
        <w:rPr>
          <w:rFonts w:ascii="Calibri" w:eastAsia="Calibri" w:hAnsi="Calibri" w:cs="Times New Roman"/>
        </w:rPr>
        <w:t>.</w:t>
      </w:r>
    </w:p>
    <w:p w14:paraId="78C2B175" w14:textId="77777777" w:rsidR="003E45FD" w:rsidRPr="00D42006" w:rsidRDefault="003E45FD" w:rsidP="003E45FD">
      <w:pPr>
        <w:spacing w:after="240"/>
        <w:jc w:val="both"/>
        <w:rPr>
          <w:rFonts w:ascii="Calibri" w:eastAsia="Calibri" w:hAnsi="Calibri" w:cs="Times New Roman"/>
          <w:b/>
          <w:sz w:val="16"/>
          <w:szCs w:val="16"/>
        </w:rPr>
      </w:pPr>
    </w:p>
    <w:p w14:paraId="601EC4EC" w14:textId="77777777" w:rsidR="003E45FD" w:rsidRPr="004C38B2" w:rsidRDefault="00785A96" w:rsidP="003E45FD">
      <w:pPr>
        <w:spacing w:after="240"/>
        <w:jc w:val="both"/>
        <w:rPr>
          <w:rFonts w:ascii="Calibri" w:eastAsia="Calibri" w:hAnsi="Calibri" w:cs="Times New Roman"/>
          <w:b/>
        </w:rPr>
      </w:pPr>
      <w:r>
        <w:rPr>
          <w:rFonts w:ascii="Calibri" w:eastAsia="Calibri" w:hAnsi="Calibri" w:cs="Times New Roman"/>
          <w:b/>
        </w:rPr>
        <w:t xml:space="preserve">Funded </w:t>
      </w:r>
      <w:r w:rsidR="00B07486">
        <w:rPr>
          <w:rFonts w:ascii="Calibri" w:eastAsia="Calibri" w:hAnsi="Calibri" w:cs="Times New Roman"/>
          <w:b/>
        </w:rPr>
        <w:t>NGO</w:t>
      </w:r>
      <w:r w:rsidR="003E45FD" w:rsidRPr="004C38B2">
        <w:rPr>
          <w:rFonts w:ascii="Calibri" w:eastAsia="Calibri" w:hAnsi="Calibri" w:cs="Times New Roman"/>
          <w:b/>
        </w:rPr>
        <w:t xml:space="preserve"> partners</w:t>
      </w:r>
      <w:r w:rsidR="003E45FD">
        <w:rPr>
          <w:rFonts w:ascii="Calibri" w:eastAsia="Calibri" w:hAnsi="Calibri" w:cs="Times New Roman"/>
          <w:b/>
        </w:rPr>
        <w:t xml:space="preserve"> will</w:t>
      </w:r>
      <w:r w:rsidR="003E45FD" w:rsidRPr="004C38B2">
        <w:rPr>
          <w:rFonts w:ascii="Calibri" w:eastAsia="Calibri" w:hAnsi="Calibri" w:cs="Times New Roman"/>
          <w:b/>
        </w:rPr>
        <w:t>:</w:t>
      </w:r>
    </w:p>
    <w:p w14:paraId="17756F79" w14:textId="77777777" w:rsidR="00176212" w:rsidRPr="005F20DF" w:rsidRDefault="00176212" w:rsidP="00176212">
      <w:pPr>
        <w:keepNext/>
        <w:numPr>
          <w:ilvl w:val="0"/>
          <w:numId w:val="25"/>
        </w:numPr>
        <w:spacing w:after="240"/>
        <w:ind w:left="714" w:hanging="357"/>
        <w:contextualSpacing/>
        <w:jc w:val="both"/>
        <w:rPr>
          <w:rFonts w:ascii="Calibri" w:eastAsia="Calibri" w:hAnsi="Calibri" w:cs="Times New Roman"/>
        </w:rPr>
      </w:pPr>
      <w:r w:rsidRPr="00176212">
        <w:rPr>
          <w:rFonts w:ascii="Calibri" w:eastAsia="Calibri" w:hAnsi="Calibri" w:cs="Times New Roman"/>
        </w:rPr>
        <w:t>Participate in revisi</w:t>
      </w:r>
      <w:r w:rsidRPr="005F20DF">
        <w:rPr>
          <w:rFonts w:ascii="Calibri" w:eastAsia="Calibri" w:hAnsi="Calibri" w:cs="Times New Roman"/>
        </w:rPr>
        <w:t xml:space="preserve">ng the MEL framework with partners, using the draft Theory of Change and Theory of Action as a starting point </w:t>
      </w:r>
    </w:p>
    <w:p w14:paraId="0F42315A"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Undertake monitoring and evaluation of their own initiatives</w:t>
      </w:r>
    </w:p>
    <w:p w14:paraId="796C0C9A"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Pr>
          <w:rFonts w:ascii="Calibri" w:eastAsia="Calibri" w:hAnsi="Calibri" w:cs="Times New Roman"/>
        </w:rPr>
        <w:t>Contribute</w:t>
      </w:r>
      <w:r w:rsidRPr="004C38B2">
        <w:rPr>
          <w:rFonts w:ascii="Calibri" w:eastAsia="Calibri" w:hAnsi="Calibri" w:cs="Times New Roman"/>
        </w:rPr>
        <w:t xml:space="preserve"> </w:t>
      </w:r>
      <w:r>
        <w:rPr>
          <w:rFonts w:ascii="Calibri" w:eastAsia="Calibri" w:hAnsi="Calibri" w:cs="Times New Roman"/>
        </w:rPr>
        <w:t>to</w:t>
      </w:r>
      <w:r w:rsidRPr="004C38B2">
        <w:rPr>
          <w:rFonts w:ascii="Calibri" w:eastAsia="Calibri" w:hAnsi="Calibri" w:cs="Times New Roman"/>
        </w:rPr>
        <w:t xml:space="preserve"> the development of </w:t>
      </w:r>
      <w:r>
        <w:rPr>
          <w:rFonts w:ascii="Calibri" w:eastAsia="Calibri" w:hAnsi="Calibri" w:cs="Times New Roman"/>
        </w:rPr>
        <w:t xml:space="preserve">terms of reference for </w:t>
      </w:r>
      <w:r w:rsidRPr="004C38B2">
        <w:rPr>
          <w:rFonts w:ascii="Calibri" w:eastAsia="Calibri" w:hAnsi="Calibri" w:cs="Times New Roman"/>
        </w:rPr>
        <w:t>joint evaluation</w:t>
      </w:r>
      <w:r>
        <w:rPr>
          <w:rFonts w:ascii="Calibri" w:eastAsia="Calibri" w:hAnsi="Calibri" w:cs="Times New Roman"/>
        </w:rPr>
        <w:t>s</w:t>
      </w:r>
    </w:p>
    <w:p w14:paraId="412C7804"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Participate in joint evaluations (as agreed)</w:t>
      </w:r>
    </w:p>
    <w:p w14:paraId="620505E5"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Share internal learnings and feed these into collective learning processes</w:t>
      </w:r>
    </w:p>
    <w:p w14:paraId="75C0173A" w14:textId="77777777" w:rsidR="003E45FD"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 xml:space="preserve">Support partner MEL by building partner MEL capacity, ensuring collective Australian learning is fed back to partners, and supporting partners to attend learning events </w:t>
      </w:r>
      <w:r w:rsidR="00185B18">
        <w:rPr>
          <w:rFonts w:ascii="Calibri" w:eastAsia="Calibri" w:hAnsi="Calibri" w:cs="Times New Roman"/>
        </w:rPr>
        <w:t xml:space="preserve">(virtually or in-person) </w:t>
      </w:r>
      <w:r w:rsidRPr="004C38B2">
        <w:rPr>
          <w:rFonts w:ascii="Calibri" w:eastAsia="Calibri" w:hAnsi="Calibri" w:cs="Times New Roman"/>
        </w:rPr>
        <w:t>in-country and Australia</w:t>
      </w:r>
      <w:r>
        <w:rPr>
          <w:rFonts w:ascii="Calibri" w:eastAsia="Calibri" w:hAnsi="Calibri" w:cs="Times New Roman"/>
        </w:rPr>
        <w:t>.</w:t>
      </w:r>
    </w:p>
    <w:p w14:paraId="654801A1" w14:textId="77777777" w:rsidR="003E45FD" w:rsidRDefault="003E45FD" w:rsidP="003E45FD">
      <w:pPr>
        <w:numPr>
          <w:ilvl w:val="0"/>
          <w:numId w:val="25"/>
        </w:numPr>
        <w:spacing w:after="240"/>
        <w:ind w:left="714" w:hanging="357"/>
        <w:contextualSpacing/>
        <w:jc w:val="both"/>
        <w:rPr>
          <w:rFonts w:ascii="Calibri" w:eastAsia="Calibri" w:hAnsi="Calibri" w:cs="Times New Roman"/>
        </w:rPr>
      </w:pPr>
      <w:r>
        <w:rPr>
          <w:rFonts w:ascii="Calibri" w:eastAsia="Calibri" w:hAnsi="Calibri" w:cs="Times New Roman"/>
        </w:rPr>
        <w:t xml:space="preserve">Participate in DFAT-HRG partnership </w:t>
      </w:r>
      <w:r w:rsidR="00B07486">
        <w:rPr>
          <w:rFonts w:ascii="Calibri" w:eastAsia="Calibri" w:hAnsi="Calibri" w:cs="Times New Roman"/>
        </w:rPr>
        <w:t>h</w:t>
      </w:r>
      <w:r>
        <w:rPr>
          <w:rFonts w:ascii="Calibri" w:eastAsia="Calibri" w:hAnsi="Calibri" w:cs="Times New Roman"/>
        </w:rPr>
        <w:t>ealth checks</w:t>
      </w:r>
      <w:r w:rsidR="006827BE">
        <w:rPr>
          <w:rFonts w:ascii="Calibri" w:eastAsia="Calibri" w:hAnsi="Calibri" w:cs="Times New Roman"/>
        </w:rPr>
        <w:t xml:space="preserve"> (all HRG member NGOs)</w:t>
      </w:r>
    </w:p>
    <w:p w14:paraId="16737D8B"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Pr>
          <w:rFonts w:ascii="Calibri" w:eastAsia="Calibri" w:hAnsi="Calibri" w:cs="Times New Roman"/>
        </w:rPr>
        <w:t>Implement agreed recommendation findings</w:t>
      </w:r>
    </w:p>
    <w:p w14:paraId="67A4013B" w14:textId="77777777" w:rsidR="003E45FD" w:rsidRPr="00D42006" w:rsidRDefault="003E45FD" w:rsidP="003E45FD">
      <w:pPr>
        <w:spacing w:after="240"/>
        <w:jc w:val="both"/>
        <w:rPr>
          <w:rFonts w:ascii="Calibri" w:eastAsia="Calibri" w:hAnsi="Calibri" w:cs="Times New Roman"/>
          <w:sz w:val="16"/>
          <w:szCs w:val="16"/>
        </w:rPr>
      </w:pPr>
    </w:p>
    <w:p w14:paraId="19D01611" w14:textId="77777777" w:rsidR="003E45FD" w:rsidRPr="004C38B2" w:rsidRDefault="003E45FD" w:rsidP="003E45FD">
      <w:pPr>
        <w:keepNext/>
        <w:spacing w:after="240"/>
        <w:jc w:val="both"/>
        <w:rPr>
          <w:rFonts w:ascii="Calibri" w:eastAsia="Calibri" w:hAnsi="Calibri" w:cs="Times New Roman"/>
          <w:b/>
        </w:rPr>
      </w:pPr>
      <w:r w:rsidRPr="004C38B2">
        <w:rPr>
          <w:rFonts w:ascii="Calibri" w:eastAsia="Calibri" w:hAnsi="Calibri" w:cs="Times New Roman"/>
          <w:b/>
        </w:rPr>
        <w:t>DFAT</w:t>
      </w:r>
      <w:r>
        <w:rPr>
          <w:rFonts w:ascii="Calibri" w:eastAsia="Calibri" w:hAnsi="Calibri" w:cs="Times New Roman"/>
          <w:b/>
        </w:rPr>
        <w:t xml:space="preserve"> will</w:t>
      </w:r>
      <w:r w:rsidRPr="004C38B2">
        <w:rPr>
          <w:rFonts w:ascii="Calibri" w:eastAsia="Calibri" w:hAnsi="Calibri" w:cs="Times New Roman"/>
          <w:b/>
        </w:rPr>
        <w:t>:</w:t>
      </w:r>
    </w:p>
    <w:p w14:paraId="5EEB57A6" w14:textId="77777777" w:rsidR="00176212" w:rsidRPr="00FF78F0" w:rsidRDefault="00176212" w:rsidP="00737D62">
      <w:pPr>
        <w:keepNext/>
        <w:numPr>
          <w:ilvl w:val="0"/>
          <w:numId w:val="25"/>
        </w:numPr>
        <w:spacing w:after="240"/>
        <w:ind w:left="714" w:hanging="357"/>
        <w:contextualSpacing/>
        <w:jc w:val="both"/>
        <w:rPr>
          <w:rFonts w:ascii="Calibri" w:eastAsia="Calibri" w:hAnsi="Calibri" w:cs="Times New Roman"/>
        </w:rPr>
      </w:pPr>
      <w:r w:rsidRPr="00176212">
        <w:rPr>
          <w:rFonts w:ascii="Calibri" w:eastAsia="Calibri" w:hAnsi="Calibri" w:cs="Times New Roman"/>
        </w:rPr>
        <w:t>Participate in revising the MEL</w:t>
      </w:r>
      <w:r w:rsidRPr="00D268A7">
        <w:rPr>
          <w:rFonts w:ascii="Calibri" w:eastAsia="Calibri" w:hAnsi="Calibri" w:cs="Times New Roman"/>
        </w:rPr>
        <w:t xml:space="preserve"> framework with partners, using the draft Theory of Change and Theory of Action as a starting point</w:t>
      </w:r>
      <w:r w:rsidRPr="00FF78F0">
        <w:rPr>
          <w:rFonts w:ascii="Calibri" w:eastAsia="Calibri" w:hAnsi="Calibri" w:cs="Times New Roman"/>
        </w:rPr>
        <w:t xml:space="preserve"> </w:t>
      </w:r>
    </w:p>
    <w:p w14:paraId="058E7478" w14:textId="77777777" w:rsidR="003E45FD" w:rsidRPr="004C38B2" w:rsidRDefault="003E45FD" w:rsidP="003E45FD">
      <w:pPr>
        <w:keepNext/>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Review monitoring reports and individual evaluations and provide feedback to NGOs on performance</w:t>
      </w:r>
    </w:p>
    <w:p w14:paraId="4516C80E"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 xml:space="preserve">Input into the </w:t>
      </w:r>
      <w:r>
        <w:rPr>
          <w:rFonts w:ascii="Calibri" w:eastAsia="Calibri" w:hAnsi="Calibri" w:cs="Times New Roman"/>
        </w:rPr>
        <w:t>terms of reference</w:t>
      </w:r>
      <w:r w:rsidRPr="004C38B2">
        <w:rPr>
          <w:rFonts w:ascii="Calibri" w:eastAsia="Calibri" w:hAnsi="Calibri" w:cs="Times New Roman"/>
        </w:rPr>
        <w:t xml:space="preserve"> for </w:t>
      </w:r>
      <w:r>
        <w:rPr>
          <w:rFonts w:ascii="Calibri" w:eastAsia="Calibri" w:hAnsi="Calibri" w:cs="Times New Roman"/>
        </w:rPr>
        <w:t xml:space="preserve">all </w:t>
      </w:r>
      <w:r w:rsidRPr="004C38B2">
        <w:rPr>
          <w:rFonts w:ascii="Calibri" w:eastAsia="Calibri" w:hAnsi="Calibri" w:cs="Times New Roman"/>
        </w:rPr>
        <w:t>evaluation</w:t>
      </w:r>
      <w:r>
        <w:rPr>
          <w:rFonts w:ascii="Calibri" w:eastAsia="Calibri" w:hAnsi="Calibri" w:cs="Times New Roman"/>
        </w:rPr>
        <w:t>s</w:t>
      </w:r>
    </w:p>
    <w:p w14:paraId="16059E3A" w14:textId="77777777" w:rsidR="003E45FD"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 xml:space="preserve">Participate in </w:t>
      </w:r>
      <w:r>
        <w:rPr>
          <w:rFonts w:ascii="Calibri" w:eastAsia="Calibri" w:hAnsi="Calibri" w:cs="Times New Roman"/>
        </w:rPr>
        <w:t>joint</w:t>
      </w:r>
      <w:r w:rsidRPr="004C38B2">
        <w:rPr>
          <w:rFonts w:ascii="Calibri" w:eastAsia="Calibri" w:hAnsi="Calibri" w:cs="Times New Roman"/>
        </w:rPr>
        <w:t xml:space="preserve"> evaluations </w:t>
      </w:r>
    </w:p>
    <w:p w14:paraId="7093C214" w14:textId="77777777" w:rsidR="003E45FD" w:rsidRPr="00344C61" w:rsidRDefault="003E45FD" w:rsidP="003E45FD">
      <w:pPr>
        <w:numPr>
          <w:ilvl w:val="0"/>
          <w:numId w:val="25"/>
        </w:numPr>
        <w:spacing w:after="240"/>
        <w:ind w:left="714" w:hanging="357"/>
        <w:contextualSpacing/>
        <w:jc w:val="both"/>
        <w:rPr>
          <w:rFonts w:ascii="Calibri" w:eastAsia="Calibri" w:hAnsi="Calibri" w:cs="Times New Roman"/>
        </w:rPr>
      </w:pPr>
      <w:r>
        <w:rPr>
          <w:rFonts w:ascii="Calibri" w:eastAsia="Calibri" w:hAnsi="Calibri" w:cs="Times New Roman"/>
        </w:rPr>
        <w:t>Parti</w:t>
      </w:r>
      <w:r w:rsidR="00B07486">
        <w:rPr>
          <w:rFonts w:ascii="Calibri" w:eastAsia="Calibri" w:hAnsi="Calibri" w:cs="Times New Roman"/>
        </w:rPr>
        <w:t>cipate in DFAT-HRG partnership h</w:t>
      </w:r>
      <w:r>
        <w:rPr>
          <w:rFonts w:ascii="Calibri" w:eastAsia="Calibri" w:hAnsi="Calibri" w:cs="Times New Roman"/>
        </w:rPr>
        <w:t>ealth checks</w:t>
      </w:r>
    </w:p>
    <w:p w14:paraId="6F895D24"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Pr>
          <w:rFonts w:ascii="Calibri" w:eastAsia="Calibri" w:hAnsi="Calibri" w:cs="Times New Roman"/>
        </w:rPr>
        <w:t>Manage</w:t>
      </w:r>
      <w:r w:rsidRPr="004C38B2">
        <w:rPr>
          <w:rFonts w:ascii="Calibri" w:eastAsia="Calibri" w:hAnsi="Calibri" w:cs="Times New Roman"/>
        </w:rPr>
        <w:t xml:space="preserve"> the mid-term and final review of the </w:t>
      </w:r>
      <w:r>
        <w:rPr>
          <w:rFonts w:ascii="Calibri" w:eastAsia="Calibri" w:hAnsi="Calibri" w:cs="Times New Roman"/>
        </w:rPr>
        <w:t>partnership</w:t>
      </w:r>
    </w:p>
    <w:p w14:paraId="03C7333B"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Provide management responses to joint evaluations, the MTR and final evaluation</w:t>
      </w:r>
    </w:p>
    <w:p w14:paraId="0C05095F" w14:textId="77777777" w:rsidR="003E45FD" w:rsidRPr="004C38B2" w:rsidRDefault="003E45FD" w:rsidP="003E45FD">
      <w:pPr>
        <w:numPr>
          <w:ilvl w:val="0"/>
          <w:numId w:val="25"/>
        </w:numPr>
        <w:spacing w:after="240"/>
        <w:ind w:left="714" w:hanging="357"/>
        <w:contextualSpacing/>
        <w:jc w:val="both"/>
        <w:rPr>
          <w:rFonts w:ascii="Calibri" w:eastAsia="Calibri" w:hAnsi="Calibri" w:cs="Times New Roman"/>
        </w:rPr>
      </w:pPr>
      <w:r w:rsidRPr="004C38B2">
        <w:rPr>
          <w:rFonts w:ascii="Calibri" w:eastAsia="Calibri" w:hAnsi="Calibri" w:cs="Times New Roman"/>
        </w:rPr>
        <w:t>Review and respond to recommendations</w:t>
      </w:r>
      <w:r>
        <w:rPr>
          <w:rFonts w:ascii="Calibri" w:eastAsia="Calibri" w:hAnsi="Calibri" w:cs="Times New Roman"/>
        </w:rPr>
        <w:t>.</w:t>
      </w:r>
      <w:r w:rsidRPr="004C38B2">
        <w:rPr>
          <w:rFonts w:ascii="Calibri" w:eastAsia="Calibri" w:hAnsi="Calibri" w:cs="Times New Roman"/>
        </w:rPr>
        <w:t xml:space="preserve"> </w:t>
      </w:r>
    </w:p>
    <w:p w14:paraId="3845380F" w14:textId="77777777" w:rsidR="003E45FD" w:rsidRDefault="003E45FD" w:rsidP="003E45FD">
      <w:pPr>
        <w:spacing w:after="240"/>
        <w:jc w:val="both"/>
        <w:rPr>
          <w:rFonts w:ascii="Calibri" w:eastAsiaTheme="majorEastAsia" w:hAnsi="Calibri" w:cstheme="majorBidi"/>
          <w:b/>
          <w:bCs/>
          <w:color w:val="4F81BD" w:themeColor="accent1"/>
        </w:rPr>
      </w:pPr>
      <w:r w:rsidRPr="004C38B2">
        <w:br w:type="page"/>
      </w:r>
    </w:p>
    <w:p w14:paraId="52847A47" w14:textId="77777777" w:rsidR="001E5C09" w:rsidRPr="00FF73B0" w:rsidRDefault="001E5C09" w:rsidP="00A67DC0">
      <w:pPr>
        <w:pStyle w:val="Heading1"/>
        <w:jc w:val="both"/>
      </w:pPr>
      <w:bookmarkStart w:id="21" w:name="_Toc448777805"/>
      <w:r w:rsidRPr="00FF73B0">
        <w:lastRenderedPageBreak/>
        <w:t>5. Governance Structure</w:t>
      </w:r>
      <w:bookmarkEnd w:id="21"/>
    </w:p>
    <w:p w14:paraId="3F53E609" w14:textId="77777777" w:rsidR="001E5C09" w:rsidRPr="00641D0E" w:rsidRDefault="001E5C09" w:rsidP="00A67DC0">
      <w:pPr>
        <w:jc w:val="both"/>
        <w:rPr>
          <w:rFonts w:ascii="Calibri" w:hAnsi="Calibri"/>
        </w:rPr>
      </w:pPr>
    </w:p>
    <w:p w14:paraId="10ACC4DC" w14:textId="77777777" w:rsidR="001E5C09" w:rsidRPr="00641D0E" w:rsidRDefault="001E5C09" w:rsidP="00A67DC0">
      <w:pPr>
        <w:spacing w:after="240"/>
        <w:jc w:val="both"/>
        <w:rPr>
          <w:rFonts w:ascii="Calibri" w:hAnsi="Calibri"/>
        </w:rPr>
      </w:pPr>
      <w:r w:rsidRPr="00641D0E">
        <w:rPr>
          <w:rFonts w:ascii="Calibri" w:hAnsi="Calibri"/>
        </w:rPr>
        <w:t xml:space="preserve">The </w:t>
      </w:r>
      <w:r w:rsidR="001B7F58">
        <w:rPr>
          <w:rFonts w:ascii="Calibri" w:hAnsi="Calibri"/>
        </w:rPr>
        <w:t xml:space="preserve">Australian Humanitarian Partnership </w:t>
      </w:r>
      <w:r w:rsidRPr="00641D0E">
        <w:rPr>
          <w:rFonts w:ascii="Calibri" w:hAnsi="Calibri"/>
        </w:rPr>
        <w:t xml:space="preserve">will be implemented in accordance with the Australian Government’s development policy </w:t>
      </w:r>
      <w:r w:rsidRPr="00641D0E">
        <w:rPr>
          <w:rFonts w:ascii="Calibri" w:hAnsi="Calibri"/>
          <w:i/>
        </w:rPr>
        <w:t>Australian Aid: promoting prosperity, reducing poverty, enhancing stability</w:t>
      </w:r>
      <w:r w:rsidRPr="00641D0E">
        <w:rPr>
          <w:rFonts w:ascii="Calibri" w:hAnsi="Calibri"/>
        </w:rPr>
        <w:t xml:space="preserve"> and performance framework </w:t>
      </w:r>
      <w:r w:rsidRPr="00641D0E">
        <w:rPr>
          <w:rFonts w:ascii="Calibri" w:hAnsi="Calibri"/>
          <w:i/>
        </w:rPr>
        <w:t>Making Performance Count: enhancing the accountability and effectiveness of Australian aid</w:t>
      </w:r>
      <w:r w:rsidRPr="00641D0E">
        <w:rPr>
          <w:rFonts w:ascii="Calibri" w:hAnsi="Calibri"/>
        </w:rPr>
        <w:t xml:space="preserve"> (2014). This design has been formulated with reference to DFAT's </w:t>
      </w:r>
      <w:r w:rsidR="007E20DC">
        <w:rPr>
          <w:rFonts w:ascii="Calibri" w:hAnsi="Calibri"/>
        </w:rPr>
        <w:t>(</w:t>
      </w:r>
      <w:r w:rsidRPr="00641D0E">
        <w:rPr>
          <w:rFonts w:ascii="Calibri" w:hAnsi="Calibri"/>
        </w:rPr>
        <w:t>draft</w:t>
      </w:r>
      <w:r w:rsidR="007E20DC">
        <w:rPr>
          <w:rFonts w:ascii="Calibri" w:hAnsi="Calibri"/>
        </w:rPr>
        <w:t>)</w:t>
      </w:r>
      <w:r w:rsidRPr="00641D0E">
        <w:rPr>
          <w:rFonts w:ascii="Calibri" w:hAnsi="Calibri"/>
        </w:rPr>
        <w:t xml:space="preserve"> </w:t>
      </w:r>
      <w:r w:rsidR="00352678">
        <w:rPr>
          <w:rFonts w:ascii="Calibri" w:hAnsi="Calibri"/>
        </w:rPr>
        <w:t>H</w:t>
      </w:r>
      <w:r w:rsidRPr="00641D0E">
        <w:rPr>
          <w:rFonts w:ascii="Calibri" w:hAnsi="Calibri"/>
        </w:rPr>
        <w:t xml:space="preserve">umanitarian </w:t>
      </w:r>
      <w:r w:rsidR="00352678">
        <w:rPr>
          <w:rFonts w:ascii="Calibri" w:hAnsi="Calibri"/>
        </w:rPr>
        <w:t>S</w:t>
      </w:r>
      <w:r w:rsidRPr="00641D0E">
        <w:rPr>
          <w:rFonts w:ascii="Calibri" w:hAnsi="Calibri"/>
        </w:rPr>
        <w:t>trategy.</w:t>
      </w:r>
    </w:p>
    <w:p w14:paraId="4F08DA60" w14:textId="14B8FEF9" w:rsidR="00CF7A57" w:rsidRPr="00405EE8" w:rsidRDefault="003A6AF7" w:rsidP="00A67DC0">
      <w:pPr>
        <w:spacing w:after="240"/>
        <w:jc w:val="both"/>
        <w:rPr>
          <w:rFonts w:ascii="Calibri" w:hAnsi="Calibri"/>
        </w:rPr>
      </w:pPr>
      <w:r w:rsidRPr="00405EE8">
        <w:rPr>
          <w:rFonts w:ascii="Calibri" w:hAnsi="Calibri"/>
          <w:b/>
        </w:rPr>
        <w:t xml:space="preserve">The DFAT-HRG partnership </w:t>
      </w:r>
      <w:r w:rsidR="00530A06" w:rsidRPr="00405EE8">
        <w:rPr>
          <w:rFonts w:ascii="Calibri" w:hAnsi="Calibri"/>
          <w:b/>
        </w:rPr>
        <w:t xml:space="preserve">builds on the </w:t>
      </w:r>
      <w:r w:rsidRPr="00405EE8">
        <w:rPr>
          <w:rFonts w:ascii="Calibri" w:hAnsi="Calibri"/>
          <w:b/>
        </w:rPr>
        <w:t xml:space="preserve">existing </w:t>
      </w:r>
      <w:r w:rsidR="00530A06" w:rsidRPr="00405EE8">
        <w:rPr>
          <w:rFonts w:ascii="Calibri" w:hAnsi="Calibri"/>
          <w:b/>
        </w:rPr>
        <w:t xml:space="preserve">structure of the HRG and the existing relationship </w:t>
      </w:r>
      <w:r w:rsidRPr="00405EE8">
        <w:rPr>
          <w:rFonts w:ascii="Calibri" w:hAnsi="Calibri"/>
          <w:b/>
        </w:rPr>
        <w:t xml:space="preserve">between </w:t>
      </w:r>
      <w:r w:rsidR="00530A06" w:rsidRPr="00405EE8">
        <w:rPr>
          <w:rFonts w:ascii="Calibri" w:hAnsi="Calibri"/>
          <w:b/>
        </w:rPr>
        <w:t>the HRG</w:t>
      </w:r>
      <w:r w:rsidR="00C7303F">
        <w:rPr>
          <w:rFonts w:ascii="Calibri" w:hAnsi="Calibri"/>
          <w:b/>
        </w:rPr>
        <w:t xml:space="preserve"> </w:t>
      </w:r>
      <w:r w:rsidRPr="00405EE8">
        <w:rPr>
          <w:rFonts w:ascii="Calibri" w:hAnsi="Calibri"/>
          <w:b/>
        </w:rPr>
        <w:t>and DFAT</w:t>
      </w:r>
      <w:r w:rsidRPr="00405EE8">
        <w:rPr>
          <w:rFonts w:ascii="Calibri" w:hAnsi="Calibri"/>
        </w:rPr>
        <w:t xml:space="preserve">. </w:t>
      </w:r>
    </w:p>
    <w:p w14:paraId="21AE8665" w14:textId="77777777" w:rsidR="001E5C09" w:rsidRPr="00641D0E" w:rsidRDefault="001E5C09" w:rsidP="00A67DC0">
      <w:pPr>
        <w:spacing w:after="240"/>
        <w:jc w:val="both"/>
        <w:rPr>
          <w:rFonts w:ascii="Calibri" w:hAnsi="Calibri"/>
        </w:rPr>
      </w:pPr>
      <w:r w:rsidRPr="00B97CE5">
        <w:rPr>
          <w:rFonts w:ascii="Calibri" w:hAnsi="Calibri"/>
          <w:b/>
        </w:rPr>
        <w:t>High-level partnership meetings</w:t>
      </w:r>
      <w:r w:rsidRPr="00641D0E">
        <w:rPr>
          <w:rFonts w:ascii="Calibri" w:hAnsi="Calibri"/>
        </w:rPr>
        <w:t xml:space="preserve"> will provide the opportunity for strategic dialogue on matters of policy:</w:t>
      </w:r>
    </w:p>
    <w:p w14:paraId="3F668B49" w14:textId="77777777" w:rsidR="001E5C09" w:rsidRPr="00641D0E" w:rsidRDefault="001E5C09" w:rsidP="00A67DC0">
      <w:pPr>
        <w:pStyle w:val="ListParagraph"/>
        <w:numPr>
          <w:ilvl w:val="0"/>
          <w:numId w:val="1"/>
        </w:numPr>
        <w:spacing w:after="240" w:line="240" w:lineRule="auto"/>
        <w:jc w:val="both"/>
        <w:rPr>
          <w:rFonts w:ascii="Calibri" w:hAnsi="Calibri"/>
          <w:sz w:val="24"/>
          <w:szCs w:val="24"/>
        </w:rPr>
      </w:pPr>
      <w:r w:rsidRPr="00641D0E">
        <w:rPr>
          <w:rFonts w:ascii="Calibri" w:hAnsi="Calibri"/>
          <w:sz w:val="24"/>
          <w:szCs w:val="24"/>
        </w:rPr>
        <w:t>Annual humanitarian policy discussions will be held between CEOs of the HRG members and DFAT's First Assistant Secretary responsible for humanitarian affairs</w:t>
      </w:r>
    </w:p>
    <w:p w14:paraId="5BFA4B01" w14:textId="77777777" w:rsidR="001E5C09" w:rsidRDefault="001E5C09" w:rsidP="00A67DC0">
      <w:pPr>
        <w:pStyle w:val="ListParagraph"/>
        <w:numPr>
          <w:ilvl w:val="0"/>
          <w:numId w:val="1"/>
        </w:numPr>
        <w:spacing w:after="240" w:line="240" w:lineRule="auto"/>
        <w:jc w:val="both"/>
        <w:rPr>
          <w:rFonts w:ascii="Calibri" w:hAnsi="Calibri"/>
          <w:sz w:val="24"/>
          <w:szCs w:val="24"/>
        </w:rPr>
      </w:pPr>
      <w:r w:rsidRPr="00641D0E">
        <w:rPr>
          <w:rFonts w:ascii="Calibri" w:hAnsi="Calibri"/>
          <w:sz w:val="24"/>
          <w:szCs w:val="24"/>
        </w:rPr>
        <w:t>Quarterly humanitarian partnership dialogue meetings will be held at the humanitarian director level.</w:t>
      </w:r>
    </w:p>
    <w:p w14:paraId="2C1C5D40" w14:textId="77777777" w:rsidR="001E5C09" w:rsidRPr="00641D0E" w:rsidRDefault="001E5C09" w:rsidP="00A67DC0">
      <w:pPr>
        <w:spacing w:after="240"/>
        <w:jc w:val="both"/>
        <w:rPr>
          <w:rFonts w:ascii="Calibri" w:hAnsi="Calibri"/>
        </w:rPr>
      </w:pPr>
      <w:r w:rsidRPr="00B97CE5">
        <w:rPr>
          <w:rFonts w:ascii="Calibri" w:hAnsi="Calibri"/>
          <w:b/>
        </w:rPr>
        <w:t>Operational meetings</w:t>
      </w:r>
      <w:r w:rsidRPr="00641D0E">
        <w:rPr>
          <w:rFonts w:ascii="Calibri" w:hAnsi="Calibri"/>
        </w:rPr>
        <w:t xml:space="preserve"> will provide the forum for practical coordination, collaboration, information exchange and lesson learning:</w:t>
      </w:r>
    </w:p>
    <w:p w14:paraId="57322BB4" w14:textId="77777777" w:rsidR="001E5C09" w:rsidRDefault="00367C55" w:rsidP="00A67DC0">
      <w:pPr>
        <w:pStyle w:val="ListParagraph"/>
        <w:numPr>
          <w:ilvl w:val="0"/>
          <w:numId w:val="1"/>
        </w:numPr>
        <w:spacing w:after="240" w:line="240" w:lineRule="auto"/>
        <w:jc w:val="both"/>
        <w:rPr>
          <w:rFonts w:ascii="Calibri" w:hAnsi="Calibri"/>
          <w:sz w:val="24"/>
          <w:szCs w:val="24"/>
        </w:rPr>
      </w:pPr>
      <w:r>
        <w:rPr>
          <w:rFonts w:ascii="Calibri" w:hAnsi="Calibri"/>
          <w:sz w:val="24"/>
          <w:szCs w:val="24"/>
        </w:rPr>
        <w:t xml:space="preserve">Activation and lesson learning meetings for </w:t>
      </w:r>
      <w:r w:rsidR="00114FE7">
        <w:rPr>
          <w:rFonts w:ascii="Calibri" w:hAnsi="Calibri"/>
          <w:sz w:val="24"/>
          <w:szCs w:val="24"/>
        </w:rPr>
        <w:t xml:space="preserve">responses </w:t>
      </w:r>
    </w:p>
    <w:p w14:paraId="3AC36EDC" w14:textId="77777777" w:rsidR="001E5C09" w:rsidRPr="00BB6D03" w:rsidRDefault="001E5C09" w:rsidP="00A67DC0">
      <w:pPr>
        <w:pStyle w:val="ListParagraph"/>
        <w:numPr>
          <w:ilvl w:val="0"/>
          <w:numId w:val="1"/>
        </w:numPr>
        <w:spacing w:after="240" w:line="240" w:lineRule="auto"/>
        <w:jc w:val="both"/>
        <w:rPr>
          <w:rFonts w:ascii="Calibri" w:hAnsi="Calibri"/>
          <w:sz w:val="24"/>
          <w:szCs w:val="24"/>
        </w:rPr>
      </w:pPr>
      <w:r w:rsidRPr="00641D0E">
        <w:rPr>
          <w:rFonts w:ascii="Calibri" w:hAnsi="Calibri"/>
          <w:sz w:val="24"/>
          <w:szCs w:val="24"/>
        </w:rPr>
        <w:t>Quarterly collaboration meetings</w:t>
      </w:r>
      <w:r w:rsidR="005701C1">
        <w:rPr>
          <w:rFonts w:ascii="Calibri" w:hAnsi="Calibri"/>
          <w:sz w:val="24"/>
          <w:szCs w:val="24"/>
        </w:rPr>
        <w:t xml:space="preserve"> among ANGOs funded to build local humanitarian capacity in the Pacific</w:t>
      </w:r>
      <w:r>
        <w:rPr>
          <w:rFonts w:ascii="Calibri" w:hAnsi="Calibri"/>
          <w:sz w:val="24"/>
          <w:szCs w:val="24"/>
        </w:rPr>
        <w:t xml:space="preserve"> (</w:t>
      </w:r>
      <w:r w:rsidRPr="00BB6D03">
        <w:rPr>
          <w:rFonts w:ascii="Calibri" w:hAnsi="Calibri"/>
          <w:sz w:val="24"/>
          <w:szCs w:val="24"/>
        </w:rPr>
        <w:t xml:space="preserve">held back-to-back with quarterly meetings of the </w:t>
      </w:r>
      <w:r w:rsidR="00530A06">
        <w:rPr>
          <w:rFonts w:ascii="Calibri" w:hAnsi="Calibri"/>
          <w:sz w:val="24"/>
          <w:szCs w:val="24"/>
        </w:rPr>
        <w:t>partnership</w:t>
      </w:r>
      <w:r w:rsidR="00530A06" w:rsidRPr="00BB6D03">
        <w:rPr>
          <w:rFonts w:ascii="Calibri" w:hAnsi="Calibri"/>
          <w:sz w:val="24"/>
          <w:szCs w:val="24"/>
        </w:rPr>
        <w:t xml:space="preserve"> </w:t>
      </w:r>
      <w:r w:rsidRPr="00BB6D03">
        <w:rPr>
          <w:rFonts w:ascii="Calibri" w:hAnsi="Calibri"/>
          <w:sz w:val="24"/>
          <w:szCs w:val="24"/>
        </w:rPr>
        <w:t>as a whole</w:t>
      </w:r>
      <w:r>
        <w:rPr>
          <w:rFonts w:ascii="Calibri" w:hAnsi="Calibri"/>
          <w:sz w:val="24"/>
          <w:szCs w:val="24"/>
        </w:rPr>
        <w:t>)</w:t>
      </w:r>
    </w:p>
    <w:p w14:paraId="7680B8EC" w14:textId="77777777" w:rsidR="001E5C09" w:rsidRDefault="001E5C09" w:rsidP="00A67DC0">
      <w:pPr>
        <w:pStyle w:val="ListParagraph"/>
        <w:numPr>
          <w:ilvl w:val="0"/>
          <w:numId w:val="1"/>
        </w:numPr>
        <w:spacing w:after="240" w:line="240" w:lineRule="auto"/>
        <w:jc w:val="both"/>
        <w:rPr>
          <w:rFonts w:ascii="Calibri" w:hAnsi="Calibri"/>
          <w:sz w:val="24"/>
          <w:szCs w:val="24"/>
        </w:rPr>
      </w:pPr>
      <w:r w:rsidRPr="00641D0E">
        <w:rPr>
          <w:rFonts w:ascii="Calibri" w:hAnsi="Calibri"/>
          <w:sz w:val="24"/>
          <w:szCs w:val="24"/>
        </w:rPr>
        <w:t>Issue-specific teleconferences may be convened, with participation det</w:t>
      </w:r>
      <w:r w:rsidR="00367C55">
        <w:rPr>
          <w:rFonts w:ascii="Calibri" w:hAnsi="Calibri"/>
          <w:sz w:val="24"/>
          <w:szCs w:val="24"/>
        </w:rPr>
        <w:t>ermined on a case-by-case basis</w:t>
      </w:r>
    </w:p>
    <w:p w14:paraId="43432F1E" w14:textId="77777777" w:rsidR="001E5C09" w:rsidRPr="004064D7" w:rsidRDefault="001E5C09" w:rsidP="004064D7">
      <w:pPr>
        <w:pStyle w:val="ListParagraph"/>
        <w:numPr>
          <w:ilvl w:val="0"/>
          <w:numId w:val="1"/>
        </w:numPr>
        <w:spacing w:after="240" w:line="240" w:lineRule="auto"/>
        <w:jc w:val="both"/>
        <w:rPr>
          <w:rFonts w:ascii="Calibri" w:hAnsi="Calibri"/>
          <w:sz w:val="24"/>
          <w:szCs w:val="24"/>
        </w:rPr>
      </w:pPr>
      <w:r w:rsidRPr="004064D7">
        <w:rPr>
          <w:rFonts w:ascii="Calibri" w:hAnsi="Calibri"/>
          <w:sz w:val="24"/>
          <w:szCs w:val="24"/>
        </w:rPr>
        <w:t xml:space="preserve">Regular meetings between </w:t>
      </w:r>
      <w:r w:rsidR="00961EE0" w:rsidRPr="004064D7">
        <w:rPr>
          <w:rFonts w:ascii="Calibri" w:hAnsi="Calibri"/>
          <w:sz w:val="24"/>
          <w:szCs w:val="24"/>
        </w:rPr>
        <w:t xml:space="preserve">Partnership </w:t>
      </w:r>
      <w:r w:rsidRPr="004064D7">
        <w:rPr>
          <w:rFonts w:ascii="Calibri" w:hAnsi="Calibri"/>
          <w:sz w:val="24"/>
          <w:szCs w:val="24"/>
        </w:rPr>
        <w:t>Director</w:t>
      </w:r>
      <w:r w:rsidR="00367C55" w:rsidRPr="004064D7">
        <w:rPr>
          <w:rFonts w:ascii="Calibri" w:hAnsi="Calibri"/>
          <w:sz w:val="24"/>
          <w:szCs w:val="24"/>
        </w:rPr>
        <w:t xml:space="preserve"> and DFAT Humanitarian Director</w:t>
      </w:r>
      <w:r w:rsidR="00CF7A57" w:rsidRPr="004064D7">
        <w:rPr>
          <w:rFonts w:ascii="Calibri" w:hAnsi="Calibri"/>
          <w:sz w:val="24"/>
          <w:szCs w:val="24"/>
        </w:rPr>
        <w:t>.</w:t>
      </w:r>
    </w:p>
    <w:p w14:paraId="037375A2" w14:textId="77777777" w:rsidR="00003A07" w:rsidRPr="007157F7" w:rsidRDefault="00003A07" w:rsidP="00A67DC0">
      <w:pPr>
        <w:pStyle w:val="Heading1"/>
        <w:jc w:val="both"/>
      </w:pPr>
      <w:bookmarkStart w:id="22" w:name="_Toc448777806"/>
      <w:r w:rsidRPr="007157F7">
        <w:t>6. Implementation Arrangements</w:t>
      </w:r>
      <w:bookmarkEnd w:id="22"/>
    </w:p>
    <w:p w14:paraId="7F747242" w14:textId="77777777" w:rsidR="00003A07" w:rsidRPr="00CA11BC" w:rsidRDefault="00003A07" w:rsidP="00A67DC0">
      <w:pPr>
        <w:pStyle w:val="Heading2"/>
        <w:spacing w:after="240"/>
        <w:jc w:val="both"/>
        <w:rPr>
          <w:sz w:val="24"/>
          <w:szCs w:val="24"/>
        </w:rPr>
      </w:pPr>
      <w:bookmarkStart w:id="23" w:name="_Toc448777807"/>
      <w:r w:rsidRPr="007157F7">
        <w:rPr>
          <w:sz w:val="24"/>
          <w:szCs w:val="24"/>
        </w:rPr>
        <w:t>Roles an</w:t>
      </w:r>
      <w:r w:rsidRPr="00CA11BC">
        <w:rPr>
          <w:sz w:val="24"/>
          <w:szCs w:val="24"/>
        </w:rPr>
        <w:t>d Responsibilities</w:t>
      </w:r>
      <w:bookmarkEnd w:id="23"/>
    </w:p>
    <w:p w14:paraId="315046D6" w14:textId="27CF0373" w:rsidR="00CF7A57" w:rsidRPr="00CA11BC" w:rsidRDefault="008374CE" w:rsidP="00A67DC0">
      <w:pPr>
        <w:spacing w:after="240"/>
        <w:jc w:val="both"/>
        <w:rPr>
          <w:rFonts w:ascii="Calibri" w:eastAsia="Times New Roman" w:hAnsi="Calibri"/>
          <w:color w:val="000000"/>
          <w:sz w:val="22"/>
          <w:szCs w:val="22"/>
        </w:rPr>
      </w:pPr>
      <w:r w:rsidRPr="00CA11BC">
        <w:rPr>
          <w:rFonts w:ascii="Calibri" w:eastAsiaTheme="minorHAnsi" w:hAnsi="Calibri"/>
          <w:b/>
        </w:rPr>
        <w:t>The partnership’s ultimate goal</w:t>
      </w:r>
      <w:r w:rsidRPr="00CA11BC">
        <w:rPr>
          <w:rFonts w:ascii="Calibri" w:eastAsiaTheme="minorHAnsi" w:hAnsi="Calibri"/>
        </w:rPr>
        <w:t xml:space="preserve"> is to save lives, alleviate suffering and enhance human dignity during and in the aftermath of conflict, </w:t>
      </w:r>
      <w:r w:rsidR="00CA11BC" w:rsidRPr="00CA11BC">
        <w:rPr>
          <w:rFonts w:ascii="Calibri" w:eastAsiaTheme="minorHAnsi" w:hAnsi="Calibri"/>
        </w:rPr>
        <w:t>disasters</w:t>
      </w:r>
      <w:r w:rsidR="00AB14F2" w:rsidRPr="00CA11BC">
        <w:rPr>
          <w:rFonts w:ascii="Calibri" w:eastAsiaTheme="minorHAnsi" w:hAnsi="Calibri"/>
        </w:rPr>
        <w:t xml:space="preserve"> </w:t>
      </w:r>
      <w:r w:rsidRPr="00CA11BC">
        <w:rPr>
          <w:rFonts w:ascii="Calibri" w:eastAsiaTheme="minorHAnsi" w:hAnsi="Calibri"/>
        </w:rPr>
        <w:t>and other humanitarian crises</w:t>
      </w:r>
      <w:r w:rsidR="00CA11BC" w:rsidRPr="00CA11BC">
        <w:rPr>
          <w:rFonts w:ascii="Calibri" w:hAnsi="Calibri"/>
        </w:rPr>
        <w:t xml:space="preserve">, as well as to strengthen capacity to prepare for and recover from the occurrence of such situations.  </w:t>
      </w:r>
      <w:r w:rsidR="00CF7A57" w:rsidRPr="00CA11BC">
        <w:rPr>
          <w:rFonts w:ascii="Calibri" w:hAnsi="Calibri"/>
          <w:b/>
        </w:rPr>
        <w:t>The purpose of the partnership</w:t>
      </w:r>
      <w:r w:rsidR="00530A06">
        <w:rPr>
          <w:rFonts w:ascii="Calibri" w:hAnsi="Calibri"/>
          <w:b/>
        </w:rPr>
        <w:t xml:space="preserve">, </w:t>
      </w:r>
      <w:r w:rsidR="00530A06" w:rsidRPr="00B90BFE">
        <w:rPr>
          <w:rFonts w:ascii="Calibri" w:hAnsi="Calibri"/>
        </w:rPr>
        <w:t>and the Support Unit which underpins it,</w:t>
      </w:r>
      <w:r w:rsidR="00CF7A57" w:rsidRPr="00CA11BC">
        <w:rPr>
          <w:rFonts w:ascii="Calibri" w:hAnsi="Calibri"/>
        </w:rPr>
        <w:t xml:space="preserve"> is to strengthen collaboration and innovation to deliver effective humanitarian assistance and support local communities to take a leadership role in </w:t>
      </w:r>
      <w:r w:rsidR="00530A06">
        <w:rPr>
          <w:rFonts w:ascii="Calibri" w:hAnsi="Calibri"/>
        </w:rPr>
        <w:t xml:space="preserve">preparedness, </w:t>
      </w:r>
      <w:r w:rsidR="00CF7A57" w:rsidRPr="00CA11BC">
        <w:rPr>
          <w:rFonts w:ascii="Calibri" w:hAnsi="Calibri"/>
        </w:rPr>
        <w:t>response</w:t>
      </w:r>
      <w:r w:rsidR="00762FFD">
        <w:rPr>
          <w:rFonts w:ascii="Calibri" w:hAnsi="Calibri"/>
        </w:rPr>
        <w:t>, risk</w:t>
      </w:r>
      <w:r w:rsidR="00CF7A57" w:rsidRPr="00CA11BC">
        <w:rPr>
          <w:rFonts w:ascii="Calibri" w:hAnsi="Calibri"/>
        </w:rPr>
        <w:t xml:space="preserve"> reduction </w:t>
      </w:r>
      <w:r w:rsidR="00176212">
        <w:rPr>
          <w:rFonts w:ascii="Calibri" w:hAnsi="Calibri"/>
        </w:rPr>
        <w:t xml:space="preserve">and resilience </w:t>
      </w:r>
      <w:r w:rsidR="00CF7A57" w:rsidRPr="00CA11BC">
        <w:rPr>
          <w:rFonts w:ascii="Calibri" w:hAnsi="Calibri"/>
        </w:rPr>
        <w:t>efforts.</w:t>
      </w:r>
      <w:r w:rsidR="00CF7A57" w:rsidRPr="00CA11BC">
        <w:rPr>
          <w:rFonts w:ascii="Calibri" w:eastAsia="Times New Roman" w:hAnsi="Calibri"/>
          <w:color w:val="000000"/>
          <w:sz w:val="22"/>
          <w:szCs w:val="22"/>
        </w:rPr>
        <w:t>  </w:t>
      </w:r>
    </w:p>
    <w:p w14:paraId="6FBA5921" w14:textId="561D12A6" w:rsidR="00312C1D" w:rsidRPr="00312C1D" w:rsidRDefault="00827D4F" w:rsidP="00A67DC0">
      <w:pPr>
        <w:spacing w:after="240"/>
        <w:jc w:val="both"/>
        <w:rPr>
          <w:rFonts w:ascii="Calibri" w:hAnsi="Calibri"/>
        </w:rPr>
      </w:pPr>
      <w:r w:rsidRPr="00CA11BC">
        <w:rPr>
          <w:rFonts w:ascii="Calibri" w:eastAsiaTheme="minorHAnsi" w:hAnsi="Calibri"/>
        </w:rPr>
        <w:t xml:space="preserve">The partnership aims to add quality to the work of all partners. </w:t>
      </w:r>
      <w:r w:rsidR="001A7380" w:rsidRPr="00CA11BC">
        <w:rPr>
          <w:rFonts w:ascii="Calibri" w:hAnsi="Calibri"/>
          <w:b/>
        </w:rPr>
        <w:t xml:space="preserve">All </w:t>
      </w:r>
      <w:r w:rsidR="006D27A9">
        <w:rPr>
          <w:rFonts w:ascii="Calibri" w:hAnsi="Calibri"/>
          <w:b/>
        </w:rPr>
        <w:t xml:space="preserve">HRG </w:t>
      </w:r>
      <w:r w:rsidR="00C7303F">
        <w:rPr>
          <w:rFonts w:ascii="Calibri" w:hAnsi="Calibri"/>
          <w:b/>
        </w:rPr>
        <w:t>member NGOs</w:t>
      </w:r>
      <w:r w:rsidR="00C7303F" w:rsidRPr="00CA11BC">
        <w:rPr>
          <w:rFonts w:ascii="Calibri" w:hAnsi="Calibri"/>
        </w:rPr>
        <w:t xml:space="preserve"> </w:t>
      </w:r>
      <w:r w:rsidR="001A7380" w:rsidRPr="00CA11BC">
        <w:rPr>
          <w:rFonts w:ascii="Calibri" w:hAnsi="Calibri"/>
        </w:rPr>
        <w:t xml:space="preserve">will </w:t>
      </w:r>
      <w:r w:rsidR="008061E0">
        <w:rPr>
          <w:rFonts w:ascii="Calibri" w:hAnsi="Calibri"/>
        </w:rPr>
        <w:t>have the opportunity to help improve</w:t>
      </w:r>
      <w:r w:rsidR="001A7380" w:rsidRPr="00312C1D">
        <w:rPr>
          <w:rFonts w:ascii="Calibri" w:hAnsi="Calibri"/>
        </w:rPr>
        <w:t xml:space="preserve"> the quality of Australian responses </w:t>
      </w:r>
      <w:r w:rsidR="001A7380" w:rsidRPr="00312C1D">
        <w:rPr>
          <w:rFonts w:ascii="Calibri" w:hAnsi="Calibri"/>
        </w:rPr>
        <w:lastRenderedPageBreak/>
        <w:t xml:space="preserve">to humanitarian crises, in particular through participation in strategic policy dialogue, practical collaboration, open communication and </w:t>
      </w:r>
      <w:r w:rsidR="00530A06">
        <w:rPr>
          <w:rFonts w:ascii="Calibri" w:hAnsi="Calibri"/>
        </w:rPr>
        <w:t xml:space="preserve">mutual </w:t>
      </w:r>
      <w:r w:rsidR="001A7380" w:rsidRPr="00312C1D">
        <w:rPr>
          <w:rFonts w:ascii="Calibri" w:hAnsi="Calibri"/>
        </w:rPr>
        <w:t>learning exercises.</w:t>
      </w:r>
    </w:p>
    <w:p w14:paraId="5AFA3B93" w14:textId="4BC4213A" w:rsidR="00177DFA" w:rsidRPr="00641D0E" w:rsidRDefault="00177DFA" w:rsidP="00A67DC0">
      <w:pPr>
        <w:spacing w:after="240"/>
        <w:jc w:val="both"/>
        <w:rPr>
          <w:rFonts w:ascii="Calibri" w:hAnsi="Calibri"/>
        </w:rPr>
      </w:pPr>
      <w:r w:rsidRPr="00641D0E">
        <w:rPr>
          <w:rFonts w:ascii="Calibri" w:hAnsi="Calibri"/>
          <w:b/>
        </w:rPr>
        <w:t>DFAT</w:t>
      </w:r>
      <w:r w:rsidRPr="00641D0E">
        <w:rPr>
          <w:rFonts w:ascii="Calibri" w:hAnsi="Calibri"/>
        </w:rPr>
        <w:t xml:space="preserve"> will </w:t>
      </w:r>
      <w:r w:rsidR="007864CA">
        <w:rPr>
          <w:rFonts w:ascii="Calibri" w:hAnsi="Calibri"/>
        </w:rPr>
        <w:t xml:space="preserve">participate and engage in HRG meetings, recognising this forum as the key channel for strategic dialogue. DFAT will </w:t>
      </w:r>
      <w:r w:rsidRPr="00641D0E">
        <w:rPr>
          <w:rFonts w:ascii="Calibri" w:hAnsi="Calibri"/>
        </w:rPr>
        <w:t xml:space="preserve">be responsible for managing contracts with </w:t>
      </w:r>
      <w:r w:rsidR="00176212">
        <w:rPr>
          <w:rFonts w:ascii="Calibri" w:hAnsi="Calibri"/>
        </w:rPr>
        <w:t>the Support Unit</w:t>
      </w:r>
      <w:r w:rsidRPr="00641D0E">
        <w:rPr>
          <w:rFonts w:ascii="Calibri" w:hAnsi="Calibri"/>
        </w:rPr>
        <w:t xml:space="preserve">, including by clearly articulating what it requires of funded partners. It will </w:t>
      </w:r>
      <w:r w:rsidR="007864CA">
        <w:rPr>
          <w:rFonts w:ascii="Calibri" w:hAnsi="Calibri"/>
        </w:rPr>
        <w:t xml:space="preserve">notify </w:t>
      </w:r>
      <w:r w:rsidR="00C7303F">
        <w:rPr>
          <w:rFonts w:ascii="Calibri" w:hAnsi="Calibri"/>
        </w:rPr>
        <w:t xml:space="preserve">HRG </w:t>
      </w:r>
      <w:r w:rsidR="007864CA">
        <w:rPr>
          <w:rFonts w:ascii="Calibri" w:hAnsi="Calibri"/>
        </w:rPr>
        <w:t xml:space="preserve">members of </w:t>
      </w:r>
      <w:r w:rsidRPr="00641D0E">
        <w:rPr>
          <w:rFonts w:ascii="Calibri" w:hAnsi="Calibri"/>
        </w:rPr>
        <w:t>activat</w:t>
      </w:r>
      <w:r w:rsidR="007864CA">
        <w:rPr>
          <w:rFonts w:ascii="Calibri" w:hAnsi="Calibri"/>
        </w:rPr>
        <w:t>ion of</w:t>
      </w:r>
      <w:r w:rsidRPr="00641D0E">
        <w:rPr>
          <w:rFonts w:ascii="Calibri" w:hAnsi="Calibri"/>
        </w:rPr>
        <w:t xml:space="preserve"> </w:t>
      </w:r>
      <w:r w:rsidR="00312C1D">
        <w:rPr>
          <w:rFonts w:ascii="Calibri" w:hAnsi="Calibri"/>
        </w:rPr>
        <w:t xml:space="preserve">response </w:t>
      </w:r>
      <w:r w:rsidR="008374CE">
        <w:rPr>
          <w:rFonts w:ascii="Calibri" w:hAnsi="Calibri"/>
        </w:rPr>
        <w:t>funding</w:t>
      </w:r>
      <w:r w:rsidRPr="00641D0E">
        <w:rPr>
          <w:rFonts w:ascii="Calibri" w:hAnsi="Calibri"/>
        </w:rPr>
        <w:t xml:space="preserve">, and ensure timely disbursal of funds. </w:t>
      </w:r>
      <w:r w:rsidR="00FA13CD" w:rsidRPr="00641D0E">
        <w:rPr>
          <w:rFonts w:ascii="Calibri" w:hAnsi="Calibri"/>
        </w:rPr>
        <w:t>D</w:t>
      </w:r>
      <w:r w:rsidR="00C079AC">
        <w:rPr>
          <w:rFonts w:ascii="Calibri" w:hAnsi="Calibri"/>
        </w:rPr>
        <w:t>FAT will</w:t>
      </w:r>
      <w:r w:rsidR="00FA13CD" w:rsidRPr="00641D0E">
        <w:rPr>
          <w:rFonts w:ascii="Calibri" w:hAnsi="Calibri"/>
        </w:rPr>
        <w:t xml:space="preserve"> engage with partners in </w:t>
      </w:r>
      <w:r w:rsidR="00C079AC">
        <w:rPr>
          <w:rFonts w:ascii="Calibri" w:hAnsi="Calibri"/>
        </w:rPr>
        <w:t>a manner consistent</w:t>
      </w:r>
      <w:r w:rsidR="00FA13CD" w:rsidRPr="00641D0E">
        <w:rPr>
          <w:rFonts w:ascii="Calibri" w:hAnsi="Calibri"/>
        </w:rPr>
        <w:t xml:space="preserve"> with the principles of Good Humanitarian Donorship.</w:t>
      </w:r>
    </w:p>
    <w:p w14:paraId="4CCC6885" w14:textId="7AFAFAC7" w:rsidR="00177DFA" w:rsidRPr="00641D0E" w:rsidRDefault="00C7303F" w:rsidP="00A67DC0">
      <w:pPr>
        <w:spacing w:after="240"/>
        <w:jc w:val="both"/>
        <w:rPr>
          <w:rFonts w:ascii="Calibri" w:hAnsi="Calibri"/>
        </w:rPr>
      </w:pPr>
      <w:r>
        <w:rPr>
          <w:rFonts w:ascii="Calibri" w:hAnsi="Calibri"/>
          <w:b/>
        </w:rPr>
        <w:t>HRG member NGOs</w:t>
      </w:r>
      <w:r w:rsidR="00177DFA" w:rsidRPr="00641D0E">
        <w:rPr>
          <w:rFonts w:ascii="Calibri" w:hAnsi="Calibri"/>
        </w:rPr>
        <w:t xml:space="preserve"> </w:t>
      </w:r>
      <w:r w:rsidR="008061E0">
        <w:rPr>
          <w:rFonts w:ascii="Calibri" w:hAnsi="Calibri"/>
        </w:rPr>
        <w:t xml:space="preserve">(subject to decisions made during a partnership brokering exercise) </w:t>
      </w:r>
      <w:r w:rsidR="00177DFA" w:rsidRPr="00641D0E">
        <w:rPr>
          <w:rFonts w:ascii="Calibri" w:hAnsi="Calibri"/>
        </w:rPr>
        <w:t>will continue to chair the HRG on a rotating basis</w:t>
      </w:r>
      <w:r w:rsidR="00C079AC">
        <w:rPr>
          <w:rFonts w:ascii="Calibri" w:hAnsi="Calibri"/>
        </w:rPr>
        <w:t>, and will participate in</w:t>
      </w:r>
      <w:r w:rsidR="002D4764" w:rsidRPr="00641D0E">
        <w:rPr>
          <w:rFonts w:ascii="Calibri" w:hAnsi="Calibri"/>
        </w:rPr>
        <w:t xml:space="preserve"> Response Committees</w:t>
      </w:r>
      <w:r w:rsidR="00C079AC">
        <w:rPr>
          <w:rFonts w:ascii="Calibri" w:hAnsi="Calibri"/>
        </w:rPr>
        <w:t xml:space="preserve"> where relevant</w:t>
      </w:r>
      <w:r w:rsidR="00EF52AA">
        <w:rPr>
          <w:rFonts w:ascii="Calibri" w:hAnsi="Calibri"/>
        </w:rPr>
        <w:t>, and will participate in the range of partnership and lesson learning activities on an opt-in basis</w:t>
      </w:r>
      <w:r w:rsidR="00177DFA" w:rsidRPr="00641D0E">
        <w:rPr>
          <w:rFonts w:ascii="Calibri" w:hAnsi="Calibri"/>
        </w:rPr>
        <w:t xml:space="preserve">. NGOs selected </w:t>
      </w:r>
      <w:r w:rsidR="002D4764" w:rsidRPr="00641D0E">
        <w:rPr>
          <w:rFonts w:ascii="Calibri" w:hAnsi="Calibri"/>
        </w:rPr>
        <w:t xml:space="preserve">for funding </w:t>
      </w:r>
      <w:r w:rsidR="00177DFA" w:rsidRPr="00641D0E">
        <w:rPr>
          <w:rFonts w:ascii="Calibri" w:hAnsi="Calibri"/>
        </w:rPr>
        <w:t xml:space="preserve">will implement </w:t>
      </w:r>
      <w:r w:rsidR="00FA13CD" w:rsidRPr="00641D0E">
        <w:rPr>
          <w:rFonts w:ascii="Calibri" w:hAnsi="Calibri"/>
        </w:rPr>
        <w:t xml:space="preserve">their activities transparently, and in accordance with </w:t>
      </w:r>
      <w:r w:rsidR="00C079AC">
        <w:rPr>
          <w:rFonts w:ascii="Calibri" w:hAnsi="Calibri"/>
        </w:rPr>
        <w:t>applicable</w:t>
      </w:r>
      <w:r w:rsidR="00FA13CD" w:rsidRPr="00641D0E">
        <w:rPr>
          <w:rFonts w:ascii="Calibri" w:hAnsi="Calibri"/>
        </w:rPr>
        <w:t xml:space="preserve"> humanitarian accountability standards.</w:t>
      </w:r>
      <w:r w:rsidR="00FA13CD" w:rsidRPr="00EA0467">
        <w:rPr>
          <w:rStyle w:val="FootnoteReference"/>
          <w:szCs w:val="16"/>
        </w:rPr>
        <w:footnoteReference w:id="47"/>
      </w:r>
      <w:r w:rsidR="00C079AC">
        <w:rPr>
          <w:rFonts w:ascii="Calibri" w:hAnsi="Calibri"/>
        </w:rPr>
        <w:t xml:space="preserve"> </w:t>
      </w:r>
      <w:r w:rsidR="008374CE">
        <w:rPr>
          <w:rFonts w:ascii="Calibri" w:hAnsi="Calibri"/>
        </w:rPr>
        <w:t xml:space="preserve"> </w:t>
      </w:r>
      <w:r w:rsidR="00C079AC">
        <w:rPr>
          <w:rFonts w:ascii="Calibri" w:hAnsi="Calibri"/>
        </w:rPr>
        <w:t>They will report on activity progress</w:t>
      </w:r>
      <w:r w:rsidR="00032DB5" w:rsidRPr="00641D0E">
        <w:rPr>
          <w:rFonts w:ascii="Calibri" w:hAnsi="Calibri"/>
        </w:rPr>
        <w:t xml:space="preserve"> in line with agreed formats.</w:t>
      </w:r>
    </w:p>
    <w:p w14:paraId="2C8ABE82" w14:textId="029452C7" w:rsidR="00BA10F3" w:rsidRDefault="00176212" w:rsidP="00A67DC0">
      <w:pPr>
        <w:spacing w:after="240"/>
        <w:jc w:val="both"/>
        <w:rPr>
          <w:rFonts w:ascii="Calibri" w:hAnsi="Calibri"/>
        </w:rPr>
      </w:pPr>
      <w:r>
        <w:rPr>
          <w:rFonts w:ascii="Calibri" w:hAnsi="Calibri"/>
          <w:b/>
        </w:rPr>
        <w:t>T</w:t>
      </w:r>
      <w:r w:rsidRPr="00AE5790">
        <w:rPr>
          <w:rFonts w:ascii="Calibri" w:hAnsi="Calibri"/>
          <w:b/>
        </w:rPr>
        <w:t xml:space="preserve">he </w:t>
      </w:r>
      <w:r w:rsidR="00BA10F3" w:rsidRPr="00AE5790">
        <w:rPr>
          <w:rFonts w:ascii="Calibri" w:hAnsi="Calibri"/>
          <w:b/>
        </w:rPr>
        <w:t>HRG</w:t>
      </w:r>
      <w:r>
        <w:rPr>
          <w:rFonts w:ascii="Calibri" w:hAnsi="Calibri"/>
          <w:b/>
        </w:rPr>
        <w:t>, and its members,</w:t>
      </w:r>
      <w:r w:rsidR="00BA10F3" w:rsidRPr="00641D0E">
        <w:rPr>
          <w:rFonts w:ascii="Calibri" w:hAnsi="Calibri"/>
        </w:rPr>
        <w:t xml:space="preserve"> </w:t>
      </w:r>
      <w:r w:rsidR="007864CA">
        <w:rPr>
          <w:rFonts w:ascii="Calibri" w:hAnsi="Calibri"/>
        </w:rPr>
        <w:t>are</w:t>
      </w:r>
      <w:r w:rsidR="007864CA" w:rsidRPr="00641D0E">
        <w:rPr>
          <w:rFonts w:ascii="Calibri" w:hAnsi="Calibri"/>
        </w:rPr>
        <w:t xml:space="preserve"> </w:t>
      </w:r>
      <w:r w:rsidR="007864CA">
        <w:rPr>
          <w:rFonts w:ascii="Calibri" w:hAnsi="Calibri"/>
        </w:rPr>
        <w:t xml:space="preserve">independent of Government and remain </w:t>
      </w:r>
      <w:r w:rsidR="00BA10F3" w:rsidRPr="00641D0E">
        <w:rPr>
          <w:rFonts w:ascii="Calibri" w:hAnsi="Calibri"/>
        </w:rPr>
        <w:t xml:space="preserve">important vehicles for advocacy </w:t>
      </w:r>
      <w:r w:rsidR="00AF79D3">
        <w:rPr>
          <w:rFonts w:ascii="Calibri" w:hAnsi="Calibri"/>
        </w:rPr>
        <w:t>and policy development</w:t>
      </w:r>
      <w:r w:rsidR="00BA10F3" w:rsidRPr="00641D0E">
        <w:rPr>
          <w:rFonts w:ascii="Calibri" w:hAnsi="Calibri"/>
        </w:rPr>
        <w:t xml:space="preserve">. That role will continue outside the scope of the </w:t>
      </w:r>
      <w:r w:rsidR="00CA11BC">
        <w:rPr>
          <w:rFonts w:ascii="Calibri" w:hAnsi="Calibri"/>
        </w:rPr>
        <w:t>Australian Humanitarian Partnership</w:t>
      </w:r>
      <w:r w:rsidR="00495BE2">
        <w:rPr>
          <w:rFonts w:ascii="Calibri" w:hAnsi="Calibri"/>
        </w:rPr>
        <w:t xml:space="preserve">. </w:t>
      </w:r>
      <w:r w:rsidR="007864CA" w:rsidRPr="009978FE">
        <w:rPr>
          <w:rFonts w:ascii="Calibri" w:hAnsi="Calibri"/>
        </w:rPr>
        <w:t>During the inception phase, the Support Unit will work with DFAT and HRG members to develop a set of communication protocols which will guide communication activities in the lead up</w:t>
      </w:r>
      <w:r w:rsidR="003D24B5">
        <w:rPr>
          <w:rFonts w:ascii="Calibri" w:hAnsi="Calibri"/>
        </w:rPr>
        <w:t xml:space="preserve"> to</w:t>
      </w:r>
      <w:r w:rsidR="007864CA" w:rsidRPr="009978FE">
        <w:rPr>
          <w:rFonts w:ascii="Calibri" w:hAnsi="Calibri"/>
        </w:rPr>
        <w:t xml:space="preserve">, during and after a humanitarian response which has involved the </w:t>
      </w:r>
      <w:r w:rsidR="00CA11BC">
        <w:rPr>
          <w:rFonts w:ascii="Calibri" w:hAnsi="Calibri"/>
        </w:rPr>
        <w:t>Australian Humanitarian Partnership</w:t>
      </w:r>
      <w:r w:rsidR="007864CA" w:rsidRPr="009978FE">
        <w:rPr>
          <w:rFonts w:ascii="Calibri" w:hAnsi="Calibri"/>
        </w:rPr>
        <w:t xml:space="preserve">. These protocols will be developed collaboratively and agreed to by all partners. </w:t>
      </w:r>
    </w:p>
    <w:p w14:paraId="61BB56DE" w14:textId="0402247C" w:rsidR="00176212" w:rsidRDefault="00176212" w:rsidP="00176212">
      <w:pPr>
        <w:spacing w:after="120"/>
        <w:jc w:val="both"/>
        <w:rPr>
          <w:rFonts w:ascii="Calibri" w:hAnsi="Calibri"/>
        </w:rPr>
      </w:pPr>
      <w:r>
        <w:rPr>
          <w:rFonts w:ascii="Calibri" w:hAnsi="Calibri"/>
          <w:b/>
          <w:bCs/>
        </w:rPr>
        <w:t xml:space="preserve">The </w:t>
      </w:r>
      <w:r w:rsidRPr="00737D62">
        <w:rPr>
          <w:rFonts w:ascii="Calibri" w:hAnsi="Calibri"/>
          <w:b/>
        </w:rPr>
        <w:t>organisation selected to host the Support Unit</w:t>
      </w:r>
      <w:r>
        <w:rPr>
          <w:rFonts w:ascii="Calibri" w:hAnsi="Calibri"/>
        </w:rPr>
        <w:t xml:space="preserve"> will be contracted through a competitive procurement process. The </w:t>
      </w:r>
      <w:r w:rsidR="00156842">
        <w:rPr>
          <w:rFonts w:ascii="Calibri" w:hAnsi="Calibri"/>
        </w:rPr>
        <w:t>organisation</w:t>
      </w:r>
      <w:r>
        <w:rPr>
          <w:rFonts w:ascii="Calibri" w:hAnsi="Calibri"/>
        </w:rPr>
        <w:t xml:space="preserve"> must have the capacity to enter into contractual agreements with the 4-6 HRG member NGOs pre-selected to receive DFAT funding. </w:t>
      </w:r>
    </w:p>
    <w:p w14:paraId="6B007416" w14:textId="77777777" w:rsidR="00DA243A" w:rsidRPr="00641D0E" w:rsidRDefault="00DA243A" w:rsidP="00A67DC0">
      <w:pPr>
        <w:spacing w:after="240"/>
        <w:jc w:val="both"/>
        <w:rPr>
          <w:rFonts w:ascii="Calibri" w:hAnsi="Calibri"/>
        </w:rPr>
      </w:pPr>
      <w:r w:rsidRPr="00641D0E">
        <w:rPr>
          <w:rFonts w:ascii="Calibri" w:hAnsi="Calibri"/>
        </w:rPr>
        <w:t xml:space="preserve">The </w:t>
      </w:r>
      <w:r w:rsidRPr="00641D0E">
        <w:rPr>
          <w:rFonts w:ascii="Calibri" w:hAnsi="Calibri"/>
          <w:b/>
        </w:rPr>
        <w:t>Support Unit</w:t>
      </w:r>
      <w:r w:rsidRPr="00641D0E">
        <w:rPr>
          <w:rFonts w:ascii="Calibri" w:hAnsi="Calibri"/>
        </w:rPr>
        <w:t xml:space="preserve"> </w:t>
      </w:r>
      <w:r w:rsidR="0092499A" w:rsidRPr="00641D0E">
        <w:rPr>
          <w:rFonts w:ascii="Calibri" w:hAnsi="Calibri"/>
        </w:rPr>
        <w:t xml:space="preserve">will </w:t>
      </w:r>
      <w:r w:rsidR="00721EF2">
        <w:rPr>
          <w:rFonts w:ascii="Calibri" w:hAnsi="Calibri"/>
        </w:rPr>
        <w:t xml:space="preserve">be responsible for </w:t>
      </w:r>
      <w:r w:rsidR="00B90BFE">
        <w:rPr>
          <w:rFonts w:ascii="Calibri" w:hAnsi="Calibri"/>
        </w:rPr>
        <w:t xml:space="preserve">supporting partners to work together to achieve the partnership outcomes and for </w:t>
      </w:r>
      <w:r w:rsidR="00721EF2">
        <w:rPr>
          <w:rFonts w:ascii="Calibri" w:hAnsi="Calibri"/>
        </w:rPr>
        <w:t xml:space="preserve">the day-to-day </w:t>
      </w:r>
      <w:r w:rsidR="0092499A" w:rsidRPr="00641D0E">
        <w:rPr>
          <w:rFonts w:ascii="Calibri" w:hAnsi="Calibri"/>
        </w:rPr>
        <w:t xml:space="preserve">functioning of the </w:t>
      </w:r>
      <w:r w:rsidR="00CA11BC">
        <w:rPr>
          <w:rFonts w:ascii="Calibri" w:hAnsi="Calibri"/>
        </w:rPr>
        <w:t>Australian Humanitarian Partnership</w:t>
      </w:r>
      <w:r w:rsidR="0092499A" w:rsidRPr="00641D0E">
        <w:rPr>
          <w:rFonts w:ascii="Calibri" w:hAnsi="Calibri"/>
        </w:rPr>
        <w:t xml:space="preserve">. It </w:t>
      </w:r>
      <w:r w:rsidRPr="00641D0E">
        <w:rPr>
          <w:rFonts w:ascii="Calibri" w:hAnsi="Calibri"/>
        </w:rPr>
        <w:t xml:space="preserve">will manage the activation processes, including by convening meetings, </w:t>
      </w:r>
      <w:r w:rsidR="0092499A" w:rsidRPr="00641D0E">
        <w:rPr>
          <w:rFonts w:ascii="Calibri" w:hAnsi="Calibri"/>
        </w:rPr>
        <w:t xml:space="preserve">engaging external technical expertise, </w:t>
      </w:r>
      <w:r w:rsidRPr="00641D0E">
        <w:rPr>
          <w:rFonts w:ascii="Calibri" w:hAnsi="Calibri"/>
        </w:rPr>
        <w:t>documenting decisions and communicating with partners. It will be the central focus for lesson learning</w:t>
      </w:r>
      <w:r w:rsidR="009D26AB" w:rsidRPr="00641D0E">
        <w:rPr>
          <w:rFonts w:ascii="Calibri" w:hAnsi="Calibri"/>
        </w:rPr>
        <w:t xml:space="preserve"> in the </w:t>
      </w:r>
      <w:r w:rsidR="00CA11BC">
        <w:rPr>
          <w:rFonts w:ascii="Calibri" w:hAnsi="Calibri"/>
        </w:rPr>
        <w:t>partnership</w:t>
      </w:r>
      <w:r w:rsidRPr="00641D0E">
        <w:rPr>
          <w:rFonts w:ascii="Calibri" w:hAnsi="Calibri"/>
        </w:rPr>
        <w:t xml:space="preserve">, including by </w:t>
      </w:r>
      <w:r w:rsidR="009D26AB" w:rsidRPr="00641D0E">
        <w:rPr>
          <w:rFonts w:ascii="Calibri" w:hAnsi="Calibri"/>
        </w:rPr>
        <w:t>compiling</w:t>
      </w:r>
      <w:r w:rsidRPr="00641D0E">
        <w:rPr>
          <w:rFonts w:ascii="Calibri" w:hAnsi="Calibri"/>
        </w:rPr>
        <w:t xml:space="preserve"> </w:t>
      </w:r>
      <w:r w:rsidR="009D26AB" w:rsidRPr="00641D0E">
        <w:rPr>
          <w:rFonts w:ascii="Calibri" w:hAnsi="Calibri"/>
        </w:rPr>
        <w:t xml:space="preserve">joint </w:t>
      </w:r>
      <w:r w:rsidRPr="00641D0E">
        <w:rPr>
          <w:rFonts w:ascii="Calibri" w:hAnsi="Calibri"/>
        </w:rPr>
        <w:t>reporting</w:t>
      </w:r>
      <w:r w:rsidR="00BA10F3" w:rsidRPr="00641D0E">
        <w:rPr>
          <w:rFonts w:ascii="Calibri" w:hAnsi="Calibri"/>
        </w:rPr>
        <w:t>, conveni</w:t>
      </w:r>
      <w:r w:rsidR="002D5D98">
        <w:rPr>
          <w:rFonts w:ascii="Calibri" w:hAnsi="Calibri"/>
        </w:rPr>
        <w:t>ng lessons-</w:t>
      </w:r>
      <w:r w:rsidR="00BA10F3" w:rsidRPr="00641D0E">
        <w:rPr>
          <w:rFonts w:ascii="Calibri" w:hAnsi="Calibri"/>
        </w:rPr>
        <w:t>learned activities and disseminating associated documentation.</w:t>
      </w:r>
      <w:r w:rsidR="00AE5790">
        <w:rPr>
          <w:rFonts w:ascii="Calibri" w:hAnsi="Calibri"/>
        </w:rPr>
        <w:t xml:space="preserve"> It will be the primary </w:t>
      </w:r>
      <w:r w:rsidR="008437AB" w:rsidRPr="00641D0E">
        <w:rPr>
          <w:rFonts w:ascii="Calibri" w:hAnsi="Calibri"/>
        </w:rPr>
        <w:t xml:space="preserve">resource for maximising public awareness of the achievements of the </w:t>
      </w:r>
      <w:r w:rsidR="00CA11BC">
        <w:rPr>
          <w:rFonts w:ascii="Calibri" w:hAnsi="Calibri"/>
        </w:rPr>
        <w:t>partnership</w:t>
      </w:r>
      <w:r w:rsidR="008437AB" w:rsidRPr="00641D0E">
        <w:rPr>
          <w:rFonts w:ascii="Calibri" w:hAnsi="Calibri"/>
        </w:rPr>
        <w:t>, including by providing information to DFAT and other partners, and producing coordinated media products.</w:t>
      </w:r>
    </w:p>
    <w:p w14:paraId="0B727059" w14:textId="77777777" w:rsidR="00003A07" w:rsidRPr="007157F7" w:rsidRDefault="00003A07" w:rsidP="00A67DC0">
      <w:pPr>
        <w:pStyle w:val="Heading2"/>
        <w:spacing w:after="240"/>
        <w:jc w:val="both"/>
        <w:rPr>
          <w:sz w:val="24"/>
          <w:szCs w:val="24"/>
        </w:rPr>
      </w:pPr>
      <w:bookmarkStart w:id="24" w:name="_Toc448777808"/>
      <w:r w:rsidRPr="007157F7">
        <w:rPr>
          <w:sz w:val="24"/>
          <w:szCs w:val="24"/>
        </w:rPr>
        <w:lastRenderedPageBreak/>
        <w:t>Management and Staffing</w:t>
      </w:r>
      <w:bookmarkEnd w:id="24"/>
    </w:p>
    <w:p w14:paraId="404CBFA7" w14:textId="1680C665" w:rsidR="009D26AB" w:rsidRPr="00641D0E" w:rsidRDefault="00D95677" w:rsidP="00A67DC0">
      <w:pPr>
        <w:spacing w:after="240"/>
        <w:jc w:val="both"/>
        <w:rPr>
          <w:rFonts w:ascii="Calibri" w:hAnsi="Calibri"/>
        </w:rPr>
      </w:pPr>
      <w:r w:rsidRPr="00CF7A57">
        <w:rPr>
          <w:rFonts w:ascii="Calibri" w:hAnsi="Calibri"/>
          <w:b/>
        </w:rPr>
        <w:t xml:space="preserve">The </w:t>
      </w:r>
      <w:r w:rsidR="00003A07" w:rsidRPr="00CF7A57">
        <w:rPr>
          <w:rFonts w:ascii="Calibri" w:hAnsi="Calibri"/>
          <w:b/>
        </w:rPr>
        <w:t xml:space="preserve">Support unit </w:t>
      </w:r>
      <w:r w:rsidRPr="00CF7A57">
        <w:rPr>
          <w:rFonts w:ascii="Calibri" w:hAnsi="Calibri"/>
          <w:b/>
        </w:rPr>
        <w:t xml:space="preserve">will be </w:t>
      </w:r>
      <w:r w:rsidR="009D26AB" w:rsidRPr="00CF7A57">
        <w:rPr>
          <w:rFonts w:ascii="Calibri" w:hAnsi="Calibri"/>
          <w:b/>
        </w:rPr>
        <w:t>staffed by three people</w:t>
      </w:r>
      <w:r w:rsidR="009D26AB" w:rsidRPr="00641D0E">
        <w:rPr>
          <w:rFonts w:ascii="Calibri" w:hAnsi="Calibri"/>
        </w:rPr>
        <w:t xml:space="preserve"> </w:t>
      </w:r>
      <w:r w:rsidR="00156842">
        <w:rPr>
          <w:rFonts w:ascii="Calibri" w:hAnsi="Calibri"/>
        </w:rPr>
        <w:t xml:space="preserve">and </w:t>
      </w:r>
      <w:r w:rsidR="00721EF2">
        <w:rPr>
          <w:rFonts w:ascii="Calibri" w:hAnsi="Calibri"/>
        </w:rPr>
        <w:t>have</w:t>
      </w:r>
      <w:r w:rsidR="00721EF2" w:rsidRPr="00641D0E">
        <w:rPr>
          <w:rFonts w:ascii="Calibri" w:hAnsi="Calibri"/>
        </w:rPr>
        <w:t xml:space="preserve"> </w:t>
      </w:r>
      <w:r w:rsidR="009D26AB" w:rsidRPr="00641D0E">
        <w:rPr>
          <w:rFonts w:ascii="Calibri" w:hAnsi="Calibri"/>
        </w:rPr>
        <w:t xml:space="preserve">access to external </w:t>
      </w:r>
      <w:r w:rsidRPr="00641D0E">
        <w:rPr>
          <w:rFonts w:ascii="Calibri" w:hAnsi="Calibri"/>
        </w:rPr>
        <w:t xml:space="preserve">technical </w:t>
      </w:r>
      <w:r w:rsidR="009D26AB" w:rsidRPr="00641D0E">
        <w:rPr>
          <w:rFonts w:ascii="Calibri" w:hAnsi="Calibri"/>
        </w:rPr>
        <w:t>expertise</w:t>
      </w:r>
      <w:r w:rsidRPr="00641D0E">
        <w:rPr>
          <w:rFonts w:ascii="Calibri" w:hAnsi="Calibri"/>
        </w:rPr>
        <w:t>.</w:t>
      </w:r>
      <w:r w:rsidR="009D26AB" w:rsidRPr="00641D0E">
        <w:rPr>
          <w:rFonts w:ascii="Calibri" w:hAnsi="Calibri"/>
        </w:rPr>
        <w:t xml:space="preserve"> </w:t>
      </w:r>
    </w:p>
    <w:p w14:paraId="5B6141C8" w14:textId="4CC7EBDD" w:rsidR="008374CE" w:rsidRDefault="00D95677" w:rsidP="00A67DC0">
      <w:pPr>
        <w:spacing w:after="240"/>
        <w:jc w:val="both"/>
        <w:rPr>
          <w:rFonts w:ascii="Calibri" w:hAnsi="Calibri"/>
        </w:rPr>
      </w:pPr>
      <w:r w:rsidRPr="00641D0E">
        <w:rPr>
          <w:rFonts w:ascii="Calibri" w:hAnsi="Calibri"/>
        </w:rPr>
        <w:t xml:space="preserve">The </w:t>
      </w:r>
      <w:r w:rsidR="00CA11BC">
        <w:rPr>
          <w:rFonts w:ascii="Calibri" w:hAnsi="Calibri"/>
          <w:b/>
        </w:rPr>
        <w:t>Partnership</w:t>
      </w:r>
      <w:r w:rsidR="00CA11BC" w:rsidRPr="00641D0E">
        <w:rPr>
          <w:rFonts w:ascii="Calibri" w:hAnsi="Calibri"/>
          <w:b/>
        </w:rPr>
        <w:t xml:space="preserve"> </w:t>
      </w:r>
      <w:r w:rsidR="009D26AB" w:rsidRPr="00641D0E">
        <w:rPr>
          <w:rFonts w:ascii="Calibri" w:hAnsi="Calibri"/>
          <w:b/>
        </w:rPr>
        <w:t>Director</w:t>
      </w:r>
      <w:r w:rsidR="009D26AB" w:rsidRPr="00641D0E">
        <w:rPr>
          <w:rFonts w:ascii="Calibri" w:hAnsi="Calibri"/>
        </w:rPr>
        <w:t xml:space="preserve"> will</w:t>
      </w:r>
      <w:r w:rsidRPr="00641D0E">
        <w:rPr>
          <w:rFonts w:ascii="Calibri" w:hAnsi="Calibri"/>
        </w:rPr>
        <w:t xml:space="preserve"> lead the Support Unit </w:t>
      </w:r>
      <w:r w:rsidR="00130E9F" w:rsidRPr="00641D0E">
        <w:rPr>
          <w:rFonts w:ascii="Calibri" w:hAnsi="Calibri"/>
        </w:rPr>
        <w:t xml:space="preserve">and oversee all of its functions, </w:t>
      </w:r>
      <w:r w:rsidRPr="00641D0E">
        <w:rPr>
          <w:rFonts w:ascii="Calibri" w:hAnsi="Calibri"/>
        </w:rPr>
        <w:t xml:space="preserve">and </w:t>
      </w:r>
      <w:r w:rsidR="00130E9F" w:rsidRPr="00641D0E">
        <w:rPr>
          <w:rFonts w:ascii="Calibri" w:hAnsi="Calibri"/>
        </w:rPr>
        <w:t xml:space="preserve">will </w:t>
      </w:r>
      <w:r w:rsidRPr="00641D0E">
        <w:rPr>
          <w:rFonts w:ascii="Calibri" w:hAnsi="Calibri"/>
        </w:rPr>
        <w:t xml:space="preserve">be the central point of contact for the operation of the </w:t>
      </w:r>
      <w:r w:rsidR="00CA11BC">
        <w:rPr>
          <w:rFonts w:ascii="Calibri" w:hAnsi="Calibri"/>
        </w:rPr>
        <w:t>partnership</w:t>
      </w:r>
      <w:r w:rsidRPr="00641D0E">
        <w:rPr>
          <w:rFonts w:ascii="Calibri" w:hAnsi="Calibri"/>
        </w:rPr>
        <w:t xml:space="preserve">. The Director will be responsible for managing </w:t>
      </w:r>
      <w:r w:rsidR="00156842">
        <w:rPr>
          <w:rFonts w:ascii="Calibri" w:hAnsi="Calibri"/>
        </w:rPr>
        <w:t xml:space="preserve">contractual arrangements with DFAT and with the relevant NGOs, managing </w:t>
      </w:r>
      <w:r w:rsidRPr="00641D0E">
        <w:rPr>
          <w:rFonts w:ascii="Calibri" w:hAnsi="Calibri"/>
        </w:rPr>
        <w:t>activations</w:t>
      </w:r>
      <w:r w:rsidR="00114FE7">
        <w:rPr>
          <w:rFonts w:ascii="Calibri" w:hAnsi="Calibri"/>
        </w:rPr>
        <w:t xml:space="preserve"> for rapid-onset responses</w:t>
      </w:r>
      <w:r w:rsidR="005A4F8E" w:rsidRPr="00641D0E">
        <w:rPr>
          <w:rFonts w:ascii="Calibri" w:hAnsi="Calibri"/>
        </w:rPr>
        <w:t xml:space="preserve">, including by convening the Response Committee, participating in Response Committee deliberations, </w:t>
      </w:r>
      <w:r w:rsidR="00130E9F" w:rsidRPr="00641D0E">
        <w:rPr>
          <w:rFonts w:ascii="Calibri" w:hAnsi="Calibri"/>
        </w:rPr>
        <w:t>producing the Consolidated Proposal and communicating with DFAT.</w:t>
      </w:r>
      <w:r w:rsidR="005A4F8E" w:rsidRPr="00641D0E">
        <w:rPr>
          <w:rFonts w:ascii="Calibri" w:hAnsi="Calibri"/>
        </w:rPr>
        <w:t xml:space="preserve"> </w:t>
      </w:r>
      <w:r w:rsidR="00C16C8C">
        <w:rPr>
          <w:rFonts w:ascii="Calibri" w:hAnsi="Calibri"/>
        </w:rPr>
        <w:t xml:space="preserve">The Director will </w:t>
      </w:r>
      <w:r w:rsidR="00E6007B">
        <w:rPr>
          <w:rFonts w:ascii="Calibri" w:hAnsi="Calibri"/>
        </w:rPr>
        <w:t xml:space="preserve">also </w:t>
      </w:r>
      <w:r w:rsidR="00C16C8C">
        <w:rPr>
          <w:rFonts w:ascii="Calibri" w:hAnsi="Calibri"/>
        </w:rPr>
        <w:t xml:space="preserve">be responsible for managing activations of </w:t>
      </w:r>
      <w:r w:rsidR="00114FE7">
        <w:rPr>
          <w:rFonts w:ascii="Calibri" w:hAnsi="Calibri"/>
        </w:rPr>
        <w:t xml:space="preserve">funding relating </w:t>
      </w:r>
      <w:r w:rsidR="008374CE">
        <w:rPr>
          <w:rFonts w:ascii="Calibri" w:hAnsi="Calibri"/>
        </w:rPr>
        <w:t xml:space="preserve">to </w:t>
      </w:r>
      <w:r w:rsidR="00B90BFE">
        <w:rPr>
          <w:rFonts w:ascii="Calibri" w:hAnsi="Calibri"/>
        </w:rPr>
        <w:t>protracted and slow-onset</w:t>
      </w:r>
      <w:r w:rsidR="00114FE7">
        <w:rPr>
          <w:rFonts w:ascii="Calibri" w:hAnsi="Calibri"/>
        </w:rPr>
        <w:t xml:space="preserve"> crises</w:t>
      </w:r>
      <w:r w:rsidR="00C16C8C">
        <w:rPr>
          <w:rFonts w:ascii="Calibri" w:hAnsi="Calibri"/>
        </w:rPr>
        <w:t xml:space="preserve">, including by </w:t>
      </w:r>
      <w:r w:rsidR="00CF7A57">
        <w:rPr>
          <w:rFonts w:ascii="Calibri" w:hAnsi="Calibri"/>
        </w:rPr>
        <w:t>arranging</w:t>
      </w:r>
      <w:r w:rsidR="00C16C8C">
        <w:rPr>
          <w:rFonts w:ascii="Calibri" w:hAnsi="Calibri"/>
        </w:rPr>
        <w:t xml:space="preserve"> </w:t>
      </w:r>
      <w:r w:rsidR="00CF7A57">
        <w:rPr>
          <w:rFonts w:ascii="Calibri" w:hAnsi="Calibri"/>
        </w:rPr>
        <w:t xml:space="preserve">pre-activation teleconferences, convening </w:t>
      </w:r>
      <w:r w:rsidR="00C16C8C">
        <w:rPr>
          <w:rFonts w:ascii="Calibri" w:hAnsi="Calibri"/>
        </w:rPr>
        <w:t xml:space="preserve">the technical assessment panel, producing the Consolidated Proposal and communicating with DFAT. </w:t>
      </w:r>
      <w:r w:rsidR="00CA11BC">
        <w:rPr>
          <w:rFonts w:ascii="Calibri" w:hAnsi="Calibri"/>
        </w:rPr>
        <w:t>The Director will play a strategic role in maximising the public visibility of activities undertaken through the partnership.</w:t>
      </w:r>
    </w:p>
    <w:p w14:paraId="3D2586E0" w14:textId="6B532543" w:rsidR="00130E9F" w:rsidRPr="00641D0E" w:rsidRDefault="00130E9F" w:rsidP="00A67DC0">
      <w:pPr>
        <w:spacing w:after="240"/>
        <w:jc w:val="both"/>
        <w:rPr>
          <w:rFonts w:ascii="Calibri" w:hAnsi="Calibri"/>
        </w:rPr>
      </w:pPr>
      <w:r w:rsidRPr="00641D0E">
        <w:rPr>
          <w:rFonts w:ascii="Calibri" w:hAnsi="Calibri"/>
        </w:rPr>
        <w:t xml:space="preserve">The </w:t>
      </w:r>
      <w:r w:rsidR="00156842">
        <w:rPr>
          <w:rFonts w:ascii="Calibri" w:hAnsi="Calibri"/>
        </w:rPr>
        <w:t xml:space="preserve">design team recommends that the </w:t>
      </w:r>
      <w:r w:rsidR="00CA11BC">
        <w:rPr>
          <w:rFonts w:ascii="Calibri" w:hAnsi="Calibri"/>
        </w:rPr>
        <w:t>Partnership</w:t>
      </w:r>
      <w:r w:rsidR="00CA11BC" w:rsidRPr="00641D0E">
        <w:rPr>
          <w:rFonts w:ascii="Calibri" w:hAnsi="Calibri"/>
        </w:rPr>
        <w:t xml:space="preserve"> </w:t>
      </w:r>
      <w:r w:rsidRPr="00641D0E">
        <w:rPr>
          <w:rFonts w:ascii="Calibri" w:hAnsi="Calibri"/>
        </w:rPr>
        <w:t xml:space="preserve">Director report to the </w:t>
      </w:r>
      <w:r w:rsidR="00CD7FAD">
        <w:rPr>
          <w:rFonts w:ascii="Calibri" w:hAnsi="Calibri"/>
        </w:rPr>
        <w:t>co-chairs</w:t>
      </w:r>
      <w:r w:rsidRPr="00641D0E">
        <w:rPr>
          <w:rFonts w:ascii="Calibri" w:hAnsi="Calibri"/>
        </w:rPr>
        <w:t xml:space="preserve"> of the HRG</w:t>
      </w:r>
      <w:r w:rsidR="00156842">
        <w:rPr>
          <w:rFonts w:ascii="Calibri" w:hAnsi="Calibri"/>
        </w:rPr>
        <w:t xml:space="preserve"> (or to an appropriate alternative agreed to by partners) in recognition of the </w:t>
      </w:r>
      <w:r w:rsidR="00762FFD">
        <w:rPr>
          <w:rFonts w:ascii="Calibri" w:hAnsi="Calibri"/>
        </w:rPr>
        <w:t>importance</w:t>
      </w:r>
      <w:r w:rsidR="00156842">
        <w:rPr>
          <w:rFonts w:ascii="Calibri" w:hAnsi="Calibri"/>
        </w:rPr>
        <w:t xml:space="preserve"> of the DFAT-HRG relationship</w:t>
      </w:r>
      <w:r w:rsidR="00762FFD">
        <w:rPr>
          <w:rFonts w:ascii="Calibri" w:hAnsi="Calibri"/>
        </w:rPr>
        <w:t xml:space="preserve"> to the spirit of the Australian Humanitarian Partnership</w:t>
      </w:r>
      <w:r w:rsidR="00156842">
        <w:rPr>
          <w:rFonts w:ascii="Calibri" w:hAnsi="Calibri"/>
        </w:rPr>
        <w:t>. The Partnership Director will have</w:t>
      </w:r>
      <w:r w:rsidRPr="00641D0E">
        <w:rPr>
          <w:rFonts w:ascii="Calibri" w:hAnsi="Calibri"/>
        </w:rPr>
        <w:t xml:space="preserve"> day-to-day line management and human resources issues managed by the </w:t>
      </w:r>
      <w:r w:rsidR="00156842">
        <w:rPr>
          <w:rFonts w:ascii="Calibri" w:hAnsi="Calibri"/>
        </w:rPr>
        <w:t>CEO (or agreed equivalent) of the organisation selected to host the Support Unit</w:t>
      </w:r>
      <w:r w:rsidRPr="00641D0E">
        <w:rPr>
          <w:rFonts w:ascii="Calibri" w:hAnsi="Calibri"/>
        </w:rPr>
        <w:t>.</w:t>
      </w:r>
      <w:r w:rsidR="00F63ECA">
        <w:rPr>
          <w:rFonts w:ascii="Calibri" w:hAnsi="Calibri"/>
        </w:rPr>
        <w:t xml:space="preserve"> The Director </w:t>
      </w:r>
      <w:r w:rsidR="00CA11BC">
        <w:rPr>
          <w:rFonts w:ascii="Calibri" w:hAnsi="Calibri"/>
        </w:rPr>
        <w:t xml:space="preserve">position </w:t>
      </w:r>
      <w:r w:rsidR="00F63ECA">
        <w:rPr>
          <w:rFonts w:ascii="Calibri" w:hAnsi="Calibri"/>
        </w:rPr>
        <w:t>will be funded by DFAT</w:t>
      </w:r>
      <w:r w:rsidR="00CA11BC">
        <w:rPr>
          <w:rFonts w:ascii="Calibri" w:hAnsi="Calibri"/>
        </w:rPr>
        <w:t>.</w:t>
      </w:r>
    </w:p>
    <w:p w14:paraId="63B40475" w14:textId="77777777" w:rsidR="009D26AB" w:rsidRPr="006F65FF" w:rsidRDefault="00130E9F" w:rsidP="00A67DC0">
      <w:pPr>
        <w:spacing w:after="240"/>
        <w:jc w:val="both"/>
        <w:rPr>
          <w:rFonts w:ascii="Calibri" w:hAnsi="Calibri"/>
        </w:rPr>
      </w:pPr>
      <w:r w:rsidRPr="00641D0E">
        <w:rPr>
          <w:rFonts w:ascii="Calibri" w:hAnsi="Calibri"/>
        </w:rPr>
        <w:t xml:space="preserve">The </w:t>
      </w:r>
      <w:r w:rsidR="006F65FF" w:rsidRPr="006F65FF">
        <w:rPr>
          <w:rFonts w:ascii="Calibri" w:hAnsi="Calibri"/>
          <w:b/>
        </w:rPr>
        <w:t>Monitoring, Evaluation and Learning (</w:t>
      </w:r>
      <w:r w:rsidR="00721EF2" w:rsidRPr="006F65FF">
        <w:rPr>
          <w:rFonts w:ascii="Calibri" w:hAnsi="Calibri"/>
          <w:b/>
        </w:rPr>
        <w:t>MEL</w:t>
      </w:r>
      <w:r w:rsidR="006F65FF" w:rsidRPr="006F65FF">
        <w:rPr>
          <w:rFonts w:ascii="Calibri" w:hAnsi="Calibri"/>
          <w:b/>
        </w:rPr>
        <w:t>)</w:t>
      </w:r>
      <w:r w:rsidR="00286489" w:rsidRPr="00641D0E">
        <w:rPr>
          <w:rFonts w:ascii="Calibri" w:hAnsi="Calibri"/>
          <w:b/>
        </w:rPr>
        <w:t xml:space="preserve"> Officer</w:t>
      </w:r>
      <w:r w:rsidR="00286489" w:rsidRPr="00641D0E">
        <w:rPr>
          <w:rFonts w:ascii="Calibri" w:hAnsi="Calibri"/>
        </w:rPr>
        <w:t xml:space="preserve"> will</w:t>
      </w:r>
      <w:r w:rsidRPr="00641D0E">
        <w:rPr>
          <w:rFonts w:ascii="Calibri" w:hAnsi="Calibri"/>
        </w:rPr>
        <w:t xml:space="preserve"> </w:t>
      </w:r>
      <w:r w:rsidR="00721EF2">
        <w:rPr>
          <w:rFonts w:ascii="Calibri" w:hAnsi="Calibri"/>
        </w:rPr>
        <w:t xml:space="preserve">build on </w:t>
      </w:r>
      <w:r w:rsidR="00156842">
        <w:rPr>
          <w:rFonts w:ascii="Calibri" w:hAnsi="Calibri"/>
        </w:rPr>
        <w:t xml:space="preserve">the draft MEL framework in this design and work collaboratively with partners to develop a revised MEL framework. The Officer will build on </w:t>
      </w:r>
      <w:r w:rsidR="00721EF2">
        <w:rPr>
          <w:rFonts w:ascii="Calibri" w:hAnsi="Calibri"/>
        </w:rPr>
        <w:t xml:space="preserve">HPA work to-date and further streamline and target reporting templates. The </w:t>
      </w:r>
      <w:r w:rsidR="00080091">
        <w:rPr>
          <w:rFonts w:ascii="Calibri" w:hAnsi="Calibri"/>
        </w:rPr>
        <w:t>O</w:t>
      </w:r>
      <w:r w:rsidR="00721EF2">
        <w:rPr>
          <w:rFonts w:ascii="Calibri" w:hAnsi="Calibri"/>
        </w:rPr>
        <w:t xml:space="preserve">fficer will </w:t>
      </w:r>
      <w:r w:rsidRPr="00641D0E">
        <w:rPr>
          <w:rFonts w:ascii="Calibri" w:hAnsi="Calibri"/>
        </w:rPr>
        <w:t>compile NGO reporting into joint report</w:t>
      </w:r>
      <w:r w:rsidR="00F566E0">
        <w:rPr>
          <w:rFonts w:ascii="Calibri" w:hAnsi="Calibri"/>
        </w:rPr>
        <w:t>s</w:t>
      </w:r>
      <w:r w:rsidRPr="00641D0E">
        <w:rPr>
          <w:rFonts w:ascii="Calibri" w:hAnsi="Calibri"/>
        </w:rPr>
        <w:t xml:space="preserve"> that meet DFAT's requirements, and which can be used to inform future decision-making. The </w:t>
      </w:r>
      <w:r w:rsidR="00721EF2">
        <w:rPr>
          <w:rFonts w:ascii="Calibri" w:hAnsi="Calibri"/>
        </w:rPr>
        <w:t>MEL</w:t>
      </w:r>
      <w:r w:rsidR="00721EF2" w:rsidRPr="00641D0E">
        <w:rPr>
          <w:rFonts w:ascii="Calibri" w:hAnsi="Calibri"/>
        </w:rPr>
        <w:t xml:space="preserve"> </w:t>
      </w:r>
      <w:r w:rsidRPr="00641D0E">
        <w:rPr>
          <w:rFonts w:ascii="Calibri" w:hAnsi="Calibri"/>
        </w:rPr>
        <w:t xml:space="preserve">Officer will convene lesson learning exercises, ensure that appropriate documentation is shared among all members of the </w:t>
      </w:r>
      <w:r w:rsidR="006A6579">
        <w:rPr>
          <w:rFonts w:ascii="Calibri" w:hAnsi="Calibri"/>
        </w:rPr>
        <w:t>HRG</w:t>
      </w:r>
      <w:r w:rsidR="00CF7A57">
        <w:rPr>
          <w:rFonts w:ascii="Calibri" w:hAnsi="Calibri"/>
        </w:rPr>
        <w:t xml:space="preserve"> (and beyond)</w:t>
      </w:r>
      <w:r w:rsidR="008E061C">
        <w:rPr>
          <w:rFonts w:ascii="Calibri" w:hAnsi="Calibri"/>
        </w:rPr>
        <w:t>, and ensure that the capabil</w:t>
      </w:r>
      <w:r w:rsidR="00AB5004" w:rsidRPr="00641D0E">
        <w:rPr>
          <w:rFonts w:ascii="Calibri" w:hAnsi="Calibri"/>
        </w:rPr>
        <w:t>ity map is kept up-to-date</w:t>
      </w:r>
      <w:r w:rsidRPr="00641D0E">
        <w:rPr>
          <w:rFonts w:ascii="Calibri" w:hAnsi="Calibri"/>
        </w:rPr>
        <w:t xml:space="preserve">. </w:t>
      </w:r>
      <w:r w:rsidR="002654D1">
        <w:rPr>
          <w:rFonts w:ascii="Calibri" w:hAnsi="Calibri"/>
        </w:rPr>
        <w:t xml:space="preserve">This position will coordinate collective evaluations and hold responsibility for implementing the partnership MEL framework. </w:t>
      </w:r>
      <w:r w:rsidRPr="00641D0E">
        <w:rPr>
          <w:rFonts w:ascii="Calibri" w:hAnsi="Calibri"/>
        </w:rPr>
        <w:t xml:space="preserve">The </w:t>
      </w:r>
      <w:r w:rsidR="00721EF2">
        <w:rPr>
          <w:rFonts w:ascii="Calibri" w:hAnsi="Calibri"/>
        </w:rPr>
        <w:t>MEL</w:t>
      </w:r>
      <w:r w:rsidR="00721EF2" w:rsidRPr="00641D0E">
        <w:rPr>
          <w:rFonts w:ascii="Calibri" w:hAnsi="Calibri"/>
        </w:rPr>
        <w:t xml:space="preserve"> </w:t>
      </w:r>
      <w:r w:rsidRPr="00641D0E">
        <w:rPr>
          <w:rFonts w:ascii="Calibri" w:hAnsi="Calibri"/>
        </w:rPr>
        <w:t xml:space="preserve">Officer </w:t>
      </w:r>
      <w:r w:rsidR="00850029">
        <w:rPr>
          <w:rFonts w:ascii="Calibri" w:hAnsi="Calibri"/>
        </w:rPr>
        <w:t xml:space="preserve">will be funded by DFAT and </w:t>
      </w:r>
      <w:r w:rsidRPr="00641D0E">
        <w:rPr>
          <w:rFonts w:ascii="Calibri" w:hAnsi="Calibri"/>
        </w:rPr>
        <w:t xml:space="preserve">will report to the </w:t>
      </w:r>
      <w:r w:rsidR="006A6579">
        <w:rPr>
          <w:rFonts w:ascii="Calibri" w:hAnsi="Calibri"/>
        </w:rPr>
        <w:t>Partnership</w:t>
      </w:r>
      <w:r w:rsidRPr="006F65FF">
        <w:rPr>
          <w:rFonts w:ascii="Calibri" w:hAnsi="Calibri"/>
        </w:rPr>
        <w:t xml:space="preserve"> Director.</w:t>
      </w:r>
      <w:r w:rsidR="00107E15" w:rsidRPr="006F65FF">
        <w:rPr>
          <w:rFonts w:ascii="Calibri" w:hAnsi="Calibri"/>
        </w:rPr>
        <w:t xml:space="preserve"> </w:t>
      </w:r>
    </w:p>
    <w:p w14:paraId="0C1BE87B" w14:textId="0F704167" w:rsidR="00FD0EF5" w:rsidRPr="006F65FF" w:rsidRDefault="00A226F6" w:rsidP="00A67DC0">
      <w:pPr>
        <w:spacing w:after="240"/>
        <w:jc w:val="both"/>
        <w:rPr>
          <w:rFonts w:ascii="Calibri" w:hAnsi="Calibri"/>
        </w:rPr>
      </w:pPr>
      <w:r w:rsidRPr="006F65FF">
        <w:rPr>
          <w:rFonts w:ascii="Calibri" w:hAnsi="Calibri"/>
        </w:rPr>
        <w:t xml:space="preserve">The </w:t>
      </w:r>
      <w:r w:rsidR="00286489" w:rsidRPr="00405EE8">
        <w:rPr>
          <w:rFonts w:ascii="Calibri" w:hAnsi="Calibri"/>
          <w:b/>
        </w:rPr>
        <w:t>Communications</w:t>
      </w:r>
      <w:r w:rsidR="00CA11BC">
        <w:rPr>
          <w:rFonts w:ascii="Calibri" w:hAnsi="Calibri"/>
          <w:b/>
        </w:rPr>
        <w:t xml:space="preserve"> and Support</w:t>
      </w:r>
      <w:r w:rsidR="00286489" w:rsidRPr="006F65FF">
        <w:rPr>
          <w:rFonts w:ascii="Calibri" w:hAnsi="Calibri"/>
          <w:b/>
        </w:rPr>
        <w:t xml:space="preserve"> Officer</w:t>
      </w:r>
      <w:r w:rsidR="00286489" w:rsidRPr="006F65FF">
        <w:rPr>
          <w:rFonts w:ascii="Calibri" w:hAnsi="Calibri"/>
        </w:rPr>
        <w:t xml:space="preserve"> will</w:t>
      </w:r>
      <w:r w:rsidRPr="006F65FF">
        <w:rPr>
          <w:rFonts w:ascii="Calibri" w:hAnsi="Calibri"/>
        </w:rPr>
        <w:t xml:space="preserve"> </w:t>
      </w:r>
      <w:r w:rsidR="00850029">
        <w:rPr>
          <w:rFonts w:ascii="Calibri" w:hAnsi="Calibri"/>
        </w:rPr>
        <w:t xml:space="preserve">work with DFAT, </w:t>
      </w:r>
      <w:r w:rsidR="00156842">
        <w:rPr>
          <w:rFonts w:ascii="Calibri" w:hAnsi="Calibri"/>
        </w:rPr>
        <w:t xml:space="preserve">and </w:t>
      </w:r>
      <w:r w:rsidR="00721EF2" w:rsidRPr="006F65FF">
        <w:rPr>
          <w:rFonts w:ascii="Calibri" w:hAnsi="Calibri"/>
        </w:rPr>
        <w:t xml:space="preserve">HRG </w:t>
      </w:r>
      <w:r w:rsidR="00156842">
        <w:rPr>
          <w:rFonts w:ascii="Calibri" w:hAnsi="Calibri"/>
        </w:rPr>
        <w:t>members</w:t>
      </w:r>
      <w:r w:rsidR="00156842" w:rsidRPr="006F65FF">
        <w:rPr>
          <w:rFonts w:ascii="Calibri" w:hAnsi="Calibri"/>
        </w:rPr>
        <w:t xml:space="preserve"> </w:t>
      </w:r>
      <w:r w:rsidR="00721EF2" w:rsidRPr="006F65FF">
        <w:rPr>
          <w:rFonts w:ascii="Calibri" w:hAnsi="Calibri"/>
        </w:rPr>
        <w:t>to improve the public’s awareness of Aust</w:t>
      </w:r>
      <w:r w:rsidR="00850029">
        <w:rPr>
          <w:rFonts w:ascii="Calibri" w:hAnsi="Calibri"/>
        </w:rPr>
        <w:t>ralia’s collective response to</w:t>
      </w:r>
      <w:r w:rsidR="00721EF2" w:rsidRPr="006F65FF">
        <w:rPr>
          <w:rFonts w:ascii="Calibri" w:hAnsi="Calibri"/>
        </w:rPr>
        <w:t xml:space="preserve"> humanitarian cris</w:t>
      </w:r>
      <w:r w:rsidR="006F65FF" w:rsidRPr="006F65FF">
        <w:rPr>
          <w:rFonts w:ascii="Calibri" w:hAnsi="Calibri"/>
        </w:rPr>
        <w:t>e</w:t>
      </w:r>
      <w:r w:rsidR="00721EF2" w:rsidRPr="006F65FF">
        <w:rPr>
          <w:rFonts w:ascii="Calibri" w:hAnsi="Calibri"/>
        </w:rPr>
        <w:t xml:space="preserve">s in a manner that is timely, accurate and </w:t>
      </w:r>
      <w:r w:rsidR="002A7188" w:rsidRPr="006F65FF">
        <w:rPr>
          <w:rFonts w:ascii="Calibri" w:hAnsi="Calibri"/>
        </w:rPr>
        <w:t>engaging</w:t>
      </w:r>
      <w:r w:rsidR="00721EF2" w:rsidRPr="006F65FF">
        <w:rPr>
          <w:rFonts w:ascii="Calibri" w:hAnsi="Calibri"/>
        </w:rPr>
        <w:t>.</w:t>
      </w:r>
      <w:r w:rsidR="002A7188" w:rsidRPr="006F65FF">
        <w:rPr>
          <w:rFonts w:ascii="Calibri" w:hAnsi="Calibri"/>
        </w:rPr>
        <w:t xml:space="preserve"> </w:t>
      </w:r>
      <w:r w:rsidR="00B179CE" w:rsidRPr="006F65FF">
        <w:rPr>
          <w:rFonts w:ascii="Calibri" w:hAnsi="Calibri"/>
        </w:rPr>
        <w:t xml:space="preserve">The Communications </w:t>
      </w:r>
      <w:r w:rsidR="00CA11BC">
        <w:rPr>
          <w:rFonts w:ascii="Calibri" w:hAnsi="Calibri"/>
        </w:rPr>
        <w:t xml:space="preserve">and Support </w:t>
      </w:r>
      <w:r w:rsidR="00B179CE" w:rsidRPr="006F65FF">
        <w:rPr>
          <w:rFonts w:ascii="Calibri" w:hAnsi="Calibri"/>
        </w:rPr>
        <w:t xml:space="preserve">Officer </w:t>
      </w:r>
      <w:r w:rsidR="00800F46" w:rsidRPr="006F65FF">
        <w:rPr>
          <w:rFonts w:ascii="Calibri" w:hAnsi="Calibri"/>
        </w:rPr>
        <w:t xml:space="preserve">duties </w:t>
      </w:r>
      <w:r w:rsidR="00B179CE" w:rsidRPr="006F65FF">
        <w:rPr>
          <w:rFonts w:ascii="Calibri" w:hAnsi="Calibri"/>
        </w:rPr>
        <w:t>will</w:t>
      </w:r>
      <w:r w:rsidR="00800F46" w:rsidRPr="006F65FF">
        <w:rPr>
          <w:rFonts w:ascii="Calibri" w:hAnsi="Calibri"/>
        </w:rPr>
        <w:t xml:space="preserve"> include</w:t>
      </w:r>
      <w:r w:rsidR="00B179CE" w:rsidRPr="006F65FF">
        <w:rPr>
          <w:rFonts w:ascii="Calibri" w:hAnsi="Calibri"/>
        </w:rPr>
        <w:t xml:space="preserve"> </w:t>
      </w:r>
      <w:r w:rsidR="00800F46" w:rsidRPr="006F65FF">
        <w:rPr>
          <w:rFonts w:ascii="Calibri" w:hAnsi="Calibri"/>
        </w:rPr>
        <w:t>g</w:t>
      </w:r>
      <w:r w:rsidR="00721EF2" w:rsidRPr="006F65FF">
        <w:rPr>
          <w:rFonts w:ascii="Calibri" w:hAnsi="Calibri"/>
        </w:rPr>
        <w:t>ather</w:t>
      </w:r>
      <w:r w:rsidR="00800F46" w:rsidRPr="006F65FF">
        <w:rPr>
          <w:rFonts w:ascii="Calibri" w:hAnsi="Calibri"/>
        </w:rPr>
        <w:t>ing</w:t>
      </w:r>
      <w:r w:rsidR="00721EF2" w:rsidRPr="006F65FF">
        <w:rPr>
          <w:rFonts w:ascii="Calibri" w:hAnsi="Calibri"/>
        </w:rPr>
        <w:t xml:space="preserve"> information from </w:t>
      </w:r>
      <w:r w:rsidR="00CD7FAD">
        <w:rPr>
          <w:rFonts w:ascii="Calibri" w:hAnsi="Calibri"/>
        </w:rPr>
        <w:t xml:space="preserve">funded </w:t>
      </w:r>
      <w:r w:rsidR="00721EF2" w:rsidRPr="006F65FF">
        <w:rPr>
          <w:rFonts w:ascii="Calibri" w:hAnsi="Calibri"/>
        </w:rPr>
        <w:t>NGO</w:t>
      </w:r>
      <w:r w:rsidR="00CD7FAD">
        <w:rPr>
          <w:rFonts w:ascii="Calibri" w:hAnsi="Calibri"/>
        </w:rPr>
        <w:t xml:space="preserve"> partner</w:t>
      </w:r>
      <w:r w:rsidR="00721EF2" w:rsidRPr="006F65FF">
        <w:rPr>
          <w:rFonts w:ascii="Calibri" w:hAnsi="Calibri"/>
        </w:rPr>
        <w:t>s as response</w:t>
      </w:r>
      <w:r w:rsidR="00F566E0">
        <w:rPr>
          <w:rFonts w:ascii="Calibri" w:hAnsi="Calibri"/>
        </w:rPr>
        <w:t>s are</w:t>
      </w:r>
      <w:r w:rsidR="00721EF2" w:rsidRPr="006F65FF">
        <w:rPr>
          <w:rFonts w:ascii="Calibri" w:hAnsi="Calibri"/>
        </w:rPr>
        <w:t xml:space="preserve"> assembled</w:t>
      </w:r>
      <w:r w:rsidR="00800F46" w:rsidRPr="006F65FF">
        <w:rPr>
          <w:rFonts w:ascii="Calibri" w:hAnsi="Calibri"/>
        </w:rPr>
        <w:t>; p</w:t>
      </w:r>
      <w:r w:rsidR="00721EF2" w:rsidRPr="006F65FF">
        <w:rPr>
          <w:rFonts w:ascii="Calibri" w:hAnsi="Calibri"/>
        </w:rPr>
        <w:t>rovid</w:t>
      </w:r>
      <w:r w:rsidR="00800F46" w:rsidRPr="006F65FF">
        <w:rPr>
          <w:rFonts w:ascii="Calibri" w:hAnsi="Calibri"/>
        </w:rPr>
        <w:t>ing</w:t>
      </w:r>
      <w:r w:rsidR="00721EF2" w:rsidRPr="006F65FF">
        <w:rPr>
          <w:rFonts w:ascii="Calibri" w:hAnsi="Calibri"/>
        </w:rPr>
        <w:t xml:space="preserve"> comprehensive media materials to encourage informed reporting</w:t>
      </w:r>
      <w:r w:rsidR="00800F46" w:rsidRPr="006F65FF">
        <w:rPr>
          <w:rFonts w:ascii="Calibri" w:hAnsi="Calibri"/>
        </w:rPr>
        <w:t>; m</w:t>
      </w:r>
      <w:r w:rsidR="00721EF2" w:rsidRPr="006F65FF">
        <w:rPr>
          <w:rFonts w:ascii="Calibri" w:hAnsi="Calibri"/>
        </w:rPr>
        <w:t>aintain</w:t>
      </w:r>
      <w:r w:rsidR="00800F46" w:rsidRPr="006F65FF">
        <w:rPr>
          <w:rFonts w:ascii="Calibri" w:hAnsi="Calibri"/>
        </w:rPr>
        <w:t>ing</w:t>
      </w:r>
      <w:r w:rsidR="00721EF2" w:rsidRPr="006F65FF">
        <w:rPr>
          <w:rFonts w:ascii="Calibri" w:hAnsi="Calibri"/>
        </w:rPr>
        <w:t xml:space="preserve"> relationships with DFAT’s communications officer (within the Humanitarian Division) and ANGOs</w:t>
      </w:r>
      <w:r w:rsidR="006F65FF" w:rsidRPr="006F65FF">
        <w:rPr>
          <w:rFonts w:ascii="Calibri" w:hAnsi="Calibri"/>
        </w:rPr>
        <w:t>'</w:t>
      </w:r>
      <w:r w:rsidR="00721EF2" w:rsidRPr="006F65FF">
        <w:rPr>
          <w:rFonts w:ascii="Calibri" w:hAnsi="Calibri"/>
        </w:rPr>
        <w:t xml:space="preserve"> media teams to ensure the collective story is included in</w:t>
      </w:r>
      <w:r w:rsidR="00850029">
        <w:rPr>
          <w:rFonts w:ascii="Calibri" w:hAnsi="Calibri"/>
        </w:rPr>
        <w:t xml:space="preserve"> media releases, talking points</w:t>
      </w:r>
      <w:r w:rsidR="00721EF2" w:rsidRPr="006F65FF">
        <w:rPr>
          <w:rFonts w:ascii="Calibri" w:hAnsi="Calibri"/>
        </w:rPr>
        <w:t xml:space="preserve"> etc</w:t>
      </w:r>
      <w:r w:rsidR="00850029">
        <w:rPr>
          <w:rFonts w:ascii="Calibri" w:hAnsi="Calibri"/>
        </w:rPr>
        <w:t>.</w:t>
      </w:r>
      <w:r w:rsidR="00800F46" w:rsidRPr="006F65FF">
        <w:rPr>
          <w:rFonts w:ascii="Calibri" w:hAnsi="Calibri"/>
        </w:rPr>
        <w:t>; c</w:t>
      </w:r>
      <w:r w:rsidR="00721EF2" w:rsidRPr="006F65FF">
        <w:rPr>
          <w:rFonts w:ascii="Calibri" w:hAnsi="Calibri"/>
        </w:rPr>
        <w:t>reat</w:t>
      </w:r>
      <w:r w:rsidR="00800F46" w:rsidRPr="006F65FF">
        <w:rPr>
          <w:rFonts w:ascii="Calibri" w:hAnsi="Calibri"/>
        </w:rPr>
        <w:t>ing</w:t>
      </w:r>
      <w:r w:rsidR="00721EF2" w:rsidRPr="006F65FF">
        <w:rPr>
          <w:rFonts w:ascii="Calibri" w:hAnsi="Calibri"/>
        </w:rPr>
        <w:t xml:space="preserve"> content (</w:t>
      </w:r>
      <w:r w:rsidR="008E061C">
        <w:rPr>
          <w:rFonts w:ascii="Calibri" w:hAnsi="Calibri"/>
        </w:rPr>
        <w:t>producing</w:t>
      </w:r>
      <w:r w:rsidR="006F65FF" w:rsidRPr="006F65FF">
        <w:rPr>
          <w:rFonts w:ascii="Calibri" w:hAnsi="Calibri"/>
        </w:rPr>
        <w:t xml:space="preserve"> </w:t>
      </w:r>
      <w:r w:rsidR="008E061C">
        <w:rPr>
          <w:rFonts w:ascii="Calibri" w:hAnsi="Calibri"/>
        </w:rPr>
        <w:t>text/graphics, sourcing photos from the field, writing</w:t>
      </w:r>
      <w:r w:rsidR="00721EF2" w:rsidRPr="006F65FF">
        <w:rPr>
          <w:rFonts w:ascii="Calibri" w:hAnsi="Calibri"/>
        </w:rPr>
        <w:t xml:space="preserve"> </w:t>
      </w:r>
      <w:r w:rsidR="008E061C">
        <w:rPr>
          <w:rFonts w:ascii="Calibri" w:hAnsi="Calibri"/>
        </w:rPr>
        <w:t>articles</w:t>
      </w:r>
      <w:r w:rsidR="00721EF2" w:rsidRPr="006F65FF">
        <w:rPr>
          <w:rFonts w:ascii="Calibri" w:hAnsi="Calibri"/>
        </w:rPr>
        <w:t xml:space="preserve"> for blogs) to share with partners</w:t>
      </w:r>
      <w:r w:rsidR="00800F46" w:rsidRPr="006F65FF">
        <w:rPr>
          <w:rFonts w:ascii="Calibri" w:hAnsi="Calibri"/>
        </w:rPr>
        <w:t>; p</w:t>
      </w:r>
      <w:r w:rsidR="00721EF2" w:rsidRPr="006F65FF">
        <w:rPr>
          <w:rFonts w:ascii="Calibri" w:hAnsi="Calibri"/>
        </w:rPr>
        <w:t>repa</w:t>
      </w:r>
      <w:r w:rsidR="008E061C">
        <w:rPr>
          <w:rFonts w:ascii="Calibri" w:hAnsi="Calibri"/>
        </w:rPr>
        <w:t>ring written, photo and graphic</w:t>
      </w:r>
      <w:r w:rsidR="00721EF2" w:rsidRPr="006F65FF">
        <w:rPr>
          <w:rFonts w:ascii="Calibri" w:hAnsi="Calibri"/>
        </w:rPr>
        <w:t xml:space="preserve"> content for social media distribution</w:t>
      </w:r>
      <w:r w:rsidR="00800F46" w:rsidRPr="006F65FF">
        <w:rPr>
          <w:rFonts w:ascii="Calibri" w:hAnsi="Calibri"/>
        </w:rPr>
        <w:t xml:space="preserve">; </w:t>
      </w:r>
      <w:r w:rsidR="00800F46" w:rsidRPr="006F65FF">
        <w:rPr>
          <w:rFonts w:ascii="Calibri" w:hAnsi="Calibri"/>
        </w:rPr>
        <w:lastRenderedPageBreak/>
        <w:t>and l</w:t>
      </w:r>
      <w:r w:rsidR="00721EF2" w:rsidRPr="006F65FF">
        <w:rPr>
          <w:rFonts w:ascii="Calibri" w:hAnsi="Calibri"/>
        </w:rPr>
        <w:t>everag</w:t>
      </w:r>
      <w:r w:rsidR="00800F46" w:rsidRPr="006F65FF">
        <w:rPr>
          <w:rFonts w:ascii="Calibri" w:hAnsi="Calibri"/>
        </w:rPr>
        <w:t>ing</w:t>
      </w:r>
      <w:r w:rsidR="00721EF2" w:rsidRPr="006F65FF">
        <w:rPr>
          <w:rFonts w:ascii="Calibri" w:hAnsi="Calibri"/>
        </w:rPr>
        <w:t xml:space="preserve"> the media and communication channels of all partners. </w:t>
      </w:r>
      <w:r w:rsidR="00CA11BC">
        <w:rPr>
          <w:rFonts w:ascii="Calibri" w:hAnsi="Calibri"/>
        </w:rPr>
        <w:t xml:space="preserve">Duties will also include general administrative support </w:t>
      </w:r>
      <w:r w:rsidR="00762FFD">
        <w:rPr>
          <w:rFonts w:ascii="Calibri" w:hAnsi="Calibri"/>
        </w:rPr>
        <w:t xml:space="preserve">(including contract administration) </w:t>
      </w:r>
      <w:r w:rsidR="00CA11BC">
        <w:rPr>
          <w:rFonts w:ascii="Calibri" w:hAnsi="Calibri"/>
        </w:rPr>
        <w:t xml:space="preserve">for the operation of the partnership as a whole. </w:t>
      </w:r>
      <w:r w:rsidR="00B179CE" w:rsidRPr="006F65FF">
        <w:rPr>
          <w:rFonts w:ascii="Calibri" w:hAnsi="Calibri"/>
        </w:rPr>
        <w:t xml:space="preserve">The Communications </w:t>
      </w:r>
      <w:r w:rsidR="00CA11BC">
        <w:rPr>
          <w:rFonts w:ascii="Calibri" w:hAnsi="Calibri"/>
        </w:rPr>
        <w:t xml:space="preserve">and Support </w:t>
      </w:r>
      <w:r w:rsidR="00B179CE" w:rsidRPr="006F65FF">
        <w:rPr>
          <w:rFonts w:ascii="Calibri" w:hAnsi="Calibri"/>
        </w:rPr>
        <w:t xml:space="preserve">Officer will </w:t>
      </w:r>
      <w:r w:rsidR="00800F46" w:rsidRPr="006F65FF">
        <w:rPr>
          <w:rFonts w:ascii="Calibri" w:hAnsi="Calibri"/>
        </w:rPr>
        <w:t xml:space="preserve">be funded by DFAT and will </w:t>
      </w:r>
      <w:r w:rsidR="00B179CE" w:rsidRPr="006F65FF">
        <w:rPr>
          <w:rFonts w:ascii="Calibri" w:hAnsi="Calibri"/>
        </w:rPr>
        <w:t xml:space="preserve">report to the </w:t>
      </w:r>
      <w:r w:rsidR="00CA11BC">
        <w:rPr>
          <w:rFonts w:ascii="Calibri" w:hAnsi="Calibri"/>
        </w:rPr>
        <w:t>Partnership</w:t>
      </w:r>
      <w:r w:rsidR="00CA11BC" w:rsidRPr="006F65FF">
        <w:rPr>
          <w:rFonts w:ascii="Calibri" w:hAnsi="Calibri"/>
        </w:rPr>
        <w:t xml:space="preserve"> </w:t>
      </w:r>
      <w:r w:rsidR="00B179CE" w:rsidRPr="006F65FF">
        <w:rPr>
          <w:rFonts w:ascii="Calibri" w:hAnsi="Calibri"/>
        </w:rPr>
        <w:t xml:space="preserve">Director. </w:t>
      </w:r>
    </w:p>
    <w:p w14:paraId="25B26058" w14:textId="77777777" w:rsidR="00035498" w:rsidRPr="00641D0E" w:rsidRDefault="004A5183" w:rsidP="00A67DC0">
      <w:pPr>
        <w:spacing w:after="240"/>
        <w:jc w:val="both"/>
        <w:rPr>
          <w:rFonts w:ascii="Calibri" w:hAnsi="Calibri"/>
        </w:rPr>
      </w:pPr>
      <w:r w:rsidRPr="006F65FF">
        <w:rPr>
          <w:rFonts w:ascii="Calibri" w:hAnsi="Calibri"/>
        </w:rPr>
        <w:t xml:space="preserve">A small pool of </w:t>
      </w:r>
      <w:r w:rsidRPr="006F65FF">
        <w:rPr>
          <w:rFonts w:ascii="Calibri" w:hAnsi="Calibri"/>
          <w:b/>
        </w:rPr>
        <w:t>e</w:t>
      </w:r>
      <w:r w:rsidR="00035498" w:rsidRPr="006F65FF">
        <w:rPr>
          <w:rFonts w:ascii="Calibri" w:hAnsi="Calibri"/>
          <w:b/>
        </w:rPr>
        <w:t>xpert technical advisors</w:t>
      </w:r>
      <w:r w:rsidR="00035498" w:rsidRPr="006F65FF">
        <w:rPr>
          <w:rFonts w:ascii="Calibri" w:hAnsi="Calibri"/>
        </w:rPr>
        <w:t xml:space="preserve"> will</w:t>
      </w:r>
      <w:r w:rsidRPr="006F65FF">
        <w:rPr>
          <w:rFonts w:ascii="Calibri" w:hAnsi="Calibri"/>
        </w:rPr>
        <w:t xml:space="preserve"> be available to the Support Unit</w:t>
      </w:r>
      <w:r w:rsidRPr="00641D0E">
        <w:rPr>
          <w:rFonts w:ascii="Calibri" w:hAnsi="Calibri"/>
        </w:rPr>
        <w:t xml:space="preserve"> through a 'Help Desk' standby contract. The advisors will primarily </w:t>
      </w:r>
      <w:r w:rsidR="006B3923" w:rsidRPr="00641D0E">
        <w:rPr>
          <w:rFonts w:ascii="Calibri" w:hAnsi="Calibri"/>
        </w:rPr>
        <w:t xml:space="preserve">be </w:t>
      </w:r>
      <w:r w:rsidRPr="00641D0E">
        <w:rPr>
          <w:rFonts w:ascii="Calibri" w:hAnsi="Calibri"/>
        </w:rPr>
        <w:t xml:space="preserve">used to provide an independent, expert voice on the Response Committee for </w:t>
      </w:r>
      <w:r w:rsidR="00CF7A57">
        <w:rPr>
          <w:rFonts w:ascii="Calibri" w:hAnsi="Calibri"/>
        </w:rPr>
        <w:t>funding</w:t>
      </w:r>
      <w:r w:rsidRPr="00641D0E">
        <w:rPr>
          <w:rFonts w:ascii="Calibri" w:hAnsi="Calibri"/>
        </w:rPr>
        <w:t xml:space="preserve"> of </w:t>
      </w:r>
      <w:r w:rsidR="00114FE7">
        <w:rPr>
          <w:rFonts w:ascii="Calibri" w:hAnsi="Calibri"/>
        </w:rPr>
        <w:t xml:space="preserve">rapid-onset responses </w:t>
      </w:r>
      <w:r w:rsidR="00800F46">
        <w:rPr>
          <w:rFonts w:ascii="Calibri" w:hAnsi="Calibri"/>
        </w:rPr>
        <w:t xml:space="preserve">and </w:t>
      </w:r>
      <w:r w:rsidR="00981AAF">
        <w:rPr>
          <w:rFonts w:ascii="Calibri" w:hAnsi="Calibri"/>
        </w:rPr>
        <w:t>the</w:t>
      </w:r>
      <w:r w:rsidR="00800F46">
        <w:rPr>
          <w:rFonts w:ascii="Calibri" w:hAnsi="Calibri"/>
        </w:rPr>
        <w:t xml:space="preserve"> technical assessment </w:t>
      </w:r>
      <w:r w:rsidR="00981AAF">
        <w:rPr>
          <w:rFonts w:ascii="Calibri" w:hAnsi="Calibri"/>
        </w:rPr>
        <w:t xml:space="preserve">panels for </w:t>
      </w:r>
      <w:r w:rsidR="00114FE7">
        <w:rPr>
          <w:rFonts w:ascii="Calibri" w:hAnsi="Calibri"/>
        </w:rPr>
        <w:t xml:space="preserve">funding relating to </w:t>
      </w:r>
      <w:r w:rsidR="00B90BFE">
        <w:rPr>
          <w:rFonts w:ascii="Calibri" w:hAnsi="Calibri"/>
        </w:rPr>
        <w:t>protracted and slow onset</w:t>
      </w:r>
      <w:r w:rsidR="00114FE7">
        <w:rPr>
          <w:rFonts w:ascii="Calibri" w:hAnsi="Calibri"/>
        </w:rPr>
        <w:t xml:space="preserve"> crises</w:t>
      </w:r>
      <w:r w:rsidRPr="00641D0E">
        <w:rPr>
          <w:rFonts w:ascii="Calibri" w:hAnsi="Calibri"/>
        </w:rPr>
        <w:t>. They may also be used to facilitate lesson learning exercises</w:t>
      </w:r>
      <w:r w:rsidR="00BE289A" w:rsidRPr="00641D0E">
        <w:rPr>
          <w:rFonts w:ascii="Calibri" w:hAnsi="Calibri"/>
        </w:rPr>
        <w:t xml:space="preserve">, and to verify </w:t>
      </w:r>
      <w:r w:rsidR="00277AEE" w:rsidRPr="00641D0E">
        <w:rPr>
          <w:rFonts w:ascii="Calibri" w:hAnsi="Calibri"/>
        </w:rPr>
        <w:t xml:space="preserve">the accuracy of </w:t>
      </w:r>
      <w:r w:rsidR="00720489">
        <w:rPr>
          <w:rFonts w:ascii="Calibri" w:hAnsi="Calibri"/>
        </w:rPr>
        <w:t>capabil</w:t>
      </w:r>
      <w:r w:rsidR="00BE289A" w:rsidRPr="00641D0E">
        <w:rPr>
          <w:rFonts w:ascii="Calibri" w:hAnsi="Calibri"/>
        </w:rPr>
        <w:t>ity map</w:t>
      </w:r>
      <w:r w:rsidR="00277AEE" w:rsidRPr="00641D0E">
        <w:rPr>
          <w:rFonts w:ascii="Calibri" w:hAnsi="Calibri"/>
        </w:rPr>
        <w:t>s</w:t>
      </w:r>
      <w:r w:rsidR="00BE289A" w:rsidRPr="00641D0E">
        <w:rPr>
          <w:rFonts w:ascii="Calibri" w:hAnsi="Calibri"/>
        </w:rPr>
        <w:t>, along with other tasks</w:t>
      </w:r>
      <w:r w:rsidRPr="00641D0E">
        <w:rPr>
          <w:rFonts w:ascii="Calibri" w:hAnsi="Calibri"/>
        </w:rPr>
        <w:t xml:space="preserve"> as required.</w:t>
      </w:r>
      <w:r w:rsidR="00800F46">
        <w:rPr>
          <w:rFonts w:ascii="Calibri" w:hAnsi="Calibri"/>
        </w:rPr>
        <w:t xml:space="preserve"> Funding for access to technical advisors with strategic communications and content creation expertise will also be available to the Support Unit.</w:t>
      </w:r>
      <w:r w:rsidR="006F65FF">
        <w:rPr>
          <w:rFonts w:ascii="Calibri" w:hAnsi="Calibri"/>
        </w:rPr>
        <w:t xml:space="preserve"> The pool of expert technical advisors will be funded by DFAT.</w:t>
      </w:r>
    </w:p>
    <w:p w14:paraId="4726E982" w14:textId="77777777" w:rsidR="00371FC0" w:rsidRDefault="00E00C4E" w:rsidP="00A67DC0">
      <w:pPr>
        <w:spacing w:after="240"/>
        <w:jc w:val="both"/>
        <w:rPr>
          <w:rFonts w:ascii="Calibri" w:hAnsi="Calibri"/>
        </w:rPr>
      </w:pPr>
      <w:r>
        <w:rPr>
          <w:rFonts w:ascii="Calibri" w:hAnsi="Calibri"/>
        </w:rPr>
        <w:t>T</w:t>
      </w:r>
      <w:r w:rsidR="00800F46">
        <w:rPr>
          <w:rFonts w:ascii="Calibri" w:hAnsi="Calibri"/>
        </w:rPr>
        <w:t xml:space="preserve">he Support Unit will work with </w:t>
      </w:r>
      <w:r w:rsidR="00800F46" w:rsidRPr="006F65FF">
        <w:rPr>
          <w:rFonts w:ascii="Calibri" w:hAnsi="Calibri"/>
          <w:b/>
        </w:rPr>
        <w:t>ACFID staff</w:t>
      </w:r>
      <w:r w:rsidR="00800F46">
        <w:rPr>
          <w:rFonts w:ascii="Calibri" w:hAnsi="Calibri"/>
        </w:rPr>
        <w:t xml:space="preserve"> as required, particularly recognising the need for effective </w:t>
      </w:r>
      <w:r w:rsidR="006F65FF">
        <w:rPr>
          <w:rFonts w:ascii="Calibri" w:hAnsi="Calibri"/>
        </w:rPr>
        <w:t>collaboration with</w:t>
      </w:r>
      <w:r w:rsidR="00800F46">
        <w:rPr>
          <w:rFonts w:ascii="Calibri" w:hAnsi="Calibri"/>
        </w:rPr>
        <w:t xml:space="preserve"> ACFID’s Humanitarian Policy Advisor and ACFID’s communication t</w:t>
      </w:r>
      <w:r>
        <w:rPr>
          <w:rFonts w:ascii="Calibri" w:hAnsi="Calibri"/>
        </w:rPr>
        <w:t>eam</w:t>
      </w:r>
      <w:r w:rsidR="00800F46">
        <w:rPr>
          <w:rFonts w:ascii="Calibri" w:hAnsi="Calibri"/>
        </w:rPr>
        <w:t xml:space="preserve">. </w:t>
      </w:r>
    </w:p>
    <w:p w14:paraId="528AB835" w14:textId="77777777" w:rsidR="001B39BC" w:rsidRDefault="001B39BC" w:rsidP="001B39BC">
      <w:pPr>
        <w:ind w:left="-851" w:right="-1039"/>
      </w:pPr>
    </w:p>
    <w:p w14:paraId="2EC9AAA9" w14:textId="77777777" w:rsidR="001B39BC" w:rsidRDefault="001B39BC" w:rsidP="001B39BC">
      <w:pPr>
        <w:ind w:left="-851" w:right="-1039"/>
      </w:pPr>
      <w:r>
        <w:object w:dxaOrig="17414" w:dyaOrig="7077" w14:anchorId="07729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95pt;height:218.9pt" o:ole="" o:bordertopcolor="this" o:borderleftcolor="this" o:borderbottomcolor="this" o:borderrightcolor="this">
            <v:imagedata r:id="rId9" o:title=""/>
            <w10:bordertop type="single" width="18"/>
            <w10:borderleft type="single" width="18"/>
            <w10:borderbottom type="single" width="18"/>
            <w10:borderright type="single" width="18"/>
          </v:shape>
          <o:OLEObject Type="Embed" ProgID="Visio.Drawing.11" ShapeID="_x0000_i1025" DrawAspect="Content" ObjectID="_1524476493" r:id="rId10"/>
        </w:object>
      </w:r>
    </w:p>
    <w:p w14:paraId="31574BD7" w14:textId="77777777" w:rsidR="00B179CE" w:rsidRPr="00641D0E" w:rsidRDefault="00B179CE" w:rsidP="00A67DC0">
      <w:pPr>
        <w:spacing w:after="240"/>
        <w:jc w:val="both"/>
        <w:rPr>
          <w:rFonts w:ascii="Calibri" w:hAnsi="Calibri"/>
        </w:rPr>
      </w:pPr>
      <w:r w:rsidRPr="00641D0E">
        <w:rPr>
          <w:rFonts w:ascii="Calibri" w:hAnsi="Calibri"/>
        </w:rPr>
        <w:t xml:space="preserve">Detailed position descriptions for the above positions are provided at </w:t>
      </w:r>
      <w:r w:rsidRPr="00220433">
        <w:rPr>
          <w:rFonts w:ascii="Calibri" w:hAnsi="Calibri"/>
          <w:b/>
          <w:u w:val="single"/>
        </w:rPr>
        <w:t xml:space="preserve">Annex </w:t>
      </w:r>
      <w:r w:rsidR="00D42006">
        <w:rPr>
          <w:rFonts w:ascii="Calibri" w:hAnsi="Calibri"/>
          <w:b/>
          <w:u w:val="single"/>
        </w:rPr>
        <w:t>6</w:t>
      </w:r>
      <w:r w:rsidRPr="00220433">
        <w:rPr>
          <w:rFonts w:ascii="Calibri" w:hAnsi="Calibri"/>
        </w:rPr>
        <w:t>.</w:t>
      </w:r>
    </w:p>
    <w:p w14:paraId="7D0543D4" w14:textId="77777777" w:rsidR="00003A07" w:rsidRPr="007157F7" w:rsidRDefault="00003A07" w:rsidP="00A67DC0">
      <w:pPr>
        <w:pStyle w:val="Heading2"/>
        <w:spacing w:after="240"/>
        <w:jc w:val="both"/>
        <w:rPr>
          <w:sz w:val="24"/>
          <w:szCs w:val="24"/>
        </w:rPr>
      </w:pPr>
      <w:bookmarkStart w:id="25" w:name="_Toc448777809"/>
      <w:r w:rsidRPr="007157F7">
        <w:rPr>
          <w:sz w:val="24"/>
          <w:szCs w:val="24"/>
        </w:rPr>
        <w:t>Procurement Arrangements</w:t>
      </w:r>
      <w:bookmarkEnd w:id="25"/>
    </w:p>
    <w:p w14:paraId="4E081C38" w14:textId="3E77BB14" w:rsidR="00CF3B49" w:rsidRDefault="00CF3B49" w:rsidP="00CF3B49">
      <w:pPr>
        <w:spacing w:after="120"/>
        <w:jc w:val="both"/>
        <w:rPr>
          <w:rFonts w:ascii="Calibri" w:hAnsi="Calibri"/>
        </w:rPr>
      </w:pPr>
      <w:r w:rsidRPr="00737D62">
        <w:rPr>
          <w:rFonts w:ascii="Calibri" w:hAnsi="Calibri"/>
          <w:bCs/>
        </w:rPr>
        <w:t xml:space="preserve">DFAT will tender for </w:t>
      </w:r>
      <w:r w:rsidRPr="00CF3B49">
        <w:rPr>
          <w:rFonts w:ascii="Calibri" w:hAnsi="Calibri"/>
          <w:b/>
          <w:bCs/>
        </w:rPr>
        <w:t>an</w:t>
      </w:r>
      <w:r w:rsidRPr="00737D62">
        <w:rPr>
          <w:rFonts w:ascii="Calibri" w:hAnsi="Calibri"/>
          <w:b/>
        </w:rPr>
        <w:t xml:space="preserve"> organisation to host the Support Unit</w:t>
      </w:r>
      <w:r>
        <w:rPr>
          <w:rFonts w:ascii="Calibri" w:hAnsi="Calibri"/>
        </w:rPr>
        <w:t xml:space="preserve"> through a competitive procurement process. DFAT envisages that the competitive process will draw interest from organisations in the non-government sector including possibly HRG NGO members and/or peak bodies such as ACFID. The procurement process will also be open to private sector bodies. The organisation must have the capacity to enter into contractual agreements with the 4-6 HRG member NGOs pre-selected to receive DFAT funding. </w:t>
      </w:r>
    </w:p>
    <w:p w14:paraId="3DEA8F61" w14:textId="616F8D36" w:rsidR="006C4D7C" w:rsidRDefault="006C4D7C" w:rsidP="00CF3B49">
      <w:pPr>
        <w:spacing w:after="120"/>
        <w:jc w:val="both"/>
        <w:rPr>
          <w:rFonts w:ascii="Calibri" w:hAnsi="Calibri"/>
        </w:rPr>
      </w:pPr>
      <w:r>
        <w:rPr>
          <w:rFonts w:ascii="Calibri" w:hAnsi="Calibri"/>
        </w:rPr>
        <w:lastRenderedPageBreak/>
        <w:t xml:space="preserve">The </w:t>
      </w:r>
      <w:r w:rsidR="001B39BC">
        <w:rPr>
          <w:rFonts w:ascii="Calibri" w:hAnsi="Calibri"/>
        </w:rPr>
        <w:t xml:space="preserve">proposed </w:t>
      </w:r>
      <w:r w:rsidRPr="006C4D7C">
        <w:rPr>
          <w:rFonts w:ascii="Calibri" w:hAnsi="Calibri"/>
          <w:b/>
        </w:rPr>
        <w:t>selection criteria</w:t>
      </w:r>
      <w:r>
        <w:rPr>
          <w:rFonts w:ascii="Calibri" w:hAnsi="Calibri"/>
        </w:rPr>
        <w:t xml:space="preserve"> for the tender for an organisation to host the Support Unit </w:t>
      </w:r>
      <w:r w:rsidR="001B39BC">
        <w:rPr>
          <w:rFonts w:ascii="Calibri" w:hAnsi="Calibri"/>
        </w:rPr>
        <w:t>include</w:t>
      </w:r>
      <w:r>
        <w:rPr>
          <w:rFonts w:ascii="Calibri" w:hAnsi="Calibri"/>
        </w:rPr>
        <w:t>:</w:t>
      </w:r>
    </w:p>
    <w:p w14:paraId="74390F63" w14:textId="77777777" w:rsidR="000F24E1" w:rsidRPr="00CD1CAF" w:rsidRDefault="000F24E1" w:rsidP="00B41169">
      <w:pPr>
        <w:spacing w:after="120"/>
        <w:rPr>
          <w:rFonts w:ascii="Calibri" w:hAnsi="Calibri"/>
        </w:rPr>
      </w:pPr>
      <w:r>
        <w:rPr>
          <w:rFonts w:ascii="Calibri" w:hAnsi="Calibri"/>
        </w:rPr>
        <w:t>1. Knowledge of the humanitarian sector</w:t>
      </w:r>
    </w:p>
    <w:p w14:paraId="4C104113" w14:textId="77777777" w:rsidR="000F24E1" w:rsidRDefault="000F24E1" w:rsidP="00B41169">
      <w:pPr>
        <w:pStyle w:val="ListParagraph"/>
        <w:numPr>
          <w:ilvl w:val="0"/>
          <w:numId w:val="4"/>
        </w:numPr>
        <w:spacing w:after="240" w:line="240" w:lineRule="auto"/>
        <w:rPr>
          <w:rFonts w:ascii="Calibri" w:hAnsi="Calibri"/>
          <w:sz w:val="24"/>
          <w:szCs w:val="24"/>
        </w:rPr>
      </w:pPr>
      <w:r w:rsidRPr="00B570DA">
        <w:rPr>
          <w:rFonts w:ascii="Calibri" w:hAnsi="Calibri"/>
          <w:sz w:val="24"/>
          <w:szCs w:val="24"/>
        </w:rPr>
        <w:t xml:space="preserve">Knowledge of and experience working </w:t>
      </w:r>
      <w:r>
        <w:rPr>
          <w:rFonts w:ascii="Calibri" w:hAnsi="Calibri"/>
          <w:sz w:val="24"/>
          <w:szCs w:val="24"/>
        </w:rPr>
        <w:t>with Australian NGOs and their local partners</w:t>
      </w:r>
    </w:p>
    <w:p w14:paraId="269D5656" w14:textId="77777777" w:rsidR="000F24E1" w:rsidRDefault="000F24E1" w:rsidP="00B41169">
      <w:pPr>
        <w:pStyle w:val="ListParagraph"/>
        <w:numPr>
          <w:ilvl w:val="0"/>
          <w:numId w:val="4"/>
        </w:numPr>
        <w:spacing w:after="240" w:line="240" w:lineRule="auto"/>
        <w:rPr>
          <w:rFonts w:ascii="Calibri" w:hAnsi="Calibri"/>
          <w:sz w:val="24"/>
          <w:szCs w:val="24"/>
        </w:rPr>
      </w:pPr>
      <w:r>
        <w:rPr>
          <w:rFonts w:ascii="Calibri" w:hAnsi="Calibri"/>
          <w:sz w:val="24"/>
          <w:szCs w:val="24"/>
        </w:rPr>
        <w:t>Knowledge of and experience working with the Australian Government aid program, preferably on humanitarian programming</w:t>
      </w:r>
    </w:p>
    <w:p w14:paraId="7D05F250" w14:textId="77777777" w:rsidR="000F24E1" w:rsidRDefault="000F24E1" w:rsidP="00B41169">
      <w:pPr>
        <w:pStyle w:val="ListParagraph"/>
        <w:numPr>
          <w:ilvl w:val="0"/>
          <w:numId w:val="4"/>
        </w:numPr>
        <w:spacing w:after="240" w:line="240" w:lineRule="auto"/>
        <w:rPr>
          <w:rFonts w:ascii="Calibri" w:hAnsi="Calibri"/>
          <w:sz w:val="24"/>
          <w:szCs w:val="24"/>
        </w:rPr>
      </w:pPr>
      <w:r>
        <w:rPr>
          <w:rFonts w:ascii="Calibri" w:hAnsi="Calibri"/>
          <w:sz w:val="24"/>
          <w:szCs w:val="24"/>
        </w:rPr>
        <w:t>Familiarity with and commitment to Good Humanitarian Donorship principles</w:t>
      </w:r>
    </w:p>
    <w:p w14:paraId="4161CC3B" w14:textId="77777777" w:rsidR="000F24E1" w:rsidRDefault="000F24E1" w:rsidP="00B41169">
      <w:pPr>
        <w:spacing w:after="120"/>
        <w:rPr>
          <w:rFonts w:ascii="Calibri" w:hAnsi="Calibri"/>
        </w:rPr>
      </w:pPr>
      <w:r>
        <w:rPr>
          <w:rFonts w:ascii="Calibri" w:hAnsi="Calibri"/>
        </w:rPr>
        <w:t>2. Experience managing relationships in a complex partnership</w:t>
      </w:r>
    </w:p>
    <w:p w14:paraId="5FE4C328" w14:textId="77777777" w:rsidR="000F24E1" w:rsidRDefault="000F24E1" w:rsidP="00B41169">
      <w:pPr>
        <w:pStyle w:val="ListParagraph"/>
        <w:numPr>
          <w:ilvl w:val="0"/>
          <w:numId w:val="4"/>
        </w:numPr>
        <w:spacing w:after="240" w:line="240" w:lineRule="auto"/>
        <w:rPr>
          <w:rFonts w:ascii="Calibri" w:hAnsi="Calibri"/>
          <w:sz w:val="24"/>
          <w:szCs w:val="24"/>
        </w:rPr>
      </w:pPr>
      <w:r>
        <w:rPr>
          <w:rFonts w:ascii="Calibri" w:hAnsi="Calibri"/>
          <w:sz w:val="24"/>
          <w:szCs w:val="24"/>
        </w:rPr>
        <w:t>Experience in partnership brokering and negotiation</w:t>
      </w:r>
    </w:p>
    <w:p w14:paraId="661FB98F" w14:textId="77777777" w:rsidR="000F24E1" w:rsidRDefault="000F24E1" w:rsidP="00B41169">
      <w:pPr>
        <w:pStyle w:val="ListParagraph"/>
        <w:numPr>
          <w:ilvl w:val="0"/>
          <w:numId w:val="4"/>
        </w:numPr>
        <w:spacing w:after="240" w:line="240" w:lineRule="auto"/>
        <w:rPr>
          <w:rFonts w:ascii="Calibri" w:hAnsi="Calibri"/>
          <w:sz w:val="24"/>
          <w:szCs w:val="24"/>
        </w:rPr>
      </w:pPr>
      <w:r>
        <w:rPr>
          <w:rFonts w:ascii="Calibri" w:hAnsi="Calibri"/>
          <w:sz w:val="24"/>
          <w:szCs w:val="24"/>
        </w:rPr>
        <w:t>Experience in managing diverse and at times competing organisations for the achievement of a shared objective</w:t>
      </w:r>
    </w:p>
    <w:p w14:paraId="3177A298" w14:textId="77777777" w:rsidR="000F24E1" w:rsidRPr="00693E81" w:rsidRDefault="000F24E1" w:rsidP="00B41169">
      <w:pPr>
        <w:spacing w:after="120"/>
        <w:rPr>
          <w:rFonts w:ascii="Calibri" w:hAnsi="Calibri"/>
        </w:rPr>
      </w:pPr>
      <w:r>
        <w:rPr>
          <w:rFonts w:ascii="Calibri" w:hAnsi="Calibri"/>
        </w:rPr>
        <w:t>3. Contracting capability</w:t>
      </w:r>
    </w:p>
    <w:p w14:paraId="55A57C08" w14:textId="77777777" w:rsidR="000F24E1" w:rsidRDefault="000F24E1" w:rsidP="00B41169">
      <w:pPr>
        <w:pStyle w:val="ListParagraph"/>
        <w:numPr>
          <w:ilvl w:val="0"/>
          <w:numId w:val="4"/>
        </w:numPr>
        <w:spacing w:after="240" w:line="240" w:lineRule="auto"/>
        <w:rPr>
          <w:rFonts w:ascii="Calibri" w:hAnsi="Calibri"/>
          <w:sz w:val="24"/>
          <w:szCs w:val="24"/>
        </w:rPr>
      </w:pPr>
      <w:r>
        <w:rPr>
          <w:rFonts w:ascii="Calibri" w:hAnsi="Calibri"/>
          <w:sz w:val="24"/>
          <w:szCs w:val="24"/>
        </w:rPr>
        <w:t>Proven ability to develop contracting templates</w:t>
      </w:r>
    </w:p>
    <w:p w14:paraId="48941E71" w14:textId="77777777" w:rsidR="000F24E1" w:rsidRDefault="000F24E1" w:rsidP="00B41169">
      <w:pPr>
        <w:pStyle w:val="ListParagraph"/>
        <w:numPr>
          <w:ilvl w:val="0"/>
          <w:numId w:val="4"/>
        </w:numPr>
        <w:spacing w:after="240" w:line="240" w:lineRule="auto"/>
        <w:rPr>
          <w:rFonts w:ascii="Calibri" w:hAnsi="Calibri"/>
          <w:sz w:val="24"/>
          <w:szCs w:val="24"/>
        </w:rPr>
      </w:pPr>
      <w:r>
        <w:rPr>
          <w:rFonts w:ascii="Calibri" w:hAnsi="Calibri"/>
          <w:sz w:val="24"/>
          <w:szCs w:val="24"/>
        </w:rPr>
        <w:t>Proven ability to manage contractual relationships for results</w:t>
      </w:r>
    </w:p>
    <w:p w14:paraId="75609F3A" w14:textId="77777777" w:rsidR="000F24E1" w:rsidRDefault="000F24E1" w:rsidP="00B41169">
      <w:pPr>
        <w:pStyle w:val="ListParagraph"/>
        <w:numPr>
          <w:ilvl w:val="0"/>
          <w:numId w:val="4"/>
        </w:numPr>
        <w:spacing w:after="240" w:line="240" w:lineRule="auto"/>
        <w:rPr>
          <w:rFonts w:ascii="Calibri" w:hAnsi="Calibri"/>
          <w:sz w:val="24"/>
          <w:szCs w:val="24"/>
        </w:rPr>
      </w:pPr>
      <w:r>
        <w:rPr>
          <w:rFonts w:ascii="Calibri" w:hAnsi="Calibri"/>
          <w:sz w:val="24"/>
          <w:szCs w:val="24"/>
        </w:rPr>
        <w:t xml:space="preserve">Demonstrated ability to undertake contracting processes </w:t>
      </w:r>
      <w:r>
        <w:rPr>
          <w:rFonts w:ascii="Calibri" w:hAnsi="Calibri"/>
          <w:i/>
          <w:sz w:val="24"/>
          <w:szCs w:val="24"/>
        </w:rPr>
        <w:t>rapidly</w:t>
      </w:r>
      <w:r>
        <w:rPr>
          <w:rFonts w:ascii="Calibri" w:hAnsi="Calibri"/>
          <w:sz w:val="24"/>
          <w:szCs w:val="24"/>
        </w:rPr>
        <w:t xml:space="preserve"> under pressure</w:t>
      </w:r>
    </w:p>
    <w:p w14:paraId="487BBED1" w14:textId="77777777" w:rsidR="000F24E1" w:rsidRPr="00693E81" w:rsidRDefault="000F24E1" w:rsidP="00B41169">
      <w:pPr>
        <w:spacing w:after="120"/>
        <w:rPr>
          <w:rFonts w:ascii="Calibri" w:hAnsi="Calibri"/>
        </w:rPr>
      </w:pPr>
      <w:r>
        <w:rPr>
          <w:rFonts w:ascii="Calibri" w:hAnsi="Calibri"/>
        </w:rPr>
        <w:t>4. Ability to act rapidly</w:t>
      </w:r>
    </w:p>
    <w:p w14:paraId="4E542B8C" w14:textId="77777777" w:rsidR="000F24E1" w:rsidRDefault="000F24E1" w:rsidP="00B41169">
      <w:pPr>
        <w:pStyle w:val="ListParagraph"/>
        <w:numPr>
          <w:ilvl w:val="0"/>
          <w:numId w:val="4"/>
        </w:numPr>
        <w:spacing w:after="240" w:line="240" w:lineRule="auto"/>
        <w:rPr>
          <w:rFonts w:ascii="Calibri" w:hAnsi="Calibri"/>
          <w:sz w:val="24"/>
          <w:szCs w:val="24"/>
        </w:rPr>
      </w:pPr>
      <w:r>
        <w:rPr>
          <w:rFonts w:ascii="Calibri" w:hAnsi="Calibri"/>
          <w:sz w:val="24"/>
          <w:szCs w:val="24"/>
        </w:rPr>
        <w:t>Willingness and demonstrated ability to meet the deadlines specified for activation of the Australian Humanitarian Partnership</w:t>
      </w:r>
    </w:p>
    <w:p w14:paraId="0E17689D" w14:textId="4013C5BD" w:rsidR="000F24E1" w:rsidRDefault="000F24E1" w:rsidP="00B41169">
      <w:pPr>
        <w:pStyle w:val="ListParagraph"/>
        <w:numPr>
          <w:ilvl w:val="0"/>
          <w:numId w:val="4"/>
        </w:numPr>
        <w:spacing w:after="240" w:line="240" w:lineRule="auto"/>
        <w:rPr>
          <w:rFonts w:ascii="Calibri" w:hAnsi="Calibri"/>
          <w:sz w:val="24"/>
          <w:szCs w:val="24"/>
        </w:rPr>
      </w:pPr>
      <w:r>
        <w:rPr>
          <w:rFonts w:ascii="Calibri" w:hAnsi="Calibri"/>
          <w:sz w:val="24"/>
          <w:szCs w:val="24"/>
        </w:rPr>
        <w:t xml:space="preserve">Willingness and demonstrated mechanisms for undertaking the work </w:t>
      </w:r>
      <w:r w:rsidR="001B39BC">
        <w:rPr>
          <w:rFonts w:ascii="Calibri" w:hAnsi="Calibri"/>
          <w:sz w:val="24"/>
          <w:szCs w:val="24"/>
        </w:rPr>
        <w:t xml:space="preserve">including </w:t>
      </w:r>
      <w:r>
        <w:rPr>
          <w:rFonts w:ascii="Calibri" w:hAnsi="Calibri"/>
          <w:sz w:val="24"/>
          <w:szCs w:val="24"/>
        </w:rPr>
        <w:t>out of regular office hours when required</w:t>
      </w:r>
    </w:p>
    <w:p w14:paraId="47815399" w14:textId="77777777" w:rsidR="000F24E1" w:rsidRPr="00693E81" w:rsidRDefault="000F24E1" w:rsidP="00B41169">
      <w:pPr>
        <w:spacing w:after="120"/>
        <w:rPr>
          <w:rFonts w:ascii="Calibri" w:hAnsi="Calibri"/>
        </w:rPr>
      </w:pPr>
      <w:r>
        <w:rPr>
          <w:rFonts w:ascii="Calibri" w:hAnsi="Calibri"/>
        </w:rPr>
        <w:t>5. Monitoring, evaluation and learning capability</w:t>
      </w:r>
      <w:r w:rsidRPr="00693E81">
        <w:rPr>
          <w:rFonts w:ascii="Calibri" w:hAnsi="Calibri"/>
        </w:rPr>
        <w:t xml:space="preserve"> </w:t>
      </w:r>
    </w:p>
    <w:p w14:paraId="4770F816" w14:textId="7CAF4530" w:rsidR="000F24E1" w:rsidRDefault="000F24E1" w:rsidP="00B41169">
      <w:pPr>
        <w:pStyle w:val="ListParagraph"/>
        <w:numPr>
          <w:ilvl w:val="0"/>
          <w:numId w:val="4"/>
        </w:numPr>
        <w:spacing w:after="240" w:line="240" w:lineRule="auto"/>
        <w:rPr>
          <w:rFonts w:ascii="Calibri" w:hAnsi="Calibri"/>
          <w:sz w:val="24"/>
          <w:szCs w:val="24"/>
        </w:rPr>
      </w:pPr>
      <w:r>
        <w:rPr>
          <w:rFonts w:ascii="Calibri" w:hAnsi="Calibri"/>
          <w:sz w:val="24"/>
          <w:szCs w:val="24"/>
        </w:rPr>
        <w:t>Demonstrated experience managing monitoring and evaluation processes for complex development programs, preferably humanitarian programming</w:t>
      </w:r>
      <w:r w:rsidR="001B39BC">
        <w:rPr>
          <w:rFonts w:ascii="Calibri" w:hAnsi="Calibri"/>
          <w:sz w:val="24"/>
          <w:szCs w:val="24"/>
        </w:rPr>
        <w:t>.</w:t>
      </w:r>
    </w:p>
    <w:p w14:paraId="282F6218" w14:textId="1B709125" w:rsidR="00ED73F8" w:rsidRPr="005B5A28" w:rsidRDefault="00050EA6" w:rsidP="00A67DC0">
      <w:pPr>
        <w:keepNext/>
        <w:spacing w:after="240"/>
        <w:jc w:val="both"/>
        <w:rPr>
          <w:rFonts w:ascii="Calibri" w:hAnsi="Calibri"/>
        </w:rPr>
      </w:pPr>
      <w:r w:rsidRPr="005B5A28">
        <w:rPr>
          <w:rFonts w:ascii="Calibri" w:hAnsi="Calibri"/>
        </w:rPr>
        <w:t>DFAT</w:t>
      </w:r>
      <w:r w:rsidR="00A02CFB">
        <w:rPr>
          <w:rFonts w:ascii="Calibri" w:hAnsi="Calibri"/>
        </w:rPr>
        <w:t xml:space="preserve"> will pay</w:t>
      </w:r>
      <w:r w:rsidRPr="005B5A28">
        <w:rPr>
          <w:rFonts w:ascii="Calibri" w:hAnsi="Calibri"/>
        </w:rPr>
        <w:t xml:space="preserve"> the costs of the </w:t>
      </w:r>
      <w:r w:rsidRPr="005B5A28">
        <w:rPr>
          <w:rFonts w:ascii="Calibri" w:hAnsi="Calibri"/>
          <w:b/>
        </w:rPr>
        <w:t>Support Unit</w:t>
      </w:r>
      <w:r w:rsidRPr="005B5A28">
        <w:rPr>
          <w:rFonts w:ascii="Calibri" w:hAnsi="Calibri"/>
        </w:rPr>
        <w:t xml:space="preserve"> through a</w:t>
      </w:r>
      <w:r w:rsidR="00CF3B49">
        <w:rPr>
          <w:rFonts w:ascii="Calibri" w:hAnsi="Calibri"/>
        </w:rPr>
        <w:t>n</w:t>
      </w:r>
      <w:r w:rsidRPr="005B5A28">
        <w:rPr>
          <w:rFonts w:ascii="Calibri" w:hAnsi="Calibri"/>
        </w:rPr>
        <w:t xml:space="preserve"> acquittable grant to </w:t>
      </w:r>
      <w:r w:rsidR="00CF3B49">
        <w:rPr>
          <w:rFonts w:ascii="Calibri" w:hAnsi="Calibri"/>
        </w:rPr>
        <w:t>the selected organisation</w:t>
      </w:r>
      <w:r w:rsidRPr="005B5A28">
        <w:rPr>
          <w:rFonts w:ascii="Calibri" w:hAnsi="Calibri"/>
        </w:rPr>
        <w:t xml:space="preserve">. </w:t>
      </w:r>
      <w:r w:rsidR="00EB0625" w:rsidRPr="005B5A28">
        <w:rPr>
          <w:rFonts w:ascii="Calibri" w:hAnsi="Calibri"/>
        </w:rPr>
        <w:t xml:space="preserve">DFAT may elect to second a DFAT staff member </w:t>
      </w:r>
      <w:r w:rsidR="008F61B6">
        <w:rPr>
          <w:rFonts w:ascii="Calibri" w:hAnsi="Calibri"/>
        </w:rPr>
        <w:t>into the Support Unit</w:t>
      </w:r>
      <w:r w:rsidR="00EB0625" w:rsidRPr="005B5A28">
        <w:rPr>
          <w:rFonts w:ascii="Calibri" w:hAnsi="Calibri"/>
        </w:rPr>
        <w:t xml:space="preserve">. </w:t>
      </w:r>
      <w:r w:rsidR="00CF3B49">
        <w:rPr>
          <w:rFonts w:ascii="Calibri" w:hAnsi="Calibri"/>
        </w:rPr>
        <w:t xml:space="preserve">Any decision around a secondee would be made in collaboration with HRG members. </w:t>
      </w:r>
      <w:r w:rsidR="00ED73F8" w:rsidRPr="005B5A28">
        <w:rPr>
          <w:rFonts w:ascii="Calibri" w:hAnsi="Calibri"/>
        </w:rPr>
        <w:t xml:space="preserve">The Support Unit will be </w:t>
      </w:r>
      <w:r w:rsidR="00E00C4E" w:rsidRPr="005B5A28">
        <w:rPr>
          <w:rFonts w:ascii="Calibri" w:hAnsi="Calibri"/>
          <w:i/>
        </w:rPr>
        <w:t>hosted by</w:t>
      </w:r>
      <w:r w:rsidR="00ED73F8" w:rsidRPr="005B5A28">
        <w:rPr>
          <w:rFonts w:ascii="Calibri" w:hAnsi="Calibri"/>
        </w:rPr>
        <w:t xml:space="preserve"> </w:t>
      </w:r>
      <w:r w:rsidR="00CF3B49">
        <w:rPr>
          <w:rFonts w:ascii="Calibri" w:hAnsi="Calibri"/>
        </w:rPr>
        <w:t>an organisation</w:t>
      </w:r>
      <w:r w:rsidR="00CF3B49" w:rsidRPr="005B5A28">
        <w:rPr>
          <w:rFonts w:ascii="Calibri" w:hAnsi="Calibri"/>
        </w:rPr>
        <w:t xml:space="preserve"> </w:t>
      </w:r>
      <w:r w:rsidR="00ED73F8" w:rsidRPr="005B5A28">
        <w:rPr>
          <w:rFonts w:ascii="Calibri" w:hAnsi="Calibri"/>
        </w:rPr>
        <w:t xml:space="preserve">but will not be </w:t>
      </w:r>
      <w:r w:rsidR="00ED73F8" w:rsidRPr="005B5A28">
        <w:rPr>
          <w:rFonts w:ascii="Calibri" w:hAnsi="Calibri"/>
          <w:i/>
        </w:rPr>
        <w:t xml:space="preserve">part of </w:t>
      </w:r>
      <w:r w:rsidR="00CF3B49">
        <w:rPr>
          <w:rFonts w:ascii="Calibri" w:hAnsi="Calibri"/>
        </w:rPr>
        <w:t>that organisation</w:t>
      </w:r>
      <w:r w:rsidR="00ED73F8" w:rsidRPr="005B5A28">
        <w:rPr>
          <w:rFonts w:ascii="Calibri" w:hAnsi="Calibri"/>
        </w:rPr>
        <w:t xml:space="preserve">. It will remain </w:t>
      </w:r>
      <w:r w:rsidR="00ED73F8" w:rsidRPr="00C318DA">
        <w:rPr>
          <w:rFonts w:ascii="Calibri" w:hAnsi="Calibri"/>
        </w:rPr>
        <w:t>organisationally separate</w:t>
      </w:r>
      <w:r w:rsidR="00CF3B49">
        <w:rPr>
          <w:rFonts w:ascii="Calibri" w:hAnsi="Calibri"/>
        </w:rPr>
        <w:t>.</w:t>
      </w:r>
    </w:p>
    <w:p w14:paraId="02CFF297" w14:textId="2EF9E8B7" w:rsidR="00196275" w:rsidRPr="00641D0E" w:rsidRDefault="00196275" w:rsidP="00A67DC0">
      <w:pPr>
        <w:spacing w:after="240"/>
        <w:jc w:val="both"/>
        <w:rPr>
          <w:rFonts w:ascii="Calibri" w:hAnsi="Calibri"/>
        </w:rPr>
      </w:pPr>
      <w:r w:rsidRPr="00641D0E">
        <w:rPr>
          <w:rFonts w:ascii="Calibri" w:hAnsi="Calibri"/>
          <w:b/>
        </w:rPr>
        <w:t>Support Unit</w:t>
      </w:r>
      <w:r w:rsidRPr="00641D0E">
        <w:rPr>
          <w:rFonts w:ascii="Calibri" w:hAnsi="Calibri"/>
        </w:rPr>
        <w:t xml:space="preserve"> </w:t>
      </w:r>
      <w:r w:rsidR="00050EA6" w:rsidRPr="00641D0E">
        <w:rPr>
          <w:rFonts w:ascii="Calibri" w:hAnsi="Calibri"/>
          <w:b/>
        </w:rPr>
        <w:t>personnel</w:t>
      </w:r>
      <w:r w:rsidR="00050EA6" w:rsidRPr="00641D0E">
        <w:rPr>
          <w:rFonts w:ascii="Calibri" w:hAnsi="Calibri"/>
        </w:rPr>
        <w:t xml:space="preserve"> – including three staff members and the on-call </w:t>
      </w:r>
      <w:r w:rsidR="00370BA5">
        <w:rPr>
          <w:rFonts w:ascii="Calibri" w:hAnsi="Calibri"/>
        </w:rPr>
        <w:t>technical</w:t>
      </w:r>
      <w:r w:rsidR="00370BA5" w:rsidRPr="00641D0E">
        <w:rPr>
          <w:rFonts w:ascii="Calibri" w:hAnsi="Calibri"/>
        </w:rPr>
        <w:t xml:space="preserve"> </w:t>
      </w:r>
      <w:r w:rsidR="00050EA6" w:rsidRPr="00641D0E">
        <w:rPr>
          <w:rFonts w:ascii="Calibri" w:hAnsi="Calibri"/>
        </w:rPr>
        <w:t xml:space="preserve">experts – </w:t>
      </w:r>
      <w:r w:rsidRPr="00641D0E">
        <w:rPr>
          <w:rFonts w:ascii="Calibri" w:hAnsi="Calibri"/>
        </w:rPr>
        <w:t xml:space="preserve">will be </w:t>
      </w:r>
      <w:r w:rsidR="00EB0625" w:rsidRPr="00641D0E">
        <w:rPr>
          <w:rFonts w:ascii="Calibri" w:hAnsi="Calibri"/>
        </w:rPr>
        <w:t>recruited</w:t>
      </w:r>
      <w:r w:rsidRPr="00641D0E">
        <w:rPr>
          <w:rFonts w:ascii="Calibri" w:hAnsi="Calibri"/>
        </w:rPr>
        <w:t xml:space="preserve"> by </w:t>
      </w:r>
      <w:r w:rsidR="00370BA5">
        <w:rPr>
          <w:rFonts w:ascii="Calibri" w:hAnsi="Calibri"/>
        </w:rPr>
        <w:t xml:space="preserve">the </w:t>
      </w:r>
      <w:r w:rsidR="00DB6E20">
        <w:rPr>
          <w:rFonts w:ascii="Calibri" w:hAnsi="Calibri"/>
        </w:rPr>
        <w:t xml:space="preserve">DFAT-HRG </w:t>
      </w:r>
      <w:r w:rsidR="006035B0">
        <w:rPr>
          <w:rFonts w:ascii="Calibri" w:hAnsi="Calibri"/>
        </w:rPr>
        <w:t xml:space="preserve">partnership </w:t>
      </w:r>
      <w:r w:rsidR="0052371B">
        <w:rPr>
          <w:rFonts w:ascii="Calibri" w:hAnsi="Calibri"/>
        </w:rPr>
        <w:t xml:space="preserve">and engaged by </w:t>
      </w:r>
      <w:r w:rsidR="00CF3B49">
        <w:rPr>
          <w:rFonts w:ascii="Calibri" w:hAnsi="Calibri"/>
        </w:rPr>
        <w:t>the host organisation</w:t>
      </w:r>
      <w:r w:rsidR="0052371B">
        <w:rPr>
          <w:rFonts w:ascii="Calibri" w:hAnsi="Calibri"/>
        </w:rPr>
        <w:t>. The</w:t>
      </w:r>
      <w:r w:rsidRPr="00641D0E">
        <w:rPr>
          <w:rFonts w:ascii="Calibri" w:hAnsi="Calibri"/>
        </w:rPr>
        <w:t xml:space="preserve"> selection panel </w:t>
      </w:r>
      <w:r w:rsidR="0052371B">
        <w:rPr>
          <w:rFonts w:ascii="Calibri" w:hAnsi="Calibri"/>
        </w:rPr>
        <w:t>will</w:t>
      </w:r>
      <w:r w:rsidRPr="00641D0E">
        <w:rPr>
          <w:rFonts w:ascii="Calibri" w:hAnsi="Calibri"/>
        </w:rPr>
        <w:t xml:space="preserve"> be made up of </w:t>
      </w:r>
      <w:r w:rsidR="00CF3B49">
        <w:rPr>
          <w:rFonts w:ascii="Calibri" w:hAnsi="Calibri"/>
        </w:rPr>
        <w:t>two</w:t>
      </w:r>
      <w:r w:rsidR="00CF3B49" w:rsidRPr="00641D0E">
        <w:rPr>
          <w:rFonts w:ascii="Calibri" w:hAnsi="Calibri"/>
        </w:rPr>
        <w:t xml:space="preserve"> </w:t>
      </w:r>
      <w:r w:rsidR="00370BA5">
        <w:rPr>
          <w:rFonts w:ascii="Calibri" w:hAnsi="Calibri"/>
        </w:rPr>
        <w:t>HRG member</w:t>
      </w:r>
      <w:r w:rsidR="00CF3B49">
        <w:rPr>
          <w:rFonts w:ascii="Calibri" w:hAnsi="Calibri"/>
        </w:rPr>
        <w:t>s</w:t>
      </w:r>
      <w:r w:rsidR="00370BA5">
        <w:rPr>
          <w:rFonts w:ascii="Calibri" w:hAnsi="Calibri"/>
        </w:rPr>
        <w:t xml:space="preserve">, and </w:t>
      </w:r>
      <w:r w:rsidRPr="00641D0E">
        <w:rPr>
          <w:rFonts w:ascii="Calibri" w:hAnsi="Calibri"/>
        </w:rPr>
        <w:t>one DFAT representative.</w:t>
      </w:r>
      <w:r w:rsidR="00712F03" w:rsidRPr="009B30AC">
        <w:rPr>
          <w:rStyle w:val="FootnoteReference"/>
          <w:szCs w:val="16"/>
        </w:rPr>
        <w:footnoteReference w:id="48"/>
      </w:r>
      <w:r w:rsidRPr="00641D0E">
        <w:rPr>
          <w:rFonts w:ascii="Calibri" w:hAnsi="Calibri"/>
        </w:rPr>
        <w:t xml:space="preserve"> </w:t>
      </w:r>
      <w:r w:rsidR="00CF3B49">
        <w:rPr>
          <w:rFonts w:ascii="Calibri" w:hAnsi="Calibri"/>
        </w:rPr>
        <w:t>The host organisation</w:t>
      </w:r>
      <w:r w:rsidR="00CF3B49" w:rsidRPr="00641D0E">
        <w:rPr>
          <w:rFonts w:ascii="Calibri" w:hAnsi="Calibri"/>
        </w:rPr>
        <w:t xml:space="preserve"> </w:t>
      </w:r>
      <w:r w:rsidR="00F147F1" w:rsidRPr="00641D0E">
        <w:rPr>
          <w:rFonts w:ascii="Calibri" w:hAnsi="Calibri"/>
        </w:rPr>
        <w:t xml:space="preserve">will assume responsibility for human resource management of all Support Unit personnel. </w:t>
      </w:r>
    </w:p>
    <w:p w14:paraId="7E9A309E" w14:textId="6D679581" w:rsidR="00C335CA" w:rsidRDefault="00B90BFE" w:rsidP="00A67DC0">
      <w:pPr>
        <w:spacing w:after="240"/>
        <w:jc w:val="both"/>
        <w:rPr>
          <w:lang w:val="en-US"/>
        </w:rPr>
      </w:pPr>
      <w:r>
        <w:rPr>
          <w:rFonts w:ascii="Calibri" w:hAnsi="Calibri"/>
          <w:noProof/>
          <w:color w:val="595959" w:themeColor="text1" w:themeTint="A6"/>
          <w:lang w:eastAsia="en-AU"/>
        </w:rPr>
        <w:lastRenderedPageBreak/>
        <mc:AlternateContent>
          <mc:Choice Requires="wps">
            <w:drawing>
              <wp:anchor distT="0" distB="0" distL="114300" distR="114300" simplePos="0" relativeHeight="251663360" behindDoc="0" locked="0" layoutInCell="1" allowOverlap="1" wp14:anchorId="44C931C2" wp14:editId="7C3554B2">
                <wp:simplePos x="0" y="0"/>
                <wp:positionH relativeFrom="column">
                  <wp:posOffset>-17780</wp:posOffset>
                </wp:positionH>
                <wp:positionV relativeFrom="paragraph">
                  <wp:posOffset>1881505</wp:posOffset>
                </wp:positionV>
                <wp:extent cx="5845810" cy="1617345"/>
                <wp:effectExtent l="57150" t="38100" r="78740" b="97155"/>
                <wp:wrapSquare wrapText="bothSides"/>
                <wp:docPr id="6" name="Text Box 6"/>
                <wp:cNvGraphicFramePr/>
                <a:graphic xmlns:a="http://schemas.openxmlformats.org/drawingml/2006/main">
                  <a:graphicData uri="http://schemas.microsoft.com/office/word/2010/wordprocessingShape">
                    <wps:wsp>
                      <wps:cNvSpPr txBox="1"/>
                      <wps:spPr>
                        <a:xfrm>
                          <a:off x="0" y="0"/>
                          <a:ext cx="5845810" cy="1617345"/>
                        </a:xfrm>
                        <a:prstGeom prst="rect">
                          <a:avLst/>
                        </a:prstGeom>
                        <a:ln w="19050"/>
                      </wps:spPr>
                      <wps:style>
                        <a:lnRef idx="1">
                          <a:schemeClr val="accent1"/>
                        </a:lnRef>
                        <a:fillRef idx="2">
                          <a:schemeClr val="accent1"/>
                        </a:fillRef>
                        <a:effectRef idx="1">
                          <a:schemeClr val="accent1"/>
                        </a:effectRef>
                        <a:fontRef idx="minor">
                          <a:schemeClr val="dk1"/>
                        </a:fontRef>
                      </wps:style>
                      <wps:txbx>
                        <w:txbxContent>
                          <w:p w14:paraId="453F5B36" w14:textId="77777777" w:rsidR="001C5460" w:rsidRPr="00D274AB" w:rsidRDefault="001C5460" w:rsidP="000049C5">
                            <w:pPr>
                              <w:rPr>
                                <w:rFonts w:ascii="Calibri" w:hAnsi="Calibri"/>
                                <w:b/>
                                <w:sz w:val="22"/>
                                <w:szCs w:val="22"/>
                              </w:rPr>
                            </w:pPr>
                            <w:r w:rsidRPr="00D274AB">
                              <w:rPr>
                                <w:rFonts w:ascii="Calibri" w:hAnsi="Calibri"/>
                                <w:b/>
                                <w:sz w:val="22"/>
                                <w:szCs w:val="22"/>
                              </w:rPr>
                              <w:t xml:space="preserve">Procurement processes during activations of </w:t>
                            </w:r>
                            <w:r>
                              <w:rPr>
                                <w:rFonts w:ascii="Calibri" w:hAnsi="Calibri"/>
                                <w:b/>
                                <w:sz w:val="22"/>
                                <w:szCs w:val="22"/>
                              </w:rPr>
                              <w:t>response funding</w:t>
                            </w:r>
                          </w:p>
                          <w:p w14:paraId="2A9AF7EB" w14:textId="77777777" w:rsidR="001C5460" w:rsidRPr="00F1336C" w:rsidRDefault="001C5460" w:rsidP="000049C5">
                            <w:pPr>
                              <w:rPr>
                                <w:rFonts w:ascii="Calibri" w:hAnsi="Calibri"/>
                                <w:b/>
                                <w:sz w:val="16"/>
                                <w:szCs w:val="16"/>
                              </w:rPr>
                            </w:pPr>
                          </w:p>
                          <w:p w14:paraId="1625A8EC" w14:textId="70FD7A08" w:rsidR="001C5460" w:rsidRDefault="001C5460" w:rsidP="000049C5">
                            <w:pPr>
                              <w:rPr>
                                <w:rFonts w:ascii="Calibri" w:hAnsi="Calibri"/>
                                <w:sz w:val="22"/>
                                <w:szCs w:val="22"/>
                              </w:rPr>
                            </w:pPr>
                            <w:r w:rsidRPr="00D274AB">
                              <w:rPr>
                                <w:rFonts w:ascii="Calibri" w:hAnsi="Calibri"/>
                                <w:sz w:val="22"/>
                                <w:szCs w:val="22"/>
                              </w:rPr>
                              <w:t xml:space="preserve">The Consolidated Proposal submitted to DFAT by the Support Unit will form the basis of an acquittable grant from DFAT to </w:t>
                            </w:r>
                            <w:r>
                              <w:rPr>
                                <w:rFonts w:ascii="Calibri" w:hAnsi="Calibri"/>
                                <w:sz w:val="22"/>
                                <w:szCs w:val="22"/>
                              </w:rPr>
                              <w:t>the Support Unit</w:t>
                            </w:r>
                            <w:r w:rsidRPr="00D274AB">
                              <w:rPr>
                                <w:rFonts w:ascii="Calibri" w:hAnsi="Calibri"/>
                                <w:sz w:val="22"/>
                                <w:szCs w:val="22"/>
                              </w:rPr>
                              <w:t xml:space="preserve">. </w:t>
                            </w:r>
                            <w:r>
                              <w:rPr>
                                <w:rFonts w:ascii="Calibri" w:hAnsi="Calibri"/>
                                <w:sz w:val="22"/>
                                <w:szCs w:val="22"/>
                              </w:rPr>
                              <w:t>The Support Unit will sub-contract to the relevant HRG member NGOs identified for funding.</w:t>
                            </w:r>
                          </w:p>
                          <w:p w14:paraId="3DCE2234" w14:textId="77777777" w:rsidR="001C5460" w:rsidRPr="00F1336C" w:rsidRDefault="001C5460" w:rsidP="000B6AA7">
                            <w:pPr>
                              <w:rPr>
                                <w:rFonts w:ascii="Calibri" w:hAnsi="Calibri"/>
                                <w:sz w:val="16"/>
                                <w:szCs w:val="16"/>
                              </w:rPr>
                            </w:pPr>
                          </w:p>
                          <w:p w14:paraId="6EE09210" w14:textId="7BE60751" w:rsidR="001C5460" w:rsidRDefault="001C5460">
                            <w:r w:rsidRPr="00D274AB">
                              <w:rPr>
                                <w:rFonts w:ascii="Calibri" w:hAnsi="Calibri"/>
                                <w:sz w:val="22"/>
                                <w:szCs w:val="22"/>
                              </w:rPr>
                              <w:t xml:space="preserve">Performance and results will be linked to future funding decisions, as the Response Committees and </w:t>
                            </w:r>
                            <w:r>
                              <w:rPr>
                                <w:rFonts w:ascii="Calibri" w:hAnsi="Calibri"/>
                                <w:sz w:val="22"/>
                                <w:szCs w:val="22"/>
                              </w:rPr>
                              <w:t>T</w:t>
                            </w:r>
                            <w:r w:rsidRPr="00D274AB">
                              <w:rPr>
                                <w:rFonts w:ascii="Calibri" w:hAnsi="Calibri"/>
                                <w:sz w:val="22"/>
                                <w:szCs w:val="22"/>
                              </w:rPr>
                              <w:t xml:space="preserve">echnical </w:t>
                            </w:r>
                            <w:r>
                              <w:rPr>
                                <w:rFonts w:ascii="Calibri" w:hAnsi="Calibri"/>
                                <w:sz w:val="22"/>
                                <w:szCs w:val="22"/>
                              </w:rPr>
                              <w:t>A</w:t>
                            </w:r>
                            <w:r w:rsidRPr="00D274AB">
                              <w:rPr>
                                <w:rFonts w:ascii="Calibri" w:hAnsi="Calibri"/>
                                <w:sz w:val="22"/>
                                <w:szCs w:val="22"/>
                              </w:rPr>
                              <w:t xml:space="preserve">ssessment </w:t>
                            </w:r>
                            <w:r>
                              <w:rPr>
                                <w:rFonts w:ascii="Calibri" w:hAnsi="Calibri"/>
                                <w:sz w:val="22"/>
                                <w:szCs w:val="22"/>
                              </w:rPr>
                              <w:t>P</w:t>
                            </w:r>
                            <w:r w:rsidRPr="00D274AB">
                              <w:rPr>
                                <w:rFonts w:ascii="Calibri" w:hAnsi="Calibri"/>
                                <w:sz w:val="22"/>
                                <w:szCs w:val="22"/>
                              </w:rPr>
                              <w:t>anels will be required to consider past performance in their deliberations.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6" type="#_x0000_t202" style="position:absolute;left:0;text-align:left;margin-left:-1.4pt;margin-top:148.15pt;width:460.3pt;height:1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" fillcolor="#a7bfde [1620]" strokecolor="#4579b8 [3044]" strokeweight="1.5pt">
                <v:fill color2="#e4ecf5 [500]" rotate="t" angle="180" colors="0 #a3c4ff;22938f #bfd5ff;1 #e5eeff" focus="100%" type="gradient"/>
                <v:shadow on="t" color="black" opacity="24903f" origin=",.5" offset="0,.55556mm"/>
                <v:textbox>
                  <w:txbxContent>
                    <w:p w14:paraId="453F5B36" w14:textId="77777777" w:rsidR="001C5460" w:rsidRPr="00D274AB" w:rsidRDefault="001C5460" w:rsidP="000049C5">
                      <w:pPr>
                        <w:rPr>
                          <w:rFonts w:ascii="Calibri" w:hAnsi="Calibri"/>
                          <w:b/>
                          <w:sz w:val="22"/>
                          <w:szCs w:val="22"/>
                        </w:rPr>
                      </w:pPr>
                      <w:r w:rsidRPr="00D274AB">
                        <w:rPr>
                          <w:rFonts w:ascii="Calibri" w:hAnsi="Calibri"/>
                          <w:b/>
                          <w:sz w:val="22"/>
                          <w:szCs w:val="22"/>
                        </w:rPr>
                        <w:t xml:space="preserve">Procurement processes during activations of </w:t>
                      </w:r>
                      <w:r>
                        <w:rPr>
                          <w:rFonts w:ascii="Calibri" w:hAnsi="Calibri"/>
                          <w:b/>
                          <w:sz w:val="22"/>
                          <w:szCs w:val="22"/>
                        </w:rPr>
                        <w:t>response funding</w:t>
                      </w:r>
                    </w:p>
                    <w:p w14:paraId="2A9AF7EB" w14:textId="77777777" w:rsidR="001C5460" w:rsidRPr="00F1336C" w:rsidRDefault="001C5460" w:rsidP="000049C5">
                      <w:pPr>
                        <w:rPr>
                          <w:rFonts w:ascii="Calibri" w:hAnsi="Calibri"/>
                          <w:b/>
                          <w:sz w:val="16"/>
                          <w:szCs w:val="16"/>
                        </w:rPr>
                      </w:pPr>
                    </w:p>
                    <w:p w14:paraId="1625A8EC" w14:textId="70FD7A08" w:rsidR="001C5460" w:rsidRDefault="001C5460" w:rsidP="000049C5">
                      <w:pPr>
                        <w:rPr>
                          <w:rFonts w:ascii="Calibri" w:hAnsi="Calibri"/>
                          <w:sz w:val="22"/>
                          <w:szCs w:val="22"/>
                        </w:rPr>
                      </w:pPr>
                      <w:r w:rsidRPr="00D274AB">
                        <w:rPr>
                          <w:rFonts w:ascii="Calibri" w:hAnsi="Calibri"/>
                          <w:sz w:val="22"/>
                          <w:szCs w:val="22"/>
                        </w:rPr>
                        <w:t xml:space="preserve">The Consolidated Proposal submitted to DFAT by the Support Unit will form the basis of an </w:t>
                      </w:r>
                      <w:proofErr w:type="spellStart"/>
                      <w:r w:rsidRPr="00D274AB">
                        <w:rPr>
                          <w:rFonts w:ascii="Calibri" w:hAnsi="Calibri"/>
                          <w:sz w:val="22"/>
                          <w:szCs w:val="22"/>
                        </w:rPr>
                        <w:t>acquittable</w:t>
                      </w:r>
                      <w:proofErr w:type="spellEnd"/>
                      <w:r w:rsidRPr="00D274AB">
                        <w:rPr>
                          <w:rFonts w:ascii="Calibri" w:hAnsi="Calibri"/>
                          <w:sz w:val="22"/>
                          <w:szCs w:val="22"/>
                        </w:rPr>
                        <w:t xml:space="preserve"> grant from DFAT to </w:t>
                      </w:r>
                      <w:r>
                        <w:rPr>
                          <w:rFonts w:ascii="Calibri" w:hAnsi="Calibri"/>
                          <w:sz w:val="22"/>
                          <w:szCs w:val="22"/>
                        </w:rPr>
                        <w:t>the Support Unit</w:t>
                      </w:r>
                      <w:r w:rsidRPr="00D274AB">
                        <w:rPr>
                          <w:rFonts w:ascii="Calibri" w:hAnsi="Calibri"/>
                          <w:sz w:val="22"/>
                          <w:szCs w:val="22"/>
                        </w:rPr>
                        <w:t xml:space="preserve">. </w:t>
                      </w:r>
                      <w:r>
                        <w:rPr>
                          <w:rFonts w:ascii="Calibri" w:hAnsi="Calibri"/>
                          <w:sz w:val="22"/>
                          <w:szCs w:val="22"/>
                        </w:rPr>
                        <w:t>The Support Unit will sub-contract to the relevant HRG member NGOs identified for funding.</w:t>
                      </w:r>
                    </w:p>
                    <w:p w14:paraId="3DCE2234" w14:textId="77777777" w:rsidR="001C5460" w:rsidRPr="00F1336C" w:rsidRDefault="001C5460" w:rsidP="000B6AA7">
                      <w:pPr>
                        <w:rPr>
                          <w:rFonts w:ascii="Calibri" w:hAnsi="Calibri"/>
                          <w:sz w:val="16"/>
                          <w:szCs w:val="16"/>
                        </w:rPr>
                      </w:pPr>
                    </w:p>
                    <w:p w14:paraId="6EE09210" w14:textId="7BE60751" w:rsidR="001C5460" w:rsidRDefault="001C5460">
                      <w:r w:rsidRPr="00D274AB">
                        <w:rPr>
                          <w:rFonts w:ascii="Calibri" w:hAnsi="Calibri"/>
                          <w:sz w:val="22"/>
                          <w:szCs w:val="22"/>
                        </w:rPr>
                        <w:t xml:space="preserve">Performance and results will be linked to future funding decisions, as the Response Committees and </w:t>
                      </w:r>
                      <w:r>
                        <w:rPr>
                          <w:rFonts w:ascii="Calibri" w:hAnsi="Calibri"/>
                          <w:sz w:val="22"/>
                          <w:szCs w:val="22"/>
                        </w:rPr>
                        <w:t>T</w:t>
                      </w:r>
                      <w:r w:rsidRPr="00D274AB">
                        <w:rPr>
                          <w:rFonts w:ascii="Calibri" w:hAnsi="Calibri"/>
                          <w:sz w:val="22"/>
                          <w:szCs w:val="22"/>
                        </w:rPr>
                        <w:t xml:space="preserve">echnical </w:t>
                      </w:r>
                      <w:r>
                        <w:rPr>
                          <w:rFonts w:ascii="Calibri" w:hAnsi="Calibri"/>
                          <w:sz w:val="22"/>
                          <w:szCs w:val="22"/>
                        </w:rPr>
                        <w:t>A</w:t>
                      </w:r>
                      <w:r w:rsidRPr="00D274AB">
                        <w:rPr>
                          <w:rFonts w:ascii="Calibri" w:hAnsi="Calibri"/>
                          <w:sz w:val="22"/>
                          <w:szCs w:val="22"/>
                        </w:rPr>
                        <w:t xml:space="preserve">ssessment </w:t>
                      </w:r>
                      <w:r>
                        <w:rPr>
                          <w:rFonts w:ascii="Calibri" w:hAnsi="Calibri"/>
                          <w:sz w:val="22"/>
                          <w:szCs w:val="22"/>
                        </w:rPr>
                        <w:t>P</w:t>
                      </w:r>
                      <w:r w:rsidRPr="00D274AB">
                        <w:rPr>
                          <w:rFonts w:ascii="Calibri" w:hAnsi="Calibri"/>
                          <w:sz w:val="22"/>
                          <w:szCs w:val="22"/>
                        </w:rPr>
                        <w:t>anels will be required to consider past performance in their deliberations.</w:t>
                      </w:r>
                    </w:p>
                  </w:txbxContent>
                </v:textbox>
                <w10:wrap type="square"/>
              </v:shape>
            </w:pict>
          </mc:Fallback>
        </mc:AlternateContent>
      </w:r>
      <w:r w:rsidR="00114FE7">
        <w:rPr>
          <w:rFonts w:ascii="Calibri" w:hAnsi="Calibri"/>
        </w:rPr>
        <w:t>Through a competitive procurement process</w:t>
      </w:r>
      <w:r w:rsidR="00EA1C28" w:rsidRPr="00641D0E">
        <w:rPr>
          <w:rFonts w:ascii="Calibri" w:hAnsi="Calibri"/>
        </w:rPr>
        <w:t>,</w:t>
      </w:r>
      <w:r w:rsidR="00AE5790">
        <w:rPr>
          <w:rFonts w:ascii="Calibri" w:hAnsi="Calibri"/>
        </w:rPr>
        <w:t xml:space="preserve"> </w:t>
      </w:r>
      <w:r w:rsidR="00EA1C28" w:rsidRPr="00C335CA">
        <w:rPr>
          <w:rFonts w:ascii="Calibri" w:hAnsi="Calibri"/>
          <w:b/>
        </w:rPr>
        <w:t>4-</w:t>
      </w:r>
      <w:r w:rsidR="0052371B" w:rsidRPr="00C335CA">
        <w:rPr>
          <w:rFonts w:ascii="Calibri" w:hAnsi="Calibri"/>
          <w:b/>
        </w:rPr>
        <w:t>6</w:t>
      </w:r>
      <w:r w:rsidR="00EA1C28" w:rsidRPr="00C335CA">
        <w:rPr>
          <w:rFonts w:ascii="Calibri" w:hAnsi="Calibri"/>
          <w:b/>
        </w:rPr>
        <w:t xml:space="preserve"> </w:t>
      </w:r>
      <w:r w:rsidR="006035B0">
        <w:rPr>
          <w:rFonts w:ascii="Calibri" w:hAnsi="Calibri"/>
          <w:b/>
        </w:rPr>
        <w:t>HRG</w:t>
      </w:r>
      <w:r w:rsidR="006035B0" w:rsidRPr="00C335CA">
        <w:rPr>
          <w:rFonts w:ascii="Calibri" w:hAnsi="Calibri"/>
          <w:b/>
        </w:rPr>
        <w:t xml:space="preserve"> </w:t>
      </w:r>
      <w:r w:rsidR="00A156A9" w:rsidRPr="00C335CA">
        <w:rPr>
          <w:rFonts w:ascii="Calibri" w:hAnsi="Calibri"/>
          <w:b/>
        </w:rPr>
        <w:t xml:space="preserve">member </w:t>
      </w:r>
      <w:r w:rsidR="007D05B0" w:rsidRPr="00C335CA">
        <w:rPr>
          <w:rFonts w:ascii="Calibri" w:hAnsi="Calibri"/>
          <w:b/>
        </w:rPr>
        <w:t>NGOs</w:t>
      </w:r>
      <w:r w:rsidR="007D05B0" w:rsidRPr="00641D0E">
        <w:rPr>
          <w:rFonts w:ascii="Calibri" w:hAnsi="Calibri"/>
        </w:rPr>
        <w:t xml:space="preserve"> will be selected </w:t>
      </w:r>
      <w:r w:rsidR="00114FE7">
        <w:rPr>
          <w:rFonts w:ascii="Calibri" w:hAnsi="Calibri"/>
        </w:rPr>
        <w:t>by DFAT</w:t>
      </w:r>
      <w:r w:rsidR="008D5657">
        <w:rPr>
          <w:rFonts w:ascii="Calibri" w:hAnsi="Calibri"/>
        </w:rPr>
        <w:t xml:space="preserve"> to be eligible for </w:t>
      </w:r>
      <w:r w:rsidR="008D5657" w:rsidRPr="00C318DA">
        <w:rPr>
          <w:rFonts w:ascii="Calibri" w:hAnsi="Calibri"/>
        </w:rPr>
        <w:t>response funding</w:t>
      </w:r>
      <w:r w:rsidR="006035B0" w:rsidRPr="00C318DA">
        <w:rPr>
          <w:rFonts w:ascii="Calibri" w:hAnsi="Calibri"/>
        </w:rPr>
        <w:t xml:space="preserve"> (including early recovery)</w:t>
      </w:r>
      <w:r w:rsidR="008D5657" w:rsidRPr="00C318DA">
        <w:rPr>
          <w:rFonts w:ascii="Calibri" w:hAnsi="Calibri"/>
        </w:rPr>
        <w:t xml:space="preserve"> and </w:t>
      </w:r>
      <w:r w:rsidR="00F16C38">
        <w:rPr>
          <w:rFonts w:ascii="Calibri" w:hAnsi="Calibri"/>
        </w:rPr>
        <w:t xml:space="preserve">to receive </w:t>
      </w:r>
      <w:r w:rsidR="008D5657" w:rsidRPr="00C318DA">
        <w:rPr>
          <w:rFonts w:ascii="Calibri" w:hAnsi="Calibri"/>
        </w:rPr>
        <w:t xml:space="preserve">multi-year funding to support local </w:t>
      </w:r>
      <w:r w:rsidR="00DB6E20">
        <w:rPr>
          <w:rFonts w:ascii="Calibri" w:hAnsi="Calibri"/>
        </w:rPr>
        <w:t>humanitarian capability</w:t>
      </w:r>
      <w:r w:rsidR="008D5657" w:rsidRPr="00C318DA">
        <w:rPr>
          <w:rFonts w:ascii="Calibri" w:hAnsi="Calibri"/>
        </w:rPr>
        <w:t xml:space="preserve"> </w:t>
      </w:r>
      <w:r w:rsidR="00762FFD">
        <w:rPr>
          <w:rFonts w:ascii="Calibri" w:hAnsi="Calibri"/>
        </w:rPr>
        <w:t xml:space="preserve">and strengthen the disaster resilience of communities </w:t>
      </w:r>
      <w:r w:rsidR="008D5657" w:rsidRPr="00C318DA">
        <w:rPr>
          <w:rFonts w:ascii="Calibri" w:hAnsi="Calibri"/>
        </w:rPr>
        <w:t>in the Pacific region</w:t>
      </w:r>
      <w:r w:rsidR="00AE5790" w:rsidRPr="006035B0">
        <w:rPr>
          <w:rFonts w:ascii="Calibri" w:hAnsi="Calibri"/>
        </w:rPr>
        <w:t>.</w:t>
      </w:r>
      <w:r w:rsidR="002F2991" w:rsidRPr="00C335CA">
        <w:rPr>
          <w:rFonts w:ascii="Calibri" w:hAnsi="Calibri"/>
        </w:rPr>
        <w:t xml:space="preserve"> </w:t>
      </w:r>
      <w:r w:rsidR="00114FE7" w:rsidRPr="00C335CA">
        <w:rPr>
          <w:rFonts w:ascii="Calibri" w:hAnsi="Calibri"/>
        </w:rPr>
        <w:t xml:space="preserve"> A</w:t>
      </w:r>
      <w:r w:rsidR="007D05B0" w:rsidRPr="00641D0E">
        <w:rPr>
          <w:rFonts w:ascii="Calibri" w:hAnsi="Calibri"/>
        </w:rPr>
        <w:t xml:space="preserve">pplications </w:t>
      </w:r>
      <w:r w:rsidR="00114FE7">
        <w:rPr>
          <w:rFonts w:ascii="Calibri" w:hAnsi="Calibri"/>
        </w:rPr>
        <w:t xml:space="preserve">will be </w:t>
      </w:r>
      <w:r w:rsidR="007D05B0" w:rsidRPr="00641D0E">
        <w:rPr>
          <w:rFonts w:ascii="Calibri" w:hAnsi="Calibri"/>
        </w:rPr>
        <w:t>restricted to NGO members of the HRG</w:t>
      </w:r>
      <w:r w:rsidR="006035B0">
        <w:rPr>
          <w:rFonts w:ascii="Calibri" w:hAnsi="Calibri"/>
        </w:rPr>
        <w:t xml:space="preserve"> (consortia led by an HRG member and involving non-HRG members will be eligible to apply)</w:t>
      </w:r>
      <w:r w:rsidR="007D05B0" w:rsidRPr="00641D0E">
        <w:rPr>
          <w:rFonts w:ascii="Calibri" w:hAnsi="Calibri"/>
        </w:rPr>
        <w:t>.</w:t>
      </w:r>
      <w:r w:rsidR="00C335CA">
        <w:rPr>
          <w:rFonts w:ascii="Calibri" w:hAnsi="Calibri"/>
        </w:rPr>
        <w:t xml:space="preserve"> </w:t>
      </w:r>
      <w:r w:rsidR="002F2991" w:rsidRPr="00641D0E">
        <w:rPr>
          <w:rFonts w:ascii="Calibri" w:hAnsi="Calibri"/>
        </w:rPr>
        <w:t xml:space="preserve">The selection process will place significant emphasis on demonstrable </w:t>
      </w:r>
      <w:r w:rsidR="009215B4">
        <w:rPr>
          <w:rFonts w:ascii="Calibri" w:hAnsi="Calibri"/>
        </w:rPr>
        <w:t xml:space="preserve">humanitarian </w:t>
      </w:r>
      <w:r w:rsidR="00C335CA">
        <w:rPr>
          <w:rFonts w:ascii="Calibri" w:hAnsi="Calibri"/>
        </w:rPr>
        <w:t>capabilities</w:t>
      </w:r>
      <w:r w:rsidR="009215B4">
        <w:rPr>
          <w:rFonts w:ascii="Calibri" w:hAnsi="Calibri"/>
        </w:rPr>
        <w:t xml:space="preserve"> </w:t>
      </w:r>
      <w:r w:rsidR="00C335CA">
        <w:rPr>
          <w:rFonts w:ascii="Calibri" w:hAnsi="Calibri"/>
        </w:rPr>
        <w:t>and on existing</w:t>
      </w:r>
      <w:r w:rsidR="00C335CA" w:rsidRPr="00641D0E">
        <w:rPr>
          <w:rFonts w:ascii="Calibri" w:hAnsi="Calibri"/>
        </w:rPr>
        <w:t xml:space="preserve"> presence and capacity in </w:t>
      </w:r>
      <w:r w:rsidR="00C335CA">
        <w:rPr>
          <w:rFonts w:ascii="Calibri" w:hAnsi="Calibri"/>
        </w:rPr>
        <w:t>Pacific island countries, in line with the five 'domains of capability' outlined above.</w:t>
      </w:r>
      <w:r w:rsidR="00C335CA" w:rsidRPr="00C335CA">
        <w:rPr>
          <w:rStyle w:val="FootnoteReference"/>
          <w:szCs w:val="16"/>
        </w:rPr>
        <w:t xml:space="preserve"> </w:t>
      </w:r>
      <w:r w:rsidR="00C335CA" w:rsidRPr="009B30AC">
        <w:rPr>
          <w:rStyle w:val="FootnoteReference"/>
          <w:szCs w:val="16"/>
        </w:rPr>
        <w:footnoteReference w:id="49"/>
      </w:r>
      <w:r w:rsidR="00C335CA">
        <w:rPr>
          <w:rFonts w:ascii="Calibri" w:hAnsi="Calibri"/>
        </w:rPr>
        <w:t xml:space="preserve"> </w:t>
      </w:r>
    </w:p>
    <w:p w14:paraId="7C480C37" w14:textId="77777777" w:rsidR="002F2991" w:rsidRPr="00641D0E" w:rsidRDefault="002F2991" w:rsidP="00A67DC0">
      <w:pPr>
        <w:jc w:val="both"/>
        <w:rPr>
          <w:rFonts w:ascii="Calibri" w:hAnsi="Calibri"/>
        </w:rPr>
      </w:pPr>
    </w:p>
    <w:p w14:paraId="53D6FE86" w14:textId="031F828A" w:rsidR="00F90EE7" w:rsidRPr="00641D0E" w:rsidRDefault="00CF3B49" w:rsidP="00A67DC0">
      <w:pPr>
        <w:spacing w:after="240"/>
        <w:jc w:val="both"/>
        <w:rPr>
          <w:rFonts w:ascii="Calibri" w:hAnsi="Calibri"/>
        </w:rPr>
      </w:pPr>
      <w:r>
        <w:rPr>
          <w:rFonts w:ascii="Calibri" w:hAnsi="Calibri"/>
        </w:rPr>
        <w:t>A</w:t>
      </w:r>
      <w:r w:rsidR="00FD75E8" w:rsidRPr="00641D0E">
        <w:rPr>
          <w:rFonts w:ascii="Calibri" w:hAnsi="Calibri"/>
        </w:rPr>
        <w:t xml:space="preserve">ll HRG </w:t>
      </w:r>
      <w:r w:rsidR="00DC1F32">
        <w:rPr>
          <w:rFonts w:ascii="Calibri" w:hAnsi="Calibri"/>
        </w:rPr>
        <w:t xml:space="preserve">member </w:t>
      </w:r>
      <w:r w:rsidR="00FD75E8" w:rsidRPr="00641D0E">
        <w:rPr>
          <w:rFonts w:ascii="Calibri" w:hAnsi="Calibri"/>
        </w:rPr>
        <w:t>NGOs</w:t>
      </w:r>
      <w:r w:rsidR="00F90EE7" w:rsidRPr="00641D0E">
        <w:rPr>
          <w:rFonts w:ascii="Calibri" w:hAnsi="Calibri"/>
        </w:rPr>
        <w:t xml:space="preserve"> have demonstrated their commitment to coordinated humanitarian action over many years through their participation in the HRG. The successful operation of the HPA demonstrates there is more-than sufficient market capacity to implement the Australian Government's humanitarian response programming among members of the HRG. </w:t>
      </w:r>
    </w:p>
    <w:p w14:paraId="79EF4CF1" w14:textId="77777777" w:rsidR="003F4C1E" w:rsidRPr="00641D0E" w:rsidRDefault="003F4C1E" w:rsidP="00A67DC0">
      <w:pPr>
        <w:spacing w:after="240"/>
        <w:jc w:val="both"/>
        <w:rPr>
          <w:rFonts w:ascii="Calibri" w:hAnsi="Calibri"/>
        </w:rPr>
      </w:pPr>
      <w:r w:rsidRPr="00641D0E">
        <w:rPr>
          <w:rFonts w:ascii="Calibri" w:hAnsi="Calibri"/>
        </w:rPr>
        <w:t>The follo</w:t>
      </w:r>
      <w:r w:rsidR="00FD222F" w:rsidRPr="00641D0E">
        <w:rPr>
          <w:rFonts w:ascii="Calibri" w:hAnsi="Calibri"/>
        </w:rPr>
        <w:t xml:space="preserve">wing is an </w:t>
      </w:r>
      <w:r w:rsidR="00FD222F" w:rsidRPr="008D5657">
        <w:rPr>
          <w:rFonts w:ascii="Calibri" w:hAnsi="Calibri"/>
          <w:b/>
        </w:rPr>
        <w:t xml:space="preserve">indicative </w:t>
      </w:r>
      <w:r w:rsidR="00331C1F" w:rsidRPr="008D5657">
        <w:rPr>
          <w:rFonts w:ascii="Calibri" w:hAnsi="Calibri"/>
          <w:b/>
        </w:rPr>
        <w:t>schedule</w:t>
      </w:r>
      <w:r w:rsidRPr="008D5657">
        <w:rPr>
          <w:rFonts w:ascii="Calibri" w:hAnsi="Calibri"/>
          <w:b/>
        </w:rPr>
        <w:t xml:space="preserve"> of procurement processes</w:t>
      </w:r>
      <w:r w:rsidRPr="00641D0E">
        <w:rPr>
          <w:rFonts w:ascii="Calibri" w:hAnsi="Calibri"/>
        </w:rPr>
        <w:t xml:space="preserve"> for the Australia</w:t>
      </w:r>
      <w:r w:rsidR="00DC1F32">
        <w:rPr>
          <w:rFonts w:ascii="Calibri" w:hAnsi="Calibri"/>
        </w:rPr>
        <w:t>n</w:t>
      </w:r>
      <w:r w:rsidRPr="00641D0E">
        <w:rPr>
          <w:rFonts w:ascii="Calibri" w:hAnsi="Calibri"/>
        </w:rPr>
        <w:t xml:space="preserve"> </w:t>
      </w:r>
      <w:r w:rsidR="00DE0925">
        <w:rPr>
          <w:rFonts w:ascii="Calibri" w:hAnsi="Calibri"/>
        </w:rPr>
        <w:t>Humanitarian Partnership</w:t>
      </w:r>
      <w:r w:rsidRPr="00641D0E">
        <w:rPr>
          <w:rFonts w:ascii="Calibri" w:hAnsi="Calibri"/>
        </w:rPr>
        <w:t>.</w:t>
      </w:r>
    </w:p>
    <w:tbl>
      <w:tblPr>
        <w:tblStyle w:val="TableGrid"/>
        <w:tblW w:w="8354" w:type="dxa"/>
        <w:tblLayout w:type="fixed"/>
        <w:tblLook w:val="04A0" w:firstRow="1" w:lastRow="0" w:firstColumn="1" w:lastColumn="0" w:noHBand="0" w:noVBand="1"/>
      </w:tblPr>
      <w:tblGrid>
        <w:gridCol w:w="6345"/>
        <w:gridCol w:w="402"/>
        <w:gridCol w:w="402"/>
        <w:gridCol w:w="401"/>
        <w:gridCol w:w="402"/>
        <w:gridCol w:w="402"/>
      </w:tblGrid>
      <w:tr w:rsidR="00DE0925" w:rsidRPr="00641D0E" w14:paraId="57DB939E" w14:textId="77777777" w:rsidTr="00C318DA">
        <w:tc>
          <w:tcPr>
            <w:tcW w:w="6345" w:type="dxa"/>
          </w:tcPr>
          <w:p w14:paraId="6C67B9D3" w14:textId="77777777" w:rsidR="00DE0925" w:rsidRPr="00641D0E" w:rsidRDefault="00DE0925" w:rsidP="00A67DC0">
            <w:pPr>
              <w:jc w:val="both"/>
              <w:rPr>
                <w:rFonts w:ascii="Calibri" w:hAnsi="Calibri"/>
                <w:b/>
              </w:rPr>
            </w:pPr>
            <w:r>
              <w:rPr>
                <w:rFonts w:ascii="Calibri" w:hAnsi="Calibri"/>
                <w:b/>
              </w:rPr>
              <w:t>March</w:t>
            </w:r>
            <w:r w:rsidRPr="00641D0E">
              <w:rPr>
                <w:rFonts w:ascii="Calibri" w:hAnsi="Calibri"/>
                <w:b/>
              </w:rPr>
              <w:t xml:space="preserve"> – </w:t>
            </w:r>
            <w:r>
              <w:rPr>
                <w:rFonts w:ascii="Calibri" w:hAnsi="Calibri"/>
                <w:b/>
              </w:rPr>
              <w:t>July</w:t>
            </w:r>
            <w:r w:rsidRPr="00641D0E">
              <w:rPr>
                <w:rFonts w:ascii="Calibri" w:hAnsi="Calibri"/>
                <w:b/>
              </w:rPr>
              <w:t xml:space="preserve"> 2016</w:t>
            </w:r>
          </w:p>
        </w:tc>
        <w:tc>
          <w:tcPr>
            <w:tcW w:w="402" w:type="dxa"/>
          </w:tcPr>
          <w:p w14:paraId="6250D2A7" w14:textId="77777777" w:rsidR="00DE0925" w:rsidRPr="00641D0E" w:rsidRDefault="00DE0925" w:rsidP="00A67DC0">
            <w:pPr>
              <w:jc w:val="both"/>
              <w:rPr>
                <w:rFonts w:ascii="Calibri" w:hAnsi="Calibri"/>
                <w:b/>
              </w:rPr>
            </w:pPr>
            <w:r w:rsidRPr="00641D0E">
              <w:rPr>
                <w:rFonts w:ascii="Calibri" w:hAnsi="Calibri"/>
                <w:b/>
              </w:rPr>
              <w:t>M</w:t>
            </w:r>
          </w:p>
        </w:tc>
        <w:tc>
          <w:tcPr>
            <w:tcW w:w="402" w:type="dxa"/>
          </w:tcPr>
          <w:p w14:paraId="51AE4C60" w14:textId="77777777" w:rsidR="00DE0925" w:rsidRPr="00641D0E" w:rsidRDefault="00DE0925" w:rsidP="00A67DC0">
            <w:pPr>
              <w:jc w:val="both"/>
              <w:rPr>
                <w:rFonts w:ascii="Calibri" w:hAnsi="Calibri"/>
                <w:b/>
              </w:rPr>
            </w:pPr>
            <w:r w:rsidRPr="00641D0E">
              <w:rPr>
                <w:rFonts w:ascii="Calibri" w:hAnsi="Calibri"/>
                <w:b/>
              </w:rPr>
              <w:t>A</w:t>
            </w:r>
          </w:p>
        </w:tc>
        <w:tc>
          <w:tcPr>
            <w:tcW w:w="401" w:type="dxa"/>
          </w:tcPr>
          <w:p w14:paraId="26B4D472" w14:textId="77777777" w:rsidR="00DE0925" w:rsidRPr="00641D0E" w:rsidRDefault="00DE0925" w:rsidP="00A67DC0">
            <w:pPr>
              <w:jc w:val="both"/>
              <w:rPr>
                <w:rFonts w:ascii="Calibri" w:hAnsi="Calibri"/>
                <w:b/>
              </w:rPr>
            </w:pPr>
            <w:r w:rsidRPr="00641D0E">
              <w:rPr>
                <w:rFonts w:ascii="Calibri" w:hAnsi="Calibri"/>
                <w:b/>
              </w:rPr>
              <w:t>M</w:t>
            </w:r>
          </w:p>
        </w:tc>
        <w:tc>
          <w:tcPr>
            <w:tcW w:w="402" w:type="dxa"/>
          </w:tcPr>
          <w:p w14:paraId="0246DD87" w14:textId="77777777" w:rsidR="00DE0925" w:rsidRPr="00641D0E" w:rsidRDefault="00DE0925" w:rsidP="00A67DC0">
            <w:pPr>
              <w:jc w:val="both"/>
              <w:rPr>
                <w:rFonts w:ascii="Calibri" w:hAnsi="Calibri"/>
                <w:b/>
              </w:rPr>
            </w:pPr>
            <w:r w:rsidRPr="00641D0E">
              <w:rPr>
                <w:rFonts w:ascii="Calibri" w:hAnsi="Calibri"/>
                <w:b/>
              </w:rPr>
              <w:t>J</w:t>
            </w:r>
          </w:p>
        </w:tc>
        <w:tc>
          <w:tcPr>
            <w:tcW w:w="402" w:type="dxa"/>
          </w:tcPr>
          <w:p w14:paraId="73AD3BC9" w14:textId="77777777" w:rsidR="00DE0925" w:rsidRPr="00641D0E" w:rsidRDefault="00DE0925" w:rsidP="00A67DC0">
            <w:pPr>
              <w:jc w:val="both"/>
              <w:rPr>
                <w:rFonts w:ascii="Calibri" w:hAnsi="Calibri"/>
                <w:b/>
              </w:rPr>
            </w:pPr>
            <w:r w:rsidRPr="00641D0E">
              <w:rPr>
                <w:rFonts w:ascii="Calibri" w:hAnsi="Calibri"/>
                <w:b/>
              </w:rPr>
              <w:t>J</w:t>
            </w:r>
          </w:p>
        </w:tc>
      </w:tr>
      <w:tr w:rsidR="00DE0925" w:rsidRPr="00641D0E" w14:paraId="43A180F7" w14:textId="77777777" w:rsidTr="00C318DA">
        <w:tc>
          <w:tcPr>
            <w:tcW w:w="6345" w:type="dxa"/>
          </w:tcPr>
          <w:p w14:paraId="1DBB0013" w14:textId="77777777" w:rsidR="00DE0925" w:rsidRPr="008D5657" w:rsidRDefault="00DE0925" w:rsidP="00C23DFB">
            <w:pPr>
              <w:jc w:val="both"/>
              <w:rPr>
                <w:rFonts w:ascii="Calibri" w:hAnsi="Calibri"/>
                <w:sz w:val="22"/>
                <w:szCs w:val="22"/>
              </w:rPr>
            </w:pPr>
            <w:r w:rsidRPr="008D5657">
              <w:rPr>
                <w:rFonts w:ascii="Calibri" w:hAnsi="Calibri"/>
                <w:sz w:val="22"/>
                <w:szCs w:val="22"/>
              </w:rPr>
              <w:t>DFAT approves Investment Design</w:t>
            </w:r>
          </w:p>
        </w:tc>
        <w:tc>
          <w:tcPr>
            <w:tcW w:w="402" w:type="dxa"/>
          </w:tcPr>
          <w:p w14:paraId="29FE8D0E" w14:textId="77777777" w:rsidR="00DE0925" w:rsidRPr="008D5657" w:rsidRDefault="00DE0925" w:rsidP="00A67DC0">
            <w:pPr>
              <w:jc w:val="both"/>
              <w:rPr>
                <w:rFonts w:ascii="Calibri" w:hAnsi="Calibri"/>
                <w:sz w:val="22"/>
                <w:szCs w:val="22"/>
              </w:rPr>
            </w:pPr>
            <w:r>
              <w:rPr>
                <w:rFonts w:ascii="Calibri" w:hAnsi="Calibri"/>
                <w:sz w:val="22"/>
                <w:szCs w:val="22"/>
              </w:rPr>
              <w:t>x</w:t>
            </w:r>
          </w:p>
        </w:tc>
        <w:tc>
          <w:tcPr>
            <w:tcW w:w="402" w:type="dxa"/>
          </w:tcPr>
          <w:p w14:paraId="257615C0" w14:textId="77777777" w:rsidR="00DE0925" w:rsidRPr="008D5657" w:rsidRDefault="00DE0925" w:rsidP="00A67DC0">
            <w:pPr>
              <w:jc w:val="both"/>
              <w:rPr>
                <w:rFonts w:ascii="Calibri" w:hAnsi="Calibri"/>
                <w:sz w:val="22"/>
                <w:szCs w:val="22"/>
              </w:rPr>
            </w:pPr>
          </w:p>
        </w:tc>
        <w:tc>
          <w:tcPr>
            <w:tcW w:w="401" w:type="dxa"/>
          </w:tcPr>
          <w:p w14:paraId="3E2D1B0D" w14:textId="77777777" w:rsidR="00DE0925" w:rsidRPr="008D5657" w:rsidRDefault="00DE0925" w:rsidP="00A67DC0">
            <w:pPr>
              <w:jc w:val="both"/>
              <w:rPr>
                <w:rFonts w:ascii="Calibri" w:hAnsi="Calibri"/>
                <w:sz w:val="22"/>
                <w:szCs w:val="22"/>
              </w:rPr>
            </w:pPr>
          </w:p>
        </w:tc>
        <w:tc>
          <w:tcPr>
            <w:tcW w:w="402" w:type="dxa"/>
          </w:tcPr>
          <w:p w14:paraId="63739351" w14:textId="77777777" w:rsidR="00DE0925" w:rsidRPr="008D5657" w:rsidRDefault="00DE0925" w:rsidP="00A67DC0">
            <w:pPr>
              <w:jc w:val="both"/>
              <w:rPr>
                <w:rFonts w:ascii="Calibri" w:hAnsi="Calibri"/>
                <w:sz w:val="22"/>
                <w:szCs w:val="22"/>
              </w:rPr>
            </w:pPr>
          </w:p>
        </w:tc>
        <w:tc>
          <w:tcPr>
            <w:tcW w:w="402" w:type="dxa"/>
          </w:tcPr>
          <w:p w14:paraId="63E78335" w14:textId="77777777" w:rsidR="00DE0925" w:rsidRPr="008D5657" w:rsidRDefault="00DE0925" w:rsidP="00A67DC0">
            <w:pPr>
              <w:jc w:val="both"/>
              <w:rPr>
                <w:rFonts w:ascii="Calibri" w:hAnsi="Calibri"/>
                <w:sz w:val="22"/>
                <w:szCs w:val="22"/>
              </w:rPr>
            </w:pPr>
          </w:p>
        </w:tc>
      </w:tr>
      <w:tr w:rsidR="00DE0925" w:rsidRPr="00641D0E" w14:paraId="64B2AD6F" w14:textId="77777777" w:rsidTr="00C318DA">
        <w:tc>
          <w:tcPr>
            <w:tcW w:w="6345" w:type="dxa"/>
          </w:tcPr>
          <w:p w14:paraId="25DD4F1C" w14:textId="77777777" w:rsidR="00DE0925" w:rsidRPr="008D5657" w:rsidRDefault="00DE0925" w:rsidP="00C23DFB">
            <w:pPr>
              <w:jc w:val="both"/>
              <w:rPr>
                <w:rFonts w:ascii="Calibri" w:hAnsi="Calibri"/>
                <w:sz w:val="22"/>
                <w:szCs w:val="22"/>
              </w:rPr>
            </w:pPr>
            <w:r w:rsidRPr="008D5657">
              <w:rPr>
                <w:rFonts w:ascii="Calibri" w:hAnsi="Calibri"/>
                <w:sz w:val="22"/>
                <w:szCs w:val="22"/>
              </w:rPr>
              <w:t xml:space="preserve">Draft procurement documentation prepared by </w:t>
            </w:r>
            <w:r w:rsidR="00B90BFE">
              <w:rPr>
                <w:rFonts w:ascii="Calibri" w:hAnsi="Calibri"/>
                <w:sz w:val="22"/>
                <w:szCs w:val="22"/>
              </w:rPr>
              <w:t xml:space="preserve">DFAT and the </w:t>
            </w:r>
            <w:r w:rsidRPr="008D5657">
              <w:rPr>
                <w:rFonts w:ascii="Calibri" w:hAnsi="Calibri"/>
                <w:sz w:val="22"/>
                <w:szCs w:val="22"/>
              </w:rPr>
              <w:t>Design Team</w:t>
            </w:r>
          </w:p>
        </w:tc>
        <w:tc>
          <w:tcPr>
            <w:tcW w:w="402" w:type="dxa"/>
          </w:tcPr>
          <w:p w14:paraId="3630B4AC" w14:textId="77777777" w:rsidR="00DE0925" w:rsidRPr="008D5657" w:rsidRDefault="00DE0925" w:rsidP="00A67DC0">
            <w:pPr>
              <w:jc w:val="both"/>
              <w:rPr>
                <w:rFonts w:ascii="Calibri" w:hAnsi="Calibri"/>
                <w:sz w:val="22"/>
                <w:szCs w:val="22"/>
              </w:rPr>
            </w:pPr>
            <w:r>
              <w:rPr>
                <w:rFonts w:ascii="Calibri" w:hAnsi="Calibri"/>
                <w:sz w:val="22"/>
                <w:szCs w:val="22"/>
              </w:rPr>
              <w:t>x</w:t>
            </w:r>
          </w:p>
        </w:tc>
        <w:tc>
          <w:tcPr>
            <w:tcW w:w="402" w:type="dxa"/>
          </w:tcPr>
          <w:p w14:paraId="058FF99D" w14:textId="77777777" w:rsidR="00DE0925" w:rsidRPr="008D5657" w:rsidRDefault="00CF3B49" w:rsidP="00A67DC0">
            <w:pPr>
              <w:jc w:val="both"/>
              <w:rPr>
                <w:rFonts w:ascii="Calibri" w:hAnsi="Calibri"/>
                <w:sz w:val="22"/>
                <w:szCs w:val="22"/>
              </w:rPr>
            </w:pPr>
            <w:r>
              <w:rPr>
                <w:rFonts w:ascii="Calibri" w:hAnsi="Calibri"/>
                <w:sz w:val="22"/>
                <w:szCs w:val="22"/>
              </w:rPr>
              <w:t>x</w:t>
            </w:r>
          </w:p>
        </w:tc>
        <w:tc>
          <w:tcPr>
            <w:tcW w:w="401" w:type="dxa"/>
          </w:tcPr>
          <w:p w14:paraId="7F67A850" w14:textId="77777777" w:rsidR="00DE0925" w:rsidRPr="008D5657" w:rsidRDefault="00DE0925" w:rsidP="00A67DC0">
            <w:pPr>
              <w:jc w:val="both"/>
              <w:rPr>
                <w:rFonts w:ascii="Calibri" w:hAnsi="Calibri"/>
                <w:sz w:val="22"/>
                <w:szCs w:val="22"/>
              </w:rPr>
            </w:pPr>
          </w:p>
        </w:tc>
        <w:tc>
          <w:tcPr>
            <w:tcW w:w="402" w:type="dxa"/>
          </w:tcPr>
          <w:p w14:paraId="46B112AD" w14:textId="77777777" w:rsidR="00DE0925" w:rsidRPr="008D5657" w:rsidRDefault="00DE0925" w:rsidP="00A67DC0">
            <w:pPr>
              <w:jc w:val="both"/>
              <w:rPr>
                <w:rFonts w:ascii="Calibri" w:hAnsi="Calibri"/>
                <w:sz w:val="22"/>
                <w:szCs w:val="22"/>
              </w:rPr>
            </w:pPr>
          </w:p>
        </w:tc>
        <w:tc>
          <w:tcPr>
            <w:tcW w:w="402" w:type="dxa"/>
          </w:tcPr>
          <w:p w14:paraId="12265C61" w14:textId="77777777" w:rsidR="00DE0925" w:rsidRPr="008D5657" w:rsidRDefault="00DE0925" w:rsidP="00A67DC0">
            <w:pPr>
              <w:jc w:val="both"/>
              <w:rPr>
                <w:rFonts w:ascii="Calibri" w:hAnsi="Calibri"/>
                <w:sz w:val="22"/>
                <w:szCs w:val="22"/>
              </w:rPr>
            </w:pPr>
          </w:p>
        </w:tc>
      </w:tr>
      <w:tr w:rsidR="00DE0925" w:rsidRPr="00641D0E" w14:paraId="6206EB71" w14:textId="77777777" w:rsidTr="00C318DA">
        <w:tc>
          <w:tcPr>
            <w:tcW w:w="6345" w:type="dxa"/>
          </w:tcPr>
          <w:p w14:paraId="35B45E01" w14:textId="77777777" w:rsidR="00DE0925" w:rsidRPr="008D5657" w:rsidRDefault="00DE0925" w:rsidP="00C23DFB">
            <w:pPr>
              <w:jc w:val="both"/>
              <w:rPr>
                <w:rFonts w:ascii="Calibri" w:hAnsi="Calibri"/>
                <w:sz w:val="22"/>
                <w:szCs w:val="22"/>
              </w:rPr>
            </w:pPr>
            <w:r w:rsidRPr="008D5657">
              <w:rPr>
                <w:rFonts w:ascii="Calibri" w:hAnsi="Calibri"/>
                <w:sz w:val="22"/>
                <w:szCs w:val="22"/>
              </w:rPr>
              <w:t>Procurement documentation finalised by DFAT</w:t>
            </w:r>
          </w:p>
        </w:tc>
        <w:tc>
          <w:tcPr>
            <w:tcW w:w="402" w:type="dxa"/>
          </w:tcPr>
          <w:p w14:paraId="63872EAB" w14:textId="77777777" w:rsidR="00DE0925" w:rsidRPr="00405EE8" w:rsidRDefault="00DE0925" w:rsidP="00A67DC0">
            <w:pPr>
              <w:jc w:val="both"/>
              <w:rPr>
                <w:rFonts w:ascii="Calibri" w:hAnsi="Calibri"/>
                <w:sz w:val="22"/>
                <w:szCs w:val="22"/>
              </w:rPr>
            </w:pPr>
          </w:p>
        </w:tc>
        <w:tc>
          <w:tcPr>
            <w:tcW w:w="402" w:type="dxa"/>
          </w:tcPr>
          <w:p w14:paraId="54163BF3" w14:textId="77777777" w:rsidR="00DE0925" w:rsidRPr="00405EE8" w:rsidRDefault="00DE0925" w:rsidP="00A67DC0">
            <w:pPr>
              <w:jc w:val="both"/>
              <w:rPr>
                <w:rFonts w:ascii="Calibri" w:hAnsi="Calibri"/>
                <w:sz w:val="22"/>
                <w:szCs w:val="22"/>
              </w:rPr>
            </w:pPr>
            <w:r w:rsidRPr="00405EE8">
              <w:rPr>
                <w:rFonts w:ascii="Calibri" w:hAnsi="Calibri"/>
                <w:sz w:val="22"/>
                <w:szCs w:val="22"/>
              </w:rPr>
              <w:t>x</w:t>
            </w:r>
          </w:p>
        </w:tc>
        <w:tc>
          <w:tcPr>
            <w:tcW w:w="401" w:type="dxa"/>
          </w:tcPr>
          <w:p w14:paraId="7406AD58" w14:textId="77777777" w:rsidR="00DE0925" w:rsidRPr="008D5657" w:rsidRDefault="00CF3B49" w:rsidP="00A67DC0">
            <w:pPr>
              <w:jc w:val="both"/>
              <w:rPr>
                <w:rFonts w:ascii="Calibri" w:hAnsi="Calibri"/>
                <w:sz w:val="22"/>
                <w:szCs w:val="22"/>
              </w:rPr>
            </w:pPr>
            <w:r>
              <w:rPr>
                <w:rFonts w:ascii="Calibri" w:hAnsi="Calibri"/>
                <w:sz w:val="22"/>
                <w:szCs w:val="22"/>
              </w:rPr>
              <w:t>x</w:t>
            </w:r>
          </w:p>
        </w:tc>
        <w:tc>
          <w:tcPr>
            <w:tcW w:w="402" w:type="dxa"/>
          </w:tcPr>
          <w:p w14:paraId="3F350187" w14:textId="77777777" w:rsidR="00DE0925" w:rsidRPr="008D5657" w:rsidRDefault="00DE0925" w:rsidP="00A67DC0">
            <w:pPr>
              <w:jc w:val="both"/>
              <w:rPr>
                <w:rFonts w:ascii="Calibri" w:hAnsi="Calibri"/>
                <w:sz w:val="22"/>
                <w:szCs w:val="22"/>
              </w:rPr>
            </w:pPr>
          </w:p>
        </w:tc>
        <w:tc>
          <w:tcPr>
            <w:tcW w:w="402" w:type="dxa"/>
          </w:tcPr>
          <w:p w14:paraId="6F887BEB" w14:textId="77777777" w:rsidR="00DE0925" w:rsidRPr="008D5657" w:rsidRDefault="00DE0925" w:rsidP="00A67DC0">
            <w:pPr>
              <w:jc w:val="both"/>
              <w:rPr>
                <w:rFonts w:ascii="Calibri" w:hAnsi="Calibri"/>
                <w:sz w:val="22"/>
                <w:szCs w:val="22"/>
              </w:rPr>
            </w:pPr>
          </w:p>
        </w:tc>
      </w:tr>
      <w:tr w:rsidR="00DE0925" w:rsidRPr="00641D0E" w14:paraId="776D454A" w14:textId="77777777" w:rsidTr="00C318DA">
        <w:tc>
          <w:tcPr>
            <w:tcW w:w="6345" w:type="dxa"/>
          </w:tcPr>
          <w:p w14:paraId="0E5863E2" w14:textId="77777777" w:rsidR="00DE0925" w:rsidRPr="008D5657" w:rsidRDefault="00DE0925" w:rsidP="00C23DFB">
            <w:pPr>
              <w:jc w:val="both"/>
              <w:rPr>
                <w:rFonts w:ascii="Calibri" w:hAnsi="Calibri"/>
                <w:sz w:val="22"/>
                <w:szCs w:val="22"/>
              </w:rPr>
            </w:pPr>
            <w:r w:rsidRPr="008D5657">
              <w:rPr>
                <w:rFonts w:ascii="Calibri" w:hAnsi="Calibri"/>
                <w:sz w:val="22"/>
                <w:szCs w:val="22"/>
              </w:rPr>
              <w:t>Competitive procurement call for submission of statements of capability by HRG members</w:t>
            </w:r>
          </w:p>
        </w:tc>
        <w:tc>
          <w:tcPr>
            <w:tcW w:w="402" w:type="dxa"/>
          </w:tcPr>
          <w:p w14:paraId="6FFC9B88" w14:textId="77777777" w:rsidR="00DE0925" w:rsidRPr="003E0481" w:rsidRDefault="00DE0925" w:rsidP="00A67DC0">
            <w:pPr>
              <w:jc w:val="both"/>
              <w:rPr>
                <w:rFonts w:ascii="Calibri" w:hAnsi="Calibri"/>
                <w:sz w:val="22"/>
                <w:szCs w:val="22"/>
                <w:highlight w:val="yellow"/>
              </w:rPr>
            </w:pPr>
          </w:p>
        </w:tc>
        <w:tc>
          <w:tcPr>
            <w:tcW w:w="402" w:type="dxa"/>
          </w:tcPr>
          <w:p w14:paraId="48E7A6B8" w14:textId="77777777" w:rsidR="00DE0925" w:rsidRPr="003E0481" w:rsidRDefault="00DE0925" w:rsidP="00A67DC0">
            <w:pPr>
              <w:jc w:val="both"/>
              <w:rPr>
                <w:rFonts w:ascii="Calibri" w:hAnsi="Calibri"/>
                <w:sz w:val="22"/>
                <w:szCs w:val="22"/>
                <w:highlight w:val="yellow"/>
              </w:rPr>
            </w:pPr>
          </w:p>
        </w:tc>
        <w:tc>
          <w:tcPr>
            <w:tcW w:w="401" w:type="dxa"/>
          </w:tcPr>
          <w:p w14:paraId="79F3B37D" w14:textId="77777777" w:rsidR="00DE0925" w:rsidRPr="008D5657" w:rsidRDefault="00DE0925" w:rsidP="00A67DC0">
            <w:pPr>
              <w:jc w:val="both"/>
              <w:rPr>
                <w:rFonts w:ascii="Calibri" w:hAnsi="Calibri"/>
                <w:sz w:val="22"/>
                <w:szCs w:val="22"/>
              </w:rPr>
            </w:pPr>
            <w:r>
              <w:rPr>
                <w:rFonts w:ascii="Calibri" w:hAnsi="Calibri"/>
                <w:sz w:val="22"/>
                <w:szCs w:val="22"/>
              </w:rPr>
              <w:t>x</w:t>
            </w:r>
          </w:p>
        </w:tc>
        <w:tc>
          <w:tcPr>
            <w:tcW w:w="402" w:type="dxa"/>
          </w:tcPr>
          <w:p w14:paraId="1539A9AA" w14:textId="77777777" w:rsidR="00DE0925" w:rsidRPr="008D5657" w:rsidRDefault="00DE0925" w:rsidP="00A67DC0">
            <w:pPr>
              <w:jc w:val="both"/>
              <w:rPr>
                <w:rFonts w:ascii="Calibri" w:hAnsi="Calibri"/>
                <w:sz w:val="22"/>
                <w:szCs w:val="22"/>
              </w:rPr>
            </w:pPr>
          </w:p>
        </w:tc>
        <w:tc>
          <w:tcPr>
            <w:tcW w:w="402" w:type="dxa"/>
          </w:tcPr>
          <w:p w14:paraId="602E9DEC" w14:textId="77777777" w:rsidR="00DE0925" w:rsidRPr="008D5657" w:rsidRDefault="00DE0925" w:rsidP="00A67DC0">
            <w:pPr>
              <w:jc w:val="both"/>
              <w:rPr>
                <w:rFonts w:ascii="Calibri" w:hAnsi="Calibri"/>
                <w:sz w:val="22"/>
                <w:szCs w:val="22"/>
              </w:rPr>
            </w:pPr>
          </w:p>
        </w:tc>
      </w:tr>
      <w:tr w:rsidR="00DE0925" w:rsidRPr="00641D0E" w14:paraId="60DC116A" w14:textId="77777777" w:rsidTr="00C318DA">
        <w:tc>
          <w:tcPr>
            <w:tcW w:w="6345" w:type="dxa"/>
          </w:tcPr>
          <w:p w14:paraId="360830ED" w14:textId="1090B2D9" w:rsidR="00DE0925" w:rsidRPr="008D5657" w:rsidRDefault="00D268A7" w:rsidP="00D268A7">
            <w:pPr>
              <w:jc w:val="both"/>
              <w:rPr>
                <w:rFonts w:ascii="Calibri" w:hAnsi="Calibri"/>
                <w:sz w:val="22"/>
                <w:szCs w:val="22"/>
              </w:rPr>
            </w:pPr>
            <w:r>
              <w:rPr>
                <w:rFonts w:ascii="Calibri" w:hAnsi="Calibri"/>
                <w:sz w:val="22"/>
                <w:szCs w:val="22"/>
              </w:rPr>
              <w:t>Competitive procurement call for submission of statements by organisations to host the Support Unit</w:t>
            </w:r>
          </w:p>
        </w:tc>
        <w:tc>
          <w:tcPr>
            <w:tcW w:w="402" w:type="dxa"/>
          </w:tcPr>
          <w:p w14:paraId="7349D67A" w14:textId="77777777" w:rsidR="00DE0925" w:rsidRPr="003E0481" w:rsidRDefault="00DE0925" w:rsidP="00A67DC0">
            <w:pPr>
              <w:jc w:val="both"/>
              <w:rPr>
                <w:rFonts w:ascii="Calibri" w:hAnsi="Calibri"/>
                <w:sz w:val="22"/>
                <w:szCs w:val="22"/>
                <w:highlight w:val="yellow"/>
              </w:rPr>
            </w:pPr>
          </w:p>
        </w:tc>
        <w:tc>
          <w:tcPr>
            <w:tcW w:w="402" w:type="dxa"/>
          </w:tcPr>
          <w:p w14:paraId="72B5F31D" w14:textId="77777777" w:rsidR="00DE0925" w:rsidRPr="003E0481" w:rsidRDefault="00DE0925" w:rsidP="00A67DC0">
            <w:pPr>
              <w:jc w:val="both"/>
              <w:rPr>
                <w:rFonts w:ascii="Calibri" w:hAnsi="Calibri"/>
                <w:sz w:val="22"/>
                <w:szCs w:val="22"/>
                <w:highlight w:val="yellow"/>
              </w:rPr>
            </w:pPr>
          </w:p>
        </w:tc>
        <w:tc>
          <w:tcPr>
            <w:tcW w:w="401" w:type="dxa"/>
          </w:tcPr>
          <w:p w14:paraId="493C95D9" w14:textId="77777777" w:rsidR="00DE0925" w:rsidRPr="008D5657" w:rsidRDefault="00DE0925" w:rsidP="00A67DC0">
            <w:pPr>
              <w:jc w:val="both"/>
              <w:rPr>
                <w:rFonts w:ascii="Calibri" w:hAnsi="Calibri"/>
                <w:sz w:val="22"/>
                <w:szCs w:val="22"/>
              </w:rPr>
            </w:pPr>
            <w:r>
              <w:rPr>
                <w:rFonts w:ascii="Calibri" w:hAnsi="Calibri"/>
                <w:sz w:val="22"/>
                <w:szCs w:val="22"/>
              </w:rPr>
              <w:t>x</w:t>
            </w:r>
          </w:p>
        </w:tc>
        <w:tc>
          <w:tcPr>
            <w:tcW w:w="402" w:type="dxa"/>
          </w:tcPr>
          <w:p w14:paraId="344D787B" w14:textId="77777777" w:rsidR="00DE0925" w:rsidRPr="008D5657" w:rsidRDefault="00DE0925" w:rsidP="00A67DC0">
            <w:pPr>
              <w:jc w:val="both"/>
              <w:rPr>
                <w:rFonts w:ascii="Calibri" w:hAnsi="Calibri"/>
                <w:sz w:val="22"/>
                <w:szCs w:val="22"/>
              </w:rPr>
            </w:pPr>
          </w:p>
        </w:tc>
        <w:tc>
          <w:tcPr>
            <w:tcW w:w="402" w:type="dxa"/>
          </w:tcPr>
          <w:p w14:paraId="1B13C793" w14:textId="77777777" w:rsidR="00DE0925" w:rsidRPr="008D5657" w:rsidRDefault="00DE0925" w:rsidP="00A67DC0">
            <w:pPr>
              <w:jc w:val="both"/>
              <w:rPr>
                <w:rFonts w:ascii="Calibri" w:hAnsi="Calibri"/>
                <w:sz w:val="22"/>
                <w:szCs w:val="22"/>
              </w:rPr>
            </w:pPr>
          </w:p>
        </w:tc>
      </w:tr>
      <w:tr w:rsidR="00F16C38" w:rsidRPr="00641D0E" w14:paraId="48A917C2" w14:textId="77777777" w:rsidTr="00C318DA">
        <w:tc>
          <w:tcPr>
            <w:tcW w:w="6345" w:type="dxa"/>
          </w:tcPr>
          <w:p w14:paraId="6B23CFBD" w14:textId="1A015A46" w:rsidR="00F16C38" w:rsidRPr="008D5657" w:rsidDel="00D268A7" w:rsidRDefault="00F16C38" w:rsidP="00D268A7">
            <w:pPr>
              <w:jc w:val="both"/>
              <w:rPr>
                <w:rFonts w:ascii="Calibri" w:hAnsi="Calibri"/>
                <w:sz w:val="22"/>
                <w:szCs w:val="22"/>
              </w:rPr>
            </w:pPr>
            <w:r>
              <w:rPr>
                <w:rFonts w:ascii="Calibri" w:hAnsi="Calibri"/>
                <w:sz w:val="22"/>
                <w:szCs w:val="22"/>
              </w:rPr>
              <w:t>Selection and contracting of successful bidder to host the Support Unit</w:t>
            </w:r>
          </w:p>
        </w:tc>
        <w:tc>
          <w:tcPr>
            <w:tcW w:w="402" w:type="dxa"/>
          </w:tcPr>
          <w:p w14:paraId="57E57C6C" w14:textId="77777777" w:rsidR="00F16C38" w:rsidRPr="008D5657" w:rsidRDefault="00F16C38" w:rsidP="00A67DC0">
            <w:pPr>
              <w:jc w:val="both"/>
              <w:rPr>
                <w:rFonts w:ascii="Calibri" w:hAnsi="Calibri"/>
                <w:sz w:val="22"/>
                <w:szCs w:val="22"/>
              </w:rPr>
            </w:pPr>
          </w:p>
        </w:tc>
        <w:tc>
          <w:tcPr>
            <w:tcW w:w="402" w:type="dxa"/>
          </w:tcPr>
          <w:p w14:paraId="19E31154" w14:textId="77777777" w:rsidR="00F16C38" w:rsidRPr="008D5657" w:rsidRDefault="00F16C38" w:rsidP="00A67DC0">
            <w:pPr>
              <w:jc w:val="both"/>
              <w:rPr>
                <w:rFonts w:ascii="Calibri" w:hAnsi="Calibri"/>
                <w:sz w:val="22"/>
                <w:szCs w:val="22"/>
              </w:rPr>
            </w:pPr>
          </w:p>
        </w:tc>
        <w:tc>
          <w:tcPr>
            <w:tcW w:w="401" w:type="dxa"/>
          </w:tcPr>
          <w:p w14:paraId="371C920B" w14:textId="77777777" w:rsidR="00F16C38" w:rsidRPr="008D5657" w:rsidRDefault="00F16C38" w:rsidP="00A67DC0">
            <w:pPr>
              <w:jc w:val="both"/>
              <w:rPr>
                <w:rFonts w:ascii="Calibri" w:hAnsi="Calibri"/>
                <w:sz w:val="22"/>
                <w:szCs w:val="22"/>
              </w:rPr>
            </w:pPr>
          </w:p>
        </w:tc>
        <w:tc>
          <w:tcPr>
            <w:tcW w:w="402" w:type="dxa"/>
          </w:tcPr>
          <w:p w14:paraId="5E1B7142" w14:textId="40F0FF61" w:rsidR="00F16C38" w:rsidRDefault="00F16C38" w:rsidP="00A67DC0">
            <w:pPr>
              <w:jc w:val="both"/>
              <w:rPr>
                <w:rFonts w:ascii="Calibri" w:hAnsi="Calibri"/>
                <w:sz w:val="22"/>
                <w:szCs w:val="22"/>
              </w:rPr>
            </w:pPr>
            <w:r>
              <w:rPr>
                <w:rFonts w:ascii="Calibri" w:hAnsi="Calibri"/>
                <w:sz w:val="22"/>
                <w:szCs w:val="22"/>
              </w:rPr>
              <w:t>x</w:t>
            </w:r>
          </w:p>
        </w:tc>
        <w:tc>
          <w:tcPr>
            <w:tcW w:w="402" w:type="dxa"/>
          </w:tcPr>
          <w:p w14:paraId="5DD4D2D5" w14:textId="77777777" w:rsidR="00F16C38" w:rsidRPr="008D5657" w:rsidRDefault="00F16C38" w:rsidP="00A67DC0">
            <w:pPr>
              <w:jc w:val="both"/>
              <w:rPr>
                <w:rFonts w:ascii="Calibri" w:hAnsi="Calibri"/>
                <w:sz w:val="22"/>
                <w:szCs w:val="22"/>
              </w:rPr>
            </w:pPr>
          </w:p>
        </w:tc>
      </w:tr>
      <w:tr w:rsidR="00DE0925" w:rsidRPr="00641D0E" w14:paraId="4AF18F5B" w14:textId="77777777" w:rsidTr="00C318DA">
        <w:tc>
          <w:tcPr>
            <w:tcW w:w="6345" w:type="dxa"/>
          </w:tcPr>
          <w:p w14:paraId="7595067E" w14:textId="1A29E4EF" w:rsidR="00DE0925" w:rsidRPr="008D5657" w:rsidRDefault="00D268A7" w:rsidP="00D268A7">
            <w:pPr>
              <w:jc w:val="both"/>
              <w:rPr>
                <w:rFonts w:ascii="Calibri" w:hAnsi="Calibri"/>
                <w:sz w:val="22"/>
                <w:szCs w:val="22"/>
              </w:rPr>
            </w:pPr>
            <w:r>
              <w:rPr>
                <w:rFonts w:ascii="Calibri" w:hAnsi="Calibri"/>
                <w:sz w:val="22"/>
                <w:szCs w:val="22"/>
              </w:rPr>
              <w:t xml:space="preserve">Advertising and selection </w:t>
            </w:r>
            <w:r w:rsidR="00DE0925" w:rsidRPr="008D5657">
              <w:rPr>
                <w:rFonts w:ascii="Calibri" w:hAnsi="Calibri"/>
                <w:sz w:val="22"/>
                <w:szCs w:val="22"/>
              </w:rPr>
              <w:t>of Support Unit personnel</w:t>
            </w:r>
          </w:p>
        </w:tc>
        <w:tc>
          <w:tcPr>
            <w:tcW w:w="402" w:type="dxa"/>
          </w:tcPr>
          <w:p w14:paraId="7126FAB2" w14:textId="77777777" w:rsidR="00DE0925" w:rsidRPr="008D5657" w:rsidRDefault="00DE0925" w:rsidP="00A67DC0">
            <w:pPr>
              <w:jc w:val="both"/>
              <w:rPr>
                <w:rFonts w:ascii="Calibri" w:hAnsi="Calibri"/>
                <w:sz w:val="22"/>
                <w:szCs w:val="22"/>
              </w:rPr>
            </w:pPr>
          </w:p>
        </w:tc>
        <w:tc>
          <w:tcPr>
            <w:tcW w:w="402" w:type="dxa"/>
          </w:tcPr>
          <w:p w14:paraId="7F6C604B" w14:textId="77777777" w:rsidR="00DE0925" w:rsidRPr="008D5657" w:rsidRDefault="00DE0925" w:rsidP="00A67DC0">
            <w:pPr>
              <w:jc w:val="both"/>
              <w:rPr>
                <w:rFonts w:ascii="Calibri" w:hAnsi="Calibri"/>
                <w:sz w:val="22"/>
                <w:szCs w:val="22"/>
              </w:rPr>
            </w:pPr>
          </w:p>
        </w:tc>
        <w:tc>
          <w:tcPr>
            <w:tcW w:w="401" w:type="dxa"/>
          </w:tcPr>
          <w:p w14:paraId="7BB71128" w14:textId="77777777" w:rsidR="00DE0925" w:rsidRPr="008D5657" w:rsidRDefault="00DE0925" w:rsidP="00A67DC0">
            <w:pPr>
              <w:jc w:val="both"/>
              <w:rPr>
                <w:rFonts w:ascii="Calibri" w:hAnsi="Calibri"/>
                <w:sz w:val="22"/>
                <w:szCs w:val="22"/>
              </w:rPr>
            </w:pPr>
          </w:p>
        </w:tc>
        <w:tc>
          <w:tcPr>
            <w:tcW w:w="402" w:type="dxa"/>
          </w:tcPr>
          <w:p w14:paraId="391A2BBC" w14:textId="77777777" w:rsidR="00DE0925" w:rsidRPr="008D5657" w:rsidRDefault="00DE0925" w:rsidP="00A67DC0">
            <w:pPr>
              <w:jc w:val="both"/>
              <w:rPr>
                <w:rFonts w:ascii="Calibri" w:hAnsi="Calibri"/>
                <w:sz w:val="22"/>
                <w:szCs w:val="22"/>
              </w:rPr>
            </w:pPr>
            <w:r>
              <w:rPr>
                <w:rFonts w:ascii="Calibri" w:hAnsi="Calibri"/>
                <w:sz w:val="22"/>
                <w:szCs w:val="22"/>
              </w:rPr>
              <w:t>x</w:t>
            </w:r>
          </w:p>
        </w:tc>
        <w:tc>
          <w:tcPr>
            <w:tcW w:w="402" w:type="dxa"/>
          </w:tcPr>
          <w:p w14:paraId="3C0C9D0B" w14:textId="77777777" w:rsidR="00DE0925" w:rsidRPr="008D5657" w:rsidRDefault="00DE0925" w:rsidP="00A67DC0">
            <w:pPr>
              <w:jc w:val="both"/>
              <w:rPr>
                <w:rFonts w:ascii="Calibri" w:hAnsi="Calibri"/>
                <w:sz w:val="22"/>
                <w:szCs w:val="22"/>
              </w:rPr>
            </w:pPr>
          </w:p>
        </w:tc>
      </w:tr>
      <w:tr w:rsidR="00DE0925" w:rsidRPr="00641D0E" w14:paraId="18DB090E" w14:textId="77777777" w:rsidTr="00C318DA">
        <w:tc>
          <w:tcPr>
            <w:tcW w:w="6345" w:type="dxa"/>
          </w:tcPr>
          <w:p w14:paraId="3015602A" w14:textId="77777777" w:rsidR="00DE0925" w:rsidRPr="008D5657" w:rsidRDefault="00DE0925" w:rsidP="00C23DFB">
            <w:pPr>
              <w:jc w:val="both"/>
              <w:rPr>
                <w:rFonts w:ascii="Calibri" w:hAnsi="Calibri"/>
                <w:sz w:val="22"/>
                <w:szCs w:val="22"/>
              </w:rPr>
            </w:pPr>
            <w:r w:rsidRPr="008D5657">
              <w:rPr>
                <w:rFonts w:ascii="Calibri" w:hAnsi="Calibri"/>
                <w:sz w:val="22"/>
                <w:szCs w:val="22"/>
              </w:rPr>
              <w:t>Submission of statements of capability by HRG members</w:t>
            </w:r>
          </w:p>
        </w:tc>
        <w:tc>
          <w:tcPr>
            <w:tcW w:w="402" w:type="dxa"/>
          </w:tcPr>
          <w:p w14:paraId="3F16F763" w14:textId="77777777" w:rsidR="00DE0925" w:rsidRPr="008D5657" w:rsidRDefault="00DE0925" w:rsidP="00A67DC0">
            <w:pPr>
              <w:jc w:val="both"/>
              <w:rPr>
                <w:rFonts w:ascii="Calibri" w:hAnsi="Calibri"/>
                <w:sz w:val="22"/>
                <w:szCs w:val="22"/>
              </w:rPr>
            </w:pPr>
          </w:p>
        </w:tc>
        <w:tc>
          <w:tcPr>
            <w:tcW w:w="402" w:type="dxa"/>
          </w:tcPr>
          <w:p w14:paraId="6F1D596B" w14:textId="77777777" w:rsidR="00DE0925" w:rsidRPr="008D5657" w:rsidRDefault="00DE0925" w:rsidP="00A67DC0">
            <w:pPr>
              <w:jc w:val="both"/>
              <w:rPr>
                <w:rFonts w:ascii="Calibri" w:hAnsi="Calibri"/>
                <w:sz w:val="22"/>
                <w:szCs w:val="22"/>
              </w:rPr>
            </w:pPr>
          </w:p>
        </w:tc>
        <w:tc>
          <w:tcPr>
            <w:tcW w:w="401" w:type="dxa"/>
          </w:tcPr>
          <w:p w14:paraId="53FC5083" w14:textId="77777777" w:rsidR="00DE0925" w:rsidRPr="008D5657" w:rsidRDefault="00DE0925" w:rsidP="00A67DC0">
            <w:pPr>
              <w:jc w:val="both"/>
              <w:rPr>
                <w:rFonts w:ascii="Calibri" w:hAnsi="Calibri"/>
                <w:sz w:val="22"/>
                <w:szCs w:val="22"/>
              </w:rPr>
            </w:pPr>
          </w:p>
        </w:tc>
        <w:tc>
          <w:tcPr>
            <w:tcW w:w="402" w:type="dxa"/>
          </w:tcPr>
          <w:p w14:paraId="11A98823" w14:textId="77777777" w:rsidR="00DE0925" w:rsidRPr="008D5657" w:rsidRDefault="00DE0925" w:rsidP="00A67DC0">
            <w:pPr>
              <w:jc w:val="both"/>
              <w:rPr>
                <w:rFonts w:ascii="Calibri" w:hAnsi="Calibri"/>
                <w:sz w:val="22"/>
                <w:szCs w:val="22"/>
              </w:rPr>
            </w:pPr>
            <w:r>
              <w:rPr>
                <w:rFonts w:ascii="Calibri" w:hAnsi="Calibri"/>
                <w:sz w:val="22"/>
                <w:szCs w:val="22"/>
              </w:rPr>
              <w:t>x</w:t>
            </w:r>
          </w:p>
        </w:tc>
        <w:tc>
          <w:tcPr>
            <w:tcW w:w="402" w:type="dxa"/>
          </w:tcPr>
          <w:p w14:paraId="2FD85253" w14:textId="77777777" w:rsidR="00DE0925" w:rsidRPr="008D5657" w:rsidRDefault="00DE0925" w:rsidP="00A67DC0">
            <w:pPr>
              <w:jc w:val="both"/>
              <w:rPr>
                <w:rFonts w:ascii="Calibri" w:hAnsi="Calibri"/>
                <w:sz w:val="22"/>
                <w:szCs w:val="22"/>
              </w:rPr>
            </w:pPr>
          </w:p>
        </w:tc>
      </w:tr>
      <w:tr w:rsidR="00DE0925" w:rsidRPr="00641D0E" w14:paraId="298E7F18" w14:textId="77777777" w:rsidTr="00C318DA">
        <w:tc>
          <w:tcPr>
            <w:tcW w:w="6345" w:type="dxa"/>
          </w:tcPr>
          <w:p w14:paraId="3C4FE8E3" w14:textId="77777777" w:rsidR="00DE0925" w:rsidRPr="008D5657" w:rsidRDefault="00DE0925" w:rsidP="00C23DFB">
            <w:pPr>
              <w:jc w:val="both"/>
              <w:rPr>
                <w:rFonts w:ascii="Calibri" w:hAnsi="Calibri"/>
                <w:sz w:val="22"/>
                <w:szCs w:val="22"/>
              </w:rPr>
            </w:pPr>
            <w:r w:rsidRPr="008D5657">
              <w:rPr>
                <w:rFonts w:ascii="Calibri" w:hAnsi="Calibri"/>
                <w:sz w:val="22"/>
                <w:szCs w:val="22"/>
              </w:rPr>
              <w:t>Commencement of Support Unit personnel</w:t>
            </w:r>
          </w:p>
        </w:tc>
        <w:tc>
          <w:tcPr>
            <w:tcW w:w="402" w:type="dxa"/>
          </w:tcPr>
          <w:p w14:paraId="60A621A8" w14:textId="77777777" w:rsidR="00DE0925" w:rsidRPr="008D5657" w:rsidRDefault="00DE0925" w:rsidP="00A67DC0">
            <w:pPr>
              <w:jc w:val="both"/>
              <w:rPr>
                <w:rFonts w:ascii="Calibri" w:hAnsi="Calibri"/>
                <w:sz w:val="22"/>
                <w:szCs w:val="22"/>
              </w:rPr>
            </w:pPr>
          </w:p>
        </w:tc>
        <w:tc>
          <w:tcPr>
            <w:tcW w:w="402" w:type="dxa"/>
          </w:tcPr>
          <w:p w14:paraId="60661806" w14:textId="77777777" w:rsidR="00DE0925" w:rsidRPr="008D5657" w:rsidRDefault="00DE0925" w:rsidP="00A67DC0">
            <w:pPr>
              <w:jc w:val="both"/>
              <w:rPr>
                <w:rFonts w:ascii="Calibri" w:hAnsi="Calibri"/>
                <w:sz w:val="22"/>
                <w:szCs w:val="22"/>
              </w:rPr>
            </w:pPr>
          </w:p>
        </w:tc>
        <w:tc>
          <w:tcPr>
            <w:tcW w:w="401" w:type="dxa"/>
          </w:tcPr>
          <w:p w14:paraId="47B490E5" w14:textId="77777777" w:rsidR="00DE0925" w:rsidRPr="008D5657" w:rsidRDefault="00DE0925" w:rsidP="00A67DC0">
            <w:pPr>
              <w:jc w:val="both"/>
              <w:rPr>
                <w:rFonts w:ascii="Calibri" w:hAnsi="Calibri"/>
                <w:sz w:val="22"/>
                <w:szCs w:val="22"/>
              </w:rPr>
            </w:pPr>
          </w:p>
        </w:tc>
        <w:tc>
          <w:tcPr>
            <w:tcW w:w="402" w:type="dxa"/>
          </w:tcPr>
          <w:p w14:paraId="75277E8D" w14:textId="77777777" w:rsidR="00DE0925" w:rsidRPr="008D5657" w:rsidRDefault="00DE0925" w:rsidP="00A67DC0">
            <w:pPr>
              <w:jc w:val="both"/>
              <w:rPr>
                <w:rFonts w:ascii="Calibri" w:hAnsi="Calibri"/>
                <w:sz w:val="22"/>
                <w:szCs w:val="22"/>
              </w:rPr>
            </w:pPr>
          </w:p>
        </w:tc>
        <w:tc>
          <w:tcPr>
            <w:tcW w:w="402" w:type="dxa"/>
          </w:tcPr>
          <w:p w14:paraId="072ECD81" w14:textId="77777777" w:rsidR="00DE0925" w:rsidRPr="008D5657" w:rsidRDefault="00DE0925" w:rsidP="00A67DC0">
            <w:pPr>
              <w:jc w:val="both"/>
              <w:rPr>
                <w:rFonts w:ascii="Calibri" w:hAnsi="Calibri"/>
                <w:sz w:val="22"/>
                <w:szCs w:val="22"/>
              </w:rPr>
            </w:pPr>
            <w:r w:rsidRPr="008D5657">
              <w:rPr>
                <w:rFonts w:ascii="Calibri" w:hAnsi="Calibri"/>
                <w:sz w:val="22"/>
                <w:szCs w:val="22"/>
              </w:rPr>
              <w:t>x</w:t>
            </w:r>
          </w:p>
        </w:tc>
      </w:tr>
      <w:tr w:rsidR="00D268A7" w:rsidRPr="00641D0E" w14:paraId="11CCFF42" w14:textId="77777777" w:rsidTr="00D268A7">
        <w:tc>
          <w:tcPr>
            <w:tcW w:w="6345" w:type="dxa"/>
          </w:tcPr>
          <w:p w14:paraId="5AAE7C28" w14:textId="77777777" w:rsidR="00D268A7" w:rsidRPr="008D5657" w:rsidRDefault="00D268A7" w:rsidP="00813C06">
            <w:pPr>
              <w:jc w:val="both"/>
              <w:rPr>
                <w:rFonts w:ascii="Calibri" w:hAnsi="Calibri"/>
                <w:sz w:val="22"/>
                <w:szCs w:val="22"/>
              </w:rPr>
            </w:pPr>
            <w:r w:rsidRPr="008D5657">
              <w:rPr>
                <w:rFonts w:ascii="Calibri" w:hAnsi="Calibri"/>
                <w:sz w:val="22"/>
                <w:szCs w:val="22"/>
              </w:rPr>
              <w:t>Selection and contracting of successful NGO bidders</w:t>
            </w:r>
          </w:p>
        </w:tc>
        <w:tc>
          <w:tcPr>
            <w:tcW w:w="402" w:type="dxa"/>
          </w:tcPr>
          <w:p w14:paraId="72DDEC76" w14:textId="77777777" w:rsidR="00D268A7" w:rsidRPr="008D5657" w:rsidRDefault="00D268A7" w:rsidP="00813C06">
            <w:pPr>
              <w:jc w:val="both"/>
              <w:rPr>
                <w:rFonts w:ascii="Calibri" w:hAnsi="Calibri"/>
                <w:sz w:val="22"/>
                <w:szCs w:val="22"/>
              </w:rPr>
            </w:pPr>
          </w:p>
        </w:tc>
        <w:tc>
          <w:tcPr>
            <w:tcW w:w="402" w:type="dxa"/>
          </w:tcPr>
          <w:p w14:paraId="46C55437" w14:textId="77777777" w:rsidR="00D268A7" w:rsidRPr="008D5657" w:rsidRDefault="00D268A7" w:rsidP="00813C06">
            <w:pPr>
              <w:jc w:val="both"/>
              <w:rPr>
                <w:rFonts w:ascii="Calibri" w:hAnsi="Calibri"/>
                <w:sz w:val="22"/>
                <w:szCs w:val="22"/>
              </w:rPr>
            </w:pPr>
          </w:p>
        </w:tc>
        <w:tc>
          <w:tcPr>
            <w:tcW w:w="401" w:type="dxa"/>
          </w:tcPr>
          <w:p w14:paraId="1B3CAACF" w14:textId="77777777" w:rsidR="00D268A7" w:rsidRPr="008D5657" w:rsidRDefault="00D268A7" w:rsidP="00813C06">
            <w:pPr>
              <w:jc w:val="both"/>
              <w:rPr>
                <w:rFonts w:ascii="Calibri" w:hAnsi="Calibri"/>
                <w:sz w:val="22"/>
                <w:szCs w:val="22"/>
              </w:rPr>
            </w:pPr>
          </w:p>
        </w:tc>
        <w:tc>
          <w:tcPr>
            <w:tcW w:w="402" w:type="dxa"/>
          </w:tcPr>
          <w:p w14:paraId="01717F1A" w14:textId="77777777" w:rsidR="00D268A7" w:rsidRPr="008D5657" w:rsidRDefault="00D268A7" w:rsidP="00813C06">
            <w:pPr>
              <w:jc w:val="both"/>
              <w:rPr>
                <w:rFonts w:ascii="Calibri" w:hAnsi="Calibri"/>
                <w:sz w:val="22"/>
                <w:szCs w:val="22"/>
              </w:rPr>
            </w:pPr>
          </w:p>
        </w:tc>
        <w:tc>
          <w:tcPr>
            <w:tcW w:w="402" w:type="dxa"/>
          </w:tcPr>
          <w:p w14:paraId="7A25A8E3" w14:textId="77777777" w:rsidR="00D268A7" w:rsidRPr="008D5657" w:rsidRDefault="00D268A7" w:rsidP="00813C06">
            <w:pPr>
              <w:jc w:val="both"/>
              <w:rPr>
                <w:rFonts w:ascii="Calibri" w:hAnsi="Calibri"/>
                <w:sz w:val="22"/>
                <w:szCs w:val="22"/>
              </w:rPr>
            </w:pPr>
            <w:r>
              <w:rPr>
                <w:rFonts w:ascii="Calibri" w:hAnsi="Calibri"/>
                <w:sz w:val="22"/>
                <w:szCs w:val="22"/>
              </w:rPr>
              <w:t>x</w:t>
            </w:r>
          </w:p>
        </w:tc>
      </w:tr>
      <w:tr w:rsidR="00DE0925" w:rsidRPr="00641D0E" w14:paraId="56EFB1C9" w14:textId="77777777" w:rsidTr="00C318DA">
        <w:tc>
          <w:tcPr>
            <w:tcW w:w="6345" w:type="dxa"/>
          </w:tcPr>
          <w:p w14:paraId="0069507C" w14:textId="77777777" w:rsidR="00DE0925" w:rsidRPr="008D5657" w:rsidRDefault="00DE0925" w:rsidP="00C23DFB">
            <w:pPr>
              <w:jc w:val="both"/>
              <w:rPr>
                <w:rFonts w:ascii="Calibri" w:hAnsi="Calibri"/>
                <w:sz w:val="22"/>
                <w:szCs w:val="22"/>
              </w:rPr>
            </w:pPr>
            <w:r w:rsidRPr="008D5657">
              <w:rPr>
                <w:rFonts w:ascii="Calibri" w:hAnsi="Calibri"/>
                <w:sz w:val="22"/>
                <w:szCs w:val="22"/>
              </w:rPr>
              <w:t>Implementation commences</w:t>
            </w:r>
          </w:p>
        </w:tc>
        <w:tc>
          <w:tcPr>
            <w:tcW w:w="402" w:type="dxa"/>
          </w:tcPr>
          <w:p w14:paraId="63415FCA" w14:textId="77777777" w:rsidR="00DE0925" w:rsidRPr="008D5657" w:rsidRDefault="00DE0925" w:rsidP="00A67DC0">
            <w:pPr>
              <w:jc w:val="both"/>
              <w:rPr>
                <w:rFonts w:ascii="Calibri" w:hAnsi="Calibri"/>
                <w:sz w:val="22"/>
                <w:szCs w:val="22"/>
              </w:rPr>
            </w:pPr>
          </w:p>
        </w:tc>
        <w:tc>
          <w:tcPr>
            <w:tcW w:w="402" w:type="dxa"/>
          </w:tcPr>
          <w:p w14:paraId="5E04B1CF" w14:textId="77777777" w:rsidR="00DE0925" w:rsidRPr="008D5657" w:rsidRDefault="00DE0925" w:rsidP="00A67DC0">
            <w:pPr>
              <w:jc w:val="both"/>
              <w:rPr>
                <w:rFonts w:ascii="Calibri" w:hAnsi="Calibri"/>
                <w:sz w:val="22"/>
                <w:szCs w:val="22"/>
              </w:rPr>
            </w:pPr>
          </w:p>
        </w:tc>
        <w:tc>
          <w:tcPr>
            <w:tcW w:w="401" w:type="dxa"/>
          </w:tcPr>
          <w:p w14:paraId="752629DD" w14:textId="77777777" w:rsidR="00DE0925" w:rsidRPr="008D5657" w:rsidRDefault="00DE0925" w:rsidP="00A67DC0">
            <w:pPr>
              <w:jc w:val="both"/>
              <w:rPr>
                <w:rFonts w:ascii="Calibri" w:hAnsi="Calibri"/>
                <w:sz w:val="22"/>
                <w:szCs w:val="22"/>
              </w:rPr>
            </w:pPr>
          </w:p>
        </w:tc>
        <w:tc>
          <w:tcPr>
            <w:tcW w:w="402" w:type="dxa"/>
          </w:tcPr>
          <w:p w14:paraId="5420F10E" w14:textId="77777777" w:rsidR="00DE0925" w:rsidRPr="008D5657" w:rsidRDefault="00DE0925" w:rsidP="00A67DC0">
            <w:pPr>
              <w:jc w:val="both"/>
              <w:rPr>
                <w:rFonts w:ascii="Calibri" w:hAnsi="Calibri"/>
                <w:sz w:val="22"/>
                <w:szCs w:val="22"/>
              </w:rPr>
            </w:pPr>
          </w:p>
        </w:tc>
        <w:tc>
          <w:tcPr>
            <w:tcW w:w="402" w:type="dxa"/>
          </w:tcPr>
          <w:p w14:paraId="0ECC83F9" w14:textId="77777777" w:rsidR="00DE0925" w:rsidRPr="008D5657" w:rsidRDefault="00DE0925" w:rsidP="00A67DC0">
            <w:pPr>
              <w:jc w:val="both"/>
              <w:rPr>
                <w:rFonts w:ascii="Calibri" w:hAnsi="Calibri"/>
                <w:sz w:val="22"/>
                <w:szCs w:val="22"/>
              </w:rPr>
            </w:pPr>
            <w:r w:rsidRPr="008D5657">
              <w:rPr>
                <w:rFonts w:ascii="Calibri" w:hAnsi="Calibri"/>
                <w:sz w:val="22"/>
                <w:szCs w:val="22"/>
              </w:rPr>
              <w:t>x</w:t>
            </w:r>
          </w:p>
        </w:tc>
      </w:tr>
    </w:tbl>
    <w:p w14:paraId="228CCE2E" w14:textId="77777777" w:rsidR="00003A07" w:rsidRPr="00A00184" w:rsidRDefault="00003A07" w:rsidP="00405EE8">
      <w:pPr>
        <w:jc w:val="both"/>
        <w:rPr>
          <w:b/>
          <w:color w:val="4F81BD" w:themeColor="accent1"/>
        </w:rPr>
      </w:pPr>
      <w:r w:rsidRPr="00A00184">
        <w:rPr>
          <w:b/>
          <w:color w:val="4F81BD" w:themeColor="accent1"/>
        </w:rPr>
        <w:lastRenderedPageBreak/>
        <w:t xml:space="preserve">Implementation Schedule – Year One </w:t>
      </w:r>
    </w:p>
    <w:p w14:paraId="0ECE881D" w14:textId="6CA3AA96" w:rsidR="00E25845" w:rsidRPr="00641D0E" w:rsidRDefault="00E25845" w:rsidP="00A67DC0">
      <w:pPr>
        <w:spacing w:after="240"/>
        <w:jc w:val="both"/>
        <w:rPr>
          <w:rFonts w:ascii="Calibri" w:hAnsi="Calibri"/>
        </w:rPr>
      </w:pPr>
      <w:r w:rsidRPr="00641D0E">
        <w:rPr>
          <w:rFonts w:ascii="Calibri" w:hAnsi="Calibri"/>
        </w:rPr>
        <w:t>Once procurement has been conducted and agreeme</w:t>
      </w:r>
      <w:r w:rsidR="00767768" w:rsidRPr="00641D0E">
        <w:rPr>
          <w:rFonts w:ascii="Calibri" w:hAnsi="Calibri"/>
        </w:rPr>
        <w:t xml:space="preserve">nts signed, the </w:t>
      </w:r>
      <w:r w:rsidR="00DE0925">
        <w:rPr>
          <w:rFonts w:ascii="Calibri" w:hAnsi="Calibri"/>
        </w:rPr>
        <w:t>partners</w:t>
      </w:r>
      <w:r w:rsidR="00DE0925" w:rsidRPr="00641D0E">
        <w:rPr>
          <w:rFonts w:ascii="Calibri" w:hAnsi="Calibri"/>
        </w:rPr>
        <w:t xml:space="preserve"> </w:t>
      </w:r>
      <w:r w:rsidR="00767768" w:rsidRPr="00641D0E">
        <w:rPr>
          <w:rFonts w:ascii="Calibri" w:hAnsi="Calibri"/>
        </w:rPr>
        <w:t xml:space="preserve">– </w:t>
      </w:r>
      <w:r w:rsidRPr="00641D0E">
        <w:rPr>
          <w:rFonts w:ascii="Calibri" w:hAnsi="Calibri"/>
        </w:rPr>
        <w:t>su</w:t>
      </w:r>
      <w:r w:rsidR="00767768" w:rsidRPr="00641D0E">
        <w:rPr>
          <w:rFonts w:ascii="Calibri" w:hAnsi="Calibri"/>
        </w:rPr>
        <w:t xml:space="preserve">pported by the </w:t>
      </w:r>
      <w:r w:rsidRPr="00641D0E">
        <w:rPr>
          <w:rFonts w:ascii="Calibri" w:hAnsi="Calibri"/>
        </w:rPr>
        <w:t>Support Unit</w:t>
      </w:r>
      <w:r w:rsidR="00767768" w:rsidRPr="00641D0E">
        <w:rPr>
          <w:rFonts w:ascii="Calibri" w:hAnsi="Calibri"/>
        </w:rPr>
        <w:t xml:space="preserve"> –</w:t>
      </w:r>
      <w:r w:rsidRPr="00641D0E">
        <w:rPr>
          <w:rFonts w:ascii="Calibri" w:hAnsi="Calibri"/>
        </w:rPr>
        <w:t xml:space="preserve"> will </w:t>
      </w:r>
      <w:r w:rsidR="00767768" w:rsidRPr="00641D0E">
        <w:rPr>
          <w:rFonts w:ascii="Calibri" w:hAnsi="Calibri"/>
        </w:rPr>
        <w:t>begin</w:t>
      </w:r>
      <w:r w:rsidRPr="00641D0E">
        <w:rPr>
          <w:rFonts w:ascii="Calibri" w:hAnsi="Calibri"/>
        </w:rPr>
        <w:t xml:space="preserve"> to </w:t>
      </w:r>
      <w:r w:rsidR="00FD210E">
        <w:rPr>
          <w:rFonts w:ascii="Calibri" w:hAnsi="Calibri"/>
        </w:rPr>
        <w:t>operationalis</w:t>
      </w:r>
      <w:r w:rsidR="00767768" w:rsidRPr="00641D0E">
        <w:rPr>
          <w:rFonts w:ascii="Calibri" w:hAnsi="Calibri"/>
        </w:rPr>
        <w:t xml:space="preserve">e the </w:t>
      </w:r>
      <w:r w:rsidR="00247F6F">
        <w:rPr>
          <w:rFonts w:ascii="Calibri" w:hAnsi="Calibri"/>
        </w:rPr>
        <w:t xml:space="preserve">Australian Humanitarian </w:t>
      </w:r>
      <w:r w:rsidR="00DE0925">
        <w:rPr>
          <w:rFonts w:ascii="Calibri" w:hAnsi="Calibri"/>
        </w:rPr>
        <w:t>Partnership</w:t>
      </w:r>
      <w:r w:rsidR="00767768" w:rsidRPr="00641D0E">
        <w:rPr>
          <w:rFonts w:ascii="Calibri" w:hAnsi="Calibri"/>
        </w:rPr>
        <w:t xml:space="preserve">. </w:t>
      </w:r>
      <w:r w:rsidR="00D268A7">
        <w:rPr>
          <w:rFonts w:ascii="Calibri" w:hAnsi="Calibri"/>
        </w:rPr>
        <w:t xml:space="preserve">The partnership will rely on HPA templates </w:t>
      </w:r>
      <w:r w:rsidR="00F1336C">
        <w:rPr>
          <w:rFonts w:ascii="Calibri" w:hAnsi="Calibri"/>
        </w:rPr>
        <w:t xml:space="preserve">(and processes) </w:t>
      </w:r>
      <w:r w:rsidR="00D268A7">
        <w:rPr>
          <w:rFonts w:ascii="Calibri" w:hAnsi="Calibri"/>
        </w:rPr>
        <w:t xml:space="preserve">until new ones are developed. </w:t>
      </w:r>
      <w:r w:rsidR="00767768" w:rsidRPr="00641D0E">
        <w:rPr>
          <w:rFonts w:ascii="Calibri" w:hAnsi="Calibri"/>
        </w:rPr>
        <w:t xml:space="preserve">The following schedule is an indicative list of priority actions for the first 12 months of the </w:t>
      </w:r>
      <w:r w:rsidR="00247F6F">
        <w:rPr>
          <w:rFonts w:ascii="Calibri" w:hAnsi="Calibri"/>
        </w:rPr>
        <w:t>p</w:t>
      </w:r>
      <w:r w:rsidR="00DE0925">
        <w:rPr>
          <w:rFonts w:ascii="Calibri" w:hAnsi="Calibri"/>
        </w:rPr>
        <w:t>artnership</w:t>
      </w:r>
      <w:r w:rsidR="00767768" w:rsidRPr="00641D0E">
        <w:rPr>
          <w:rFonts w:ascii="Calibri" w:hAnsi="Calibri"/>
        </w:rPr>
        <w:t>.</w:t>
      </w:r>
    </w:p>
    <w:tbl>
      <w:tblPr>
        <w:tblStyle w:val="TableGrid"/>
        <w:tblW w:w="8644" w:type="dxa"/>
        <w:tblLayout w:type="fixed"/>
        <w:tblLook w:val="04A0" w:firstRow="1" w:lastRow="0" w:firstColumn="1" w:lastColumn="0" w:noHBand="0" w:noVBand="1"/>
      </w:tblPr>
      <w:tblGrid>
        <w:gridCol w:w="4219"/>
        <w:gridCol w:w="368"/>
        <w:gridCol w:w="369"/>
        <w:gridCol w:w="369"/>
        <w:gridCol w:w="369"/>
        <w:gridCol w:w="368"/>
        <w:gridCol w:w="369"/>
        <w:gridCol w:w="369"/>
        <w:gridCol w:w="369"/>
        <w:gridCol w:w="368"/>
        <w:gridCol w:w="369"/>
        <w:gridCol w:w="369"/>
        <w:gridCol w:w="369"/>
      </w:tblGrid>
      <w:tr w:rsidR="000374A6" w:rsidRPr="00641D0E" w14:paraId="7B593459" w14:textId="77777777" w:rsidTr="000374A6">
        <w:tc>
          <w:tcPr>
            <w:tcW w:w="4219" w:type="dxa"/>
          </w:tcPr>
          <w:p w14:paraId="0E3D9EBC" w14:textId="77777777" w:rsidR="00865CE1" w:rsidRPr="00641D0E" w:rsidRDefault="00C800DF" w:rsidP="00A67DC0">
            <w:pPr>
              <w:jc w:val="both"/>
              <w:rPr>
                <w:rFonts w:ascii="Calibri" w:hAnsi="Calibri"/>
                <w:b/>
              </w:rPr>
            </w:pPr>
            <w:r w:rsidRPr="00641D0E">
              <w:rPr>
                <w:rFonts w:ascii="Calibri" w:hAnsi="Calibri"/>
                <w:b/>
              </w:rPr>
              <w:t xml:space="preserve">July </w:t>
            </w:r>
            <w:r w:rsidR="00086738" w:rsidRPr="00641D0E">
              <w:rPr>
                <w:rFonts w:ascii="Calibri" w:hAnsi="Calibri"/>
                <w:b/>
              </w:rPr>
              <w:t>2016</w:t>
            </w:r>
            <w:r w:rsidRPr="00641D0E">
              <w:rPr>
                <w:rFonts w:ascii="Calibri" w:hAnsi="Calibri"/>
                <w:b/>
              </w:rPr>
              <w:t xml:space="preserve"> – June 20</w:t>
            </w:r>
            <w:r w:rsidR="00086738" w:rsidRPr="00641D0E">
              <w:rPr>
                <w:rFonts w:ascii="Calibri" w:hAnsi="Calibri"/>
                <w:b/>
              </w:rPr>
              <w:t>17</w:t>
            </w:r>
          </w:p>
        </w:tc>
        <w:tc>
          <w:tcPr>
            <w:tcW w:w="368" w:type="dxa"/>
          </w:tcPr>
          <w:p w14:paraId="6CFF48B1" w14:textId="77777777" w:rsidR="00865CE1" w:rsidRPr="00641D0E" w:rsidRDefault="00865CE1" w:rsidP="00A67DC0">
            <w:pPr>
              <w:jc w:val="both"/>
              <w:rPr>
                <w:rFonts w:ascii="Calibri" w:hAnsi="Calibri"/>
                <w:b/>
              </w:rPr>
            </w:pPr>
            <w:r w:rsidRPr="00641D0E">
              <w:rPr>
                <w:rFonts w:ascii="Calibri" w:hAnsi="Calibri"/>
                <w:b/>
              </w:rPr>
              <w:t>J</w:t>
            </w:r>
          </w:p>
        </w:tc>
        <w:tc>
          <w:tcPr>
            <w:tcW w:w="369" w:type="dxa"/>
          </w:tcPr>
          <w:p w14:paraId="1894A990" w14:textId="77777777" w:rsidR="00865CE1" w:rsidRPr="00641D0E" w:rsidRDefault="00865CE1" w:rsidP="00A67DC0">
            <w:pPr>
              <w:jc w:val="both"/>
              <w:rPr>
                <w:rFonts w:ascii="Calibri" w:hAnsi="Calibri"/>
                <w:b/>
              </w:rPr>
            </w:pPr>
            <w:r w:rsidRPr="00641D0E">
              <w:rPr>
                <w:rFonts w:ascii="Calibri" w:hAnsi="Calibri"/>
                <w:b/>
              </w:rPr>
              <w:t>A</w:t>
            </w:r>
          </w:p>
        </w:tc>
        <w:tc>
          <w:tcPr>
            <w:tcW w:w="369" w:type="dxa"/>
          </w:tcPr>
          <w:p w14:paraId="1A39A526" w14:textId="77777777" w:rsidR="00865CE1" w:rsidRPr="00641D0E" w:rsidRDefault="00865CE1" w:rsidP="00A67DC0">
            <w:pPr>
              <w:jc w:val="both"/>
              <w:rPr>
                <w:rFonts w:ascii="Calibri" w:hAnsi="Calibri"/>
                <w:b/>
              </w:rPr>
            </w:pPr>
            <w:r w:rsidRPr="00641D0E">
              <w:rPr>
                <w:rFonts w:ascii="Calibri" w:hAnsi="Calibri"/>
                <w:b/>
              </w:rPr>
              <w:t>S</w:t>
            </w:r>
          </w:p>
        </w:tc>
        <w:tc>
          <w:tcPr>
            <w:tcW w:w="369" w:type="dxa"/>
          </w:tcPr>
          <w:p w14:paraId="3081603F" w14:textId="77777777" w:rsidR="00865CE1" w:rsidRPr="00641D0E" w:rsidRDefault="00865CE1" w:rsidP="00A67DC0">
            <w:pPr>
              <w:jc w:val="both"/>
              <w:rPr>
                <w:rFonts w:ascii="Calibri" w:hAnsi="Calibri"/>
                <w:b/>
              </w:rPr>
            </w:pPr>
            <w:r w:rsidRPr="00641D0E">
              <w:rPr>
                <w:rFonts w:ascii="Calibri" w:hAnsi="Calibri"/>
                <w:b/>
              </w:rPr>
              <w:t>O</w:t>
            </w:r>
          </w:p>
        </w:tc>
        <w:tc>
          <w:tcPr>
            <w:tcW w:w="368" w:type="dxa"/>
          </w:tcPr>
          <w:p w14:paraId="6E5628A0" w14:textId="77777777" w:rsidR="00865CE1" w:rsidRPr="00641D0E" w:rsidRDefault="00865CE1" w:rsidP="00A67DC0">
            <w:pPr>
              <w:jc w:val="both"/>
              <w:rPr>
                <w:rFonts w:ascii="Calibri" w:hAnsi="Calibri"/>
                <w:b/>
              </w:rPr>
            </w:pPr>
            <w:r w:rsidRPr="00641D0E">
              <w:rPr>
                <w:rFonts w:ascii="Calibri" w:hAnsi="Calibri"/>
                <w:b/>
              </w:rPr>
              <w:t>N</w:t>
            </w:r>
          </w:p>
        </w:tc>
        <w:tc>
          <w:tcPr>
            <w:tcW w:w="369" w:type="dxa"/>
          </w:tcPr>
          <w:p w14:paraId="7A6176DC" w14:textId="77777777" w:rsidR="00865CE1" w:rsidRPr="00641D0E" w:rsidRDefault="00865CE1" w:rsidP="00A67DC0">
            <w:pPr>
              <w:jc w:val="both"/>
              <w:rPr>
                <w:rFonts w:ascii="Calibri" w:hAnsi="Calibri"/>
                <w:b/>
              </w:rPr>
            </w:pPr>
            <w:r w:rsidRPr="00641D0E">
              <w:rPr>
                <w:rFonts w:ascii="Calibri" w:hAnsi="Calibri"/>
                <w:b/>
              </w:rPr>
              <w:t>D</w:t>
            </w:r>
          </w:p>
        </w:tc>
        <w:tc>
          <w:tcPr>
            <w:tcW w:w="369" w:type="dxa"/>
          </w:tcPr>
          <w:p w14:paraId="0819D621" w14:textId="77777777" w:rsidR="00865CE1" w:rsidRPr="00641D0E" w:rsidRDefault="00865CE1" w:rsidP="00A67DC0">
            <w:pPr>
              <w:jc w:val="both"/>
              <w:rPr>
                <w:rFonts w:ascii="Calibri" w:hAnsi="Calibri"/>
                <w:b/>
              </w:rPr>
            </w:pPr>
            <w:r w:rsidRPr="00641D0E">
              <w:rPr>
                <w:rFonts w:ascii="Calibri" w:hAnsi="Calibri"/>
                <w:b/>
              </w:rPr>
              <w:t>J</w:t>
            </w:r>
          </w:p>
        </w:tc>
        <w:tc>
          <w:tcPr>
            <w:tcW w:w="369" w:type="dxa"/>
          </w:tcPr>
          <w:p w14:paraId="62385B5F" w14:textId="77777777" w:rsidR="00865CE1" w:rsidRPr="00641D0E" w:rsidRDefault="00865CE1" w:rsidP="00A67DC0">
            <w:pPr>
              <w:jc w:val="both"/>
              <w:rPr>
                <w:rFonts w:ascii="Calibri" w:hAnsi="Calibri"/>
                <w:b/>
              </w:rPr>
            </w:pPr>
            <w:r w:rsidRPr="00641D0E">
              <w:rPr>
                <w:rFonts w:ascii="Calibri" w:hAnsi="Calibri"/>
                <w:b/>
              </w:rPr>
              <w:t>F</w:t>
            </w:r>
          </w:p>
        </w:tc>
        <w:tc>
          <w:tcPr>
            <w:tcW w:w="368" w:type="dxa"/>
          </w:tcPr>
          <w:p w14:paraId="27162BDF" w14:textId="77777777" w:rsidR="00865CE1" w:rsidRPr="00641D0E" w:rsidRDefault="00865CE1" w:rsidP="00A67DC0">
            <w:pPr>
              <w:jc w:val="both"/>
              <w:rPr>
                <w:rFonts w:ascii="Calibri" w:hAnsi="Calibri"/>
                <w:b/>
              </w:rPr>
            </w:pPr>
            <w:r w:rsidRPr="00641D0E">
              <w:rPr>
                <w:rFonts w:ascii="Calibri" w:hAnsi="Calibri"/>
                <w:b/>
              </w:rPr>
              <w:t>M</w:t>
            </w:r>
          </w:p>
        </w:tc>
        <w:tc>
          <w:tcPr>
            <w:tcW w:w="369" w:type="dxa"/>
          </w:tcPr>
          <w:p w14:paraId="189DD41E" w14:textId="77777777" w:rsidR="00865CE1" w:rsidRPr="00641D0E" w:rsidRDefault="00865CE1" w:rsidP="00A67DC0">
            <w:pPr>
              <w:jc w:val="both"/>
              <w:rPr>
                <w:rFonts w:ascii="Calibri" w:hAnsi="Calibri"/>
                <w:b/>
              </w:rPr>
            </w:pPr>
            <w:r w:rsidRPr="00641D0E">
              <w:rPr>
                <w:rFonts w:ascii="Calibri" w:hAnsi="Calibri"/>
                <w:b/>
              </w:rPr>
              <w:t>A</w:t>
            </w:r>
          </w:p>
        </w:tc>
        <w:tc>
          <w:tcPr>
            <w:tcW w:w="369" w:type="dxa"/>
          </w:tcPr>
          <w:p w14:paraId="79DF4F06" w14:textId="77777777" w:rsidR="00865CE1" w:rsidRPr="00641D0E" w:rsidRDefault="00865CE1" w:rsidP="00A67DC0">
            <w:pPr>
              <w:jc w:val="both"/>
              <w:rPr>
                <w:rFonts w:ascii="Calibri" w:hAnsi="Calibri"/>
                <w:b/>
              </w:rPr>
            </w:pPr>
            <w:r w:rsidRPr="00641D0E">
              <w:rPr>
                <w:rFonts w:ascii="Calibri" w:hAnsi="Calibri"/>
                <w:b/>
              </w:rPr>
              <w:t>M</w:t>
            </w:r>
          </w:p>
        </w:tc>
        <w:tc>
          <w:tcPr>
            <w:tcW w:w="369" w:type="dxa"/>
          </w:tcPr>
          <w:p w14:paraId="06E78801" w14:textId="77777777" w:rsidR="00865CE1" w:rsidRPr="00641D0E" w:rsidRDefault="00865CE1" w:rsidP="00A67DC0">
            <w:pPr>
              <w:jc w:val="both"/>
              <w:rPr>
                <w:rFonts w:ascii="Calibri" w:hAnsi="Calibri"/>
                <w:b/>
              </w:rPr>
            </w:pPr>
            <w:r w:rsidRPr="00641D0E">
              <w:rPr>
                <w:rFonts w:ascii="Calibri" w:hAnsi="Calibri"/>
                <w:b/>
              </w:rPr>
              <w:t>J</w:t>
            </w:r>
          </w:p>
        </w:tc>
      </w:tr>
      <w:tr w:rsidR="000374A6" w:rsidRPr="00641D0E" w14:paraId="3407D3DD" w14:textId="77777777" w:rsidTr="000374A6">
        <w:tc>
          <w:tcPr>
            <w:tcW w:w="4219" w:type="dxa"/>
          </w:tcPr>
          <w:p w14:paraId="283A3E0F" w14:textId="2F7A493F" w:rsidR="00F1336C" w:rsidRPr="008B34A9" w:rsidRDefault="00865CE1" w:rsidP="00F1336C">
            <w:pPr>
              <w:jc w:val="both"/>
              <w:rPr>
                <w:rFonts w:ascii="Calibri" w:hAnsi="Calibri"/>
                <w:sz w:val="22"/>
                <w:szCs w:val="22"/>
              </w:rPr>
            </w:pPr>
            <w:r w:rsidRPr="008B34A9">
              <w:rPr>
                <w:rFonts w:ascii="Calibri" w:hAnsi="Calibri"/>
                <w:sz w:val="22"/>
                <w:szCs w:val="22"/>
              </w:rPr>
              <w:t>Quarterly meeting (inception meeting</w:t>
            </w:r>
            <w:r w:rsidR="00D268A7">
              <w:rPr>
                <w:rFonts w:ascii="Calibri" w:hAnsi="Calibri"/>
                <w:sz w:val="22"/>
                <w:szCs w:val="22"/>
              </w:rPr>
              <w:t>/partnership brokering</w:t>
            </w:r>
            <w:r w:rsidRPr="008B34A9">
              <w:rPr>
                <w:rFonts w:ascii="Calibri" w:hAnsi="Calibri"/>
                <w:sz w:val="22"/>
                <w:szCs w:val="22"/>
              </w:rPr>
              <w:t>)</w:t>
            </w:r>
          </w:p>
        </w:tc>
        <w:tc>
          <w:tcPr>
            <w:tcW w:w="368" w:type="dxa"/>
          </w:tcPr>
          <w:p w14:paraId="5D6B8583" w14:textId="77777777" w:rsidR="00865CE1" w:rsidRPr="008B34A9" w:rsidRDefault="00865CE1" w:rsidP="00A67DC0">
            <w:pPr>
              <w:jc w:val="both"/>
              <w:rPr>
                <w:rFonts w:ascii="Calibri" w:hAnsi="Calibri"/>
                <w:sz w:val="22"/>
                <w:szCs w:val="22"/>
              </w:rPr>
            </w:pPr>
            <w:r w:rsidRPr="008B34A9">
              <w:rPr>
                <w:rFonts w:ascii="Calibri" w:hAnsi="Calibri"/>
                <w:sz w:val="22"/>
                <w:szCs w:val="22"/>
              </w:rPr>
              <w:t>x</w:t>
            </w:r>
          </w:p>
        </w:tc>
        <w:tc>
          <w:tcPr>
            <w:tcW w:w="369" w:type="dxa"/>
          </w:tcPr>
          <w:p w14:paraId="00EDD80C" w14:textId="77777777" w:rsidR="00865CE1" w:rsidRPr="008B34A9" w:rsidRDefault="00865CE1" w:rsidP="00A67DC0">
            <w:pPr>
              <w:jc w:val="both"/>
              <w:rPr>
                <w:rFonts w:ascii="Calibri" w:hAnsi="Calibri"/>
                <w:sz w:val="22"/>
                <w:szCs w:val="22"/>
              </w:rPr>
            </w:pPr>
          </w:p>
        </w:tc>
        <w:tc>
          <w:tcPr>
            <w:tcW w:w="369" w:type="dxa"/>
          </w:tcPr>
          <w:p w14:paraId="3F85F596" w14:textId="77777777" w:rsidR="00865CE1" w:rsidRPr="008B34A9" w:rsidRDefault="00865CE1" w:rsidP="00A67DC0">
            <w:pPr>
              <w:jc w:val="both"/>
              <w:rPr>
                <w:rFonts w:ascii="Calibri" w:hAnsi="Calibri"/>
                <w:sz w:val="22"/>
                <w:szCs w:val="22"/>
              </w:rPr>
            </w:pPr>
          </w:p>
        </w:tc>
        <w:tc>
          <w:tcPr>
            <w:tcW w:w="369" w:type="dxa"/>
          </w:tcPr>
          <w:p w14:paraId="112B624C" w14:textId="77777777" w:rsidR="00865CE1" w:rsidRPr="008B34A9" w:rsidRDefault="00865CE1" w:rsidP="00A67DC0">
            <w:pPr>
              <w:jc w:val="both"/>
              <w:rPr>
                <w:rFonts w:ascii="Calibri" w:hAnsi="Calibri"/>
                <w:sz w:val="22"/>
                <w:szCs w:val="22"/>
              </w:rPr>
            </w:pPr>
          </w:p>
        </w:tc>
        <w:tc>
          <w:tcPr>
            <w:tcW w:w="368" w:type="dxa"/>
          </w:tcPr>
          <w:p w14:paraId="4866C4A4" w14:textId="77777777" w:rsidR="00865CE1" w:rsidRPr="008B34A9" w:rsidRDefault="00865CE1" w:rsidP="00A67DC0">
            <w:pPr>
              <w:jc w:val="both"/>
              <w:rPr>
                <w:rFonts w:ascii="Calibri" w:hAnsi="Calibri"/>
                <w:sz w:val="22"/>
                <w:szCs w:val="22"/>
              </w:rPr>
            </w:pPr>
          </w:p>
        </w:tc>
        <w:tc>
          <w:tcPr>
            <w:tcW w:w="369" w:type="dxa"/>
          </w:tcPr>
          <w:p w14:paraId="2992A8E9" w14:textId="77777777" w:rsidR="00865CE1" w:rsidRPr="008B34A9" w:rsidRDefault="00865CE1" w:rsidP="00A67DC0">
            <w:pPr>
              <w:jc w:val="both"/>
              <w:rPr>
                <w:rFonts w:ascii="Calibri" w:hAnsi="Calibri"/>
                <w:sz w:val="22"/>
                <w:szCs w:val="22"/>
              </w:rPr>
            </w:pPr>
          </w:p>
        </w:tc>
        <w:tc>
          <w:tcPr>
            <w:tcW w:w="369" w:type="dxa"/>
          </w:tcPr>
          <w:p w14:paraId="7A66CA9B" w14:textId="77777777" w:rsidR="00865CE1" w:rsidRPr="008B34A9" w:rsidRDefault="00865CE1" w:rsidP="00A67DC0">
            <w:pPr>
              <w:jc w:val="both"/>
              <w:rPr>
                <w:rFonts w:ascii="Calibri" w:hAnsi="Calibri"/>
                <w:sz w:val="22"/>
                <w:szCs w:val="22"/>
              </w:rPr>
            </w:pPr>
          </w:p>
        </w:tc>
        <w:tc>
          <w:tcPr>
            <w:tcW w:w="369" w:type="dxa"/>
          </w:tcPr>
          <w:p w14:paraId="5477A5F3" w14:textId="77777777" w:rsidR="00865CE1" w:rsidRPr="008B34A9" w:rsidRDefault="00865CE1" w:rsidP="00A67DC0">
            <w:pPr>
              <w:jc w:val="both"/>
              <w:rPr>
                <w:rFonts w:ascii="Calibri" w:hAnsi="Calibri"/>
                <w:sz w:val="22"/>
                <w:szCs w:val="22"/>
              </w:rPr>
            </w:pPr>
          </w:p>
        </w:tc>
        <w:tc>
          <w:tcPr>
            <w:tcW w:w="368" w:type="dxa"/>
          </w:tcPr>
          <w:p w14:paraId="0D264F0C" w14:textId="77777777" w:rsidR="00865CE1" w:rsidRPr="008B34A9" w:rsidRDefault="00865CE1" w:rsidP="00A67DC0">
            <w:pPr>
              <w:jc w:val="both"/>
              <w:rPr>
                <w:rFonts w:ascii="Calibri" w:hAnsi="Calibri"/>
                <w:sz w:val="22"/>
                <w:szCs w:val="22"/>
              </w:rPr>
            </w:pPr>
          </w:p>
        </w:tc>
        <w:tc>
          <w:tcPr>
            <w:tcW w:w="369" w:type="dxa"/>
          </w:tcPr>
          <w:p w14:paraId="11B324D4" w14:textId="77777777" w:rsidR="00865CE1" w:rsidRPr="008B34A9" w:rsidRDefault="00865CE1" w:rsidP="00A67DC0">
            <w:pPr>
              <w:jc w:val="both"/>
              <w:rPr>
                <w:rFonts w:ascii="Calibri" w:hAnsi="Calibri"/>
                <w:sz w:val="22"/>
                <w:szCs w:val="22"/>
              </w:rPr>
            </w:pPr>
          </w:p>
        </w:tc>
        <w:tc>
          <w:tcPr>
            <w:tcW w:w="369" w:type="dxa"/>
          </w:tcPr>
          <w:p w14:paraId="2098859A" w14:textId="77777777" w:rsidR="00865CE1" w:rsidRPr="008B34A9" w:rsidRDefault="00865CE1" w:rsidP="00A67DC0">
            <w:pPr>
              <w:jc w:val="both"/>
              <w:rPr>
                <w:rFonts w:ascii="Calibri" w:hAnsi="Calibri"/>
                <w:sz w:val="22"/>
                <w:szCs w:val="22"/>
              </w:rPr>
            </w:pPr>
          </w:p>
        </w:tc>
        <w:tc>
          <w:tcPr>
            <w:tcW w:w="369" w:type="dxa"/>
          </w:tcPr>
          <w:p w14:paraId="164A1B59" w14:textId="77777777" w:rsidR="00865CE1" w:rsidRPr="00641D0E" w:rsidRDefault="00865CE1" w:rsidP="00A67DC0">
            <w:pPr>
              <w:jc w:val="both"/>
              <w:rPr>
                <w:rFonts w:ascii="Calibri" w:hAnsi="Calibri"/>
              </w:rPr>
            </w:pPr>
          </w:p>
        </w:tc>
      </w:tr>
      <w:tr w:rsidR="000374A6" w:rsidRPr="00641D0E" w14:paraId="38B09237" w14:textId="77777777" w:rsidTr="000374A6">
        <w:tc>
          <w:tcPr>
            <w:tcW w:w="4219" w:type="dxa"/>
          </w:tcPr>
          <w:p w14:paraId="2B579768" w14:textId="77777777" w:rsidR="00D42006" w:rsidRPr="008B34A9" w:rsidRDefault="0096555D" w:rsidP="00C23DFB">
            <w:pPr>
              <w:jc w:val="both"/>
              <w:rPr>
                <w:rFonts w:ascii="Calibri" w:hAnsi="Calibri"/>
                <w:sz w:val="22"/>
                <w:szCs w:val="22"/>
              </w:rPr>
            </w:pPr>
            <w:r w:rsidRPr="008B34A9">
              <w:rPr>
                <w:rFonts w:ascii="Calibri" w:hAnsi="Calibri"/>
                <w:sz w:val="22"/>
                <w:szCs w:val="22"/>
              </w:rPr>
              <w:t>Development</w:t>
            </w:r>
            <w:r w:rsidR="00865CE1" w:rsidRPr="008B34A9">
              <w:rPr>
                <w:rFonts w:ascii="Calibri" w:hAnsi="Calibri"/>
                <w:sz w:val="22"/>
                <w:szCs w:val="22"/>
              </w:rPr>
              <w:t xml:space="preserve"> of </w:t>
            </w:r>
            <w:r w:rsidR="008B34A9" w:rsidRPr="008B34A9">
              <w:rPr>
                <w:rFonts w:ascii="Calibri" w:hAnsi="Calibri"/>
                <w:sz w:val="22"/>
                <w:szCs w:val="22"/>
              </w:rPr>
              <w:t xml:space="preserve">principles, </w:t>
            </w:r>
            <w:r w:rsidR="00865CE1" w:rsidRPr="008B34A9">
              <w:rPr>
                <w:rFonts w:ascii="Calibri" w:hAnsi="Calibri"/>
                <w:sz w:val="22"/>
                <w:szCs w:val="22"/>
              </w:rPr>
              <w:t>templates</w:t>
            </w:r>
            <w:r w:rsidR="003079B8" w:rsidRPr="008B34A9">
              <w:rPr>
                <w:rFonts w:ascii="Calibri" w:hAnsi="Calibri"/>
                <w:sz w:val="22"/>
                <w:szCs w:val="22"/>
              </w:rPr>
              <w:t xml:space="preserve"> and processes for the response </w:t>
            </w:r>
            <w:r w:rsidR="008B34A9" w:rsidRPr="008B34A9">
              <w:rPr>
                <w:rFonts w:ascii="Calibri" w:hAnsi="Calibri"/>
                <w:sz w:val="22"/>
                <w:szCs w:val="22"/>
              </w:rPr>
              <w:t>funding</w:t>
            </w:r>
          </w:p>
        </w:tc>
        <w:tc>
          <w:tcPr>
            <w:tcW w:w="368" w:type="dxa"/>
          </w:tcPr>
          <w:p w14:paraId="5A584D9E" w14:textId="77777777" w:rsidR="00865CE1" w:rsidRPr="008B34A9" w:rsidRDefault="00865CE1" w:rsidP="00A67DC0">
            <w:pPr>
              <w:jc w:val="both"/>
              <w:rPr>
                <w:rFonts w:ascii="Calibri" w:hAnsi="Calibri"/>
                <w:sz w:val="22"/>
                <w:szCs w:val="22"/>
              </w:rPr>
            </w:pPr>
            <w:r w:rsidRPr="008B34A9">
              <w:rPr>
                <w:rFonts w:ascii="Calibri" w:hAnsi="Calibri"/>
                <w:sz w:val="22"/>
                <w:szCs w:val="22"/>
              </w:rPr>
              <w:t>x</w:t>
            </w:r>
          </w:p>
        </w:tc>
        <w:tc>
          <w:tcPr>
            <w:tcW w:w="369" w:type="dxa"/>
          </w:tcPr>
          <w:p w14:paraId="08A68244" w14:textId="77777777" w:rsidR="00865CE1" w:rsidRPr="008B34A9" w:rsidRDefault="00865CE1" w:rsidP="00A67DC0">
            <w:pPr>
              <w:jc w:val="both"/>
              <w:rPr>
                <w:rFonts w:ascii="Calibri" w:hAnsi="Calibri"/>
                <w:sz w:val="22"/>
                <w:szCs w:val="22"/>
              </w:rPr>
            </w:pPr>
            <w:r w:rsidRPr="008B34A9">
              <w:rPr>
                <w:rFonts w:ascii="Calibri" w:hAnsi="Calibri"/>
                <w:sz w:val="22"/>
                <w:szCs w:val="22"/>
              </w:rPr>
              <w:t>x</w:t>
            </w:r>
          </w:p>
        </w:tc>
        <w:tc>
          <w:tcPr>
            <w:tcW w:w="369" w:type="dxa"/>
          </w:tcPr>
          <w:p w14:paraId="76E01256" w14:textId="77777777" w:rsidR="00865CE1" w:rsidRPr="008B34A9" w:rsidRDefault="00865CE1" w:rsidP="00A67DC0">
            <w:pPr>
              <w:jc w:val="both"/>
              <w:rPr>
                <w:rFonts w:ascii="Calibri" w:hAnsi="Calibri"/>
                <w:sz w:val="22"/>
                <w:szCs w:val="22"/>
              </w:rPr>
            </w:pPr>
          </w:p>
        </w:tc>
        <w:tc>
          <w:tcPr>
            <w:tcW w:w="369" w:type="dxa"/>
          </w:tcPr>
          <w:p w14:paraId="0D2C70D2" w14:textId="77777777" w:rsidR="00865CE1" w:rsidRPr="008B34A9" w:rsidRDefault="00865CE1" w:rsidP="00A67DC0">
            <w:pPr>
              <w:jc w:val="both"/>
              <w:rPr>
                <w:rFonts w:ascii="Calibri" w:hAnsi="Calibri"/>
                <w:sz w:val="22"/>
                <w:szCs w:val="22"/>
              </w:rPr>
            </w:pPr>
          </w:p>
        </w:tc>
        <w:tc>
          <w:tcPr>
            <w:tcW w:w="368" w:type="dxa"/>
          </w:tcPr>
          <w:p w14:paraId="7CF0DA43" w14:textId="77777777" w:rsidR="00865CE1" w:rsidRPr="008B34A9" w:rsidRDefault="00865CE1" w:rsidP="00A67DC0">
            <w:pPr>
              <w:jc w:val="both"/>
              <w:rPr>
                <w:rFonts w:ascii="Calibri" w:hAnsi="Calibri"/>
                <w:sz w:val="22"/>
                <w:szCs w:val="22"/>
              </w:rPr>
            </w:pPr>
          </w:p>
        </w:tc>
        <w:tc>
          <w:tcPr>
            <w:tcW w:w="369" w:type="dxa"/>
          </w:tcPr>
          <w:p w14:paraId="3EF24276" w14:textId="77777777" w:rsidR="00865CE1" w:rsidRPr="008B34A9" w:rsidRDefault="00865CE1" w:rsidP="00A67DC0">
            <w:pPr>
              <w:jc w:val="both"/>
              <w:rPr>
                <w:rFonts w:ascii="Calibri" w:hAnsi="Calibri"/>
                <w:sz w:val="22"/>
                <w:szCs w:val="22"/>
              </w:rPr>
            </w:pPr>
          </w:p>
        </w:tc>
        <w:tc>
          <w:tcPr>
            <w:tcW w:w="369" w:type="dxa"/>
          </w:tcPr>
          <w:p w14:paraId="6EEC8819" w14:textId="77777777" w:rsidR="00865CE1" w:rsidRPr="008B34A9" w:rsidRDefault="00865CE1" w:rsidP="00A67DC0">
            <w:pPr>
              <w:jc w:val="both"/>
              <w:rPr>
                <w:rFonts w:ascii="Calibri" w:hAnsi="Calibri"/>
                <w:sz w:val="22"/>
                <w:szCs w:val="22"/>
              </w:rPr>
            </w:pPr>
          </w:p>
        </w:tc>
        <w:tc>
          <w:tcPr>
            <w:tcW w:w="369" w:type="dxa"/>
          </w:tcPr>
          <w:p w14:paraId="032E221E" w14:textId="77777777" w:rsidR="00865CE1" w:rsidRPr="008B34A9" w:rsidRDefault="00865CE1" w:rsidP="00A67DC0">
            <w:pPr>
              <w:jc w:val="both"/>
              <w:rPr>
                <w:rFonts w:ascii="Calibri" w:hAnsi="Calibri"/>
                <w:sz w:val="22"/>
                <w:szCs w:val="22"/>
              </w:rPr>
            </w:pPr>
          </w:p>
        </w:tc>
        <w:tc>
          <w:tcPr>
            <w:tcW w:w="368" w:type="dxa"/>
          </w:tcPr>
          <w:p w14:paraId="1BDF9644" w14:textId="77777777" w:rsidR="00865CE1" w:rsidRPr="008B34A9" w:rsidRDefault="00865CE1" w:rsidP="00A67DC0">
            <w:pPr>
              <w:jc w:val="both"/>
              <w:rPr>
                <w:rFonts w:ascii="Calibri" w:hAnsi="Calibri"/>
                <w:sz w:val="22"/>
                <w:szCs w:val="22"/>
              </w:rPr>
            </w:pPr>
          </w:p>
        </w:tc>
        <w:tc>
          <w:tcPr>
            <w:tcW w:w="369" w:type="dxa"/>
          </w:tcPr>
          <w:p w14:paraId="6B947F7A" w14:textId="77777777" w:rsidR="00865CE1" w:rsidRPr="008B34A9" w:rsidRDefault="00865CE1" w:rsidP="00A67DC0">
            <w:pPr>
              <w:jc w:val="both"/>
              <w:rPr>
                <w:rFonts w:ascii="Calibri" w:hAnsi="Calibri"/>
                <w:sz w:val="22"/>
                <w:szCs w:val="22"/>
              </w:rPr>
            </w:pPr>
          </w:p>
        </w:tc>
        <w:tc>
          <w:tcPr>
            <w:tcW w:w="369" w:type="dxa"/>
          </w:tcPr>
          <w:p w14:paraId="3AEB54D2" w14:textId="77777777" w:rsidR="00865CE1" w:rsidRPr="008B34A9" w:rsidRDefault="00865CE1" w:rsidP="00A67DC0">
            <w:pPr>
              <w:jc w:val="both"/>
              <w:rPr>
                <w:rFonts w:ascii="Calibri" w:hAnsi="Calibri"/>
                <w:sz w:val="22"/>
                <w:szCs w:val="22"/>
              </w:rPr>
            </w:pPr>
          </w:p>
        </w:tc>
        <w:tc>
          <w:tcPr>
            <w:tcW w:w="369" w:type="dxa"/>
          </w:tcPr>
          <w:p w14:paraId="7121CC89" w14:textId="77777777" w:rsidR="00865CE1" w:rsidRPr="00641D0E" w:rsidRDefault="00865CE1" w:rsidP="00A67DC0">
            <w:pPr>
              <w:jc w:val="both"/>
              <w:rPr>
                <w:rFonts w:ascii="Calibri" w:hAnsi="Calibri"/>
              </w:rPr>
            </w:pPr>
          </w:p>
        </w:tc>
      </w:tr>
      <w:tr w:rsidR="000374A6" w:rsidRPr="00641D0E" w14:paraId="35DFADDA" w14:textId="77777777" w:rsidTr="000374A6">
        <w:tc>
          <w:tcPr>
            <w:tcW w:w="4219" w:type="dxa"/>
          </w:tcPr>
          <w:p w14:paraId="68E617ED" w14:textId="77777777" w:rsidR="00D42006" w:rsidRPr="008B34A9" w:rsidRDefault="008B34A9" w:rsidP="00D268A7">
            <w:pPr>
              <w:jc w:val="both"/>
              <w:rPr>
                <w:rFonts w:ascii="Calibri" w:hAnsi="Calibri"/>
                <w:sz w:val="22"/>
                <w:szCs w:val="22"/>
              </w:rPr>
            </w:pPr>
            <w:r w:rsidRPr="008B34A9">
              <w:rPr>
                <w:rFonts w:ascii="Calibri" w:hAnsi="Calibri"/>
                <w:sz w:val="22"/>
                <w:szCs w:val="22"/>
              </w:rPr>
              <w:t>‘Design and implement’ i</w:t>
            </w:r>
            <w:r w:rsidR="002E3FF5" w:rsidRPr="008B34A9">
              <w:rPr>
                <w:rFonts w:ascii="Calibri" w:hAnsi="Calibri"/>
                <w:sz w:val="22"/>
                <w:szCs w:val="22"/>
              </w:rPr>
              <w:t xml:space="preserve">nception phase to build local humanitarian capability </w:t>
            </w:r>
            <w:r w:rsidR="00D268A7">
              <w:rPr>
                <w:rFonts w:ascii="Calibri" w:hAnsi="Calibri"/>
                <w:sz w:val="22"/>
                <w:szCs w:val="22"/>
              </w:rPr>
              <w:t xml:space="preserve">and </w:t>
            </w:r>
            <w:r w:rsidR="00D268A7" w:rsidRPr="00737D62">
              <w:rPr>
                <w:rFonts w:ascii="Calibri" w:hAnsi="Calibri"/>
                <w:sz w:val="22"/>
                <w:szCs w:val="22"/>
              </w:rPr>
              <w:t xml:space="preserve">strengthen disaster resilience of communities </w:t>
            </w:r>
            <w:r w:rsidR="002E3FF5" w:rsidRPr="008B34A9">
              <w:rPr>
                <w:rFonts w:ascii="Calibri" w:hAnsi="Calibri"/>
                <w:sz w:val="22"/>
                <w:szCs w:val="22"/>
              </w:rPr>
              <w:t>in the Pacific</w:t>
            </w:r>
          </w:p>
        </w:tc>
        <w:tc>
          <w:tcPr>
            <w:tcW w:w="368" w:type="dxa"/>
          </w:tcPr>
          <w:p w14:paraId="5E30D808" w14:textId="77777777" w:rsidR="002A42DA" w:rsidRPr="00405EE8" w:rsidRDefault="002A42DA" w:rsidP="00A67DC0">
            <w:pPr>
              <w:jc w:val="both"/>
              <w:rPr>
                <w:rFonts w:ascii="Calibri" w:hAnsi="Calibri"/>
                <w:sz w:val="22"/>
                <w:szCs w:val="22"/>
              </w:rPr>
            </w:pPr>
            <w:r w:rsidRPr="00405EE8">
              <w:rPr>
                <w:rFonts w:ascii="Calibri" w:hAnsi="Calibri"/>
                <w:sz w:val="22"/>
                <w:szCs w:val="22"/>
              </w:rPr>
              <w:t>x</w:t>
            </w:r>
          </w:p>
        </w:tc>
        <w:tc>
          <w:tcPr>
            <w:tcW w:w="369" w:type="dxa"/>
          </w:tcPr>
          <w:p w14:paraId="12DC8B31" w14:textId="77777777" w:rsidR="002A42DA" w:rsidRPr="00405EE8" w:rsidRDefault="002A42DA" w:rsidP="00A67DC0">
            <w:pPr>
              <w:jc w:val="both"/>
              <w:rPr>
                <w:rFonts w:ascii="Calibri" w:hAnsi="Calibri"/>
                <w:sz w:val="22"/>
                <w:szCs w:val="22"/>
              </w:rPr>
            </w:pPr>
            <w:r w:rsidRPr="00405EE8">
              <w:rPr>
                <w:rFonts w:ascii="Calibri" w:hAnsi="Calibri"/>
                <w:sz w:val="22"/>
                <w:szCs w:val="22"/>
              </w:rPr>
              <w:t>x</w:t>
            </w:r>
          </w:p>
          <w:p w14:paraId="31D499F0" w14:textId="77777777" w:rsidR="000632DF" w:rsidRPr="00405EE8" w:rsidRDefault="000632DF" w:rsidP="00A67DC0">
            <w:pPr>
              <w:jc w:val="both"/>
              <w:rPr>
                <w:rFonts w:ascii="Calibri" w:hAnsi="Calibri"/>
                <w:sz w:val="22"/>
                <w:szCs w:val="22"/>
              </w:rPr>
            </w:pPr>
          </w:p>
          <w:p w14:paraId="44225C70" w14:textId="77777777" w:rsidR="000632DF" w:rsidRPr="00405EE8" w:rsidRDefault="000632DF" w:rsidP="00A67DC0">
            <w:pPr>
              <w:jc w:val="both"/>
              <w:rPr>
                <w:rFonts w:ascii="Calibri" w:hAnsi="Calibri"/>
                <w:sz w:val="22"/>
                <w:szCs w:val="22"/>
              </w:rPr>
            </w:pPr>
          </w:p>
        </w:tc>
        <w:tc>
          <w:tcPr>
            <w:tcW w:w="369" w:type="dxa"/>
          </w:tcPr>
          <w:p w14:paraId="7540FCC4" w14:textId="77777777" w:rsidR="002A42DA" w:rsidRPr="00405EE8" w:rsidRDefault="002A42DA" w:rsidP="00A67DC0">
            <w:pPr>
              <w:jc w:val="both"/>
              <w:rPr>
                <w:rFonts w:ascii="Calibri" w:hAnsi="Calibri"/>
                <w:sz w:val="22"/>
                <w:szCs w:val="22"/>
              </w:rPr>
            </w:pPr>
            <w:r w:rsidRPr="00405EE8">
              <w:rPr>
                <w:rFonts w:ascii="Calibri" w:hAnsi="Calibri"/>
                <w:sz w:val="22"/>
                <w:szCs w:val="22"/>
              </w:rPr>
              <w:t>x</w:t>
            </w:r>
          </w:p>
          <w:p w14:paraId="592DE15D" w14:textId="77777777" w:rsidR="000632DF" w:rsidRPr="00405EE8" w:rsidRDefault="000632DF" w:rsidP="00A67DC0">
            <w:pPr>
              <w:jc w:val="both"/>
              <w:rPr>
                <w:rFonts w:ascii="Calibri" w:hAnsi="Calibri"/>
                <w:sz w:val="22"/>
                <w:szCs w:val="22"/>
              </w:rPr>
            </w:pPr>
          </w:p>
          <w:p w14:paraId="502B97DB" w14:textId="77777777" w:rsidR="000632DF" w:rsidRPr="00405EE8" w:rsidRDefault="000632DF" w:rsidP="00A67DC0">
            <w:pPr>
              <w:jc w:val="both"/>
              <w:rPr>
                <w:rFonts w:ascii="Calibri" w:hAnsi="Calibri"/>
                <w:sz w:val="22"/>
                <w:szCs w:val="22"/>
              </w:rPr>
            </w:pPr>
          </w:p>
        </w:tc>
        <w:tc>
          <w:tcPr>
            <w:tcW w:w="369" w:type="dxa"/>
          </w:tcPr>
          <w:p w14:paraId="336D9C0E" w14:textId="77777777" w:rsidR="002A42DA" w:rsidRPr="00405EE8" w:rsidRDefault="002E3FF5" w:rsidP="00A67DC0">
            <w:pPr>
              <w:jc w:val="both"/>
              <w:rPr>
                <w:rFonts w:ascii="Calibri" w:hAnsi="Calibri"/>
                <w:sz w:val="22"/>
                <w:szCs w:val="22"/>
              </w:rPr>
            </w:pPr>
            <w:r w:rsidRPr="00405EE8">
              <w:rPr>
                <w:rFonts w:ascii="Calibri" w:hAnsi="Calibri"/>
                <w:sz w:val="22"/>
                <w:szCs w:val="22"/>
              </w:rPr>
              <w:t>x</w:t>
            </w:r>
          </w:p>
          <w:p w14:paraId="0F08835B" w14:textId="77777777" w:rsidR="000632DF" w:rsidRPr="00405EE8" w:rsidRDefault="000632DF" w:rsidP="00A67DC0">
            <w:pPr>
              <w:jc w:val="both"/>
              <w:rPr>
                <w:rFonts w:ascii="Calibri" w:hAnsi="Calibri"/>
                <w:sz w:val="22"/>
                <w:szCs w:val="22"/>
              </w:rPr>
            </w:pPr>
          </w:p>
          <w:p w14:paraId="54A3EB5C" w14:textId="77777777" w:rsidR="000632DF" w:rsidRPr="00405EE8" w:rsidRDefault="000632DF" w:rsidP="00A67DC0">
            <w:pPr>
              <w:jc w:val="both"/>
              <w:rPr>
                <w:rFonts w:ascii="Calibri" w:hAnsi="Calibri"/>
                <w:sz w:val="22"/>
                <w:szCs w:val="22"/>
              </w:rPr>
            </w:pPr>
          </w:p>
        </w:tc>
        <w:tc>
          <w:tcPr>
            <w:tcW w:w="368" w:type="dxa"/>
          </w:tcPr>
          <w:p w14:paraId="2F891631" w14:textId="77777777" w:rsidR="000632DF" w:rsidRPr="00405EE8" w:rsidRDefault="00247F6F" w:rsidP="00A67DC0">
            <w:pPr>
              <w:jc w:val="both"/>
              <w:rPr>
                <w:rFonts w:ascii="Calibri" w:hAnsi="Calibri"/>
                <w:sz w:val="22"/>
                <w:szCs w:val="22"/>
              </w:rPr>
            </w:pPr>
            <w:r>
              <w:rPr>
                <w:rFonts w:ascii="Calibri" w:hAnsi="Calibri"/>
                <w:sz w:val="22"/>
                <w:szCs w:val="22"/>
              </w:rPr>
              <w:t>x</w:t>
            </w:r>
          </w:p>
          <w:p w14:paraId="3925339D" w14:textId="77777777" w:rsidR="000632DF" w:rsidRPr="00405EE8" w:rsidRDefault="000632DF" w:rsidP="00A67DC0">
            <w:pPr>
              <w:jc w:val="both"/>
              <w:rPr>
                <w:rFonts w:ascii="Calibri" w:hAnsi="Calibri"/>
                <w:sz w:val="22"/>
                <w:szCs w:val="22"/>
              </w:rPr>
            </w:pPr>
          </w:p>
        </w:tc>
        <w:tc>
          <w:tcPr>
            <w:tcW w:w="369" w:type="dxa"/>
          </w:tcPr>
          <w:p w14:paraId="6339D165" w14:textId="77777777" w:rsidR="002A42DA" w:rsidRPr="003E0481" w:rsidRDefault="002A42DA" w:rsidP="00A67DC0">
            <w:pPr>
              <w:jc w:val="both"/>
              <w:rPr>
                <w:rFonts w:ascii="Calibri" w:hAnsi="Calibri"/>
                <w:sz w:val="22"/>
                <w:szCs w:val="22"/>
                <w:highlight w:val="yellow"/>
              </w:rPr>
            </w:pPr>
          </w:p>
        </w:tc>
        <w:tc>
          <w:tcPr>
            <w:tcW w:w="369" w:type="dxa"/>
          </w:tcPr>
          <w:p w14:paraId="3C22F4D8" w14:textId="77777777" w:rsidR="002A42DA" w:rsidRPr="003E0481" w:rsidRDefault="002A42DA" w:rsidP="00A67DC0">
            <w:pPr>
              <w:jc w:val="both"/>
              <w:rPr>
                <w:rFonts w:ascii="Calibri" w:hAnsi="Calibri"/>
                <w:sz w:val="22"/>
                <w:szCs w:val="22"/>
                <w:highlight w:val="yellow"/>
              </w:rPr>
            </w:pPr>
          </w:p>
        </w:tc>
        <w:tc>
          <w:tcPr>
            <w:tcW w:w="369" w:type="dxa"/>
          </w:tcPr>
          <w:p w14:paraId="2417E48D" w14:textId="77777777" w:rsidR="002A42DA" w:rsidRPr="003E0481" w:rsidRDefault="002A42DA" w:rsidP="00A67DC0">
            <w:pPr>
              <w:jc w:val="both"/>
              <w:rPr>
                <w:rFonts w:ascii="Calibri" w:hAnsi="Calibri"/>
                <w:sz w:val="22"/>
                <w:szCs w:val="22"/>
                <w:highlight w:val="yellow"/>
              </w:rPr>
            </w:pPr>
          </w:p>
        </w:tc>
        <w:tc>
          <w:tcPr>
            <w:tcW w:w="368" w:type="dxa"/>
          </w:tcPr>
          <w:p w14:paraId="43A7C625" w14:textId="77777777" w:rsidR="002A42DA" w:rsidRPr="003E0481" w:rsidRDefault="002A42DA" w:rsidP="00A67DC0">
            <w:pPr>
              <w:jc w:val="both"/>
              <w:rPr>
                <w:rFonts w:ascii="Calibri" w:hAnsi="Calibri"/>
                <w:sz w:val="22"/>
                <w:szCs w:val="22"/>
                <w:highlight w:val="yellow"/>
              </w:rPr>
            </w:pPr>
          </w:p>
        </w:tc>
        <w:tc>
          <w:tcPr>
            <w:tcW w:w="369" w:type="dxa"/>
          </w:tcPr>
          <w:p w14:paraId="166959E1" w14:textId="77777777" w:rsidR="002A42DA" w:rsidRPr="003E0481" w:rsidRDefault="002A42DA" w:rsidP="00A67DC0">
            <w:pPr>
              <w:jc w:val="both"/>
              <w:rPr>
                <w:rFonts w:ascii="Calibri" w:hAnsi="Calibri"/>
                <w:sz w:val="22"/>
                <w:szCs w:val="22"/>
                <w:highlight w:val="yellow"/>
              </w:rPr>
            </w:pPr>
          </w:p>
        </w:tc>
        <w:tc>
          <w:tcPr>
            <w:tcW w:w="369" w:type="dxa"/>
          </w:tcPr>
          <w:p w14:paraId="62A9B772" w14:textId="77777777" w:rsidR="002A42DA" w:rsidRPr="003E0481" w:rsidRDefault="002A42DA" w:rsidP="00A67DC0">
            <w:pPr>
              <w:jc w:val="both"/>
              <w:rPr>
                <w:rFonts w:ascii="Calibri" w:hAnsi="Calibri"/>
                <w:sz w:val="22"/>
                <w:szCs w:val="22"/>
                <w:highlight w:val="yellow"/>
              </w:rPr>
            </w:pPr>
          </w:p>
        </w:tc>
        <w:tc>
          <w:tcPr>
            <w:tcW w:w="369" w:type="dxa"/>
          </w:tcPr>
          <w:p w14:paraId="23EF7EC9" w14:textId="77777777" w:rsidR="002A42DA" w:rsidRPr="003E0481" w:rsidRDefault="002A42DA" w:rsidP="00A67DC0">
            <w:pPr>
              <w:jc w:val="both"/>
              <w:rPr>
                <w:rFonts w:ascii="Calibri" w:hAnsi="Calibri"/>
                <w:highlight w:val="yellow"/>
              </w:rPr>
            </w:pPr>
          </w:p>
        </w:tc>
      </w:tr>
      <w:tr w:rsidR="000374A6" w:rsidRPr="00641D0E" w14:paraId="5E69679D" w14:textId="77777777" w:rsidTr="000374A6">
        <w:tc>
          <w:tcPr>
            <w:tcW w:w="4219" w:type="dxa"/>
          </w:tcPr>
          <w:p w14:paraId="611D4CF3" w14:textId="77777777" w:rsidR="00D42006" w:rsidRPr="008B34A9" w:rsidRDefault="002A42DA" w:rsidP="00C23DFB">
            <w:pPr>
              <w:jc w:val="both"/>
              <w:rPr>
                <w:rFonts w:ascii="Calibri" w:hAnsi="Calibri"/>
                <w:sz w:val="22"/>
                <w:szCs w:val="22"/>
              </w:rPr>
            </w:pPr>
            <w:r w:rsidRPr="008B34A9">
              <w:rPr>
                <w:rFonts w:ascii="Calibri" w:hAnsi="Calibri"/>
                <w:sz w:val="22"/>
                <w:szCs w:val="22"/>
              </w:rPr>
              <w:t xml:space="preserve">MEL framework </w:t>
            </w:r>
            <w:r w:rsidR="00D268A7">
              <w:rPr>
                <w:rFonts w:ascii="Calibri" w:hAnsi="Calibri"/>
                <w:sz w:val="22"/>
                <w:szCs w:val="22"/>
              </w:rPr>
              <w:t xml:space="preserve">revised, and </w:t>
            </w:r>
            <w:r w:rsidRPr="008B34A9">
              <w:rPr>
                <w:rFonts w:ascii="Calibri" w:hAnsi="Calibri"/>
                <w:sz w:val="22"/>
                <w:szCs w:val="22"/>
              </w:rPr>
              <w:t>familiarisation and planning of MEL events</w:t>
            </w:r>
          </w:p>
        </w:tc>
        <w:tc>
          <w:tcPr>
            <w:tcW w:w="368" w:type="dxa"/>
          </w:tcPr>
          <w:p w14:paraId="3C1DEE6E" w14:textId="77777777" w:rsidR="002A42DA" w:rsidRPr="008B34A9" w:rsidRDefault="002A42DA" w:rsidP="00A67DC0">
            <w:pPr>
              <w:jc w:val="both"/>
              <w:rPr>
                <w:rFonts w:ascii="Calibri" w:hAnsi="Calibri"/>
                <w:sz w:val="22"/>
                <w:szCs w:val="22"/>
              </w:rPr>
            </w:pPr>
          </w:p>
        </w:tc>
        <w:tc>
          <w:tcPr>
            <w:tcW w:w="369" w:type="dxa"/>
          </w:tcPr>
          <w:p w14:paraId="6350B7DE" w14:textId="77777777" w:rsidR="002A42DA" w:rsidRPr="008B34A9" w:rsidRDefault="002A42DA" w:rsidP="00A67DC0">
            <w:pPr>
              <w:jc w:val="both"/>
              <w:rPr>
                <w:rFonts w:ascii="Calibri" w:hAnsi="Calibri"/>
                <w:sz w:val="22"/>
                <w:szCs w:val="22"/>
              </w:rPr>
            </w:pPr>
            <w:r w:rsidRPr="008B34A9">
              <w:rPr>
                <w:rFonts w:ascii="Calibri" w:hAnsi="Calibri"/>
                <w:sz w:val="22"/>
                <w:szCs w:val="22"/>
              </w:rPr>
              <w:t>x</w:t>
            </w:r>
          </w:p>
        </w:tc>
        <w:tc>
          <w:tcPr>
            <w:tcW w:w="369" w:type="dxa"/>
          </w:tcPr>
          <w:p w14:paraId="2AAAAB8C" w14:textId="77777777" w:rsidR="002A42DA" w:rsidRPr="008B34A9" w:rsidRDefault="000632DF" w:rsidP="00A67DC0">
            <w:pPr>
              <w:jc w:val="both"/>
              <w:rPr>
                <w:rFonts w:ascii="Calibri" w:hAnsi="Calibri"/>
                <w:sz w:val="22"/>
                <w:szCs w:val="22"/>
              </w:rPr>
            </w:pPr>
            <w:r>
              <w:rPr>
                <w:rFonts w:ascii="Calibri" w:hAnsi="Calibri"/>
                <w:sz w:val="22"/>
                <w:szCs w:val="22"/>
              </w:rPr>
              <w:t>x</w:t>
            </w:r>
          </w:p>
        </w:tc>
        <w:tc>
          <w:tcPr>
            <w:tcW w:w="369" w:type="dxa"/>
          </w:tcPr>
          <w:p w14:paraId="7083E2E9" w14:textId="77777777" w:rsidR="002A42DA" w:rsidRPr="008B34A9" w:rsidRDefault="002A42DA" w:rsidP="00A67DC0">
            <w:pPr>
              <w:jc w:val="both"/>
              <w:rPr>
                <w:rFonts w:ascii="Calibri" w:hAnsi="Calibri"/>
                <w:sz w:val="22"/>
                <w:szCs w:val="22"/>
              </w:rPr>
            </w:pPr>
          </w:p>
        </w:tc>
        <w:tc>
          <w:tcPr>
            <w:tcW w:w="368" w:type="dxa"/>
          </w:tcPr>
          <w:p w14:paraId="0EA508AC" w14:textId="77777777" w:rsidR="002A42DA" w:rsidRPr="008B34A9" w:rsidRDefault="002A42DA" w:rsidP="00A67DC0">
            <w:pPr>
              <w:jc w:val="both"/>
              <w:rPr>
                <w:rFonts w:ascii="Calibri" w:hAnsi="Calibri"/>
                <w:sz w:val="22"/>
                <w:szCs w:val="22"/>
              </w:rPr>
            </w:pPr>
          </w:p>
        </w:tc>
        <w:tc>
          <w:tcPr>
            <w:tcW w:w="369" w:type="dxa"/>
          </w:tcPr>
          <w:p w14:paraId="6C4A640E" w14:textId="77777777" w:rsidR="002A42DA" w:rsidRPr="008B34A9" w:rsidRDefault="002A42DA" w:rsidP="00A67DC0">
            <w:pPr>
              <w:jc w:val="both"/>
              <w:rPr>
                <w:rFonts w:ascii="Calibri" w:hAnsi="Calibri"/>
                <w:sz w:val="22"/>
                <w:szCs w:val="22"/>
              </w:rPr>
            </w:pPr>
          </w:p>
        </w:tc>
        <w:tc>
          <w:tcPr>
            <w:tcW w:w="369" w:type="dxa"/>
          </w:tcPr>
          <w:p w14:paraId="7CED686A" w14:textId="77777777" w:rsidR="002A42DA" w:rsidRPr="008B34A9" w:rsidRDefault="002A42DA" w:rsidP="00A67DC0">
            <w:pPr>
              <w:jc w:val="both"/>
              <w:rPr>
                <w:rFonts w:ascii="Calibri" w:hAnsi="Calibri"/>
                <w:sz w:val="22"/>
                <w:szCs w:val="22"/>
              </w:rPr>
            </w:pPr>
          </w:p>
        </w:tc>
        <w:tc>
          <w:tcPr>
            <w:tcW w:w="369" w:type="dxa"/>
          </w:tcPr>
          <w:p w14:paraId="3ACBAA1D" w14:textId="77777777" w:rsidR="002A42DA" w:rsidRPr="008B34A9" w:rsidRDefault="002A42DA" w:rsidP="00A67DC0">
            <w:pPr>
              <w:jc w:val="both"/>
              <w:rPr>
                <w:rFonts w:ascii="Calibri" w:hAnsi="Calibri"/>
                <w:sz w:val="22"/>
                <w:szCs w:val="22"/>
              </w:rPr>
            </w:pPr>
          </w:p>
        </w:tc>
        <w:tc>
          <w:tcPr>
            <w:tcW w:w="368" w:type="dxa"/>
          </w:tcPr>
          <w:p w14:paraId="3249DAE6" w14:textId="77777777" w:rsidR="002A42DA" w:rsidRPr="008B34A9" w:rsidRDefault="002A42DA" w:rsidP="00A67DC0">
            <w:pPr>
              <w:jc w:val="both"/>
              <w:rPr>
                <w:rFonts w:ascii="Calibri" w:hAnsi="Calibri"/>
                <w:sz w:val="22"/>
                <w:szCs w:val="22"/>
              </w:rPr>
            </w:pPr>
          </w:p>
        </w:tc>
        <w:tc>
          <w:tcPr>
            <w:tcW w:w="369" w:type="dxa"/>
          </w:tcPr>
          <w:p w14:paraId="565F8484" w14:textId="77777777" w:rsidR="002A42DA" w:rsidRPr="008B34A9" w:rsidRDefault="002A42DA" w:rsidP="00A67DC0">
            <w:pPr>
              <w:jc w:val="both"/>
              <w:rPr>
                <w:rFonts w:ascii="Calibri" w:hAnsi="Calibri"/>
                <w:sz w:val="22"/>
                <w:szCs w:val="22"/>
              </w:rPr>
            </w:pPr>
          </w:p>
        </w:tc>
        <w:tc>
          <w:tcPr>
            <w:tcW w:w="369" w:type="dxa"/>
          </w:tcPr>
          <w:p w14:paraId="296BA96D" w14:textId="77777777" w:rsidR="002A42DA" w:rsidRPr="008B34A9" w:rsidRDefault="002A42DA" w:rsidP="00A67DC0">
            <w:pPr>
              <w:jc w:val="both"/>
              <w:rPr>
                <w:rFonts w:ascii="Calibri" w:hAnsi="Calibri"/>
                <w:sz w:val="22"/>
                <w:szCs w:val="22"/>
              </w:rPr>
            </w:pPr>
          </w:p>
        </w:tc>
        <w:tc>
          <w:tcPr>
            <w:tcW w:w="369" w:type="dxa"/>
          </w:tcPr>
          <w:p w14:paraId="224F7C89" w14:textId="77777777" w:rsidR="002A42DA" w:rsidRPr="00641D0E" w:rsidRDefault="002A42DA" w:rsidP="00A67DC0">
            <w:pPr>
              <w:jc w:val="both"/>
              <w:rPr>
                <w:rFonts w:ascii="Calibri" w:hAnsi="Calibri"/>
              </w:rPr>
            </w:pPr>
          </w:p>
        </w:tc>
      </w:tr>
      <w:tr w:rsidR="000374A6" w:rsidRPr="00641D0E" w14:paraId="248B2DC2" w14:textId="77777777" w:rsidTr="000374A6">
        <w:tc>
          <w:tcPr>
            <w:tcW w:w="4219" w:type="dxa"/>
          </w:tcPr>
          <w:p w14:paraId="0CB8D5B1" w14:textId="77777777" w:rsidR="00D42006" w:rsidRPr="008B34A9" w:rsidRDefault="00657E08" w:rsidP="00C23DFB">
            <w:pPr>
              <w:jc w:val="both"/>
              <w:rPr>
                <w:rFonts w:ascii="Calibri" w:hAnsi="Calibri"/>
                <w:sz w:val="22"/>
                <w:szCs w:val="22"/>
              </w:rPr>
            </w:pPr>
            <w:r w:rsidRPr="008B34A9">
              <w:rPr>
                <w:rFonts w:ascii="Calibri" w:hAnsi="Calibri"/>
                <w:sz w:val="22"/>
                <w:szCs w:val="22"/>
              </w:rPr>
              <w:t>Development o</w:t>
            </w:r>
            <w:r w:rsidR="00050A04" w:rsidRPr="008B34A9">
              <w:rPr>
                <w:rFonts w:ascii="Calibri" w:hAnsi="Calibri"/>
                <w:sz w:val="22"/>
                <w:szCs w:val="22"/>
              </w:rPr>
              <w:t>f</w:t>
            </w:r>
            <w:r w:rsidRPr="008B34A9">
              <w:rPr>
                <w:rFonts w:ascii="Calibri" w:hAnsi="Calibri"/>
                <w:sz w:val="22"/>
                <w:szCs w:val="22"/>
              </w:rPr>
              <w:t xml:space="preserve"> c</w:t>
            </w:r>
            <w:r w:rsidR="00865CE1" w:rsidRPr="008B34A9">
              <w:rPr>
                <w:rFonts w:ascii="Calibri" w:hAnsi="Calibri"/>
                <w:sz w:val="22"/>
                <w:szCs w:val="22"/>
              </w:rPr>
              <w:t>ommunications plan</w:t>
            </w:r>
            <w:r w:rsidRPr="008B34A9">
              <w:rPr>
                <w:rFonts w:ascii="Calibri" w:hAnsi="Calibri"/>
                <w:sz w:val="22"/>
                <w:szCs w:val="22"/>
              </w:rPr>
              <w:t xml:space="preserve"> and protocols</w:t>
            </w:r>
          </w:p>
        </w:tc>
        <w:tc>
          <w:tcPr>
            <w:tcW w:w="368" w:type="dxa"/>
          </w:tcPr>
          <w:p w14:paraId="29EAB11B" w14:textId="77777777" w:rsidR="00865CE1" w:rsidRPr="008B34A9" w:rsidRDefault="00865CE1" w:rsidP="00A67DC0">
            <w:pPr>
              <w:jc w:val="both"/>
              <w:rPr>
                <w:rFonts w:ascii="Calibri" w:hAnsi="Calibri"/>
                <w:sz w:val="22"/>
                <w:szCs w:val="22"/>
              </w:rPr>
            </w:pPr>
          </w:p>
        </w:tc>
        <w:tc>
          <w:tcPr>
            <w:tcW w:w="369" w:type="dxa"/>
          </w:tcPr>
          <w:p w14:paraId="2B992F6D" w14:textId="77777777" w:rsidR="00865CE1" w:rsidRPr="008B34A9" w:rsidRDefault="00865CE1" w:rsidP="00A67DC0">
            <w:pPr>
              <w:jc w:val="both"/>
              <w:rPr>
                <w:rFonts w:ascii="Calibri" w:hAnsi="Calibri"/>
                <w:sz w:val="22"/>
                <w:szCs w:val="22"/>
              </w:rPr>
            </w:pPr>
          </w:p>
        </w:tc>
        <w:tc>
          <w:tcPr>
            <w:tcW w:w="369" w:type="dxa"/>
          </w:tcPr>
          <w:p w14:paraId="2EBD418A" w14:textId="77777777" w:rsidR="00865CE1" w:rsidRPr="008B34A9" w:rsidRDefault="00865CE1" w:rsidP="00A67DC0">
            <w:pPr>
              <w:jc w:val="both"/>
              <w:rPr>
                <w:rFonts w:ascii="Calibri" w:hAnsi="Calibri"/>
                <w:sz w:val="22"/>
                <w:szCs w:val="22"/>
              </w:rPr>
            </w:pPr>
            <w:r w:rsidRPr="008B34A9">
              <w:rPr>
                <w:rFonts w:ascii="Calibri" w:hAnsi="Calibri"/>
                <w:sz w:val="22"/>
                <w:szCs w:val="22"/>
              </w:rPr>
              <w:t>x</w:t>
            </w:r>
          </w:p>
        </w:tc>
        <w:tc>
          <w:tcPr>
            <w:tcW w:w="369" w:type="dxa"/>
          </w:tcPr>
          <w:p w14:paraId="2D8815EA" w14:textId="77777777" w:rsidR="00865CE1" w:rsidRPr="008B34A9" w:rsidRDefault="00865CE1" w:rsidP="00A67DC0">
            <w:pPr>
              <w:jc w:val="both"/>
              <w:rPr>
                <w:rFonts w:ascii="Calibri" w:hAnsi="Calibri"/>
                <w:sz w:val="22"/>
                <w:szCs w:val="22"/>
              </w:rPr>
            </w:pPr>
            <w:r w:rsidRPr="008B34A9">
              <w:rPr>
                <w:rFonts w:ascii="Calibri" w:hAnsi="Calibri"/>
                <w:sz w:val="22"/>
                <w:szCs w:val="22"/>
              </w:rPr>
              <w:t>x</w:t>
            </w:r>
          </w:p>
        </w:tc>
        <w:tc>
          <w:tcPr>
            <w:tcW w:w="368" w:type="dxa"/>
          </w:tcPr>
          <w:p w14:paraId="58BD701F" w14:textId="77777777" w:rsidR="00865CE1" w:rsidRPr="008B34A9" w:rsidRDefault="00865CE1" w:rsidP="00A67DC0">
            <w:pPr>
              <w:jc w:val="both"/>
              <w:rPr>
                <w:rFonts w:ascii="Calibri" w:hAnsi="Calibri"/>
                <w:sz w:val="22"/>
                <w:szCs w:val="22"/>
              </w:rPr>
            </w:pPr>
          </w:p>
        </w:tc>
        <w:tc>
          <w:tcPr>
            <w:tcW w:w="369" w:type="dxa"/>
          </w:tcPr>
          <w:p w14:paraId="7683455A" w14:textId="77777777" w:rsidR="00865CE1" w:rsidRPr="008B34A9" w:rsidRDefault="00865CE1" w:rsidP="00A67DC0">
            <w:pPr>
              <w:jc w:val="both"/>
              <w:rPr>
                <w:rFonts w:ascii="Calibri" w:hAnsi="Calibri"/>
                <w:sz w:val="22"/>
                <w:szCs w:val="22"/>
              </w:rPr>
            </w:pPr>
          </w:p>
        </w:tc>
        <w:tc>
          <w:tcPr>
            <w:tcW w:w="369" w:type="dxa"/>
          </w:tcPr>
          <w:p w14:paraId="250883B6" w14:textId="77777777" w:rsidR="00865CE1" w:rsidRPr="008B34A9" w:rsidRDefault="00865CE1" w:rsidP="00A67DC0">
            <w:pPr>
              <w:jc w:val="both"/>
              <w:rPr>
                <w:rFonts w:ascii="Calibri" w:hAnsi="Calibri"/>
                <w:sz w:val="22"/>
                <w:szCs w:val="22"/>
              </w:rPr>
            </w:pPr>
          </w:p>
        </w:tc>
        <w:tc>
          <w:tcPr>
            <w:tcW w:w="369" w:type="dxa"/>
          </w:tcPr>
          <w:p w14:paraId="52B193E4" w14:textId="77777777" w:rsidR="00865CE1" w:rsidRPr="008B34A9" w:rsidRDefault="00865CE1" w:rsidP="00A67DC0">
            <w:pPr>
              <w:jc w:val="both"/>
              <w:rPr>
                <w:rFonts w:ascii="Calibri" w:hAnsi="Calibri"/>
                <w:sz w:val="22"/>
                <w:szCs w:val="22"/>
              </w:rPr>
            </w:pPr>
          </w:p>
        </w:tc>
        <w:tc>
          <w:tcPr>
            <w:tcW w:w="368" w:type="dxa"/>
          </w:tcPr>
          <w:p w14:paraId="01836334" w14:textId="77777777" w:rsidR="00865CE1" w:rsidRPr="008B34A9" w:rsidRDefault="00865CE1" w:rsidP="00A67DC0">
            <w:pPr>
              <w:jc w:val="both"/>
              <w:rPr>
                <w:rFonts w:ascii="Calibri" w:hAnsi="Calibri"/>
                <w:sz w:val="22"/>
                <w:szCs w:val="22"/>
              </w:rPr>
            </w:pPr>
          </w:p>
        </w:tc>
        <w:tc>
          <w:tcPr>
            <w:tcW w:w="369" w:type="dxa"/>
          </w:tcPr>
          <w:p w14:paraId="28817F69" w14:textId="77777777" w:rsidR="00865CE1" w:rsidRPr="008B34A9" w:rsidRDefault="00865CE1" w:rsidP="00A67DC0">
            <w:pPr>
              <w:jc w:val="both"/>
              <w:rPr>
                <w:rFonts w:ascii="Calibri" w:hAnsi="Calibri"/>
                <w:sz w:val="22"/>
                <w:szCs w:val="22"/>
              </w:rPr>
            </w:pPr>
          </w:p>
        </w:tc>
        <w:tc>
          <w:tcPr>
            <w:tcW w:w="369" w:type="dxa"/>
          </w:tcPr>
          <w:p w14:paraId="0B01977F" w14:textId="77777777" w:rsidR="00865CE1" w:rsidRPr="008B34A9" w:rsidRDefault="00865CE1" w:rsidP="00A67DC0">
            <w:pPr>
              <w:jc w:val="both"/>
              <w:rPr>
                <w:rFonts w:ascii="Calibri" w:hAnsi="Calibri"/>
                <w:sz w:val="22"/>
                <w:szCs w:val="22"/>
              </w:rPr>
            </w:pPr>
          </w:p>
        </w:tc>
        <w:tc>
          <w:tcPr>
            <w:tcW w:w="369" w:type="dxa"/>
          </w:tcPr>
          <w:p w14:paraId="571D9287" w14:textId="77777777" w:rsidR="00865CE1" w:rsidRPr="00641D0E" w:rsidRDefault="00865CE1" w:rsidP="00A67DC0">
            <w:pPr>
              <w:jc w:val="both"/>
              <w:rPr>
                <w:rFonts w:ascii="Calibri" w:hAnsi="Calibri"/>
              </w:rPr>
            </w:pPr>
          </w:p>
        </w:tc>
      </w:tr>
      <w:tr w:rsidR="000374A6" w:rsidRPr="00641D0E" w14:paraId="79845E47" w14:textId="77777777" w:rsidTr="000374A6">
        <w:tc>
          <w:tcPr>
            <w:tcW w:w="4219" w:type="dxa"/>
          </w:tcPr>
          <w:p w14:paraId="0A672C11" w14:textId="77777777" w:rsidR="00D42006" w:rsidRPr="008B34A9" w:rsidRDefault="00865CE1" w:rsidP="00C23DFB">
            <w:pPr>
              <w:jc w:val="both"/>
              <w:rPr>
                <w:rFonts w:ascii="Calibri" w:hAnsi="Calibri"/>
                <w:sz w:val="22"/>
                <w:szCs w:val="22"/>
              </w:rPr>
            </w:pPr>
            <w:r w:rsidRPr="008B34A9">
              <w:rPr>
                <w:rFonts w:ascii="Calibri" w:hAnsi="Calibri"/>
                <w:sz w:val="22"/>
                <w:szCs w:val="22"/>
              </w:rPr>
              <w:t>Quarterly meeting</w:t>
            </w:r>
            <w:r w:rsidR="00050A04" w:rsidRPr="008B34A9">
              <w:rPr>
                <w:rFonts w:ascii="Calibri" w:hAnsi="Calibri"/>
                <w:sz w:val="22"/>
                <w:szCs w:val="22"/>
              </w:rPr>
              <w:t xml:space="preserve"> (</w:t>
            </w:r>
            <w:r w:rsidR="00D268A7">
              <w:rPr>
                <w:rFonts w:ascii="Calibri" w:hAnsi="Calibri"/>
                <w:sz w:val="22"/>
                <w:szCs w:val="22"/>
              </w:rPr>
              <w:t xml:space="preserve">revised </w:t>
            </w:r>
            <w:r w:rsidR="00050A04" w:rsidRPr="008B34A9">
              <w:rPr>
                <w:rFonts w:ascii="Calibri" w:hAnsi="Calibri"/>
                <w:sz w:val="22"/>
                <w:szCs w:val="22"/>
              </w:rPr>
              <w:t>MEL framework and communications plan)</w:t>
            </w:r>
          </w:p>
        </w:tc>
        <w:tc>
          <w:tcPr>
            <w:tcW w:w="368" w:type="dxa"/>
          </w:tcPr>
          <w:p w14:paraId="331251AE" w14:textId="77777777" w:rsidR="00865CE1" w:rsidRPr="008B34A9" w:rsidRDefault="00865CE1" w:rsidP="00A67DC0">
            <w:pPr>
              <w:jc w:val="both"/>
              <w:rPr>
                <w:rFonts w:ascii="Calibri" w:hAnsi="Calibri"/>
                <w:sz w:val="22"/>
                <w:szCs w:val="22"/>
              </w:rPr>
            </w:pPr>
          </w:p>
        </w:tc>
        <w:tc>
          <w:tcPr>
            <w:tcW w:w="369" w:type="dxa"/>
          </w:tcPr>
          <w:p w14:paraId="60D46151" w14:textId="77777777" w:rsidR="00865CE1" w:rsidRPr="008B34A9" w:rsidRDefault="00865CE1" w:rsidP="00A67DC0">
            <w:pPr>
              <w:jc w:val="both"/>
              <w:rPr>
                <w:rFonts w:ascii="Calibri" w:hAnsi="Calibri"/>
                <w:sz w:val="22"/>
                <w:szCs w:val="22"/>
              </w:rPr>
            </w:pPr>
          </w:p>
        </w:tc>
        <w:tc>
          <w:tcPr>
            <w:tcW w:w="369" w:type="dxa"/>
          </w:tcPr>
          <w:p w14:paraId="4EA649D9" w14:textId="77777777" w:rsidR="00865CE1" w:rsidRPr="008B34A9" w:rsidRDefault="00865CE1" w:rsidP="00A67DC0">
            <w:pPr>
              <w:jc w:val="both"/>
              <w:rPr>
                <w:rFonts w:ascii="Calibri" w:hAnsi="Calibri"/>
                <w:sz w:val="22"/>
                <w:szCs w:val="22"/>
              </w:rPr>
            </w:pPr>
          </w:p>
        </w:tc>
        <w:tc>
          <w:tcPr>
            <w:tcW w:w="369" w:type="dxa"/>
          </w:tcPr>
          <w:p w14:paraId="5C6BF979" w14:textId="77777777" w:rsidR="00865CE1" w:rsidRPr="008B34A9" w:rsidRDefault="00865CE1" w:rsidP="00A67DC0">
            <w:pPr>
              <w:jc w:val="both"/>
              <w:rPr>
                <w:rFonts w:ascii="Calibri" w:hAnsi="Calibri"/>
                <w:sz w:val="22"/>
                <w:szCs w:val="22"/>
              </w:rPr>
            </w:pPr>
            <w:r w:rsidRPr="008B34A9">
              <w:rPr>
                <w:rFonts w:ascii="Calibri" w:hAnsi="Calibri"/>
                <w:sz w:val="22"/>
                <w:szCs w:val="22"/>
              </w:rPr>
              <w:t>x</w:t>
            </w:r>
          </w:p>
        </w:tc>
        <w:tc>
          <w:tcPr>
            <w:tcW w:w="368" w:type="dxa"/>
          </w:tcPr>
          <w:p w14:paraId="354E8986" w14:textId="77777777" w:rsidR="00865CE1" w:rsidRPr="008B34A9" w:rsidRDefault="00865CE1" w:rsidP="00A67DC0">
            <w:pPr>
              <w:jc w:val="both"/>
              <w:rPr>
                <w:rFonts w:ascii="Calibri" w:hAnsi="Calibri"/>
                <w:sz w:val="22"/>
                <w:szCs w:val="22"/>
              </w:rPr>
            </w:pPr>
          </w:p>
        </w:tc>
        <w:tc>
          <w:tcPr>
            <w:tcW w:w="369" w:type="dxa"/>
          </w:tcPr>
          <w:p w14:paraId="20FEA91B" w14:textId="77777777" w:rsidR="00865CE1" w:rsidRPr="008B34A9" w:rsidRDefault="00865CE1" w:rsidP="00A67DC0">
            <w:pPr>
              <w:jc w:val="both"/>
              <w:rPr>
                <w:rFonts w:ascii="Calibri" w:hAnsi="Calibri"/>
                <w:sz w:val="22"/>
                <w:szCs w:val="22"/>
              </w:rPr>
            </w:pPr>
          </w:p>
        </w:tc>
        <w:tc>
          <w:tcPr>
            <w:tcW w:w="369" w:type="dxa"/>
          </w:tcPr>
          <w:p w14:paraId="64AA38F6" w14:textId="77777777" w:rsidR="00865CE1" w:rsidRPr="008B34A9" w:rsidRDefault="00865CE1" w:rsidP="00A67DC0">
            <w:pPr>
              <w:jc w:val="both"/>
              <w:rPr>
                <w:rFonts w:ascii="Calibri" w:hAnsi="Calibri"/>
                <w:sz w:val="22"/>
                <w:szCs w:val="22"/>
              </w:rPr>
            </w:pPr>
          </w:p>
        </w:tc>
        <w:tc>
          <w:tcPr>
            <w:tcW w:w="369" w:type="dxa"/>
          </w:tcPr>
          <w:p w14:paraId="7158327F" w14:textId="77777777" w:rsidR="00865CE1" w:rsidRPr="008B34A9" w:rsidRDefault="00865CE1" w:rsidP="00A67DC0">
            <w:pPr>
              <w:jc w:val="both"/>
              <w:rPr>
                <w:rFonts w:ascii="Calibri" w:hAnsi="Calibri"/>
                <w:sz w:val="22"/>
                <w:szCs w:val="22"/>
              </w:rPr>
            </w:pPr>
          </w:p>
        </w:tc>
        <w:tc>
          <w:tcPr>
            <w:tcW w:w="368" w:type="dxa"/>
          </w:tcPr>
          <w:p w14:paraId="5F961903" w14:textId="77777777" w:rsidR="00865CE1" w:rsidRPr="008B34A9" w:rsidRDefault="00865CE1" w:rsidP="00A67DC0">
            <w:pPr>
              <w:jc w:val="both"/>
              <w:rPr>
                <w:rFonts w:ascii="Calibri" w:hAnsi="Calibri"/>
                <w:sz w:val="22"/>
                <w:szCs w:val="22"/>
              </w:rPr>
            </w:pPr>
          </w:p>
        </w:tc>
        <w:tc>
          <w:tcPr>
            <w:tcW w:w="369" w:type="dxa"/>
          </w:tcPr>
          <w:p w14:paraId="1C4A7111" w14:textId="77777777" w:rsidR="00865CE1" w:rsidRPr="008B34A9" w:rsidRDefault="00865CE1" w:rsidP="00A67DC0">
            <w:pPr>
              <w:jc w:val="both"/>
              <w:rPr>
                <w:rFonts w:ascii="Calibri" w:hAnsi="Calibri"/>
                <w:sz w:val="22"/>
                <w:szCs w:val="22"/>
              </w:rPr>
            </w:pPr>
          </w:p>
        </w:tc>
        <w:tc>
          <w:tcPr>
            <w:tcW w:w="369" w:type="dxa"/>
          </w:tcPr>
          <w:p w14:paraId="6EE05F02" w14:textId="77777777" w:rsidR="00865CE1" w:rsidRPr="008B34A9" w:rsidRDefault="00865CE1" w:rsidP="00A67DC0">
            <w:pPr>
              <w:jc w:val="both"/>
              <w:rPr>
                <w:rFonts w:ascii="Calibri" w:hAnsi="Calibri"/>
                <w:sz w:val="22"/>
                <w:szCs w:val="22"/>
              </w:rPr>
            </w:pPr>
          </w:p>
        </w:tc>
        <w:tc>
          <w:tcPr>
            <w:tcW w:w="369" w:type="dxa"/>
          </w:tcPr>
          <w:p w14:paraId="30A9B4A8" w14:textId="77777777" w:rsidR="00865CE1" w:rsidRPr="00641D0E" w:rsidRDefault="00865CE1" w:rsidP="00A67DC0">
            <w:pPr>
              <w:jc w:val="both"/>
              <w:rPr>
                <w:rFonts w:ascii="Calibri" w:hAnsi="Calibri"/>
              </w:rPr>
            </w:pPr>
          </w:p>
        </w:tc>
      </w:tr>
      <w:tr w:rsidR="00E97F7F" w:rsidRPr="00641D0E" w14:paraId="087356EF" w14:textId="77777777" w:rsidTr="00877CF7">
        <w:tc>
          <w:tcPr>
            <w:tcW w:w="4219" w:type="dxa"/>
          </w:tcPr>
          <w:p w14:paraId="6621D469" w14:textId="77777777" w:rsidR="00D42006" w:rsidRPr="008B34A9" w:rsidRDefault="00E97F7F" w:rsidP="00C23DFB">
            <w:pPr>
              <w:jc w:val="both"/>
              <w:rPr>
                <w:rFonts w:ascii="Calibri" w:hAnsi="Calibri"/>
                <w:sz w:val="22"/>
                <w:szCs w:val="22"/>
              </w:rPr>
            </w:pPr>
            <w:r w:rsidRPr="008B34A9">
              <w:rPr>
                <w:rFonts w:ascii="Calibri" w:hAnsi="Calibri"/>
                <w:sz w:val="22"/>
                <w:szCs w:val="22"/>
              </w:rPr>
              <w:t xml:space="preserve">Development of </w:t>
            </w:r>
            <w:r w:rsidR="000E3B75" w:rsidRPr="008B34A9">
              <w:rPr>
                <w:rFonts w:ascii="Calibri" w:hAnsi="Calibri"/>
                <w:sz w:val="22"/>
                <w:szCs w:val="22"/>
              </w:rPr>
              <w:t>consolidated</w:t>
            </w:r>
            <w:r w:rsidRPr="008B34A9">
              <w:rPr>
                <w:rFonts w:ascii="Calibri" w:hAnsi="Calibri"/>
                <w:sz w:val="22"/>
                <w:szCs w:val="22"/>
              </w:rPr>
              <w:t xml:space="preserve"> ANGO capability map</w:t>
            </w:r>
            <w:r w:rsidR="008B34A9" w:rsidRPr="008B34A9">
              <w:rPr>
                <w:rFonts w:ascii="Calibri" w:hAnsi="Calibri"/>
                <w:sz w:val="22"/>
                <w:szCs w:val="22"/>
              </w:rPr>
              <w:t>ping</w:t>
            </w:r>
          </w:p>
        </w:tc>
        <w:tc>
          <w:tcPr>
            <w:tcW w:w="368" w:type="dxa"/>
          </w:tcPr>
          <w:p w14:paraId="3ADE9B7C" w14:textId="77777777" w:rsidR="00E97F7F" w:rsidRPr="008B34A9" w:rsidRDefault="00E97F7F" w:rsidP="00A67DC0">
            <w:pPr>
              <w:jc w:val="both"/>
              <w:rPr>
                <w:rFonts w:ascii="Calibri" w:hAnsi="Calibri"/>
                <w:sz w:val="22"/>
                <w:szCs w:val="22"/>
              </w:rPr>
            </w:pPr>
          </w:p>
        </w:tc>
        <w:tc>
          <w:tcPr>
            <w:tcW w:w="369" w:type="dxa"/>
          </w:tcPr>
          <w:p w14:paraId="08FFA7A3" w14:textId="77777777" w:rsidR="00E97F7F" w:rsidRPr="008B34A9" w:rsidRDefault="00E97F7F" w:rsidP="00A67DC0">
            <w:pPr>
              <w:jc w:val="both"/>
              <w:rPr>
                <w:rFonts w:ascii="Calibri" w:hAnsi="Calibri"/>
                <w:sz w:val="22"/>
                <w:szCs w:val="22"/>
              </w:rPr>
            </w:pPr>
          </w:p>
        </w:tc>
        <w:tc>
          <w:tcPr>
            <w:tcW w:w="369" w:type="dxa"/>
          </w:tcPr>
          <w:p w14:paraId="52CEC58C" w14:textId="77777777" w:rsidR="00E97F7F" w:rsidRPr="008B34A9" w:rsidRDefault="00E97F7F" w:rsidP="00A67DC0">
            <w:pPr>
              <w:jc w:val="both"/>
              <w:rPr>
                <w:rFonts w:ascii="Calibri" w:hAnsi="Calibri"/>
                <w:sz w:val="22"/>
                <w:szCs w:val="22"/>
              </w:rPr>
            </w:pPr>
          </w:p>
        </w:tc>
        <w:tc>
          <w:tcPr>
            <w:tcW w:w="369" w:type="dxa"/>
          </w:tcPr>
          <w:p w14:paraId="617D6193" w14:textId="77777777" w:rsidR="00E97F7F" w:rsidRPr="008B34A9" w:rsidRDefault="00E97F7F" w:rsidP="00A67DC0">
            <w:pPr>
              <w:jc w:val="both"/>
              <w:rPr>
                <w:rFonts w:ascii="Calibri" w:hAnsi="Calibri"/>
                <w:sz w:val="22"/>
                <w:szCs w:val="22"/>
              </w:rPr>
            </w:pPr>
            <w:r w:rsidRPr="008B34A9">
              <w:rPr>
                <w:rFonts w:ascii="Calibri" w:hAnsi="Calibri"/>
                <w:sz w:val="22"/>
                <w:szCs w:val="22"/>
              </w:rPr>
              <w:t>x</w:t>
            </w:r>
          </w:p>
        </w:tc>
        <w:tc>
          <w:tcPr>
            <w:tcW w:w="368" w:type="dxa"/>
          </w:tcPr>
          <w:p w14:paraId="22153CD0" w14:textId="77777777" w:rsidR="00E97F7F" w:rsidRPr="008B34A9" w:rsidRDefault="00E97F7F" w:rsidP="00A67DC0">
            <w:pPr>
              <w:jc w:val="both"/>
              <w:rPr>
                <w:rFonts w:ascii="Calibri" w:hAnsi="Calibri"/>
                <w:sz w:val="22"/>
                <w:szCs w:val="22"/>
              </w:rPr>
            </w:pPr>
            <w:r w:rsidRPr="008B34A9">
              <w:rPr>
                <w:rFonts w:ascii="Calibri" w:hAnsi="Calibri"/>
                <w:sz w:val="22"/>
                <w:szCs w:val="22"/>
              </w:rPr>
              <w:t>x</w:t>
            </w:r>
          </w:p>
        </w:tc>
        <w:tc>
          <w:tcPr>
            <w:tcW w:w="369" w:type="dxa"/>
          </w:tcPr>
          <w:p w14:paraId="23CACD6F" w14:textId="77777777" w:rsidR="00E97F7F" w:rsidRPr="008B34A9" w:rsidRDefault="00E97F7F" w:rsidP="00A67DC0">
            <w:pPr>
              <w:jc w:val="both"/>
              <w:rPr>
                <w:rFonts w:ascii="Calibri" w:hAnsi="Calibri"/>
                <w:sz w:val="22"/>
                <w:szCs w:val="22"/>
              </w:rPr>
            </w:pPr>
            <w:r w:rsidRPr="008B34A9">
              <w:rPr>
                <w:rFonts w:ascii="Calibri" w:hAnsi="Calibri"/>
                <w:sz w:val="22"/>
                <w:szCs w:val="22"/>
              </w:rPr>
              <w:t>x</w:t>
            </w:r>
          </w:p>
        </w:tc>
        <w:tc>
          <w:tcPr>
            <w:tcW w:w="369" w:type="dxa"/>
          </w:tcPr>
          <w:p w14:paraId="3637D4F2" w14:textId="77777777" w:rsidR="00E97F7F" w:rsidRPr="008B34A9" w:rsidRDefault="00E97F7F" w:rsidP="00A67DC0">
            <w:pPr>
              <w:jc w:val="both"/>
              <w:rPr>
                <w:rFonts w:ascii="Calibri" w:hAnsi="Calibri"/>
                <w:sz w:val="22"/>
                <w:szCs w:val="22"/>
              </w:rPr>
            </w:pPr>
            <w:r w:rsidRPr="008B34A9">
              <w:rPr>
                <w:rFonts w:ascii="Calibri" w:hAnsi="Calibri"/>
                <w:sz w:val="22"/>
                <w:szCs w:val="22"/>
              </w:rPr>
              <w:t>x</w:t>
            </w:r>
          </w:p>
        </w:tc>
        <w:tc>
          <w:tcPr>
            <w:tcW w:w="369" w:type="dxa"/>
          </w:tcPr>
          <w:p w14:paraId="16F1158B" w14:textId="77777777" w:rsidR="00E97F7F" w:rsidRPr="008B34A9" w:rsidRDefault="00E97F7F" w:rsidP="00A67DC0">
            <w:pPr>
              <w:jc w:val="both"/>
              <w:rPr>
                <w:rFonts w:ascii="Calibri" w:hAnsi="Calibri"/>
                <w:sz w:val="22"/>
                <w:szCs w:val="22"/>
              </w:rPr>
            </w:pPr>
            <w:r w:rsidRPr="008B34A9">
              <w:rPr>
                <w:rFonts w:ascii="Calibri" w:hAnsi="Calibri"/>
                <w:sz w:val="22"/>
                <w:szCs w:val="22"/>
              </w:rPr>
              <w:t>x</w:t>
            </w:r>
          </w:p>
        </w:tc>
        <w:tc>
          <w:tcPr>
            <w:tcW w:w="368" w:type="dxa"/>
          </w:tcPr>
          <w:p w14:paraId="39D42FDE" w14:textId="77777777" w:rsidR="00E97F7F" w:rsidRPr="008B34A9" w:rsidRDefault="000E3B75" w:rsidP="00A67DC0">
            <w:pPr>
              <w:jc w:val="both"/>
              <w:rPr>
                <w:rFonts w:ascii="Calibri" w:hAnsi="Calibri"/>
                <w:sz w:val="22"/>
                <w:szCs w:val="22"/>
              </w:rPr>
            </w:pPr>
            <w:r w:rsidRPr="008B34A9">
              <w:rPr>
                <w:rFonts w:ascii="Calibri" w:hAnsi="Calibri"/>
                <w:sz w:val="22"/>
                <w:szCs w:val="22"/>
              </w:rPr>
              <w:t>x</w:t>
            </w:r>
          </w:p>
        </w:tc>
        <w:tc>
          <w:tcPr>
            <w:tcW w:w="369" w:type="dxa"/>
          </w:tcPr>
          <w:p w14:paraId="1C3D1E3C" w14:textId="77777777" w:rsidR="00E97F7F" w:rsidRPr="008B34A9" w:rsidRDefault="00E97F7F" w:rsidP="00A67DC0">
            <w:pPr>
              <w:jc w:val="both"/>
              <w:rPr>
                <w:rFonts w:ascii="Calibri" w:hAnsi="Calibri"/>
                <w:sz w:val="22"/>
                <w:szCs w:val="22"/>
              </w:rPr>
            </w:pPr>
          </w:p>
        </w:tc>
        <w:tc>
          <w:tcPr>
            <w:tcW w:w="369" w:type="dxa"/>
          </w:tcPr>
          <w:p w14:paraId="6FBD9B51" w14:textId="77777777" w:rsidR="00E97F7F" w:rsidRPr="008B34A9" w:rsidRDefault="00E97F7F" w:rsidP="00A67DC0">
            <w:pPr>
              <w:jc w:val="both"/>
              <w:rPr>
                <w:rFonts w:ascii="Calibri" w:hAnsi="Calibri"/>
                <w:sz w:val="22"/>
                <w:szCs w:val="22"/>
              </w:rPr>
            </w:pPr>
          </w:p>
        </w:tc>
        <w:tc>
          <w:tcPr>
            <w:tcW w:w="369" w:type="dxa"/>
          </w:tcPr>
          <w:p w14:paraId="57FC631E" w14:textId="77777777" w:rsidR="00E97F7F" w:rsidRPr="00641D0E" w:rsidRDefault="00E97F7F" w:rsidP="00A67DC0">
            <w:pPr>
              <w:jc w:val="both"/>
              <w:rPr>
                <w:rFonts w:ascii="Calibri" w:hAnsi="Calibri"/>
              </w:rPr>
            </w:pPr>
          </w:p>
        </w:tc>
      </w:tr>
      <w:tr w:rsidR="000374A6" w:rsidRPr="00641D0E" w14:paraId="7DCADC16" w14:textId="77777777" w:rsidTr="000374A6">
        <w:tc>
          <w:tcPr>
            <w:tcW w:w="4219" w:type="dxa"/>
          </w:tcPr>
          <w:p w14:paraId="5EF962F7" w14:textId="77777777" w:rsidR="00D42006" w:rsidRPr="008B34A9" w:rsidRDefault="00405EE8" w:rsidP="00C23DFB">
            <w:pPr>
              <w:jc w:val="both"/>
              <w:rPr>
                <w:rFonts w:ascii="Calibri" w:hAnsi="Calibri"/>
                <w:sz w:val="22"/>
                <w:szCs w:val="22"/>
              </w:rPr>
            </w:pPr>
            <w:r w:rsidRPr="008B34A9">
              <w:rPr>
                <w:rFonts w:ascii="Calibri" w:hAnsi="Calibri"/>
                <w:sz w:val="22"/>
                <w:szCs w:val="22"/>
              </w:rPr>
              <w:t>Quarterly meeting (building humanitarian capability</w:t>
            </w:r>
            <w:r w:rsidR="00D268A7">
              <w:rPr>
                <w:rFonts w:ascii="Calibri" w:hAnsi="Calibri"/>
                <w:sz w:val="22"/>
                <w:szCs w:val="22"/>
              </w:rPr>
              <w:t xml:space="preserve"> and strengthening disaster resilience</w:t>
            </w:r>
            <w:r w:rsidRPr="008B34A9">
              <w:rPr>
                <w:rFonts w:ascii="Calibri" w:hAnsi="Calibri"/>
                <w:sz w:val="22"/>
                <w:szCs w:val="22"/>
              </w:rPr>
              <w:t>)</w:t>
            </w:r>
          </w:p>
        </w:tc>
        <w:tc>
          <w:tcPr>
            <w:tcW w:w="368" w:type="dxa"/>
          </w:tcPr>
          <w:p w14:paraId="20568A01" w14:textId="77777777" w:rsidR="00865CE1" w:rsidRPr="008B34A9" w:rsidRDefault="00865CE1" w:rsidP="00A67DC0">
            <w:pPr>
              <w:jc w:val="both"/>
              <w:rPr>
                <w:rFonts w:ascii="Calibri" w:hAnsi="Calibri"/>
                <w:sz w:val="22"/>
                <w:szCs w:val="22"/>
              </w:rPr>
            </w:pPr>
          </w:p>
        </w:tc>
        <w:tc>
          <w:tcPr>
            <w:tcW w:w="369" w:type="dxa"/>
          </w:tcPr>
          <w:p w14:paraId="32F90DE6" w14:textId="77777777" w:rsidR="00865CE1" w:rsidRPr="008B34A9" w:rsidRDefault="00865CE1" w:rsidP="00A67DC0">
            <w:pPr>
              <w:jc w:val="both"/>
              <w:rPr>
                <w:rFonts w:ascii="Calibri" w:hAnsi="Calibri"/>
                <w:sz w:val="22"/>
                <w:szCs w:val="22"/>
              </w:rPr>
            </w:pPr>
          </w:p>
        </w:tc>
        <w:tc>
          <w:tcPr>
            <w:tcW w:w="369" w:type="dxa"/>
          </w:tcPr>
          <w:p w14:paraId="1796F99D" w14:textId="77777777" w:rsidR="00865CE1" w:rsidRPr="008B34A9" w:rsidRDefault="00865CE1" w:rsidP="00A67DC0">
            <w:pPr>
              <w:jc w:val="both"/>
              <w:rPr>
                <w:rFonts w:ascii="Calibri" w:hAnsi="Calibri"/>
                <w:sz w:val="22"/>
                <w:szCs w:val="22"/>
              </w:rPr>
            </w:pPr>
          </w:p>
        </w:tc>
        <w:tc>
          <w:tcPr>
            <w:tcW w:w="369" w:type="dxa"/>
          </w:tcPr>
          <w:p w14:paraId="15F2B356" w14:textId="77777777" w:rsidR="00865CE1" w:rsidRPr="008B34A9" w:rsidRDefault="00865CE1" w:rsidP="00A67DC0">
            <w:pPr>
              <w:jc w:val="both"/>
              <w:rPr>
                <w:rFonts w:ascii="Calibri" w:hAnsi="Calibri"/>
                <w:sz w:val="22"/>
                <w:szCs w:val="22"/>
              </w:rPr>
            </w:pPr>
          </w:p>
        </w:tc>
        <w:tc>
          <w:tcPr>
            <w:tcW w:w="368" w:type="dxa"/>
          </w:tcPr>
          <w:p w14:paraId="1AD69FAB" w14:textId="77777777" w:rsidR="00865CE1" w:rsidRPr="008B34A9" w:rsidRDefault="00865CE1" w:rsidP="00A67DC0">
            <w:pPr>
              <w:jc w:val="both"/>
              <w:rPr>
                <w:rFonts w:ascii="Calibri" w:hAnsi="Calibri"/>
                <w:sz w:val="22"/>
                <w:szCs w:val="22"/>
              </w:rPr>
            </w:pPr>
          </w:p>
        </w:tc>
        <w:tc>
          <w:tcPr>
            <w:tcW w:w="369" w:type="dxa"/>
          </w:tcPr>
          <w:p w14:paraId="36B82A27" w14:textId="77777777" w:rsidR="00865CE1" w:rsidRPr="008B34A9" w:rsidRDefault="00865CE1" w:rsidP="00A67DC0">
            <w:pPr>
              <w:jc w:val="both"/>
              <w:rPr>
                <w:rFonts w:ascii="Calibri" w:hAnsi="Calibri"/>
                <w:sz w:val="22"/>
                <w:szCs w:val="22"/>
              </w:rPr>
            </w:pPr>
          </w:p>
        </w:tc>
        <w:tc>
          <w:tcPr>
            <w:tcW w:w="369" w:type="dxa"/>
          </w:tcPr>
          <w:p w14:paraId="5235FB80" w14:textId="77777777" w:rsidR="00865CE1" w:rsidRPr="008B34A9" w:rsidRDefault="00865CE1" w:rsidP="00A67DC0">
            <w:pPr>
              <w:jc w:val="both"/>
              <w:rPr>
                <w:rFonts w:ascii="Calibri" w:hAnsi="Calibri"/>
                <w:sz w:val="22"/>
                <w:szCs w:val="22"/>
              </w:rPr>
            </w:pPr>
            <w:r w:rsidRPr="008B34A9">
              <w:rPr>
                <w:rFonts w:ascii="Calibri" w:hAnsi="Calibri"/>
                <w:sz w:val="22"/>
                <w:szCs w:val="22"/>
              </w:rPr>
              <w:t>x</w:t>
            </w:r>
          </w:p>
        </w:tc>
        <w:tc>
          <w:tcPr>
            <w:tcW w:w="369" w:type="dxa"/>
          </w:tcPr>
          <w:p w14:paraId="7BFE3576" w14:textId="77777777" w:rsidR="00865CE1" w:rsidRPr="008B34A9" w:rsidRDefault="00865CE1" w:rsidP="00A67DC0">
            <w:pPr>
              <w:jc w:val="both"/>
              <w:rPr>
                <w:rFonts w:ascii="Calibri" w:hAnsi="Calibri"/>
                <w:sz w:val="22"/>
                <w:szCs w:val="22"/>
              </w:rPr>
            </w:pPr>
          </w:p>
        </w:tc>
        <w:tc>
          <w:tcPr>
            <w:tcW w:w="368" w:type="dxa"/>
          </w:tcPr>
          <w:p w14:paraId="6255F982" w14:textId="77777777" w:rsidR="00865CE1" w:rsidRPr="008B34A9" w:rsidRDefault="00865CE1" w:rsidP="00A67DC0">
            <w:pPr>
              <w:jc w:val="both"/>
              <w:rPr>
                <w:rFonts w:ascii="Calibri" w:hAnsi="Calibri"/>
                <w:sz w:val="22"/>
                <w:szCs w:val="22"/>
              </w:rPr>
            </w:pPr>
          </w:p>
        </w:tc>
        <w:tc>
          <w:tcPr>
            <w:tcW w:w="369" w:type="dxa"/>
          </w:tcPr>
          <w:p w14:paraId="1751E3FE" w14:textId="77777777" w:rsidR="00865CE1" w:rsidRPr="008B34A9" w:rsidRDefault="00865CE1" w:rsidP="00A67DC0">
            <w:pPr>
              <w:jc w:val="both"/>
              <w:rPr>
                <w:rFonts w:ascii="Calibri" w:hAnsi="Calibri"/>
                <w:sz w:val="22"/>
                <w:szCs w:val="22"/>
              </w:rPr>
            </w:pPr>
          </w:p>
        </w:tc>
        <w:tc>
          <w:tcPr>
            <w:tcW w:w="369" w:type="dxa"/>
          </w:tcPr>
          <w:p w14:paraId="3BA4531A" w14:textId="77777777" w:rsidR="00865CE1" w:rsidRPr="008B34A9" w:rsidRDefault="00865CE1" w:rsidP="00A67DC0">
            <w:pPr>
              <w:jc w:val="both"/>
              <w:rPr>
                <w:rFonts w:ascii="Calibri" w:hAnsi="Calibri"/>
                <w:sz w:val="22"/>
                <w:szCs w:val="22"/>
              </w:rPr>
            </w:pPr>
          </w:p>
        </w:tc>
        <w:tc>
          <w:tcPr>
            <w:tcW w:w="369" w:type="dxa"/>
          </w:tcPr>
          <w:p w14:paraId="2A14DF65" w14:textId="77777777" w:rsidR="00865CE1" w:rsidRPr="00641D0E" w:rsidRDefault="00865CE1" w:rsidP="00A67DC0">
            <w:pPr>
              <w:jc w:val="both"/>
              <w:rPr>
                <w:rFonts w:ascii="Calibri" w:hAnsi="Calibri"/>
              </w:rPr>
            </w:pPr>
          </w:p>
        </w:tc>
      </w:tr>
      <w:tr w:rsidR="000374A6" w:rsidRPr="00641D0E" w14:paraId="2F16DCDA" w14:textId="77777777" w:rsidTr="000374A6">
        <w:tc>
          <w:tcPr>
            <w:tcW w:w="4219" w:type="dxa"/>
          </w:tcPr>
          <w:p w14:paraId="6A6A333F" w14:textId="77777777" w:rsidR="00D42006" w:rsidRPr="008B34A9" w:rsidRDefault="00405EE8" w:rsidP="00C23DFB">
            <w:pPr>
              <w:jc w:val="both"/>
              <w:rPr>
                <w:rFonts w:ascii="Calibri" w:hAnsi="Calibri"/>
                <w:sz w:val="22"/>
                <w:szCs w:val="22"/>
              </w:rPr>
            </w:pPr>
            <w:r w:rsidRPr="008B34A9">
              <w:rPr>
                <w:rFonts w:ascii="Calibri" w:hAnsi="Calibri"/>
                <w:sz w:val="22"/>
                <w:szCs w:val="22"/>
              </w:rPr>
              <w:t>Quarterly meeting (capability mapping)</w:t>
            </w:r>
          </w:p>
        </w:tc>
        <w:tc>
          <w:tcPr>
            <w:tcW w:w="368" w:type="dxa"/>
          </w:tcPr>
          <w:p w14:paraId="073CF073" w14:textId="77777777" w:rsidR="00865CE1" w:rsidRPr="008B34A9" w:rsidRDefault="00865CE1" w:rsidP="00A67DC0">
            <w:pPr>
              <w:jc w:val="both"/>
              <w:rPr>
                <w:rFonts w:ascii="Calibri" w:hAnsi="Calibri"/>
                <w:sz w:val="22"/>
                <w:szCs w:val="22"/>
              </w:rPr>
            </w:pPr>
          </w:p>
        </w:tc>
        <w:tc>
          <w:tcPr>
            <w:tcW w:w="369" w:type="dxa"/>
          </w:tcPr>
          <w:p w14:paraId="47E12938" w14:textId="77777777" w:rsidR="00865CE1" w:rsidRPr="008B34A9" w:rsidRDefault="00865CE1" w:rsidP="00A67DC0">
            <w:pPr>
              <w:jc w:val="both"/>
              <w:rPr>
                <w:rFonts w:ascii="Calibri" w:hAnsi="Calibri"/>
                <w:sz w:val="22"/>
                <w:szCs w:val="22"/>
              </w:rPr>
            </w:pPr>
          </w:p>
        </w:tc>
        <w:tc>
          <w:tcPr>
            <w:tcW w:w="369" w:type="dxa"/>
          </w:tcPr>
          <w:p w14:paraId="23F72116" w14:textId="77777777" w:rsidR="00865CE1" w:rsidRPr="008B34A9" w:rsidRDefault="00865CE1" w:rsidP="00A67DC0">
            <w:pPr>
              <w:jc w:val="both"/>
              <w:rPr>
                <w:rFonts w:ascii="Calibri" w:hAnsi="Calibri"/>
                <w:sz w:val="22"/>
                <w:szCs w:val="22"/>
              </w:rPr>
            </w:pPr>
          </w:p>
        </w:tc>
        <w:tc>
          <w:tcPr>
            <w:tcW w:w="369" w:type="dxa"/>
          </w:tcPr>
          <w:p w14:paraId="5ABD175E" w14:textId="77777777" w:rsidR="00865CE1" w:rsidRPr="008B34A9" w:rsidRDefault="00865CE1" w:rsidP="00A67DC0">
            <w:pPr>
              <w:jc w:val="both"/>
              <w:rPr>
                <w:rFonts w:ascii="Calibri" w:hAnsi="Calibri"/>
                <w:sz w:val="22"/>
                <w:szCs w:val="22"/>
              </w:rPr>
            </w:pPr>
          </w:p>
        </w:tc>
        <w:tc>
          <w:tcPr>
            <w:tcW w:w="368" w:type="dxa"/>
          </w:tcPr>
          <w:p w14:paraId="23364AD7" w14:textId="77777777" w:rsidR="00865CE1" w:rsidRPr="008B34A9" w:rsidRDefault="00865CE1" w:rsidP="00A67DC0">
            <w:pPr>
              <w:jc w:val="both"/>
              <w:rPr>
                <w:rFonts w:ascii="Calibri" w:hAnsi="Calibri"/>
                <w:sz w:val="22"/>
                <w:szCs w:val="22"/>
              </w:rPr>
            </w:pPr>
          </w:p>
        </w:tc>
        <w:tc>
          <w:tcPr>
            <w:tcW w:w="369" w:type="dxa"/>
          </w:tcPr>
          <w:p w14:paraId="74E1DDD6" w14:textId="77777777" w:rsidR="00865CE1" w:rsidRPr="008B34A9" w:rsidRDefault="00865CE1" w:rsidP="00A67DC0">
            <w:pPr>
              <w:jc w:val="both"/>
              <w:rPr>
                <w:rFonts w:ascii="Calibri" w:hAnsi="Calibri"/>
                <w:sz w:val="22"/>
                <w:szCs w:val="22"/>
              </w:rPr>
            </w:pPr>
          </w:p>
        </w:tc>
        <w:tc>
          <w:tcPr>
            <w:tcW w:w="369" w:type="dxa"/>
          </w:tcPr>
          <w:p w14:paraId="180862BD" w14:textId="77777777" w:rsidR="00865CE1" w:rsidRPr="008B34A9" w:rsidRDefault="00865CE1" w:rsidP="00A67DC0">
            <w:pPr>
              <w:jc w:val="both"/>
              <w:rPr>
                <w:rFonts w:ascii="Calibri" w:hAnsi="Calibri"/>
                <w:sz w:val="22"/>
                <w:szCs w:val="22"/>
              </w:rPr>
            </w:pPr>
          </w:p>
        </w:tc>
        <w:tc>
          <w:tcPr>
            <w:tcW w:w="369" w:type="dxa"/>
          </w:tcPr>
          <w:p w14:paraId="14C0BA37" w14:textId="77777777" w:rsidR="00865CE1" w:rsidRPr="008B34A9" w:rsidRDefault="00865CE1" w:rsidP="00A67DC0">
            <w:pPr>
              <w:jc w:val="both"/>
              <w:rPr>
                <w:rFonts w:ascii="Calibri" w:hAnsi="Calibri"/>
                <w:sz w:val="22"/>
                <w:szCs w:val="22"/>
              </w:rPr>
            </w:pPr>
          </w:p>
        </w:tc>
        <w:tc>
          <w:tcPr>
            <w:tcW w:w="368" w:type="dxa"/>
          </w:tcPr>
          <w:p w14:paraId="40B48362" w14:textId="77777777" w:rsidR="00865CE1" w:rsidRPr="008B34A9" w:rsidRDefault="00865CE1" w:rsidP="00A67DC0">
            <w:pPr>
              <w:jc w:val="both"/>
              <w:rPr>
                <w:rFonts w:ascii="Calibri" w:hAnsi="Calibri"/>
                <w:sz w:val="22"/>
                <w:szCs w:val="22"/>
              </w:rPr>
            </w:pPr>
          </w:p>
        </w:tc>
        <w:tc>
          <w:tcPr>
            <w:tcW w:w="369" w:type="dxa"/>
          </w:tcPr>
          <w:p w14:paraId="6821114E" w14:textId="77777777" w:rsidR="00865CE1" w:rsidRPr="008B34A9" w:rsidRDefault="00865CE1" w:rsidP="00A67DC0">
            <w:pPr>
              <w:jc w:val="both"/>
              <w:rPr>
                <w:rFonts w:ascii="Calibri" w:hAnsi="Calibri"/>
                <w:sz w:val="22"/>
                <w:szCs w:val="22"/>
              </w:rPr>
            </w:pPr>
            <w:r w:rsidRPr="008B34A9">
              <w:rPr>
                <w:rFonts w:ascii="Calibri" w:hAnsi="Calibri"/>
                <w:sz w:val="22"/>
                <w:szCs w:val="22"/>
              </w:rPr>
              <w:t>x</w:t>
            </w:r>
          </w:p>
        </w:tc>
        <w:tc>
          <w:tcPr>
            <w:tcW w:w="369" w:type="dxa"/>
          </w:tcPr>
          <w:p w14:paraId="57A1BAD8" w14:textId="77777777" w:rsidR="00865CE1" w:rsidRPr="008B34A9" w:rsidRDefault="00865CE1" w:rsidP="00A67DC0">
            <w:pPr>
              <w:jc w:val="both"/>
              <w:rPr>
                <w:rFonts w:ascii="Calibri" w:hAnsi="Calibri"/>
                <w:sz w:val="22"/>
                <w:szCs w:val="22"/>
              </w:rPr>
            </w:pPr>
          </w:p>
        </w:tc>
        <w:tc>
          <w:tcPr>
            <w:tcW w:w="369" w:type="dxa"/>
          </w:tcPr>
          <w:p w14:paraId="7289E4AE" w14:textId="77777777" w:rsidR="00865CE1" w:rsidRPr="00641D0E" w:rsidRDefault="00865CE1" w:rsidP="00A67DC0">
            <w:pPr>
              <w:jc w:val="both"/>
              <w:rPr>
                <w:rFonts w:ascii="Calibri" w:hAnsi="Calibri"/>
              </w:rPr>
            </w:pPr>
          </w:p>
        </w:tc>
      </w:tr>
    </w:tbl>
    <w:p w14:paraId="1B235191" w14:textId="77777777" w:rsidR="00B77283" w:rsidRPr="00641D0E" w:rsidRDefault="00B77283" w:rsidP="00A67DC0">
      <w:pPr>
        <w:jc w:val="both"/>
        <w:rPr>
          <w:rFonts w:ascii="Calibri" w:hAnsi="Calibri"/>
        </w:rPr>
      </w:pPr>
    </w:p>
    <w:p w14:paraId="34FCEE42" w14:textId="77777777" w:rsidR="002422CE" w:rsidRPr="00641D0E" w:rsidRDefault="002422CE" w:rsidP="00A67DC0">
      <w:pPr>
        <w:spacing w:after="240"/>
        <w:jc w:val="both"/>
        <w:rPr>
          <w:rFonts w:ascii="Calibri" w:hAnsi="Calibri"/>
        </w:rPr>
      </w:pPr>
      <w:r w:rsidRPr="00641D0E">
        <w:rPr>
          <w:rFonts w:ascii="Calibri" w:hAnsi="Calibri"/>
        </w:rPr>
        <w:t xml:space="preserve">Initial </w:t>
      </w:r>
      <w:r w:rsidRPr="00641D0E">
        <w:rPr>
          <w:rFonts w:ascii="Calibri" w:hAnsi="Calibri"/>
          <w:b/>
        </w:rPr>
        <w:t xml:space="preserve">quarterly </w:t>
      </w:r>
      <w:r w:rsidR="00BC06EC" w:rsidRPr="00641D0E">
        <w:rPr>
          <w:rFonts w:ascii="Calibri" w:hAnsi="Calibri"/>
          <w:b/>
        </w:rPr>
        <w:t xml:space="preserve">humanitarian partnership dialogue </w:t>
      </w:r>
      <w:r w:rsidRPr="00641D0E">
        <w:rPr>
          <w:rFonts w:ascii="Calibri" w:hAnsi="Calibri"/>
          <w:b/>
        </w:rPr>
        <w:t>meetings</w:t>
      </w:r>
      <w:r w:rsidRPr="00641D0E">
        <w:rPr>
          <w:rFonts w:ascii="Calibri" w:hAnsi="Calibri"/>
        </w:rPr>
        <w:t xml:space="preserve"> </w:t>
      </w:r>
      <w:r w:rsidR="00BC06EC" w:rsidRPr="00641D0E">
        <w:rPr>
          <w:rFonts w:ascii="Calibri" w:hAnsi="Calibri"/>
        </w:rPr>
        <w:t xml:space="preserve">will be used to </w:t>
      </w:r>
      <w:r w:rsidR="00AE2367" w:rsidRPr="00641D0E">
        <w:rPr>
          <w:rFonts w:ascii="Calibri" w:hAnsi="Calibri"/>
        </w:rPr>
        <w:t>set the direction of the partnership and iron out details of implementation arrangements. Suggested top</w:t>
      </w:r>
      <w:r w:rsidR="00E2113A" w:rsidRPr="00641D0E">
        <w:rPr>
          <w:rFonts w:ascii="Calibri" w:hAnsi="Calibri"/>
        </w:rPr>
        <w:t>i</w:t>
      </w:r>
      <w:r w:rsidR="00AE2367" w:rsidRPr="00641D0E">
        <w:rPr>
          <w:rFonts w:ascii="Calibri" w:hAnsi="Calibri"/>
        </w:rPr>
        <w:t>cs for discussion are:</w:t>
      </w:r>
    </w:p>
    <w:p w14:paraId="664D37DC" w14:textId="6D873F58" w:rsidR="00AE2367" w:rsidRPr="00641D0E" w:rsidRDefault="00AE2367" w:rsidP="00A67DC0">
      <w:pPr>
        <w:pStyle w:val="ListParagraph"/>
        <w:numPr>
          <w:ilvl w:val="0"/>
          <w:numId w:val="1"/>
        </w:numPr>
        <w:spacing w:after="240" w:line="240" w:lineRule="auto"/>
        <w:jc w:val="both"/>
        <w:rPr>
          <w:rFonts w:ascii="Calibri" w:hAnsi="Calibri"/>
          <w:sz w:val="24"/>
          <w:szCs w:val="24"/>
        </w:rPr>
      </w:pPr>
      <w:r w:rsidRPr="00641D0E">
        <w:rPr>
          <w:rFonts w:ascii="Calibri" w:hAnsi="Calibri"/>
          <w:sz w:val="24"/>
          <w:szCs w:val="24"/>
        </w:rPr>
        <w:t>July</w:t>
      </w:r>
      <w:r w:rsidR="0053486B">
        <w:rPr>
          <w:rFonts w:ascii="Calibri" w:hAnsi="Calibri"/>
          <w:sz w:val="24"/>
          <w:szCs w:val="24"/>
        </w:rPr>
        <w:t xml:space="preserve"> 2016</w:t>
      </w:r>
      <w:r w:rsidRPr="00641D0E">
        <w:rPr>
          <w:rFonts w:ascii="Calibri" w:hAnsi="Calibri"/>
          <w:sz w:val="24"/>
          <w:szCs w:val="24"/>
        </w:rPr>
        <w:t>: Inception meeting</w:t>
      </w:r>
      <w:r w:rsidR="00B419A1" w:rsidRPr="00641D0E">
        <w:rPr>
          <w:rFonts w:ascii="Calibri" w:hAnsi="Calibri"/>
          <w:sz w:val="24"/>
          <w:szCs w:val="24"/>
        </w:rPr>
        <w:t xml:space="preserve"> to introduce Support Unit team</w:t>
      </w:r>
      <w:r w:rsidR="00C318DA">
        <w:rPr>
          <w:rFonts w:ascii="Calibri" w:hAnsi="Calibri"/>
          <w:sz w:val="24"/>
          <w:szCs w:val="24"/>
        </w:rPr>
        <w:t>, discuss the partnership arrangements</w:t>
      </w:r>
      <w:r w:rsidR="00B419A1" w:rsidRPr="00641D0E">
        <w:rPr>
          <w:rFonts w:ascii="Calibri" w:hAnsi="Calibri"/>
          <w:sz w:val="24"/>
          <w:szCs w:val="24"/>
        </w:rPr>
        <w:t xml:space="preserve"> and </w:t>
      </w:r>
      <w:r w:rsidR="00C318DA">
        <w:rPr>
          <w:rFonts w:ascii="Calibri" w:hAnsi="Calibri"/>
          <w:sz w:val="24"/>
          <w:szCs w:val="24"/>
        </w:rPr>
        <w:t>plan</w:t>
      </w:r>
      <w:r w:rsidR="00B419A1" w:rsidRPr="00641D0E">
        <w:rPr>
          <w:rFonts w:ascii="Calibri" w:hAnsi="Calibri"/>
          <w:sz w:val="24"/>
          <w:szCs w:val="24"/>
        </w:rPr>
        <w:t xml:space="preserve"> for </w:t>
      </w:r>
      <w:r w:rsidR="00C318DA">
        <w:rPr>
          <w:rFonts w:ascii="Calibri" w:hAnsi="Calibri"/>
          <w:sz w:val="24"/>
          <w:szCs w:val="24"/>
        </w:rPr>
        <w:t xml:space="preserve">the </w:t>
      </w:r>
      <w:r w:rsidR="00B419A1" w:rsidRPr="00641D0E">
        <w:rPr>
          <w:rFonts w:ascii="Calibri" w:hAnsi="Calibri"/>
          <w:sz w:val="24"/>
          <w:szCs w:val="24"/>
        </w:rPr>
        <w:t>f</w:t>
      </w:r>
      <w:r w:rsidR="003A34DF">
        <w:rPr>
          <w:rFonts w:ascii="Calibri" w:hAnsi="Calibri"/>
          <w:sz w:val="24"/>
          <w:szCs w:val="24"/>
        </w:rPr>
        <w:t>irst three months of operations</w:t>
      </w:r>
      <w:r w:rsidR="00D268A7">
        <w:rPr>
          <w:rFonts w:ascii="Calibri" w:hAnsi="Calibri"/>
          <w:sz w:val="24"/>
          <w:szCs w:val="24"/>
        </w:rPr>
        <w:t xml:space="preserve">. The design team recommends that a partnership broker be engaged to facilitate work </w:t>
      </w:r>
      <w:r w:rsidR="001B39BC">
        <w:rPr>
          <w:rFonts w:ascii="Calibri" w:hAnsi="Calibri"/>
          <w:sz w:val="24"/>
          <w:szCs w:val="24"/>
        </w:rPr>
        <w:t xml:space="preserve">on the </w:t>
      </w:r>
      <w:r w:rsidR="00D268A7">
        <w:rPr>
          <w:rFonts w:ascii="Calibri" w:hAnsi="Calibri"/>
          <w:sz w:val="24"/>
          <w:szCs w:val="24"/>
        </w:rPr>
        <w:t>partnership</w:t>
      </w:r>
      <w:r w:rsidR="00ED2771">
        <w:rPr>
          <w:rFonts w:ascii="Calibri" w:hAnsi="Calibri"/>
          <w:sz w:val="24"/>
          <w:szCs w:val="24"/>
        </w:rPr>
        <w:t>’</w:t>
      </w:r>
      <w:r w:rsidR="00D268A7">
        <w:rPr>
          <w:rFonts w:ascii="Calibri" w:hAnsi="Calibri"/>
          <w:sz w:val="24"/>
          <w:szCs w:val="24"/>
        </w:rPr>
        <w:t>s agreed priorities and outcomes</w:t>
      </w:r>
    </w:p>
    <w:p w14:paraId="3B64E39D" w14:textId="77777777" w:rsidR="00AE2367" w:rsidRPr="00C96C90" w:rsidRDefault="00AE2367" w:rsidP="00A67DC0">
      <w:pPr>
        <w:pStyle w:val="ListParagraph"/>
        <w:numPr>
          <w:ilvl w:val="0"/>
          <w:numId w:val="1"/>
        </w:numPr>
        <w:spacing w:after="240" w:line="240" w:lineRule="auto"/>
        <w:jc w:val="both"/>
        <w:rPr>
          <w:rFonts w:ascii="Calibri" w:hAnsi="Calibri"/>
          <w:sz w:val="24"/>
          <w:szCs w:val="24"/>
        </w:rPr>
      </w:pPr>
      <w:r w:rsidRPr="00641D0E">
        <w:rPr>
          <w:rFonts w:ascii="Calibri" w:hAnsi="Calibri"/>
          <w:sz w:val="24"/>
          <w:szCs w:val="24"/>
        </w:rPr>
        <w:t>October</w:t>
      </w:r>
      <w:r w:rsidR="0053486B">
        <w:rPr>
          <w:rFonts w:ascii="Calibri" w:hAnsi="Calibri"/>
          <w:sz w:val="24"/>
          <w:szCs w:val="24"/>
        </w:rPr>
        <w:t xml:space="preserve"> 2016</w:t>
      </w:r>
      <w:r w:rsidRPr="00641D0E">
        <w:rPr>
          <w:rFonts w:ascii="Calibri" w:hAnsi="Calibri"/>
          <w:sz w:val="24"/>
          <w:szCs w:val="24"/>
        </w:rPr>
        <w:t>:</w:t>
      </w:r>
      <w:r w:rsidR="002A7188">
        <w:rPr>
          <w:rFonts w:ascii="Calibri" w:hAnsi="Calibri"/>
          <w:sz w:val="24"/>
          <w:szCs w:val="24"/>
        </w:rPr>
        <w:t xml:space="preserve"> </w:t>
      </w:r>
      <w:r w:rsidR="0041461C">
        <w:rPr>
          <w:rFonts w:ascii="Calibri" w:hAnsi="Calibri"/>
          <w:sz w:val="24"/>
          <w:szCs w:val="24"/>
        </w:rPr>
        <w:t>Operationalising</w:t>
      </w:r>
      <w:r w:rsidR="002A7188">
        <w:rPr>
          <w:rFonts w:ascii="Calibri" w:hAnsi="Calibri"/>
          <w:sz w:val="24"/>
          <w:szCs w:val="24"/>
        </w:rPr>
        <w:t xml:space="preserve"> the</w:t>
      </w:r>
      <w:r w:rsidR="0026535F" w:rsidRPr="00C96C90">
        <w:rPr>
          <w:rFonts w:ascii="Calibri" w:hAnsi="Calibri"/>
          <w:sz w:val="24"/>
          <w:szCs w:val="24"/>
        </w:rPr>
        <w:t xml:space="preserve"> </w:t>
      </w:r>
      <w:r w:rsidR="00D268A7">
        <w:rPr>
          <w:rFonts w:ascii="Calibri" w:hAnsi="Calibri"/>
          <w:sz w:val="24"/>
          <w:szCs w:val="24"/>
        </w:rPr>
        <w:t xml:space="preserve">revised </w:t>
      </w:r>
      <w:r w:rsidR="0026535F" w:rsidRPr="00C96C90">
        <w:rPr>
          <w:rFonts w:ascii="Calibri" w:hAnsi="Calibri"/>
          <w:sz w:val="24"/>
          <w:szCs w:val="24"/>
        </w:rPr>
        <w:t xml:space="preserve">MEL framework and </w:t>
      </w:r>
      <w:r w:rsidR="00EC55FA">
        <w:rPr>
          <w:rFonts w:ascii="Calibri" w:hAnsi="Calibri"/>
          <w:sz w:val="24"/>
          <w:szCs w:val="24"/>
        </w:rPr>
        <w:t>the communications plan and pro</w:t>
      </w:r>
      <w:r w:rsidR="003A34DF">
        <w:rPr>
          <w:rFonts w:ascii="Calibri" w:hAnsi="Calibri"/>
          <w:sz w:val="24"/>
          <w:szCs w:val="24"/>
        </w:rPr>
        <w:t>tocols</w:t>
      </w:r>
    </w:p>
    <w:p w14:paraId="287CDF12" w14:textId="0E1C68D5" w:rsidR="00AE2367" w:rsidRPr="00641D0E" w:rsidRDefault="00AE2367" w:rsidP="00A67DC0">
      <w:pPr>
        <w:pStyle w:val="ListParagraph"/>
        <w:numPr>
          <w:ilvl w:val="0"/>
          <w:numId w:val="1"/>
        </w:numPr>
        <w:spacing w:after="240" w:line="240" w:lineRule="auto"/>
        <w:jc w:val="both"/>
        <w:rPr>
          <w:rFonts w:ascii="Calibri" w:hAnsi="Calibri"/>
          <w:sz w:val="24"/>
          <w:szCs w:val="24"/>
        </w:rPr>
      </w:pPr>
      <w:r w:rsidRPr="00641D0E">
        <w:rPr>
          <w:rFonts w:ascii="Calibri" w:hAnsi="Calibri"/>
          <w:sz w:val="24"/>
          <w:szCs w:val="24"/>
        </w:rPr>
        <w:t>January</w:t>
      </w:r>
      <w:r w:rsidR="0053486B">
        <w:rPr>
          <w:rFonts w:ascii="Calibri" w:hAnsi="Calibri"/>
          <w:sz w:val="24"/>
          <w:szCs w:val="24"/>
        </w:rPr>
        <w:t xml:space="preserve"> 2017</w:t>
      </w:r>
      <w:r w:rsidRPr="00641D0E">
        <w:rPr>
          <w:rFonts w:ascii="Calibri" w:hAnsi="Calibri"/>
          <w:sz w:val="24"/>
          <w:szCs w:val="24"/>
        </w:rPr>
        <w:t>:</w:t>
      </w:r>
      <w:r w:rsidR="00C74413" w:rsidRPr="00641D0E">
        <w:rPr>
          <w:rFonts w:ascii="Calibri" w:hAnsi="Calibri"/>
          <w:sz w:val="24"/>
          <w:szCs w:val="24"/>
        </w:rPr>
        <w:t xml:space="preserve"> </w:t>
      </w:r>
      <w:r w:rsidR="00DE0925">
        <w:rPr>
          <w:rFonts w:ascii="Calibri" w:hAnsi="Calibri"/>
          <w:sz w:val="24"/>
          <w:szCs w:val="24"/>
        </w:rPr>
        <w:t xml:space="preserve">Presentation of progress of the inception phase to build local humanitarian capability </w:t>
      </w:r>
      <w:r w:rsidR="00D268A7">
        <w:rPr>
          <w:rFonts w:ascii="Calibri" w:hAnsi="Calibri"/>
          <w:sz w:val="24"/>
          <w:szCs w:val="24"/>
        </w:rPr>
        <w:t xml:space="preserve">and </w:t>
      </w:r>
      <w:r w:rsidR="00D268A7" w:rsidRPr="00737D62">
        <w:rPr>
          <w:rFonts w:ascii="Calibri" w:hAnsi="Calibri"/>
          <w:sz w:val="24"/>
          <w:szCs w:val="24"/>
        </w:rPr>
        <w:t xml:space="preserve">strengthen disaster resilience of </w:t>
      </w:r>
      <w:r w:rsidR="00F1336C">
        <w:rPr>
          <w:rFonts w:ascii="Calibri" w:hAnsi="Calibri"/>
          <w:sz w:val="24"/>
          <w:szCs w:val="24"/>
        </w:rPr>
        <w:t xml:space="preserve">Pacific </w:t>
      </w:r>
      <w:r w:rsidR="00D268A7" w:rsidRPr="00737D62">
        <w:rPr>
          <w:rFonts w:ascii="Calibri" w:hAnsi="Calibri"/>
          <w:sz w:val="24"/>
          <w:szCs w:val="24"/>
        </w:rPr>
        <w:t>communities</w:t>
      </w:r>
      <w:r w:rsidR="00DE0925">
        <w:rPr>
          <w:rFonts w:ascii="Calibri" w:hAnsi="Calibri"/>
          <w:sz w:val="24"/>
          <w:szCs w:val="24"/>
        </w:rPr>
        <w:t>.</w:t>
      </w:r>
    </w:p>
    <w:p w14:paraId="598671A1" w14:textId="77777777" w:rsidR="00C577BD" w:rsidRDefault="00AE2367" w:rsidP="00A67DC0">
      <w:pPr>
        <w:pStyle w:val="ListParagraph"/>
        <w:numPr>
          <w:ilvl w:val="0"/>
          <w:numId w:val="1"/>
        </w:numPr>
        <w:spacing w:after="240" w:line="240" w:lineRule="auto"/>
        <w:ind w:left="714" w:hanging="357"/>
        <w:jc w:val="both"/>
        <w:rPr>
          <w:rFonts w:ascii="Calibri" w:hAnsi="Calibri"/>
          <w:sz w:val="24"/>
          <w:szCs w:val="24"/>
        </w:rPr>
      </w:pPr>
      <w:r w:rsidRPr="00641D0E">
        <w:rPr>
          <w:rFonts w:ascii="Calibri" w:hAnsi="Calibri"/>
          <w:sz w:val="24"/>
          <w:szCs w:val="24"/>
        </w:rPr>
        <w:t>April</w:t>
      </w:r>
      <w:r w:rsidR="0053486B">
        <w:rPr>
          <w:rFonts w:ascii="Calibri" w:hAnsi="Calibri"/>
          <w:sz w:val="24"/>
          <w:szCs w:val="24"/>
        </w:rPr>
        <w:t xml:space="preserve"> 2017</w:t>
      </w:r>
      <w:r w:rsidRPr="00641D0E">
        <w:rPr>
          <w:rFonts w:ascii="Calibri" w:hAnsi="Calibri"/>
          <w:sz w:val="24"/>
          <w:szCs w:val="24"/>
        </w:rPr>
        <w:t>:</w:t>
      </w:r>
      <w:r w:rsidR="00666B7D" w:rsidRPr="00641D0E">
        <w:rPr>
          <w:rFonts w:ascii="Calibri" w:hAnsi="Calibri"/>
          <w:sz w:val="24"/>
          <w:szCs w:val="24"/>
        </w:rPr>
        <w:t xml:space="preserve"> </w:t>
      </w:r>
      <w:r w:rsidR="00DE0925">
        <w:rPr>
          <w:rFonts w:ascii="Calibri" w:hAnsi="Calibri"/>
          <w:sz w:val="24"/>
          <w:szCs w:val="24"/>
        </w:rPr>
        <w:t>Developing a comprehensive ANGO humanitarian capacity map</w:t>
      </w:r>
      <w:r w:rsidR="00DE0925" w:rsidDel="00DE0925">
        <w:rPr>
          <w:rFonts w:ascii="Calibri" w:hAnsi="Calibri"/>
          <w:sz w:val="24"/>
          <w:szCs w:val="24"/>
        </w:rPr>
        <w:t xml:space="preserve"> </w:t>
      </w:r>
    </w:p>
    <w:p w14:paraId="15C22141" w14:textId="77777777" w:rsidR="000E3035" w:rsidRPr="00641D0E" w:rsidRDefault="000E3035" w:rsidP="00A67DC0">
      <w:pPr>
        <w:spacing w:after="240"/>
        <w:jc w:val="both"/>
        <w:rPr>
          <w:rFonts w:ascii="Calibri" w:hAnsi="Calibri"/>
        </w:rPr>
      </w:pPr>
      <w:r w:rsidRPr="00641D0E">
        <w:rPr>
          <w:rFonts w:ascii="Calibri" w:hAnsi="Calibri"/>
        </w:rPr>
        <w:t xml:space="preserve">Development of mutually agreed </w:t>
      </w:r>
      <w:r w:rsidRPr="00641D0E">
        <w:rPr>
          <w:rFonts w:ascii="Calibri" w:hAnsi="Calibri"/>
          <w:b/>
        </w:rPr>
        <w:t>templates</w:t>
      </w:r>
      <w:r w:rsidRPr="00641D0E">
        <w:rPr>
          <w:rFonts w:ascii="Calibri" w:hAnsi="Calibri"/>
        </w:rPr>
        <w:t xml:space="preserve"> </w:t>
      </w:r>
      <w:r w:rsidR="00914EE2">
        <w:rPr>
          <w:rFonts w:ascii="Calibri" w:hAnsi="Calibri"/>
        </w:rPr>
        <w:t xml:space="preserve">and </w:t>
      </w:r>
      <w:r w:rsidR="00914EE2">
        <w:rPr>
          <w:rFonts w:ascii="Calibri" w:hAnsi="Calibri"/>
          <w:b/>
        </w:rPr>
        <w:t xml:space="preserve">processes </w:t>
      </w:r>
      <w:r w:rsidR="002A7188">
        <w:rPr>
          <w:rFonts w:ascii="Calibri" w:hAnsi="Calibri"/>
        </w:rPr>
        <w:t xml:space="preserve">to increase efficiency </w:t>
      </w:r>
      <w:r w:rsidRPr="00641D0E">
        <w:rPr>
          <w:rFonts w:ascii="Calibri" w:hAnsi="Calibri"/>
        </w:rPr>
        <w:t>will be</w:t>
      </w:r>
      <w:r w:rsidR="00991DB0">
        <w:rPr>
          <w:rFonts w:ascii="Calibri" w:hAnsi="Calibri"/>
        </w:rPr>
        <w:t xml:space="preserve"> a priority in the operationalis</w:t>
      </w:r>
      <w:r w:rsidRPr="00641D0E">
        <w:rPr>
          <w:rFonts w:ascii="Calibri" w:hAnsi="Calibri"/>
        </w:rPr>
        <w:t xml:space="preserve">ation of </w:t>
      </w:r>
      <w:r w:rsidR="00B232B0">
        <w:rPr>
          <w:rFonts w:ascii="Calibri" w:hAnsi="Calibri"/>
        </w:rPr>
        <w:t>response funding</w:t>
      </w:r>
      <w:r w:rsidRPr="00641D0E">
        <w:rPr>
          <w:rFonts w:ascii="Calibri" w:hAnsi="Calibri"/>
        </w:rPr>
        <w:t xml:space="preserve">. </w:t>
      </w:r>
      <w:r w:rsidR="00C54BD7">
        <w:rPr>
          <w:rFonts w:ascii="Calibri" w:hAnsi="Calibri"/>
        </w:rPr>
        <w:t xml:space="preserve">HPA templates and processes offer a useful starting point. </w:t>
      </w:r>
      <w:r w:rsidRPr="00641D0E">
        <w:rPr>
          <w:rFonts w:ascii="Calibri" w:hAnsi="Calibri"/>
        </w:rPr>
        <w:t xml:space="preserve">At a minimum, </w:t>
      </w:r>
      <w:r w:rsidR="00E72EA1">
        <w:rPr>
          <w:rFonts w:ascii="Calibri" w:hAnsi="Calibri"/>
        </w:rPr>
        <w:t>these</w:t>
      </w:r>
      <w:r w:rsidR="00CB5DEA" w:rsidRPr="00641D0E">
        <w:rPr>
          <w:rFonts w:ascii="Calibri" w:hAnsi="Calibri"/>
        </w:rPr>
        <w:t xml:space="preserve"> should include</w:t>
      </w:r>
      <w:r w:rsidRPr="00641D0E">
        <w:rPr>
          <w:rFonts w:ascii="Calibri" w:hAnsi="Calibri"/>
        </w:rPr>
        <w:t>:</w:t>
      </w:r>
    </w:p>
    <w:p w14:paraId="53828671" w14:textId="77777777" w:rsidR="00914EE2" w:rsidRPr="00914EE2" w:rsidRDefault="00914EE2" w:rsidP="00A67DC0">
      <w:pPr>
        <w:pStyle w:val="ListParagraph"/>
        <w:widowControl w:val="0"/>
        <w:numPr>
          <w:ilvl w:val="0"/>
          <w:numId w:val="1"/>
        </w:numPr>
        <w:autoSpaceDE w:val="0"/>
        <w:autoSpaceDN w:val="0"/>
        <w:adjustRightInd w:val="0"/>
        <w:spacing w:after="240" w:line="240" w:lineRule="auto"/>
        <w:jc w:val="both"/>
        <w:rPr>
          <w:rFonts w:ascii="Calibri" w:hAnsi="Calibri"/>
          <w:sz w:val="24"/>
          <w:szCs w:val="24"/>
        </w:rPr>
      </w:pPr>
      <w:r>
        <w:rPr>
          <w:rFonts w:ascii="Calibri" w:hAnsi="Calibri"/>
          <w:sz w:val="24"/>
          <w:szCs w:val="24"/>
        </w:rPr>
        <w:t>An agreed</w:t>
      </w:r>
      <w:r w:rsidRPr="00914EE2">
        <w:rPr>
          <w:rFonts w:ascii="Calibri" w:hAnsi="Calibri"/>
          <w:sz w:val="24"/>
          <w:szCs w:val="24"/>
        </w:rPr>
        <w:t xml:space="preserve"> process and criteria for the review and scoring of proposals</w:t>
      </w:r>
      <w:r w:rsidR="00245118">
        <w:rPr>
          <w:rFonts w:ascii="Calibri" w:hAnsi="Calibri"/>
          <w:sz w:val="24"/>
          <w:szCs w:val="24"/>
        </w:rPr>
        <w:t xml:space="preserve">, to </w:t>
      </w:r>
      <w:r w:rsidR="00245118">
        <w:rPr>
          <w:rFonts w:ascii="Calibri" w:hAnsi="Calibri"/>
          <w:sz w:val="24"/>
          <w:szCs w:val="24"/>
        </w:rPr>
        <w:lastRenderedPageBreak/>
        <w:t>ensure the</w:t>
      </w:r>
      <w:r w:rsidRPr="00914EE2">
        <w:rPr>
          <w:rFonts w:ascii="Calibri" w:hAnsi="Calibri"/>
          <w:sz w:val="24"/>
          <w:szCs w:val="24"/>
        </w:rPr>
        <w:t xml:space="preserve"> </w:t>
      </w:r>
      <w:r w:rsidR="00245118">
        <w:rPr>
          <w:rFonts w:ascii="Calibri" w:hAnsi="Calibri"/>
          <w:sz w:val="24"/>
          <w:szCs w:val="24"/>
        </w:rPr>
        <w:t xml:space="preserve">consistency and </w:t>
      </w:r>
      <w:r w:rsidRPr="00914EE2">
        <w:rPr>
          <w:rFonts w:ascii="Calibri" w:hAnsi="Calibri"/>
          <w:sz w:val="24"/>
          <w:szCs w:val="24"/>
        </w:rPr>
        <w:t xml:space="preserve">rigour </w:t>
      </w:r>
      <w:r w:rsidR="00245118">
        <w:rPr>
          <w:rFonts w:ascii="Calibri" w:hAnsi="Calibri"/>
          <w:sz w:val="24"/>
          <w:szCs w:val="24"/>
        </w:rPr>
        <w:t>of</w:t>
      </w:r>
      <w:r w:rsidRPr="00914EE2">
        <w:rPr>
          <w:rFonts w:ascii="Calibri" w:hAnsi="Calibri"/>
          <w:sz w:val="24"/>
          <w:szCs w:val="24"/>
        </w:rPr>
        <w:t xml:space="preserve"> decision</w:t>
      </w:r>
      <w:r w:rsidR="008B34A9">
        <w:rPr>
          <w:rFonts w:ascii="Calibri" w:hAnsi="Calibri"/>
          <w:sz w:val="24"/>
          <w:szCs w:val="24"/>
        </w:rPr>
        <w:t>-</w:t>
      </w:r>
      <w:r w:rsidRPr="00914EE2">
        <w:rPr>
          <w:rFonts w:ascii="Calibri" w:hAnsi="Calibri"/>
          <w:sz w:val="24"/>
          <w:szCs w:val="24"/>
        </w:rPr>
        <w:t>making process</w:t>
      </w:r>
      <w:r w:rsidR="001E545F">
        <w:rPr>
          <w:rFonts w:ascii="Calibri" w:hAnsi="Calibri"/>
          <w:sz w:val="24"/>
          <w:szCs w:val="24"/>
        </w:rPr>
        <w:t>es</w:t>
      </w:r>
      <w:r w:rsidRPr="00914EE2">
        <w:rPr>
          <w:rFonts w:ascii="Calibri" w:hAnsi="Calibri"/>
          <w:sz w:val="24"/>
          <w:szCs w:val="24"/>
        </w:rPr>
        <w:t xml:space="preserve"> </w:t>
      </w:r>
    </w:p>
    <w:p w14:paraId="516C6FFF" w14:textId="77777777" w:rsidR="00CB5DEA" w:rsidRPr="00641D0E" w:rsidRDefault="00914EE2" w:rsidP="00A67DC0">
      <w:pPr>
        <w:pStyle w:val="ListParagraph"/>
        <w:numPr>
          <w:ilvl w:val="0"/>
          <w:numId w:val="1"/>
        </w:numPr>
        <w:spacing w:after="240" w:line="240" w:lineRule="auto"/>
        <w:jc w:val="both"/>
        <w:rPr>
          <w:rFonts w:ascii="Calibri" w:hAnsi="Calibri"/>
          <w:sz w:val="24"/>
          <w:szCs w:val="24"/>
        </w:rPr>
      </w:pPr>
      <w:r>
        <w:rPr>
          <w:rFonts w:ascii="Calibri" w:hAnsi="Calibri"/>
          <w:sz w:val="24"/>
          <w:szCs w:val="24"/>
        </w:rPr>
        <w:t>Template for i</w:t>
      </w:r>
      <w:r w:rsidR="00CB5DEA" w:rsidRPr="00641D0E">
        <w:rPr>
          <w:rFonts w:ascii="Calibri" w:hAnsi="Calibri"/>
          <w:sz w:val="24"/>
          <w:szCs w:val="24"/>
        </w:rPr>
        <w:t>ndividual NGO proposals to the Response Committee (rapid-onset crises</w:t>
      </w:r>
      <w:r w:rsidR="00991DB0">
        <w:rPr>
          <w:rFonts w:ascii="Calibri" w:hAnsi="Calibri"/>
          <w:sz w:val="24"/>
          <w:szCs w:val="24"/>
        </w:rPr>
        <w:t xml:space="preserve">) and the </w:t>
      </w:r>
      <w:r w:rsidR="00176A5F">
        <w:rPr>
          <w:rFonts w:ascii="Calibri" w:hAnsi="Calibri"/>
          <w:sz w:val="24"/>
          <w:szCs w:val="24"/>
        </w:rPr>
        <w:t>T</w:t>
      </w:r>
      <w:r w:rsidR="00991DB0">
        <w:rPr>
          <w:rFonts w:ascii="Calibri" w:hAnsi="Calibri"/>
          <w:sz w:val="24"/>
          <w:szCs w:val="24"/>
        </w:rPr>
        <w:t xml:space="preserve">echnical </w:t>
      </w:r>
      <w:r w:rsidR="00176A5F">
        <w:rPr>
          <w:rFonts w:ascii="Calibri" w:hAnsi="Calibri"/>
          <w:sz w:val="24"/>
          <w:szCs w:val="24"/>
        </w:rPr>
        <w:t>A</w:t>
      </w:r>
      <w:r w:rsidR="00991DB0">
        <w:rPr>
          <w:rFonts w:ascii="Calibri" w:hAnsi="Calibri"/>
          <w:sz w:val="24"/>
          <w:szCs w:val="24"/>
        </w:rPr>
        <w:t xml:space="preserve">ssessment </w:t>
      </w:r>
      <w:r w:rsidR="00176A5F">
        <w:rPr>
          <w:rFonts w:ascii="Calibri" w:hAnsi="Calibri"/>
          <w:sz w:val="24"/>
          <w:szCs w:val="24"/>
        </w:rPr>
        <w:t>P</w:t>
      </w:r>
      <w:r w:rsidR="00991DB0">
        <w:rPr>
          <w:rFonts w:ascii="Calibri" w:hAnsi="Calibri"/>
          <w:sz w:val="24"/>
          <w:szCs w:val="24"/>
        </w:rPr>
        <w:t>anel (</w:t>
      </w:r>
      <w:r w:rsidR="00247F6F">
        <w:rPr>
          <w:rFonts w:ascii="Calibri" w:hAnsi="Calibri"/>
          <w:sz w:val="24"/>
          <w:szCs w:val="24"/>
        </w:rPr>
        <w:t>protracted and slow onset</w:t>
      </w:r>
      <w:r w:rsidR="00991DB0">
        <w:rPr>
          <w:rFonts w:ascii="Calibri" w:hAnsi="Calibri"/>
          <w:sz w:val="24"/>
          <w:szCs w:val="24"/>
        </w:rPr>
        <w:t xml:space="preserve"> crises)</w:t>
      </w:r>
    </w:p>
    <w:p w14:paraId="48116666" w14:textId="77777777" w:rsidR="00CB5DEA" w:rsidRPr="00641D0E" w:rsidRDefault="00914EE2" w:rsidP="00A67DC0">
      <w:pPr>
        <w:pStyle w:val="ListParagraph"/>
        <w:numPr>
          <w:ilvl w:val="0"/>
          <w:numId w:val="1"/>
        </w:numPr>
        <w:spacing w:after="240" w:line="240" w:lineRule="auto"/>
        <w:jc w:val="both"/>
        <w:rPr>
          <w:rFonts w:ascii="Calibri" w:hAnsi="Calibri"/>
          <w:sz w:val="24"/>
          <w:szCs w:val="24"/>
        </w:rPr>
      </w:pPr>
      <w:r>
        <w:rPr>
          <w:rFonts w:ascii="Calibri" w:hAnsi="Calibri"/>
          <w:sz w:val="24"/>
          <w:szCs w:val="24"/>
        </w:rPr>
        <w:t xml:space="preserve">Template for </w:t>
      </w:r>
      <w:r w:rsidR="008B34A9">
        <w:rPr>
          <w:rFonts w:ascii="Calibri" w:hAnsi="Calibri"/>
          <w:sz w:val="24"/>
          <w:szCs w:val="24"/>
        </w:rPr>
        <w:t>C</w:t>
      </w:r>
      <w:r w:rsidR="00CB5DEA" w:rsidRPr="00641D0E">
        <w:rPr>
          <w:rFonts w:ascii="Calibri" w:hAnsi="Calibri"/>
          <w:sz w:val="24"/>
          <w:szCs w:val="24"/>
        </w:rPr>
        <w:t xml:space="preserve">onsolidated Proposals (one for rapid-onset crises and one for </w:t>
      </w:r>
      <w:r w:rsidR="00247F6F">
        <w:rPr>
          <w:rFonts w:ascii="Calibri" w:hAnsi="Calibri"/>
          <w:sz w:val="24"/>
          <w:szCs w:val="24"/>
        </w:rPr>
        <w:t>protracted and slow onset</w:t>
      </w:r>
      <w:r w:rsidR="00CB5DEA" w:rsidRPr="00641D0E">
        <w:rPr>
          <w:rFonts w:ascii="Calibri" w:hAnsi="Calibri"/>
          <w:sz w:val="24"/>
          <w:szCs w:val="24"/>
        </w:rPr>
        <w:t xml:space="preserve"> crises)</w:t>
      </w:r>
    </w:p>
    <w:p w14:paraId="5E922BF2" w14:textId="54405DD8" w:rsidR="002920B5" w:rsidRPr="00641D0E" w:rsidRDefault="00914EE2" w:rsidP="00A67DC0">
      <w:pPr>
        <w:pStyle w:val="ListParagraph"/>
        <w:numPr>
          <w:ilvl w:val="0"/>
          <w:numId w:val="1"/>
        </w:numPr>
        <w:spacing w:after="240" w:line="240" w:lineRule="auto"/>
        <w:jc w:val="both"/>
        <w:rPr>
          <w:rFonts w:ascii="Calibri" w:hAnsi="Calibri"/>
          <w:sz w:val="24"/>
          <w:szCs w:val="24"/>
        </w:rPr>
      </w:pPr>
      <w:r>
        <w:rPr>
          <w:rFonts w:ascii="Calibri" w:hAnsi="Calibri"/>
          <w:sz w:val="24"/>
          <w:szCs w:val="24"/>
        </w:rPr>
        <w:t>Cleared template for g</w:t>
      </w:r>
      <w:r w:rsidR="002920B5" w:rsidRPr="00641D0E">
        <w:rPr>
          <w:rFonts w:ascii="Calibri" w:hAnsi="Calibri"/>
          <w:sz w:val="24"/>
          <w:szCs w:val="24"/>
        </w:rPr>
        <w:t xml:space="preserve">rant agreements between </w:t>
      </w:r>
      <w:r w:rsidR="00D268A7">
        <w:rPr>
          <w:rFonts w:ascii="Calibri" w:hAnsi="Calibri"/>
          <w:sz w:val="24"/>
          <w:szCs w:val="24"/>
        </w:rPr>
        <w:t>the Support Unit</w:t>
      </w:r>
      <w:r w:rsidR="00D268A7" w:rsidRPr="00641D0E">
        <w:rPr>
          <w:rFonts w:ascii="Calibri" w:hAnsi="Calibri"/>
          <w:sz w:val="24"/>
          <w:szCs w:val="24"/>
        </w:rPr>
        <w:t xml:space="preserve"> </w:t>
      </w:r>
      <w:r w:rsidR="002920B5" w:rsidRPr="00641D0E">
        <w:rPr>
          <w:rFonts w:ascii="Calibri" w:hAnsi="Calibri"/>
          <w:sz w:val="24"/>
          <w:szCs w:val="24"/>
        </w:rPr>
        <w:t>and funded NGOs</w:t>
      </w:r>
    </w:p>
    <w:p w14:paraId="28ACDB67" w14:textId="77777777" w:rsidR="00CB5DEA" w:rsidRPr="00641D0E" w:rsidRDefault="00914EE2" w:rsidP="00A67DC0">
      <w:pPr>
        <w:pStyle w:val="ListParagraph"/>
        <w:numPr>
          <w:ilvl w:val="0"/>
          <w:numId w:val="1"/>
        </w:numPr>
        <w:spacing w:after="240" w:line="240" w:lineRule="auto"/>
        <w:jc w:val="both"/>
        <w:rPr>
          <w:rFonts w:ascii="Calibri" w:hAnsi="Calibri"/>
          <w:sz w:val="24"/>
          <w:szCs w:val="24"/>
        </w:rPr>
      </w:pPr>
      <w:r>
        <w:rPr>
          <w:rFonts w:ascii="Calibri" w:hAnsi="Calibri"/>
          <w:sz w:val="24"/>
          <w:szCs w:val="24"/>
        </w:rPr>
        <w:t xml:space="preserve">Template for </w:t>
      </w:r>
      <w:r w:rsidR="008B34A9">
        <w:rPr>
          <w:rFonts w:ascii="Calibri" w:hAnsi="Calibri"/>
          <w:sz w:val="24"/>
          <w:szCs w:val="24"/>
        </w:rPr>
        <w:t>I</w:t>
      </w:r>
      <w:r w:rsidR="00CB5DEA" w:rsidRPr="00641D0E">
        <w:rPr>
          <w:rFonts w:ascii="Calibri" w:hAnsi="Calibri"/>
          <w:sz w:val="24"/>
          <w:szCs w:val="24"/>
        </w:rPr>
        <w:t xml:space="preserve">mplementation Plans (one for rapid-onset crises and one for </w:t>
      </w:r>
      <w:r w:rsidR="00247F6F">
        <w:rPr>
          <w:rFonts w:ascii="Calibri" w:hAnsi="Calibri"/>
          <w:sz w:val="24"/>
          <w:szCs w:val="24"/>
        </w:rPr>
        <w:t>protracted and slow onset</w:t>
      </w:r>
      <w:r w:rsidR="00CB5DEA" w:rsidRPr="00641D0E">
        <w:rPr>
          <w:rFonts w:ascii="Calibri" w:hAnsi="Calibri"/>
          <w:sz w:val="24"/>
          <w:szCs w:val="24"/>
        </w:rPr>
        <w:t xml:space="preserve"> crises)</w:t>
      </w:r>
    </w:p>
    <w:p w14:paraId="0A69B4E5" w14:textId="77777777" w:rsidR="00FF78F0" w:rsidRPr="00641D0E" w:rsidRDefault="00FF78F0" w:rsidP="00FF78F0">
      <w:pPr>
        <w:pStyle w:val="ListParagraph"/>
        <w:numPr>
          <w:ilvl w:val="0"/>
          <w:numId w:val="1"/>
        </w:numPr>
        <w:spacing w:after="240" w:line="240" w:lineRule="auto"/>
        <w:jc w:val="both"/>
        <w:rPr>
          <w:rFonts w:ascii="Calibri" w:hAnsi="Calibri"/>
          <w:sz w:val="24"/>
          <w:szCs w:val="24"/>
        </w:rPr>
      </w:pPr>
      <w:r>
        <w:rPr>
          <w:rFonts w:ascii="Calibri" w:hAnsi="Calibri"/>
          <w:sz w:val="24"/>
          <w:szCs w:val="24"/>
        </w:rPr>
        <w:t>Template for i</w:t>
      </w:r>
      <w:r w:rsidRPr="00641D0E">
        <w:rPr>
          <w:rFonts w:ascii="Calibri" w:hAnsi="Calibri"/>
          <w:sz w:val="24"/>
          <w:szCs w:val="24"/>
        </w:rPr>
        <w:t xml:space="preserve">ndividual NGO </w:t>
      </w:r>
      <w:r>
        <w:rPr>
          <w:rFonts w:ascii="Calibri" w:hAnsi="Calibri"/>
          <w:sz w:val="24"/>
          <w:szCs w:val="24"/>
        </w:rPr>
        <w:t xml:space="preserve">progress and </w:t>
      </w:r>
      <w:r w:rsidRPr="00641D0E">
        <w:rPr>
          <w:rFonts w:ascii="Calibri" w:hAnsi="Calibri"/>
          <w:sz w:val="24"/>
          <w:szCs w:val="24"/>
        </w:rPr>
        <w:t>completion reports, and an associated Joint Report</w:t>
      </w:r>
      <w:r>
        <w:rPr>
          <w:rFonts w:ascii="Calibri" w:hAnsi="Calibri"/>
          <w:sz w:val="24"/>
          <w:szCs w:val="24"/>
        </w:rPr>
        <w:t>, both aligned to the revised M&amp;E framework.</w:t>
      </w:r>
    </w:p>
    <w:p w14:paraId="7902D64C" w14:textId="3313EFC2" w:rsidR="000D2DF6" w:rsidRDefault="00D9014B" w:rsidP="00A67DC0">
      <w:pPr>
        <w:spacing w:after="240"/>
        <w:jc w:val="both"/>
        <w:rPr>
          <w:rFonts w:ascii="Calibri" w:hAnsi="Calibri"/>
        </w:rPr>
      </w:pPr>
      <w:r>
        <w:rPr>
          <w:rFonts w:ascii="Calibri" w:hAnsi="Calibri"/>
        </w:rPr>
        <w:t xml:space="preserve">The inception phase for activities to </w:t>
      </w:r>
      <w:r w:rsidRPr="00D9014B">
        <w:rPr>
          <w:rFonts w:ascii="Calibri" w:hAnsi="Calibri"/>
          <w:b/>
        </w:rPr>
        <w:t>build local humanitarian capability in the Pacific</w:t>
      </w:r>
      <w:r w:rsidRPr="00737D62">
        <w:rPr>
          <w:rFonts w:ascii="Calibri" w:hAnsi="Calibri"/>
          <w:b/>
        </w:rPr>
        <w:t xml:space="preserve"> </w:t>
      </w:r>
      <w:r w:rsidR="00FF78F0" w:rsidRPr="00737D62">
        <w:rPr>
          <w:rFonts w:ascii="Calibri" w:hAnsi="Calibri"/>
          <w:b/>
        </w:rPr>
        <w:t>and strengthen disaster resilience in Pacific communities</w:t>
      </w:r>
      <w:r w:rsidR="00FF78F0">
        <w:rPr>
          <w:rFonts w:ascii="Calibri" w:hAnsi="Calibri"/>
        </w:rPr>
        <w:t xml:space="preserve"> </w:t>
      </w:r>
      <w:r w:rsidR="000D2DF6">
        <w:rPr>
          <w:rFonts w:ascii="Calibri" w:hAnsi="Calibri"/>
        </w:rPr>
        <w:t>will determine the priorities, partnerships and activities to be pursued.</w:t>
      </w:r>
      <w:r w:rsidR="004D66EB">
        <w:rPr>
          <w:rFonts w:ascii="Calibri" w:hAnsi="Calibri"/>
        </w:rPr>
        <w:t xml:space="preserve"> Strong emphasis will be placed on</w:t>
      </w:r>
      <w:r w:rsidR="0082104B">
        <w:rPr>
          <w:rFonts w:ascii="Calibri" w:hAnsi="Calibri"/>
        </w:rPr>
        <w:t xml:space="preserve"> </w:t>
      </w:r>
      <w:r w:rsidR="007F0DA1">
        <w:rPr>
          <w:rFonts w:ascii="Calibri" w:hAnsi="Calibri"/>
        </w:rPr>
        <w:t xml:space="preserve">approaches which draw in a range of local players, and </w:t>
      </w:r>
      <w:r w:rsidR="0082104B">
        <w:rPr>
          <w:rFonts w:ascii="Calibri" w:hAnsi="Calibri"/>
        </w:rPr>
        <w:t>collaboration between ANGOs, their local partners, the Red Cross and other significant local actors.</w:t>
      </w:r>
    </w:p>
    <w:p w14:paraId="7CE4252E" w14:textId="77777777" w:rsidR="008C7F83" w:rsidRDefault="008C7F83" w:rsidP="00A67DC0">
      <w:pPr>
        <w:spacing w:after="240"/>
        <w:jc w:val="both"/>
        <w:rPr>
          <w:rFonts w:ascii="Calibri" w:hAnsi="Calibri"/>
        </w:rPr>
      </w:pPr>
      <w:r w:rsidRPr="00F53B4D">
        <w:rPr>
          <w:rFonts w:ascii="Calibri" w:hAnsi="Calibri"/>
          <w:b/>
        </w:rPr>
        <w:t xml:space="preserve">MEL framework </w:t>
      </w:r>
      <w:r w:rsidR="00FF78F0">
        <w:rPr>
          <w:rFonts w:ascii="Calibri" w:hAnsi="Calibri"/>
          <w:b/>
        </w:rPr>
        <w:t xml:space="preserve">revision and </w:t>
      </w:r>
      <w:r w:rsidRPr="00F53B4D">
        <w:rPr>
          <w:rFonts w:ascii="Calibri" w:hAnsi="Calibri"/>
          <w:b/>
        </w:rPr>
        <w:t>familiarisation</w:t>
      </w:r>
      <w:r w:rsidR="00A52D25" w:rsidRPr="00A52D25">
        <w:rPr>
          <w:rFonts w:ascii="Calibri" w:hAnsi="Calibri"/>
        </w:rPr>
        <w:t>, including annual planning of MEL events,</w:t>
      </w:r>
      <w:r>
        <w:rPr>
          <w:rFonts w:ascii="Calibri" w:hAnsi="Calibri"/>
        </w:rPr>
        <w:t xml:space="preserve"> </w:t>
      </w:r>
      <w:r w:rsidR="00A52D25">
        <w:rPr>
          <w:rFonts w:ascii="Calibri" w:hAnsi="Calibri"/>
        </w:rPr>
        <w:t xml:space="preserve">will ensure </w:t>
      </w:r>
      <w:r w:rsidR="00914811">
        <w:rPr>
          <w:rFonts w:ascii="Calibri" w:hAnsi="Calibri"/>
        </w:rPr>
        <w:t xml:space="preserve">all partners and the MEL Officer have a unified approach to monitoring, evaluation and learning under the </w:t>
      </w:r>
      <w:r w:rsidR="009240B5">
        <w:rPr>
          <w:rFonts w:ascii="Calibri" w:hAnsi="Calibri"/>
        </w:rPr>
        <w:t>partnership</w:t>
      </w:r>
      <w:r w:rsidR="00914811">
        <w:rPr>
          <w:rFonts w:ascii="Calibri" w:hAnsi="Calibri"/>
        </w:rPr>
        <w:t>.</w:t>
      </w:r>
      <w:r w:rsidRPr="00641D0E">
        <w:rPr>
          <w:rFonts w:ascii="Calibri" w:hAnsi="Calibri"/>
        </w:rPr>
        <w:t xml:space="preserve"> </w:t>
      </w:r>
    </w:p>
    <w:p w14:paraId="5773546A" w14:textId="72EE729E" w:rsidR="008C7F83" w:rsidRDefault="008C7F83" w:rsidP="00A67DC0">
      <w:pPr>
        <w:spacing w:after="240"/>
        <w:jc w:val="both"/>
        <w:rPr>
          <w:rFonts w:ascii="Calibri" w:hAnsi="Calibri"/>
        </w:rPr>
      </w:pPr>
      <w:r w:rsidRPr="00641D0E">
        <w:rPr>
          <w:rFonts w:ascii="Calibri" w:hAnsi="Calibri"/>
        </w:rPr>
        <w:t xml:space="preserve">A </w:t>
      </w:r>
      <w:r w:rsidRPr="00641D0E">
        <w:rPr>
          <w:rFonts w:ascii="Calibri" w:hAnsi="Calibri"/>
          <w:b/>
        </w:rPr>
        <w:t>Communications Plan</w:t>
      </w:r>
      <w:r w:rsidRPr="00641D0E">
        <w:rPr>
          <w:rFonts w:ascii="Calibri" w:hAnsi="Calibri"/>
        </w:rPr>
        <w:t xml:space="preserve"> for the </w:t>
      </w:r>
      <w:r w:rsidR="00CD76EC">
        <w:rPr>
          <w:rFonts w:ascii="Calibri" w:hAnsi="Calibri"/>
        </w:rPr>
        <w:t xml:space="preserve">Australian Humanitarian Partnership </w:t>
      </w:r>
      <w:r w:rsidRPr="00641D0E">
        <w:rPr>
          <w:rFonts w:ascii="Calibri" w:hAnsi="Calibri"/>
        </w:rPr>
        <w:t xml:space="preserve">will be developed </w:t>
      </w:r>
      <w:r>
        <w:rPr>
          <w:rFonts w:ascii="Calibri" w:hAnsi="Calibri"/>
        </w:rPr>
        <w:t>by the Communications</w:t>
      </w:r>
      <w:r w:rsidR="00CD76EC">
        <w:rPr>
          <w:rFonts w:ascii="Calibri" w:hAnsi="Calibri"/>
        </w:rPr>
        <w:t xml:space="preserve"> and Support</w:t>
      </w:r>
      <w:r>
        <w:rPr>
          <w:rFonts w:ascii="Calibri" w:hAnsi="Calibri"/>
        </w:rPr>
        <w:t xml:space="preserve"> Officer, in collaboration with </w:t>
      </w:r>
      <w:r w:rsidR="00CD76EC">
        <w:rPr>
          <w:rFonts w:ascii="Calibri" w:hAnsi="Calibri"/>
        </w:rPr>
        <w:t xml:space="preserve">HRG </w:t>
      </w:r>
      <w:r>
        <w:rPr>
          <w:rFonts w:ascii="Calibri" w:hAnsi="Calibri"/>
        </w:rPr>
        <w:t xml:space="preserve">members. The Plan will </w:t>
      </w:r>
      <w:r w:rsidRPr="00641D0E">
        <w:rPr>
          <w:rFonts w:ascii="Calibri" w:hAnsi="Calibri"/>
        </w:rPr>
        <w:t>agree protocols and products for communication with the Australian and overseas public.</w:t>
      </w:r>
      <w:r>
        <w:rPr>
          <w:rFonts w:ascii="Calibri" w:hAnsi="Calibri"/>
        </w:rPr>
        <w:t xml:space="preserve"> </w:t>
      </w:r>
      <w:r w:rsidRPr="00641D0E">
        <w:rPr>
          <w:rFonts w:ascii="Calibri" w:hAnsi="Calibri"/>
        </w:rPr>
        <w:t>Th</w:t>
      </w:r>
      <w:r>
        <w:rPr>
          <w:rFonts w:ascii="Calibri" w:hAnsi="Calibri"/>
        </w:rPr>
        <w:t>e Plan will clearly set out processes and templates for</w:t>
      </w:r>
      <w:r w:rsidRPr="00641D0E">
        <w:rPr>
          <w:rFonts w:ascii="Calibri" w:hAnsi="Calibri"/>
        </w:rPr>
        <w:t xml:space="preserve"> joint press releases and other media products.</w:t>
      </w:r>
    </w:p>
    <w:p w14:paraId="7E7A4656" w14:textId="77777777" w:rsidR="007F0DA1" w:rsidRDefault="00E34707" w:rsidP="00A67DC0">
      <w:pPr>
        <w:spacing w:after="240"/>
        <w:jc w:val="both"/>
        <w:rPr>
          <w:rFonts w:ascii="Calibri" w:hAnsi="Calibri"/>
        </w:rPr>
      </w:pPr>
      <w:r w:rsidRPr="00827D4F">
        <w:rPr>
          <w:rFonts w:ascii="Calibri" w:hAnsi="Calibri"/>
          <w:b/>
        </w:rPr>
        <w:t>A</w:t>
      </w:r>
      <w:r w:rsidR="00194706" w:rsidRPr="00827D4F">
        <w:rPr>
          <w:rFonts w:ascii="Calibri" w:hAnsi="Calibri"/>
          <w:b/>
        </w:rPr>
        <w:t xml:space="preserve"> comprehensive</w:t>
      </w:r>
      <w:r w:rsidR="00194706" w:rsidRPr="00641D0E">
        <w:rPr>
          <w:rFonts w:ascii="Calibri" w:hAnsi="Calibri"/>
        </w:rPr>
        <w:t xml:space="preserve"> </w:t>
      </w:r>
      <w:r w:rsidR="00225950">
        <w:rPr>
          <w:rFonts w:ascii="Calibri" w:hAnsi="Calibri"/>
          <w:b/>
        </w:rPr>
        <w:t>ANGO humanitarian capability</w:t>
      </w:r>
      <w:r w:rsidR="00225950" w:rsidRPr="00641D0E">
        <w:rPr>
          <w:rFonts w:ascii="Calibri" w:hAnsi="Calibri"/>
          <w:b/>
        </w:rPr>
        <w:t xml:space="preserve"> </w:t>
      </w:r>
      <w:r w:rsidR="00194706" w:rsidRPr="00641D0E">
        <w:rPr>
          <w:rFonts w:ascii="Calibri" w:hAnsi="Calibri"/>
          <w:b/>
        </w:rPr>
        <w:t>map</w:t>
      </w:r>
      <w:r w:rsidR="00827D4F">
        <w:rPr>
          <w:rFonts w:ascii="Calibri" w:hAnsi="Calibri"/>
          <w:b/>
        </w:rPr>
        <w:t xml:space="preserve"> </w:t>
      </w:r>
      <w:r w:rsidR="00194706" w:rsidRPr="00641D0E">
        <w:rPr>
          <w:rFonts w:ascii="Calibri" w:hAnsi="Calibri"/>
        </w:rPr>
        <w:t>which outlines</w:t>
      </w:r>
      <w:r w:rsidRPr="00641D0E">
        <w:rPr>
          <w:rFonts w:ascii="Calibri" w:hAnsi="Calibri"/>
        </w:rPr>
        <w:t xml:space="preserve"> by country</w:t>
      </w:r>
      <w:r w:rsidR="00194706" w:rsidRPr="00641D0E">
        <w:rPr>
          <w:rFonts w:ascii="Calibri" w:hAnsi="Calibri"/>
        </w:rPr>
        <w:t xml:space="preserve"> the </w:t>
      </w:r>
      <w:r w:rsidRPr="00641D0E">
        <w:rPr>
          <w:rFonts w:ascii="Calibri" w:hAnsi="Calibri"/>
        </w:rPr>
        <w:t xml:space="preserve">organisational strength, extent of partner government approval to operate, sectoral focus and geographic presence of each </w:t>
      </w:r>
      <w:r w:rsidR="0082700C">
        <w:rPr>
          <w:rFonts w:ascii="Calibri" w:hAnsi="Calibri"/>
        </w:rPr>
        <w:t>A</w:t>
      </w:r>
      <w:r w:rsidRPr="00641D0E">
        <w:rPr>
          <w:rFonts w:ascii="Calibri" w:hAnsi="Calibri"/>
        </w:rPr>
        <w:t>NGO will inform decision-making by the Response Committee</w:t>
      </w:r>
      <w:r w:rsidR="00C52BBE">
        <w:rPr>
          <w:rFonts w:ascii="Calibri" w:hAnsi="Calibri"/>
        </w:rPr>
        <w:t>s</w:t>
      </w:r>
      <w:r w:rsidR="00B60C66">
        <w:rPr>
          <w:rFonts w:ascii="Calibri" w:hAnsi="Calibri"/>
        </w:rPr>
        <w:t xml:space="preserve">, </w:t>
      </w:r>
      <w:r w:rsidR="00225950">
        <w:rPr>
          <w:rFonts w:ascii="Calibri" w:hAnsi="Calibri"/>
        </w:rPr>
        <w:t>T</w:t>
      </w:r>
      <w:r w:rsidR="00B60C66">
        <w:rPr>
          <w:rFonts w:ascii="Calibri" w:hAnsi="Calibri"/>
        </w:rPr>
        <w:t xml:space="preserve">echnical </w:t>
      </w:r>
      <w:r w:rsidR="00225950">
        <w:rPr>
          <w:rFonts w:ascii="Calibri" w:hAnsi="Calibri"/>
        </w:rPr>
        <w:t>A</w:t>
      </w:r>
      <w:r w:rsidR="00B60C66">
        <w:rPr>
          <w:rFonts w:ascii="Calibri" w:hAnsi="Calibri"/>
        </w:rPr>
        <w:t xml:space="preserve">ssessment </w:t>
      </w:r>
      <w:r w:rsidR="00225950">
        <w:rPr>
          <w:rFonts w:ascii="Calibri" w:hAnsi="Calibri"/>
        </w:rPr>
        <w:t>P</w:t>
      </w:r>
      <w:r w:rsidR="00B60C66">
        <w:rPr>
          <w:rFonts w:ascii="Calibri" w:hAnsi="Calibri"/>
        </w:rPr>
        <w:t>anel</w:t>
      </w:r>
      <w:r w:rsidR="00C52BBE">
        <w:rPr>
          <w:rFonts w:ascii="Calibri" w:hAnsi="Calibri"/>
        </w:rPr>
        <w:t>s</w:t>
      </w:r>
      <w:r w:rsidR="00B60C66">
        <w:rPr>
          <w:rFonts w:ascii="Calibri" w:hAnsi="Calibri"/>
        </w:rPr>
        <w:t xml:space="preserve"> and DFAT</w:t>
      </w:r>
      <w:r w:rsidRPr="00641D0E">
        <w:rPr>
          <w:rFonts w:ascii="Calibri" w:hAnsi="Calibri"/>
        </w:rPr>
        <w:t>.</w:t>
      </w:r>
      <w:r w:rsidR="00C52BBE">
        <w:rPr>
          <w:rFonts w:ascii="Calibri" w:hAnsi="Calibri"/>
        </w:rPr>
        <w:t xml:space="preserve"> It will also </w:t>
      </w:r>
      <w:r w:rsidR="008B34A9">
        <w:rPr>
          <w:rFonts w:ascii="Calibri" w:hAnsi="Calibri"/>
        </w:rPr>
        <w:t>support</w:t>
      </w:r>
      <w:r w:rsidR="00C52BBE">
        <w:rPr>
          <w:rFonts w:ascii="Calibri" w:hAnsi="Calibri"/>
        </w:rPr>
        <w:t xml:space="preserve"> coordination and collaboration among </w:t>
      </w:r>
      <w:r w:rsidR="009240B5">
        <w:rPr>
          <w:rFonts w:ascii="Calibri" w:hAnsi="Calibri"/>
        </w:rPr>
        <w:t>HRG</w:t>
      </w:r>
      <w:r w:rsidR="00C52BBE">
        <w:rPr>
          <w:rFonts w:ascii="Calibri" w:hAnsi="Calibri"/>
        </w:rPr>
        <w:t xml:space="preserve"> member</w:t>
      </w:r>
      <w:r w:rsidR="0082700C">
        <w:rPr>
          <w:rFonts w:ascii="Calibri" w:hAnsi="Calibri"/>
        </w:rPr>
        <w:t xml:space="preserve"> NGO</w:t>
      </w:r>
      <w:r w:rsidR="00C52BBE">
        <w:rPr>
          <w:rFonts w:ascii="Calibri" w:hAnsi="Calibri"/>
        </w:rPr>
        <w:t>s beyond the scope of DFAT funding.</w:t>
      </w:r>
      <w:r w:rsidRPr="00641D0E">
        <w:rPr>
          <w:rFonts w:ascii="Calibri" w:hAnsi="Calibri"/>
        </w:rPr>
        <w:t xml:space="preserve"> </w:t>
      </w:r>
    </w:p>
    <w:p w14:paraId="33E95DA9" w14:textId="77777777" w:rsidR="00F53B4D" w:rsidRDefault="00CF42F4" w:rsidP="00A67DC0">
      <w:pPr>
        <w:spacing w:after="240"/>
        <w:jc w:val="both"/>
        <w:rPr>
          <w:rFonts w:ascii="Calibri" w:hAnsi="Calibri"/>
        </w:rPr>
      </w:pPr>
      <w:r w:rsidRPr="00827D4F">
        <w:rPr>
          <w:rFonts w:ascii="Calibri" w:hAnsi="Calibri"/>
          <w:b/>
        </w:rPr>
        <w:t>Development of this</w:t>
      </w:r>
      <w:r w:rsidR="005C2DD0">
        <w:rPr>
          <w:rFonts w:ascii="Calibri" w:hAnsi="Calibri"/>
          <w:b/>
        </w:rPr>
        <w:t xml:space="preserve"> capability map</w:t>
      </w:r>
      <w:r w:rsidR="00827D4F" w:rsidRPr="00827D4F">
        <w:rPr>
          <w:rFonts w:ascii="Calibri" w:hAnsi="Calibri"/>
          <w:b/>
        </w:rPr>
        <w:t xml:space="preserve"> </w:t>
      </w:r>
      <w:r w:rsidRPr="00827D4F">
        <w:rPr>
          <w:rFonts w:ascii="Calibri" w:hAnsi="Calibri"/>
          <w:b/>
        </w:rPr>
        <w:t>will be carried out by the Support Unit</w:t>
      </w:r>
      <w:r w:rsidRPr="00641D0E">
        <w:rPr>
          <w:rFonts w:ascii="Calibri" w:hAnsi="Calibri"/>
        </w:rPr>
        <w:t xml:space="preserve"> using the proposals submitted by NGOs in the DFAT tender process</w:t>
      </w:r>
      <w:r w:rsidR="00C52BBE">
        <w:rPr>
          <w:rFonts w:ascii="Calibri" w:hAnsi="Calibri"/>
        </w:rPr>
        <w:t>es</w:t>
      </w:r>
      <w:r w:rsidRPr="00641D0E">
        <w:rPr>
          <w:rFonts w:ascii="Calibri" w:hAnsi="Calibri"/>
        </w:rPr>
        <w:t xml:space="preserve"> as a starting point</w:t>
      </w:r>
      <w:r w:rsidR="00C52BBE">
        <w:rPr>
          <w:rFonts w:ascii="Calibri" w:hAnsi="Calibri"/>
        </w:rPr>
        <w:t>.</w:t>
      </w:r>
      <w:r w:rsidR="007F0DA1">
        <w:rPr>
          <w:rFonts w:ascii="Calibri" w:hAnsi="Calibri"/>
        </w:rPr>
        <w:t xml:space="preserve"> The Support Unit will work with DFAT to assess the viability of adapting the Smartygrants IT system to capture</w:t>
      </w:r>
      <w:r w:rsidR="00827D4F">
        <w:rPr>
          <w:rFonts w:ascii="Calibri" w:hAnsi="Calibri"/>
        </w:rPr>
        <w:t xml:space="preserve">, </w:t>
      </w:r>
      <w:r w:rsidR="007F0DA1">
        <w:rPr>
          <w:rFonts w:ascii="Calibri" w:hAnsi="Calibri"/>
        </w:rPr>
        <w:t xml:space="preserve">present </w:t>
      </w:r>
      <w:r w:rsidR="00827D4F">
        <w:rPr>
          <w:rFonts w:ascii="Calibri" w:hAnsi="Calibri"/>
        </w:rPr>
        <w:t xml:space="preserve">and update </w:t>
      </w:r>
      <w:r w:rsidR="007F0DA1">
        <w:rPr>
          <w:rFonts w:ascii="Calibri" w:hAnsi="Calibri"/>
        </w:rPr>
        <w:t>capacity mapping information</w:t>
      </w:r>
      <w:r w:rsidR="00827D4F">
        <w:rPr>
          <w:rFonts w:ascii="Calibri" w:hAnsi="Calibri"/>
        </w:rPr>
        <w:t xml:space="preserve"> in a way that is useful, timely and relevant to the partnership</w:t>
      </w:r>
      <w:r w:rsidR="007F0DA1">
        <w:rPr>
          <w:rFonts w:ascii="Calibri" w:hAnsi="Calibri"/>
        </w:rPr>
        <w:t xml:space="preserve">. </w:t>
      </w:r>
    </w:p>
    <w:p w14:paraId="0E0FD54E" w14:textId="77777777" w:rsidR="00003A07" w:rsidRPr="007157F7" w:rsidRDefault="00003A07" w:rsidP="00A67DC0">
      <w:pPr>
        <w:pStyle w:val="Heading2"/>
        <w:spacing w:after="240"/>
        <w:jc w:val="both"/>
        <w:rPr>
          <w:sz w:val="24"/>
          <w:szCs w:val="24"/>
        </w:rPr>
      </w:pPr>
      <w:bookmarkStart w:id="26" w:name="_Toc448777810"/>
      <w:r w:rsidRPr="007157F7">
        <w:rPr>
          <w:sz w:val="24"/>
          <w:szCs w:val="24"/>
        </w:rPr>
        <w:t>Sustainability</w:t>
      </w:r>
      <w:bookmarkEnd w:id="26"/>
    </w:p>
    <w:p w14:paraId="1076C7AA" w14:textId="19E187B6" w:rsidR="006A7210" w:rsidRPr="00641D0E" w:rsidRDefault="006A7210" w:rsidP="00A67DC0">
      <w:pPr>
        <w:spacing w:after="240"/>
        <w:jc w:val="both"/>
        <w:rPr>
          <w:rFonts w:ascii="Calibri" w:eastAsia="Times New Roman" w:hAnsi="Calibri"/>
        </w:rPr>
      </w:pPr>
      <w:r w:rsidRPr="00827D4F">
        <w:rPr>
          <w:rFonts w:ascii="Calibri" w:eastAsia="Times New Roman" w:hAnsi="Calibri"/>
          <w:b/>
        </w:rPr>
        <w:t xml:space="preserve">Sustainability has been a key consideration in the design of the </w:t>
      </w:r>
      <w:r w:rsidR="00CD76EC">
        <w:rPr>
          <w:rFonts w:ascii="Calibri" w:eastAsia="Times New Roman" w:hAnsi="Calibri"/>
          <w:b/>
        </w:rPr>
        <w:t>Australian Humanitarian Partnership</w:t>
      </w:r>
      <w:r w:rsidRPr="00827D4F">
        <w:rPr>
          <w:rFonts w:ascii="Calibri" w:eastAsia="Times New Roman" w:hAnsi="Calibri"/>
          <w:b/>
        </w:rPr>
        <w:t>.</w:t>
      </w:r>
      <w:r w:rsidRPr="00641D0E">
        <w:rPr>
          <w:rFonts w:ascii="Calibri" w:eastAsia="Times New Roman" w:hAnsi="Calibri"/>
        </w:rPr>
        <w:t xml:space="preserve"> The members of the HRG, and their global families, are well-established organisations with multiple funding sources and physical presence </w:t>
      </w:r>
      <w:r w:rsidRPr="00641D0E">
        <w:rPr>
          <w:rFonts w:ascii="Calibri" w:eastAsia="Times New Roman" w:hAnsi="Calibri"/>
        </w:rPr>
        <w:lastRenderedPageBreak/>
        <w:t xml:space="preserve">throughout the world. The </w:t>
      </w:r>
      <w:r w:rsidR="00CD76EC">
        <w:rPr>
          <w:rFonts w:ascii="Calibri" w:eastAsia="Times New Roman" w:hAnsi="Calibri"/>
        </w:rPr>
        <w:t>partnership</w:t>
      </w:r>
      <w:r w:rsidR="00CD76EC" w:rsidRPr="00641D0E">
        <w:rPr>
          <w:rFonts w:ascii="Calibri" w:eastAsia="Times New Roman" w:hAnsi="Calibri"/>
        </w:rPr>
        <w:t xml:space="preserve"> </w:t>
      </w:r>
      <w:r w:rsidRPr="00641D0E">
        <w:rPr>
          <w:rFonts w:ascii="Calibri" w:eastAsia="Times New Roman" w:hAnsi="Calibri"/>
        </w:rPr>
        <w:t xml:space="preserve">is based on a pre-existing coordination mechanism (the HRG), which will continue regardless of DFAT funding. </w:t>
      </w:r>
    </w:p>
    <w:p w14:paraId="37D66C52" w14:textId="7C200809" w:rsidR="00003A07" w:rsidRPr="00641D0E" w:rsidRDefault="006A7210" w:rsidP="00A67DC0">
      <w:pPr>
        <w:spacing w:after="240"/>
        <w:jc w:val="both"/>
        <w:rPr>
          <w:rFonts w:ascii="Calibri" w:eastAsia="Times New Roman" w:hAnsi="Calibri"/>
        </w:rPr>
      </w:pPr>
      <w:r w:rsidRPr="00A232B0">
        <w:rPr>
          <w:rFonts w:ascii="Calibri" w:eastAsia="Times New Roman" w:hAnsi="Calibri"/>
          <w:b/>
        </w:rPr>
        <w:t xml:space="preserve">The strong emphasis placed on </w:t>
      </w:r>
      <w:r w:rsidR="0022318C">
        <w:rPr>
          <w:rFonts w:ascii="Calibri" w:eastAsia="Times New Roman" w:hAnsi="Calibri"/>
          <w:b/>
        </w:rPr>
        <w:t>strengthening</w:t>
      </w:r>
      <w:r w:rsidR="0022318C" w:rsidRPr="00A232B0">
        <w:rPr>
          <w:rFonts w:ascii="Calibri" w:eastAsia="Times New Roman" w:hAnsi="Calibri"/>
          <w:b/>
        </w:rPr>
        <w:t xml:space="preserve"> </w:t>
      </w:r>
      <w:r w:rsidR="00FF78F0">
        <w:rPr>
          <w:rFonts w:ascii="Calibri" w:eastAsia="Times New Roman" w:hAnsi="Calibri"/>
          <w:b/>
        </w:rPr>
        <w:t>disaster</w:t>
      </w:r>
      <w:r w:rsidR="00FF78F0" w:rsidRPr="00A232B0">
        <w:rPr>
          <w:rFonts w:ascii="Calibri" w:eastAsia="Times New Roman" w:hAnsi="Calibri"/>
          <w:b/>
        </w:rPr>
        <w:t xml:space="preserve"> </w:t>
      </w:r>
      <w:r w:rsidR="0022318C">
        <w:rPr>
          <w:rFonts w:ascii="Calibri" w:eastAsia="Times New Roman" w:hAnsi="Calibri"/>
          <w:b/>
        </w:rPr>
        <w:t>resilience</w:t>
      </w:r>
      <w:r w:rsidR="0022318C" w:rsidRPr="00A232B0">
        <w:rPr>
          <w:rFonts w:ascii="Calibri" w:eastAsia="Times New Roman" w:hAnsi="Calibri"/>
          <w:b/>
        </w:rPr>
        <w:t xml:space="preserve"> </w:t>
      </w:r>
      <w:r w:rsidRPr="00A232B0">
        <w:rPr>
          <w:rFonts w:ascii="Calibri" w:eastAsia="Times New Roman" w:hAnsi="Calibri"/>
          <w:b/>
        </w:rPr>
        <w:t>and the localisation agenda</w:t>
      </w:r>
      <w:r w:rsidRPr="00641D0E">
        <w:rPr>
          <w:rFonts w:ascii="Calibri" w:eastAsia="Times New Roman" w:hAnsi="Calibri"/>
        </w:rPr>
        <w:t xml:space="preserve"> will </w:t>
      </w:r>
      <w:r w:rsidR="009B746B" w:rsidRPr="00641D0E">
        <w:rPr>
          <w:rFonts w:ascii="Calibri" w:eastAsia="Times New Roman" w:hAnsi="Calibri"/>
        </w:rPr>
        <w:t xml:space="preserve">help the </w:t>
      </w:r>
      <w:r w:rsidR="00CD76EC">
        <w:rPr>
          <w:rFonts w:ascii="Calibri" w:eastAsia="Times New Roman" w:hAnsi="Calibri"/>
        </w:rPr>
        <w:t>partnership</w:t>
      </w:r>
      <w:r w:rsidR="009B746B" w:rsidRPr="00641D0E">
        <w:rPr>
          <w:rFonts w:ascii="Calibri" w:eastAsia="Times New Roman" w:hAnsi="Calibri"/>
        </w:rPr>
        <w:t xml:space="preserve"> to </w:t>
      </w:r>
      <w:r w:rsidRPr="00641D0E">
        <w:rPr>
          <w:rFonts w:ascii="Calibri" w:eastAsia="Times New Roman" w:hAnsi="Calibri"/>
        </w:rPr>
        <w:t xml:space="preserve">make a strong contribution to the sustainability of the global humanitarian system. </w:t>
      </w:r>
      <w:r w:rsidRPr="00C318DA">
        <w:rPr>
          <w:rFonts w:ascii="Calibri" w:eastAsia="Times New Roman" w:hAnsi="Calibri"/>
          <w:b/>
        </w:rPr>
        <w:t>The inclusion of early recovery</w:t>
      </w:r>
      <w:r w:rsidRPr="00641D0E">
        <w:rPr>
          <w:rFonts w:ascii="Calibri" w:eastAsia="Times New Roman" w:hAnsi="Calibri"/>
        </w:rPr>
        <w:t xml:space="preserve"> activities in </w:t>
      </w:r>
      <w:r w:rsidR="00B232B0">
        <w:rPr>
          <w:rFonts w:ascii="Calibri" w:eastAsia="Times New Roman" w:hAnsi="Calibri"/>
        </w:rPr>
        <w:t>response funding</w:t>
      </w:r>
      <w:r w:rsidR="004C5613">
        <w:rPr>
          <w:rFonts w:ascii="Calibri" w:eastAsia="Times New Roman" w:hAnsi="Calibri"/>
        </w:rPr>
        <w:t xml:space="preserve"> </w:t>
      </w:r>
      <w:r w:rsidRPr="00641D0E">
        <w:rPr>
          <w:rFonts w:ascii="Calibri" w:eastAsia="Times New Roman" w:hAnsi="Calibri"/>
        </w:rPr>
        <w:t>will help to ensure</w:t>
      </w:r>
      <w:r w:rsidR="009B746B" w:rsidRPr="00641D0E">
        <w:rPr>
          <w:rFonts w:ascii="Calibri" w:eastAsia="Times New Roman" w:hAnsi="Calibri"/>
        </w:rPr>
        <w:t xml:space="preserve"> that response activities support ongoing recovery and development.</w:t>
      </w:r>
      <w:r w:rsidRPr="00641D0E">
        <w:rPr>
          <w:rFonts w:ascii="Calibri" w:eastAsia="Times New Roman" w:hAnsi="Calibri"/>
        </w:rPr>
        <w:t xml:space="preserve">  </w:t>
      </w:r>
    </w:p>
    <w:p w14:paraId="38065C08" w14:textId="77777777" w:rsidR="00003A07" w:rsidRPr="007157F7" w:rsidRDefault="00003A07" w:rsidP="00A67DC0">
      <w:pPr>
        <w:pStyle w:val="Heading2"/>
        <w:spacing w:after="240"/>
        <w:jc w:val="both"/>
        <w:rPr>
          <w:sz w:val="24"/>
          <w:szCs w:val="24"/>
        </w:rPr>
      </w:pPr>
      <w:bookmarkStart w:id="27" w:name="_Toc448777811"/>
      <w:r w:rsidRPr="007157F7">
        <w:rPr>
          <w:sz w:val="24"/>
          <w:szCs w:val="24"/>
        </w:rPr>
        <w:t>Gender Equality</w:t>
      </w:r>
      <w:bookmarkEnd w:id="27"/>
    </w:p>
    <w:p w14:paraId="67057B5E" w14:textId="77777777" w:rsidR="00D53186" w:rsidRPr="00D53186" w:rsidRDefault="00D53186" w:rsidP="00A67DC0">
      <w:pPr>
        <w:spacing w:after="240"/>
        <w:jc w:val="both"/>
        <w:rPr>
          <w:rFonts w:ascii="Calibri" w:hAnsi="Calibri"/>
        </w:rPr>
      </w:pPr>
      <w:r w:rsidRPr="00A232B0">
        <w:rPr>
          <w:rFonts w:ascii="Calibri" w:hAnsi="Calibri"/>
          <w:b/>
        </w:rPr>
        <w:t xml:space="preserve">The </w:t>
      </w:r>
      <w:r w:rsidR="00CD76EC">
        <w:rPr>
          <w:rFonts w:ascii="Calibri" w:hAnsi="Calibri"/>
          <w:b/>
        </w:rPr>
        <w:t>Australian Humanitarian Partnership</w:t>
      </w:r>
      <w:r w:rsidRPr="00A232B0">
        <w:rPr>
          <w:rFonts w:ascii="Calibri" w:hAnsi="Calibri"/>
          <w:b/>
        </w:rPr>
        <w:t xml:space="preserve"> will embed gender equality policy and program approaches across the investment</w:t>
      </w:r>
      <w:r w:rsidR="00D472CD">
        <w:rPr>
          <w:rFonts w:ascii="Calibri" w:hAnsi="Calibri"/>
        </w:rPr>
        <w:t>.</w:t>
      </w:r>
      <w:r w:rsidRPr="00D53186">
        <w:rPr>
          <w:rFonts w:ascii="Calibri" w:hAnsi="Calibri"/>
        </w:rPr>
        <w:t xml:space="preserve"> </w:t>
      </w:r>
      <w:r w:rsidR="00D472CD">
        <w:rPr>
          <w:rFonts w:ascii="Calibri" w:hAnsi="Calibri"/>
        </w:rPr>
        <w:t>S</w:t>
      </w:r>
      <w:r w:rsidRPr="00D53186">
        <w:rPr>
          <w:rFonts w:ascii="Calibri" w:hAnsi="Calibri"/>
        </w:rPr>
        <w:t xml:space="preserve">trategic dialogue and learning activities </w:t>
      </w:r>
      <w:r w:rsidR="00D472CD">
        <w:rPr>
          <w:rFonts w:ascii="Calibri" w:hAnsi="Calibri"/>
        </w:rPr>
        <w:t>will include a</w:t>
      </w:r>
      <w:r w:rsidR="00D472CD" w:rsidRPr="00D53186">
        <w:rPr>
          <w:rFonts w:ascii="Calibri" w:hAnsi="Calibri"/>
        </w:rPr>
        <w:t xml:space="preserve"> </w:t>
      </w:r>
      <w:r w:rsidRPr="00D53186">
        <w:rPr>
          <w:rFonts w:ascii="Calibri" w:hAnsi="Calibri"/>
        </w:rPr>
        <w:t>focus on improving gender equality outcomes</w:t>
      </w:r>
      <w:r w:rsidR="00574D96">
        <w:rPr>
          <w:rFonts w:ascii="Calibri" w:hAnsi="Calibri"/>
        </w:rPr>
        <w:t>. C</w:t>
      </w:r>
      <w:r w:rsidRPr="00D53186">
        <w:rPr>
          <w:rFonts w:ascii="Calibri" w:hAnsi="Calibri"/>
        </w:rPr>
        <w:t>ontingency planning prior to the onset of an emergency</w:t>
      </w:r>
      <w:r w:rsidR="00574D96">
        <w:rPr>
          <w:rFonts w:ascii="Calibri" w:hAnsi="Calibri"/>
        </w:rPr>
        <w:t xml:space="preserve"> and the</w:t>
      </w:r>
      <w:r w:rsidRPr="00D53186">
        <w:rPr>
          <w:rFonts w:ascii="Calibri" w:hAnsi="Calibri"/>
        </w:rPr>
        <w:t xml:space="preserve"> design</w:t>
      </w:r>
      <w:r w:rsidR="00574D96">
        <w:rPr>
          <w:rFonts w:ascii="Calibri" w:hAnsi="Calibri"/>
        </w:rPr>
        <w:t xml:space="preserve"> of</w:t>
      </w:r>
      <w:r w:rsidRPr="00D53186">
        <w:rPr>
          <w:rFonts w:ascii="Calibri" w:hAnsi="Calibri"/>
        </w:rPr>
        <w:t xml:space="preserve"> services </w:t>
      </w:r>
      <w:r w:rsidR="00574D96">
        <w:rPr>
          <w:rFonts w:ascii="Calibri" w:hAnsi="Calibri"/>
        </w:rPr>
        <w:t xml:space="preserve">will aim </w:t>
      </w:r>
      <w:r w:rsidRPr="00D53186">
        <w:rPr>
          <w:rFonts w:ascii="Calibri" w:hAnsi="Calibri"/>
        </w:rPr>
        <w:t>to meet the needs of all, based on context</w:t>
      </w:r>
      <w:r w:rsidR="00574D96">
        <w:rPr>
          <w:rFonts w:ascii="Calibri" w:hAnsi="Calibri"/>
        </w:rPr>
        <w:t>-</w:t>
      </w:r>
      <w:r w:rsidRPr="00D53186">
        <w:rPr>
          <w:rFonts w:ascii="Calibri" w:hAnsi="Calibri"/>
        </w:rPr>
        <w:t>specific gender analysis</w:t>
      </w:r>
      <w:r w:rsidR="00574D96">
        <w:rPr>
          <w:rFonts w:ascii="Calibri" w:hAnsi="Calibri"/>
        </w:rPr>
        <w:t>. S</w:t>
      </w:r>
      <w:r w:rsidRPr="00D53186">
        <w:rPr>
          <w:rFonts w:ascii="Calibri" w:hAnsi="Calibri"/>
        </w:rPr>
        <w:t>upport</w:t>
      </w:r>
      <w:r w:rsidR="00574D96">
        <w:rPr>
          <w:rFonts w:ascii="Calibri" w:hAnsi="Calibri"/>
        </w:rPr>
        <w:t xml:space="preserve"> will be given to</w:t>
      </w:r>
      <w:r w:rsidRPr="00D53186">
        <w:rPr>
          <w:rFonts w:ascii="Calibri" w:hAnsi="Calibri"/>
        </w:rPr>
        <w:t xml:space="preserve"> women’s </w:t>
      </w:r>
      <w:r w:rsidR="00574D96">
        <w:rPr>
          <w:rFonts w:ascii="Calibri" w:hAnsi="Calibri"/>
        </w:rPr>
        <w:t xml:space="preserve">participation and </w:t>
      </w:r>
      <w:r w:rsidRPr="00D53186">
        <w:rPr>
          <w:rFonts w:ascii="Calibri" w:hAnsi="Calibri"/>
        </w:rPr>
        <w:t xml:space="preserve">leadership in </w:t>
      </w:r>
      <w:r w:rsidR="00574D96">
        <w:rPr>
          <w:rFonts w:ascii="Calibri" w:hAnsi="Calibri"/>
        </w:rPr>
        <w:t xml:space="preserve">humanitarian </w:t>
      </w:r>
      <w:r w:rsidRPr="00D53186">
        <w:rPr>
          <w:rFonts w:ascii="Calibri" w:hAnsi="Calibri"/>
        </w:rPr>
        <w:t xml:space="preserve">responses </w:t>
      </w:r>
      <w:r w:rsidR="00574D96">
        <w:rPr>
          <w:rFonts w:ascii="Calibri" w:hAnsi="Calibri"/>
        </w:rPr>
        <w:t>as well as</w:t>
      </w:r>
      <w:r w:rsidRPr="00D53186">
        <w:rPr>
          <w:rFonts w:ascii="Calibri" w:hAnsi="Calibri"/>
        </w:rPr>
        <w:t xml:space="preserve"> initiatives to reduce risk and strengthen resilience.  A woman’s right to be free from violence and to engage at all levels in the humanitarian response, early recovery and risk reduction initiatives will be an essential and visible part of the Australian Government’s </w:t>
      </w:r>
      <w:r w:rsidR="00574D96">
        <w:rPr>
          <w:rFonts w:ascii="Calibri" w:hAnsi="Calibri"/>
        </w:rPr>
        <w:t>activities</w:t>
      </w:r>
      <w:r w:rsidR="00574D96" w:rsidRPr="00D53186">
        <w:rPr>
          <w:rFonts w:ascii="Calibri" w:hAnsi="Calibri"/>
        </w:rPr>
        <w:t xml:space="preserve"> </w:t>
      </w:r>
      <w:r w:rsidRPr="00D53186">
        <w:rPr>
          <w:rFonts w:ascii="Calibri" w:hAnsi="Calibri"/>
        </w:rPr>
        <w:t>through this partnership.</w:t>
      </w:r>
    </w:p>
    <w:p w14:paraId="585AA488" w14:textId="77777777" w:rsidR="00D53186" w:rsidRDefault="00D53186" w:rsidP="00A67DC0">
      <w:pPr>
        <w:spacing w:after="240"/>
        <w:jc w:val="both"/>
        <w:rPr>
          <w:rFonts w:ascii="Calibri" w:hAnsi="Calibri"/>
        </w:rPr>
      </w:pPr>
      <w:r w:rsidRPr="00A232B0">
        <w:rPr>
          <w:rFonts w:ascii="Calibri" w:hAnsi="Calibri"/>
        </w:rPr>
        <w:t xml:space="preserve">The process of selecting ANGO partners </w:t>
      </w:r>
      <w:r w:rsidR="00464114">
        <w:rPr>
          <w:rFonts w:ascii="Calibri" w:hAnsi="Calibri"/>
        </w:rPr>
        <w:t xml:space="preserve">for funding </w:t>
      </w:r>
      <w:r w:rsidRPr="00A232B0">
        <w:rPr>
          <w:rFonts w:ascii="Calibri" w:hAnsi="Calibri"/>
        </w:rPr>
        <w:t xml:space="preserve">will include the requirement for </w:t>
      </w:r>
      <w:r w:rsidR="00A232B0" w:rsidRPr="00A232B0">
        <w:rPr>
          <w:rFonts w:ascii="Calibri" w:hAnsi="Calibri"/>
          <w:b/>
        </w:rPr>
        <w:t>demonstrated capability of expertise and experience in gender equality in program design and delivery</w:t>
      </w:r>
      <w:r w:rsidR="00A718D0">
        <w:rPr>
          <w:rFonts w:ascii="Calibri" w:hAnsi="Calibri"/>
          <w:b/>
        </w:rPr>
        <w:t xml:space="preserve">. </w:t>
      </w:r>
      <w:r w:rsidR="00A718D0">
        <w:rPr>
          <w:rFonts w:ascii="Calibri" w:hAnsi="Calibri"/>
        </w:rPr>
        <w:t>Tender</w:t>
      </w:r>
      <w:r w:rsidR="00A718D0" w:rsidRPr="00A718D0">
        <w:rPr>
          <w:rFonts w:ascii="Calibri" w:hAnsi="Calibri"/>
        </w:rPr>
        <w:t xml:space="preserve"> assessment details will </w:t>
      </w:r>
      <w:r w:rsidR="00A718D0">
        <w:rPr>
          <w:rFonts w:ascii="Calibri" w:hAnsi="Calibri"/>
        </w:rPr>
        <w:t>draw on</w:t>
      </w:r>
      <w:r w:rsidRPr="00D53186">
        <w:rPr>
          <w:rFonts w:ascii="Calibri" w:hAnsi="Calibri"/>
        </w:rPr>
        <w:t xml:space="preserve"> </w:t>
      </w:r>
      <w:r w:rsidR="00A718D0">
        <w:rPr>
          <w:rFonts w:ascii="Calibri" w:hAnsi="Calibri"/>
        </w:rPr>
        <w:t>relevant global good practice</w:t>
      </w:r>
      <w:r w:rsidRPr="00D53186">
        <w:rPr>
          <w:rFonts w:ascii="Calibri" w:hAnsi="Calibri"/>
        </w:rPr>
        <w:t xml:space="preserve"> guidelines.</w:t>
      </w:r>
      <w:r w:rsidRPr="00D53186">
        <w:rPr>
          <w:rStyle w:val="FootnoteReference"/>
          <w:rFonts w:ascii="Calibri" w:hAnsi="Calibri"/>
          <w:szCs w:val="16"/>
        </w:rPr>
        <w:footnoteReference w:id="50"/>
      </w:r>
      <w:r w:rsidRPr="00D53186">
        <w:rPr>
          <w:rFonts w:ascii="Calibri" w:hAnsi="Calibri"/>
        </w:rPr>
        <w:t xml:space="preserve">  Selection will include an assessment of ANGOs</w:t>
      </w:r>
      <w:r w:rsidR="00594C59">
        <w:rPr>
          <w:rFonts w:ascii="Calibri" w:hAnsi="Calibri"/>
        </w:rPr>
        <w:t>'</w:t>
      </w:r>
      <w:r w:rsidRPr="00D53186">
        <w:rPr>
          <w:rFonts w:ascii="Calibri" w:hAnsi="Calibri"/>
        </w:rPr>
        <w:t xml:space="preserve"> capability statements to ensure disaster risk reduction (prevention, mitigation and preparedness), response and recovery initiatives equally involve and benefit men, women, boys and girls.</w:t>
      </w:r>
    </w:p>
    <w:p w14:paraId="2866D803" w14:textId="77777777" w:rsidR="00247F6F" w:rsidRPr="00247F6F" w:rsidRDefault="00247F6F" w:rsidP="003D57AA">
      <w:pPr>
        <w:pStyle w:val="Heading1"/>
        <w:shd w:val="clear" w:color="auto" w:fill="FFFFFF"/>
        <w:spacing w:before="0" w:after="150"/>
        <w:jc w:val="both"/>
        <w:rPr>
          <w:rFonts w:ascii="Calibri" w:eastAsiaTheme="minorEastAsia" w:hAnsi="Calibri" w:cstheme="minorBidi"/>
          <w:bCs w:val="0"/>
          <w:color w:val="auto"/>
          <w:sz w:val="24"/>
          <w:szCs w:val="24"/>
        </w:rPr>
      </w:pPr>
      <w:bookmarkStart w:id="28" w:name="_Toc445270031"/>
      <w:bookmarkStart w:id="29" w:name="_Toc445299952"/>
      <w:bookmarkStart w:id="30" w:name="_Toc448777762"/>
      <w:bookmarkStart w:id="31" w:name="_Toc448777812"/>
      <w:r w:rsidRPr="00247F6F">
        <w:rPr>
          <w:rFonts w:ascii="Calibri" w:eastAsiaTheme="minorEastAsia" w:hAnsi="Calibri" w:cstheme="minorBidi"/>
          <w:bCs w:val="0"/>
          <w:color w:val="auto"/>
          <w:sz w:val="24"/>
          <w:szCs w:val="24"/>
        </w:rPr>
        <w:t xml:space="preserve">All activities under the Australian Humanitarian Partnership will be designed in accordance with DFAT’s </w:t>
      </w:r>
      <w:r w:rsidRPr="00247F6F">
        <w:rPr>
          <w:rFonts w:ascii="Calibri" w:eastAsiaTheme="minorEastAsia" w:hAnsi="Calibri" w:cstheme="minorBidi"/>
          <w:bCs w:val="0"/>
          <w:i/>
          <w:color w:val="auto"/>
          <w:sz w:val="24"/>
          <w:szCs w:val="24"/>
        </w:rPr>
        <w:t>Gender equality and women’s empowerment strategy.</w:t>
      </w:r>
      <w:r w:rsidRPr="00247F6F">
        <w:rPr>
          <w:rStyle w:val="FootnoteReference"/>
          <w:rFonts w:eastAsiaTheme="minorEastAsia" w:cstheme="minorBidi"/>
          <w:b w:val="0"/>
          <w:bCs w:val="0"/>
          <w:color w:val="auto"/>
        </w:rPr>
        <w:footnoteReference w:id="51"/>
      </w:r>
      <w:bookmarkEnd w:id="28"/>
      <w:bookmarkEnd w:id="29"/>
      <w:bookmarkEnd w:id="30"/>
      <w:bookmarkEnd w:id="31"/>
    </w:p>
    <w:p w14:paraId="0C79C66E" w14:textId="77777777" w:rsidR="00D53186" w:rsidRPr="00D53186" w:rsidRDefault="00D53186" w:rsidP="00A67DC0">
      <w:pPr>
        <w:spacing w:after="240"/>
        <w:jc w:val="both"/>
        <w:rPr>
          <w:rFonts w:ascii="Calibri" w:hAnsi="Calibri"/>
        </w:rPr>
      </w:pPr>
      <w:r w:rsidRPr="00A232B0">
        <w:rPr>
          <w:rFonts w:ascii="Calibri" w:hAnsi="Calibri"/>
          <w:b/>
        </w:rPr>
        <w:t>The investment will take forward lessons from the review of the HPA and integrate gender equality into the overarching MEL framework</w:t>
      </w:r>
      <w:r w:rsidRPr="00D53186">
        <w:rPr>
          <w:rFonts w:ascii="Calibri" w:hAnsi="Calibri"/>
        </w:rPr>
        <w:t xml:space="preserve"> </w:t>
      </w:r>
      <w:r w:rsidR="00C335CA" w:rsidRPr="006A010C">
        <w:rPr>
          <w:rFonts w:ascii="Calibri" w:hAnsi="Calibri"/>
        </w:rPr>
        <w:t xml:space="preserve">(refer </w:t>
      </w:r>
      <w:r w:rsidR="006A010C">
        <w:rPr>
          <w:rFonts w:ascii="Calibri" w:hAnsi="Calibri"/>
        </w:rPr>
        <w:t>S</w:t>
      </w:r>
      <w:r w:rsidR="00C335CA" w:rsidRPr="006A010C">
        <w:rPr>
          <w:rFonts w:ascii="Calibri" w:hAnsi="Calibri"/>
        </w:rPr>
        <w:t xml:space="preserve">ection </w:t>
      </w:r>
      <w:r w:rsidR="006A010C" w:rsidRPr="006A010C">
        <w:rPr>
          <w:rFonts w:ascii="Calibri" w:hAnsi="Calibri"/>
        </w:rPr>
        <w:t>4</w:t>
      </w:r>
      <w:r w:rsidR="00C335CA" w:rsidRPr="006A010C">
        <w:rPr>
          <w:rFonts w:ascii="Calibri" w:hAnsi="Calibri"/>
        </w:rPr>
        <w:t>)</w:t>
      </w:r>
      <w:r w:rsidRPr="006A010C">
        <w:rPr>
          <w:rFonts w:ascii="Calibri" w:hAnsi="Calibri"/>
        </w:rPr>
        <w:t>.</w:t>
      </w:r>
      <w:r w:rsidRPr="00D53186">
        <w:rPr>
          <w:rFonts w:ascii="Calibri" w:hAnsi="Calibri"/>
        </w:rPr>
        <w:t xml:space="preserve"> Minimum requirements have been established to ensure partners appropriately target vulnerable groups including children, women and people with disabilit</w:t>
      </w:r>
      <w:r w:rsidR="00310875">
        <w:rPr>
          <w:rFonts w:ascii="Calibri" w:hAnsi="Calibri"/>
        </w:rPr>
        <w:t>ies</w:t>
      </w:r>
      <w:r w:rsidRPr="00D53186">
        <w:rPr>
          <w:rFonts w:ascii="Calibri" w:hAnsi="Calibri"/>
        </w:rPr>
        <w:t xml:space="preserve">. Sex and age disaggregated data will be collected and used to improve investments. </w:t>
      </w:r>
      <w:r w:rsidR="00D1049B">
        <w:rPr>
          <w:rFonts w:ascii="Calibri" w:hAnsi="Calibri"/>
        </w:rPr>
        <w:t>The Support Unit’s MEL O</w:t>
      </w:r>
      <w:r w:rsidRPr="00D53186">
        <w:rPr>
          <w:rFonts w:ascii="Calibri" w:hAnsi="Calibri"/>
        </w:rPr>
        <w:t>fficer will work with partners, and revise templates as appropriate, to ensure a consistent approach to data collection and use.</w:t>
      </w:r>
    </w:p>
    <w:p w14:paraId="36BE2D8C" w14:textId="77777777" w:rsidR="00D53186" w:rsidRPr="00D53186" w:rsidRDefault="00D53186" w:rsidP="00A67DC0">
      <w:pPr>
        <w:spacing w:after="240"/>
        <w:jc w:val="both"/>
        <w:rPr>
          <w:rFonts w:ascii="Calibri" w:hAnsi="Calibri"/>
        </w:rPr>
      </w:pPr>
      <w:r w:rsidRPr="00A718D0">
        <w:rPr>
          <w:rFonts w:ascii="Calibri" w:hAnsi="Calibri"/>
        </w:rPr>
        <w:t>This investment will</w:t>
      </w:r>
      <w:r w:rsidRPr="00A232B0">
        <w:rPr>
          <w:rFonts w:ascii="Calibri" w:hAnsi="Calibri"/>
          <w:b/>
        </w:rPr>
        <w:t xml:space="preserve"> focus on approaches and learnings which relate to strengthening opportunities for women’s leadership </w:t>
      </w:r>
      <w:r w:rsidRPr="00A718D0">
        <w:rPr>
          <w:rFonts w:ascii="Calibri" w:hAnsi="Calibri"/>
        </w:rPr>
        <w:t xml:space="preserve">(in responses and community-resilience activities), </w:t>
      </w:r>
      <w:r w:rsidRPr="00A718D0">
        <w:rPr>
          <w:rFonts w:ascii="Calibri" w:hAnsi="Calibri"/>
          <w:b/>
        </w:rPr>
        <w:t>as well as ensuring</w:t>
      </w:r>
      <w:r w:rsidRPr="00A718D0">
        <w:rPr>
          <w:rFonts w:ascii="Calibri" w:hAnsi="Calibri"/>
        </w:rPr>
        <w:t xml:space="preserve"> </w:t>
      </w:r>
      <w:r w:rsidRPr="00A718D0">
        <w:rPr>
          <w:rFonts w:ascii="Calibri" w:hAnsi="Calibri"/>
          <w:b/>
        </w:rPr>
        <w:t>high quality protection approaches</w:t>
      </w:r>
      <w:r w:rsidRPr="00A718D0">
        <w:rPr>
          <w:rFonts w:ascii="Calibri" w:hAnsi="Calibri"/>
        </w:rPr>
        <w:t xml:space="preserve">, </w:t>
      </w:r>
      <w:r w:rsidRPr="00A718D0">
        <w:rPr>
          <w:rFonts w:ascii="Calibri" w:hAnsi="Calibri"/>
        </w:rPr>
        <w:lastRenderedPageBreak/>
        <w:t xml:space="preserve">particularly around </w:t>
      </w:r>
      <w:r w:rsidR="00080091">
        <w:rPr>
          <w:rFonts w:ascii="Calibri" w:hAnsi="Calibri"/>
        </w:rPr>
        <w:t>GBV</w:t>
      </w:r>
      <w:r w:rsidRPr="00A718D0">
        <w:rPr>
          <w:rFonts w:ascii="Calibri" w:hAnsi="Calibri"/>
        </w:rPr>
        <w:t>.</w:t>
      </w:r>
      <w:r w:rsidRPr="00D53186">
        <w:rPr>
          <w:rFonts w:ascii="Calibri" w:hAnsi="Calibri"/>
        </w:rPr>
        <w:t xml:space="preserve">  Partners will build on the HPA Gender Action Plans, and consider the value of adopting the revised IASC Gender Marker as a simple system of ensuring that both design and implementation is gender sensitive.  </w:t>
      </w:r>
    </w:p>
    <w:p w14:paraId="38E6278E" w14:textId="77777777" w:rsidR="00D53186" w:rsidRPr="00D53186" w:rsidRDefault="00D53186" w:rsidP="00A67DC0">
      <w:pPr>
        <w:pStyle w:val="Default"/>
        <w:spacing w:after="240"/>
        <w:jc w:val="both"/>
        <w:rPr>
          <w:rFonts w:eastAsiaTheme="minorEastAsia" w:cstheme="minorBidi"/>
          <w:color w:val="auto"/>
        </w:rPr>
      </w:pPr>
      <w:r w:rsidRPr="00A232B0">
        <w:rPr>
          <w:rFonts w:eastAsiaTheme="minorEastAsia" w:cstheme="minorBidi"/>
          <w:b/>
          <w:color w:val="auto"/>
        </w:rPr>
        <w:t>The Support Unit will work with partners to create opportunities for collaboration and resource-sharing</w:t>
      </w:r>
      <w:r w:rsidRPr="00D53186">
        <w:rPr>
          <w:rFonts w:eastAsiaTheme="minorEastAsia" w:cstheme="minorBidi"/>
          <w:color w:val="auto"/>
        </w:rPr>
        <w:t xml:space="preserve">. This might include supporting the collaborative development of </w:t>
      </w:r>
      <w:r w:rsidRPr="00D53186">
        <w:rPr>
          <w:rFonts w:eastAsiaTheme="minorEastAsia" w:cstheme="minorBidi"/>
          <w:i/>
          <w:color w:val="auto"/>
        </w:rPr>
        <w:t>rapid gender analyses</w:t>
      </w:r>
      <w:r w:rsidRPr="00D53186">
        <w:rPr>
          <w:rFonts w:eastAsiaTheme="minorEastAsia" w:cstheme="minorBidi"/>
          <w:color w:val="auto"/>
        </w:rPr>
        <w:t xml:space="preserve"> which are then shared with all partners to provide practical recommendations for programming. It might also include the sharing of gender expertise, where an ANGO with in-house gender expertise provides this resource to benefit </w:t>
      </w:r>
      <w:r w:rsidR="009240B5">
        <w:rPr>
          <w:rFonts w:eastAsiaTheme="minorEastAsia" w:cstheme="minorBidi"/>
          <w:color w:val="auto"/>
        </w:rPr>
        <w:t>partners’</w:t>
      </w:r>
      <w:r w:rsidRPr="00D53186">
        <w:rPr>
          <w:rFonts w:eastAsiaTheme="minorEastAsia" w:cstheme="minorBidi"/>
          <w:color w:val="auto"/>
        </w:rPr>
        <w:t xml:space="preserve"> activities (such as being part of </w:t>
      </w:r>
      <w:r w:rsidR="00080091">
        <w:rPr>
          <w:rFonts w:eastAsiaTheme="minorEastAsia" w:cstheme="minorBidi"/>
          <w:color w:val="auto"/>
        </w:rPr>
        <w:t>T</w:t>
      </w:r>
      <w:r w:rsidRPr="00D53186">
        <w:rPr>
          <w:rFonts w:eastAsiaTheme="minorEastAsia" w:cstheme="minorBidi"/>
          <w:color w:val="auto"/>
        </w:rPr>
        <w:t xml:space="preserve">echnical </w:t>
      </w:r>
      <w:r w:rsidR="00080091">
        <w:rPr>
          <w:rFonts w:eastAsiaTheme="minorEastAsia" w:cstheme="minorBidi"/>
          <w:color w:val="auto"/>
        </w:rPr>
        <w:t>A</w:t>
      </w:r>
      <w:r w:rsidRPr="00D53186">
        <w:rPr>
          <w:rFonts w:eastAsiaTheme="minorEastAsia" w:cstheme="minorBidi"/>
          <w:color w:val="auto"/>
        </w:rPr>
        <w:t xml:space="preserve">ssessment </w:t>
      </w:r>
      <w:r w:rsidR="00080091">
        <w:rPr>
          <w:rFonts w:eastAsiaTheme="minorEastAsia" w:cstheme="minorBidi"/>
          <w:color w:val="auto"/>
        </w:rPr>
        <w:t>P</w:t>
      </w:r>
      <w:r w:rsidRPr="00D53186">
        <w:rPr>
          <w:rFonts w:eastAsiaTheme="minorEastAsia" w:cstheme="minorBidi"/>
          <w:color w:val="auto"/>
        </w:rPr>
        <w:t xml:space="preserve">anels; running learning events etc). </w:t>
      </w:r>
    </w:p>
    <w:p w14:paraId="7088484D" w14:textId="77777777" w:rsidR="00D53186" w:rsidRDefault="00D53186" w:rsidP="00A67DC0">
      <w:pPr>
        <w:spacing w:after="240"/>
        <w:jc w:val="both"/>
        <w:rPr>
          <w:rFonts w:ascii="Calibri" w:hAnsi="Calibri"/>
        </w:rPr>
      </w:pPr>
      <w:r w:rsidRPr="00D53186">
        <w:rPr>
          <w:rFonts w:ascii="Calibri" w:hAnsi="Calibri"/>
        </w:rPr>
        <w:t xml:space="preserve">In addition, </w:t>
      </w:r>
      <w:r w:rsidR="00464114">
        <w:rPr>
          <w:rFonts w:ascii="Calibri" w:hAnsi="Calibri"/>
          <w:b/>
        </w:rPr>
        <w:t xml:space="preserve">funded </w:t>
      </w:r>
      <w:r w:rsidRPr="00A232B0">
        <w:rPr>
          <w:rFonts w:ascii="Calibri" w:hAnsi="Calibri"/>
          <w:b/>
        </w:rPr>
        <w:t>NGO</w:t>
      </w:r>
      <w:r w:rsidR="00464114">
        <w:rPr>
          <w:rFonts w:ascii="Calibri" w:hAnsi="Calibri"/>
          <w:b/>
        </w:rPr>
        <w:t xml:space="preserve"> partner</w:t>
      </w:r>
      <w:r w:rsidRPr="00A232B0">
        <w:rPr>
          <w:rFonts w:ascii="Calibri" w:hAnsi="Calibri"/>
          <w:b/>
        </w:rPr>
        <w:t>s will be required to create opportunities for local women’s civil society groups to participate meaningfully</w:t>
      </w:r>
      <w:r w:rsidRPr="00D53186">
        <w:rPr>
          <w:rFonts w:ascii="Calibri" w:hAnsi="Calibri"/>
        </w:rPr>
        <w:t xml:space="preserve"> </w:t>
      </w:r>
      <w:r w:rsidRPr="00A718D0">
        <w:rPr>
          <w:rFonts w:ascii="Calibri" w:hAnsi="Calibri"/>
          <w:b/>
        </w:rPr>
        <w:t>in decision-making</w:t>
      </w:r>
      <w:r w:rsidRPr="00D53186">
        <w:rPr>
          <w:rFonts w:ascii="Calibri" w:hAnsi="Calibri"/>
        </w:rPr>
        <w:t xml:space="preserve"> on policy and practice for humanitarian assistance, as well as around risk reduction and resilience work.  </w:t>
      </w:r>
      <w:r w:rsidR="00464114">
        <w:rPr>
          <w:rFonts w:ascii="Calibri" w:hAnsi="Calibri"/>
        </w:rPr>
        <w:t>Funded NGOs</w:t>
      </w:r>
      <w:r w:rsidRPr="00D53186">
        <w:rPr>
          <w:rFonts w:ascii="Calibri" w:hAnsi="Calibri"/>
        </w:rPr>
        <w:t xml:space="preserve"> will also be required to provide data on workplace gender equity within both </w:t>
      </w:r>
      <w:r w:rsidR="00574D96">
        <w:rPr>
          <w:rFonts w:ascii="Calibri" w:hAnsi="Calibri"/>
        </w:rPr>
        <w:t xml:space="preserve">the </w:t>
      </w:r>
      <w:r w:rsidRPr="00D53186">
        <w:rPr>
          <w:rFonts w:ascii="Calibri" w:hAnsi="Calibri"/>
        </w:rPr>
        <w:t xml:space="preserve">ANGO and their local partners, with the aim of improving workplace equity. </w:t>
      </w:r>
    </w:p>
    <w:p w14:paraId="374AAA62" w14:textId="77777777" w:rsidR="00003A07" w:rsidRPr="007157F7" w:rsidRDefault="00003A07" w:rsidP="00A67DC0">
      <w:pPr>
        <w:pStyle w:val="Heading2"/>
        <w:spacing w:after="240"/>
        <w:jc w:val="both"/>
        <w:rPr>
          <w:sz w:val="24"/>
          <w:szCs w:val="24"/>
        </w:rPr>
      </w:pPr>
      <w:bookmarkStart w:id="32" w:name="_Toc448777813"/>
      <w:r w:rsidRPr="007157F7">
        <w:rPr>
          <w:sz w:val="24"/>
          <w:szCs w:val="24"/>
        </w:rPr>
        <w:t>Disability Inclusiveness</w:t>
      </w:r>
      <w:bookmarkEnd w:id="32"/>
    </w:p>
    <w:p w14:paraId="4677478B" w14:textId="77777777" w:rsidR="0017736C" w:rsidRDefault="00D211CB" w:rsidP="00A67DC0">
      <w:pPr>
        <w:spacing w:after="240"/>
        <w:jc w:val="both"/>
        <w:rPr>
          <w:rFonts w:ascii="Calibri" w:eastAsia="Times New Roman" w:hAnsi="Calibri"/>
        </w:rPr>
      </w:pPr>
      <w:r w:rsidRPr="00A232B0">
        <w:rPr>
          <w:rFonts w:ascii="Calibri" w:eastAsia="Times New Roman" w:hAnsi="Calibri"/>
          <w:b/>
        </w:rPr>
        <w:t>Including people with disabilit</w:t>
      </w:r>
      <w:r w:rsidR="00310875">
        <w:rPr>
          <w:rFonts w:ascii="Calibri" w:eastAsia="Times New Roman" w:hAnsi="Calibri"/>
          <w:b/>
        </w:rPr>
        <w:t>ies</w:t>
      </w:r>
      <w:r w:rsidRPr="00A232B0">
        <w:rPr>
          <w:rFonts w:ascii="Calibri" w:eastAsia="Times New Roman" w:hAnsi="Calibri"/>
          <w:b/>
        </w:rPr>
        <w:t xml:space="preserve"> is a priority for Australia’s aid program</w:t>
      </w:r>
      <w:r w:rsidRPr="00641D0E">
        <w:rPr>
          <w:rFonts w:ascii="Calibri" w:eastAsia="Times New Roman" w:hAnsi="Calibri"/>
        </w:rPr>
        <w:t xml:space="preserve">. Australia has ratified the United Nations Convention on the Rights of Persons with Disabilities (UNCRPD), and </w:t>
      </w:r>
      <w:r w:rsidR="00FF78F0" w:rsidRPr="00641D0E">
        <w:rPr>
          <w:rFonts w:ascii="Calibri" w:eastAsia="Times New Roman" w:hAnsi="Calibri"/>
        </w:rPr>
        <w:t xml:space="preserve">and </w:t>
      </w:r>
      <w:r w:rsidR="00FF78F0">
        <w:rPr>
          <w:rFonts w:ascii="Calibri" w:eastAsia="Times New Roman" w:hAnsi="Calibri"/>
        </w:rPr>
        <w:t xml:space="preserve">adopted the Sendai Framework, which includes strong commitments to inclusivity of all stakeholder groups, including people with disabilities. Australia </w:t>
      </w:r>
      <w:r w:rsidRPr="00641D0E">
        <w:rPr>
          <w:rFonts w:ascii="Calibri" w:eastAsia="Times New Roman" w:hAnsi="Calibri"/>
        </w:rPr>
        <w:t>is committed to all Australian aid activities including and benefitting people with disabilit</w:t>
      </w:r>
      <w:r w:rsidR="00310875">
        <w:rPr>
          <w:rFonts w:ascii="Calibri" w:eastAsia="Times New Roman" w:hAnsi="Calibri"/>
        </w:rPr>
        <w:t>ies</w:t>
      </w:r>
      <w:r w:rsidRPr="00641D0E">
        <w:rPr>
          <w:rFonts w:ascii="Calibri" w:eastAsia="Times New Roman" w:hAnsi="Calibri"/>
        </w:rPr>
        <w:t>.</w:t>
      </w:r>
      <w:r w:rsidR="00A718D0">
        <w:rPr>
          <w:rFonts w:ascii="Calibri" w:eastAsia="Times New Roman" w:hAnsi="Calibri"/>
        </w:rPr>
        <w:t xml:space="preserve"> Pr</w:t>
      </w:r>
      <w:r w:rsidR="00BE6A1D" w:rsidRPr="00641D0E">
        <w:rPr>
          <w:rFonts w:ascii="Calibri" w:eastAsia="Times New Roman" w:hAnsi="Calibri"/>
        </w:rPr>
        <w:t>otecting people with disabilit</w:t>
      </w:r>
      <w:r w:rsidR="00310875">
        <w:rPr>
          <w:rFonts w:ascii="Calibri" w:eastAsia="Times New Roman" w:hAnsi="Calibri"/>
        </w:rPr>
        <w:t>ies</w:t>
      </w:r>
      <w:r w:rsidR="00BE6A1D" w:rsidRPr="00641D0E">
        <w:rPr>
          <w:rFonts w:ascii="Calibri" w:eastAsia="Times New Roman" w:hAnsi="Calibri"/>
        </w:rPr>
        <w:t xml:space="preserve"> in humanitarian crises is a particular focus of DFAT's </w:t>
      </w:r>
      <w:r w:rsidR="00A718D0">
        <w:rPr>
          <w:rFonts w:ascii="Calibri" w:eastAsia="Times New Roman" w:hAnsi="Calibri"/>
        </w:rPr>
        <w:t>(</w:t>
      </w:r>
      <w:r w:rsidR="00BE6A1D" w:rsidRPr="00641D0E">
        <w:rPr>
          <w:rFonts w:ascii="Calibri" w:eastAsia="Times New Roman" w:hAnsi="Calibri"/>
        </w:rPr>
        <w:t>draft</w:t>
      </w:r>
      <w:r w:rsidR="00A718D0">
        <w:rPr>
          <w:rFonts w:ascii="Calibri" w:eastAsia="Times New Roman" w:hAnsi="Calibri"/>
        </w:rPr>
        <w:t>)</w:t>
      </w:r>
      <w:r w:rsidR="00BE6A1D" w:rsidRPr="00641D0E">
        <w:rPr>
          <w:rFonts w:ascii="Calibri" w:eastAsia="Times New Roman" w:hAnsi="Calibri"/>
        </w:rPr>
        <w:t xml:space="preserve"> Humanitarian Strategy, and has been a </w:t>
      </w:r>
      <w:r w:rsidR="00436E89" w:rsidRPr="00641D0E">
        <w:rPr>
          <w:rFonts w:ascii="Calibri" w:eastAsia="Times New Roman" w:hAnsi="Calibri"/>
        </w:rPr>
        <w:t>priority for</w:t>
      </w:r>
      <w:r w:rsidR="00361A3B" w:rsidRPr="00641D0E">
        <w:rPr>
          <w:rFonts w:ascii="Calibri" w:eastAsia="Times New Roman" w:hAnsi="Calibri"/>
        </w:rPr>
        <w:t xml:space="preserve"> DFAT and many of its NGO partners for a number of years</w:t>
      </w:r>
      <w:r w:rsidR="00436E89" w:rsidRPr="00641D0E">
        <w:rPr>
          <w:rFonts w:ascii="Calibri" w:eastAsia="Times New Roman" w:hAnsi="Calibri"/>
        </w:rPr>
        <w:t xml:space="preserve">. </w:t>
      </w:r>
    </w:p>
    <w:p w14:paraId="69008672" w14:textId="77777777" w:rsidR="00BE6A1D" w:rsidRPr="00641D0E" w:rsidRDefault="00436E89" w:rsidP="00A67DC0">
      <w:pPr>
        <w:spacing w:after="240"/>
        <w:jc w:val="both"/>
        <w:rPr>
          <w:rFonts w:ascii="Calibri" w:eastAsia="Times New Roman" w:hAnsi="Calibri"/>
        </w:rPr>
      </w:pPr>
      <w:r w:rsidRPr="00A232B0">
        <w:rPr>
          <w:rFonts w:ascii="Calibri" w:eastAsia="Times New Roman" w:hAnsi="Calibri"/>
          <w:b/>
        </w:rPr>
        <w:t>D</w:t>
      </w:r>
      <w:r w:rsidR="005F5A45" w:rsidRPr="00A232B0">
        <w:rPr>
          <w:rFonts w:ascii="Calibri" w:eastAsia="Times New Roman" w:hAnsi="Calibri"/>
          <w:b/>
        </w:rPr>
        <w:t>isability inclusiveness will be a key consideration in the deliberations of the Response Committee</w:t>
      </w:r>
      <w:r w:rsidR="00361A3B" w:rsidRPr="00A232B0">
        <w:rPr>
          <w:rFonts w:ascii="Calibri" w:eastAsia="Times New Roman" w:hAnsi="Calibri"/>
          <w:b/>
        </w:rPr>
        <w:t>s</w:t>
      </w:r>
      <w:r w:rsidR="005F5A45" w:rsidRPr="00A232B0">
        <w:rPr>
          <w:rFonts w:ascii="Calibri" w:eastAsia="Times New Roman" w:hAnsi="Calibri"/>
          <w:b/>
        </w:rPr>
        <w:t xml:space="preserve"> </w:t>
      </w:r>
      <w:r w:rsidR="00823411" w:rsidRPr="00A232B0">
        <w:rPr>
          <w:rFonts w:ascii="Calibri" w:eastAsia="Times New Roman" w:hAnsi="Calibri"/>
          <w:b/>
        </w:rPr>
        <w:t xml:space="preserve">and the </w:t>
      </w:r>
      <w:r w:rsidR="005C2DD0">
        <w:rPr>
          <w:rFonts w:ascii="Calibri" w:eastAsia="Times New Roman" w:hAnsi="Calibri"/>
          <w:b/>
        </w:rPr>
        <w:t>T</w:t>
      </w:r>
      <w:r w:rsidR="00823411" w:rsidRPr="00A232B0">
        <w:rPr>
          <w:rFonts w:ascii="Calibri" w:eastAsia="Times New Roman" w:hAnsi="Calibri"/>
          <w:b/>
        </w:rPr>
        <w:t xml:space="preserve">echnical </w:t>
      </w:r>
      <w:r w:rsidR="005C2DD0">
        <w:rPr>
          <w:rFonts w:ascii="Calibri" w:eastAsia="Times New Roman" w:hAnsi="Calibri"/>
          <w:b/>
        </w:rPr>
        <w:t>A</w:t>
      </w:r>
      <w:r w:rsidR="00823411" w:rsidRPr="00A232B0">
        <w:rPr>
          <w:rFonts w:ascii="Calibri" w:eastAsia="Times New Roman" w:hAnsi="Calibri"/>
          <w:b/>
        </w:rPr>
        <w:t xml:space="preserve">ssessment </w:t>
      </w:r>
      <w:r w:rsidR="005C2DD0">
        <w:rPr>
          <w:rFonts w:ascii="Calibri" w:eastAsia="Times New Roman" w:hAnsi="Calibri"/>
          <w:b/>
        </w:rPr>
        <w:t>P</w:t>
      </w:r>
      <w:r w:rsidR="00823411" w:rsidRPr="00A232B0">
        <w:rPr>
          <w:rFonts w:ascii="Calibri" w:eastAsia="Times New Roman" w:hAnsi="Calibri"/>
          <w:b/>
        </w:rPr>
        <w:t>anels</w:t>
      </w:r>
      <w:r w:rsidR="001E682C">
        <w:rPr>
          <w:rFonts w:ascii="Calibri" w:eastAsia="Times New Roman" w:hAnsi="Calibri"/>
        </w:rPr>
        <w:t>.</w:t>
      </w:r>
      <w:r w:rsidR="00573A66">
        <w:rPr>
          <w:rFonts w:ascii="Calibri" w:eastAsia="Times New Roman" w:hAnsi="Calibri"/>
        </w:rPr>
        <w:t xml:space="preserve"> </w:t>
      </w:r>
      <w:r w:rsidR="00E60C6E">
        <w:rPr>
          <w:rFonts w:ascii="Calibri" w:eastAsia="Times New Roman" w:hAnsi="Calibri"/>
        </w:rPr>
        <w:t xml:space="preserve">Disability inclusiveness will also be a key consideration </w:t>
      </w:r>
      <w:r w:rsidR="005F5A45" w:rsidRPr="00641D0E">
        <w:rPr>
          <w:rFonts w:ascii="Calibri" w:eastAsia="Times New Roman" w:hAnsi="Calibri"/>
        </w:rPr>
        <w:t xml:space="preserve">in the </w:t>
      </w:r>
      <w:r w:rsidR="00A718D0">
        <w:rPr>
          <w:rFonts w:ascii="Calibri" w:eastAsia="Times New Roman" w:hAnsi="Calibri"/>
        </w:rPr>
        <w:t>‘design and implement’</w:t>
      </w:r>
      <w:r w:rsidR="005F5A45" w:rsidRPr="00641D0E">
        <w:rPr>
          <w:rFonts w:ascii="Calibri" w:eastAsia="Times New Roman" w:hAnsi="Calibri"/>
        </w:rPr>
        <w:t xml:space="preserve"> process</w:t>
      </w:r>
      <w:r w:rsidR="00A5515C">
        <w:rPr>
          <w:rFonts w:ascii="Calibri" w:eastAsia="Times New Roman" w:hAnsi="Calibri"/>
        </w:rPr>
        <w:t xml:space="preserve"> for activities that build local humanitarian capacity in the Pacific</w:t>
      </w:r>
      <w:r w:rsidR="00FF78F0" w:rsidRPr="00FF78F0">
        <w:rPr>
          <w:rFonts w:ascii="Calibri" w:eastAsia="Times New Roman" w:hAnsi="Calibri"/>
        </w:rPr>
        <w:t xml:space="preserve"> </w:t>
      </w:r>
      <w:r w:rsidR="00FF78F0">
        <w:rPr>
          <w:rFonts w:ascii="Calibri" w:eastAsia="Times New Roman" w:hAnsi="Calibri"/>
        </w:rPr>
        <w:t>and strengthen the disaster resilience of Pacific communities</w:t>
      </w:r>
      <w:r w:rsidR="005F5A45" w:rsidRPr="00641D0E">
        <w:rPr>
          <w:rFonts w:ascii="Calibri" w:eastAsia="Times New Roman" w:hAnsi="Calibri"/>
        </w:rPr>
        <w:t>.</w:t>
      </w:r>
      <w:r w:rsidR="00081822" w:rsidRPr="00641D0E">
        <w:rPr>
          <w:rFonts w:ascii="Calibri" w:eastAsia="Times New Roman" w:hAnsi="Calibri"/>
        </w:rPr>
        <w:t xml:space="preserve"> </w:t>
      </w:r>
      <w:r w:rsidR="00FB478E">
        <w:rPr>
          <w:rFonts w:ascii="Calibri" w:eastAsia="Times New Roman" w:hAnsi="Calibri"/>
        </w:rPr>
        <w:t xml:space="preserve">The </w:t>
      </w:r>
      <w:r w:rsidR="00746A96">
        <w:rPr>
          <w:rFonts w:ascii="Calibri" w:eastAsia="Times New Roman" w:hAnsi="Calibri"/>
        </w:rPr>
        <w:t>inception phase</w:t>
      </w:r>
      <w:r w:rsidR="00FB478E">
        <w:rPr>
          <w:rFonts w:ascii="Calibri" w:eastAsia="Times New Roman" w:hAnsi="Calibri"/>
        </w:rPr>
        <w:t xml:space="preserve"> of th</w:t>
      </w:r>
      <w:r w:rsidR="00A5515C">
        <w:rPr>
          <w:rFonts w:ascii="Calibri" w:eastAsia="Times New Roman" w:hAnsi="Calibri"/>
        </w:rPr>
        <w:t xml:space="preserve">at set of activities </w:t>
      </w:r>
      <w:r w:rsidR="00FB478E">
        <w:rPr>
          <w:rFonts w:ascii="Calibri" w:eastAsia="Times New Roman" w:hAnsi="Calibri"/>
        </w:rPr>
        <w:t>will include consultation with Paci</w:t>
      </w:r>
      <w:r w:rsidR="00310875">
        <w:rPr>
          <w:rFonts w:ascii="Calibri" w:eastAsia="Times New Roman" w:hAnsi="Calibri"/>
        </w:rPr>
        <w:t>fic-based people with disabilities</w:t>
      </w:r>
      <w:r w:rsidR="00FB478E">
        <w:rPr>
          <w:rFonts w:ascii="Calibri" w:eastAsia="Times New Roman" w:hAnsi="Calibri"/>
        </w:rPr>
        <w:t>, through the Pacific Disability Forum (PDF)</w:t>
      </w:r>
      <w:r w:rsidR="002732EF">
        <w:rPr>
          <w:rFonts w:ascii="Calibri" w:eastAsia="Times New Roman" w:hAnsi="Calibri"/>
        </w:rPr>
        <w:t>, and opportunities will be sought for people with disabilit</w:t>
      </w:r>
      <w:r w:rsidR="00310875">
        <w:rPr>
          <w:rFonts w:ascii="Calibri" w:eastAsia="Times New Roman" w:hAnsi="Calibri"/>
        </w:rPr>
        <w:t>ies</w:t>
      </w:r>
      <w:r w:rsidR="002732EF">
        <w:rPr>
          <w:rFonts w:ascii="Calibri" w:eastAsia="Times New Roman" w:hAnsi="Calibri"/>
        </w:rPr>
        <w:t xml:space="preserve"> to take leadership positions in </w:t>
      </w:r>
      <w:r w:rsidR="002D06D2">
        <w:rPr>
          <w:rFonts w:ascii="Calibri" w:eastAsia="Times New Roman" w:hAnsi="Calibri"/>
        </w:rPr>
        <w:t xml:space="preserve">the </w:t>
      </w:r>
      <w:r w:rsidR="002732EF">
        <w:rPr>
          <w:rFonts w:ascii="Calibri" w:eastAsia="Times New Roman" w:hAnsi="Calibri"/>
        </w:rPr>
        <w:t>activities</w:t>
      </w:r>
      <w:r w:rsidR="00FB478E">
        <w:rPr>
          <w:rFonts w:ascii="Calibri" w:eastAsia="Times New Roman" w:hAnsi="Calibri"/>
        </w:rPr>
        <w:t>.</w:t>
      </w:r>
      <w:r w:rsidR="00A5515C">
        <w:rPr>
          <w:rFonts w:ascii="Calibri" w:eastAsia="Times New Roman" w:hAnsi="Calibri"/>
        </w:rPr>
        <w:t xml:space="preserve"> Disability inclusiveness will also be a consideration in the selection for activities that promote humanitarian innovation.</w:t>
      </w:r>
    </w:p>
    <w:p w14:paraId="5432B348" w14:textId="77777777" w:rsidR="00293740" w:rsidRPr="00641D0E" w:rsidRDefault="00293740" w:rsidP="00A67DC0">
      <w:pPr>
        <w:spacing w:after="240"/>
        <w:jc w:val="both"/>
        <w:rPr>
          <w:rFonts w:ascii="Calibri" w:eastAsia="Times New Roman" w:hAnsi="Calibri"/>
        </w:rPr>
      </w:pPr>
      <w:r w:rsidRPr="00A232B0">
        <w:rPr>
          <w:rFonts w:ascii="Calibri" w:eastAsia="Times New Roman" w:hAnsi="Calibri"/>
          <w:b/>
        </w:rPr>
        <w:t xml:space="preserve">All activities under the </w:t>
      </w:r>
      <w:r w:rsidR="00CD76EC">
        <w:rPr>
          <w:rFonts w:ascii="Calibri" w:eastAsia="Times New Roman" w:hAnsi="Calibri"/>
          <w:b/>
        </w:rPr>
        <w:t>Australian Humanitarian Partnership</w:t>
      </w:r>
      <w:r w:rsidRPr="00A232B0">
        <w:rPr>
          <w:rFonts w:ascii="Calibri" w:eastAsia="Times New Roman" w:hAnsi="Calibri"/>
          <w:b/>
        </w:rPr>
        <w:t xml:space="preserve"> will be designed in accordance with DFAT’s </w:t>
      </w:r>
      <w:r w:rsidR="00646131" w:rsidRPr="00A232B0">
        <w:rPr>
          <w:rFonts w:ascii="Calibri" w:eastAsia="Times New Roman" w:hAnsi="Calibri"/>
          <w:b/>
          <w:i/>
        </w:rPr>
        <w:t>Development for All 2015-2020</w:t>
      </w:r>
      <w:r w:rsidR="00646131" w:rsidRPr="00A232B0">
        <w:rPr>
          <w:rFonts w:ascii="Calibri" w:eastAsia="Times New Roman" w:hAnsi="Calibri"/>
          <w:b/>
        </w:rPr>
        <w:t xml:space="preserve"> </w:t>
      </w:r>
      <w:r w:rsidR="00646131" w:rsidRPr="00DB6E20">
        <w:rPr>
          <w:rFonts w:ascii="Calibri" w:eastAsia="Times New Roman" w:hAnsi="Calibri"/>
          <w:b/>
        </w:rPr>
        <w:t>strategy</w:t>
      </w:r>
      <w:r w:rsidR="00646131" w:rsidRPr="00641D0E">
        <w:rPr>
          <w:rFonts w:ascii="Calibri" w:eastAsia="Times New Roman" w:hAnsi="Calibri"/>
        </w:rPr>
        <w:t xml:space="preserve"> for strengthening disability-inclusive development in Australia’s aid program and</w:t>
      </w:r>
      <w:r w:rsidR="00646131" w:rsidRPr="00641D0E">
        <w:rPr>
          <w:rFonts w:ascii="Calibri" w:eastAsia="Times New Roman" w:hAnsi="Calibri"/>
          <w:i/>
        </w:rPr>
        <w:t xml:space="preserve"> </w:t>
      </w:r>
      <w:r w:rsidRPr="00641D0E">
        <w:rPr>
          <w:rFonts w:ascii="Calibri" w:eastAsia="Times New Roman" w:hAnsi="Calibri"/>
          <w:i/>
        </w:rPr>
        <w:t>Accessibility Design Guide: Universal Design Principles for Australia’s Aid Program</w:t>
      </w:r>
      <w:r w:rsidRPr="00641D0E">
        <w:rPr>
          <w:rFonts w:ascii="Calibri" w:eastAsia="Times New Roman" w:hAnsi="Calibri"/>
        </w:rPr>
        <w:t>.</w:t>
      </w:r>
      <w:r w:rsidR="00115FDF" w:rsidRPr="00641D0E">
        <w:rPr>
          <w:rFonts w:ascii="Calibri" w:eastAsia="Times New Roman" w:hAnsi="Calibri"/>
        </w:rPr>
        <w:t xml:space="preserve"> NGOs funded through the </w:t>
      </w:r>
      <w:r w:rsidR="00CD76EC">
        <w:rPr>
          <w:rFonts w:ascii="Calibri" w:eastAsia="Times New Roman" w:hAnsi="Calibri"/>
        </w:rPr>
        <w:t>partnership</w:t>
      </w:r>
      <w:r w:rsidR="00115FDF" w:rsidRPr="00641D0E">
        <w:rPr>
          <w:rFonts w:ascii="Calibri" w:eastAsia="Times New Roman" w:hAnsi="Calibri"/>
        </w:rPr>
        <w:t xml:space="preserve"> will collect data </w:t>
      </w:r>
      <w:r w:rsidR="00D036D1">
        <w:rPr>
          <w:rFonts w:ascii="Calibri" w:eastAsia="Times New Roman" w:hAnsi="Calibri"/>
        </w:rPr>
        <w:t xml:space="preserve">across all interventions, </w:t>
      </w:r>
      <w:r w:rsidR="00D036D1" w:rsidRPr="00641D0E">
        <w:rPr>
          <w:rFonts w:ascii="Calibri" w:eastAsia="Times New Roman" w:hAnsi="Calibri"/>
        </w:rPr>
        <w:t xml:space="preserve">using methods similar to </w:t>
      </w:r>
      <w:r w:rsidR="00D036D1">
        <w:rPr>
          <w:rFonts w:ascii="Calibri" w:eastAsia="Times New Roman" w:hAnsi="Calibri"/>
        </w:rPr>
        <w:t xml:space="preserve">the </w:t>
      </w:r>
      <w:r w:rsidR="00D036D1" w:rsidRPr="00641D0E">
        <w:rPr>
          <w:rFonts w:ascii="Calibri" w:eastAsia="Times New Roman" w:hAnsi="Calibri"/>
        </w:rPr>
        <w:t xml:space="preserve">Washington Group </w:t>
      </w:r>
      <w:r w:rsidR="00573A66" w:rsidRPr="00641D0E">
        <w:rPr>
          <w:rFonts w:ascii="Calibri" w:eastAsia="Times New Roman" w:hAnsi="Calibri"/>
        </w:rPr>
        <w:t>questions</w:t>
      </w:r>
      <w:r w:rsidR="00573A66">
        <w:rPr>
          <w:rFonts w:ascii="Calibri" w:eastAsia="Times New Roman" w:hAnsi="Calibri"/>
        </w:rPr>
        <w:t>,</w:t>
      </w:r>
      <w:r w:rsidR="00573A66" w:rsidRPr="00641D0E">
        <w:rPr>
          <w:rFonts w:ascii="Calibri" w:eastAsia="Times New Roman" w:hAnsi="Calibri"/>
        </w:rPr>
        <w:t xml:space="preserve"> which identify</w:t>
      </w:r>
      <w:r w:rsidR="00115FDF" w:rsidRPr="00641D0E">
        <w:rPr>
          <w:rFonts w:ascii="Calibri" w:eastAsia="Times New Roman" w:hAnsi="Calibri"/>
        </w:rPr>
        <w:t xml:space="preserve"> disability-prevalence where possible.</w:t>
      </w:r>
    </w:p>
    <w:p w14:paraId="3814B244" w14:textId="77777777" w:rsidR="00003A07" w:rsidRPr="007157F7" w:rsidRDefault="00003A07" w:rsidP="00A67DC0">
      <w:pPr>
        <w:pStyle w:val="Heading2"/>
        <w:spacing w:after="240"/>
        <w:jc w:val="both"/>
        <w:rPr>
          <w:sz w:val="24"/>
          <w:szCs w:val="24"/>
        </w:rPr>
      </w:pPr>
      <w:bookmarkStart w:id="33" w:name="_Toc448777814"/>
      <w:r w:rsidRPr="007157F7">
        <w:rPr>
          <w:sz w:val="24"/>
          <w:szCs w:val="24"/>
        </w:rPr>
        <w:lastRenderedPageBreak/>
        <w:t>Private Sector</w:t>
      </w:r>
      <w:bookmarkEnd w:id="33"/>
    </w:p>
    <w:p w14:paraId="0D079DC4" w14:textId="77777777" w:rsidR="00C25992" w:rsidRPr="00641D0E" w:rsidRDefault="001F6E9B" w:rsidP="00A67DC0">
      <w:pPr>
        <w:spacing w:after="240"/>
        <w:jc w:val="both"/>
        <w:rPr>
          <w:rFonts w:ascii="Calibri" w:eastAsia="Times New Roman" w:hAnsi="Calibri"/>
        </w:rPr>
      </w:pPr>
      <w:r w:rsidRPr="00641D0E">
        <w:rPr>
          <w:rFonts w:ascii="Calibri" w:eastAsia="Times New Roman" w:hAnsi="Calibri"/>
        </w:rPr>
        <w:t xml:space="preserve">The </w:t>
      </w:r>
      <w:r w:rsidR="00247F6F">
        <w:rPr>
          <w:rFonts w:ascii="Calibri" w:eastAsia="Times New Roman" w:hAnsi="Calibri"/>
        </w:rPr>
        <w:t xml:space="preserve">Australian Humanitarian Partnership is a </w:t>
      </w:r>
      <w:r w:rsidR="00C25992" w:rsidRPr="00641D0E">
        <w:rPr>
          <w:rFonts w:ascii="Calibri" w:eastAsia="Times New Roman" w:hAnsi="Calibri"/>
        </w:rPr>
        <w:t>partnership between DFAT and Australian NGOs. The private sector is not, therefore, a central player in the partnership.</w:t>
      </w:r>
      <w:r w:rsidR="00A718D0">
        <w:rPr>
          <w:rFonts w:ascii="Calibri" w:eastAsia="Times New Roman" w:hAnsi="Calibri"/>
        </w:rPr>
        <w:t xml:space="preserve"> </w:t>
      </w:r>
      <w:r w:rsidR="00C25992" w:rsidRPr="00641D0E">
        <w:rPr>
          <w:rFonts w:ascii="Calibri" w:eastAsia="Times New Roman" w:hAnsi="Calibri"/>
        </w:rPr>
        <w:t>Nonetheless, the private sector is increasingly involved in providing humanitarian assistance, offering innov</w:t>
      </w:r>
      <w:r w:rsidR="00DB6E20">
        <w:rPr>
          <w:rFonts w:ascii="Calibri" w:eastAsia="Times New Roman" w:hAnsi="Calibri"/>
        </w:rPr>
        <w:t xml:space="preserve">ative solutions to humanitarian </w:t>
      </w:r>
      <w:r w:rsidR="00C25992" w:rsidRPr="00641D0E">
        <w:rPr>
          <w:rFonts w:ascii="Calibri" w:eastAsia="Times New Roman" w:hAnsi="Calibri"/>
        </w:rPr>
        <w:t>problems. DFAT and its NGO partners regularly engage with private sector partners, particularly for the supply of logistical and procurement services.</w:t>
      </w:r>
    </w:p>
    <w:p w14:paraId="783C317B" w14:textId="50F18A47" w:rsidR="00C25992" w:rsidRPr="00641D0E" w:rsidRDefault="00A5515C" w:rsidP="00A67DC0">
      <w:pPr>
        <w:spacing w:after="240"/>
        <w:jc w:val="both"/>
        <w:rPr>
          <w:rFonts w:ascii="Calibri" w:hAnsi="Calibri"/>
        </w:rPr>
      </w:pPr>
      <w:r>
        <w:rPr>
          <w:rFonts w:ascii="Calibri" w:hAnsi="Calibri"/>
        </w:rPr>
        <w:t xml:space="preserve">DFAT funding under the </w:t>
      </w:r>
      <w:r w:rsidR="00CD76EC">
        <w:rPr>
          <w:rFonts w:ascii="Calibri" w:hAnsi="Calibri"/>
        </w:rPr>
        <w:t>partnership</w:t>
      </w:r>
      <w:r>
        <w:rPr>
          <w:rFonts w:ascii="Calibri" w:hAnsi="Calibri"/>
        </w:rPr>
        <w:t xml:space="preserve"> will</w:t>
      </w:r>
      <w:r w:rsidR="00C25992" w:rsidRPr="00641D0E">
        <w:rPr>
          <w:rFonts w:ascii="Calibri" w:hAnsi="Calibri"/>
        </w:rPr>
        <w:t xml:space="preserve"> support innovation </w:t>
      </w:r>
      <w:r w:rsidR="00FF78F0">
        <w:rPr>
          <w:rFonts w:ascii="Calibri" w:hAnsi="Calibri"/>
        </w:rPr>
        <w:t>to be mainstreamed across all outcome areas</w:t>
      </w:r>
      <w:r w:rsidR="00C25992" w:rsidRPr="00641D0E">
        <w:rPr>
          <w:rFonts w:ascii="Calibri" w:hAnsi="Calibri"/>
        </w:rPr>
        <w:t xml:space="preserve">. In the initial two years of the partnership, it is anticipated that </w:t>
      </w:r>
      <w:r w:rsidR="001B39BC">
        <w:rPr>
          <w:rFonts w:ascii="Calibri" w:hAnsi="Calibri"/>
        </w:rPr>
        <w:t xml:space="preserve">mainstreaming efforts may focus on </w:t>
      </w:r>
      <w:r w:rsidRPr="00F1336C">
        <w:rPr>
          <w:rFonts w:ascii="Calibri" w:hAnsi="Calibri"/>
        </w:rPr>
        <w:t>explor</w:t>
      </w:r>
      <w:r w:rsidR="001B39BC" w:rsidRPr="00F1336C">
        <w:rPr>
          <w:rFonts w:ascii="Calibri" w:hAnsi="Calibri"/>
        </w:rPr>
        <w:t>ing</w:t>
      </w:r>
      <w:r w:rsidR="00465190" w:rsidRPr="00F1336C">
        <w:rPr>
          <w:rFonts w:ascii="Calibri" w:hAnsi="Calibri"/>
        </w:rPr>
        <w:t xml:space="preserve"> </w:t>
      </w:r>
      <w:r w:rsidR="00737D62" w:rsidRPr="00F1336C">
        <w:rPr>
          <w:rFonts w:ascii="Calibri" w:hAnsi="Calibri"/>
        </w:rPr>
        <w:t>innovative approaches to</w:t>
      </w:r>
      <w:r w:rsidR="00737D62">
        <w:rPr>
          <w:rFonts w:ascii="Calibri" w:hAnsi="Calibri"/>
          <w:b/>
        </w:rPr>
        <w:t xml:space="preserve"> </w:t>
      </w:r>
      <w:r w:rsidR="00465190" w:rsidRPr="00641D0E">
        <w:rPr>
          <w:rFonts w:ascii="Calibri" w:hAnsi="Calibri"/>
        </w:rPr>
        <w:t>humanitarian response</w:t>
      </w:r>
      <w:r w:rsidR="00570601">
        <w:rPr>
          <w:rFonts w:ascii="Calibri" w:hAnsi="Calibri"/>
        </w:rPr>
        <w:t xml:space="preserve"> </w:t>
      </w:r>
      <w:r w:rsidR="00737D62">
        <w:rPr>
          <w:rFonts w:ascii="Calibri" w:hAnsi="Calibri"/>
        </w:rPr>
        <w:t xml:space="preserve">(including early recovery) </w:t>
      </w:r>
      <w:r w:rsidR="00570601">
        <w:rPr>
          <w:rFonts w:ascii="Calibri" w:hAnsi="Calibri"/>
        </w:rPr>
        <w:t>and capacity building</w:t>
      </w:r>
      <w:r w:rsidR="00737D62">
        <w:rPr>
          <w:rFonts w:ascii="Calibri" w:hAnsi="Calibri"/>
        </w:rPr>
        <w:t xml:space="preserve"> through partnerships with the </w:t>
      </w:r>
      <w:r w:rsidR="00737D62" w:rsidRPr="00737D62">
        <w:rPr>
          <w:rFonts w:ascii="Calibri" w:hAnsi="Calibri"/>
          <w:b/>
        </w:rPr>
        <w:t>private sector</w:t>
      </w:r>
      <w:r w:rsidR="00F24AE8" w:rsidRPr="00641D0E">
        <w:rPr>
          <w:rFonts w:ascii="Calibri" w:hAnsi="Calibri"/>
        </w:rPr>
        <w:t>.</w:t>
      </w:r>
    </w:p>
    <w:p w14:paraId="38432E40" w14:textId="77777777" w:rsidR="00003A07" w:rsidRPr="007157F7" w:rsidRDefault="00003A07" w:rsidP="00A67DC0">
      <w:pPr>
        <w:pStyle w:val="Heading2"/>
        <w:spacing w:after="240"/>
        <w:jc w:val="both"/>
        <w:rPr>
          <w:sz w:val="24"/>
          <w:szCs w:val="24"/>
        </w:rPr>
      </w:pPr>
      <w:bookmarkStart w:id="34" w:name="_Toc448777815"/>
      <w:r w:rsidRPr="00C318DA">
        <w:rPr>
          <w:sz w:val="24"/>
          <w:szCs w:val="24"/>
        </w:rPr>
        <w:t xml:space="preserve">Risk </w:t>
      </w:r>
      <w:r w:rsidR="005C0AFE" w:rsidRPr="00C318DA">
        <w:rPr>
          <w:sz w:val="24"/>
          <w:szCs w:val="24"/>
        </w:rPr>
        <w:t>M</w:t>
      </w:r>
      <w:r w:rsidRPr="00C318DA">
        <w:rPr>
          <w:sz w:val="24"/>
          <w:szCs w:val="24"/>
        </w:rPr>
        <w:t xml:space="preserve">anagement </w:t>
      </w:r>
      <w:r w:rsidR="005C0AFE" w:rsidRPr="00C318DA">
        <w:rPr>
          <w:sz w:val="24"/>
          <w:szCs w:val="24"/>
        </w:rPr>
        <w:t>P</w:t>
      </w:r>
      <w:r w:rsidRPr="00C318DA">
        <w:rPr>
          <w:sz w:val="24"/>
          <w:szCs w:val="24"/>
        </w:rPr>
        <w:t>lan</w:t>
      </w:r>
      <w:bookmarkEnd w:id="34"/>
    </w:p>
    <w:p w14:paraId="04521CC1" w14:textId="77777777" w:rsidR="00AF761A" w:rsidRDefault="008366D2" w:rsidP="00A67DC0">
      <w:pPr>
        <w:spacing w:after="240"/>
        <w:jc w:val="both"/>
        <w:rPr>
          <w:rFonts w:ascii="Calibri" w:eastAsia="Times New Roman" w:hAnsi="Calibri"/>
        </w:rPr>
      </w:pPr>
      <w:r>
        <w:rPr>
          <w:rFonts w:ascii="Calibri" w:eastAsia="Times New Roman" w:hAnsi="Calibri"/>
        </w:rPr>
        <w:t>A degree of r</w:t>
      </w:r>
      <w:r w:rsidR="002A7253" w:rsidRPr="00641D0E">
        <w:rPr>
          <w:rFonts w:ascii="Calibri" w:eastAsia="Times New Roman" w:hAnsi="Calibri"/>
        </w:rPr>
        <w:t xml:space="preserve">isk is inherent </w:t>
      </w:r>
      <w:r w:rsidR="00424874" w:rsidRPr="00641D0E">
        <w:rPr>
          <w:rFonts w:ascii="Calibri" w:eastAsia="Times New Roman" w:hAnsi="Calibri"/>
        </w:rPr>
        <w:t>in</w:t>
      </w:r>
      <w:r w:rsidR="002A7253" w:rsidRPr="00641D0E">
        <w:rPr>
          <w:rFonts w:ascii="Calibri" w:eastAsia="Times New Roman" w:hAnsi="Calibri"/>
        </w:rPr>
        <w:t xml:space="preserve"> </w:t>
      </w:r>
      <w:r>
        <w:rPr>
          <w:rFonts w:ascii="Calibri" w:eastAsia="Times New Roman" w:hAnsi="Calibri"/>
        </w:rPr>
        <w:t xml:space="preserve">all </w:t>
      </w:r>
      <w:r w:rsidR="002A7253" w:rsidRPr="00641D0E">
        <w:rPr>
          <w:rFonts w:ascii="Calibri" w:eastAsia="Times New Roman" w:hAnsi="Calibri"/>
        </w:rPr>
        <w:t>h</w:t>
      </w:r>
      <w:r w:rsidR="00E958B3" w:rsidRPr="00641D0E">
        <w:rPr>
          <w:rFonts w:ascii="Calibri" w:eastAsia="Times New Roman" w:hAnsi="Calibri"/>
        </w:rPr>
        <w:t>u</w:t>
      </w:r>
      <w:r w:rsidR="002A7253" w:rsidRPr="00641D0E">
        <w:rPr>
          <w:rFonts w:ascii="Calibri" w:eastAsia="Times New Roman" w:hAnsi="Calibri"/>
        </w:rPr>
        <w:t xml:space="preserve">manitarian response activities. </w:t>
      </w:r>
      <w:r w:rsidR="001D2522" w:rsidRPr="00641D0E">
        <w:rPr>
          <w:rFonts w:ascii="Calibri" w:eastAsia="Times New Roman" w:hAnsi="Calibri"/>
        </w:rPr>
        <w:t xml:space="preserve">Accordingly, risk management has been a key consideration in the design of the </w:t>
      </w:r>
      <w:r w:rsidR="00CD76EC">
        <w:rPr>
          <w:rFonts w:ascii="Calibri" w:eastAsia="Times New Roman" w:hAnsi="Calibri"/>
        </w:rPr>
        <w:t>Australian Humanitarian Partnership</w:t>
      </w:r>
      <w:r w:rsidR="005672CA" w:rsidRPr="00641D0E">
        <w:rPr>
          <w:rFonts w:ascii="Calibri" w:eastAsia="Times New Roman" w:hAnsi="Calibri"/>
        </w:rPr>
        <w:t>.</w:t>
      </w:r>
      <w:r w:rsidR="00AF761A" w:rsidRPr="00AF761A">
        <w:rPr>
          <w:rFonts w:ascii="Calibri" w:eastAsia="Times New Roman" w:hAnsi="Calibri"/>
        </w:rPr>
        <w:t xml:space="preserve"> </w:t>
      </w:r>
      <w:r w:rsidR="00AF761A" w:rsidRPr="00641D0E">
        <w:rPr>
          <w:rFonts w:ascii="Calibri" w:eastAsia="Times New Roman" w:hAnsi="Calibri"/>
        </w:rPr>
        <w:t xml:space="preserve">Risk and risk management will be considered </w:t>
      </w:r>
      <w:r w:rsidR="00AF761A">
        <w:rPr>
          <w:rFonts w:ascii="Calibri" w:eastAsia="Times New Roman" w:hAnsi="Calibri"/>
        </w:rPr>
        <w:t xml:space="preserve">explicitly </w:t>
      </w:r>
      <w:r w:rsidR="00AF761A" w:rsidRPr="00641D0E">
        <w:rPr>
          <w:rFonts w:ascii="Calibri" w:eastAsia="Times New Roman" w:hAnsi="Calibri"/>
        </w:rPr>
        <w:t>by the Response Committee</w:t>
      </w:r>
      <w:r w:rsidR="00AF761A">
        <w:rPr>
          <w:rFonts w:ascii="Calibri" w:eastAsia="Times New Roman" w:hAnsi="Calibri"/>
        </w:rPr>
        <w:t>s, and by the Technical Assessment Panels for</w:t>
      </w:r>
      <w:r w:rsidR="00C20D83">
        <w:rPr>
          <w:rFonts w:ascii="Calibri" w:eastAsia="Times New Roman" w:hAnsi="Calibri"/>
        </w:rPr>
        <w:t xml:space="preserve"> </w:t>
      </w:r>
      <w:r w:rsidR="00AF761A">
        <w:rPr>
          <w:rFonts w:ascii="Calibri" w:eastAsia="Times New Roman" w:hAnsi="Calibri"/>
        </w:rPr>
        <w:t>each activation</w:t>
      </w:r>
      <w:r w:rsidR="00AF761A" w:rsidRPr="00641D0E">
        <w:rPr>
          <w:rFonts w:ascii="Calibri" w:eastAsia="Times New Roman" w:hAnsi="Calibri"/>
        </w:rPr>
        <w:t xml:space="preserve">. </w:t>
      </w:r>
    </w:p>
    <w:p w14:paraId="5D25C0DF" w14:textId="77777777" w:rsidR="00E02DF4" w:rsidRPr="00641D0E" w:rsidRDefault="001D2522" w:rsidP="00A67DC0">
      <w:pPr>
        <w:spacing w:after="240"/>
        <w:jc w:val="both"/>
        <w:rPr>
          <w:rFonts w:ascii="Calibri" w:eastAsia="Times New Roman" w:hAnsi="Calibri"/>
        </w:rPr>
      </w:pPr>
      <w:r w:rsidRPr="00641D0E">
        <w:rPr>
          <w:rFonts w:ascii="Calibri" w:eastAsia="Times New Roman" w:hAnsi="Calibri"/>
        </w:rPr>
        <w:t xml:space="preserve">Under the </w:t>
      </w:r>
      <w:r w:rsidR="00CD76EC">
        <w:rPr>
          <w:rFonts w:ascii="Calibri" w:eastAsia="Times New Roman" w:hAnsi="Calibri"/>
        </w:rPr>
        <w:t>Australian Humanitarian Partnership</w:t>
      </w:r>
      <w:r w:rsidRPr="00641D0E">
        <w:rPr>
          <w:rFonts w:ascii="Calibri" w:eastAsia="Times New Roman" w:hAnsi="Calibri"/>
        </w:rPr>
        <w:t xml:space="preserve">, funding will only flow </w:t>
      </w:r>
      <w:r w:rsidR="00CD76EC">
        <w:rPr>
          <w:rFonts w:ascii="Calibri" w:eastAsia="Times New Roman" w:hAnsi="Calibri"/>
        </w:rPr>
        <w:t>from DFAT</w:t>
      </w:r>
      <w:r w:rsidR="00FF78F0">
        <w:rPr>
          <w:rFonts w:ascii="Calibri" w:eastAsia="Times New Roman" w:hAnsi="Calibri"/>
        </w:rPr>
        <w:t>, via the Support Unit,</w:t>
      </w:r>
      <w:r w:rsidR="00CD76EC">
        <w:rPr>
          <w:rFonts w:ascii="Calibri" w:eastAsia="Times New Roman" w:hAnsi="Calibri"/>
        </w:rPr>
        <w:t xml:space="preserve"> </w:t>
      </w:r>
      <w:r w:rsidRPr="00641D0E">
        <w:rPr>
          <w:rFonts w:ascii="Calibri" w:eastAsia="Times New Roman" w:hAnsi="Calibri"/>
        </w:rPr>
        <w:t>to NGOs</w:t>
      </w:r>
      <w:r w:rsidR="0000075C" w:rsidRPr="00641D0E">
        <w:rPr>
          <w:rFonts w:ascii="Calibri" w:eastAsia="Times New Roman" w:hAnsi="Calibri"/>
        </w:rPr>
        <w:t xml:space="preserve"> accredited </w:t>
      </w:r>
      <w:r w:rsidRPr="00641D0E">
        <w:rPr>
          <w:rFonts w:ascii="Calibri" w:eastAsia="Times New Roman" w:hAnsi="Calibri"/>
        </w:rPr>
        <w:t xml:space="preserve">to </w:t>
      </w:r>
      <w:r w:rsidR="005C0AFE">
        <w:rPr>
          <w:rFonts w:ascii="Calibri" w:eastAsia="Times New Roman" w:hAnsi="Calibri"/>
        </w:rPr>
        <w:t>DFAT’s</w:t>
      </w:r>
      <w:r w:rsidRPr="00641D0E">
        <w:rPr>
          <w:rFonts w:ascii="Calibri" w:eastAsia="Times New Roman" w:hAnsi="Calibri"/>
        </w:rPr>
        <w:t xml:space="preserve"> ANCP</w:t>
      </w:r>
      <w:r w:rsidR="005C0AFE">
        <w:rPr>
          <w:rFonts w:ascii="Calibri" w:eastAsia="Times New Roman" w:hAnsi="Calibri"/>
        </w:rPr>
        <w:t xml:space="preserve"> program</w:t>
      </w:r>
      <w:r w:rsidRPr="00641D0E">
        <w:rPr>
          <w:rFonts w:ascii="Calibri" w:eastAsia="Times New Roman" w:hAnsi="Calibri"/>
        </w:rPr>
        <w:t xml:space="preserve"> –</w:t>
      </w:r>
      <w:r w:rsidR="0000075C" w:rsidRPr="00641D0E">
        <w:rPr>
          <w:rFonts w:ascii="Calibri" w:eastAsia="Times New Roman" w:hAnsi="Calibri"/>
        </w:rPr>
        <w:t xml:space="preserve"> </w:t>
      </w:r>
      <w:r w:rsidR="00004031" w:rsidRPr="00641D0E">
        <w:rPr>
          <w:rFonts w:ascii="Calibri" w:eastAsia="Times New Roman" w:hAnsi="Calibri"/>
        </w:rPr>
        <w:t>which</w:t>
      </w:r>
      <w:r w:rsidR="0000075C" w:rsidRPr="00641D0E">
        <w:rPr>
          <w:rFonts w:ascii="Calibri" w:eastAsia="Times New Roman" w:hAnsi="Calibri"/>
        </w:rPr>
        <w:t xml:space="preserve"> have </w:t>
      </w:r>
      <w:r w:rsidRPr="00641D0E">
        <w:rPr>
          <w:rFonts w:ascii="Calibri" w:eastAsia="Times New Roman" w:hAnsi="Calibri"/>
        </w:rPr>
        <w:t>undergone rigorous assessment of their</w:t>
      </w:r>
      <w:r w:rsidR="0000075C" w:rsidRPr="00641D0E">
        <w:rPr>
          <w:rFonts w:ascii="Calibri" w:eastAsia="Times New Roman" w:hAnsi="Calibri"/>
        </w:rPr>
        <w:t xml:space="preserve"> systems</w:t>
      </w:r>
      <w:r w:rsidRPr="00641D0E">
        <w:rPr>
          <w:rFonts w:ascii="Calibri" w:eastAsia="Times New Roman" w:hAnsi="Calibri"/>
        </w:rPr>
        <w:t>,</w:t>
      </w:r>
      <w:r w:rsidR="0000075C" w:rsidRPr="00641D0E">
        <w:rPr>
          <w:rFonts w:ascii="Calibri" w:eastAsia="Times New Roman" w:hAnsi="Calibri"/>
        </w:rPr>
        <w:t xml:space="preserve"> processes, </w:t>
      </w:r>
      <w:r w:rsidRPr="00641D0E">
        <w:rPr>
          <w:rFonts w:ascii="Calibri" w:eastAsia="Times New Roman" w:hAnsi="Calibri"/>
        </w:rPr>
        <w:t>and track record</w:t>
      </w:r>
      <w:r w:rsidR="0000075C" w:rsidRPr="00641D0E">
        <w:rPr>
          <w:rFonts w:ascii="Calibri" w:eastAsia="Times New Roman" w:hAnsi="Calibri"/>
        </w:rPr>
        <w:t>.</w:t>
      </w:r>
      <w:r w:rsidRPr="00641D0E">
        <w:rPr>
          <w:rFonts w:ascii="Calibri" w:eastAsia="Times New Roman" w:hAnsi="Calibri"/>
        </w:rPr>
        <w:t xml:space="preserve"> These NGOs have demonstrated experience and processes to ensure adequate</w:t>
      </w:r>
      <w:r w:rsidR="0015037D" w:rsidRPr="00641D0E">
        <w:rPr>
          <w:rFonts w:ascii="Calibri" w:eastAsia="Times New Roman" w:hAnsi="Calibri"/>
        </w:rPr>
        <w:t xml:space="preserve"> protection against </w:t>
      </w:r>
      <w:r w:rsidR="0015037D" w:rsidRPr="00641D0E">
        <w:rPr>
          <w:rFonts w:ascii="Calibri" w:eastAsia="Times New Roman" w:hAnsi="Calibri"/>
          <w:b/>
        </w:rPr>
        <w:t>fraud risk</w:t>
      </w:r>
      <w:r w:rsidR="0015037D" w:rsidRPr="00641D0E">
        <w:rPr>
          <w:rFonts w:ascii="Calibri" w:eastAsia="Times New Roman" w:hAnsi="Calibri"/>
        </w:rPr>
        <w:t xml:space="preserve"> and</w:t>
      </w:r>
      <w:r w:rsidR="00112383">
        <w:rPr>
          <w:rFonts w:ascii="Calibri" w:eastAsia="Times New Roman" w:hAnsi="Calibri"/>
        </w:rPr>
        <w:t xml:space="preserve"> provide for</w:t>
      </w:r>
      <w:r w:rsidRPr="00641D0E">
        <w:rPr>
          <w:rFonts w:ascii="Calibri" w:eastAsia="Times New Roman" w:hAnsi="Calibri"/>
        </w:rPr>
        <w:t xml:space="preserve"> </w:t>
      </w:r>
      <w:r w:rsidRPr="00641D0E">
        <w:rPr>
          <w:rFonts w:ascii="Calibri" w:eastAsia="Times New Roman" w:hAnsi="Calibri"/>
          <w:b/>
        </w:rPr>
        <w:t>personnel safety</w:t>
      </w:r>
      <w:r w:rsidRPr="00641D0E">
        <w:rPr>
          <w:rFonts w:ascii="Calibri" w:eastAsia="Times New Roman" w:hAnsi="Calibri"/>
        </w:rPr>
        <w:t xml:space="preserve"> in high risk environments.</w:t>
      </w:r>
    </w:p>
    <w:p w14:paraId="0C652406" w14:textId="77777777" w:rsidR="0000075C" w:rsidRPr="00641D0E" w:rsidRDefault="0000075C" w:rsidP="00A67DC0">
      <w:pPr>
        <w:spacing w:after="240"/>
        <w:jc w:val="both"/>
        <w:rPr>
          <w:rFonts w:ascii="Calibri" w:eastAsia="Times New Roman" w:hAnsi="Calibri"/>
        </w:rPr>
      </w:pPr>
      <w:r w:rsidRPr="00641D0E">
        <w:rPr>
          <w:rFonts w:ascii="Calibri" w:eastAsia="Times New Roman" w:hAnsi="Calibri"/>
        </w:rPr>
        <w:t xml:space="preserve">The </w:t>
      </w:r>
      <w:r w:rsidR="00CD76EC">
        <w:rPr>
          <w:rFonts w:ascii="Calibri" w:eastAsia="Times New Roman" w:hAnsi="Calibri"/>
        </w:rPr>
        <w:t>partnership</w:t>
      </w:r>
      <w:r w:rsidRPr="00641D0E">
        <w:rPr>
          <w:rFonts w:ascii="Calibri" w:eastAsia="Times New Roman" w:hAnsi="Calibri"/>
        </w:rPr>
        <w:t xml:space="preserve"> is built on established structures (particularly the HRG)</w:t>
      </w:r>
      <w:r w:rsidR="00DE698B" w:rsidRPr="00641D0E">
        <w:rPr>
          <w:rFonts w:ascii="Calibri" w:eastAsia="Times New Roman" w:hAnsi="Calibri"/>
        </w:rPr>
        <w:t xml:space="preserve"> and proven long-term partners. </w:t>
      </w:r>
      <w:r w:rsidR="001D2522" w:rsidRPr="00641D0E">
        <w:rPr>
          <w:rFonts w:ascii="Calibri" w:eastAsia="Times New Roman" w:hAnsi="Calibri"/>
        </w:rPr>
        <w:t>It includes a well-resourced Support Unit to support the functioning of the partnership. These factors mitigate</w:t>
      </w:r>
      <w:r w:rsidR="00DE698B" w:rsidRPr="00641D0E">
        <w:rPr>
          <w:rFonts w:ascii="Calibri" w:eastAsia="Times New Roman" w:hAnsi="Calibri"/>
        </w:rPr>
        <w:t xml:space="preserve"> the </w:t>
      </w:r>
      <w:r w:rsidR="00DE698B" w:rsidRPr="00641D0E">
        <w:rPr>
          <w:rFonts w:ascii="Calibri" w:eastAsia="Times New Roman" w:hAnsi="Calibri"/>
          <w:b/>
        </w:rPr>
        <w:t>partnership risks</w:t>
      </w:r>
      <w:r w:rsidR="00DE698B" w:rsidRPr="00641D0E">
        <w:rPr>
          <w:rFonts w:ascii="Calibri" w:eastAsia="Times New Roman" w:hAnsi="Calibri"/>
        </w:rPr>
        <w:t xml:space="preserve"> </w:t>
      </w:r>
      <w:r w:rsidR="001D2522" w:rsidRPr="00641D0E">
        <w:rPr>
          <w:rFonts w:ascii="Calibri" w:eastAsia="Times New Roman" w:hAnsi="Calibri"/>
        </w:rPr>
        <w:t xml:space="preserve">and </w:t>
      </w:r>
      <w:r w:rsidR="001D2522" w:rsidRPr="00641D0E">
        <w:rPr>
          <w:rFonts w:ascii="Calibri" w:eastAsia="Times New Roman" w:hAnsi="Calibri"/>
          <w:b/>
        </w:rPr>
        <w:t xml:space="preserve">coordination risks </w:t>
      </w:r>
      <w:r w:rsidR="00DE698B" w:rsidRPr="00641D0E">
        <w:rPr>
          <w:rFonts w:ascii="Calibri" w:eastAsia="Times New Roman" w:hAnsi="Calibri"/>
        </w:rPr>
        <w:t xml:space="preserve">involved in a partnership </w:t>
      </w:r>
      <w:r w:rsidR="001D2522" w:rsidRPr="00641D0E">
        <w:rPr>
          <w:rFonts w:ascii="Calibri" w:eastAsia="Times New Roman" w:hAnsi="Calibri"/>
        </w:rPr>
        <w:t>of</w:t>
      </w:r>
      <w:r w:rsidR="00DE698B" w:rsidRPr="00641D0E">
        <w:rPr>
          <w:rFonts w:ascii="Calibri" w:eastAsia="Times New Roman" w:hAnsi="Calibri"/>
        </w:rPr>
        <w:t xml:space="preserve"> 16 agencies. </w:t>
      </w:r>
    </w:p>
    <w:p w14:paraId="1F23BB12" w14:textId="77777777" w:rsidR="001D2522" w:rsidRPr="00641D0E" w:rsidRDefault="001D2522" w:rsidP="00A67DC0">
      <w:pPr>
        <w:spacing w:after="240"/>
        <w:jc w:val="both"/>
        <w:rPr>
          <w:rFonts w:ascii="Calibri" w:eastAsia="Times New Roman" w:hAnsi="Calibri"/>
        </w:rPr>
      </w:pPr>
      <w:r w:rsidRPr="00641D0E">
        <w:rPr>
          <w:rFonts w:ascii="Calibri" w:eastAsia="Times New Roman" w:hAnsi="Calibri"/>
        </w:rPr>
        <w:t xml:space="preserve">The </w:t>
      </w:r>
      <w:r w:rsidR="007B4C7E">
        <w:rPr>
          <w:rFonts w:ascii="Calibri" w:eastAsia="Times New Roman" w:hAnsi="Calibri"/>
        </w:rPr>
        <w:t xml:space="preserve">Risk Register for the </w:t>
      </w:r>
      <w:r w:rsidR="00CD76EC">
        <w:rPr>
          <w:rFonts w:ascii="Calibri" w:eastAsia="Times New Roman" w:hAnsi="Calibri"/>
        </w:rPr>
        <w:t>partnership</w:t>
      </w:r>
      <w:r w:rsidR="007B4C7E">
        <w:rPr>
          <w:rFonts w:ascii="Calibri" w:eastAsia="Times New Roman" w:hAnsi="Calibri"/>
        </w:rPr>
        <w:t xml:space="preserve"> is included at </w:t>
      </w:r>
      <w:r w:rsidRPr="00D42006">
        <w:rPr>
          <w:rFonts w:ascii="Calibri" w:eastAsia="Times New Roman" w:hAnsi="Calibri"/>
          <w:b/>
          <w:u w:val="single"/>
        </w:rPr>
        <w:t xml:space="preserve">Annex </w:t>
      </w:r>
      <w:r w:rsidR="00D42006">
        <w:rPr>
          <w:rFonts w:ascii="Calibri" w:eastAsia="Times New Roman" w:hAnsi="Calibri"/>
          <w:b/>
          <w:u w:val="single"/>
        </w:rPr>
        <w:t>8</w:t>
      </w:r>
      <w:r w:rsidRPr="00641D0E">
        <w:rPr>
          <w:rFonts w:ascii="Calibri" w:eastAsia="Times New Roman" w:hAnsi="Calibri"/>
        </w:rPr>
        <w:t>.</w:t>
      </w:r>
      <w:r w:rsidR="00AF761A" w:rsidRPr="00AF761A">
        <w:rPr>
          <w:rFonts w:ascii="Calibri" w:eastAsia="Times New Roman" w:hAnsi="Calibri"/>
        </w:rPr>
        <w:t xml:space="preserve"> </w:t>
      </w:r>
      <w:r w:rsidR="00AF761A" w:rsidRPr="00641D0E">
        <w:rPr>
          <w:rFonts w:ascii="Calibri" w:eastAsia="Times New Roman" w:hAnsi="Calibri"/>
        </w:rPr>
        <w:t xml:space="preserve">The risk register will be reviewed by DFAT </w:t>
      </w:r>
      <w:r w:rsidR="00AF761A">
        <w:rPr>
          <w:rFonts w:ascii="Calibri" w:eastAsia="Times New Roman" w:hAnsi="Calibri"/>
        </w:rPr>
        <w:t xml:space="preserve">quarterly </w:t>
      </w:r>
      <w:r w:rsidR="00AF761A" w:rsidRPr="00641D0E">
        <w:rPr>
          <w:rFonts w:ascii="Calibri" w:eastAsia="Times New Roman" w:hAnsi="Calibri"/>
        </w:rPr>
        <w:t xml:space="preserve">as part of </w:t>
      </w:r>
      <w:r w:rsidR="00AF761A">
        <w:rPr>
          <w:rFonts w:ascii="Calibri" w:eastAsia="Times New Roman" w:hAnsi="Calibri"/>
        </w:rPr>
        <w:t>ongoing risk management and</w:t>
      </w:r>
      <w:r w:rsidR="00AF761A" w:rsidRPr="00641D0E">
        <w:rPr>
          <w:rFonts w:ascii="Calibri" w:eastAsia="Times New Roman" w:hAnsi="Calibri"/>
        </w:rPr>
        <w:t xml:space="preserve"> quality assurance processes.</w:t>
      </w:r>
    </w:p>
    <w:p w14:paraId="38CC608E" w14:textId="77777777" w:rsidR="00003A07" w:rsidRPr="007157F7" w:rsidRDefault="00003A07" w:rsidP="00A67DC0">
      <w:pPr>
        <w:pStyle w:val="Heading2"/>
        <w:spacing w:after="240"/>
        <w:jc w:val="both"/>
        <w:rPr>
          <w:sz w:val="24"/>
          <w:szCs w:val="24"/>
        </w:rPr>
      </w:pPr>
      <w:bookmarkStart w:id="35" w:name="_Toc448777816"/>
      <w:r w:rsidRPr="007157F7">
        <w:rPr>
          <w:sz w:val="24"/>
          <w:szCs w:val="24"/>
        </w:rPr>
        <w:t>Safeguards</w:t>
      </w:r>
      <w:bookmarkEnd w:id="35"/>
    </w:p>
    <w:p w14:paraId="13A0F836" w14:textId="77777777" w:rsidR="000D44E9" w:rsidRPr="00641D0E" w:rsidRDefault="005C0AFE" w:rsidP="00A67DC0">
      <w:pPr>
        <w:spacing w:after="240"/>
        <w:jc w:val="both"/>
        <w:rPr>
          <w:rFonts w:ascii="Calibri" w:eastAsia="Times New Roman" w:hAnsi="Calibri"/>
        </w:rPr>
      </w:pPr>
      <w:r>
        <w:rPr>
          <w:rFonts w:ascii="Calibri" w:eastAsia="Times New Roman" w:hAnsi="Calibri"/>
        </w:rPr>
        <w:t>A</w:t>
      </w:r>
      <w:r w:rsidR="000D44E9" w:rsidRPr="00641D0E">
        <w:rPr>
          <w:rFonts w:ascii="Calibri" w:eastAsia="Times New Roman" w:hAnsi="Calibri"/>
        </w:rPr>
        <w:t xml:space="preserve">ctivities under this investment have the potential to cause harm in relation </w:t>
      </w:r>
      <w:r w:rsidR="00611989" w:rsidRPr="00641D0E">
        <w:rPr>
          <w:rFonts w:ascii="Calibri" w:eastAsia="Times New Roman" w:hAnsi="Calibri"/>
        </w:rPr>
        <w:t>to child protection</w:t>
      </w:r>
      <w:r w:rsidR="000D44E9" w:rsidRPr="00641D0E">
        <w:rPr>
          <w:rFonts w:ascii="Calibri" w:eastAsia="Times New Roman" w:hAnsi="Calibri"/>
        </w:rPr>
        <w:t xml:space="preserve">. </w:t>
      </w:r>
      <w:r w:rsidR="00611989" w:rsidRPr="00641D0E">
        <w:rPr>
          <w:rFonts w:ascii="Calibri" w:eastAsia="Times New Roman" w:hAnsi="Calibri"/>
        </w:rPr>
        <w:t xml:space="preserve">Children </w:t>
      </w:r>
      <w:r w:rsidR="000D44E9" w:rsidRPr="00641D0E">
        <w:rPr>
          <w:rFonts w:ascii="Calibri" w:eastAsia="Times New Roman" w:hAnsi="Calibri"/>
        </w:rPr>
        <w:t xml:space="preserve">are particularly vulnerable during crises, and the role played by partners on the ground will potentially involve a high level of staff contact with children. The potential impact of this risk is major. In particular, there is potential for a strong negative impact on beneficiaries and their communities. There is also </w:t>
      </w:r>
      <w:r w:rsidR="00080091">
        <w:rPr>
          <w:rFonts w:ascii="Calibri" w:eastAsia="Times New Roman" w:hAnsi="Calibri"/>
        </w:rPr>
        <w:t>the possibility</w:t>
      </w:r>
      <w:r w:rsidR="000D44E9" w:rsidRPr="00641D0E">
        <w:rPr>
          <w:rFonts w:ascii="Calibri" w:eastAsia="Times New Roman" w:hAnsi="Calibri"/>
        </w:rPr>
        <w:t xml:space="preserve"> for negative impact on DFAT's reputation.</w:t>
      </w:r>
      <w:r w:rsidR="00573A66">
        <w:rPr>
          <w:rFonts w:ascii="Calibri" w:eastAsia="Times New Roman" w:hAnsi="Calibri"/>
        </w:rPr>
        <w:t xml:space="preserve"> </w:t>
      </w:r>
    </w:p>
    <w:p w14:paraId="215EF42E" w14:textId="77777777" w:rsidR="001A1B5C" w:rsidRDefault="001A1B5C" w:rsidP="00A67DC0">
      <w:pPr>
        <w:spacing w:after="240"/>
        <w:jc w:val="both"/>
        <w:rPr>
          <w:rFonts w:ascii="Calibri" w:eastAsia="Times New Roman" w:hAnsi="Calibri"/>
        </w:rPr>
      </w:pPr>
      <w:r>
        <w:rPr>
          <w:rFonts w:ascii="Calibri" w:eastAsia="Times New Roman" w:hAnsi="Calibri"/>
        </w:rPr>
        <w:t>Activities under this investment also have the potential to cause environmental harm</w:t>
      </w:r>
      <w:r w:rsidR="00681296">
        <w:rPr>
          <w:rFonts w:ascii="Calibri" w:eastAsia="Times New Roman" w:hAnsi="Calibri"/>
        </w:rPr>
        <w:t xml:space="preserve">. For example, disposal of medical waste and handling of hazardous </w:t>
      </w:r>
      <w:r w:rsidR="00681296">
        <w:rPr>
          <w:rFonts w:ascii="Calibri" w:eastAsia="Times New Roman" w:hAnsi="Calibri"/>
        </w:rPr>
        <w:lastRenderedPageBreak/>
        <w:t xml:space="preserve">construction materials such as asbestos-cement sheeting create risks that need to be appropriately managed. The </w:t>
      </w:r>
      <w:r w:rsidR="00080091">
        <w:rPr>
          <w:rFonts w:ascii="Calibri" w:eastAsia="Times New Roman" w:hAnsi="Calibri"/>
        </w:rPr>
        <w:t>potential</w:t>
      </w:r>
      <w:r w:rsidR="00681296">
        <w:rPr>
          <w:rFonts w:ascii="Calibri" w:eastAsia="Times New Roman" w:hAnsi="Calibri"/>
        </w:rPr>
        <w:t xml:space="preserve"> impact of this risk is moderate, with the possibility of negative impact on beneficiaries and DFAT's reputation.</w:t>
      </w:r>
    </w:p>
    <w:p w14:paraId="52CA43E7" w14:textId="77777777" w:rsidR="00A56FFD" w:rsidRPr="00641D0E" w:rsidRDefault="005C0AFE" w:rsidP="00A67DC0">
      <w:pPr>
        <w:spacing w:after="240"/>
        <w:jc w:val="both"/>
        <w:rPr>
          <w:rFonts w:ascii="Calibri" w:eastAsia="Times New Roman" w:hAnsi="Calibri"/>
        </w:rPr>
      </w:pPr>
      <w:r w:rsidRPr="006B604C">
        <w:rPr>
          <w:rFonts w:ascii="Calibri" w:eastAsia="Times New Roman" w:hAnsi="Calibri"/>
          <w:b/>
        </w:rPr>
        <w:t xml:space="preserve">Only ANGOs accredited to DFAT’s ANCP program will be eligible for funding through this </w:t>
      </w:r>
      <w:r w:rsidRPr="005D3B41">
        <w:rPr>
          <w:rFonts w:ascii="Calibri" w:eastAsia="Times New Roman" w:hAnsi="Calibri"/>
          <w:b/>
        </w:rPr>
        <w:t>investment</w:t>
      </w:r>
      <w:r w:rsidR="005D3B41">
        <w:rPr>
          <w:rFonts w:ascii="Calibri" w:eastAsia="Times New Roman" w:hAnsi="Calibri"/>
          <w:b/>
        </w:rPr>
        <w:t xml:space="preserve"> (along with consortia of NGOs led by an HRG-member)</w:t>
      </w:r>
      <w:r w:rsidRPr="006B604C">
        <w:rPr>
          <w:rFonts w:ascii="Calibri" w:eastAsia="Times New Roman" w:hAnsi="Calibri"/>
          <w:b/>
        </w:rPr>
        <w:t>.  ANCP a</w:t>
      </w:r>
      <w:r w:rsidR="00A56FFD" w:rsidRPr="006B604C">
        <w:rPr>
          <w:rFonts w:ascii="Calibri" w:eastAsia="Times New Roman" w:hAnsi="Calibri"/>
          <w:b/>
        </w:rPr>
        <w:t>ccredi</w:t>
      </w:r>
      <w:r w:rsidR="00B0540D" w:rsidRPr="006B604C">
        <w:rPr>
          <w:rFonts w:ascii="Calibri" w:eastAsia="Times New Roman" w:hAnsi="Calibri"/>
          <w:b/>
        </w:rPr>
        <w:t>tation is a rigorous assessment</w:t>
      </w:r>
      <w:r w:rsidR="00A56FFD" w:rsidRPr="006B604C">
        <w:rPr>
          <w:rFonts w:ascii="Calibri" w:eastAsia="Times New Roman" w:hAnsi="Calibri"/>
          <w:b/>
        </w:rPr>
        <w:t xml:space="preserve"> which examines NGOs' governance, program management capacity, partner </w:t>
      </w:r>
      <w:r w:rsidR="00B0540D" w:rsidRPr="006B604C">
        <w:rPr>
          <w:rFonts w:ascii="Calibri" w:eastAsia="Times New Roman" w:hAnsi="Calibri"/>
          <w:b/>
        </w:rPr>
        <w:t>management, and risk management –</w:t>
      </w:r>
      <w:r w:rsidR="00A56FFD" w:rsidRPr="006B604C">
        <w:rPr>
          <w:rFonts w:ascii="Calibri" w:eastAsia="Times New Roman" w:hAnsi="Calibri"/>
          <w:b/>
        </w:rPr>
        <w:t xml:space="preserve"> including capacity around, and compliance with, the main safeguard issues.</w:t>
      </w:r>
      <w:r w:rsidR="00A56FFD" w:rsidRPr="00641D0E">
        <w:rPr>
          <w:rFonts w:ascii="Calibri" w:eastAsia="Times New Roman" w:hAnsi="Calibri"/>
        </w:rPr>
        <w:t xml:space="preserve"> The competitive </w:t>
      </w:r>
      <w:r w:rsidR="00A05929">
        <w:rPr>
          <w:rFonts w:ascii="Calibri" w:eastAsia="Times New Roman" w:hAnsi="Calibri"/>
        </w:rPr>
        <w:t>procurement</w:t>
      </w:r>
      <w:r w:rsidR="00A05929" w:rsidRPr="00641D0E">
        <w:rPr>
          <w:rFonts w:ascii="Calibri" w:eastAsia="Times New Roman" w:hAnsi="Calibri"/>
        </w:rPr>
        <w:t xml:space="preserve"> </w:t>
      </w:r>
      <w:r w:rsidR="00A56FFD" w:rsidRPr="00641D0E">
        <w:rPr>
          <w:rFonts w:ascii="Calibri" w:eastAsia="Times New Roman" w:hAnsi="Calibri"/>
        </w:rPr>
        <w:t>process</w:t>
      </w:r>
      <w:r w:rsidR="003D42DE">
        <w:rPr>
          <w:rFonts w:ascii="Calibri" w:eastAsia="Times New Roman" w:hAnsi="Calibri"/>
        </w:rPr>
        <w:t>es</w:t>
      </w:r>
      <w:r w:rsidR="00A56FFD" w:rsidRPr="00641D0E">
        <w:rPr>
          <w:rFonts w:ascii="Calibri" w:eastAsia="Times New Roman" w:hAnsi="Calibri"/>
        </w:rPr>
        <w:t xml:space="preserve"> will </w:t>
      </w:r>
      <w:r w:rsidR="00A05929">
        <w:rPr>
          <w:rFonts w:ascii="Calibri" w:eastAsia="Times New Roman" w:hAnsi="Calibri"/>
        </w:rPr>
        <w:t xml:space="preserve">further </w:t>
      </w:r>
      <w:r w:rsidR="00A56FFD" w:rsidRPr="00641D0E">
        <w:rPr>
          <w:rFonts w:ascii="Calibri" w:eastAsia="Times New Roman" w:hAnsi="Calibri"/>
        </w:rPr>
        <w:t>stipulate a requirement for compliance with DFAT’s child protection standards</w:t>
      </w:r>
      <w:r w:rsidR="0068002A">
        <w:rPr>
          <w:rFonts w:ascii="Calibri" w:eastAsia="Times New Roman" w:hAnsi="Calibri"/>
        </w:rPr>
        <w:t xml:space="preserve"> and environmental safeguard systems</w:t>
      </w:r>
      <w:r w:rsidR="00A56FFD" w:rsidRPr="00641D0E">
        <w:rPr>
          <w:rFonts w:ascii="Calibri" w:eastAsia="Times New Roman" w:hAnsi="Calibri"/>
        </w:rPr>
        <w:t>, and will also assess broader protection capabilities including around gender equality and disability inclusion.</w:t>
      </w:r>
    </w:p>
    <w:p w14:paraId="349BE1CA" w14:textId="77777777" w:rsidR="00760212" w:rsidRDefault="00B0540D" w:rsidP="00A67DC0">
      <w:pPr>
        <w:spacing w:after="240"/>
        <w:jc w:val="both"/>
        <w:rPr>
          <w:rFonts w:ascii="Calibri" w:hAnsi="Calibri"/>
          <w:b/>
        </w:rPr>
      </w:pPr>
      <w:r w:rsidRPr="00641D0E">
        <w:rPr>
          <w:rFonts w:ascii="Calibri" w:eastAsia="Times New Roman" w:hAnsi="Calibri"/>
        </w:rPr>
        <w:t xml:space="preserve">During implementation, checks of compliance with DFAT's child protection </w:t>
      </w:r>
      <w:r w:rsidR="0068002A">
        <w:rPr>
          <w:rFonts w:ascii="Calibri" w:eastAsia="Times New Roman" w:hAnsi="Calibri"/>
        </w:rPr>
        <w:t xml:space="preserve">and environmental protection </w:t>
      </w:r>
      <w:r w:rsidRPr="00641D0E">
        <w:rPr>
          <w:rFonts w:ascii="Calibri" w:eastAsia="Times New Roman" w:hAnsi="Calibri"/>
        </w:rPr>
        <w:t>policies</w:t>
      </w:r>
      <w:r w:rsidR="0068002A">
        <w:rPr>
          <w:rFonts w:ascii="Calibri" w:eastAsia="Times New Roman" w:hAnsi="Calibri"/>
        </w:rPr>
        <w:t>,</w:t>
      </w:r>
      <w:r w:rsidRPr="00641D0E">
        <w:rPr>
          <w:rFonts w:ascii="Calibri" w:eastAsia="Times New Roman" w:hAnsi="Calibri"/>
        </w:rPr>
        <w:t xml:space="preserve"> and </w:t>
      </w:r>
      <w:r w:rsidR="0068002A">
        <w:rPr>
          <w:rFonts w:ascii="Calibri" w:eastAsia="Times New Roman" w:hAnsi="Calibri"/>
        </w:rPr>
        <w:t xml:space="preserve">the presence of </w:t>
      </w:r>
      <w:r w:rsidRPr="00641D0E">
        <w:rPr>
          <w:rFonts w:ascii="Calibri" w:eastAsia="Times New Roman" w:hAnsi="Calibri"/>
        </w:rPr>
        <w:t>appropriate safeguards</w:t>
      </w:r>
      <w:r w:rsidR="0068002A">
        <w:rPr>
          <w:rFonts w:ascii="Calibri" w:eastAsia="Times New Roman" w:hAnsi="Calibri"/>
        </w:rPr>
        <w:t>,</w:t>
      </w:r>
      <w:r w:rsidRPr="00641D0E">
        <w:rPr>
          <w:rFonts w:ascii="Calibri" w:eastAsia="Times New Roman" w:hAnsi="Calibri"/>
        </w:rPr>
        <w:t xml:space="preserve"> will be carried out</w:t>
      </w:r>
      <w:r w:rsidR="000D44E9" w:rsidRPr="00641D0E">
        <w:rPr>
          <w:rFonts w:ascii="Calibri" w:eastAsia="Times New Roman" w:hAnsi="Calibri"/>
        </w:rPr>
        <w:t xml:space="preserve"> as part of monitoring, eval</w:t>
      </w:r>
      <w:r w:rsidRPr="00641D0E">
        <w:rPr>
          <w:rFonts w:ascii="Calibri" w:eastAsia="Times New Roman" w:hAnsi="Calibri"/>
        </w:rPr>
        <w:t xml:space="preserve">uation and learning activities. These checks will </w:t>
      </w:r>
      <w:r w:rsidR="001C1995" w:rsidRPr="00641D0E">
        <w:rPr>
          <w:rFonts w:ascii="Calibri" w:eastAsia="Times New Roman" w:hAnsi="Calibri"/>
        </w:rPr>
        <w:t>cover</w:t>
      </w:r>
      <w:r w:rsidRPr="00641D0E">
        <w:rPr>
          <w:rFonts w:ascii="Calibri" w:eastAsia="Times New Roman" w:hAnsi="Calibri"/>
        </w:rPr>
        <w:t xml:space="preserve"> both</w:t>
      </w:r>
      <w:r w:rsidR="000D44E9" w:rsidRPr="00641D0E">
        <w:rPr>
          <w:rFonts w:ascii="Calibri" w:eastAsia="Times New Roman" w:hAnsi="Calibri"/>
        </w:rPr>
        <w:t xml:space="preserve"> </w:t>
      </w:r>
      <w:r w:rsidR="00626123">
        <w:rPr>
          <w:rFonts w:ascii="Calibri" w:eastAsia="Times New Roman" w:hAnsi="Calibri"/>
        </w:rPr>
        <w:t xml:space="preserve">funded </w:t>
      </w:r>
      <w:r w:rsidR="000D44E9" w:rsidRPr="00641D0E">
        <w:rPr>
          <w:rFonts w:ascii="Calibri" w:eastAsia="Times New Roman" w:hAnsi="Calibri"/>
        </w:rPr>
        <w:t>ANGO partners and th</w:t>
      </w:r>
      <w:r w:rsidRPr="00641D0E">
        <w:rPr>
          <w:rFonts w:ascii="Calibri" w:eastAsia="Times New Roman" w:hAnsi="Calibri"/>
        </w:rPr>
        <w:t>eir local implementing partners.</w:t>
      </w:r>
      <w:r w:rsidR="0087151A" w:rsidRPr="00641D0E">
        <w:rPr>
          <w:rFonts w:ascii="Calibri" w:eastAsia="Times New Roman" w:hAnsi="Calibri"/>
        </w:rPr>
        <w:t xml:space="preserve"> </w:t>
      </w:r>
      <w:r w:rsidR="00760212">
        <w:rPr>
          <w:rFonts w:ascii="Calibri" w:hAnsi="Calibri"/>
          <w:b/>
        </w:rPr>
        <w:br w:type="page"/>
      </w:r>
    </w:p>
    <w:p w14:paraId="5B31D94C" w14:textId="77777777" w:rsidR="0080429E" w:rsidRPr="00310A12" w:rsidRDefault="0080429E" w:rsidP="0080429E">
      <w:pPr>
        <w:pBdr>
          <w:bottom w:val="single" w:sz="4" w:space="10" w:color="CF5D27"/>
        </w:pBdr>
        <w:spacing w:before="360" w:after="280"/>
        <w:outlineLvl w:val="1"/>
        <w:rPr>
          <w:rFonts w:ascii="Calibri" w:eastAsiaTheme="majorEastAsia" w:hAnsi="Calibri" w:cstheme="majorBidi"/>
          <w:b/>
          <w:bCs/>
          <w:color w:val="757575"/>
          <w:sz w:val="50"/>
          <w:szCs w:val="26"/>
        </w:rPr>
      </w:pPr>
      <w:bookmarkStart w:id="36" w:name="_Toc448777817"/>
      <w:bookmarkStart w:id="37" w:name="_Toc423711132"/>
      <w:r>
        <w:rPr>
          <w:rFonts w:ascii="Calibri" w:eastAsiaTheme="majorEastAsia" w:hAnsi="Calibri" w:cstheme="majorBidi"/>
          <w:b/>
          <w:bCs/>
          <w:color w:val="757575"/>
          <w:sz w:val="50"/>
          <w:szCs w:val="26"/>
        </w:rPr>
        <w:lastRenderedPageBreak/>
        <w:t xml:space="preserve">Annex 1: </w:t>
      </w:r>
      <w:r w:rsidRPr="00310A12">
        <w:rPr>
          <w:rFonts w:ascii="Calibri" w:eastAsiaTheme="majorEastAsia" w:hAnsi="Calibri" w:cstheme="majorBidi"/>
          <w:b/>
          <w:bCs/>
          <w:color w:val="757575"/>
          <w:sz w:val="50"/>
          <w:szCs w:val="26"/>
        </w:rPr>
        <w:t xml:space="preserve">Lessons </w:t>
      </w:r>
      <w:r>
        <w:rPr>
          <w:rFonts w:ascii="Calibri" w:eastAsiaTheme="majorEastAsia" w:hAnsi="Calibri" w:cstheme="majorBidi"/>
          <w:b/>
          <w:bCs/>
          <w:color w:val="757575"/>
          <w:sz w:val="50"/>
          <w:szCs w:val="26"/>
        </w:rPr>
        <w:t>from the HPA Review</w:t>
      </w:r>
      <w:bookmarkEnd w:id="36"/>
      <w:r>
        <w:rPr>
          <w:rFonts w:ascii="Calibri" w:eastAsiaTheme="majorEastAsia" w:hAnsi="Calibri" w:cstheme="majorBidi"/>
          <w:b/>
          <w:bCs/>
          <w:color w:val="757575"/>
          <w:sz w:val="50"/>
          <w:szCs w:val="26"/>
        </w:rPr>
        <w:t xml:space="preserve"> </w:t>
      </w:r>
      <w:bookmarkEnd w:id="37"/>
    </w:p>
    <w:p w14:paraId="226A2D6D" w14:textId="77777777" w:rsidR="0080429E" w:rsidRPr="0080429E" w:rsidRDefault="0080429E" w:rsidP="0080429E">
      <w:pPr>
        <w:spacing w:before="120" w:after="120"/>
      </w:pPr>
      <w:r w:rsidRPr="0080429E">
        <w:t xml:space="preserve">A summary of lessons collected as part of the review of the HPA is below: </w:t>
      </w:r>
    </w:p>
    <w:p w14:paraId="5E5D68E4" w14:textId="77777777" w:rsidR="0080429E" w:rsidRPr="00A00184" w:rsidRDefault="0080429E" w:rsidP="00A00184">
      <w:pPr>
        <w:pStyle w:val="ListParagraph"/>
        <w:spacing w:before="240" w:after="240"/>
        <w:ind w:left="0"/>
        <w:rPr>
          <w:b/>
          <w:noProof/>
          <w:color w:val="595959" w:themeColor="text1" w:themeTint="A6"/>
          <w:lang w:eastAsia="en-AU"/>
        </w:rPr>
      </w:pPr>
      <w:bookmarkStart w:id="38" w:name="_Toc423711134"/>
      <w:bookmarkStart w:id="39" w:name="_Toc437723348"/>
      <w:r w:rsidRPr="00A00184">
        <w:rPr>
          <w:b/>
          <w:noProof/>
          <w:color w:val="595959" w:themeColor="text1" w:themeTint="A6"/>
          <w:lang w:eastAsia="en-AU"/>
        </w:rPr>
        <w:t>The Partnership Approach</w:t>
      </w:r>
      <w:bookmarkEnd w:id="38"/>
      <w:bookmarkEnd w:id="39"/>
    </w:p>
    <w:p w14:paraId="408DD8CE" w14:textId="77777777" w:rsidR="0080429E" w:rsidRPr="0080429E" w:rsidRDefault="0080429E" w:rsidP="00EC5B86">
      <w:pPr>
        <w:pStyle w:val="ListParagraph"/>
        <w:numPr>
          <w:ilvl w:val="0"/>
          <w:numId w:val="11"/>
        </w:numPr>
        <w:spacing w:before="120" w:after="120" w:line="240" w:lineRule="auto"/>
        <w:rPr>
          <w:sz w:val="24"/>
          <w:szCs w:val="24"/>
        </w:rPr>
      </w:pPr>
      <w:r w:rsidRPr="0080429E">
        <w:rPr>
          <w:b/>
          <w:sz w:val="24"/>
          <w:szCs w:val="24"/>
        </w:rPr>
        <w:t>The HPA emphasis on collaborative relationships between trusted and respected partners has delivered good outcomes</w:t>
      </w:r>
      <w:r w:rsidRPr="0080429E">
        <w:rPr>
          <w:sz w:val="24"/>
          <w:szCs w:val="24"/>
        </w:rPr>
        <w:t xml:space="preserve">. The partnership has matured over the life of the HPA. The HPA experience should be seen as a basis on which to build. </w:t>
      </w:r>
    </w:p>
    <w:p w14:paraId="1CC338D8" w14:textId="77777777" w:rsidR="0080429E" w:rsidRPr="0080429E" w:rsidRDefault="0080429E" w:rsidP="00EC5B86">
      <w:pPr>
        <w:pStyle w:val="ListParagraph"/>
        <w:numPr>
          <w:ilvl w:val="0"/>
          <w:numId w:val="11"/>
        </w:numPr>
        <w:spacing w:before="120" w:after="120" w:line="240" w:lineRule="auto"/>
        <w:rPr>
          <w:sz w:val="24"/>
          <w:szCs w:val="24"/>
        </w:rPr>
      </w:pPr>
      <w:r w:rsidRPr="0080429E">
        <w:rPr>
          <w:b/>
          <w:sz w:val="24"/>
          <w:szCs w:val="24"/>
        </w:rPr>
        <w:t>Clarity of purpose is critical to effective partnerships</w:t>
      </w:r>
      <w:r w:rsidRPr="0080429E">
        <w:rPr>
          <w:sz w:val="24"/>
          <w:szCs w:val="24"/>
        </w:rPr>
        <w:t xml:space="preserve">. It is important that all partners share a common understanding of the partnership’s purpose, its collective value, and the roles, responsibilities and accountabilities of each partner.  </w:t>
      </w:r>
    </w:p>
    <w:p w14:paraId="0868806D" w14:textId="77777777" w:rsidR="0080429E" w:rsidRPr="0080429E" w:rsidRDefault="0080429E" w:rsidP="00EC5B86">
      <w:pPr>
        <w:pStyle w:val="ListParagraph"/>
        <w:numPr>
          <w:ilvl w:val="0"/>
          <w:numId w:val="11"/>
        </w:numPr>
        <w:spacing w:before="120" w:after="120" w:line="240" w:lineRule="auto"/>
        <w:rPr>
          <w:sz w:val="24"/>
          <w:szCs w:val="24"/>
        </w:rPr>
      </w:pPr>
      <w:r w:rsidRPr="0080429E">
        <w:rPr>
          <w:b/>
          <w:sz w:val="24"/>
          <w:szCs w:val="24"/>
        </w:rPr>
        <w:t>Effective partnerships take time</w:t>
      </w:r>
      <w:r w:rsidRPr="0080429E">
        <w:rPr>
          <w:sz w:val="24"/>
          <w:szCs w:val="24"/>
        </w:rPr>
        <w:t>, and require: shared objectives but also an understanding of those objectives which are not shared; positive relationships; risk sharing; and a commitment to trust and equity within the partnership.</w:t>
      </w:r>
    </w:p>
    <w:p w14:paraId="2C1393CA" w14:textId="77777777" w:rsidR="0080429E" w:rsidRPr="0080429E" w:rsidRDefault="0080429E" w:rsidP="00EC5B86">
      <w:pPr>
        <w:pStyle w:val="ListParagraph"/>
        <w:numPr>
          <w:ilvl w:val="0"/>
          <w:numId w:val="11"/>
        </w:numPr>
        <w:spacing w:before="120" w:after="120" w:line="240" w:lineRule="auto"/>
        <w:rPr>
          <w:sz w:val="24"/>
          <w:szCs w:val="24"/>
        </w:rPr>
      </w:pPr>
      <w:r w:rsidRPr="0080429E">
        <w:rPr>
          <w:b/>
          <w:sz w:val="24"/>
          <w:szCs w:val="24"/>
        </w:rPr>
        <w:t>Ongoing care must be taken in balancing relationships between HPA partners, the broader HRG and ACFID</w:t>
      </w:r>
      <w:r w:rsidRPr="0080429E">
        <w:rPr>
          <w:sz w:val="24"/>
          <w:szCs w:val="24"/>
        </w:rPr>
        <w:t>. There is need to clarify the appropriate channels for, and objectives of, the strategic dialogue. An overarching document that gives clarity on roles, responsibilities and communication between these various stakeholders would be valuable.</w:t>
      </w:r>
      <w:r w:rsidRPr="0080429E">
        <w:rPr>
          <w:sz w:val="24"/>
          <w:szCs w:val="24"/>
          <w:vertAlign w:val="superscript"/>
        </w:rPr>
        <w:footnoteReference w:id="52"/>
      </w:r>
    </w:p>
    <w:p w14:paraId="06197D16" w14:textId="77777777" w:rsidR="0080429E" w:rsidRPr="0080429E" w:rsidRDefault="0080429E" w:rsidP="00EC5B86">
      <w:pPr>
        <w:pStyle w:val="ListParagraph"/>
        <w:numPr>
          <w:ilvl w:val="0"/>
          <w:numId w:val="11"/>
        </w:numPr>
        <w:spacing w:before="120" w:after="120" w:line="240" w:lineRule="auto"/>
        <w:rPr>
          <w:sz w:val="24"/>
          <w:szCs w:val="24"/>
        </w:rPr>
      </w:pPr>
      <w:r w:rsidRPr="0080429E">
        <w:rPr>
          <w:b/>
          <w:sz w:val="24"/>
          <w:szCs w:val="24"/>
        </w:rPr>
        <w:t>Regular and transparent communication between partners is important</w:t>
      </w:r>
      <w:r w:rsidRPr="0080429E">
        <w:rPr>
          <w:sz w:val="24"/>
          <w:szCs w:val="24"/>
        </w:rPr>
        <w:t xml:space="preserve"> for maintaining effectiveness and efficiency.</w:t>
      </w:r>
    </w:p>
    <w:p w14:paraId="1AE05A29" w14:textId="77777777" w:rsidR="0080429E" w:rsidRPr="0080429E" w:rsidRDefault="0080429E" w:rsidP="00EC5B86">
      <w:pPr>
        <w:pStyle w:val="ListParagraph"/>
        <w:numPr>
          <w:ilvl w:val="0"/>
          <w:numId w:val="11"/>
        </w:numPr>
        <w:spacing w:before="120" w:after="120" w:line="240" w:lineRule="auto"/>
        <w:rPr>
          <w:sz w:val="24"/>
          <w:szCs w:val="24"/>
        </w:rPr>
      </w:pPr>
      <w:r w:rsidRPr="0080429E">
        <w:rPr>
          <w:b/>
          <w:sz w:val="24"/>
          <w:szCs w:val="24"/>
        </w:rPr>
        <w:t>The HPA fosters competition as well as collaboration</w:t>
      </w:r>
      <w:r w:rsidRPr="0080429E">
        <w:rPr>
          <w:sz w:val="24"/>
          <w:szCs w:val="24"/>
        </w:rPr>
        <w:t>.</w:t>
      </w:r>
      <w:r w:rsidRPr="0080429E">
        <w:rPr>
          <w:sz w:val="24"/>
          <w:szCs w:val="24"/>
          <w:vertAlign w:val="superscript"/>
        </w:rPr>
        <w:t xml:space="preserve"> </w:t>
      </w:r>
      <w:r w:rsidRPr="0080429E">
        <w:rPr>
          <w:sz w:val="24"/>
          <w:szCs w:val="24"/>
        </w:rPr>
        <w:t>The peer review makes use of partner expertise to improve the quality of response designs. However, it also places partners in a position where they are expected to be objective while they are under pressure to secure funding, compromising the integrity of the process and quality of the relationships.</w:t>
      </w:r>
    </w:p>
    <w:p w14:paraId="2BEF8DF8" w14:textId="77777777" w:rsidR="0080429E" w:rsidRPr="000D5C73" w:rsidRDefault="0080429E" w:rsidP="00A00184">
      <w:pPr>
        <w:pStyle w:val="ListParagraph"/>
        <w:numPr>
          <w:ilvl w:val="0"/>
          <w:numId w:val="11"/>
        </w:numPr>
        <w:spacing w:before="120" w:after="120" w:line="240" w:lineRule="auto"/>
        <w:ind w:left="357" w:hanging="357"/>
        <w:rPr>
          <w:vertAlign w:val="superscript"/>
        </w:rPr>
      </w:pPr>
      <w:r w:rsidRPr="00A00184">
        <w:rPr>
          <w:b/>
          <w:sz w:val="24"/>
          <w:szCs w:val="24"/>
        </w:rPr>
        <w:t>The level of awareness of the HPA</w:t>
      </w:r>
      <w:r w:rsidRPr="00A00184">
        <w:rPr>
          <w:sz w:val="24"/>
          <w:szCs w:val="24"/>
        </w:rPr>
        <w:t xml:space="preserve"> among the various sections of DFAT (including posts) impacts (positively and negatively) on the effectiveness and efficiency of the mechanism.</w:t>
      </w:r>
      <w:r w:rsidRPr="00A00184">
        <w:rPr>
          <w:sz w:val="20"/>
          <w:szCs w:val="20"/>
          <w:vertAlign w:val="superscript"/>
        </w:rPr>
        <w:footnoteReference w:id="53"/>
      </w:r>
      <w:r w:rsidRPr="00A00184">
        <w:rPr>
          <w:sz w:val="20"/>
          <w:szCs w:val="20"/>
        </w:rPr>
        <w:t xml:space="preserve"> </w:t>
      </w:r>
      <w:r w:rsidRPr="00A00184">
        <w:rPr>
          <w:sz w:val="24"/>
          <w:szCs w:val="24"/>
        </w:rPr>
        <w:t xml:space="preserve">Deployment of DFAT </w:t>
      </w:r>
      <w:r w:rsidR="00322283">
        <w:rPr>
          <w:sz w:val="24"/>
          <w:szCs w:val="24"/>
        </w:rPr>
        <w:t>Crisis</w:t>
      </w:r>
      <w:r w:rsidR="00322283" w:rsidRPr="00A00184">
        <w:rPr>
          <w:sz w:val="24"/>
          <w:szCs w:val="24"/>
        </w:rPr>
        <w:t xml:space="preserve"> </w:t>
      </w:r>
      <w:r w:rsidRPr="00A00184">
        <w:rPr>
          <w:sz w:val="24"/>
          <w:szCs w:val="24"/>
        </w:rPr>
        <w:t>Response Team members assisted in mitigating this issue</w:t>
      </w:r>
      <w:r w:rsidRPr="000D5C73">
        <w:t>.</w:t>
      </w:r>
      <w:r w:rsidRPr="00A00184">
        <w:rPr>
          <w:sz w:val="20"/>
          <w:szCs w:val="20"/>
          <w:vertAlign w:val="superscript"/>
        </w:rPr>
        <w:footnoteReference w:id="54"/>
      </w:r>
      <w:r w:rsidRPr="000D5C73">
        <w:t xml:space="preserve"> </w:t>
      </w:r>
    </w:p>
    <w:p w14:paraId="202629FA" w14:textId="77777777" w:rsidR="0080429E" w:rsidRPr="0080429E" w:rsidRDefault="0080429E" w:rsidP="00EC5B86">
      <w:pPr>
        <w:pStyle w:val="ListParagraph"/>
        <w:numPr>
          <w:ilvl w:val="0"/>
          <w:numId w:val="11"/>
        </w:numPr>
        <w:spacing w:before="120" w:after="120" w:line="240" w:lineRule="auto"/>
        <w:rPr>
          <w:sz w:val="24"/>
          <w:szCs w:val="24"/>
        </w:rPr>
      </w:pPr>
      <w:r w:rsidRPr="0080429E">
        <w:rPr>
          <w:b/>
          <w:sz w:val="24"/>
          <w:szCs w:val="24"/>
        </w:rPr>
        <w:t>There are often large, capable non-HPA partners working on the ground that could be consulted with</w:t>
      </w:r>
      <w:r w:rsidRPr="0080429E">
        <w:rPr>
          <w:sz w:val="24"/>
          <w:szCs w:val="24"/>
        </w:rPr>
        <w:t xml:space="preserve">, and may be in a position to add-value to Australia’s collective humanitarian response. Non-HPA NGOs note that they are also partners of DFAT. </w:t>
      </w:r>
    </w:p>
    <w:p w14:paraId="73252F36" w14:textId="77777777" w:rsidR="0080429E" w:rsidRPr="0080429E" w:rsidRDefault="0080429E" w:rsidP="00EC5B86">
      <w:pPr>
        <w:pStyle w:val="ListParagraph"/>
        <w:numPr>
          <w:ilvl w:val="0"/>
          <w:numId w:val="11"/>
        </w:numPr>
        <w:spacing w:before="120" w:after="120" w:line="240" w:lineRule="auto"/>
        <w:rPr>
          <w:sz w:val="24"/>
          <w:szCs w:val="24"/>
        </w:rPr>
      </w:pPr>
      <w:r w:rsidRPr="0080429E">
        <w:rPr>
          <w:b/>
          <w:sz w:val="24"/>
          <w:szCs w:val="24"/>
        </w:rPr>
        <w:t>Shared learning events work well when they focus on the quality</w:t>
      </w:r>
      <w:r w:rsidRPr="0080429E">
        <w:rPr>
          <w:sz w:val="24"/>
          <w:szCs w:val="24"/>
        </w:rPr>
        <w:t xml:space="preserve"> of the response and/or programming (in addition to the process), and are inclusive of the full sector as represented by the HRG. </w:t>
      </w:r>
    </w:p>
    <w:p w14:paraId="7491312F" w14:textId="77777777" w:rsidR="0080429E" w:rsidRPr="00310A12" w:rsidRDefault="0080429E" w:rsidP="0080429E">
      <w:pPr>
        <w:spacing w:before="120" w:after="120"/>
        <w:ind w:left="720"/>
      </w:pPr>
    </w:p>
    <w:p w14:paraId="0118E0F9" w14:textId="77777777" w:rsidR="0080429E" w:rsidRPr="00A00184" w:rsidRDefault="0080429E" w:rsidP="00A00184">
      <w:pPr>
        <w:pStyle w:val="ListParagraph"/>
        <w:spacing w:before="240" w:after="240"/>
        <w:ind w:left="0"/>
        <w:rPr>
          <w:b/>
          <w:noProof/>
          <w:color w:val="595959" w:themeColor="text1" w:themeTint="A6"/>
          <w:lang w:eastAsia="en-AU"/>
        </w:rPr>
      </w:pPr>
      <w:bookmarkStart w:id="40" w:name="_Toc423711135"/>
      <w:bookmarkStart w:id="41" w:name="_Toc437723349"/>
      <w:r w:rsidRPr="00A00184">
        <w:rPr>
          <w:b/>
          <w:noProof/>
          <w:color w:val="595959" w:themeColor="text1" w:themeTint="A6"/>
          <w:lang w:eastAsia="en-AU"/>
        </w:rPr>
        <w:t>Efficiency and Effectiveness of the HPA Mechansim</w:t>
      </w:r>
      <w:bookmarkEnd w:id="40"/>
      <w:bookmarkEnd w:id="41"/>
    </w:p>
    <w:p w14:paraId="327B5E8A" w14:textId="77777777" w:rsidR="0080429E" w:rsidRPr="0080429E" w:rsidRDefault="0080429E" w:rsidP="00EC5B86">
      <w:pPr>
        <w:pStyle w:val="ListParagraph"/>
        <w:numPr>
          <w:ilvl w:val="0"/>
          <w:numId w:val="12"/>
        </w:numPr>
        <w:spacing w:before="120" w:after="120" w:line="240" w:lineRule="auto"/>
        <w:rPr>
          <w:sz w:val="24"/>
          <w:szCs w:val="24"/>
        </w:rPr>
      </w:pPr>
      <w:r w:rsidRPr="0080429E">
        <w:rPr>
          <w:b/>
          <w:sz w:val="24"/>
          <w:szCs w:val="24"/>
        </w:rPr>
        <w:t>The mechanism is best suited to rapid onset crises. I</w:t>
      </w:r>
      <w:r w:rsidRPr="0080429E">
        <w:rPr>
          <w:sz w:val="24"/>
          <w:szCs w:val="24"/>
        </w:rPr>
        <w:t>nitial distributions based on 'coarse' needs assessment data (largely informed by prior experience) enable essential items to be provided quickly. Using this contact with affected communities to enable a more detailed needs assessment proved an effective approach.</w:t>
      </w:r>
      <w:r w:rsidRPr="0080429E">
        <w:rPr>
          <w:sz w:val="24"/>
          <w:szCs w:val="24"/>
          <w:vertAlign w:val="superscript"/>
        </w:rPr>
        <w:footnoteReference w:id="55"/>
      </w:r>
    </w:p>
    <w:p w14:paraId="41E6A2CF" w14:textId="77777777" w:rsidR="0080429E" w:rsidRPr="0080429E" w:rsidRDefault="0080429E" w:rsidP="00EC5B86">
      <w:pPr>
        <w:pStyle w:val="ListParagraph"/>
        <w:numPr>
          <w:ilvl w:val="0"/>
          <w:numId w:val="12"/>
        </w:numPr>
        <w:spacing w:before="120" w:after="120" w:line="240" w:lineRule="auto"/>
        <w:rPr>
          <w:sz w:val="24"/>
          <w:szCs w:val="24"/>
        </w:rPr>
      </w:pPr>
      <w:r w:rsidRPr="0080429E">
        <w:rPr>
          <w:b/>
          <w:sz w:val="24"/>
          <w:szCs w:val="24"/>
        </w:rPr>
        <w:t>The eight week window built into the HPA enhances the planning process</w:t>
      </w:r>
      <w:r w:rsidRPr="0080429E">
        <w:rPr>
          <w:sz w:val="24"/>
          <w:szCs w:val="24"/>
        </w:rPr>
        <w:t>. This enables in-country partners to collect substantive information in the start-up phase.</w:t>
      </w:r>
    </w:p>
    <w:p w14:paraId="4800B9E6" w14:textId="77777777" w:rsidR="0080429E" w:rsidRPr="0080429E" w:rsidRDefault="0080429E" w:rsidP="00EC5B86">
      <w:pPr>
        <w:pStyle w:val="ListParagraph"/>
        <w:numPr>
          <w:ilvl w:val="0"/>
          <w:numId w:val="12"/>
        </w:numPr>
        <w:spacing w:before="120" w:after="120" w:line="240" w:lineRule="auto"/>
        <w:rPr>
          <w:sz w:val="24"/>
          <w:szCs w:val="24"/>
        </w:rPr>
      </w:pPr>
      <w:r w:rsidRPr="0080429E">
        <w:rPr>
          <w:b/>
          <w:sz w:val="24"/>
          <w:szCs w:val="24"/>
        </w:rPr>
        <w:t>The HPA was not designed for slow onset and protracted crises, yet adaptations have occurred</w:t>
      </w:r>
      <w:r w:rsidRPr="0080429E">
        <w:rPr>
          <w:sz w:val="24"/>
          <w:szCs w:val="24"/>
        </w:rPr>
        <w:t xml:space="preserve"> over the course of the partnership making it more ‘fit-for-purpose’.</w:t>
      </w:r>
      <w:r w:rsidRPr="0080429E">
        <w:rPr>
          <w:sz w:val="24"/>
          <w:szCs w:val="24"/>
          <w:vertAlign w:val="superscript"/>
        </w:rPr>
        <w:footnoteReference w:id="56"/>
      </w:r>
      <w:r w:rsidRPr="0080429E">
        <w:rPr>
          <w:sz w:val="24"/>
          <w:szCs w:val="24"/>
        </w:rPr>
        <w:t xml:space="preserve"> </w:t>
      </w:r>
    </w:p>
    <w:p w14:paraId="5EE894DA" w14:textId="77777777" w:rsidR="0080429E" w:rsidRPr="0080429E" w:rsidRDefault="0080429E" w:rsidP="00EC5B86">
      <w:pPr>
        <w:pStyle w:val="ListParagraph"/>
        <w:numPr>
          <w:ilvl w:val="0"/>
          <w:numId w:val="12"/>
        </w:numPr>
        <w:spacing w:before="120" w:after="120" w:line="240" w:lineRule="auto"/>
        <w:rPr>
          <w:sz w:val="24"/>
          <w:szCs w:val="24"/>
        </w:rPr>
      </w:pPr>
      <w:r w:rsidRPr="0080429E">
        <w:rPr>
          <w:b/>
          <w:sz w:val="24"/>
          <w:szCs w:val="24"/>
        </w:rPr>
        <w:t>In protracted crises, DFAT country programs can usefully be involved in decision-making</w:t>
      </w:r>
      <w:r w:rsidRPr="0080429E">
        <w:rPr>
          <w:sz w:val="24"/>
          <w:szCs w:val="24"/>
        </w:rPr>
        <w:t xml:space="preserve"> </w:t>
      </w:r>
      <w:r w:rsidRPr="0080429E">
        <w:rPr>
          <w:b/>
          <w:sz w:val="24"/>
          <w:szCs w:val="24"/>
        </w:rPr>
        <w:t>from the beginning</w:t>
      </w:r>
      <w:r w:rsidRPr="0080429E">
        <w:rPr>
          <w:sz w:val="24"/>
          <w:szCs w:val="24"/>
        </w:rPr>
        <w:t xml:space="preserve">, and decision-making processes should be appropriate to the timeframes (e.g. through including an independent technical assessment of proposals). </w:t>
      </w:r>
    </w:p>
    <w:p w14:paraId="1BA36968" w14:textId="77777777" w:rsidR="0080429E" w:rsidRPr="0080429E" w:rsidRDefault="0080429E" w:rsidP="00EC5B86">
      <w:pPr>
        <w:pStyle w:val="ListParagraph"/>
        <w:numPr>
          <w:ilvl w:val="0"/>
          <w:numId w:val="12"/>
        </w:numPr>
        <w:spacing w:before="120" w:after="120" w:line="240" w:lineRule="auto"/>
        <w:rPr>
          <w:sz w:val="24"/>
          <w:szCs w:val="24"/>
        </w:rPr>
      </w:pPr>
      <w:r w:rsidRPr="0080429E">
        <w:rPr>
          <w:b/>
          <w:sz w:val="24"/>
          <w:szCs w:val="24"/>
        </w:rPr>
        <w:t>A separate mechanism (or funding window) for slow-onset and protracted crises could allow for more appropriate decision-making</w:t>
      </w:r>
      <w:r w:rsidRPr="0080429E">
        <w:rPr>
          <w:sz w:val="24"/>
          <w:szCs w:val="24"/>
        </w:rPr>
        <w:t xml:space="preserve"> and response timeframes, as well as targeted selection of the most appropriate partners for specific response types.</w:t>
      </w:r>
    </w:p>
    <w:p w14:paraId="670F7812" w14:textId="77777777" w:rsidR="0080429E" w:rsidRPr="0080429E" w:rsidRDefault="0080429E" w:rsidP="00EC5B86">
      <w:pPr>
        <w:pStyle w:val="ListParagraph"/>
        <w:numPr>
          <w:ilvl w:val="0"/>
          <w:numId w:val="12"/>
        </w:numPr>
        <w:spacing w:before="120" w:after="120" w:line="240" w:lineRule="auto"/>
        <w:rPr>
          <w:sz w:val="24"/>
          <w:szCs w:val="24"/>
        </w:rPr>
      </w:pPr>
      <w:r w:rsidRPr="0080429E">
        <w:rPr>
          <w:b/>
          <w:sz w:val="24"/>
          <w:szCs w:val="24"/>
        </w:rPr>
        <w:t xml:space="preserve">Capacity mapping procedures, </w:t>
      </w:r>
      <w:r w:rsidRPr="0080429E">
        <w:rPr>
          <w:sz w:val="24"/>
          <w:szCs w:val="24"/>
        </w:rPr>
        <w:t>presenting an up-to-date, verified picture of the nature of existing presence and capacity could support better decision-making.</w:t>
      </w:r>
    </w:p>
    <w:p w14:paraId="577E3AB5" w14:textId="77777777" w:rsidR="0080429E" w:rsidRPr="0080429E" w:rsidRDefault="0080429E" w:rsidP="00EC5B86">
      <w:pPr>
        <w:pStyle w:val="ListParagraph"/>
        <w:numPr>
          <w:ilvl w:val="0"/>
          <w:numId w:val="12"/>
        </w:numPr>
        <w:spacing w:before="120" w:after="120" w:line="240" w:lineRule="auto"/>
        <w:rPr>
          <w:sz w:val="24"/>
          <w:szCs w:val="24"/>
        </w:rPr>
      </w:pPr>
      <w:r w:rsidRPr="0080429E">
        <w:rPr>
          <w:b/>
          <w:sz w:val="24"/>
          <w:szCs w:val="24"/>
        </w:rPr>
        <w:t>There is potential value in developing a system among partners to trigger discussions about early warning signs</w:t>
      </w:r>
      <w:r w:rsidRPr="0080429E">
        <w:rPr>
          <w:sz w:val="24"/>
          <w:szCs w:val="24"/>
        </w:rPr>
        <w:t xml:space="preserve"> (such as the Ebola crisis) to ensure timeliness of response. </w:t>
      </w:r>
    </w:p>
    <w:p w14:paraId="209F0860" w14:textId="77777777" w:rsidR="0080429E" w:rsidRPr="0080429E" w:rsidRDefault="0080429E" w:rsidP="00EC5B86">
      <w:pPr>
        <w:pStyle w:val="ListParagraph"/>
        <w:numPr>
          <w:ilvl w:val="0"/>
          <w:numId w:val="12"/>
        </w:numPr>
        <w:spacing w:before="120" w:after="120" w:line="240" w:lineRule="auto"/>
        <w:rPr>
          <w:sz w:val="24"/>
          <w:szCs w:val="24"/>
        </w:rPr>
      </w:pPr>
      <w:r w:rsidRPr="0080429E">
        <w:rPr>
          <w:b/>
          <w:sz w:val="24"/>
          <w:szCs w:val="24"/>
        </w:rPr>
        <w:t>HPA funding is particularly valuable to partners in crises in which it is difficult to secure public funding</w:t>
      </w:r>
      <w:r w:rsidRPr="0080429E">
        <w:rPr>
          <w:sz w:val="24"/>
          <w:szCs w:val="24"/>
        </w:rPr>
        <w:t>. The transaction costs are more acceptable to partners in cases where other funding is difficult to obtain (i.e. Horn of Africa and Syrian crises).</w:t>
      </w:r>
    </w:p>
    <w:p w14:paraId="1010FD74" w14:textId="77777777" w:rsidR="0080429E" w:rsidRPr="0080429E" w:rsidRDefault="0080429E" w:rsidP="00EC5B86">
      <w:pPr>
        <w:pStyle w:val="ListParagraph"/>
        <w:numPr>
          <w:ilvl w:val="0"/>
          <w:numId w:val="12"/>
        </w:numPr>
        <w:spacing w:before="120" w:after="120" w:line="240" w:lineRule="auto"/>
        <w:rPr>
          <w:sz w:val="24"/>
          <w:szCs w:val="24"/>
        </w:rPr>
      </w:pPr>
      <w:r w:rsidRPr="0080429E">
        <w:rPr>
          <w:b/>
          <w:sz w:val="24"/>
          <w:szCs w:val="24"/>
        </w:rPr>
        <w:t>Efficiency could be improved by increasing the volume of funding through the mechanism.</w:t>
      </w:r>
      <w:r w:rsidRPr="0080429E">
        <w:rPr>
          <w:sz w:val="24"/>
          <w:szCs w:val="24"/>
        </w:rPr>
        <w:t xml:space="preserve"> Conversely, if there is no appetite to increase the funding through HPA, then governance arrangements should be made less time- and resource-intensive.</w:t>
      </w:r>
    </w:p>
    <w:p w14:paraId="76D815EB" w14:textId="77777777" w:rsidR="0080429E" w:rsidRDefault="0080429E" w:rsidP="00EC5B86">
      <w:pPr>
        <w:pStyle w:val="ListParagraph"/>
        <w:numPr>
          <w:ilvl w:val="0"/>
          <w:numId w:val="12"/>
        </w:numPr>
        <w:spacing w:before="120" w:after="120" w:line="240" w:lineRule="auto"/>
        <w:rPr>
          <w:sz w:val="24"/>
          <w:szCs w:val="24"/>
        </w:rPr>
      </w:pPr>
      <w:r w:rsidRPr="0080429E">
        <w:rPr>
          <w:b/>
          <w:sz w:val="24"/>
          <w:szCs w:val="24"/>
        </w:rPr>
        <w:t xml:space="preserve">Implementing partners have appreciated the flexibility of funding, </w:t>
      </w:r>
      <w:r w:rsidRPr="0080429E">
        <w:rPr>
          <w:sz w:val="24"/>
          <w:szCs w:val="24"/>
        </w:rPr>
        <w:t xml:space="preserve">which they have used on ‘softer’ activities such as capacity building in MEL, and trialling new approaches to protection. </w:t>
      </w:r>
    </w:p>
    <w:p w14:paraId="5ACDBCD9" w14:textId="77777777" w:rsidR="00A00184" w:rsidRPr="0080429E" w:rsidRDefault="00A00184" w:rsidP="00A00184">
      <w:pPr>
        <w:pStyle w:val="ListParagraph"/>
        <w:spacing w:before="120" w:after="120" w:line="240" w:lineRule="auto"/>
        <w:ind w:left="360"/>
        <w:rPr>
          <w:sz w:val="24"/>
          <w:szCs w:val="24"/>
        </w:rPr>
      </w:pPr>
    </w:p>
    <w:p w14:paraId="21D2C100" w14:textId="77777777" w:rsidR="0080429E" w:rsidRPr="00A00184" w:rsidRDefault="0080429E" w:rsidP="00333FF4">
      <w:pPr>
        <w:pStyle w:val="ListParagraph"/>
        <w:keepNext/>
        <w:spacing w:before="240" w:after="240"/>
        <w:ind w:left="0"/>
        <w:rPr>
          <w:b/>
          <w:noProof/>
          <w:color w:val="595959" w:themeColor="text1" w:themeTint="A6"/>
          <w:lang w:eastAsia="en-AU"/>
        </w:rPr>
      </w:pPr>
      <w:bookmarkStart w:id="42" w:name="_Toc423711136"/>
      <w:bookmarkStart w:id="43" w:name="_Toc437723350"/>
      <w:r w:rsidRPr="00A00184">
        <w:rPr>
          <w:b/>
          <w:noProof/>
          <w:color w:val="595959" w:themeColor="text1" w:themeTint="A6"/>
          <w:lang w:eastAsia="en-AU"/>
        </w:rPr>
        <w:lastRenderedPageBreak/>
        <w:t>DRR and DRM Activities</w:t>
      </w:r>
      <w:bookmarkEnd w:id="42"/>
      <w:bookmarkEnd w:id="43"/>
    </w:p>
    <w:p w14:paraId="2D42F39E" w14:textId="77777777" w:rsidR="0080429E" w:rsidRPr="0080429E" w:rsidRDefault="0080429E" w:rsidP="00333FF4">
      <w:pPr>
        <w:pStyle w:val="ListParagraph"/>
        <w:keepNext/>
        <w:numPr>
          <w:ilvl w:val="0"/>
          <w:numId w:val="13"/>
        </w:numPr>
        <w:spacing w:before="120" w:after="120" w:line="240" w:lineRule="auto"/>
        <w:rPr>
          <w:sz w:val="24"/>
          <w:szCs w:val="24"/>
        </w:rPr>
      </w:pPr>
      <w:r w:rsidRPr="0080429E">
        <w:rPr>
          <w:b/>
          <w:sz w:val="24"/>
          <w:szCs w:val="24"/>
        </w:rPr>
        <w:t>Long term, predictable funding has supported partners to evolve and deepen their DRR and DRM strategies</w:t>
      </w:r>
      <w:r w:rsidRPr="0080429E">
        <w:rPr>
          <w:sz w:val="24"/>
          <w:szCs w:val="24"/>
        </w:rPr>
        <w:t xml:space="preserve"> over the four year period and has supported them to build and maintain valuable expertise in these areas. Clearer parameters around DRR and DRM funding (i.e. geographic, thematic) could help to focus activities in the future.  </w:t>
      </w:r>
    </w:p>
    <w:p w14:paraId="7C88CD56" w14:textId="77777777" w:rsidR="0080429E" w:rsidRPr="0080429E" w:rsidRDefault="0080429E" w:rsidP="00EC5B86">
      <w:pPr>
        <w:pStyle w:val="ListParagraph"/>
        <w:numPr>
          <w:ilvl w:val="0"/>
          <w:numId w:val="13"/>
        </w:numPr>
        <w:spacing w:before="120" w:after="120" w:line="240" w:lineRule="auto"/>
        <w:rPr>
          <w:sz w:val="24"/>
          <w:szCs w:val="24"/>
        </w:rPr>
      </w:pPr>
      <w:r w:rsidRPr="0080429E">
        <w:rPr>
          <w:b/>
          <w:sz w:val="24"/>
          <w:szCs w:val="24"/>
        </w:rPr>
        <w:t>NGOs are uniquely placed to implement disaster risk reduction work</w:t>
      </w:r>
      <w:r w:rsidRPr="0080429E">
        <w:rPr>
          <w:sz w:val="24"/>
          <w:szCs w:val="24"/>
        </w:rPr>
        <w:t xml:space="preserve"> across these various levels due to their relationships with communities, district and provincial level officials and national government agencies.</w:t>
      </w:r>
      <w:r w:rsidRPr="0080429E">
        <w:rPr>
          <w:sz w:val="24"/>
          <w:szCs w:val="24"/>
          <w:vertAlign w:val="superscript"/>
        </w:rPr>
        <w:footnoteReference w:id="57"/>
      </w:r>
      <w:r w:rsidRPr="0080429E">
        <w:rPr>
          <w:sz w:val="24"/>
          <w:szCs w:val="24"/>
          <w:vertAlign w:val="superscript"/>
        </w:rPr>
        <w:t xml:space="preserve"> </w:t>
      </w:r>
    </w:p>
    <w:p w14:paraId="273A4D63" w14:textId="77777777" w:rsidR="0080429E" w:rsidRPr="0080429E" w:rsidRDefault="0080429E" w:rsidP="00EC5B86">
      <w:pPr>
        <w:pStyle w:val="ListParagraph"/>
        <w:numPr>
          <w:ilvl w:val="0"/>
          <w:numId w:val="13"/>
        </w:numPr>
        <w:spacing w:before="120" w:after="120" w:line="240" w:lineRule="auto"/>
        <w:rPr>
          <w:sz w:val="24"/>
          <w:szCs w:val="24"/>
        </w:rPr>
      </w:pPr>
      <w:r w:rsidRPr="0080429E">
        <w:rPr>
          <w:b/>
          <w:sz w:val="24"/>
          <w:szCs w:val="24"/>
        </w:rPr>
        <w:t>HPA learning around DRR and DRM has been particularly valuable</w:t>
      </w:r>
      <w:r w:rsidRPr="0080429E">
        <w:rPr>
          <w:sz w:val="24"/>
          <w:szCs w:val="24"/>
        </w:rPr>
        <w:t xml:space="preserve"> as it has allowed partners to build and share expertise in a particular area over a long timeframe. However, these learnings could be used more effectively in programming and advocacy.</w:t>
      </w:r>
    </w:p>
    <w:p w14:paraId="02B78D3C" w14:textId="77777777" w:rsidR="0080429E" w:rsidRPr="0080429E" w:rsidRDefault="0080429E" w:rsidP="00EC5B86">
      <w:pPr>
        <w:pStyle w:val="ListParagraph"/>
        <w:numPr>
          <w:ilvl w:val="0"/>
          <w:numId w:val="13"/>
        </w:numPr>
        <w:spacing w:before="120" w:after="120" w:line="240" w:lineRule="auto"/>
        <w:rPr>
          <w:sz w:val="24"/>
          <w:szCs w:val="24"/>
        </w:rPr>
      </w:pPr>
      <w:r w:rsidRPr="0080429E">
        <w:rPr>
          <w:b/>
          <w:sz w:val="24"/>
          <w:szCs w:val="24"/>
        </w:rPr>
        <w:t>The DRR component could be strengthened</w:t>
      </w:r>
      <w:r w:rsidRPr="0080429E">
        <w:rPr>
          <w:sz w:val="24"/>
          <w:szCs w:val="24"/>
        </w:rPr>
        <w:t xml:space="preserve"> </w:t>
      </w:r>
      <w:r w:rsidRPr="0080429E">
        <w:rPr>
          <w:b/>
          <w:sz w:val="24"/>
          <w:szCs w:val="24"/>
        </w:rPr>
        <w:t>by dialogue with development-focused NGO</w:t>
      </w:r>
      <w:r w:rsidRPr="0080429E">
        <w:rPr>
          <w:sz w:val="24"/>
          <w:szCs w:val="24"/>
        </w:rPr>
        <w:t xml:space="preserve"> colleagues on the importance of mainstreaming DRR into development programming.</w:t>
      </w:r>
    </w:p>
    <w:p w14:paraId="56B1E819" w14:textId="77777777" w:rsidR="0080429E" w:rsidRPr="0080429E" w:rsidRDefault="0080429E" w:rsidP="00EC5B86">
      <w:pPr>
        <w:pStyle w:val="ListParagraph"/>
        <w:numPr>
          <w:ilvl w:val="0"/>
          <w:numId w:val="13"/>
        </w:numPr>
        <w:spacing w:before="120" w:after="120" w:line="240" w:lineRule="auto"/>
        <w:rPr>
          <w:sz w:val="24"/>
          <w:szCs w:val="24"/>
        </w:rPr>
      </w:pPr>
      <w:r w:rsidRPr="0080429E">
        <w:rPr>
          <w:b/>
          <w:sz w:val="24"/>
          <w:szCs w:val="24"/>
        </w:rPr>
        <w:t>The emphasis on DRR and DRM learning needs to support sector-wide learning</w:t>
      </w:r>
      <w:r w:rsidRPr="0080429E">
        <w:rPr>
          <w:sz w:val="24"/>
          <w:szCs w:val="24"/>
        </w:rPr>
        <w:t xml:space="preserve"> (rather than simply aim to bring others into HPA DRR/DRM learning events). </w:t>
      </w:r>
    </w:p>
    <w:p w14:paraId="0221F4DC" w14:textId="77777777" w:rsidR="0080429E" w:rsidRPr="0080429E" w:rsidRDefault="0080429E" w:rsidP="00EC5B86">
      <w:pPr>
        <w:pStyle w:val="ListParagraph"/>
        <w:numPr>
          <w:ilvl w:val="0"/>
          <w:numId w:val="13"/>
        </w:numPr>
        <w:spacing w:before="120" w:after="120" w:line="240" w:lineRule="auto"/>
        <w:rPr>
          <w:sz w:val="24"/>
          <w:szCs w:val="24"/>
        </w:rPr>
      </w:pPr>
      <w:r w:rsidRPr="0080429E">
        <w:rPr>
          <w:b/>
          <w:sz w:val="24"/>
          <w:szCs w:val="24"/>
        </w:rPr>
        <w:t>The HPA definition of DRM is different to the shared (UN) definition</w:t>
      </w:r>
      <w:r w:rsidRPr="0080429E">
        <w:rPr>
          <w:sz w:val="24"/>
          <w:szCs w:val="24"/>
        </w:rPr>
        <w:t xml:space="preserve">. This has created some confusion as to the focus of funding. </w:t>
      </w:r>
    </w:p>
    <w:p w14:paraId="6BBB4402" w14:textId="77777777" w:rsidR="0080429E" w:rsidRPr="0080429E" w:rsidRDefault="0080429E" w:rsidP="00080091">
      <w:pPr>
        <w:pStyle w:val="ListParagraph"/>
        <w:numPr>
          <w:ilvl w:val="0"/>
          <w:numId w:val="13"/>
        </w:numPr>
        <w:spacing w:before="120" w:after="120" w:line="240" w:lineRule="auto"/>
        <w:ind w:left="357" w:hanging="357"/>
        <w:rPr>
          <w:sz w:val="24"/>
          <w:szCs w:val="24"/>
        </w:rPr>
      </w:pPr>
      <w:r w:rsidRPr="0080429E">
        <w:rPr>
          <w:sz w:val="24"/>
          <w:szCs w:val="24"/>
        </w:rPr>
        <w:t>There would be value in ensuring that the</w:t>
      </w:r>
      <w:r w:rsidRPr="0080429E">
        <w:rPr>
          <w:b/>
          <w:sz w:val="24"/>
          <w:szCs w:val="24"/>
        </w:rPr>
        <w:t xml:space="preserve"> DRR funding within the HPA forms part of a coordinated, strategic approach </w:t>
      </w:r>
      <w:r w:rsidRPr="0080429E">
        <w:rPr>
          <w:sz w:val="24"/>
          <w:szCs w:val="24"/>
        </w:rPr>
        <w:t>to DRR by DFAT.</w:t>
      </w:r>
    </w:p>
    <w:p w14:paraId="0A2CE164" w14:textId="77777777" w:rsidR="0080429E" w:rsidRPr="00080091" w:rsidRDefault="0080429E" w:rsidP="00080091">
      <w:pPr>
        <w:pStyle w:val="ListParagraph"/>
        <w:numPr>
          <w:ilvl w:val="0"/>
          <w:numId w:val="13"/>
        </w:numPr>
        <w:spacing w:before="120"/>
        <w:rPr>
          <w:sz w:val="24"/>
          <w:szCs w:val="24"/>
        </w:rPr>
      </w:pPr>
      <w:r w:rsidRPr="00080091">
        <w:rPr>
          <w:b/>
          <w:sz w:val="24"/>
          <w:szCs w:val="24"/>
        </w:rPr>
        <w:t xml:space="preserve">It is important to promote and strengthen links </w:t>
      </w:r>
      <w:r w:rsidRPr="00080091">
        <w:rPr>
          <w:sz w:val="24"/>
          <w:szCs w:val="24"/>
        </w:rPr>
        <w:t>between DRR, DRM and response.</w:t>
      </w:r>
      <w:r w:rsidRPr="00080091">
        <w:rPr>
          <w:sz w:val="24"/>
          <w:szCs w:val="24"/>
          <w:vertAlign w:val="superscript"/>
        </w:rPr>
        <w:footnoteReference w:id="58"/>
      </w:r>
    </w:p>
    <w:p w14:paraId="76CF69A7" w14:textId="77777777" w:rsidR="00A00184" w:rsidRPr="00310A12" w:rsidRDefault="00A00184" w:rsidP="00A00184">
      <w:pPr>
        <w:pStyle w:val="ListParagraph"/>
        <w:spacing w:before="120" w:after="120" w:line="240" w:lineRule="auto"/>
        <w:ind w:left="360"/>
      </w:pPr>
    </w:p>
    <w:p w14:paraId="0E1531F1" w14:textId="77777777" w:rsidR="0080429E" w:rsidRPr="00A00184" w:rsidRDefault="0080429E" w:rsidP="00A00184">
      <w:pPr>
        <w:pStyle w:val="ListParagraph"/>
        <w:spacing w:before="240" w:after="240"/>
        <w:ind w:left="0"/>
        <w:rPr>
          <w:b/>
          <w:noProof/>
          <w:color w:val="595959" w:themeColor="text1" w:themeTint="A6"/>
          <w:lang w:eastAsia="en-AU"/>
        </w:rPr>
      </w:pPr>
      <w:bookmarkStart w:id="44" w:name="_Toc423711137"/>
      <w:bookmarkStart w:id="45" w:name="_Toc437723351"/>
      <w:r w:rsidRPr="00A00184">
        <w:rPr>
          <w:b/>
          <w:noProof/>
          <w:color w:val="595959" w:themeColor="text1" w:themeTint="A6"/>
          <w:lang w:eastAsia="en-AU"/>
        </w:rPr>
        <w:t>Monitoring, Evaluation and Learning</w:t>
      </w:r>
      <w:bookmarkEnd w:id="44"/>
      <w:bookmarkEnd w:id="45"/>
      <w:r w:rsidRPr="00A00184">
        <w:rPr>
          <w:b/>
          <w:noProof/>
          <w:color w:val="595959" w:themeColor="text1" w:themeTint="A6"/>
          <w:lang w:eastAsia="en-AU"/>
        </w:rPr>
        <w:t xml:space="preserve"> </w:t>
      </w:r>
    </w:p>
    <w:p w14:paraId="5E29B135" w14:textId="77777777" w:rsidR="0080429E" w:rsidRPr="0080429E" w:rsidRDefault="0080429E" w:rsidP="00EC5B86">
      <w:pPr>
        <w:pStyle w:val="ListParagraph"/>
        <w:numPr>
          <w:ilvl w:val="0"/>
          <w:numId w:val="14"/>
        </w:numPr>
        <w:spacing w:before="120" w:after="120" w:line="240" w:lineRule="auto"/>
        <w:rPr>
          <w:sz w:val="24"/>
          <w:szCs w:val="24"/>
        </w:rPr>
      </w:pPr>
      <w:r w:rsidRPr="0080429E">
        <w:rPr>
          <w:b/>
          <w:sz w:val="24"/>
          <w:szCs w:val="24"/>
        </w:rPr>
        <w:t>The lack of a clear overarching monitoring, evaluation and learning framework</w:t>
      </w:r>
      <w:r w:rsidRPr="0080429E">
        <w:rPr>
          <w:sz w:val="24"/>
          <w:szCs w:val="24"/>
        </w:rPr>
        <w:t xml:space="preserve"> for the HPA has constrained its ability to articulate the value of the partnership. </w:t>
      </w:r>
    </w:p>
    <w:p w14:paraId="0080231D" w14:textId="77777777" w:rsidR="0080429E" w:rsidRPr="0080429E" w:rsidRDefault="0080429E" w:rsidP="00EC5B86">
      <w:pPr>
        <w:pStyle w:val="ListParagraph"/>
        <w:numPr>
          <w:ilvl w:val="0"/>
          <w:numId w:val="14"/>
        </w:numPr>
        <w:spacing w:before="120" w:after="120" w:line="240" w:lineRule="auto"/>
        <w:rPr>
          <w:sz w:val="24"/>
          <w:szCs w:val="24"/>
        </w:rPr>
      </w:pPr>
      <w:r w:rsidRPr="0080429E">
        <w:rPr>
          <w:b/>
          <w:sz w:val="24"/>
          <w:szCs w:val="24"/>
        </w:rPr>
        <w:t xml:space="preserve">A future mechanism would benefit from a clear MEL framework with defined partnership outcomes </w:t>
      </w:r>
      <w:r w:rsidRPr="0080429E">
        <w:rPr>
          <w:sz w:val="24"/>
          <w:szCs w:val="24"/>
        </w:rPr>
        <w:t xml:space="preserve">and partner roles in MEL, as well as sufficient budget allocation. </w:t>
      </w:r>
    </w:p>
    <w:p w14:paraId="4ECFAF61" w14:textId="77777777" w:rsidR="0080429E" w:rsidRPr="0080429E" w:rsidRDefault="0080429E" w:rsidP="00EC5B86">
      <w:pPr>
        <w:pStyle w:val="ListParagraph"/>
        <w:numPr>
          <w:ilvl w:val="0"/>
          <w:numId w:val="14"/>
        </w:numPr>
        <w:spacing w:before="120" w:after="120" w:line="240" w:lineRule="auto"/>
        <w:rPr>
          <w:sz w:val="24"/>
          <w:szCs w:val="24"/>
        </w:rPr>
      </w:pPr>
      <w:r w:rsidRPr="0080429E">
        <w:rPr>
          <w:b/>
          <w:sz w:val="24"/>
          <w:szCs w:val="24"/>
        </w:rPr>
        <w:t>The HPA has been valuable in supporting partners to improve their MEL of responses</w:t>
      </w:r>
      <w:r w:rsidRPr="0080429E">
        <w:rPr>
          <w:sz w:val="24"/>
          <w:szCs w:val="24"/>
        </w:rPr>
        <w:t xml:space="preserve"> by funding implementing partners’ in-country learning events and staff training in MEL. </w:t>
      </w:r>
    </w:p>
    <w:p w14:paraId="1087FDA6" w14:textId="77777777" w:rsidR="0080429E" w:rsidRPr="0080429E" w:rsidRDefault="0080429E" w:rsidP="00EC5B86">
      <w:pPr>
        <w:pStyle w:val="ListParagraph"/>
        <w:numPr>
          <w:ilvl w:val="0"/>
          <w:numId w:val="14"/>
        </w:numPr>
        <w:spacing w:before="120" w:after="120" w:line="240" w:lineRule="auto"/>
        <w:rPr>
          <w:sz w:val="24"/>
          <w:szCs w:val="24"/>
        </w:rPr>
      </w:pPr>
      <w:r w:rsidRPr="0080429E">
        <w:rPr>
          <w:b/>
          <w:sz w:val="24"/>
          <w:szCs w:val="24"/>
        </w:rPr>
        <w:t>Partners have benefitted from formal and informal learning</w:t>
      </w:r>
      <w:r w:rsidRPr="0080429E">
        <w:rPr>
          <w:sz w:val="24"/>
          <w:szCs w:val="24"/>
        </w:rPr>
        <w:t xml:space="preserve"> that has taken place under the framework of the HPA.  Non-HPA partners have sometimes been excluded from this learning, in which they could have both added value to, and benefited from. </w:t>
      </w:r>
    </w:p>
    <w:p w14:paraId="4C1A8D57" w14:textId="77777777" w:rsidR="0080429E" w:rsidRPr="0080429E" w:rsidRDefault="0080429E" w:rsidP="00EC5B86">
      <w:pPr>
        <w:pStyle w:val="ListParagraph"/>
        <w:numPr>
          <w:ilvl w:val="0"/>
          <w:numId w:val="14"/>
        </w:numPr>
        <w:spacing w:before="120" w:after="120" w:line="240" w:lineRule="auto"/>
        <w:rPr>
          <w:sz w:val="24"/>
          <w:szCs w:val="24"/>
        </w:rPr>
      </w:pPr>
      <w:r w:rsidRPr="0080429E">
        <w:rPr>
          <w:b/>
          <w:bCs/>
          <w:sz w:val="24"/>
          <w:szCs w:val="24"/>
        </w:rPr>
        <w:t>‘Value for Money’ considerations have not been integrated in the HPA MEL making it difficult to assess this issue</w:t>
      </w:r>
      <w:r w:rsidRPr="0080429E">
        <w:rPr>
          <w:sz w:val="24"/>
          <w:szCs w:val="24"/>
        </w:rPr>
        <w:t>. This is particularly problematic given concerns around high transaction costs.</w:t>
      </w:r>
      <w:r w:rsidRPr="0080429E">
        <w:rPr>
          <w:sz w:val="24"/>
          <w:szCs w:val="24"/>
          <w:vertAlign w:val="superscript"/>
        </w:rPr>
        <w:footnoteReference w:id="59"/>
      </w:r>
    </w:p>
    <w:p w14:paraId="31AD19C0" w14:textId="77777777" w:rsidR="0080429E" w:rsidRPr="0080429E" w:rsidRDefault="0080429E" w:rsidP="00EC5B86">
      <w:pPr>
        <w:pStyle w:val="ListParagraph"/>
        <w:numPr>
          <w:ilvl w:val="0"/>
          <w:numId w:val="14"/>
        </w:numPr>
        <w:spacing w:before="120" w:after="120" w:line="240" w:lineRule="auto"/>
        <w:rPr>
          <w:sz w:val="24"/>
          <w:szCs w:val="24"/>
        </w:rPr>
      </w:pPr>
      <w:r w:rsidRPr="0080429E">
        <w:rPr>
          <w:b/>
          <w:sz w:val="24"/>
          <w:szCs w:val="24"/>
        </w:rPr>
        <w:lastRenderedPageBreak/>
        <w:t>A lack of technical/sectoral ‘global’ indicators has hindered simple aggregated reporting</w:t>
      </w:r>
      <w:r w:rsidRPr="0080429E">
        <w:rPr>
          <w:sz w:val="24"/>
          <w:szCs w:val="24"/>
        </w:rPr>
        <w:t xml:space="preserve"> which would allow DFAT and NGO partners to feed into global reporting, and also provide clearer messaging of impact to the Australian public.</w:t>
      </w:r>
    </w:p>
    <w:p w14:paraId="58C197BE" w14:textId="77777777" w:rsidR="0080429E" w:rsidRPr="0080429E" w:rsidRDefault="0080429E" w:rsidP="00EC5B86">
      <w:pPr>
        <w:pStyle w:val="ListParagraph"/>
        <w:numPr>
          <w:ilvl w:val="0"/>
          <w:numId w:val="14"/>
        </w:numPr>
        <w:spacing w:before="120" w:after="120" w:line="240" w:lineRule="auto"/>
        <w:rPr>
          <w:sz w:val="24"/>
          <w:szCs w:val="24"/>
        </w:rPr>
      </w:pPr>
      <w:r w:rsidRPr="0080429E">
        <w:rPr>
          <w:b/>
          <w:sz w:val="24"/>
          <w:szCs w:val="24"/>
        </w:rPr>
        <w:t xml:space="preserve">Reporting processes have been cumbersome </w:t>
      </w:r>
      <w:r w:rsidRPr="0080429E">
        <w:rPr>
          <w:sz w:val="24"/>
          <w:szCs w:val="24"/>
        </w:rPr>
        <w:t xml:space="preserve">with NGO partners and the HPA Director spending significant amounts of time compiling sets of data to produce collective reports. The use of online systems such as ANCPs ‘Smarty Grants’ may be appropriate for the HPA. </w:t>
      </w:r>
    </w:p>
    <w:p w14:paraId="15E72852" w14:textId="77777777" w:rsidR="0080429E" w:rsidRPr="0080429E" w:rsidRDefault="0080429E" w:rsidP="00EC5B86">
      <w:pPr>
        <w:pStyle w:val="ListParagraph"/>
        <w:numPr>
          <w:ilvl w:val="0"/>
          <w:numId w:val="14"/>
        </w:numPr>
        <w:spacing w:before="120" w:after="120" w:line="240" w:lineRule="auto"/>
        <w:rPr>
          <w:sz w:val="24"/>
          <w:szCs w:val="24"/>
        </w:rPr>
      </w:pPr>
      <w:r w:rsidRPr="0080429E">
        <w:rPr>
          <w:b/>
          <w:sz w:val="24"/>
          <w:szCs w:val="24"/>
        </w:rPr>
        <w:t>Much of the HPA learning has occurred in relation to DRR/DRM</w:t>
      </w:r>
      <w:r w:rsidRPr="0080429E">
        <w:rPr>
          <w:sz w:val="24"/>
          <w:szCs w:val="24"/>
        </w:rPr>
        <w:t xml:space="preserve"> which encompasses a relatively stable set of ongoing activities. </w:t>
      </w:r>
      <w:r w:rsidRPr="0080429E">
        <w:rPr>
          <w:b/>
          <w:sz w:val="24"/>
          <w:szCs w:val="24"/>
        </w:rPr>
        <w:t xml:space="preserve">Facilitating learning in relation to crisis contexts requires different MEL </w:t>
      </w:r>
      <w:r w:rsidRPr="0080429E">
        <w:rPr>
          <w:sz w:val="24"/>
          <w:szCs w:val="24"/>
        </w:rPr>
        <w:t xml:space="preserve">that takes into account the nature of working in these contexts. </w:t>
      </w:r>
    </w:p>
    <w:p w14:paraId="60029287" w14:textId="77777777" w:rsidR="0080429E" w:rsidRPr="0080429E" w:rsidRDefault="0080429E" w:rsidP="00EC5B86">
      <w:pPr>
        <w:pStyle w:val="ListParagraph"/>
        <w:numPr>
          <w:ilvl w:val="0"/>
          <w:numId w:val="14"/>
        </w:numPr>
        <w:spacing w:before="120" w:after="120" w:line="240" w:lineRule="auto"/>
        <w:rPr>
          <w:sz w:val="24"/>
          <w:szCs w:val="24"/>
        </w:rPr>
      </w:pPr>
      <w:r w:rsidRPr="0080429E">
        <w:rPr>
          <w:sz w:val="24"/>
          <w:szCs w:val="24"/>
        </w:rPr>
        <w:t xml:space="preserve">The proposal and reporting formats are activity focused which is </w:t>
      </w:r>
      <w:r w:rsidRPr="0080429E">
        <w:rPr>
          <w:b/>
          <w:sz w:val="24"/>
          <w:szCs w:val="24"/>
        </w:rPr>
        <w:t>appropriate for a rapid onset response</w:t>
      </w:r>
      <w:r w:rsidRPr="0080429E">
        <w:rPr>
          <w:sz w:val="24"/>
          <w:szCs w:val="24"/>
        </w:rPr>
        <w:t xml:space="preserve">.  </w:t>
      </w:r>
      <w:r w:rsidRPr="0080429E">
        <w:rPr>
          <w:b/>
          <w:sz w:val="24"/>
          <w:szCs w:val="24"/>
        </w:rPr>
        <w:t>Protracted crises warrant a more sophisticated design</w:t>
      </w:r>
      <w:r w:rsidRPr="0080429E">
        <w:rPr>
          <w:sz w:val="24"/>
          <w:szCs w:val="24"/>
        </w:rPr>
        <w:t xml:space="preserve"> which includes a Theory of Change, program strategies and expected outcomes.  </w:t>
      </w:r>
    </w:p>
    <w:p w14:paraId="5DBC1C7C" w14:textId="77777777" w:rsidR="0080429E" w:rsidRPr="00A00184" w:rsidRDefault="0080429E" w:rsidP="00EC5B86">
      <w:pPr>
        <w:pStyle w:val="ListParagraph"/>
        <w:numPr>
          <w:ilvl w:val="0"/>
          <w:numId w:val="14"/>
        </w:numPr>
        <w:spacing w:before="120" w:after="120" w:line="240" w:lineRule="auto"/>
      </w:pPr>
      <w:r w:rsidRPr="0080429E">
        <w:rPr>
          <w:sz w:val="24"/>
          <w:szCs w:val="24"/>
        </w:rPr>
        <w:t>It would be valuable to</w:t>
      </w:r>
      <w:r w:rsidRPr="0080429E">
        <w:rPr>
          <w:b/>
          <w:sz w:val="24"/>
          <w:szCs w:val="24"/>
        </w:rPr>
        <w:t xml:space="preserve"> share the results and learnings of collective activations</w:t>
      </w:r>
      <w:r w:rsidRPr="0080429E">
        <w:rPr>
          <w:sz w:val="24"/>
          <w:szCs w:val="24"/>
        </w:rPr>
        <w:t xml:space="preserve">, as outlined in HPA reports and evaluations, </w:t>
      </w:r>
      <w:r w:rsidRPr="0080429E">
        <w:rPr>
          <w:b/>
          <w:sz w:val="24"/>
          <w:szCs w:val="24"/>
        </w:rPr>
        <w:t>with HPA implementing partners</w:t>
      </w:r>
      <w:r w:rsidRPr="00A33B88">
        <w:rPr>
          <w:b/>
        </w:rPr>
        <w:t>.</w:t>
      </w:r>
    </w:p>
    <w:p w14:paraId="149D99EA" w14:textId="77777777" w:rsidR="00A00184" w:rsidRPr="00310A12" w:rsidRDefault="00A00184" w:rsidP="00A00184">
      <w:pPr>
        <w:pStyle w:val="ListParagraph"/>
        <w:spacing w:before="120" w:after="120" w:line="240" w:lineRule="auto"/>
        <w:ind w:left="360"/>
      </w:pPr>
    </w:p>
    <w:p w14:paraId="7D2669D1" w14:textId="77777777" w:rsidR="0080429E" w:rsidRPr="00A00184" w:rsidRDefault="0080429E" w:rsidP="00A00184">
      <w:pPr>
        <w:pStyle w:val="ListParagraph"/>
        <w:ind w:left="0"/>
        <w:rPr>
          <w:b/>
          <w:noProof/>
          <w:color w:val="595959" w:themeColor="text1" w:themeTint="A6"/>
          <w:lang w:eastAsia="en-AU"/>
        </w:rPr>
      </w:pPr>
      <w:bookmarkStart w:id="46" w:name="_Toc423711138"/>
      <w:bookmarkStart w:id="47" w:name="_Toc437723352"/>
      <w:r w:rsidRPr="00A00184">
        <w:rPr>
          <w:b/>
          <w:noProof/>
          <w:color w:val="595959" w:themeColor="text1" w:themeTint="A6"/>
          <w:lang w:eastAsia="en-AU"/>
        </w:rPr>
        <w:t>Management and Governance Arrangements</w:t>
      </w:r>
      <w:bookmarkEnd w:id="46"/>
      <w:bookmarkEnd w:id="47"/>
    </w:p>
    <w:p w14:paraId="45B65F87" w14:textId="77777777" w:rsidR="0080429E" w:rsidRPr="0080429E" w:rsidRDefault="0080429E" w:rsidP="00EC5B86">
      <w:pPr>
        <w:pStyle w:val="ListParagraph"/>
        <w:numPr>
          <w:ilvl w:val="0"/>
          <w:numId w:val="15"/>
        </w:numPr>
        <w:spacing w:before="120" w:after="120" w:line="240" w:lineRule="auto"/>
        <w:ind w:left="360"/>
        <w:rPr>
          <w:sz w:val="24"/>
          <w:szCs w:val="24"/>
        </w:rPr>
      </w:pPr>
      <w:r w:rsidRPr="0080429E">
        <w:rPr>
          <w:b/>
          <w:sz w:val="24"/>
          <w:szCs w:val="24"/>
        </w:rPr>
        <w:t xml:space="preserve">There are many benefits of NGO peer-based decision making, </w:t>
      </w:r>
      <w:r w:rsidRPr="0080429E">
        <w:rPr>
          <w:sz w:val="24"/>
          <w:szCs w:val="24"/>
        </w:rPr>
        <w:t>such as access to operational expertise. However it is often the anticipation of the peer review which improves the quality of proposals, rather than the peer review itself (i.e. scoring processes and the question and answer session).</w:t>
      </w:r>
    </w:p>
    <w:p w14:paraId="007B8767" w14:textId="77777777" w:rsidR="0080429E" w:rsidRPr="0080429E" w:rsidRDefault="0080429E" w:rsidP="00EC5B86">
      <w:pPr>
        <w:pStyle w:val="ListParagraph"/>
        <w:numPr>
          <w:ilvl w:val="0"/>
          <w:numId w:val="15"/>
        </w:numPr>
        <w:spacing w:before="120" w:after="120" w:line="240" w:lineRule="auto"/>
        <w:ind w:left="360"/>
        <w:rPr>
          <w:sz w:val="24"/>
          <w:szCs w:val="24"/>
        </w:rPr>
      </w:pPr>
      <w:r w:rsidRPr="0080429E">
        <w:rPr>
          <w:b/>
          <w:sz w:val="24"/>
          <w:szCs w:val="24"/>
        </w:rPr>
        <w:t xml:space="preserve">In certain circumstances, the peer review would benefit from involving an independent technical appraisal </w:t>
      </w:r>
      <w:r w:rsidRPr="0080429E">
        <w:rPr>
          <w:sz w:val="24"/>
          <w:szCs w:val="24"/>
        </w:rPr>
        <w:t xml:space="preserve">of individual proposals. This would be particularly relevant for slow onset and protracted crises (e.g. Lebanon GBV sector). </w:t>
      </w:r>
    </w:p>
    <w:p w14:paraId="1E06273A" w14:textId="77777777" w:rsidR="0080429E" w:rsidRPr="0080429E" w:rsidRDefault="0080429E" w:rsidP="00EC5B86">
      <w:pPr>
        <w:pStyle w:val="ListParagraph"/>
        <w:numPr>
          <w:ilvl w:val="0"/>
          <w:numId w:val="15"/>
        </w:numPr>
        <w:spacing w:before="120" w:after="120" w:line="240" w:lineRule="auto"/>
        <w:ind w:left="360"/>
        <w:rPr>
          <w:sz w:val="24"/>
          <w:szCs w:val="24"/>
        </w:rPr>
      </w:pPr>
      <w:r w:rsidRPr="0080429E">
        <w:rPr>
          <w:sz w:val="24"/>
          <w:szCs w:val="24"/>
        </w:rPr>
        <w:t xml:space="preserve">Partners experience a range of pressures during the first phase of a crisis. </w:t>
      </w:r>
      <w:r w:rsidRPr="0080429E">
        <w:rPr>
          <w:b/>
          <w:sz w:val="24"/>
          <w:szCs w:val="24"/>
        </w:rPr>
        <w:t>NGO participation in scoring and decision making may not be the best use of their time</w:t>
      </w:r>
      <w:r w:rsidRPr="0080429E">
        <w:rPr>
          <w:sz w:val="24"/>
          <w:szCs w:val="24"/>
        </w:rPr>
        <w:t>.</w:t>
      </w:r>
    </w:p>
    <w:p w14:paraId="6D1BA75F" w14:textId="77777777" w:rsidR="0080429E" w:rsidRPr="0080429E" w:rsidRDefault="0080429E" w:rsidP="00EC5B86">
      <w:pPr>
        <w:pStyle w:val="ListParagraph"/>
        <w:numPr>
          <w:ilvl w:val="0"/>
          <w:numId w:val="15"/>
        </w:numPr>
        <w:spacing w:before="120" w:after="120" w:line="240" w:lineRule="auto"/>
        <w:ind w:left="360"/>
        <w:rPr>
          <w:sz w:val="24"/>
          <w:szCs w:val="24"/>
        </w:rPr>
      </w:pPr>
      <w:r w:rsidRPr="0080429E">
        <w:rPr>
          <w:b/>
          <w:sz w:val="24"/>
          <w:szCs w:val="24"/>
        </w:rPr>
        <w:t xml:space="preserve">In certain circumstances, a decision to distribute available funds evenly among NGO partners may be appropriate to the response context. </w:t>
      </w:r>
      <w:r w:rsidRPr="0080429E">
        <w:rPr>
          <w:sz w:val="24"/>
          <w:szCs w:val="24"/>
        </w:rPr>
        <w:t>It may also be an effective way to minimise transaction costs and foster more effective collaboration.</w:t>
      </w:r>
    </w:p>
    <w:p w14:paraId="58F0E1E8" w14:textId="77777777" w:rsidR="0080429E" w:rsidRPr="0080429E" w:rsidRDefault="0080429E" w:rsidP="00EC5B86">
      <w:pPr>
        <w:pStyle w:val="ListParagraph"/>
        <w:numPr>
          <w:ilvl w:val="0"/>
          <w:numId w:val="15"/>
        </w:numPr>
        <w:spacing w:before="120" w:after="120" w:line="240" w:lineRule="auto"/>
        <w:ind w:left="360"/>
        <w:rPr>
          <w:sz w:val="24"/>
          <w:szCs w:val="24"/>
        </w:rPr>
      </w:pPr>
      <w:r w:rsidRPr="0080429E">
        <w:rPr>
          <w:b/>
          <w:sz w:val="24"/>
          <w:szCs w:val="24"/>
        </w:rPr>
        <w:t>There is no need to establish an HPA-specific coordination mechanism at the country level</w:t>
      </w:r>
      <w:r w:rsidRPr="0080429E">
        <w:rPr>
          <w:sz w:val="24"/>
          <w:szCs w:val="24"/>
        </w:rPr>
        <w:t xml:space="preserve"> for emergency responses additional to existing coordination mechanisms.</w:t>
      </w:r>
      <w:r w:rsidRPr="0080429E">
        <w:rPr>
          <w:sz w:val="24"/>
          <w:szCs w:val="24"/>
          <w:vertAlign w:val="superscript"/>
        </w:rPr>
        <w:footnoteReference w:id="60"/>
      </w:r>
    </w:p>
    <w:p w14:paraId="2C176337" w14:textId="77777777" w:rsidR="0080429E" w:rsidRDefault="0080429E" w:rsidP="00EC5B86">
      <w:pPr>
        <w:pStyle w:val="ListParagraph"/>
        <w:numPr>
          <w:ilvl w:val="0"/>
          <w:numId w:val="15"/>
        </w:numPr>
        <w:spacing w:before="120" w:after="120" w:line="240" w:lineRule="auto"/>
        <w:ind w:left="360"/>
        <w:rPr>
          <w:sz w:val="24"/>
          <w:szCs w:val="24"/>
        </w:rPr>
      </w:pPr>
      <w:r w:rsidRPr="0080429E">
        <w:rPr>
          <w:b/>
          <w:sz w:val="24"/>
          <w:szCs w:val="24"/>
        </w:rPr>
        <w:t>Additional staffing resources, contributed by the NGO hosting the HPA Director, have been central</w:t>
      </w:r>
      <w:r w:rsidRPr="0080429E">
        <w:rPr>
          <w:sz w:val="24"/>
          <w:szCs w:val="24"/>
        </w:rPr>
        <w:t xml:space="preserve"> to ensuring the effective and efficient operation of the HPA.  </w:t>
      </w:r>
    </w:p>
    <w:p w14:paraId="1845F7F8" w14:textId="77777777" w:rsidR="00A00184" w:rsidRPr="0080429E" w:rsidRDefault="00A00184" w:rsidP="00A00184">
      <w:pPr>
        <w:pStyle w:val="ListParagraph"/>
        <w:spacing w:before="120" w:after="120" w:line="240" w:lineRule="auto"/>
        <w:ind w:left="360"/>
        <w:rPr>
          <w:sz w:val="24"/>
          <w:szCs w:val="24"/>
        </w:rPr>
      </w:pPr>
    </w:p>
    <w:p w14:paraId="4F46A768" w14:textId="77777777" w:rsidR="0080429E" w:rsidRPr="00A00184" w:rsidRDefault="0080429E" w:rsidP="00A00184">
      <w:pPr>
        <w:pStyle w:val="ListParagraph"/>
        <w:spacing w:before="240" w:after="240"/>
        <w:ind w:left="0"/>
        <w:rPr>
          <w:b/>
          <w:noProof/>
          <w:color w:val="595959" w:themeColor="text1" w:themeTint="A6"/>
          <w:lang w:eastAsia="en-AU"/>
        </w:rPr>
      </w:pPr>
      <w:bookmarkStart w:id="48" w:name="_Toc423711139"/>
      <w:bookmarkStart w:id="49" w:name="_Toc437723353"/>
      <w:r w:rsidRPr="00A00184">
        <w:rPr>
          <w:b/>
          <w:noProof/>
          <w:color w:val="595959" w:themeColor="text1" w:themeTint="A6"/>
          <w:lang w:eastAsia="en-AU"/>
        </w:rPr>
        <w:lastRenderedPageBreak/>
        <w:t>Gender Equality, Disability</w:t>
      </w:r>
      <w:r w:rsidR="00FA634A" w:rsidRPr="00A00184">
        <w:rPr>
          <w:b/>
          <w:noProof/>
          <w:color w:val="595959" w:themeColor="text1" w:themeTint="A6"/>
          <w:lang w:eastAsia="en-AU"/>
        </w:rPr>
        <w:t xml:space="preserve"> </w:t>
      </w:r>
      <w:r w:rsidRPr="00A00184">
        <w:rPr>
          <w:b/>
          <w:noProof/>
          <w:color w:val="595959" w:themeColor="text1" w:themeTint="A6"/>
          <w:lang w:eastAsia="en-AU"/>
        </w:rPr>
        <w:t>Inclusion and Protection</w:t>
      </w:r>
      <w:bookmarkEnd w:id="48"/>
      <w:bookmarkEnd w:id="49"/>
      <w:r w:rsidRPr="00A00184">
        <w:rPr>
          <w:b/>
          <w:noProof/>
          <w:color w:val="595959" w:themeColor="text1" w:themeTint="A6"/>
          <w:lang w:eastAsia="en-AU"/>
        </w:rPr>
        <w:t xml:space="preserve"> </w:t>
      </w:r>
    </w:p>
    <w:p w14:paraId="6491111A" w14:textId="77777777" w:rsidR="0080429E" w:rsidRPr="0080429E" w:rsidRDefault="0080429E" w:rsidP="00EC5B86">
      <w:pPr>
        <w:pStyle w:val="ListParagraph"/>
        <w:numPr>
          <w:ilvl w:val="0"/>
          <w:numId w:val="15"/>
        </w:numPr>
        <w:spacing w:before="120" w:after="120" w:line="240" w:lineRule="auto"/>
        <w:ind w:left="360"/>
        <w:rPr>
          <w:sz w:val="24"/>
          <w:szCs w:val="24"/>
        </w:rPr>
      </w:pPr>
      <w:r w:rsidRPr="0080429E">
        <w:rPr>
          <w:b/>
          <w:sz w:val="24"/>
          <w:szCs w:val="24"/>
        </w:rPr>
        <w:t>The focus on gender equality within the HPA was improved by the introduction of the Gender Action Plans</w:t>
      </w:r>
      <w:r w:rsidRPr="0080429E">
        <w:rPr>
          <w:sz w:val="24"/>
          <w:szCs w:val="24"/>
        </w:rPr>
        <w:t xml:space="preserve">, and gender-related lessons from early HPA reviews were successfully applied in future activations, such as in the Typhoon Haiyan response. There is an opportunity with a new mechanism to take this work to a higher level. </w:t>
      </w:r>
    </w:p>
    <w:p w14:paraId="2C4A07DC" w14:textId="77777777" w:rsidR="0080429E" w:rsidRPr="0080429E" w:rsidRDefault="0080429E" w:rsidP="00EC5B86">
      <w:pPr>
        <w:pStyle w:val="ListParagraph"/>
        <w:numPr>
          <w:ilvl w:val="0"/>
          <w:numId w:val="15"/>
        </w:numPr>
        <w:spacing w:before="120" w:after="120" w:line="240" w:lineRule="auto"/>
        <w:ind w:left="360"/>
        <w:rPr>
          <w:sz w:val="24"/>
          <w:szCs w:val="24"/>
        </w:rPr>
      </w:pPr>
      <w:r w:rsidRPr="0080429E">
        <w:rPr>
          <w:b/>
          <w:sz w:val="24"/>
          <w:szCs w:val="24"/>
        </w:rPr>
        <w:t xml:space="preserve">The HPA has supported a focus on protection mainstreaming. </w:t>
      </w:r>
      <w:r w:rsidRPr="0080429E">
        <w:rPr>
          <w:sz w:val="24"/>
          <w:szCs w:val="24"/>
        </w:rPr>
        <w:t xml:space="preserve">An implementing partner noted that this was highly beneficial and rare compared with other donors. </w:t>
      </w:r>
    </w:p>
    <w:p w14:paraId="2F1C4E9A" w14:textId="77777777" w:rsidR="0080429E" w:rsidRPr="0080429E" w:rsidRDefault="0080429E" w:rsidP="00EC5B86">
      <w:pPr>
        <w:pStyle w:val="ListParagraph"/>
        <w:numPr>
          <w:ilvl w:val="0"/>
          <w:numId w:val="15"/>
        </w:numPr>
        <w:spacing w:before="120" w:after="120" w:line="240" w:lineRule="auto"/>
        <w:ind w:left="360"/>
        <w:rPr>
          <w:sz w:val="24"/>
          <w:szCs w:val="24"/>
        </w:rPr>
      </w:pPr>
      <w:r w:rsidRPr="0080429E">
        <w:rPr>
          <w:b/>
          <w:sz w:val="24"/>
          <w:szCs w:val="24"/>
        </w:rPr>
        <w:t xml:space="preserve">Protection and other cross-cutting issues (i.e. disability inclusion and child protection) have not been adequately integrated into HPA MEL, </w:t>
      </w:r>
      <w:r w:rsidRPr="0080429E">
        <w:rPr>
          <w:sz w:val="24"/>
          <w:szCs w:val="24"/>
        </w:rPr>
        <w:t xml:space="preserve">making it difficult to assess partner achievements and challenges in relation to these issues.   </w:t>
      </w:r>
    </w:p>
    <w:p w14:paraId="6C002EF4" w14:textId="77777777" w:rsidR="0080429E" w:rsidRDefault="0080429E" w:rsidP="00EC5B86">
      <w:pPr>
        <w:pStyle w:val="ListParagraph"/>
        <w:numPr>
          <w:ilvl w:val="0"/>
          <w:numId w:val="15"/>
        </w:numPr>
        <w:spacing w:before="120" w:after="120" w:line="240" w:lineRule="auto"/>
        <w:ind w:left="360"/>
        <w:rPr>
          <w:sz w:val="24"/>
          <w:szCs w:val="24"/>
        </w:rPr>
      </w:pPr>
      <w:r w:rsidRPr="0080429E">
        <w:rPr>
          <w:b/>
          <w:sz w:val="24"/>
          <w:szCs w:val="24"/>
        </w:rPr>
        <w:t>It would be helpful if DFAT clarified its position on protection within HPA activations</w:t>
      </w:r>
      <w:r w:rsidRPr="0080429E">
        <w:rPr>
          <w:sz w:val="24"/>
          <w:szCs w:val="24"/>
        </w:rPr>
        <w:t>, as some partners noted that dedicated protection activities were often removed from proposals in favour of 'harder-edged' frontline responses.  As a result, HPA NGO partners have appeared to mainly focus on mainstreaming protection into humanitarian responses.</w:t>
      </w:r>
    </w:p>
    <w:p w14:paraId="5E162BA4" w14:textId="77777777" w:rsidR="00A00184" w:rsidRPr="0080429E" w:rsidRDefault="00A00184" w:rsidP="00A00184">
      <w:pPr>
        <w:pStyle w:val="ListParagraph"/>
        <w:spacing w:before="120" w:after="120" w:line="240" w:lineRule="auto"/>
        <w:ind w:left="360"/>
        <w:rPr>
          <w:sz w:val="24"/>
          <w:szCs w:val="24"/>
        </w:rPr>
      </w:pPr>
    </w:p>
    <w:p w14:paraId="13952D17" w14:textId="77777777" w:rsidR="0080429E" w:rsidRPr="00A00184" w:rsidRDefault="0080429E" w:rsidP="00A00184">
      <w:pPr>
        <w:pStyle w:val="ListParagraph"/>
        <w:spacing w:before="240" w:after="240"/>
        <w:ind w:left="0"/>
        <w:rPr>
          <w:b/>
          <w:noProof/>
          <w:color w:val="595959" w:themeColor="text1" w:themeTint="A6"/>
          <w:lang w:eastAsia="en-AU"/>
        </w:rPr>
      </w:pPr>
      <w:bookmarkStart w:id="50" w:name="_Toc423711140"/>
      <w:bookmarkStart w:id="51" w:name="_Toc437723354"/>
      <w:r w:rsidRPr="00A00184">
        <w:rPr>
          <w:b/>
          <w:noProof/>
          <w:color w:val="595959" w:themeColor="text1" w:themeTint="A6"/>
          <w:lang w:eastAsia="en-AU"/>
        </w:rPr>
        <w:t>Public Awareness and Visibility</w:t>
      </w:r>
      <w:bookmarkEnd w:id="50"/>
      <w:bookmarkEnd w:id="51"/>
    </w:p>
    <w:p w14:paraId="5CEF7E28" w14:textId="77777777" w:rsidR="0080429E" w:rsidRPr="0080429E" w:rsidRDefault="0080429E" w:rsidP="00EC5B86">
      <w:pPr>
        <w:pStyle w:val="ListParagraph"/>
        <w:numPr>
          <w:ilvl w:val="0"/>
          <w:numId w:val="16"/>
        </w:numPr>
        <w:spacing w:before="120" w:after="120" w:line="240" w:lineRule="auto"/>
        <w:rPr>
          <w:sz w:val="24"/>
          <w:szCs w:val="24"/>
        </w:rPr>
      </w:pPr>
      <w:r w:rsidRPr="0080429E">
        <w:rPr>
          <w:b/>
          <w:sz w:val="24"/>
          <w:szCs w:val="24"/>
        </w:rPr>
        <w:t>The rapid release of funds is an important contributor to visibility</w:t>
      </w:r>
      <w:r w:rsidRPr="0080429E">
        <w:rPr>
          <w:sz w:val="24"/>
          <w:szCs w:val="24"/>
        </w:rPr>
        <w:t xml:space="preserve"> of the Australian response to a humanitarian emergency.</w:t>
      </w:r>
      <w:r w:rsidRPr="0080429E">
        <w:rPr>
          <w:sz w:val="24"/>
          <w:szCs w:val="24"/>
          <w:vertAlign w:val="superscript"/>
        </w:rPr>
        <w:footnoteReference w:id="61"/>
      </w:r>
      <w:r w:rsidRPr="0080429E">
        <w:rPr>
          <w:sz w:val="24"/>
          <w:szCs w:val="24"/>
          <w:vertAlign w:val="superscript"/>
        </w:rPr>
        <w:t xml:space="preserve"> </w:t>
      </w:r>
      <w:r w:rsidRPr="0080429E">
        <w:rPr>
          <w:sz w:val="24"/>
          <w:szCs w:val="24"/>
        </w:rPr>
        <w:t xml:space="preserve">  </w:t>
      </w:r>
    </w:p>
    <w:p w14:paraId="6AC7A436" w14:textId="77777777" w:rsidR="0080429E" w:rsidRPr="0080429E" w:rsidRDefault="0080429E" w:rsidP="00EC5B86">
      <w:pPr>
        <w:pStyle w:val="ListParagraph"/>
        <w:numPr>
          <w:ilvl w:val="0"/>
          <w:numId w:val="16"/>
        </w:numPr>
        <w:spacing w:before="120" w:after="120" w:line="240" w:lineRule="auto"/>
        <w:rPr>
          <w:sz w:val="24"/>
          <w:szCs w:val="24"/>
        </w:rPr>
      </w:pPr>
      <w:r w:rsidRPr="0080429E">
        <w:rPr>
          <w:b/>
          <w:sz w:val="24"/>
          <w:szCs w:val="24"/>
        </w:rPr>
        <w:t>A lack of clarity on what to promote (to who and how),</w:t>
      </w:r>
      <w:r w:rsidRPr="0080429E">
        <w:rPr>
          <w:sz w:val="24"/>
          <w:szCs w:val="24"/>
        </w:rPr>
        <w:t xml:space="preserve"> </w:t>
      </w:r>
      <w:r w:rsidRPr="0080429E">
        <w:rPr>
          <w:b/>
          <w:sz w:val="24"/>
          <w:szCs w:val="24"/>
        </w:rPr>
        <w:t>has led to missed opportunities</w:t>
      </w:r>
      <w:r w:rsidRPr="0080429E">
        <w:rPr>
          <w:sz w:val="24"/>
          <w:szCs w:val="24"/>
        </w:rPr>
        <w:t xml:space="preserve"> to showcase the collective achievements of the HPA. </w:t>
      </w:r>
    </w:p>
    <w:p w14:paraId="07F3AA1A" w14:textId="77777777" w:rsidR="0080429E" w:rsidRPr="0080429E" w:rsidRDefault="0080429E" w:rsidP="00EC5B86">
      <w:pPr>
        <w:pStyle w:val="ListParagraph"/>
        <w:numPr>
          <w:ilvl w:val="0"/>
          <w:numId w:val="16"/>
        </w:numPr>
        <w:spacing w:before="120" w:after="120" w:line="240" w:lineRule="auto"/>
        <w:rPr>
          <w:sz w:val="24"/>
          <w:szCs w:val="24"/>
        </w:rPr>
      </w:pPr>
      <w:r w:rsidRPr="0080429E">
        <w:rPr>
          <w:b/>
          <w:sz w:val="24"/>
          <w:szCs w:val="24"/>
        </w:rPr>
        <w:t xml:space="preserve">There is a conceptual distinction between in-country visibility as a donor (i.e. stickers and signage) and visibility recognition as a global player. </w:t>
      </w:r>
      <w:r w:rsidRPr="0080429E">
        <w:rPr>
          <w:sz w:val="24"/>
          <w:szCs w:val="24"/>
        </w:rPr>
        <w:t>These have not been appropriately distinguished in the implementation of the HPA.</w:t>
      </w:r>
    </w:p>
    <w:p w14:paraId="29D14BF0" w14:textId="77777777" w:rsidR="0080429E" w:rsidRPr="0080429E" w:rsidRDefault="0080429E" w:rsidP="00EC5B86">
      <w:pPr>
        <w:pStyle w:val="ListParagraph"/>
        <w:numPr>
          <w:ilvl w:val="0"/>
          <w:numId w:val="16"/>
        </w:numPr>
        <w:spacing w:before="120" w:after="120" w:line="240" w:lineRule="auto"/>
        <w:rPr>
          <w:sz w:val="24"/>
          <w:szCs w:val="24"/>
        </w:rPr>
      </w:pPr>
      <w:r w:rsidRPr="0080429E">
        <w:rPr>
          <w:b/>
          <w:sz w:val="24"/>
          <w:szCs w:val="24"/>
        </w:rPr>
        <w:t>The amount of funding that flows through the HPA poses challenges to promoting public awareness and visibility</w:t>
      </w:r>
      <w:r w:rsidRPr="0080429E">
        <w:rPr>
          <w:sz w:val="24"/>
          <w:szCs w:val="24"/>
        </w:rPr>
        <w:t xml:space="preserve">. In some instance, HPA funding is small relative to public donations; and in some countries, the total Australian funding is a small percentage of the global response. </w:t>
      </w:r>
    </w:p>
    <w:p w14:paraId="5D5AFB45" w14:textId="77777777" w:rsidR="0080429E" w:rsidRPr="0080429E" w:rsidRDefault="0080429E" w:rsidP="00EC5B86">
      <w:pPr>
        <w:pStyle w:val="ListParagraph"/>
        <w:numPr>
          <w:ilvl w:val="0"/>
          <w:numId w:val="16"/>
        </w:numPr>
        <w:spacing w:before="120" w:after="120" w:line="240" w:lineRule="auto"/>
        <w:rPr>
          <w:sz w:val="24"/>
          <w:szCs w:val="24"/>
        </w:rPr>
      </w:pPr>
      <w:r w:rsidRPr="0080429E">
        <w:rPr>
          <w:b/>
          <w:sz w:val="24"/>
          <w:szCs w:val="24"/>
        </w:rPr>
        <w:t>The absence of a visibility plan has negatively impacted on public awareness</w:t>
      </w:r>
      <w:r w:rsidRPr="0080429E">
        <w:rPr>
          <w:sz w:val="24"/>
          <w:szCs w:val="24"/>
        </w:rPr>
        <w:t xml:space="preserve"> of the HPA’s achievements.</w:t>
      </w:r>
      <w:r w:rsidRPr="0080429E">
        <w:rPr>
          <w:sz w:val="24"/>
          <w:szCs w:val="24"/>
          <w:vertAlign w:val="superscript"/>
        </w:rPr>
        <w:footnoteReference w:id="62"/>
      </w:r>
      <w:r w:rsidRPr="0080429E">
        <w:rPr>
          <w:sz w:val="24"/>
          <w:szCs w:val="24"/>
        </w:rPr>
        <w:t xml:space="preserve"> </w:t>
      </w:r>
    </w:p>
    <w:p w14:paraId="0666720B" w14:textId="77777777" w:rsidR="0080429E" w:rsidRPr="0080429E" w:rsidRDefault="0080429E" w:rsidP="00EC5B86">
      <w:pPr>
        <w:pStyle w:val="ListParagraph"/>
        <w:numPr>
          <w:ilvl w:val="0"/>
          <w:numId w:val="16"/>
        </w:numPr>
        <w:spacing w:before="120" w:after="120" w:line="240" w:lineRule="auto"/>
        <w:rPr>
          <w:sz w:val="24"/>
          <w:szCs w:val="24"/>
        </w:rPr>
      </w:pPr>
      <w:r w:rsidRPr="0080429E">
        <w:rPr>
          <w:b/>
          <w:sz w:val="24"/>
          <w:szCs w:val="24"/>
        </w:rPr>
        <w:t xml:space="preserve">A shared understanding on branding </w:t>
      </w:r>
      <w:r w:rsidRPr="0080429E">
        <w:rPr>
          <w:sz w:val="24"/>
          <w:szCs w:val="24"/>
        </w:rPr>
        <w:t>(i.e. should the HPA have a brand of its own?) and target audiences (to assist with generating case studies) would be beneficial.</w:t>
      </w:r>
      <w:r w:rsidRPr="0080429E">
        <w:rPr>
          <w:b/>
          <w:sz w:val="24"/>
          <w:szCs w:val="24"/>
        </w:rPr>
        <w:t xml:space="preserve"> </w:t>
      </w:r>
    </w:p>
    <w:p w14:paraId="2331B9A9" w14:textId="77777777" w:rsidR="0080429E" w:rsidRDefault="0080429E" w:rsidP="0080429E"/>
    <w:p w14:paraId="45AC3B92" w14:textId="77777777" w:rsidR="00240160" w:rsidRDefault="00240160">
      <w:pPr>
        <w:rPr>
          <w:rFonts w:ascii="Calibri" w:hAnsi="Calibri"/>
          <w:b/>
        </w:rPr>
        <w:sectPr w:rsidR="00240160" w:rsidSect="00AA2CBA">
          <w:headerReference w:type="default" r:id="rId11"/>
          <w:footerReference w:type="even" r:id="rId12"/>
          <w:footerReference w:type="default" r:id="rId13"/>
          <w:pgSz w:w="11900" w:h="16840"/>
          <w:pgMar w:top="1440" w:right="1800" w:bottom="1440" w:left="1800" w:header="708" w:footer="708" w:gutter="0"/>
          <w:cols w:space="708"/>
          <w:docGrid w:linePitch="360"/>
        </w:sectPr>
      </w:pPr>
    </w:p>
    <w:p w14:paraId="7B762C33" w14:textId="77777777" w:rsidR="00D079BF" w:rsidRPr="00B9134C" w:rsidRDefault="0084082C" w:rsidP="00B9134C">
      <w:pPr>
        <w:pBdr>
          <w:bottom w:val="single" w:sz="4" w:space="10" w:color="CF5D27"/>
        </w:pBdr>
        <w:spacing w:before="360" w:after="280"/>
        <w:outlineLvl w:val="1"/>
        <w:rPr>
          <w:rFonts w:ascii="Calibri" w:eastAsiaTheme="majorEastAsia" w:hAnsi="Calibri" w:cstheme="majorBidi"/>
          <w:b/>
          <w:bCs/>
          <w:color w:val="757575"/>
          <w:sz w:val="50"/>
          <w:szCs w:val="26"/>
        </w:rPr>
      </w:pPr>
      <w:bookmarkStart w:id="52" w:name="_Toc445270036"/>
      <w:bookmarkStart w:id="53" w:name="_Toc448777818"/>
      <w:r>
        <w:rPr>
          <w:rFonts w:ascii="Calibri" w:eastAsiaTheme="majorEastAsia" w:hAnsi="Calibri" w:cstheme="majorBidi"/>
          <w:b/>
          <w:bCs/>
          <w:color w:val="757575"/>
          <w:sz w:val="50"/>
          <w:szCs w:val="26"/>
        </w:rPr>
        <w:lastRenderedPageBreak/>
        <w:t xml:space="preserve">Annex 2: </w:t>
      </w:r>
      <w:bookmarkEnd w:id="52"/>
      <w:r w:rsidR="00295CFB">
        <w:rPr>
          <w:rFonts w:ascii="Calibri" w:eastAsiaTheme="majorEastAsia" w:hAnsi="Calibri" w:cstheme="majorBidi"/>
          <w:b/>
          <w:bCs/>
          <w:color w:val="757575"/>
          <w:sz w:val="50"/>
          <w:szCs w:val="26"/>
        </w:rPr>
        <w:t xml:space="preserve">Draft </w:t>
      </w:r>
      <w:r>
        <w:rPr>
          <w:rFonts w:ascii="Calibri" w:eastAsiaTheme="majorEastAsia" w:hAnsi="Calibri" w:cstheme="majorBidi"/>
          <w:b/>
          <w:bCs/>
          <w:color w:val="757575"/>
          <w:sz w:val="50"/>
          <w:szCs w:val="26"/>
        </w:rPr>
        <w:t>Theory of Change</w:t>
      </w:r>
      <w:bookmarkEnd w:id="53"/>
      <w:r>
        <w:rPr>
          <w:rFonts w:ascii="Calibri" w:eastAsiaTheme="majorEastAsia" w:hAnsi="Calibri" w:cstheme="majorBidi"/>
          <w:b/>
          <w:bCs/>
          <w:color w:val="757575"/>
          <w:sz w:val="50"/>
          <w:szCs w:val="26"/>
        </w:rPr>
        <w:t xml:space="preserve"> </w:t>
      </w:r>
    </w:p>
    <w:p w14:paraId="7F8A8A66" w14:textId="7506AFC9" w:rsidR="00B9134C" w:rsidRDefault="00C76A32" w:rsidP="00B9134C">
      <w:pPr>
        <w:ind w:left="-567"/>
        <w:rPr>
          <w:rFonts w:eastAsia="MS Mincho" w:cs="Times New Roman"/>
          <w:b/>
          <w:color w:val="4F81BD" w:themeColor="accent1"/>
          <w:sz w:val="32"/>
          <w:szCs w:val="32"/>
        </w:rPr>
        <w:sectPr w:rsidR="00B9134C" w:rsidSect="00D079BF">
          <w:pgSz w:w="16840" w:h="11900" w:orient="landscape"/>
          <w:pgMar w:top="1800" w:right="1440" w:bottom="1800" w:left="1440" w:header="708" w:footer="708" w:gutter="0"/>
          <w:cols w:space="708"/>
          <w:docGrid w:linePitch="360"/>
        </w:sectPr>
      </w:pPr>
      <w:r>
        <w:object w:dxaOrig="30264" w:dyaOrig="12062" w14:anchorId="02225664">
          <v:shape id="_x0000_i1026" type="#_x0000_t75" style="width:764.1pt;height:305.9pt" o:ole="">
            <v:imagedata r:id="rId14" o:title=""/>
          </v:shape>
          <o:OLEObject Type="Embed" ProgID="Visio.Drawing.11" ShapeID="_x0000_i1026" DrawAspect="Content" ObjectID="_1524476494" r:id="rId15"/>
        </w:object>
      </w:r>
    </w:p>
    <w:p w14:paraId="00EC5E39" w14:textId="4A51F521" w:rsidR="00240160" w:rsidRDefault="00240160" w:rsidP="00240160">
      <w:pPr>
        <w:rPr>
          <w:rFonts w:eastAsia="MS Mincho" w:cs="Times New Roman"/>
          <w:b/>
          <w:color w:val="4F81BD" w:themeColor="accent1"/>
          <w:sz w:val="32"/>
          <w:szCs w:val="32"/>
        </w:rPr>
      </w:pPr>
      <w:r>
        <w:rPr>
          <w:rFonts w:eastAsia="MS Mincho" w:cs="Times New Roman"/>
          <w:b/>
          <w:color w:val="4F81BD" w:themeColor="accent1"/>
          <w:sz w:val="32"/>
          <w:szCs w:val="32"/>
        </w:rPr>
        <w:lastRenderedPageBreak/>
        <w:t xml:space="preserve">ASSUMPTIONS  </w:t>
      </w:r>
    </w:p>
    <w:p w14:paraId="06E76B3B" w14:textId="4535C76F" w:rsidR="00240160" w:rsidRPr="00431D62" w:rsidRDefault="00C76A32" w:rsidP="00240160">
      <w:pPr>
        <w:rPr>
          <w:b/>
          <w:color w:val="4F81BD" w:themeColor="accent1"/>
        </w:rPr>
      </w:pPr>
      <w:r w:rsidRPr="000E3C43">
        <w:rPr>
          <w:rFonts w:ascii="Calibri" w:hAnsi="Calibri"/>
          <w:noProof/>
          <w:lang w:eastAsia="en-AU"/>
        </w:rPr>
        <mc:AlternateContent>
          <mc:Choice Requires="wps">
            <w:drawing>
              <wp:anchor distT="0" distB="0" distL="114300" distR="114300" simplePos="0" relativeHeight="251694080" behindDoc="0" locked="0" layoutInCell="1" allowOverlap="1" wp14:anchorId="341F75F2" wp14:editId="2ABF8235">
                <wp:simplePos x="0" y="0"/>
                <wp:positionH relativeFrom="column">
                  <wp:posOffset>51435</wp:posOffset>
                </wp:positionH>
                <wp:positionV relativeFrom="paragraph">
                  <wp:posOffset>607695</wp:posOffset>
                </wp:positionV>
                <wp:extent cx="5977890" cy="7848600"/>
                <wp:effectExtent l="57150" t="38100" r="80010" b="95250"/>
                <wp:wrapSquare wrapText="bothSides"/>
                <wp:docPr id="8" name="Text Box 8"/>
                <wp:cNvGraphicFramePr/>
                <a:graphic xmlns:a="http://schemas.openxmlformats.org/drawingml/2006/main">
                  <a:graphicData uri="http://schemas.microsoft.com/office/word/2010/wordprocessingShape">
                    <wps:wsp>
                      <wps:cNvSpPr txBox="1"/>
                      <wps:spPr>
                        <a:xfrm>
                          <a:off x="0" y="0"/>
                          <a:ext cx="5977890" cy="78486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C377133" w14:textId="77777777" w:rsidR="001C5460" w:rsidRDefault="001C5460" w:rsidP="00B60A49">
                            <w:pPr>
                              <w:rPr>
                                <w:b/>
                              </w:rPr>
                            </w:pPr>
                            <w:r w:rsidRPr="000E3C43">
                              <w:rPr>
                                <w:b/>
                              </w:rPr>
                              <w:t xml:space="preserve">ASSUMPTIONS </w:t>
                            </w:r>
                            <w:r>
                              <w:rPr>
                                <w:b/>
                              </w:rPr>
                              <w:t>UNDERPINNING THE THEORY OF CHANGE</w:t>
                            </w:r>
                          </w:p>
                          <w:p w14:paraId="75FEB759" w14:textId="77777777" w:rsidR="001C5460" w:rsidRPr="000E3C43" w:rsidRDefault="001C5460" w:rsidP="00B60A49">
                            <w:pPr>
                              <w:rPr>
                                <w:b/>
                              </w:rPr>
                            </w:pPr>
                            <w:r>
                              <w:rPr>
                                <w:b/>
                              </w:rPr>
                              <w:t>Outcome Area</w:t>
                            </w:r>
                            <w:r w:rsidRPr="000E3C43">
                              <w:rPr>
                                <w:b/>
                              </w:rPr>
                              <w:t xml:space="preserve"> 1: Response and </w:t>
                            </w:r>
                            <w:r>
                              <w:rPr>
                                <w:b/>
                              </w:rPr>
                              <w:t>early r</w:t>
                            </w:r>
                            <w:r w:rsidRPr="000E3C43">
                              <w:rPr>
                                <w:b/>
                              </w:rPr>
                              <w:t>ecovery</w:t>
                            </w:r>
                          </w:p>
                          <w:p w14:paraId="47CCBB0E" w14:textId="77777777" w:rsidR="001C5460" w:rsidRPr="000E3C43" w:rsidRDefault="001C5460" w:rsidP="00B60A49">
                            <w:pPr>
                              <w:spacing w:after="100"/>
                            </w:pPr>
                            <w:r w:rsidRPr="000E3C43">
                              <w:t>1. The peer review panel is objective and transparent.</w:t>
                            </w:r>
                          </w:p>
                          <w:p w14:paraId="1430ED51" w14:textId="77777777" w:rsidR="001C5460" w:rsidRPr="000E3C43" w:rsidRDefault="001C5460" w:rsidP="00B60A49">
                            <w:pPr>
                              <w:spacing w:after="100"/>
                            </w:pPr>
                            <w:r w:rsidRPr="000E3C43">
                              <w:t>2. ANGOs have the legal and operational arrangements in place to operate in-country.</w:t>
                            </w:r>
                          </w:p>
                          <w:p w14:paraId="340CFF1D" w14:textId="77777777" w:rsidR="001C5460" w:rsidRDefault="001C5460" w:rsidP="00B60A49">
                            <w:pPr>
                              <w:spacing w:after="100"/>
                            </w:pPr>
                            <w:r w:rsidRPr="000E3C43">
                              <w:t xml:space="preserve">3. DFAT can arrange transportation and ANGO partners can satisfy government requirements for entry and transportation of supplies. </w:t>
                            </w:r>
                          </w:p>
                          <w:p w14:paraId="71A3C855" w14:textId="77777777" w:rsidR="001C5460" w:rsidRDefault="001C5460" w:rsidP="00B60A49">
                            <w:pPr>
                              <w:spacing w:after="100"/>
                            </w:pPr>
                            <w:r>
                              <w:t>4. ANGOs and their local in-country partners have appropriate expertise and capacity to deliver responses to protracted crises and/or slow-onset crises.</w:t>
                            </w:r>
                          </w:p>
                          <w:p w14:paraId="33496C0D" w14:textId="77777777" w:rsidR="001C5460" w:rsidRDefault="001C5460" w:rsidP="00B60A49">
                            <w:pPr>
                              <w:spacing w:after="100"/>
                            </w:pPr>
                            <w:r>
                              <w:t>5.</w:t>
                            </w:r>
                            <w:r w:rsidRPr="00F975FC">
                              <w:t xml:space="preserve"> </w:t>
                            </w:r>
                            <w:r>
                              <w:t>ANGOs and their local in-country partners have appropriate expertise and capacity to deliver responses to rapid response crises.</w:t>
                            </w:r>
                          </w:p>
                          <w:p w14:paraId="22C2FC47" w14:textId="77777777" w:rsidR="001C5460" w:rsidRPr="005767D7" w:rsidRDefault="001C5460" w:rsidP="00B60A49">
                            <w:pPr>
                              <w:spacing w:after="100"/>
                            </w:pPr>
                            <w:r>
                              <w:t>6. Partners have the capacity to make good decisions based on limited rapid assessments and consider recovery needs early on alongside response efforts.</w:t>
                            </w:r>
                          </w:p>
                          <w:p w14:paraId="497ECAD3" w14:textId="3143100F" w:rsidR="001C5460" w:rsidRPr="00C76A32" w:rsidRDefault="001C5460" w:rsidP="00C76A32">
                            <w:pPr>
                              <w:rPr>
                                <w:b/>
                              </w:rPr>
                            </w:pPr>
                            <w:r>
                              <w:rPr>
                                <w:b/>
                              </w:rPr>
                              <w:t>Outcome Area</w:t>
                            </w:r>
                            <w:r w:rsidRPr="005767D7">
                              <w:rPr>
                                <w:b/>
                              </w:rPr>
                              <w:t xml:space="preserve"> 2</w:t>
                            </w:r>
                            <w:r>
                              <w:rPr>
                                <w:b/>
                              </w:rPr>
                              <w:t>:</w:t>
                            </w:r>
                            <w:r w:rsidRPr="005767D7">
                              <w:rPr>
                                <w:b/>
                              </w:rPr>
                              <w:t xml:space="preserve"> Building local humanitarian capability </w:t>
                            </w:r>
                            <w:r w:rsidRPr="00C76A32">
                              <w:rPr>
                                <w:b/>
                              </w:rPr>
                              <w:t>and strengthening disaster resilience of communities in the Pacific</w:t>
                            </w:r>
                          </w:p>
                          <w:p w14:paraId="2C9CBFDE" w14:textId="77777777" w:rsidR="001C5460" w:rsidRPr="005767D7" w:rsidRDefault="001C5460" w:rsidP="00B60A49">
                            <w:pPr>
                              <w:spacing w:after="100"/>
                            </w:pPr>
                            <w:r w:rsidRPr="005767D7">
                              <w:t>1.</w:t>
                            </w:r>
                            <w:r>
                              <w:t xml:space="preserve"> </w:t>
                            </w:r>
                            <w:r w:rsidRPr="005767D7">
                              <w:t xml:space="preserve">ANGO systems and the DFAT-NGO design process </w:t>
                            </w:r>
                            <w:r>
                              <w:t xml:space="preserve">are flexible enough for partners </w:t>
                            </w:r>
                            <w:r w:rsidRPr="005767D7">
                              <w:t xml:space="preserve">to explore synergies. </w:t>
                            </w:r>
                          </w:p>
                          <w:p w14:paraId="14798529" w14:textId="77777777" w:rsidR="001C5460" w:rsidRPr="005767D7" w:rsidRDefault="001C5460" w:rsidP="00B60A49">
                            <w:pPr>
                              <w:spacing w:after="100"/>
                            </w:pPr>
                            <w:r w:rsidRPr="005767D7">
                              <w:t>2. Diversity of NGOs’ sectoral and geographic focuses and internal agency process</w:t>
                            </w:r>
                            <w:r>
                              <w:t>es</w:t>
                            </w:r>
                            <w:r w:rsidRPr="005767D7">
                              <w:t xml:space="preserve"> do</w:t>
                            </w:r>
                            <w:r>
                              <w:t>es</w:t>
                            </w:r>
                            <w:r w:rsidRPr="005767D7">
                              <w:t xml:space="preserve"> not limit collaboration. </w:t>
                            </w:r>
                          </w:p>
                          <w:p w14:paraId="14F643BF" w14:textId="77777777" w:rsidR="001C5460" w:rsidRPr="005767D7" w:rsidRDefault="001C5460" w:rsidP="00B60A49">
                            <w:pPr>
                              <w:spacing w:after="100"/>
                            </w:pPr>
                            <w:r w:rsidRPr="005767D7">
                              <w:t xml:space="preserve">3. NGOs have good working relationships with local authorities and are able to undertake joint decision making and ownership for initiatives.  </w:t>
                            </w:r>
                          </w:p>
                          <w:p w14:paraId="4691C5A9" w14:textId="77777777" w:rsidR="001C5460" w:rsidRPr="005767D7" w:rsidRDefault="001C5460" w:rsidP="00B60A49">
                            <w:pPr>
                              <w:spacing w:after="100"/>
                            </w:pPr>
                            <w:r w:rsidRPr="005767D7">
                              <w:t>4. NGOs integrate a strong</w:t>
                            </w:r>
                            <w:r>
                              <w:t xml:space="preserve"> community</w:t>
                            </w:r>
                            <w:r w:rsidRPr="005767D7">
                              <w:t xml:space="preserve"> capacity building focus throughout initiatives. </w:t>
                            </w:r>
                          </w:p>
                          <w:p w14:paraId="6158C4FA" w14:textId="77777777" w:rsidR="001C5460" w:rsidRPr="005767D7" w:rsidRDefault="001C5460" w:rsidP="00B60A49">
                            <w:pPr>
                              <w:spacing w:after="100"/>
                            </w:pPr>
                            <w:r w:rsidRPr="005767D7">
                              <w:t xml:space="preserve">5. </w:t>
                            </w:r>
                            <w:r w:rsidRPr="000E3C43">
                              <w:t>Local NGO staff and organisational structures are sustainable and a</w:t>
                            </w:r>
                            <w:r>
                              <w:t>ppropriately supported by ANGOs.</w:t>
                            </w:r>
                          </w:p>
                          <w:p w14:paraId="258989D5" w14:textId="77777777" w:rsidR="001C5460" w:rsidRPr="005767D7" w:rsidRDefault="001C5460" w:rsidP="00B60A49">
                            <w:r w:rsidRPr="005767D7">
                              <w:t>6.</w:t>
                            </w:r>
                            <w:r>
                              <w:t xml:space="preserve"> </w:t>
                            </w:r>
                            <w:r w:rsidRPr="005767D7">
                              <w:t>Sendai guiding principles are integrated into the design and delivery of initiatives.</w:t>
                            </w:r>
                          </w:p>
                          <w:p w14:paraId="28797025" w14:textId="77777777" w:rsidR="001C5460" w:rsidRPr="00A7718E" w:rsidRDefault="001C5460" w:rsidP="00B60A49">
                            <w:pPr>
                              <w:rPr>
                                <w:b/>
                              </w:rPr>
                            </w:pPr>
                            <w:r>
                              <w:rPr>
                                <w:b/>
                              </w:rPr>
                              <w:t>Outcome Area 3:</w:t>
                            </w:r>
                            <w:r w:rsidRPr="005767D7">
                              <w:rPr>
                                <w:b/>
                              </w:rPr>
                              <w:t xml:space="preserve"> </w:t>
                            </w:r>
                            <w:r w:rsidRPr="00A7718E">
                              <w:rPr>
                                <w:b/>
                              </w:rPr>
                              <w:t xml:space="preserve">The DFAT-HRG </w:t>
                            </w:r>
                            <w:r>
                              <w:rPr>
                                <w:b/>
                              </w:rPr>
                              <w:t>p</w:t>
                            </w:r>
                            <w:r w:rsidRPr="00A7718E">
                              <w:rPr>
                                <w:b/>
                              </w:rPr>
                              <w:t>artnership</w:t>
                            </w:r>
                          </w:p>
                          <w:p w14:paraId="55D00505" w14:textId="77777777" w:rsidR="001C5460" w:rsidRPr="00A7718E" w:rsidRDefault="001C5460" w:rsidP="00B60A49">
                            <w:pPr>
                              <w:spacing w:after="100"/>
                            </w:pPr>
                            <w:r w:rsidRPr="00A7718E">
                              <w:t xml:space="preserve">1. </w:t>
                            </w:r>
                            <w:r>
                              <w:t xml:space="preserve">DFAT and HRG members can agree on clear and achievable partnership outcomes and the Support Unit functions to progress these. </w:t>
                            </w:r>
                          </w:p>
                          <w:p w14:paraId="285D78E5" w14:textId="77777777" w:rsidR="001C5460" w:rsidRPr="00A7718E" w:rsidRDefault="001C5460" w:rsidP="00B60A49">
                            <w:pPr>
                              <w:spacing w:after="100"/>
                            </w:pPr>
                            <w:r w:rsidRPr="00A7718E">
                              <w:t xml:space="preserve">2. DFAT, Whole-of-government and ANGO response partners can form working links in responses where appropriate. </w:t>
                            </w:r>
                          </w:p>
                          <w:p w14:paraId="24F3A822" w14:textId="77777777" w:rsidR="001C5460" w:rsidRPr="00A7718E" w:rsidRDefault="001C5460" w:rsidP="00B60A49">
                            <w:pPr>
                              <w:spacing w:after="100"/>
                            </w:pPr>
                            <w:r>
                              <w:t>3</w:t>
                            </w:r>
                            <w:r w:rsidRPr="00A7718E">
                              <w:t xml:space="preserve">. ANGOs do not perceive that this will diminish their ability to raise funds.  </w:t>
                            </w:r>
                          </w:p>
                          <w:p w14:paraId="3285EA02" w14:textId="77777777" w:rsidR="001C5460" w:rsidRPr="00A7718E" w:rsidRDefault="001C5460" w:rsidP="00B60A49">
                            <w:pPr>
                              <w:spacing w:after="100"/>
                            </w:pPr>
                            <w:r>
                              <w:t>4</w:t>
                            </w:r>
                            <w:r w:rsidRPr="00A7718E">
                              <w:t>. Domestic and international stakeholders are more likely to contribute funds if they see a coordinated and consolidated Australian approach.</w:t>
                            </w:r>
                          </w:p>
                          <w:p w14:paraId="566F1768" w14:textId="77777777" w:rsidR="001C5460" w:rsidRPr="00A7718E" w:rsidRDefault="001C5460" w:rsidP="00B60A49">
                            <w:pPr>
                              <w:spacing w:after="100"/>
                            </w:pPr>
                            <w:r>
                              <w:t>5</w:t>
                            </w:r>
                            <w:r w:rsidRPr="00A7718E">
                              <w:t>. Learning in relation to response and resilience initiatives feeds into the wider learning agenda of the HRG.</w:t>
                            </w:r>
                          </w:p>
                          <w:p w14:paraId="7EE1D1F6" w14:textId="77777777" w:rsidR="001C5460" w:rsidRPr="00A7718E" w:rsidRDefault="001C5460" w:rsidP="00B60A49">
                            <w:pPr>
                              <w:spacing w:after="100"/>
                            </w:pPr>
                            <w:r w:rsidRPr="00A7718E">
                              <w:t>6. HRG dialogue will not be diluted by locating the mechanism within the HRG (noting not all members will receive funding).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7" type="#_x0000_t202" style="position:absolute;margin-left:4.05pt;margin-top:47.85pt;width:470.7pt;height:6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" fillcolor="#a3c4ff" strokecolor="#4a7ebb" strokeweight="1.5pt">
                <v:fill color2="#e5eeff" rotate="t" angle="180" colors="0 #a3c4ff;22938f #bfd5ff;1 #e5eeff" focus="100%" type="gradient"/>
                <v:shadow on="t" color="black" opacity="24903f" origin=",.5" offset="0,.55556mm"/>
                <v:textbox>
                  <w:txbxContent>
                    <w:p w14:paraId="7C377133" w14:textId="77777777" w:rsidR="001C5460" w:rsidRDefault="001C5460" w:rsidP="00B60A49">
                      <w:pPr>
                        <w:rPr>
                          <w:b/>
                        </w:rPr>
                      </w:pPr>
                      <w:r w:rsidRPr="000E3C43">
                        <w:rPr>
                          <w:b/>
                        </w:rPr>
                        <w:t xml:space="preserve">ASSUMPTIONS </w:t>
                      </w:r>
                      <w:r>
                        <w:rPr>
                          <w:b/>
                        </w:rPr>
                        <w:t>UNDERPINNING THE THEORY OF CHANGE</w:t>
                      </w:r>
                    </w:p>
                    <w:p w14:paraId="75FEB759" w14:textId="77777777" w:rsidR="001C5460" w:rsidRPr="000E3C43" w:rsidRDefault="001C5460" w:rsidP="00B60A49">
                      <w:pPr>
                        <w:rPr>
                          <w:b/>
                        </w:rPr>
                      </w:pPr>
                      <w:r>
                        <w:rPr>
                          <w:b/>
                        </w:rPr>
                        <w:t>Outcome Area</w:t>
                      </w:r>
                      <w:r w:rsidRPr="000E3C43">
                        <w:rPr>
                          <w:b/>
                        </w:rPr>
                        <w:t xml:space="preserve"> 1: Response and </w:t>
                      </w:r>
                      <w:r>
                        <w:rPr>
                          <w:b/>
                        </w:rPr>
                        <w:t>early r</w:t>
                      </w:r>
                      <w:r w:rsidRPr="000E3C43">
                        <w:rPr>
                          <w:b/>
                        </w:rPr>
                        <w:t>ecovery</w:t>
                      </w:r>
                    </w:p>
                    <w:p w14:paraId="47CCBB0E" w14:textId="77777777" w:rsidR="001C5460" w:rsidRPr="000E3C43" w:rsidRDefault="001C5460" w:rsidP="00B60A49">
                      <w:pPr>
                        <w:spacing w:after="100"/>
                      </w:pPr>
                      <w:r w:rsidRPr="000E3C43">
                        <w:t>1. The peer review panel is objective and transparent.</w:t>
                      </w:r>
                    </w:p>
                    <w:p w14:paraId="1430ED51" w14:textId="77777777" w:rsidR="001C5460" w:rsidRPr="000E3C43" w:rsidRDefault="001C5460" w:rsidP="00B60A49">
                      <w:pPr>
                        <w:spacing w:after="100"/>
                      </w:pPr>
                      <w:r w:rsidRPr="000E3C43">
                        <w:t>2. ANGOs have the legal and operational arrangements in place to operate in-country.</w:t>
                      </w:r>
                    </w:p>
                    <w:p w14:paraId="340CFF1D" w14:textId="77777777" w:rsidR="001C5460" w:rsidRDefault="001C5460" w:rsidP="00B60A49">
                      <w:pPr>
                        <w:spacing w:after="100"/>
                      </w:pPr>
                      <w:r w:rsidRPr="000E3C43">
                        <w:t xml:space="preserve">3. DFAT can arrange transportation and ANGO partners can satisfy government requirements for entry and transportation of supplies. </w:t>
                      </w:r>
                    </w:p>
                    <w:p w14:paraId="71A3C855" w14:textId="77777777" w:rsidR="001C5460" w:rsidRDefault="001C5460" w:rsidP="00B60A49">
                      <w:pPr>
                        <w:spacing w:after="100"/>
                      </w:pPr>
                      <w:r>
                        <w:t>4. ANGOs and their local in-country partners have appropriate expertise and capacity to deliver responses to protracted crises and/or slow-onset crises.</w:t>
                      </w:r>
                    </w:p>
                    <w:p w14:paraId="33496C0D" w14:textId="77777777" w:rsidR="001C5460" w:rsidRDefault="001C5460" w:rsidP="00B60A49">
                      <w:pPr>
                        <w:spacing w:after="100"/>
                      </w:pPr>
                      <w:r>
                        <w:t>5.</w:t>
                      </w:r>
                      <w:r w:rsidRPr="00F975FC">
                        <w:t xml:space="preserve"> </w:t>
                      </w:r>
                      <w:r>
                        <w:t>ANGOs and their local in-country partners have appropriate expertise and capacity to deliver responses to rapid response crises.</w:t>
                      </w:r>
                    </w:p>
                    <w:p w14:paraId="22C2FC47" w14:textId="77777777" w:rsidR="001C5460" w:rsidRPr="005767D7" w:rsidRDefault="001C5460" w:rsidP="00B60A49">
                      <w:pPr>
                        <w:spacing w:after="100"/>
                      </w:pPr>
                      <w:r>
                        <w:t>6. Partners have the capacity to make good decisions based on limited rapid assessments and consider recovery needs early on alongside response efforts.</w:t>
                      </w:r>
                    </w:p>
                    <w:p w14:paraId="497ECAD3" w14:textId="3143100F" w:rsidR="001C5460" w:rsidRPr="00C76A32" w:rsidRDefault="001C5460" w:rsidP="00C76A32">
                      <w:pPr>
                        <w:rPr>
                          <w:b/>
                        </w:rPr>
                      </w:pPr>
                      <w:r>
                        <w:rPr>
                          <w:b/>
                        </w:rPr>
                        <w:t>Outcome Area</w:t>
                      </w:r>
                      <w:r w:rsidRPr="005767D7">
                        <w:rPr>
                          <w:b/>
                        </w:rPr>
                        <w:t xml:space="preserve"> 2</w:t>
                      </w:r>
                      <w:r>
                        <w:rPr>
                          <w:b/>
                        </w:rPr>
                        <w:t>:</w:t>
                      </w:r>
                      <w:r w:rsidRPr="005767D7">
                        <w:rPr>
                          <w:b/>
                        </w:rPr>
                        <w:t xml:space="preserve"> Building local humanitarian capability </w:t>
                      </w:r>
                      <w:r w:rsidRPr="00C76A32">
                        <w:rPr>
                          <w:b/>
                        </w:rPr>
                        <w:t>and strengthening disaster resilience of communities in the Pacific</w:t>
                      </w:r>
                    </w:p>
                    <w:p w14:paraId="2C9CBFDE" w14:textId="77777777" w:rsidR="001C5460" w:rsidRPr="005767D7" w:rsidRDefault="001C5460" w:rsidP="00B60A49">
                      <w:pPr>
                        <w:spacing w:after="100"/>
                      </w:pPr>
                      <w:r w:rsidRPr="005767D7">
                        <w:t>1.</w:t>
                      </w:r>
                      <w:r>
                        <w:t xml:space="preserve"> </w:t>
                      </w:r>
                      <w:r w:rsidRPr="005767D7">
                        <w:t xml:space="preserve">ANGO systems and the DFAT-NGO design process </w:t>
                      </w:r>
                      <w:r>
                        <w:t xml:space="preserve">are flexible enough for partners </w:t>
                      </w:r>
                      <w:r w:rsidRPr="005767D7">
                        <w:t xml:space="preserve">to explore synergies. </w:t>
                      </w:r>
                    </w:p>
                    <w:p w14:paraId="14798529" w14:textId="77777777" w:rsidR="001C5460" w:rsidRPr="005767D7" w:rsidRDefault="001C5460" w:rsidP="00B60A49">
                      <w:pPr>
                        <w:spacing w:after="100"/>
                      </w:pPr>
                      <w:r w:rsidRPr="005767D7">
                        <w:t>2. Diversity of NGOs’ sectoral and geographic focuses and internal agency process</w:t>
                      </w:r>
                      <w:r>
                        <w:t>es</w:t>
                      </w:r>
                      <w:r w:rsidRPr="005767D7">
                        <w:t xml:space="preserve"> do</w:t>
                      </w:r>
                      <w:r>
                        <w:t>es</w:t>
                      </w:r>
                      <w:r w:rsidRPr="005767D7">
                        <w:t xml:space="preserve"> not limit collaboration. </w:t>
                      </w:r>
                    </w:p>
                    <w:p w14:paraId="14F643BF" w14:textId="77777777" w:rsidR="001C5460" w:rsidRPr="005767D7" w:rsidRDefault="001C5460" w:rsidP="00B60A49">
                      <w:pPr>
                        <w:spacing w:after="100"/>
                      </w:pPr>
                      <w:r w:rsidRPr="005767D7">
                        <w:t xml:space="preserve">3. NGOs have good working relationships with local authorities and are able to undertake joint decision making and ownership for initiatives.  </w:t>
                      </w:r>
                    </w:p>
                    <w:p w14:paraId="4691C5A9" w14:textId="77777777" w:rsidR="001C5460" w:rsidRPr="005767D7" w:rsidRDefault="001C5460" w:rsidP="00B60A49">
                      <w:pPr>
                        <w:spacing w:after="100"/>
                      </w:pPr>
                      <w:r w:rsidRPr="005767D7">
                        <w:t>4. NGOs integrate a strong</w:t>
                      </w:r>
                      <w:r>
                        <w:t xml:space="preserve"> community</w:t>
                      </w:r>
                      <w:r w:rsidRPr="005767D7">
                        <w:t xml:space="preserve"> capacity building focus throughout initiatives. </w:t>
                      </w:r>
                    </w:p>
                    <w:p w14:paraId="6158C4FA" w14:textId="77777777" w:rsidR="001C5460" w:rsidRPr="005767D7" w:rsidRDefault="001C5460" w:rsidP="00B60A49">
                      <w:pPr>
                        <w:spacing w:after="100"/>
                      </w:pPr>
                      <w:r w:rsidRPr="005767D7">
                        <w:t xml:space="preserve">5. </w:t>
                      </w:r>
                      <w:r w:rsidRPr="000E3C43">
                        <w:t>Local NGO staff and organisational structures are sustainable and a</w:t>
                      </w:r>
                      <w:r>
                        <w:t>ppropriately supported by ANGOs.</w:t>
                      </w:r>
                    </w:p>
                    <w:p w14:paraId="258989D5" w14:textId="77777777" w:rsidR="001C5460" w:rsidRPr="005767D7" w:rsidRDefault="001C5460" w:rsidP="00B60A49">
                      <w:r w:rsidRPr="005767D7">
                        <w:t>6.</w:t>
                      </w:r>
                      <w:r>
                        <w:t xml:space="preserve"> </w:t>
                      </w:r>
                      <w:r w:rsidRPr="005767D7">
                        <w:t>Sendai guiding principles are integrated into the design and delivery of initiatives.</w:t>
                      </w:r>
                    </w:p>
                    <w:p w14:paraId="28797025" w14:textId="77777777" w:rsidR="001C5460" w:rsidRPr="00A7718E" w:rsidRDefault="001C5460" w:rsidP="00B60A49">
                      <w:pPr>
                        <w:rPr>
                          <w:b/>
                        </w:rPr>
                      </w:pPr>
                      <w:r>
                        <w:rPr>
                          <w:b/>
                        </w:rPr>
                        <w:t>Outcome Area 3:</w:t>
                      </w:r>
                      <w:r w:rsidRPr="005767D7">
                        <w:rPr>
                          <w:b/>
                        </w:rPr>
                        <w:t xml:space="preserve"> </w:t>
                      </w:r>
                      <w:r w:rsidRPr="00A7718E">
                        <w:rPr>
                          <w:b/>
                        </w:rPr>
                        <w:t xml:space="preserve">The DFAT-HRG </w:t>
                      </w:r>
                      <w:r>
                        <w:rPr>
                          <w:b/>
                        </w:rPr>
                        <w:t>p</w:t>
                      </w:r>
                      <w:r w:rsidRPr="00A7718E">
                        <w:rPr>
                          <w:b/>
                        </w:rPr>
                        <w:t>artnership</w:t>
                      </w:r>
                    </w:p>
                    <w:p w14:paraId="55D00505" w14:textId="77777777" w:rsidR="001C5460" w:rsidRPr="00A7718E" w:rsidRDefault="001C5460" w:rsidP="00B60A49">
                      <w:pPr>
                        <w:spacing w:after="100"/>
                      </w:pPr>
                      <w:r w:rsidRPr="00A7718E">
                        <w:t xml:space="preserve">1. </w:t>
                      </w:r>
                      <w:r>
                        <w:t xml:space="preserve">DFAT and HRG members can agree on clear and achievable partnership outcomes and the Support Unit functions to progress these. </w:t>
                      </w:r>
                    </w:p>
                    <w:p w14:paraId="285D78E5" w14:textId="77777777" w:rsidR="001C5460" w:rsidRPr="00A7718E" w:rsidRDefault="001C5460" w:rsidP="00B60A49">
                      <w:pPr>
                        <w:spacing w:after="100"/>
                      </w:pPr>
                      <w:r w:rsidRPr="00A7718E">
                        <w:t xml:space="preserve">2. DFAT, Whole-of-government and ANGO response partners can form working links in responses where appropriate. </w:t>
                      </w:r>
                    </w:p>
                    <w:p w14:paraId="24F3A822" w14:textId="77777777" w:rsidR="001C5460" w:rsidRPr="00A7718E" w:rsidRDefault="001C5460" w:rsidP="00B60A49">
                      <w:pPr>
                        <w:spacing w:after="100"/>
                      </w:pPr>
                      <w:r>
                        <w:t>3</w:t>
                      </w:r>
                      <w:r w:rsidRPr="00A7718E">
                        <w:t xml:space="preserve">. ANGOs do not perceive that this will diminish their ability to raise funds.  </w:t>
                      </w:r>
                    </w:p>
                    <w:p w14:paraId="3285EA02" w14:textId="77777777" w:rsidR="001C5460" w:rsidRPr="00A7718E" w:rsidRDefault="001C5460" w:rsidP="00B60A49">
                      <w:pPr>
                        <w:spacing w:after="100"/>
                      </w:pPr>
                      <w:r>
                        <w:t>4</w:t>
                      </w:r>
                      <w:r w:rsidRPr="00A7718E">
                        <w:t>. Domestic and international stakeholders are more likely to contribute funds if they see a coordinated and consolidated Australian approach.</w:t>
                      </w:r>
                    </w:p>
                    <w:p w14:paraId="566F1768" w14:textId="77777777" w:rsidR="001C5460" w:rsidRPr="00A7718E" w:rsidRDefault="001C5460" w:rsidP="00B60A49">
                      <w:pPr>
                        <w:spacing w:after="100"/>
                      </w:pPr>
                      <w:r>
                        <w:t>5</w:t>
                      </w:r>
                      <w:r w:rsidRPr="00A7718E">
                        <w:t>. Learning in relation to response and resilience initiatives feeds into the wider learning agenda of the HRG.</w:t>
                      </w:r>
                    </w:p>
                    <w:p w14:paraId="7EE1D1F6" w14:textId="77777777" w:rsidR="001C5460" w:rsidRPr="00A7718E" w:rsidRDefault="001C5460" w:rsidP="00B60A49">
                      <w:pPr>
                        <w:spacing w:after="100"/>
                      </w:pPr>
                      <w:r w:rsidRPr="00A7718E">
                        <w:t>6. HRG dialogue will not be diluted by locating the mechanism within the HRG (noting not all members will receive funding).</w:t>
                      </w:r>
                    </w:p>
                  </w:txbxContent>
                </v:textbox>
                <w10:wrap type="square"/>
              </v:shape>
            </w:pict>
          </mc:Fallback>
        </mc:AlternateContent>
      </w:r>
      <w:r w:rsidR="00240160" w:rsidRPr="00A7718E">
        <w:rPr>
          <w:rFonts w:eastAsia="MS Mincho" w:cs="Times New Roman"/>
        </w:rPr>
        <w:t>The</w:t>
      </w:r>
      <w:r w:rsidR="00240160">
        <w:rPr>
          <w:rFonts w:eastAsia="MS Mincho" w:cs="Times New Roman"/>
        </w:rPr>
        <w:t xml:space="preserve"> following assumptions are linked to the numbers in the Theory of Change diagram:</w:t>
      </w:r>
    </w:p>
    <w:p w14:paraId="77096496" w14:textId="77777777" w:rsidR="00240160" w:rsidRDefault="00240160">
      <w:pPr>
        <w:rPr>
          <w:rFonts w:ascii="Calibri" w:hAnsi="Calibri"/>
          <w:b/>
        </w:rPr>
        <w:sectPr w:rsidR="00240160" w:rsidSect="00240160">
          <w:pgSz w:w="11900" w:h="16840"/>
          <w:pgMar w:top="1440" w:right="1800" w:bottom="1440" w:left="1800" w:header="708" w:footer="708" w:gutter="0"/>
          <w:cols w:space="708"/>
          <w:docGrid w:linePitch="360"/>
        </w:sectPr>
      </w:pPr>
    </w:p>
    <w:p w14:paraId="3E64D600" w14:textId="77777777" w:rsidR="00377C6E" w:rsidRPr="00310A12" w:rsidRDefault="00377C6E" w:rsidP="00377C6E">
      <w:pPr>
        <w:pBdr>
          <w:bottom w:val="single" w:sz="4" w:space="10" w:color="CF5D27"/>
        </w:pBdr>
        <w:spacing w:before="360" w:after="280"/>
        <w:outlineLvl w:val="1"/>
        <w:rPr>
          <w:rFonts w:ascii="Calibri" w:eastAsiaTheme="majorEastAsia" w:hAnsi="Calibri" w:cstheme="majorBidi"/>
          <w:b/>
          <w:bCs/>
          <w:color w:val="757575"/>
          <w:sz w:val="50"/>
          <w:szCs w:val="26"/>
        </w:rPr>
      </w:pPr>
      <w:bookmarkStart w:id="54" w:name="_Toc437852586"/>
      <w:bookmarkStart w:id="55" w:name="_Toc448777819"/>
      <w:r>
        <w:rPr>
          <w:rFonts w:ascii="Calibri" w:eastAsiaTheme="majorEastAsia" w:hAnsi="Calibri" w:cstheme="majorBidi"/>
          <w:b/>
          <w:bCs/>
          <w:color w:val="757575"/>
          <w:sz w:val="50"/>
          <w:szCs w:val="26"/>
        </w:rPr>
        <w:lastRenderedPageBreak/>
        <w:t xml:space="preserve">Annex 3: </w:t>
      </w:r>
      <w:r w:rsidR="00295CFB">
        <w:rPr>
          <w:rFonts w:ascii="Calibri" w:eastAsiaTheme="majorEastAsia" w:hAnsi="Calibri" w:cstheme="majorBidi"/>
          <w:b/>
          <w:bCs/>
          <w:color w:val="757575"/>
          <w:sz w:val="50"/>
          <w:szCs w:val="26"/>
        </w:rPr>
        <w:t xml:space="preserve">Draft </w:t>
      </w:r>
      <w:r>
        <w:rPr>
          <w:rFonts w:ascii="Calibri" w:eastAsiaTheme="majorEastAsia" w:hAnsi="Calibri" w:cstheme="majorBidi"/>
          <w:b/>
          <w:bCs/>
          <w:color w:val="757575"/>
          <w:sz w:val="50"/>
          <w:szCs w:val="26"/>
        </w:rPr>
        <w:t>Theory of Action</w:t>
      </w:r>
      <w:bookmarkEnd w:id="54"/>
      <w:bookmarkEnd w:id="55"/>
      <w:r>
        <w:rPr>
          <w:rFonts w:ascii="Calibri" w:eastAsiaTheme="majorEastAsia" w:hAnsi="Calibri" w:cstheme="majorBidi"/>
          <w:b/>
          <w:bCs/>
          <w:color w:val="757575"/>
          <w:sz w:val="50"/>
          <w:szCs w:val="26"/>
        </w:rPr>
        <w:t xml:space="preserve"> </w:t>
      </w:r>
    </w:p>
    <w:p w14:paraId="3D7297D7" w14:textId="77777777" w:rsidR="00377C6E" w:rsidRPr="003D57AA" w:rsidRDefault="00377C6E" w:rsidP="00377C6E">
      <w:pPr>
        <w:ind w:right="-76"/>
        <w:rPr>
          <w:rFonts w:cs="AvenirNext-Regular"/>
        </w:rPr>
      </w:pPr>
      <w:r w:rsidRPr="003D57AA">
        <w:rPr>
          <w:rFonts w:cs="AvenirNext-Regular"/>
        </w:rPr>
        <w:t xml:space="preserve">This section presents the </w:t>
      </w:r>
      <w:r w:rsidR="00295CFB" w:rsidRPr="003D57AA">
        <w:rPr>
          <w:rFonts w:cs="AvenirNext-Regular"/>
        </w:rPr>
        <w:t xml:space="preserve">draft </w:t>
      </w:r>
      <w:r w:rsidRPr="003D57AA">
        <w:rPr>
          <w:rFonts w:cs="AvenirNext-Regular"/>
        </w:rPr>
        <w:t xml:space="preserve">Theory of Action for the partnership. It explains how the Theory of Change (presented in Annex 2) will be activated to achieve the expected outcomes. It identifies Measures of Success which clarify each outcome and identify what success will look like. These Measures of Success are the criteria by which performance will be judged. The Theory of Action also outlines what the partnership will do to achieve the intended outcomes. Only outcomes with activities allocated to them are included. This is because higher level end of investment outcomes may flow primarily from lower-level outcomes, with little or no further effort required by the project. </w:t>
      </w:r>
    </w:p>
    <w:p w14:paraId="7037E4C6" w14:textId="77777777" w:rsidR="00377C6E" w:rsidRPr="00EA0910" w:rsidRDefault="00377C6E" w:rsidP="00377C6E">
      <w:pPr>
        <w:ind w:right="-76"/>
        <w:jc w:val="both"/>
        <w:rPr>
          <w:rFonts w:cs="AvenirNext-Regular"/>
        </w:rPr>
      </w:pPr>
    </w:p>
    <w:tbl>
      <w:tblPr>
        <w:tblStyle w:val="TableGrid"/>
        <w:tblW w:w="0" w:type="auto"/>
        <w:tblInd w:w="108" w:type="dxa"/>
        <w:tblLook w:val="04A0" w:firstRow="1" w:lastRow="0" w:firstColumn="1" w:lastColumn="0" w:noHBand="0" w:noVBand="1"/>
      </w:tblPr>
      <w:tblGrid>
        <w:gridCol w:w="1976"/>
        <w:gridCol w:w="5160"/>
        <w:gridCol w:w="6704"/>
      </w:tblGrid>
      <w:tr w:rsidR="00377C6E" w:rsidRPr="00EA0910" w14:paraId="4A3F2AE0" w14:textId="77777777" w:rsidTr="00C23DFB">
        <w:tc>
          <w:tcPr>
            <w:tcW w:w="13840" w:type="dxa"/>
            <w:gridSpan w:val="3"/>
            <w:shd w:val="clear" w:color="auto" w:fill="B8CCE4" w:themeFill="accent1" w:themeFillTint="66"/>
          </w:tcPr>
          <w:p w14:paraId="2B507FAF" w14:textId="77777777" w:rsidR="00377C6E" w:rsidRPr="00EA0910" w:rsidRDefault="00377C6E" w:rsidP="00C23DFB">
            <w:pPr>
              <w:rPr>
                <w:rFonts w:ascii="Calibri" w:hAnsi="Calibri" w:cs="Calibri"/>
                <w:b/>
                <w:bCs/>
                <w:color w:val="000000"/>
                <w:sz w:val="32"/>
                <w:szCs w:val="32"/>
              </w:rPr>
            </w:pPr>
            <w:r>
              <w:rPr>
                <w:rFonts w:ascii="Calibri" w:hAnsi="Calibri" w:cs="Calibri"/>
                <w:b/>
                <w:bCs/>
                <w:color w:val="000000"/>
                <w:sz w:val="32"/>
                <w:szCs w:val="32"/>
              </w:rPr>
              <w:t>OUTCOME AREA</w:t>
            </w:r>
            <w:r w:rsidRPr="00EA0910">
              <w:rPr>
                <w:rFonts w:ascii="Calibri" w:hAnsi="Calibri" w:cs="Calibri"/>
                <w:b/>
                <w:bCs/>
                <w:color w:val="000000"/>
                <w:sz w:val="32"/>
                <w:szCs w:val="32"/>
              </w:rPr>
              <w:t xml:space="preserve"> 1: RESPONSE &amp; EARLY RECOVERY</w:t>
            </w:r>
          </w:p>
        </w:tc>
      </w:tr>
      <w:tr w:rsidR="00377C6E" w:rsidRPr="00413364" w14:paraId="2255B249" w14:textId="77777777" w:rsidTr="00C23DFB">
        <w:tc>
          <w:tcPr>
            <w:tcW w:w="1976" w:type="dxa"/>
          </w:tcPr>
          <w:p w14:paraId="745CA618" w14:textId="77777777" w:rsidR="00377C6E" w:rsidRPr="00413364" w:rsidRDefault="00377C6E" w:rsidP="00C23DFB">
            <w:pPr>
              <w:rPr>
                <w:rFonts w:asciiTheme="minorHAnsi" w:hAnsiTheme="minorHAnsi"/>
                <w:b/>
              </w:rPr>
            </w:pPr>
            <w:r w:rsidRPr="00413364">
              <w:rPr>
                <w:rFonts w:asciiTheme="minorHAnsi" w:hAnsiTheme="minorHAnsi"/>
                <w:b/>
              </w:rPr>
              <w:t>Outcomes</w:t>
            </w:r>
          </w:p>
        </w:tc>
        <w:tc>
          <w:tcPr>
            <w:tcW w:w="5160" w:type="dxa"/>
          </w:tcPr>
          <w:p w14:paraId="215CD4F1" w14:textId="77777777" w:rsidR="00377C6E" w:rsidRPr="00413364" w:rsidRDefault="00377C6E" w:rsidP="00C23DFB">
            <w:pPr>
              <w:rPr>
                <w:rFonts w:asciiTheme="minorHAnsi" w:hAnsiTheme="minorHAnsi"/>
                <w:b/>
              </w:rPr>
            </w:pPr>
            <w:r w:rsidRPr="00413364">
              <w:rPr>
                <w:rFonts w:asciiTheme="minorHAnsi" w:hAnsiTheme="minorHAnsi"/>
                <w:b/>
              </w:rPr>
              <w:t>Measures of Success</w:t>
            </w:r>
          </w:p>
        </w:tc>
        <w:tc>
          <w:tcPr>
            <w:tcW w:w="6704" w:type="dxa"/>
          </w:tcPr>
          <w:p w14:paraId="0161DC86" w14:textId="77777777" w:rsidR="00377C6E" w:rsidRPr="00413364" w:rsidRDefault="00377C6E" w:rsidP="00C23DFB">
            <w:pPr>
              <w:rPr>
                <w:rFonts w:asciiTheme="minorHAnsi" w:hAnsiTheme="minorHAnsi"/>
                <w:b/>
              </w:rPr>
            </w:pPr>
            <w:r w:rsidRPr="00413364">
              <w:rPr>
                <w:rFonts w:asciiTheme="minorHAnsi" w:hAnsiTheme="minorHAnsi"/>
                <w:b/>
              </w:rPr>
              <w:t xml:space="preserve">How will the outcomes be activated? </w:t>
            </w:r>
          </w:p>
        </w:tc>
      </w:tr>
      <w:tr w:rsidR="00377C6E" w:rsidRPr="003D57AA" w14:paraId="2D61078E" w14:textId="77777777" w:rsidTr="00C23DFB">
        <w:tc>
          <w:tcPr>
            <w:tcW w:w="1976" w:type="dxa"/>
          </w:tcPr>
          <w:p w14:paraId="4CA55770"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The best placed ANGOs are selected to deliver humanitarian responses.</w:t>
            </w:r>
          </w:p>
        </w:tc>
        <w:tc>
          <w:tcPr>
            <w:tcW w:w="5160" w:type="dxa"/>
          </w:tcPr>
          <w:p w14:paraId="7E183C83" w14:textId="77777777" w:rsidR="00377C6E" w:rsidRPr="003D57AA" w:rsidRDefault="00377C6E" w:rsidP="00377C6E">
            <w:pPr>
              <w:numPr>
                <w:ilvl w:val="0"/>
                <w:numId w:val="39"/>
              </w:numPr>
              <w:contextualSpacing/>
              <w:rPr>
                <w:sz w:val="22"/>
                <w:szCs w:val="22"/>
              </w:rPr>
            </w:pPr>
            <w:r w:rsidRPr="003D57AA">
              <w:rPr>
                <w:sz w:val="22"/>
                <w:szCs w:val="22"/>
              </w:rPr>
              <w:t>Selection ensures optimal overall response in terms of achieving maximum reach and addressing priority needs, avoiding duplication.</w:t>
            </w:r>
          </w:p>
          <w:p w14:paraId="02D6676D" w14:textId="77777777" w:rsidR="00377C6E" w:rsidRPr="003D57AA" w:rsidRDefault="00377C6E" w:rsidP="00377C6E">
            <w:pPr>
              <w:numPr>
                <w:ilvl w:val="0"/>
                <w:numId w:val="39"/>
              </w:numPr>
              <w:contextualSpacing/>
              <w:rPr>
                <w:sz w:val="22"/>
                <w:szCs w:val="22"/>
              </w:rPr>
            </w:pPr>
            <w:r w:rsidRPr="003D57AA">
              <w:rPr>
                <w:sz w:val="22"/>
                <w:szCs w:val="22"/>
              </w:rPr>
              <w:t>Selected partners have good relationships with local implementing partners, government and communities and support localisation.</w:t>
            </w:r>
          </w:p>
          <w:p w14:paraId="764A818F" w14:textId="77777777" w:rsidR="00377C6E" w:rsidRPr="003D57AA" w:rsidRDefault="00377C6E" w:rsidP="00377C6E">
            <w:pPr>
              <w:numPr>
                <w:ilvl w:val="0"/>
                <w:numId w:val="39"/>
              </w:numPr>
              <w:contextualSpacing/>
              <w:rPr>
                <w:sz w:val="22"/>
                <w:szCs w:val="22"/>
              </w:rPr>
            </w:pPr>
            <w:r w:rsidRPr="003D57AA">
              <w:rPr>
                <w:sz w:val="22"/>
                <w:szCs w:val="22"/>
              </w:rPr>
              <w:t>Selected partners have the technical and humanitarian response capacity to deliver the response required.</w:t>
            </w:r>
          </w:p>
        </w:tc>
        <w:tc>
          <w:tcPr>
            <w:tcW w:w="6704" w:type="dxa"/>
          </w:tcPr>
          <w:p w14:paraId="2359374D" w14:textId="77777777" w:rsidR="00377C6E" w:rsidRPr="003D57AA" w:rsidRDefault="00377C6E" w:rsidP="00377C6E">
            <w:pPr>
              <w:numPr>
                <w:ilvl w:val="0"/>
                <w:numId w:val="39"/>
              </w:numPr>
              <w:contextualSpacing/>
              <w:rPr>
                <w:sz w:val="22"/>
                <w:szCs w:val="22"/>
              </w:rPr>
            </w:pPr>
            <w:r w:rsidRPr="003D57AA">
              <w:rPr>
                <w:sz w:val="22"/>
                <w:szCs w:val="22"/>
              </w:rPr>
              <w:t>DFAT and HRG will revise selection criteria to ensure rigour within the decision making process.</w:t>
            </w:r>
          </w:p>
          <w:p w14:paraId="30AB4231" w14:textId="77777777" w:rsidR="00377C6E" w:rsidRPr="003D57AA" w:rsidRDefault="00377C6E" w:rsidP="00377C6E">
            <w:pPr>
              <w:numPr>
                <w:ilvl w:val="0"/>
                <w:numId w:val="39"/>
              </w:numPr>
              <w:contextualSpacing/>
              <w:rPr>
                <w:sz w:val="22"/>
                <w:szCs w:val="22"/>
              </w:rPr>
            </w:pPr>
            <w:r w:rsidRPr="003D57AA">
              <w:rPr>
                <w:sz w:val="22"/>
                <w:szCs w:val="22"/>
              </w:rPr>
              <w:t xml:space="preserve">For responses, a committee with the expertise required which brings in independent players will be formed comprising: one representative of each pre-selected NGO; the Partnership Director; an HRG representative and an independent technical expert.  </w:t>
            </w:r>
          </w:p>
          <w:p w14:paraId="351714A3" w14:textId="77777777" w:rsidR="00377C6E" w:rsidRPr="003D57AA" w:rsidRDefault="00377C6E" w:rsidP="00377C6E">
            <w:pPr>
              <w:numPr>
                <w:ilvl w:val="0"/>
                <w:numId w:val="39"/>
              </w:numPr>
              <w:contextualSpacing/>
              <w:rPr>
                <w:sz w:val="22"/>
                <w:szCs w:val="22"/>
              </w:rPr>
            </w:pPr>
            <w:r w:rsidRPr="003D57AA">
              <w:rPr>
                <w:sz w:val="22"/>
                <w:szCs w:val="22"/>
              </w:rPr>
              <w:t xml:space="preserve">For protracted and slow onset crises, the selection parameters will be determined by DFAT and the selection process will involve consultation with Post and, if appropriate, the recipient government. The selection will be informed by an assessment of the proposal/s </w:t>
            </w:r>
            <w:r w:rsidR="00F92121" w:rsidRPr="003D57AA">
              <w:rPr>
                <w:sz w:val="22"/>
                <w:szCs w:val="22"/>
              </w:rPr>
              <w:t>by</w:t>
            </w:r>
            <w:r w:rsidRPr="003D57AA">
              <w:rPr>
                <w:sz w:val="22"/>
                <w:szCs w:val="22"/>
              </w:rPr>
              <w:t xml:space="preserve"> a technical panel, the composition of which will be determined by DFAT on a case by case basis.  </w:t>
            </w:r>
          </w:p>
          <w:p w14:paraId="517F8BF4" w14:textId="77777777" w:rsidR="00377C6E" w:rsidRPr="003D57AA" w:rsidRDefault="00377C6E" w:rsidP="00377C6E">
            <w:pPr>
              <w:numPr>
                <w:ilvl w:val="0"/>
                <w:numId w:val="39"/>
              </w:numPr>
              <w:contextualSpacing/>
              <w:rPr>
                <w:sz w:val="22"/>
                <w:szCs w:val="22"/>
              </w:rPr>
            </w:pPr>
            <w:r w:rsidRPr="003D57AA">
              <w:rPr>
                <w:sz w:val="22"/>
                <w:szCs w:val="22"/>
              </w:rPr>
              <w:t>The effectiveness of both selection processes will be reviewed.</w:t>
            </w:r>
          </w:p>
          <w:p w14:paraId="2528E835" w14:textId="77777777" w:rsidR="00377C6E" w:rsidRPr="003D57AA" w:rsidRDefault="00377C6E" w:rsidP="00413364">
            <w:pPr>
              <w:numPr>
                <w:ilvl w:val="0"/>
                <w:numId w:val="39"/>
              </w:numPr>
              <w:contextualSpacing/>
              <w:rPr>
                <w:sz w:val="22"/>
                <w:szCs w:val="22"/>
              </w:rPr>
            </w:pPr>
            <w:r w:rsidRPr="003D57AA">
              <w:rPr>
                <w:sz w:val="22"/>
                <w:szCs w:val="22"/>
              </w:rPr>
              <w:t>The capability map will help to ensure appropriate selection</w:t>
            </w:r>
          </w:p>
        </w:tc>
      </w:tr>
      <w:tr w:rsidR="00377C6E" w:rsidRPr="003D57AA" w14:paraId="3EE8AB3B" w14:textId="77777777" w:rsidTr="00C23DFB">
        <w:tc>
          <w:tcPr>
            <w:tcW w:w="1976" w:type="dxa"/>
          </w:tcPr>
          <w:p w14:paraId="7E6BA54E"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 xml:space="preserve">Response funds reach the ground quickly.  </w:t>
            </w:r>
          </w:p>
          <w:p w14:paraId="02B18F8F" w14:textId="77777777" w:rsidR="00377C6E" w:rsidRPr="003D57AA" w:rsidRDefault="00377C6E" w:rsidP="00C23DFB">
            <w:pPr>
              <w:autoSpaceDE w:val="0"/>
              <w:autoSpaceDN w:val="0"/>
              <w:adjustRightInd w:val="0"/>
              <w:rPr>
                <w:rFonts w:cs="Calibri"/>
                <w:b/>
                <w:color w:val="000000"/>
                <w:sz w:val="22"/>
                <w:szCs w:val="22"/>
              </w:rPr>
            </w:pPr>
          </w:p>
        </w:tc>
        <w:tc>
          <w:tcPr>
            <w:tcW w:w="5160" w:type="dxa"/>
          </w:tcPr>
          <w:p w14:paraId="70DD1BEA" w14:textId="77777777" w:rsidR="00377C6E" w:rsidRPr="003D57AA" w:rsidRDefault="00377C6E" w:rsidP="00C23DFB">
            <w:pPr>
              <w:rPr>
                <w:sz w:val="22"/>
                <w:szCs w:val="22"/>
              </w:rPr>
            </w:pPr>
            <w:r w:rsidRPr="003D57AA">
              <w:rPr>
                <w:sz w:val="22"/>
                <w:szCs w:val="22"/>
              </w:rPr>
              <w:t>Rapid response:</w:t>
            </w:r>
          </w:p>
          <w:p w14:paraId="6D84DE56" w14:textId="77777777" w:rsidR="00377C6E" w:rsidRPr="003D57AA" w:rsidRDefault="00377C6E" w:rsidP="00377C6E">
            <w:pPr>
              <w:numPr>
                <w:ilvl w:val="0"/>
                <w:numId w:val="39"/>
              </w:numPr>
              <w:contextualSpacing/>
              <w:rPr>
                <w:sz w:val="22"/>
                <w:szCs w:val="22"/>
              </w:rPr>
            </w:pPr>
            <w:r w:rsidRPr="003D57AA">
              <w:rPr>
                <w:sz w:val="22"/>
                <w:szCs w:val="22"/>
              </w:rPr>
              <w:t>DFAT approves proposal (Activation + 48 - 72 hours)</w:t>
            </w:r>
          </w:p>
          <w:p w14:paraId="1D52839A" w14:textId="77777777" w:rsidR="00377C6E" w:rsidRPr="003D57AA" w:rsidRDefault="00F92121" w:rsidP="00377C6E">
            <w:pPr>
              <w:numPr>
                <w:ilvl w:val="0"/>
                <w:numId w:val="39"/>
              </w:numPr>
              <w:contextualSpacing/>
              <w:rPr>
                <w:sz w:val="22"/>
                <w:szCs w:val="22"/>
              </w:rPr>
            </w:pPr>
            <w:r w:rsidRPr="003D57AA">
              <w:rPr>
                <w:sz w:val="22"/>
                <w:szCs w:val="22"/>
              </w:rPr>
              <w:t xml:space="preserve">Funded </w:t>
            </w:r>
            <w:r w:rsidR="00377C6E" w:rsidRPr="003D57AA">
              <w:rPr>
                <w:sz w:val="22"/>
                <w:szCs w:val="22"/>
              </w:rPr>
              <w:t xml:space="preserve">NGOs use agency funding in the interim </w:t>
            </w:r>
          </w:p>
          <w:p w14:paraId="018F7641" w14:textId="77777777" w:rsidR="00377C6E" w:rsidRPr="003D57AA" w:rsidRDefault="00377C6E" w:rsidP="00377C6E">
            <w:pPr>
              <w:numPr>
                <w:ilvl w:val="0"/>
                <w:numId w:val="39"/>
              </w:numPr>
              <w:contextualSpacing/>
              <w:rPr>
                <w:sz w:val="22"/>
                <w:szCs w:val="22"/>
              </w:rPr>
            </w:pPr>
            <w:r w:rsidRPr="003D57AA">
              <w:rPr>
                <w:sz w:val="22"/>
                <w:szCs w:val="22"/>
              </w:rPr>
              <w:lastRenderedPageBreak/>
              <w:t>DFAT disburses funds (Activation + 1 week)</w:t>
            </w:r>
          </w:p>
          <w:p w14:paraId="77B83DC7" w14:textId="77777777" w:rsidR="00377C6E" w:rsidRPr="003D57AA" w:rsidRDefault="00377C6E" w:rsidP="00C23DFB">
            <w:pPr>
              <w:rPr>
                <w:sz w:val="22"/>
                <w:szCs w:val="22"/>
              </w:rPr>
            </w:pPr>
            <w:r w:rsidRPr="003D57AA">
              <w:rPr>
                <w:sz w:val="22"/>
                <w:szCs w:val="22"/>
              </w:rPr>
              <w:t>Protracted and slow-onset crises response:</w:t>
            </w:r>
          </w:p>
          <w:p w14:paraId="7226F4E6" w14:textId="77777777" w:rsidR="00377C6E" w:rsidRPr="003D57AA" w:rsidRDefault="00377C6E" w:rsidP="00377C6E">
            <w:pPr>
              <w:numPr>
                <w:ilvl w:val="0"/>
                <w:numId w:val="39"/>
              </w:numPr>
              <w:contextualSpacing/>
              <w:rPr>
                <w:sz w:val="22"/>
                <w:szCs w:val="22"/>
              </w:rPr>
            </w:pPr>
            <w:r w:rsidRPr="003D57AA">
              <w:rPr>
                <w:sz w:val="22"/>
                <w:szCs w:val="22"/>
              </w:rPr>
              <w:t xml:space="preserve">DFAT and </w:t>
            </w:r>
            <w:r w:rsidR="00214D08" w:rsidRPr="003D57AA">
              <w:rPr>
                <w:sz w:val="22"/>
                <w:szCs w:val="22"/>
              </w:rPr>
              <w:t xml:space="preserve">funded </w:t>
            </w:r>
            <w:r w:rsidRPr="003D57AA">
              <w:rPr>
                <w:sz w:val="22"/>
                <w:szCs w:val="22"/>
              </w:rPr>
              <w:t>NGOs agree to the consolidated proposal (Activation + 7-20 days)</w:t>
            </w:r>
          </w:p>
          <w:p w14:paraId="5B8E1FCD" w14:textId="77777777" w:rsidR="00377C6E" w:rsidRPr="003D57AA" w:rsidRDefault="00377C6E" w:rsidP="00377C6E">
            <w:pPr>
              <w:numPr>
                <w:ilvl w:val="0"/>
                <w:numId w:val="39"/>
              </w:numPr>
              <w:contextualSpacing/>
              <w:rPr>
                <w:sz w:val="22"/>
                <w:szCs w:val="22"/>
              </w:rPr>
            </w:pPr>
            <w:r w:rsidRPr="003D57AA">
              <w:rPr>
                <w:sz w:val="22"/>
                <w:szCs w:val="22"/>
              </w:rPr>
              <w:t>DFAT disperses funds (Activation + 3 weeks)</w:t>
            </w:r>
          </w:p>
        </w:tc>
        <w:tc>
          <w:tcPr>
            <w:tcW w:w="6704" w:type="dxa"/>
          </w:tcPr>
          <w:p w14:paraId="7666EC3D" w14:textId="77777777" w:rsidR="00377C6E" w:rsidRPr="003D57AA" w:rsidRDefault="00377C6E" w:rsidP="00377C6E">
            <w:pPr>
              <w:numPr>
                <w:ilvl w:val="0"/>
                <w:numId w:val="39"/>
              </w:numPr>
              <w:contextualSpacing/>
              <w:rPr>
                <w:sz w:val="22"/>
                <w:szCs w:val="22"/>
              </w:rPr>
            </w:pPr>
            <w:r w:rsidRPr="003D57AA">
              <w:rPr>
                <w:sz w:val="22"/>
                <w:szCs w:val="22"/>
              </w:rPr>
              <w:lastRenderedPageBreak/>
              <w:t>The Support Unit effectively supports the response funding activation processes.</w:t>
            </w:r>
          </w:p>
          <w:p w14:paraId="6581C829" w14:textId="77777777" w:rsidR="00377C6E" w:rsidRPr="003D57AA" w:rsidRDefault="00377C6E" w:rsidP="00377C6E">
            <w:pPr>
              <w:numPr>
                <w:ilvl w:val="0"/>
                <w:numId w:val="39"/>
              </w:numPr>
              <w:contextualSpacing/>
              <w:rPr>
                <w:sz w:val="22"/>
                <w:szCs w:val="22"/>
              </w:rPr>
            </w:pPr>
            <w:r w:rsidRPr="003D57AA">
              <w:rPr>
                <w:sz w:val="22"/>
                <w:szCs w:val="22"/>
              </w:rPr>
              <w:t xml:space="preserve">DFAT will be responsible for </w:t>
            </w:r>
            <w:r w:rsidR="00214D08" w:rsidRPr="003D57AA">
              <w:rPr>
                <w:sz w:val="22"/>
                <w:szCs w:val="22"/>
              </w:rPr>
              <w:t xml:space="preserve">managing contracts with </w:t>
            </w:r>
            <w:r w:rsidR="00295CFB" w:rsidRPr="003D57AA">
              <w:rPr>
                <w:sz w:val="22"/>
                <w:szCs w:val="22"/>
              </w:rPr>
              <w:t xml:space="preserve">the Support Unit. The Support Unit will be responsible for managing contracts </w:t>
            </w:r>
            <w:r w:rsidR="00295CFB" w:rsidRPr="003D57AA">
              <w:rPr>
                <w:sz w:val="22"/>
                <w:szCs w:val="22"/>
              </w:rPr>
              <w:lastRenderedPageBreak/>
              <w:t xml:space="preserve">with </w:t>
            </w:r>
            <w:r w:rsidR="00214D08" w:rsidRPr="003D57AA">
              <w:rPr>
                <w:sz w:val="22"/>
                <w:szCs w:val="22"/>
              </w:rPr>
              <w:t xml:space="preserve">funded </w:t>
            </w:r>
            <w:r w:rsidRPr="003D57AA">
              <w:rPr>
                <w:sz w:val="22"/>
                <w:szCs w:val="22"/>
              </w:rPr>
              <w:t>NGO partners and will ensure timely disbursal of funds.</w:t>
            </w:r>
          </w:p>
        </w:tc>
      </w:tr>
      <w:tr w:rsidR="00377C6E" w:rsidRPr="003D57AA" w14:paraId="6FF6C53E" w14:textId="77777777" w:rsidTr="00C23DFB">
        <w:tc>
          <w:tcPr>
            <w:tcW w:w="1976" w:type="dxa"/>
          </w:tcPr>
          <w:p w14:paraId="7EFDC435"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lastRenderedPageBreak/>
              <w:t xml:space="preserve">The transportation and distribution of supplies and ‘gifted’ goods are effectively managed in </w:t>
            </w:r>
          </w:p>
          <w:p w14:paraId="685D13EC"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rapid-onset crises</w:t>
            </w:r>
          </w:p>
        </w:tc>
        <w:tc>
          <w:tcPr>
            <w:tcW w:w="5160" w:type="dxa"/>
          </w:tcPr>
          <w:p w14:paraId="55D22983" w14:textId="77777777" w:rsidR="00377C6E" w:rsidRPr="003D57AA" w:rsidRDefault="00347A27" w:rsidP="00377C6E">
            <w:pPr>
              <w:numPr>
                <w:ilvl w:val="0"/>
                <w:numId w:val="39"/>
              </w:numPr>
              <w:contextualSpacing/>
              <w:rPr>
                <w:sz w:val="22"/>
                <w:szCs w:val="22"/>
              </w:rPr>
            </w:pPr>
            <w:r w:rsidRPr="003D57AA">
              <w:rPr>
                <w:sz w:val="22"/>
                <w:szCs w:val="22"/>
              </w:rPr>
              <w:t xml:space="preserve">DFAT selects the </w:t>
            </w:r>
            <w:r w:rsidR="00377C6E" w:rsidRPr="003D57AA">
              <w:rPr>
                <w:sz w:val="22"/>
                <w:szCs w:val="22"/>
              </w:rPr>
              <w:t>NGOs best placed to take receipt of and distribute the supplies.</w:t>
            </w:r>
          </w:p>
          <w:p w14:paraId="7A8F6C30" w14:textId="77777777" w:rsidR="00377C6E" w:rsidRPr="003D57AA" w:rsidRDefault="00377C6E" w:rsidP="00377C6E">
            <w:pPr>
              <w:numPr>
                <w:ilvl w:val="0"/>
                <w:numId w:val="39"/>
              </w:numPr>
              <w:contextualSpacing/>
              <w:rPr>
                <w:sz w:val="22"/>
                <w:szCs w:val="22"/>
              </w:rPr>
            </w:pPr>
            <w:r w:rsidRPr="003D57AA">
              <w:rPr>
                <w:sz w:val="22"/>
                <w:szCs w:val="22"/>
              </w:rPr>
              <w:t xml:space="preserve">Strong coordination between DFAT, selected ANGO partners, ADF and other providers ensures efficient transportation. </w:t>
            </w:r>
          </w:p>
          <w:p w14:paraId="6B367954" w14:textId="77777777" w:rsidR="00377C6E" w:rsidRPr="003D57AA" w:rsidRDefault="00377C6E" w:rsidP="00377C6E">
            <w:pPr>
              <w:numPr>
                <w:ilvl w:val="0"/>
                <w:numId w:val="39"/>
              </w:numPr>
              <w:contextualSpacing/>
              <w:rPr>
                <w:sz w:val="22"/>
                <w:szCs w:val="22"/>
              </w:rPr>
            </w:pPr>
            <w:r w:rsidRPr="003D57AA">
              <w:rPr>
                <w:sz w:val="22"/>
                <w:szCs w:val="22"/>
              </w:rPr>
              <w:t xml:space="preserve">Relief supplies are managed and used properly for their intended purposes. </w:t>
            </w:r>
          </w:p>
        </w:tc>
        <w:tc>
          <w:tcPr>
            <w:tcW w:w="6704" w:type="dxa"/>
          </w:tcPr>
          <w:p w14:paraId="23D96A27" w14:textId="77777777" w:rsidR="00377C6E" w:rsidRPr="003D57AA" w:rsidRDefault="00377C6E" w:rsidP="00377C6E">
            <w:pPr>
              <w:numPr>
                <w:ilvl w:val="0"/>
                <w:numId w:val="39"/>
              </w:numPr>
              <w:contextualSpacing/>
              <w:rPr>
                <w:sz w:val="22"/>
                <w:szCs w:val="22"/>
              </w:rPr>
            </w:pPr>
            <w:r w:rsidRPr="003D57AA">
              <w:rPr>
                <w:sz w:val="22"/>
                <w:szCs w:val="22"/>
              </w:rPr>
              <w:t xml:space="preserve">Ability to manage and distribute logistical supplies is a capability under the Response to rapid-onset crises domain and ANGO capacity will be mapped in this area. </w:t>
            </w:r>
          </w:p>
          <w:p w14:paraId="66CA1D87" w14:textId="77777777" w:rsidR="00377C6E" w:rsidRPr="003D57AA" w:rsidRDefault="00377C6E" w:rsidP="00C23DFB">
            <w:pPr>
              <w:rPr>
                <w:sz w:val="22"/>
                <w:szCs w:val="22"/>
              </w:rPr>
            </w:pPr>
          </w:p>
          <w:p w14:paraId="72DBA932" w14:textId="77777777" w:rsidR="00377C6E" w:rsidRPr="003D57AA" w:rsidRDefault="00377C6E" w:rsidP="00C23DFB">
            <w:pPr>
              <w:rPr>
                <w:sz w:val="22"/>
                <w:szCs w:val="22"/>
              </w:rPr>
            </w:pPr>
          </w:p>
        </w:tc>
      </w:tr>
      <w:tr w:rsidR="00377C6E" w:rsidRPr="003D57AA" w14:paraId="10657E09" w14:textId="77777777" w:rsidTr="00C23DFB">
        <w:tc>
          <w:tcPr>
            <w:tcW w:w="1976" w:type="dxa"/>
          </w:tcPr>
          <w:p w14:paraId="68F9D2E2"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Women, men, boys and girls including people with disability are strongly engaged in responses.</w:t>
            </w:r>
          </w:p>
          <w:p w14:paraId="531C0F94" w14:textId="77777777" w:rsidR="00377C6E" w:rsidRPr="003D57AA" w:rsidRDefault="00377C6E" w:rsidP="00C23DFB">
            <w:pPr>
              <w:autoSpaceDE w:val="0"/>
              <w:autoSpaceDN w:val="0"/>
              <w:adjustRightInd w:val="0"/>
              <w:rPr>
                <w:rFonts w:cs="Calibri"/>
                <w:b/>
                <w:color w:val="000000"/>
                <w:sz w:val="22"/>
                <w:szCs w:val="22"/>
              </w:rPr>
            </w:pPr>
          </w:p>
          <w:p w14:paraId="768E74AF" w14:textId="77777777" w:rsidR="00377C6E" w:rsidRPr="003D57AA" w:rsidRDefault="00377C6E" w:rsidP="00C23DFB">
            <w:pPr>
              <w:autoSpaceDE w:val="0"/>
              <w:autoSpaceDN w:val="0"/>
              <w:adjustRightInd w:val="0"/>
              <w:rPr>
                <w:rFonts w:cs="Calibri"/>
                <w:b/>
                <w:color w:val="000000"/>
                <w:sz w:val="22"/>
                <w:szCs w:val="22"/>
              </w:rPr>
            </w:pPr>
          </w:p>
        </w:tc>
        <w:tc>
          <w:tcPr>
            <w:tcW w:w="5160" w:type="dxa"/>
          </w:tcPr>
          <w:p w14:paraId="521F4832" w14:textId="77777777" w:rsidR="00377C6E" w:rsidRPr="003D57AA" w:rsidRDefault="00347A27" w:rsidP="00377C6E">
            <w:pPr>
              <w:numPr>
                <w:ilvl w:val="0"/>
                <w:numId w:val="39"/>
              </w:numPr>
              <w:contextualSpacing/>
              <w:rPr>
                <w:sz w:val="22"/>
                <w:szCs w:val="22"/>
              </w:rPr>
            </w:pPr>
            <w:r w:rsidRPr="003D57AA">
              <w:rPr>
                <w:sz w:val="22"/>
                <w:szCs w:val="22"/>
              </w:rPr>
              <w:t>Funded NGO partners</w:t>
            </w:r>
            <w:r w:rsidR="00377C6E" w:rsidRPr="003D57AA">
              <w:rPr>
                <w:sz w:val="22"/>
                <w:szCs w:val="22"/>
              </w:rPr>
              <w:t xml:space="preserve"> adopt the revised IASC Gender Marker as a simple system of ensuring that both design and implementation is gender sensitive. </w:t>
            </w:r>
          </w:p>
          <w:p w14:paraId="1521924A" w14:textId="77777777" w:rsidR="00377C6E" w:rsidRPr="003D57AA" w:rsidRDefault="00377C6E" w:rsidP="00377C6E">
            <w:pPr>
              <w:numPr>
                <w:ilvl w:val="0"/>
                <w:numId w:val="39"/>
              </w:numPr>
              <w:contextualSpacing/>
              <w:rPr>
                <w:sz w:val="22"/>
                <w:szCs w:val="22"/>
              </w:rPr>
            </w:pPr>
            <w:r w:rsidRPr="003D57AA">
              <w:rPr>
                <w:sz w:val="22"/>
                <w:szCs w:val="22"/>
              </w:rPr>
              <w:t xml:space="preserve">Partners have linked with DPOs and use the Washington Group Questions in responses.  </w:t>
            </w:r>
          </w:p>
          <w:p w14:paraId="43F5D87B" w14:textId="77777777" w:rsidR="00377C6E" w:rsidRPr="003D57AA" w:rsidRDefault="00377C6E" w:rsidP="00377C6E">
            <w:pPr>
              <w:numPr>
                <w:ilvl w:val="0"/>
                <w:numId w:val="39"/>
              </w:numPr>
              <w:contextualSpacing/>
              <w:rPr>
                <w:sz w:val="22"/>
                <w:szCs w:val="22"/>
              </w:rPr>
            </w:pPr>
            <w:r w:rsidRPr="003D57AA">
              <w:rPr>
                <w:sz w:val="22"/>
                <w:szCs w:val="22"/>
              </w:rPr>
              <w:t>Responses use appropriate strategies to ensure women, men, boys and girls and people with disability participate in response processes (i.e. needs identification, registration, distribution).</w:t>
            </w:r>
          </w:p>
          <w:p w14:paraId="497EB7FB" w14:textId="77777777" w:rsidR="00377C6E" w:rsidRPr="003D57AA" w:rsidRDefault="00347A27" w:rsidP="00347A27">
            <w:pPr>
              <w:numPr>
                <w:ilvl w:val="0"/>
                <w:numId w:val="39"/>
              </w:numPr>
              <w:contextualSpacing/>
              <w:rPr>
                <w:sz w:val="22"/>
                <w:szCs w:val="22"/>
              </w:rPr>
            </w:pPr>
            <w:r w:rsidRPr="003D57AA">
              <w:rPr>
                <w:sz w:val="22"/>
                <w:szCs w:val="22"/>
              </w:rPr>
              <w:t xml:space="preserve">Funded </w:t>
            </w:r>
            <w:r w:rsidR="00377C6E" w:rsidRPr="003D57AA">
              <w:rPr>
                <w:sz w:val="22"/>
                <w:szCs w:val="22"/>
              </w:rPr>
              <w:t>NGOs and their in-country partners establish feedback and grievance mechanisms that are accessible to different groups (i.e. women, men, children, people with disability).</w:t>
            </w:r>
          </w:p>
        </w:tc>
        <w:tc>
          <w:tcPr>
            <w:tcW w:w="6704" w:type="dxa"/>
          </w:tcPr>
          <w:p w14:paraId="1D64F519" w14:textId="77777777" w:rsidR="00377C6E" w:rsidRPr="003D57AA" w:rsidRDefault="00377C6E" w:rsidP="00377C6E">
            <w:pPr>
              <w:numPr>
                <w:ilvl w:val="0"/>
                <w:numId w:val="39"/>
              </w:numPr>
              <w:contextualSpacing/>
              <w:rPr>
                <w:sz w:val="22"/>
                <w:szCs w:val="22"/>
              </w:rPr>
            </w:pPr>
            <w:r w:rsidRPr="003D57AA">
              <w:rPr>
                <w:sz w:val="22"/>
                <w:szCs w:val="22"/>
              </w:rPr>
              <w:t>The Support Unit will support partners to share tools and learnings to support protection, gender and disability inclusion in responses.</w:t>
            </w:r>
          </w:p>
          <w:p w14:paraId="451B7C8D" w14:textId="77777777" w:rsidR="00377C6E" w:rsidRPr="003D57AA" w:rsidRDefault="00377C6E" w:rsidP="00377C6E">
            <w:pPr>
              <w:numPr>
                <w:ilvl w:val="0"/>
                <w:numId w:val="39"/>
              </w:numPr>
              <w:contextualSpacing/>
              <w:rPr>
                <w:sz w:val="22"/>
                <w:szCs w:val="22"/>
              </w:rPr>
            </w:pPr>
            <w:r w:rsidRPr="003D57AA">
              <w:rPr>
                <w:sz w:val="22"/>
                <w:szCs w:val="22"/>
              </w:rPr>
              <w:t>The process of selecting ANGO partners</w:t>
            </w:r>
            <w:r w:rsidR="00347A27" w:rsidRPr="003D57AA">
              <w:rPr>
                <w:sz w:val="22"/>
                <w:szCs w:val="22"/>
              </w:rPr>
              <w:t xml:space="preserve"> for funding</w:t>
            </w:r>
            <w:r w:rsidRPr="003D57AA">
              <w:rPr>
                <w:sz w:val="22"/>
                <w:szCs w:val="22"/>
              </w:rPr>
              <w:t xml:space="preserve"> will include the requirement for demonstrated evidence of high quality gender equality and disability inclusion policy and programming, in line with IASC handbooks and guidelines.</w:t>
            </w:r>
          </w:p>
          <w:p w14:paraId="4A85F71A" w14:textId="77777777" w:rsidR="00377C6E" w:rsidRPr="003D57AA" w:rsidRDefault="00377C6E" w:rsidP="00377C6E">
            <w:pPr>
              <w:numPr>
                <w:ilvl w:val="0"/>
                <w:numId w:val="39"/>
              </w:numPr>
              <w:contextualSpacing/>
              <w:rPr>
                <w:sz w:val="22"/>
                <w:szCs w:val="22"/>
              </w:rPr>
            </w:pPr>
            <w:r w:rsidRPr="003D57AA">
              <w:rPr>
                <w:sz w:val="22"/>
                <w:szCs w:val="22"/>
              </w:rPr>
              <w:t>The partnership will promote the sharing of gender and disability expertise, where an ANGO with in-house expertise provides this resource to benefit partner activities (such as being part of technical assessment panels and learning events).</w:t>
            </w:r>
          </w:p>
        </w:tc>
      </w:tr>
      <w:tr w:rsidR="00377C6E" w:rsidRPr="003D57AA" w14:paraId="7990265F" w14:textId="77777777" w:rsidTr="00C23DFB">
        <w:tc>
          <w:tcPr>
            <w:tcW w:w="1976" w:type="dxa"/>
          </w:tcPr>
          <w:p w14:paraId="20A0CDBA" w14:textId="77777777" w:rsidR="00377C6E" w:rsidRPr="003D57AA" w:rsidRDefault="00D719A8" w:rsidP="00C23DFB">
            <w:pPr>
              <w:autoSpaceDE w:val="0"/>
              <w:autoSpaceDN w:val="0"/>
              <w:adjustRightInd w:val="0"/>
              <w:rPr>
                <w:rFonts w:cs="Calibri"/>
                <w:b/>
                <w:color w:val="000000"/>
                <w:sz w:val="22"/>
                <w:szCs w:val="22"/>
              </w:rPr>
            </w:pPr>
            <w:r w:rsidRPr="003D57AA">
              <w:rPr>
                <w:rFonts w:cs="Calibri"/>
                <w:b/>
                <w:color w:val="000000"/>
                <w:sz w:val="22"/>
                <w:szCs w:val="22"/>
              </w:rPr>
              <w:t>A</w:t>
            </w:r>
            <w:r w:rsidR="00377C6E" w:rsidRPr="003D57AA">
              <w:rPr>
                <w:rFonts w:cs="Calibri"/>
                <w:b/>
                <w:color w:val="000000"/>
                <w:sz w:val="22"/>
                <w:szCs w:val="22"/>
              </w:rPr>
              <w:t>NGOs leverage local, international and private sector links within initiatives in-country.</w:t>
            </w:r>
          </w:p>
        </w:tc>
        <w:tc>
          <w:tcPr>
            <w:tcW w:w="5160" w:type="dxa"/>
          </w:tcPr>
          <w:p w14:paraId="540123B9" w14:textId="77777777" w:rsidR="00377C6E" w:rsidRPr="003D57AA" w:rsidRDefault="00377C6E" w:rsidP="00C23DFB">
            <w:pPr>
              <w:rPr>
                <w:sz w:val="22"/>
                <w:szCs w:val="22"/>
              </w:rPr>
            </w:pPr>
            <w:r w:rsidRPr="003D57AA">
              <w:rPr>
                <w:sz w:val="22"/>
                <w:szCs w:val="22"/>
              </w:rPr>
              <w:t>Additional funds, resources, capacities and expertise are allocated to response efforts to extend reach and multiply the impact of partners’ contribution:</w:t>
            </w:r>
          </w:p>
          <w:p w14:paraId="4AC4512A" w14:textId="77777777" w:rsidR="00377C6E" w:rsidRPr="003D57AA" w:rsidRDefault="00377C6E" w:rsidP="00377C6E">
            <w:pPr>
              <w:numPr>
                <w:ilvl w:val="0"/>
                <w:numId w:val="39"/>
              </w:numPr>
              <w:contextualSpacing/>
              <w:rPr>
                <w:sz w:val="22"/>
                <w:szCs w:val="22"/>
              </w:rPr>
            </w:pPr>
            <w:r w:rsidRPr="003D57AA">
              <w:rPr>
                <w:sz w:val="22"/>
                <w:szCs w:val="22"/>
              </w:rPr>
              <w:t xml:space="preserve">ANGOs leverage the funds, resources and capacities of their global families; </w:t>
            </w:r>
          </w:p>
          <w:p w14:paraId="686A93BE" w14:textId="77777777" w:rsidR="00377C6E" w:rsidRPr="003D57AA" w:rsidRDefault="00377C6E" w:rsidP="00377C6E">
            <w:pPr>
              <w:numPr>
                <w:ilvl w:val="0"/>
                <w:numId w:val="39"/>
              </w:numPr>
              <w:contextualSpacing/>
              <w:rPr>
                <w:sz w:val="22"/>
                <w:szCs w:val="22"/>
              </w:rPr>
            </w:pPr>
            <w:r w:rsidRPr="003D57AA">
              <w:rPr>
                <w:sz w:val="22"/>
                <w:szCs w:val="22"/>
              </w:rPr>
              <w:t xml:space="preserve">ANGOs leverage the resources and capabilities of </w:t>
            </w:r>
            <w:r w:rsidRPr="003D57AA">
              <w:rPr>
                <w:sz w:val="22"/>
                <w:szCs w:val="22"/>
              </w:rPr>
              <w:lastRenderedPageBreak/>
              <w:t>their local networks (other local NGOs, established local /community structures, and local authorities);</w:t>
            </w:r>
          </w:p>
          <w:p w14:paraId="5BB2D7E8" w14:textId="77777777" w:rsidR="00377C6E" w:rsidRPr="003D57AA" w:rsidRDefault="00377C6E" w:rsidP="00377C6E">
            <w:pPr>
              <w:numPr>
                <w:ilvl w:val="0"/>
                <w:numId w:val="39"/>
              </w:numPr>
              <w:contextualSpacing/>
              <w:rPr>
                <w:sz w:val="22"/>
                <w:szCs w:val="22"/>
              </w:rPr>
            </w:pPr>
            <w:r w:rsidRPr="003D57AA">
              <w:rPr>
                <w:sz w:val="22"/>
                <w:szCs w:val="22"/>
              </w:rPr>
              <w:t xml:space="preserve">ANGOs link with local private sector entities to create efficiencies and use of locally sourced response supplies where feasible. </w:t>
            </w:r>
          </w:p>
        </w:tc>
        <w:tc>
          <w:tcPr>
            <w:tcW w:w="6704" w:type="dxa"/>
          </w:tcPr>
          <w:p w14:paraId="7711D118" w14:textId="77777777" w:rsidR="00377C6E" w:rsidRPr="003D57AA" w:rsidRDefault="00377C6E" w:rsidP="00377C6E">
            <w:pPr>
              <w:numPr>
                <w:ilvl w:val="0"/>
                <w:numId w:val="39"/>
              </w:numPr>
              <w:contextualSpacing/>
              <w:rPr>
                <w:sz w:val="22"/>
                <w:szCs w:val="22"/>
              </w:rPr>
            </w:pPr>
            <w:r w:rsidRPr="003D57AA">
              <w:rPr>
                <w:sz w:val="22"/>
                <w:szCs w:val="22"/>
              </w:rPr>
              <w:lastRenderedPageBreak/>
              <w:t xml:space="preserve">The Domains of Capability </w:t>
            </w:r>
            <w:r w:rsidR="006D1347" w:rsidRPr="003D57AA">
              <w:rPr>
                <w:sz w:val="22"/>
                <w:szCs w:val="22"/>
              </w:rPr>
              <w:t>for funding under the partnership</w:t>
            </w:r>
            <w:r w:rsidRPr="003D57AA">
              <w:rPr>
                <w:sz w:val="22"/>
                <w:szCs w:val="22"/>
              </w:rPr>
              <w:t xml:space="preserve"> have a focus on: breadth and depth of relationships with local implementing partners; and relationships with local governments.</w:t>
            </w:r>
          </w:p>
          <w:p w14:paraId="018F828E" w14:textId="0117E256" w:rsidR="00377C6E" w:rsidRPr="003D57AA" w:rsidRDefault="00377C6E" w:rsidP="00D73754">
            <w:pPr>
              <w:numPr>
                <w:ilvl w:val="0"/>
                <w:numId w:val="39"/>
              </w:numPr>
              <w:contextualSpacing/>
              <w:rPr>
                <w:sz w:val="22"/>
                <w:szCs w:val="22"/>
              </w:rPr>
            </w:pPr>
          </w:p>
        </w:tc>
      </w:tr>
      <w:tr w:rsidR="00377C6E" w:rsidRPr="003D57AA" w14:paraId="05A668F0" w14:textId="77777777" w:rsidTr="00C23DFB">
        <w:tc>
          <w:tcPr>
            <w:tcW w:w="1976" w:type="dxa"/>
          </w:tcPr>
          <w:p w14:paraId="2A1D11D6" w14:textId="77777777" w:rsidR="00377C6E" w:rsidRPr="003D57AA" w:rsidRDefault="00377C6E" w:rsidP="00C23DFB">
            <w:pPr>
              <w:autoSpaceDE w:val="0"/>
              <w:autoSpaceDN w:val="0"/>
              <w:adjustRightInd w:val="0"/>
              <w:rPr>
                <w:rFonts w:eastAsiaTheme="minorHAnsi" w:cs="Calibri"/>
                <w:color w:val="000000"/>
                <w:sz w:val="22"/>
                <w:szCs w:val="22"/>
              </w:rPr>
            </w:pPr>
            <w:r w:rsidRPr="003D57AA">
              <w:rPr>
                <w:rFonts w:eastAsiaTheme="minorHAnsi" w:cs="Calibri"/>
                <w:b/>
                <w:bCs/>
                <w:color w:val="000000"/>
                <w:sz w:val="22"/>
                <w:szCs w:val="22"/>
              </w:rPr>
              <w:lastRenderedPageBreak/>
              <w:t>Appropriate and effective responses to protracted and slow-onset crises are delivered</w:t>
            </w:r>
            <w:r w:rsidRPr="003D57AA">
              <w:rPr>
                <w:rFonts w:eastAsiaTheme="minorHAnsi" w:cs="Calibri"/>
                <w:color w:val="000000"/>
                <w:sz w:val="22"/>
                <w:szCs w:val="22"/>
              </w:rPr>
              <w:t>.</w:t>
            </w:r>
          </w:p>
        </w:tc>
        <w:tc>
          <w:tcPr>
            <w:tcW w:w="5160" w:type="dxa"/>
          </w:tcPr>
          <w:p w14:paraId="3841FF68" w14:textId="77777777" w:rsidR="00377C6E" w:rsidRPr="003D57AA" w:rsidRDefault="00377C6E" w:rsidP="00377C6E">
            <w:pPr>
              <w:numPr>
                <w:ilvl w:val="0"/>
                <w:numId w:val="39"/>
              </w:numPr>
              <w:contextualSpacing/>
              <w:rPr>
                <w:sz w:val="22"/>
                <w:szCs w:val="22"/>
              </w:rPr>
            </w:pPr>
            <w:r w:rsidRPr="003D57AA">
              <w:rPr>
                <w:sz w:val="22"/>
                <w:szCs w:val="22"/>
              </w:rPr>
              <w:t xml:space="preserve">Additional measures of success for protracted </w:t>
            </w:r>
            <w:r w:rsidR="006D1347" w:rsidRPr="003D57AA">
              <w:rPr>
                <w:sz w:val="22"/>
                <w:szCs w:val="22"/>
              </w:rPr>
              <w:t xml:space="preserve">and </w:t>
            </w:r>
            <w:r w:rsidRPr="003D57AA">
              <w:rPr>
                <w:sz w:val="22"/>
                <w:szCs w:val="22"/>
              </w:rPr>
              <w:t xml:space="preserve">slow-onset crises to be developed at inception – facilitated by the support unit. </w:t>
            </w:r>
          </w:p>
          <w:p w14:paraId="56F00941" w14:textId="77777777" w:rsidR="00377C6E" w:rsidRPr="003D57AA" w:rsidRDefault="006D1347" w:rsidP="00377C6E">
            <w:pPr>
              <w:numPr>
                <w:ilvl w:val="0"/>
                <w:numId w:val="39"/>
              </w:numPr>
              <w:contextualSpacing/>
              <w:rPr>
                <w:sz w:val="22"/>
                <w:szCs w:val="22"/>
              </w:rPr>
            </w:pPr>
            <w:r w:rsidRPr="003D57AA">
              <w:rPr>
                <w:sz w:val="22"/>
                <w:szCs w:val="22"/>
              </w:rPr>
              <w:t xml:space="preserve">Funded </w:t>
            </w:r>
            <w:r w:rsidR="00377C6E" w:rsidRPr="003D57AA">
              <w:rPr>
                <w:sz w:val="22"/>
                <w:szCs w:val="22"/>
              </w:rPr>
              <w:t xml:space="preserve">NGO responses respond to different priority needs and / or reach different communities. </w:t>
            </w:r>
          </w:p>
          <w:p w14:paraId="519FDF99" w14:textId="77777777" w:rsidR="00377C6E" w:rsidRPr="003D57AA" w:rsidRDefault="00377C6E" w:rsidP="00377C6E">
            <w:pPr>
              <w:numPr>
                <w:ilvl w:val="0"/>
                <w:numId w:val="39"/>
              </w:numPr>
              <w:contextualSpacing/>
              <w:rPr>
                <w:sz w:val="22"/>
                <w:szCs w:val="22"/>
              </w:rPr>
            </w:pPr>
            <w:r w:rsidRPr="003D57AA">
              <w:rPr>
                <w:sz w:val="22"/>
                <w:szCs w:val="22"/>
              </w:rPr>
              <w:t xml:space="preserve">Responses meet the individual needs of men, women, girls and boys. </w:t>
            </w:r>
          </w:p>
          <w:p w14:paraId="7D51DA61" w14:textId="77777777" w:rsidR="00377C6E" w:rsidRPr="003D57AA" w:rsidRDefault="00377C6E" w:rsidP="00377C6E">
            <w:pPr>
              <w:numPr>
                <w:ilvl w:val="0"/>
                <w:numId w:val="39"/>
              </w:numPr>
              <w:contextualSpacing/>
              <w:rPr>
                <w:sz w:val="22"/>
                <w:szCs w:val="22"/>
              </w:rPr>
            </w:pPr>
            <w:r w:rsidRPr="003D57AA">
              <w:rPr>
                <w:sz w:val="22"/>
                <w:szCs w:val="22"/>
              </w:rPr>
              <w:t>Gender, disability and child protection needs in emergencies are met.</w:t>
            </w:r>
          </w:p>
          <w:p w14:paraId="4833A75C" w14:textId="77777777" w:rsidR="00377C6E" w:rsidRPr="003D57AA" w:rsidRDefault="00377C6E" w:rsidP="00377C6E">
            <w:pPr>
              <w:numPr>
                <w:ilvl w:val="0"/>
                <w:numId w:val="39"/>
              </w:numPr>
              <w:contextualSpacing/>
              <w:rPr>
                <w:sz w:val="22"/>
                <w:szCs w:val="22"/>
              </w:rPr>
            </w:pPr>
            <w:r w:rsidRPr="003D57AA">
              <w:rPr>
                <w:sz w:val="22"/>
                <w:szCs w:val="22"/>
              </w:rPr>
              <w:t xml:space="preserve">Responses meet the DAC criteria, Core Humanitarian Standards, and Do No Harm. </w:t>
            </w:r>
          </w:p>
          <w:p w14:paraId="00A85276" w14:textId="77777777" w:rsidR="00377C6E" w:rsidRPr="003D57AA" w:rsidRDefault="00377C6E" w:rsidP="00377C6E">
            <w:pPr>
              <w:numPr>
                <w:ilvl w:val="0"/>
                <w:numId w:val="39"/>
              </w:numPr>
              <w:contextualSpacing/>
              <w:rPr>
                <w:sz w:val="22"/>
                <w:szCs w:val="22"/>
              </w:rPr>
            </w:pPr>
            <w:r w:rsidRPr="003D57AA">
              <w:rPr>
                <w:sz w:val="22"/>
                <w:szCs w:val="22"/>
              </w:rPr>
              <w:t>Slow onset and protracted crises responses are linked with longer-term processes of recovery and development.</w:t>
            </w:r>
          </w:p>
        </w:tc>
        <w:tc>
          <w:tcPr>
            <w:tcW w:w="6704" w:type="dxa"/>
          </w:tcPr>
          <w:p w14:paraId="54702AC5" w14:textId="77777777" w:rsidR="00377C6E" w:rsidRPr="003D57AA" w:rsidRDefault="00377C6E" w:rsidP="00377C6E">
            <w:pPr>
              <w:numPr>
                <w:ilvl w:val="0"/>
                <w:numId w:val="39"/>
              </w:numPr>
              <w:contextualSpacing/>
              <w:rPr>
                <w:sz w:val="22"/>
                <w:szCs w:val="22"/>
              </w:rPr>
            </w:pPr>
            <w:r w:rsidRPr="003D57AA">
              <w:rPr>
                <w:sz w:val="22"/>
                <w:szCs w:val="22"/>
              </w:rPr>
              <w:t>Selection will include an assessment of ANGOs' capability statements to ensure disaster risk reduction (prevention, mitigation and preparedness), response and recovery initiatives equally involve and benefit men, women, boys and girls.</w:t>
            </w:r>
          </w:p>
          <w:p w14:paraId="6E25A05B" w14:textId="77777777" w:rsidR="00377C6E" w:rsidRPr="003D57AA" w:rsidRDefault="00377C6E" w:rsidP="00377C6E">
            <w:pPr>
              <w:numPr>
                <w:ilvl w:val="0"/>
                <w:numId w:val="39"/>
              </w:numPr>
              <w:contextualSpacing/>
              <w:rPr>
                <w:sz w:val="22"/>
                <w:szCs w:val="22"/>
              </w:rPr>
            </w:pPr>
            <w:r w:rsidRPr="003D57AA">
              <w:rPr>
                <w:sz w:val="22"/>
                <w:szCs w:val="22"/>
              </w:rPr>
              <w:t xml:space="preserve">Protection will be mainstreamed into response criteria and opportunities for standalone GBV protection programming will be provided. </w:t>
            </w:r>
          </w:p>
          <w:p w14:paraId="3485B1BB" w14:textId="77777777" w:rsidR="00377C6E" w:rsidRPr="003D57AA" w:rsidRDefault="00377C6E" w:rsidP="00377C6E">
            <w:pPr>
              <w:numPr>
                <w:ilvl w:val="0"/>
                <w:numId w:val="39"/>
              </w:numPr>
              <w:contextualSpacing/>
              <w:rPr>
                <w:sz w:val="22"/>
                <w:szCs w:val="22"/>
              </w:rPr>
            </w:pPr>
            <w:r w:rsidRPr="003D57AA">
              <w:rPr>
                <w:sz w:val="22"/>
                <w:szCs w:val="22"/>
              </w:rPr>
              <w:t xml:space="preserve">MEL processes integrate review and analysis of response outcomes and adherence to the Core Humanitarian Standards and the Do no Harm principle.  </w:t>
            </w:r>
          </w:p>
          <w:p w14:paraId="0800115A" w14:textId="77777777" w:rsidR="00377C6E" w:rsidRPr="003D57AA" w:rsidRDefault="00377C6E" w:rsidP="00377C6E">
            <w:pPr>
              <w:numPr>
                <w:ilvl w:val="0"/>
                <w:numId w:val="39"/>
              </w:numPr>
              <w:contextualSpacing/>
              <w:rPr>
                <w:sz w:val="22"/>
                <w:szCs w:val="22"/>
              </w:rPr>
            </w:pPr>
            <w:r w:rsidRPr="003D57AA">
              <w:rPr>
                <w:sz w:val="22"/>
                <w:szCs w:val="22"/>
              </w:rPr>
              <w:t>Partnership reporting will capture the full cycle from response through to early recovery.</w:t>
            </w:r>
          </w:p>
        </w:tc>
      </w:tr>
      <w:tr w:rsidR="00377C6E" w:rsidRPr="003D57AA" w14:paraId="2DDD5124" w14:textId="77777777" w:rsidTr="00C23DFB">
        <w:tc>
          <w:tcPr>
            <w:tcW w:w="1976" w:type="dxa"/>
          </w:tcPr>
          <w:p w14:paraId="5C147E5A"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Appropriate and effective rapid responses are delivered.</w:t>
            </w:r>
          </w:p>
        </w:tc>
        <w:tc>
          <w:tcPr>
            <w:tcW w:w="5160" w:type="dxa"/>
          </w:tcPr>
          <w:p w14:paraId="19402142" w14:textId="77777777" w:rsidR="00377C6E" w:rsidRPr="003D57AA" w:rsidRDefault="00377C6E" w:rsidP="00377C6E">
            <w:pPr>
              <w:numPr>
                <w:ilvl w:val="0"/>
                <w:numId w:val="39"/>
              </w:numPr>
              <w:contextualSpacing/>
              <w:rPr>
                <w:sz w:val="22"/>
                <w:szCs w:val="22"/>
              </w:rPr>
            </w:pPr>
            <w:r w:rsidRPr="003D57AA">
              <w:rPr>
                <w:sz w:val="22"/>
                <w:szCs w:val="22"/>
              </w:rPr>
              <w:t xml:space="preserve">Additional measures of success for rapid responses be developed at inception – facilitated by the Support Unit. </w:t>
            </w:r>
          </w:p>
          <w:p w14:paraId="4C489D4B" w14:textId="77777777" w:rsidR="00377C6E" w:rsidRPr="003D57AA" w:rsidRDefault="006D1347" w:rsidP="00377C6E">
            <w:pPr>
              <w:numPr>
                <w:ilvl w:val="0"/>
                <w:numId w:val="39"/>
              </w:numPr>
              <w:contextualSpacing/>
              <w:rPr>
                <w:sz w:val="22"/>
                <w:szCs w:val="22"/>
              </w:rPr>
            </w:pPr>
            <w:r w:rsidRPr="003D57AA">
              <w:rPr>
                <w:sz w:val="22"/>
                <w:szCs w:val="22"/>
              </w:rPr>
              <w:t xml:space="preserve">Funded </w:t>
            </w:r>
            <w:r w:rsidR="00377C6E" w:rsidRPr="003D57AA">
              <w:rPr>
                <w:sz w:val="22"/>
                <w:szCs w:val="22"/>
              </w:rPr>
              <w:t xml:space="preserve">NGO responses respond to different priority needs and/or reach different communities. </w:t>
            </w:r>
          </w:p>
          <w:p w14:paraId="18C7288E" w14:textId="77777777" w:rsidR="00377C6E" w:rsidRPr="003D57AA" w:rsidRDefault="00377C6E" w:rsidP="00377C6E">
            <w:pPr>
              <w:numPr>
                <w:ilvl w:val="0"/>
                <w:numId w:val="39"/>
              </w:numPr>
              <w:contextualSpacing/>
              <w:rPr>
                <w:sz w:val="22"/>
                <w:szCs w:val="22"/>
              </w:rPr>
            </w:pPr>
            <w:r w:rsidRPr="003D57AA">
              <w:rPr>
                <w:sz w:val="22"/>
                <w:szCs w:val="22"/>
              </w:rPr>
              <w:t xml:space="preserve">Responses meet the individual needs of men, women, girls and boys. </w:t>
            </w:r>
          </w:p>
          <w:p w14:paraId="2B6B8F0D" w14:textId="77777777" w:rsidR="00377C6E" w:rsidRPr="003D57AA" w:rsidRDefault="00377C6E" w:rsidP="00377C6E">
            <w:pPr>
              <w:numPr>
                <w:ilvl w:val="0"/>
                <w:numId w:val="39"/>
              </w:numPr>
              <w:contextualSpacing/>
              <w:rPr>
                <w:sz w:val="22"/>
                <w:szCs w:val="22"/>
              </w:rPr>
            </w:pPr>
            <w:r w:rsidRPr="003D57AA">
              <w:rPr>
                <w:sz w:val="22"/>
                <w:szCs w:val="22"/>
              </w:rPr>
              <w:t>Gender, disability and child protection needs in emergencies are met.</w:t>
            </w:r>
          </w:p>
          <w:p w14:paraId="585BB9CB" w14:textId="77777777" w:rsidR="00377C6E" w:rsidRPr="003D57AA" w:rsidRDefault="00377C6E" w:rsidP="00377C6E">
            <w:pPr>
              <w:numPr>
                <w:ilvl w:val="0"/>
                <w:numId w:val="39"/>
              </w:numPr>
              <w:contextualSpacing/>
              <w:rPr>
                <w:sz w:val="22"/>
                <w:szCs w:val="22"/>
              </w:rPr>
            </w:pPr>
            <w:r w:rsidRPr="003D57AA">
              <w:rPr>
                <w:sz w:val="22"/>
                <w:szCs w:val="22"/>
              </w:rPr>
              <w:t xml:space="preserve">Responses meet the DAC criteria, Core Humanitarian Standards, and Do No Harm. </w:t>
            </w:r>
          </w:p>
          <w:p w14:paraId="51F372F1" w14:textId="77777777" w:rsidR="00377C6E" w:rsidRPr="003D57AA" w:rsidRDefault="00377C6E" w:rsidP="00377C6E">
            <w:pPr>
              <w:numPr>
                <w:ilvl w:val="0"/>
                <w:numId w:val="39"/>
              </w:numPr>
              <w:contextualSpacing/>
              <w:rPr>
                <w:sz w:val="22"/>
                <w:szCs w:val="22"/>
              </w:rPr>
            </w:pPr>
            <w:r w:rsidRPr="003D57AA">
              <w:rPr>
                <w:sz w:val="22"/>
                <w:szCs w:val="22"/>
              </w:rPr>
              <w:t>Immediate relief responses are linked with longer-</w:t>
            </w:r>
            <w:r w:rsidRPr="003D57AA">
              <w:rPr>
                <w:sz w:val="22"/>
                <w:szCs w:val="22"/>
              </w:rPr>
              <w:lastRenderedPageBreak/>
              <w:t>term processes of recovery and development.</w:t>
            </w:r>
          </w:p>
        </w:tc>
        <w:tc>
          <w:tcPr>
            <w:tcW w:w="6704" w:type="dxa"/>
          </w:tcPr>
          <w:p w14:paraId="038D6B5C" w14:textId="77777777" w:rsidR="00377C6E" w:rsidRPr="003D57AA" w:rsidRDefault="00377C6E" w:rsidP="00377C6E">
            <w:pPr>
              <w:numPr>
                <w:ilvl w:val="0"/>
                <w:numId w:val="39"/>
              </w:numPr>
              <w:contextualSpacing/>
              <w:rPr>
                <w:sz w:val="22"/>
                <w:szCs w:val="22"/>
              </w:rPr>
            </w:pPr>
            <w:r w:rsidRPr="003D57AA">
              <w:rPr>
                <w:sz w:val="22"/>
                <w:szCs w:val="22"/>
              </w:rPr>
              <w:lastRenderedPageBreak/>
              <w:t>Selection will include an assessment of ANGOs' capability statements to ensure disaster risk reduction (prevention, mitigation and preparedness), response and recovery initiatives equally involve and benefit men, women, boys and girls.</w:t>
            </w:r>
          </w:p>
          <w:p w14:paraId="635C59CC" w14:textId="77777777" w:rsidR="00377C6E" w:rsidRPr="003D57AA" w:rsidRDefault="00377C6E" w:rsidP="00377C6E">
            <w:pPr>
              <w:numPr>
                <w:ilvl w:val="0"/>
                <w:numId w:val="39"/>
              </w:numPr>
              <w:contextualSpacing/>
              <w:rPr>
                <w:sz w:val="22"/>
                <w:szCs w:val="22"/>
              </w:rPr>
            </w:pPr>
            <w:r w:rsidRPr="003D57AA">
              <w:rPr>
                <w:sz w:val="22"/>
                <w:szCs w:val="22"/>
              </w:rPr>
              <w:t xml:space="preserve">Protection will be mainstreamed into response criteria and opportunities for standalone GBV protection programming will be provided. </w:t>
            </w:r>
          </w:p>
          <w:p w14:paraId="68EDDBD8" w14:textId="77777777" w:rsidR="00377C6E" w:rsidRPr="003D57AA" w:rsidRDefault="00377C6E" w:rsidP="00377C6E">
            <w:pPr>
              <w:numPr>
                <w:ilvl w:val="0"/>
                <w:numId w:val="39"/>
              </w:numPr>
              <w:contextualSpacing/>
              <w:rPr>
                <w:sz w:val="22"/>
                <w:szCs w:val="22"/>
              </w:rPr>
            </w:pPr>
            <w:r w:rsidRPr="003D57AA">
              <w:rPr>
                <w:sz w:val="22"/>
                <w:szCs w:val="22"/>
              </w:rPr>
              <w:t xml:space="preserve">MEL processes integrate review and analysis of response outcomes and adherence to the Core Humanitarian Standards and the Do no Harm principle.  </w:t>
            </w:r>
          </w:p>
          <w:p w14:paraId="0817ED86" w14:textId="77777777" w:rsidR="00377C6E" w:rsidRPr="003D57AA" w:rsidRDefault="00377C6E" w:rsidP="00377C6E">
            <w:pPr>
              <w:numPr>
                <w:ilvl w:val="0"/>
                <w:numId w:val="39"/>
              </w:numPr>
              <w:contextualSpacing/>
              <w:rPr>
                <w:sz w:val="22"/>
                <w:szCs w:val="22"/>
              </w:rPr>
            </w:pPr>
            <w:r w:rsidRPr="003D57AA">
              <w:rPr>
                <w:sz w:val="22"/>
                <w:szCs w:val="22"/>
              </w:rPr>
              <w:t>Partnership reporting will capture the full cycle from response through to early recovery.</w:t>
            </w:r>
          </w:p>
          <w:p w14:paraId="18FFF16B" w14:textId="77777777" w:rsidR="00377C6E" w:rsidRPr="003D57AA" w:rsidRDefault="00377C6E" w:rsidP="00C23DFB">
            <w:pPr>
              <w:rPr>
                <w:sz w:val="22"/>
                <w:szCs w:val="22"/>
              </w:rPr>
            </w:pPr>
            <w:r w:rsidRPr="003D57AA">
              <w:rPr>
                <w:sz w:val="22"/>
                <w:szCs w:val="22"/>
              </w:rPr>
              <w:lastRenderedPageBreak/>
              <w:t xml:space="preserve"> </w:t>
            </w:r>
          </w:p>
        </w:tc>
      </w:tr>
      <w:tr w:rsidR="00377C6E" w:rsidRPr="003D57AA" w14:paraId="05542C4E" w14:textId="77777777" w:rsidTr="00C23DFB">
        <w:tc>
          <w:tcPr>
            <w:tcW w:w="1976" w:type="dxa"/>
          </w:tcPr>
          <w:p w14:paraId="1E7E9F8E" w14:textId="77777777" w:rsidR="00377C6E" w:rsidRPr="003D57AA" w:rsidDel="00D9142E" w:rsidRDefault="00377C6E" w:rsidP="00C23DFB">
            <w:pPr>
              <w:autoSpaceDE w:val="0"/>
              <w:autoSpaceDN w:val="0"/>
              <w:adjustRightInd w:val="0"/>
              <w:rPr>
                <w:rFonts w:cs="Calibri"/>
                <w:b/>
                <w:color w:val="000000"/>
                <w:sz w:val="22"/>
                <w:szCs w:val="22"/>
              </w:rPr>
            </w:pPr>
            <w:r w:rsidRPr="003D57AA">
              <w:rPr>
                <w:rFonts w:cs="Calibri"/>
                <w:b/>
                <w:color w:val="000000"/>
                <w:sz w:val="22"/>
                <w:szCs w:val="22"/>
              </w:rPr>
              <w:lastRenderedPageBreak/>
              <w:t>Early recovery is strongly integrated into responses.</w:t>
            </w:r>
          </w:p>
        </w:tc>
        <w:tc>
          <w:tcPr>
            <w:tcW w:w="5160" w:type="dxa"/>
          </w:tcPr>
          <w:p w14:paraId="7ABBDD61" w14:textId="77777777" w:rsidR="00377C6E" w:rsidRPr="003D57AA" w:rsidRDefault="00377C6E" w:rsidP="00377C6E">
            <w:pPr>
              <w:numPr>
                <w:ilvl w:val="0"/>
                <w:numId w:val="39"/>
              </w:numPr>
              <w:contextualSpacing/>
              <w:rPr>
                <w:sz w:val="22"/>
                <w:szCs w:val="22"/>
              </w:rPr>
            </w:pPr>
            <w:r w:rsidRPr="003D57AA">
              <w:rPr>
                <w:sz w:val="22"/>
                <w:szCs w:val="22"/>
              </w:rPr>
              <w:t>Early recovery begins early on in response efforts in parallel with relief efforts</w:t>
            </w:r>
          </w:p>
          <w:p w14:paraId="1428C76E" w14:textId="77777777" w:rsidR="00377C6E" w:rsidRPr="003D57AA" w:rsidRDefault="00377C6E" w:rsidP="00377C6E">
            <w:pPr>
              <w:numPr>
                <w:ilvl w:val="0"/>
                <w:numId w:val="39"/>
              </w:numPr>
              <w:contextualSpacing/>
              <w:rPr>
                <w:sz w:val="22"/>
                <w:szCs w:val="22"/>
              </w:rPr>
            </w:pPr>
            <w:r w:rsidRPr="003D57AA">
              <w:rPr>
                <w:sz w:val="22"/>
                <w:szCs w:val="22"/>
              </w:rPr>
              <w:t xml:space="preserve">Achievable, steady, incremental improvements are made in the safety and resilience of communities and their infrastructure that reduce future vulnerability to natural hazards or other shocks </w:t>
            </w:r>
          </w:p>
          <w:p w14:paraId="7B777DBB" w14:textId="77777777" w:rsidR="00377C6E" w:rsidRPr="003D57AA" w:rsidRDefault="00377C6E" w:rsidP="00377C6E">
            <w:pPr>
              <w:numPr>
                <w:ilvl w:val="0"/>
                <w:numId w:val="39"/>
              </w:numPr>
              <w:contextualSpacing/>
              <w:rPr>
                <w:sz w:val="22"/>
                <w:szCs w:val="22"/>
              </w:rPr>
            </w:pPr>
            <w:r w:rsidRPr="003D57AA">
              <w:rPr>
                <w:sz w:val="22"/>
                <w:szCs w:val="22"/>
              </w:rPr>
              <w:t>Immediate relief responses are linked with longer-term processes of recovery and development.</w:t>
            </w:r>
          </w:p>
        </w:tc>
        <w:tc>
          <w:tcPr>
            <w:tcW w:w="6704" w:type="dxa"/>
          </w:tcPr>
          <w:p w14:paraId="321F66AC" w14:textId="77777777" w:rsidR="00377C6E" w:rsidRPr="003D57AA" w:rsidRDefault="00377C6E" w:rsidP="00377C6E">
            <w:pPr>
              <w:numPr>
                <w:ilvl w:val="0"/>
                <w:numId w:val="39"/>
              </w:numPr>
              <w:contextualSpacing/>
              <w:rPr>
                <w:sz w:val="22"/>
                <w:szCs w:val="22"/>
              </w:rPr>
            </w:pPr>
            <w:r w:rsidRPr="003D57AA">
              <w:rPr>
                <w:sz w:val="22"/>
                <w:szCs w:val="22"/>
              </w:rPr>
              <w:t>Selection will include an assessment of ANGOs' capability statements to ensure recovery initiatives are well considered in the immediate response design phases.</w:t>
            </w:r>
          </w:p>
          <w:p w14:paraId="79B29226" w14:textId="77777777" w:rsidR="00377C6E" w:rsidRPr="003D57AA" w:rsidRDefault="00377C6E" w:rsidP="00377C6E">
            <w:pPr>
              <w:numPr>
                <w:ilvl w:val="0"/>
                <w:numId w:val="39"/>
              </w:numPr>
              <w:contextualSpacing/>
              <w:rPr>
                <w:sz w:val="22"/>
                <w:szCs w:val="22"/>
              </w:rPr>
            </w:pPr>
            <w:r w:rsidRPr="003D57AA">
              <w:rPr>
                <w:sz w:val="22"/>
                <w:szCs w:val="22"/>
              </w:rPr>
              <w:t xml:space="preserve">The partnerships’ MEL assesses the extent to which partners have made good decisions on limited initial rapid assessment. </w:t>
            </w:r>
          </w:p>
          <w:p w14:paraId="529DA873" w14:textId="77777777" w:rsidR="00377C6E" w:rsidRPr="003D57AA" w:rsidRDefault="00377C6E" w:rsidP="00377C6E">
            <w:pPr>
              <w:numPr>
                <w:ilvl w:val="0"/>
                <w:numId w:val="39"/>
              </w:numPr>
              <w:contextualSpacing/>
              <w:rPr>
                <w:sz w:val="22"/>
                <w:szCs w:val="22"/>
              </w:rPr>
            </w:pPr>
            <w:r w:rsidRPr="003D57AA">
              <w:rPr>
                <w:sz w:val="22"/>
                <w:szCs w:val="22"/>
              </w:rPr>
              <w:t>Partnership reporting will capture the full cycle from response through to early recovery</w:t>
            </w:r>
          </w:p>
        </w:tc>
      </w:tr>
      <w:tr w:rsidR="00377C6E" w:rsidRPr="00333FF4" w14:paraId="3B888680" w14:textId="77777777" w:rsidTr="00C23DFB">
        <w:tc>
          <w:tcPr>
            <w:tcW w:w="13840" w:type="dxa"/>
            <w:gridSpan w:val="3"/>
            <w:shd w:val="clear" w:color="auto" w:fill="B8CCE4" w:themeFill="accent1" w:themeFillTint="66"/>
          </w:tcPr>
          <w:p w14:paraId="09346EBA" w14:textId="0C52A4E2" w:rsidR="00377C6E" w:rsidRPr="00413364" w:rsidRDefault="00377C6E" w:rsidP="00D73754">
            <w:pPr>
              <w:rPr>
                <w:rFonts w:asciiTheme="minorHAnsi" w:hAnsiTheme="minorHAnsi"/>
                <w:sz w:val="22"/>
                <w:szCs w:val="22"/>
              </w:rPr>
            </w:pPr>
            <w:r w:rsidRPr="00413364">
              <w:rPr>
                <w:rFonts w:asciiTheme="minorHAnsi" w:hAnsiTheme="minorHAnsi" w:cs="Calibri"/>
                <w:b/>
                <w:bCs/>
                <w:color w:val="000000"/>
                <w:sz w:val="22"/>
                <w:szCs w:val="22"/>
              </w:rPr>
              <w:t xml:space="preserve">OUTCOME AREA 2: BUILDING LOCAL HUMANITARIAN CAPACITY </w:t>
            </w:r>
            <w:r w:rsidR="00D73754">
              <w:rPr>
                <w:rFonts w:asciiTheme="minorHAnsi" w:hAnsiTheme="minorHAnsi" w:cs="Calibri"/>
                <w:b/>
                <w:bCs/>
                <w:color w:val="000000"/>
                <w:sz w:val="22"/>
                <w:szCs w:val="22"/>
              </w:rPr>
              <w:t xml:space="preserve">AND STRENGTHENING DISASTER RESILEINCE  OF </w:t>
            </w:r>
            <w:r w:rsidRPr="00413364">
              <w:rPr>
                <w:rFonts w:asciiTheme="minorHAnsi" w:hAnsiTheme="minorHAnsi" w:cs="Calibri"/>
                <w:b/>
                <w:bCs/>
                <w:color w:val="000000"/>
                <w:sz w:val="22"/>
                <w:szCs w:val="22"/>
              </w:rPr>
              <w:t>PACIFIC</w:t>
            </w:r>
            <w:r w:rsidR="00D73754">
              <w:rPr>
                <w:rFonts w:asciiTheme="minorHAnsi" w:hAnsiTheme="minorHAnsi" w:cs="Calibri"/>
                <w:b/>
                <w:bCs/>
                <w:color w:val="000000"/>
                <w:sz w:val="22"/>
                <w:szCs w:val="22"/>
              </w:rPr>
              <w:t xml:space="preserve"> COMMUNITIES</w:t>
            </w:r>
          </w:p>
        </w:tc>
      </w:tr>
      <w:tr w:rsidR="00377C6E" w:rsidRPr="003D57AA" w14:paraId="5948F55E" w14:textId="77777777" w:rsidTr="00C23DFB">
        <w:tc>
          <w:tcPr>
            <w:tcW w:w="1976" w:type="dxa"/>
          </w:tcPr>
          <w:p w14:paraId="7F9CA76D" w14:textId="77777777" w:rsidR="00377C6E" w:rsidRPr="003D57AA" w:rsidRDefault="00377C6E" w:rsidP="00C23DFB">
            <w:pPr>
              <w:autoSpaceDE w:val="0"/>
              <w:autoSpaceDN w:val="0"/>
              <w:adjustRightInd w:val="0"/>
              <w:rPr>
                <w:b/>
                <w:sz w:val="22"/>
                <w:szCs w:val="22"/>
              </w:rPr>
            </w:pPr>
            <w:r w:rsidRPr="003D57AA">
              <w:rPr>
                <w:rFonts w:cs="Calibri"/>
                <w:b/>
                <w:color w:val="000000"/>
                <w:sz w:val="22"/>
                <w:szCs w:val="22"/>
              </w:rPr>
              <w:t>ANGOs’ resilience initiatives complement their ANCP funded programs.</w:t>
            </w:r>
          </w:p>
        </w:tc>
        <w:tc>
          <w:tcPr>
            <w:tcW w:w="5160" w:type="dxa"/>
          </w:tcPr>
          <w:p w14:paraId="37CFF304" w14:textId="77777777" w:rsidR="00377C6E" w:rsidRPr="003D57AA" w:rsidRDefault="00522D37" w:rsidP="00377C6E">
            <w:pPr>
              <w:numPr>
                <w:ilvl w:val="0"/>
                <w:numId w:val="39"/>
              </w:numPr>
              <w:contextualSpacing/>
              <w:rPr>
                <w:sz w:val="22"/>
                <w:szCs w:val="22"/>
              </w:rPr>
            </w:pPr>
            <w:r w:rsidRPr="003D57AA">
              <w:rPr>
                <w:sz w:val="22"/>
                <w:szCs w:val="22"/>
              </w:rPr>
              <w:t>Funded NGOs link DRR / res</w:t>
            </w:r>
            <w:r w:rsidR="00377C6E" w:rsidRPr="003D57AA">
              <w:rPr>
                <w:sz w:val="22"/>
                <w:szCs w:val="22"/>
              </w:rPr>
              <w:t>i</w:t>
            </w:r>
            <w:r w:rsidRPr="003D57AA">
              <w:rPr>
                <w:sz w:val="22"/>
                <w:szCs w:val="22"/>
              </w:rPr>
              <w:t>lie</w:t>
            </w:r>
            <w:r w:rsidR="00377C6E" w:rsidRPr="003D57AA">
              <w:rPr>
                <w:sz w:val="22"/>
                <w:szCs w:val="22"/>
              </w:rPr>
              <w:t xml:space="preserve">nce activities in with their development programs to extend reach and impact. </w:t>
            </w:r>
          </w:p>
          <w:p w14:paraId="3FAAA204" w14:textId="77777777" w:rsidR="00377C6E" w:rsidRPr="003D57AA" w:rsidRDefault="00522D37" w:rsidP="00377C6E">
            <w:pPr>
              <w:numPr>
                <w:ilvl w:val="0"/>
                <w:numId w:val="39"/>
              </w:numPr>
              <w:contextualSpacing/>
              <w:rPr>
                <w:sz w:val="22"/>
                <w:szCs w:val="22"/>
              </w:rPr>
            </w:pPr>
            <w:r w:rsidRPr="003D57AA">
              <w:rPr>
                <w:sz w:val="22"/>
                <w:szCs w:val="22"/>
              </w:rPr>
              <w:t xml:space="preserve">Funded </w:t>
            </w:r>
            <w:r w:rsidR="00377C6E" w:rsidRPr="003D57AA">
              <w:rPr>
                <w:sz w:val="22"/>
                <w:szCs w:val="22"/>
              </w:rPr>
              <w:t xml:space="preserve">NGOs integrate DRR activities within their development programs, working towards shared goals of reducing community exposure to multiple hazards, thus building resilience. </w:t>
            </w:r>
          </w:p>
        </w:tc>
        <w:tc>
          <w:tcPr>
            <w:tcW w:w="6704" w:type="dxa"/>
          </w:tcPr>
          <w:p w14:paraId="10164AD3" w14:textId="77777777" w:rsidR="00377C6E" w:rsidRPr="003D57AA" w:rsidRDefault="00522D37" w:rsidP="00377C6E">
            <w:pPr>
              <w:numPr>
                <w:ilvl w:val="0"/>
                <w:numId w:val="39"/>
              </w:numPr>
              <w:contextualSpacing/>
              <w:rPr>
                <w:sz w:val="22"/>
                <w:szCs w:val="22"/>
              </w:rPr>
            </w:pPr>
            <w:r w:rsidRPr="003D57AA">
              <w:rPr>
                <w:sz w:val="22"/>
                <w:szCs w:val="22"/>
              </w:rPr>
              <w:t>In the application process, A</w:t>
            </w:r>
            <w:r w:rsidR="00377C6E" w:rsidRPr="003D57AA">
              <w:rPr>
                <w:sz w:val="22"/>
                <w:szCs w:val="22"/>
              </w:rPr>
              <w:t xml:space="preserve">NGO partners will be expected to demonstrate how their DRR and resilience initiatives will align with activities implemented through their ANCP funded development activities. </w:t>
            </w:r>
          </w:p>
          <w:p w14:paraId="42412C30" w14:textId="77777777" w:rsidR="00377C6E" w:rsidRPr="003D57AA" w:rsidRDefault="00377C6E" w:rsidP="00C23DFB">
            <w:pPr>
              <w:rPr>
                <w:sz w:val="22"/>
                <w:szCs w:val="22"/>
              </w:rPr>
            </w:pPr>
          </w:p>
        </w:tc>
      </w:tr>
      <w:tr w:rsidR="00377C6E" w:rsidRPr="003D57AA" w14:paraId="2D620957" w14:textId="77777777" w:rsidTr="00C23DFB">
        <w:tc>
          <w:tcPr>
            <w:tcW w:w="1976" w:type="dxa"/>
          </w:tcPr>
          <w:p w14:paraId="5EF9FF5F"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 xml:space="preserve">ANGOs collaborate and align initiatives with other Australian investments including with the ARC. </w:t>
            </w:r>
          </w:p>
        </w:tc>
        <w:tc>
          <w:tcPr>
            <w:tcW w:w="5160" w:type="dxa"/>
          </w:tcPr>
          <w:p w14:paraId="37C6D2C1" w14:textId="77777777" w:rsidR="00377C6E" w:rsidRPr="003D57AA" w:rsidRDefault="00522D37" w:rsidP="00377C6E">
            <w:pPr>
              <w:numPr>
                <w:ilvl w:val="0"/>
                <w:numId w:val="39"/>
              </w:numPr>
              <w:contextualSpacing/>
              <w:rPr>
                <w:sz w:val="22"/>
                <w:szCs w:val="22"/>
              </w:rPr>
            </w:pPr>
            <w:r w:rsidRPr="003D57AA">
              <w:rPr>
                <w:sz w:val="22"/>
                <w:szCs w:val="22"/>
              </w:rPr>
              <w:t xml:space="preserve">Funded </w:t>
            </w:r>
            <w:r w:rsidR="00377C6E" w:rsidRPr="003D57AA">
              <w:rPr>
                <w:sz w:val="22"/>
                <w:szCs w:val="22"/>
              </w:rPr>
              <w:t>NGO partners form working links with each other</w:t>
            </w:r>
            <w:r w:rsidRPr="003D57AA">
              <w:rPr>
                <w:sz w:val="22"/>
                <w:szCs w:val="22"/>
              </w:rPr>
              <w:t>, fellow HRG member NGOs</w:t>
            </w:r>
            <w:r w:rsidR="00377C6E" w:rsidRPr="003D57AA">
              <w:rPr>
                <w:sz w:val="22"/>
                <w:szCs w:val="22"/>
              </w:rPr>
              <w:t xml:space="preserve"> and with other DFAT DRR and DRM investments in the region, including through ANCP and bilateral and regional program (in relation to delivery, innovation, advocacy and learning) .</w:t>
            </w:r>
          </w:p>
          <w:p w14:paraId="618FF786" w14:textId="77777777" w:rsidR="00377C6E" w:rsidRPr="003D57AA" w:rsidRDefault="00377C6E" w:rsidP="00C23DFB">
            <w:pPr>
              <w:ind w:left="360"/>
              <w:contextualSpacing/>
              <w:rPr>
                <w:sz w:val="22"/>
                <w:szCs w:val="22"/>
              </w:rPr>
            </w:pPr>
          </w:p>
        </w:tc>
        <w:tc>
          <w:tcPr>
            <w:tcW w:w="6704" w:type="dxa"/>
          </w:tcPr>
          <w:p w14:paraId="6B17BF78" w14:textId="77777777" w:rsidR="00377C6E" w:rsidRPr="003D57AA" w:rsidRDefault="00377C6E" w:rsidP="00377C6E">
            <w:pPr>
              <w:numPr>
                <w:ilvl w:val="0"/>
                <w:numId w:val="39"/>
              </w:numPr>
              <w:contextualSpacing/>
              <w:rPr>
                <w:sz w:val="22"/>
                <w:szCs w:val="22"/>
              </w:rPr>
            </w:pPr>
            <w:r w:rsidRPr="003D57AA">
              <w:rPr>
                <w:sz w:val="22"/>
                <w:szCs w:val="22"/>
              </w:rPr>
              <w:t xml:space="preserve">The design will allow time to be invested (during the inception phase) to enable partners to deepen mutual understanding of each other's operations in order to identify opportunities for collaboration and to develop joint programs for increased impact.  </w:t>
            </w:r>
          </w:p>
          <w:p w14:paraId="09195F19" w14:textId="77777777" w:rsidR="00377C6E" w:rsidRPr="003D57AA" w:rsidRDefault="00377C6E" w:rsidP="00C23DFB">
            <w:pPr>
              <w:ind w:left="360"/>
              <w:contextualSpacing/>
              <w:rPr>
                <w:sz w:val="22"/>
                <w:szCs w:val="22"/>
              </w:rPr>
            </w:pPr>
          </w:p>
        </w:tc>
      </w:tr>
      <w:tr w:rsidR="00377C6E" w:rsidRPr="003D57AA" w14:paraId="31084DB1" w14:textId="77777777" w:rsidTr="00C23DFB">
        <w:tc>
          <w:tcPr>
            <w:tcW w:w="1976" w:type="dxa"/>
          </w:tcPr>
          <w:p w14:paraId="250D1E7B"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ANGO initiatives are designed in partnership with local communities and authorities that ensure local leadership.</w:t>
            </w:r>
          </w:p>
        </w:tc>
        <w:tc>
          <w:tcPr>
            <w:tcW w:w="5160" w:type="dxa"/>
          </w:tcPr>
          <w:p w14:paraId="0357204A" w14:textId="77777777" w:rsidR="00377C6E" w:rsidRPr="003D57AA" w:rsidRDefault="00377C6E" w:rsidP="00377C6E">
            <w:pPr>
              <w:numPr>
                <w:ilvl w:val="0"/>
                <w:numId w:val="39"/>
              </w:numPr>
              <w:contextualSpacing/>
              <w:rPr>
                <w:sz w:val="22"/>
                <w:szCs w:val="22"/>
              </w:rPr>
            </w:pPr>
            <w:r w:rsidRPr="003D57AA">
              <w:rPr>
                <w:sz w:val="22"/>
                <w:szCs w:val="22"/>
              </w:rPr>
              <w:t>Initiatives’ approaches, goals, activities and targets are determined in partnership with local communities and authorities.</w:t>
            </w:r>
          </w:p>
          <w:p w14:paraId="407E74EC" w14:textId="77777777" w:rsidR="00377C6E" w:rsidRPr="003D57AA" w:rsidRDefault="00377C6E" w:rsidP="00377C6E">
            <w:pPr>
              <w:numPr>
                <w:ilvl w:val="0"/>
                <w:numId w:val="39"/>
              </w:numPr>
              <w:contextualSpacing/>
              <w:rPr>
                <w:sz w:val="22"/>
                <w:szCs w:val="22"/>
              </w:rPr>
            </w:pPr>
            <w:r w:rsidRPr="003D57AA">
              <w:rPr>
                <w:sz w:val="22"/>
                <w:szCs w:val="22"/>
              </w:rPr>
              <w:t xml:space="preserve">Initiatives are designed and delivered to support local leadership of DRR and resilience activities by communities and local authorities (with implementing partners playing a support role).  </w:t>
            </w:r>
          </w:p>
        </w:tc>
        <w:tc>
          <w:tcPr>
            <w:tcW w:w="6704" w:type="dxa"/>
          </w:tcPr>
          <w:p w14:paraId="4E586ADC" w14:textId="77777777" w:rsidR="00377C6E" w:rsidRPr="003D57AA" w:rsidRDefault="00377C6E" w:rsidP="00377C6E">
            <w:pPr>
              <w:numPr>
                <w:ilvl w:val="0"/>
                <w:numId w:val="39"/>
              </w:numPr>
              <w:contextualSpacing/>
              <w:rPr>
                <w:sz w:val="22"/>
                <w:szCs w:val="22"/>
              </w:rPr>
            </w:pPr>
            <w:r w:rsidRPr="003D57AA">
              <w:rPr>
                <w:sz w:val="22"/>
                <w:szCs w:val="22"/>
              </w:rPr>
              <w:t xml:space="preserve">Selected partners will participate with DFAT in a 'design-and-implement' inception phase, which will determine the priorities, partnerships and activities to be pursued. The localisation agenda will be strongly integrated into the design process and approach.  </w:t>
            </w:r>
          </w:p>
        </w:tc>
      </w:tr>
      <w:tr w:rsidR="00377C6E" w:rsidRPr="003D57AA" w14:paraId="30759985" w14:textId="77777777" w:rsidTr="00C23DFB">
        <w:tc>
          <w:tcPr>
            <w:tcW w:w="1976" w:type="dxa"/>
          </w:tcPr>
          <w:p w14:paraId="26995BFD"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lastRenderedPageBreak/>
              <w:t>Strengthened risk resilience of Pacific communities</w:t>
            </w:r>
          </w:p>
        </w:tc>
        <w:tc>
          <w:tcPr>
            <w:tcW w:w="5160" w:type="dxa"/>
          </w:tcPr>
          <w:p w14:paraId="646AC6D5" w14:textId="77777777" w:rsidR="00377C6E" w:rsidRPr="003D57AA" w:rsidRDefault="00377C6E" w:rsidP="00377C6E">
            <w:pPr>
              <w:numPr>
                <w:ilvl w:val="0"/>
                <w:numId w:val="39"/>
              </w:numPr>
              <w:contextualSpacing/>
              <w:rPr>
                <w:sz w:val="22"/>
                <w:szCs w:val="22"/>
              </w:rPr>
            </w:pPr>
            <w:r w:rsidRPr="003D57AA">
              <w:rPr>
                <w:sz w:val="22"/>
                <w:szCs w:val="22"/>
              </w:rPr>
              <w:t>Initiatives are designed and implemented to strengthen and augment the capacity (knowledge, skills, connections and institutions) of Pacific communities.</w:t>
            </w:r>
          </w:p>
          <w:p w14:paraId="6F5AD5FB" w14:textId="77777777" w:rsidR="00377C6E" w:rsidRPr="003D57AA" w:rsidRDefault="00377C6E" w:rsidP="00377C6E">
            <w:pPr>
              <w:numPr>
                <w:ilvl w:val="0"/>
                <w:numId w:val="39"/>
              </w:numPr>
              <w:contextualSpacing/>
              <w:rPr>
                <w:sz w:val="22"/>
                <w:szCs w:val="22"/>
              </w:rPr>
            </w:pPr>
            <w:r w:rsidRPr="003D57AA">
              <w:rPr>
                <w:sz w:val="22"/>
                <w:szCs w:val="22"/>
              </w:rPr>
              <w:t>Communities develop capacity to implement disaster risk activities that are inclusive of women, men, children and people with disability.</w:t>
            </w:r>
          </w:p>
          <w:p w14:paraId="0AD00103" w14:textId="77777777" w:rsidR="00377C6E" w:rsidRPr="003D57AA" w:rsidRDefault="00377C6E" w:rsidP="00377C6E">
            <w:pPr>
              <w:numPr>
                <w:ilvl w:val="0"/>
                <w:numId w:val="39"/>
              </w:numPr>
              <w:contextualSpacing/>
              <w:rPr>
                <w:sz w:val="22"/>
                <w:szCs w:val="22"/>
              </w:rPr>
            </w:pPr>
            <w:r w:rsidRPr="003D57AA">
              <w:rPr>
                <w:sz w:val="22"/>
                <w:szCs w:val="22"/>
              </w:rPr>
              <w:t>Communities are better prepared for future crises: Early warning system works for community members (i.e. community members are involved in understanding what to do in an evacuation; and have appropriate mechanisms in place to minimise on-going risks (such as regular flooding).</w:t>
            </w:r>
            <w:r w:rsidRPr="003D57AA">
              <w:rPr>
                <w:rFonts w:eastAsia="Times New Roman" w:cs="Arial"/>
                <w:color w:val="222222"/>
                <w:sz w:val="22"/>
                <w:szCs w:val="22"/>
                <w:lang w:eastAsia="en-AU"/>
              </w:rPr>
              <w:t xml:space="preserve"> </w:t>
            </w:r>
          </w:p>
        </w:tc>
        <w:tc>
          <w:tcPr>
            <w:tcW w:w="6704" w:type="dxa"/>
          </w:tcPr>
          <w:p w14:paraId="68C38942" w14:textId="77777777" w:rsidR="00377C6E" w:rsidRPr="003D57AA" w:rsidRDefault="003D6B85" w:rsidP="00522D37">
            <w:pPr>
              <w:numPr>
                <w:ilvl w:val="0"/>
                <w:numId w:val="39"/>
              </w:numPr>
              <w:contextualSpacing/>
              <w:rPr>
                <w:sz w:val="22"/>
                <w:szCs w:val="22"/>
              </w:rPr>
            </w:pPr>
            <w:r w:rsidRPr="003D57AA">
              <w:rPr>
                <w:sz w:val="22"/>
                <w:szCs w:val="22"/>
              </w:rPr>
              <w:t>Selected partners will participate with DFAT in a 'design-</w:t>
            </w:r>
            <w:r w:rsidR="008C63C2" w:rsidRPr="003D57AA">
              <w:rPr>
                <w:sz w:val="22"/>
                <w:szCs w:val="22"/>
              </w:rPr>
              <w:t>and-implement' inception phase which will give selected partners time to engage with communities to build a shared working definition of resilience and identify gaps and develop appropriate strategies to address these in partnership with community.</w:t>
            </w:r>
          </w:p>
        </w:tc>
      </w:tr>
      <w:tr w:rsidR="00377C6E" w:rsidRPr="003D57AA" w14:paraId="40E0AE6C" w14:textId="77777777" w:rsidTr="00C23DFB">
        <w:tc>
          <w:tcPr>
            <w:tcW w:w="1976" w:type="dxa"/>
          </w:tcPr>
          <w:p w14:paraId="2A8F566A" w14:textId="77777777" w:rsidR="00377C6E" w:rsidRPr="003D57AA" w:rsidDel="00E4611B" w:rsidRDefault="00377C6E" w:rsidP="00C23DFB">
            <w:pPr>
              <w:autoSpaceDE w:val="0"/>
              <w:autoSpaceDN w:val="0"/>
              <w:adjustRightInd w:val="0"/>
              <w:rPr>
                <w:rFonts w:cs="Calibri"/>
                <w:b/>
                <w:color w:val="000000"/>
                <w:sz w:val="22"/>
                <w:szCs w:val="22"/>
              </w:rPr>
            </w:pPr>
            <w:r w:rsidRPr="003D57AA">
              <w:rPr>
                <w:rFonts w:cs="Calibri"/>
                <w:b/>
                <w:bCs/>
                <w:color w:val="000000"/>
                <w:sz w:val="22"/>
                <w:szCs w:val="22"/>
              </w:rPr>
              <w:t>Strengthened disaster management capacity and coordination of local Pacific based NGOs</w:t>
            </w:r>
          </w:p>
        </w:tc>
        <w:tc>
          <w:tcPr>
            <w:tcW w:w="5160" w:type="dxa"/>
          </w:tcPr>
          <w:p w14:paraId="57F2E4D7" w14:textId="77777777" w:rsidR="00377C6E" w:rsidRPr="003D57AA" w:rsidRDefault="00377C6E" w:rsidP="00377C6E">
            <w:pPr>
              <w:numPr>
                <w:ilvl w:val="0"/>
                <w:numId w:val="39"/>
              </w:numPr>
              <w:contextualSpacing/>
              <w:rPr>
                <w:sz w:val="22"/>
                <w:szCs w:val="22"/>
              </w:rPr>
            </w:pPr>
            <w:r w:rsidRPr="003D57AA">
              <w:rPr>
                <w:sz w:val="22"/>
                <w:szCs w:val="22"/>
              </w:rPr>
              <w:t xml:space="preserve">Local implementing partners have improved organisational capacity in DM (systems, policies processes, equipment and distribution). </w:t>
            </w:r>
          </w:p>
          <w:p w14:paraId="1C41FF1F" w14:textId="77777777" w:rsidR="00377C6E" w:rsidRPr="003D57AA" w:rsidRDefault="00377C6E" w:rsidP="00377C6E">
            <w:pPr>
              <w:numPr>
                <w:ilvl w:val="0"/>
                <w:numId w:val="39"/>
              </w:numPr>
              <w:contextualSpacing/>
              <w:rPr>
                <w:sz w:val="22"/>
                <w:szCs w:val="22"/>
              </w:rPr>
            </w:pPr>
            <w:r w:rsidRPr="003D57AA">
              <w:rPr>
                <w:sz w:val="22"/>
                <w:szCs w:val="22"/>
              </w:rPr>
              <w:t xml:space="preserve">Local NGO staff and volunteers have improved knowledge of and skills in DM. </w:t>
            </w:r>
          </w:p>
          <w:p w14:paraId="2AE51B22" w14:textId="77777777" w:rsidR="00377C6E" w:rsidRPr="003D57AA" w:rsidRDefault="00522D37" w:rsidP="00377C6E">
            <w:pPr>
              <w:numPr>
                <w:ilvl w:val="0"/>
                <w:numId w:val="39"/>
              </w:numPr>
              <w:contextualSpacing/>
              <w:rPr>
                <w:sz w:val="22"/>
                <w:szCs w:val="22"/>
              </w:rPr>
            </w:pPr>
            <w:r w:rsidRPr="003D57AA">
              <w:rPr>
                <w:sz w:val="22"/>
                <w:szCs w:val="22"/>
              </w:rPr>
              <w:t xml:space="preserve">Funded </w:t>
            </w:r>
            <w:r w:rsidR="00377C6E" w:rsidRPr="003D57AA">
              <w:rPr>
                <w:sz w:val="22"/>
                <w:szCs w:val="22"/>
              </w:rPr>
              <w:t xml:space="preserve">NGO partners have improved coordination and stakeholder relationships which support DM. </w:t>
            </w:r>
          </w:p>
          <w:p w14:paraId="324EBD25" w14:textId="77777777" w:rsidR="00377C6E" w:rsidRPr="003D57AA" w:rsidRDefault="00377C6E" w:rsidP="00377C6E">
            <w:pPr>
              <w:numPr>
                <w:ilvl w:val="0"/>
                <w:numId w:val="39"/>
              </w:numPr>
              <w:contextualSpacing/>
              <w:rPr>
                <w:sz w:val="22"/>
                <w:szCs w:val="22"/>
              </w:rPr>
            </w:pPr>
            <w:r w:rsidRPr="003D57AA">
              <w:rPr>
                <w:sz w:val="22"/>
                <w:szCs w:val="22"/>
              </w:rPr>
              <w:t xml:space="preserve">Strengthened local community structures, committees and networks which support the DM activities of local NGOs. </w:t>
            </w:r>
          </w:p>
          <w:p w14:paraId="11BB0D76" w14:textId="77777777" w:rsidR="00377C6E" w:rsidRPr="003D57AA" w:rsidRDefault="00377C6E" w:rsidP="00377C6E">
            <w:pPr>
              <w:numPr>
                <w:ilvl w:val="0"/>
                <w:numId w:val="39"/>
              </w:numPr>
              <w:contextualSpacing/>
              <w:rPr>
                <w:sz w:val="22"/>
                <w:szCs w:val="22"/>
              </w:rPr>
            </w:pPr>
            <w:r w:rsidRPr="003D57AA">
              <w:rPr>
                <w:sz w:val="22"/>
                <w:szCs w:val="22"/>
              </w:rPr>
              <w:t xml:space="preserve">Improved capacity for inclusion of </w:t>
            </w:r>
            <w:r w:rsidR="00522D37" w:rsidRPr="003D57AA">
              <w:rPr>
                <w:sz w:val="22"/>
                <w:szCs w:val="22"/>
              </w:rPr>
              <w:t xml:space="preserve">funded </w:t>
            </w:r>
            <w:r w:rsidRPr="003D57AA">
              <w:rPr>
                <w:sz w:val="22"/>
                <w:szCs w:val="22"/>
              </w:rPr>
              <w:t xml:space="preserve">NGO partners and their local community DM networks.   </w:t>
            </w:r>
          </w:p>
        </w:tc>
        <w:tc>
          <w:tcPr>
            <w:tcW w:w="6704" w:type="dxa"/>
          </w:tcPr>
          <w:p w14:paraId="50001340" w14:textId="77777777" w:rsidR="00377C6E" w:rsidRPr="003D57AA" w:rsidRDefault="00377C6E" w:rsidP="00377C6E">
            <w:pPr>
              <w:numPr>
                <w:ilvl w:val="0"/>
                <w:numId w:val="39"/>
              </w:numPr>
              <w:contextualSpacing/>
              <w:rPr>
                <w:sz w:val="22"/>
                <w:szCs w:val="22"/>
              </w:rPr>
            </w:pPr>
            <w:r w:rsidRPr="003D57AA">
              <w:rPr>
                <w:sz w:val="22"/>
                <w:szCs w:val="22"/>
              </w:rPr>
              <w:t xml:space="preserve">Selected partners will participate with DFAT in a 'design-and-implement' inception phase, which will determine the priorities, partnerships and activities to be pursued. The localisation agenda will be strongly integrated into the design process and approach.  </w:t>
            </w:r>
          </w:p>
          <w:p w14:paraId="2DEF5E9C" w14:textId="77777777" w:rsidR="00377C6E" w:rsidRPr="003D57AA" w:rsidRDefault="00377C6E" w:rsidP="00C23DFB">
            <w:pPr>
              <w:ind w:left="360"/>
              <w:contextualSpacing/>
              <w:rPr>
                <w:sz w:val="22"/>
                <w:szCs w:val="22"/>
              </w:rPr>
            </w:pPr>
          </w:p>
          <w:p w14:paraId="530D50C6" w14:textId="77777777" w:rsidR="00377C6E" w:rsidRPr="003D57AA" w:rsidRDefault="00377C6E" w:rsidP="00C23DFB">
            <w:pPr>
              <w:ind w:left="360"/>
              <w:contextualSpacing/>
              <w:rPr>
                <w:sz w:val="22"/>
                <w:szCs w:val="22"/>
              </w:rPr>
            </w:pPr>
          </w:p>
        </w:tc>
      </w:tr>
      <w:tr w:rsidR="00377C6E" w:rsidRPr="003D57AA" w14:paraId="6A681625" w14:textId="77777777" w:rsidTr="00C23DFB">
        <w:tc>
          <w:tcPr>
            <w:tcW w:w="1976" w:type="dxa"/>
          </w:tcPr>
          <w:p w14:paraId="06902DB2"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Australia's commitments under the Sendai Framework and regional commitments progressed.</w:t>
            </w:r>
          </w:p>
        </w:tc>
        <w:tc>
          <w:tcPr>
            <w:tcW w:w="5160" w:type="dxa"/>
          </w:tcPr>
          <w:p w14:paraId="6435AB93" w14:textId="77777777" w:rsidR="00377C6E" w:rsidRPr="003D57AA" w:rsidRDefault="00377C6E" w:rsidP="00C23DFB">
            <w:pPr>
              <w:rPr>
                <w:sz w:val="22"/>
                <w:szCs w:val="22"/>
              </w:rPr>
            </w:pPr>
            <w:r w:rsidRPr="003D57AA">
              <w:rPr>
                <w:sz w:val="22"/>
                <w:szCs w:val="22"/>
              </w:rPr>
              <w:t>Initiatives deliver outcomes within the four priority areas of the Sendai framework for DRR:</w:t>
            </w:r>
          </w:p>
          <w:p w14:paraId="7A042328" w14:textId="77777777" w:rsidR="00377C6E" w:rsidRPr="003D57AA" w:rsidRDefault="00377C6E" w:rsidP="00377C6E">
            <w:pPr>
              <w:numPr>
                <w:ilvl w:val="0"/>
                <w:numId w:val="39"/>
              </w:numPr>
              <w:contextualSpacing/>
              <w:rPr>
                <w:sz w:val="22"/>
                <w:szCs w:val="22"/>
              </w:rPr>
            </w:pPr>
            <w:r w:rsidRPr="003D57AA">
              <w:rPr>
                <w:sz w:val="22"/>
                <w:szCs w:val="22"/>
              </w:rPr>
              <w:t>Priority 1: Understanding disaster risk</w:t>
            </w:r>
          </w:p>
          <w:p w14:paraId="0BC59FEF" w14:textId="77777777" w:rsidR="00377C6E" w:rsidRPr="003D57AA" w:rsidRDefault="00377C6E" w:rsidP="00377C6E">
            <w:pPr>
              <w:numPr>
                <w:ilvl w:val="0"/>
                <w:numId w:val="39"/>
              </w:numPr>
              <w:contextualSpacing/>
              <w:rPr>
                <w:sz w:val="22"/>
                <w:szCs w:val="22"/>
              </w:rPr>
            </w:pPr>
            <w:r w:rsidRPr="003D57AA">
              <w:rPr>
                <w:sz w:val="22"/>
                <w:szCs w:val="22"/>
              </w:rPr>
              <w:t>Priority 2: Strengthening disaster risk governance to manage disaster risk</w:t>
            </w:r>
          </w:p>
          <w:p w14:paraId="3795449A" w14:textId="77777777" w:rsidR="00377C6E" w:rsidRPr="003D57AA" w:rsidRDefault="00377C6E" w:rsidP="00377C6E">
            <w:pPr>
              <w:numPr>
                <w:ilvl w:val="0"/>
                <w:numId w:val="39"/>
              </w:numPr>
              <w:contextualSpacing/>
              <w:rPr>
                <w:sz w:val="22"/>
                <w:szCs w:val="22"/>
              </w:rPr>
            </w:pPr>
            <w:r w:rsidRPr="003D57AA">
              <w:rPr>
                <w:sz w:val="22"/>
                <w:szCs w:val="22"/>
              </w:rPr>
              <w:t>Priority 3: Investing in disaster risk reduction for resilience</w:t>
            </w:r>
          </w:p>
          <w:p w14:paraId="7475AB4C" w14:textId="77777777" w:rsidR="00377C6E" w:rsidRPr="003D57AA" w:rsidRDefault="00377C6E" w:rsidP="00377C6E">
            <w:pPr>
              <w:numPr>
                <w:ilvl w:val="0"/>
                <w:numId w:val="39"/>
              </w:numPr>
              <w:contextualSpacing/>
              <w:rPr>
                <w:sz w:val="22"/>
                <w:szCs w:val="22"/>
              </w:rPr>
            </w:pPr>
            <w:r w:rsidRPr="003D57AA">
              <w:rPr>
                <w:sz w:val="22"/>
                <w:szCs w:val="22"/>
              </w:rPr>
              <w:lastRenderedPageBreak/>
              <w:t>Priority 4: Enhancing disaster preparedness for effective response and to ‘Build Back Better’ in recovery, rehabilitation and reconstruction.</w:t>
            </w:r>
          </w:p>
        </w:tc>
        <w:tc>
          <w:tcPr>
            <w:tcW w:w="6704" w:type="dxa"/>
          </w:tcPr>
          <w:p w14:paraId="61397D44" w14:textId="77777777" w:rsidR="00377C6E" w:rsidRPr="003D57AA" w:rsidRDefault="00377C6E" w:rsidP="00377C6E">
            <w:pPr>
              <w:numPr>
                <w:ilvl w:val="0"/>
                <w:numId w:val="39"/>
              </w:numPr>
              <w:contextualSpacing/>
              <w:rPr>
                <w:sz w:val="22"/>
                <w:szCs w:val="22"/>
              </w:rPr>
            </w:pPr>
            <w:r w:rsidRPr="003D57AA">
              <w:rPr>
                <w:sz w:val="22"/>
                <w:szCs w:val="22"/>
              </w:rPr>
              <w:lastRenderedPageBreak/>
              <w:t>The 13 Sendai principles and four priority areas of the Sendai Framework will under-pin the design of partner initiatives.</w:t>
            </w:r>
          </w:p>
          <w:p w14:paraId="758780E0" w14:textId="77777777" w:rsidR="00377C6E" w:rsidRPr="003D57AA" w:rsidRDefault="00377C6E" w:rsidP="00C23DFB">
            <w:pPr>
              <w:ind w:left="360"/>
              <w:contextualSpacing/>
              <w:rPr>
                <w:sz w:val="22"/>
                <w:szCs w:val="22"/>
              </w:rPr>
            </w:pPr>
          </w:p>
        </w:tc>
      </w:tr>
      <w:tr w:rsidR="00377C6E" w:rsidRPr="003D57AA" w14:paraId="08D69BD2" w14:textId="77777777" w:rsidTr="00C23DFB">
        <w:tc>
          <w:tcPr>
            <w:tcW w:w="1976" w:type="dxa"/>
            <w:shd w:val="clear" w:color="auto" w:fill="FFFFFF" w:themeFill="background1"/>
          </w:tcPr>
          <w:p w14:paraId="3626848D"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lastRenderedPageBreak/>
              <w:t>ANGOs leverage local, international and private sector links within initiatives in-country.</w:t>
            </w:r>
          </w:p>
        </w:tc>
        <w:tc>
          <w:tcPr>
            <w:tcW w:w="5160" w:type="dxa"/>
            <w:shd w:val="clear" w:color="auto" w:fill="FFFFFF" w:themeFill="background1"/>
          </w:tcPr>
          <w:p w14:paraId="7EB7D967" w14:textId="77777777" w:rsidR="00377C6E" w:rsidRPr="003D57AA" w:rsidRDefault="00377C6E" w:rsidP="00C23DFB">
            <w:pPr>
              <w:rPr>
                <w:sz w:val="22"/>
                <w:szCs w:val="22"/>
              </w:rPr>
            </w:pPr>
            <w:r w:rsidRPr="003D57AA">
              <w:rPr>
                <w:sz w:val="22"/>
                <w:szCs w:val="22"/>
              </w:rPr>
              <w:t>Additional funds, resources, capacities and expertise are allocated to initiatives to reduce vulnerability to disaster in the Pacific and multiply the impact of Australia contribution:</w:t>
            </w:r>
          </w:p>
          <w:p w14:paraId="6E1C4FDB" w14:textId="77777777" w:rsidR="00377C6E" w:rsidRPr="003D57AA" w:rsidRDefault="00522D37" w:rsidP="00377C6E">
            <w:pPr>
              <w:numPr>
                <w:ilvl w:val="0"/>
                <w:numId w:val="39"/>
              </w:numPr>
              <w:contextualSpacing/>
              <w:rPr>
                <w:sz w:val="22"/>
                <w:szCs w:val="22"/>
              </w:rPr>
            </w:pPr>
            <w:r w:rsidRPr="003D57AA">
              <w:rPr>
                <w:sz w:val="22"/>
                <w:szCs w:val="22"/>
              </w:rPr>
              <w:t xml:space="preserve">Funded </w:t>
            </w:r>
            <w:r w:rsidR="00377C6E" w:rsidRPr="003D57AA">
              <w:rPr>
                <w:sz w:val="22"/>
                <w:szCs w:val="22"/>
              </w:rPr>
              <w:t xml:space="preserve">NGOs leverage the funds, resources and capacities of their global families; </w:t>
            </w:r>
          </w:p>
          <w:p w14:paraId="4F30861C" w14:textId="77777777" w:rsidR="00377C6E" w:rsidRPr="003D57AA" w:rsidRDefault="00522D37" w:rsidP="00377C6E">
            <w:pPr>
              <w:numPr>
                <w:ilvl w:val="0"/>
                <w:numId w:val="39"/>
              </w:numPr>
              <w:contextualSpacing/>
              <w:rPr>
                <w:sz w:val="22"/>
                <w:szCs w:val="22"/>
              </w:rPr>
            </w:pPr>
            <w:r w:rsidRPr="003D57AA">
              <w:rPr>
                <w:sz w:val="22"/>
                <w:szCs w:val="22"/>
              </w:rPr>
              <w:t xml:space="preserve">Funded </w:t>
            </w:r>
            <w:r w:rsidR="00377C6E" w:rsidRPr="003D57AA">
              <w:rPr>
                <w:sz w:val="22"/>
                <w:szCs w:val="22"/>
              </w:rPr>
              <w:t>NGOs leverage the resources and capabilities of their local networks (other local NGOs, established local /community structures, and local authorities);</w:t>
            </w:r>
          </w:p>
          <w:p w14:paraId="1395BC43" w14:textId="77777777" w:rsidR="00377C6E" w:rsidRPr="003D57AA" w:rsidRDefault="00522D37" w:rsidP="00377C6E">
            <w:pPr>
              <w:numPr>
                <w:ilvl w:val="0"/>
                <w:numId w:val="39"/>
              </w:numPr>
              <w:contextualSpacing/>
              <w:rPr>
                <w:sz w:val="22"/>
                <w:szCs w:val="22"/>
              </w:rPr>
            </w:pPr>
            <w:r w:rsidRPr="003D57AA">
              <w:rPr>
                <w:sz w:val="22"/>
                <w:szCs w:val="22"/>
              </w:rPr>
              <w:t xml:space="preserve">Funded </w:t>
            </w:r>
            <w:r w:rsidR="00377C6E" w:rsidRPr="003D57AA">
              <w:rPr>
                <w:sz w:val="22"/>
                <w:szCs w:val="22"/>
              </w:rPr>
              <w:t xml:space="preserve">NGOs link with local private sector entities to create efficiencies and use of locally sourced disaster risk reduction supplies where feasible. </w:t>
            </w:r>
          </w:p>
        </w:tc>
        <w:tc>
          <w:tcPr>
            <w:tcW w:w="6704" w:type="dxa"/>
            <w:shd w:val="clear" w:color="auto" w:fill="FFFFFF" w:themeFill="background1"/>
          </w:tcPr>
          <w:p w14:paraId="726412E1" w14:textId="77777777" w:rsidR="00377C6E" w:rsidRPr="003D57AA" w:rsidRDefault="00377C6E" w:rsidP="00377C6E">
            <w:pPr>
              <w:numPr>
                <w:ilvl w:val="0"/>
                <w:numId w:val="39"/>
              </w:numPr>
              <w:contextualSpacing/>
              <w:rPr>
                <w:sz w:val="22"/>
                <w:szCs w:val="22"/>
              </w:rPr>
            </w:pPr>
            <w:r w:rsidRPr="003D57AA">
              <w:rPr>
                <w:sz w:val="22"/>
                <w:szCs w:val="22"/>
              </w:rPr>
              <w:t xml:space="preserve">The Domains of Capability </w:t>
            </w:r>
            <w:r w:rsidR="00522D37" w:rsidRPr="003D57AA">
              <w:rPr>
                <w:sz w:val="22"/>
                <w:szCs w:val="22"/>
              </w:rPr>
              <w:t>for selection of NGO partners</w:t>
            </w:r>
            <w:r w:rsidRPr="003D57AA">
              <w:rPr>
                <w:sz w:val="22"/>
                <w:szCs w:val="22"/>
              </w:rPr>
              <w:t xml:space="preserve"> have a focus on: breadth and depth of relationships with local implementing partners; and relationships with local governments.</w:t>
            </w:r>
          </w:p>
          <w:p w14:paraId="043538F4" w14:textId="710BD61E" w:rsidR="00377C6E" w:rsidRPr="003D57AA" w:rsidRDefault="00377C6E" w:rsidP="00377C6E">
            <w:pPr>
              <w:numPr>
                <w:ilvl w:val="0"/>
                <w:numId w:val="39"/>
              </w:numPr>
              <w:contextualSpacing/>
              <w:rPr>
                <w:sz w:val="22"/>
                <w:szCs w:val="22"/>
              </w:rPr>
            </w:pPr>
          </w:p>
        </w:tc>
      </w:tr>
      <w:tr w:rsidR="00377C6E" w:rsidRPr="003D57AA" w14:paraId="74438007" w14:textId="77777777" w:rsidTr="00C23DFB">
        <w:tc>
          <w:tcPr>
            <w:tcW w:w="1976" w:type="dxa"/>
          </w:tcPr>
          <w:p w14:paraId="2C247D17"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Strong engagement of and leadership by local populations including women and people with disability.</w:t>
            </w:r>
          </w:p>
        </w:tc>
        <w:tc>
          <w:tcPr>
            <w:tcW w:w="5160" w:type="dxa"/>
          </w:tcPr>
          <w:p w14:paraId="0EDF9EDF" w14:textId="77777777" w:rsidR="00377C6E" w:rsidRPr="003D57AA" w:rsidRDefault="00377C6E" w:rsidP="00377C6E">
            <w:pPr>
              <w:numPr>
                <w:ilvl w:val="0"/>
                <w:numId w:val="39"/>
              </w:numPr>
              <w:contextualSpacing/>
              <w:rPr>
                <w:sz w:val="22"/>
                <w:szCs w:val="22"/>
              </w:rPr>
            </w:pPr>
            <w:r w:rsidRPr="003D57AA">
              <w:rPr>
                <w:sz w:val="22"/>
                <w:szCs w:val="22"/>
              </w:rPr>
              <w:t>Women and people with disability play key operational, management and decision making roles in initiatives.</w:t>
            </w:r>
          </w:p>
          <w:p w14:paraId="33DE7760" w14:textId="77777777" w:rsidR="00377C6E" w:rsidRPr="003D57AA" w:rsidRDefault="00377C6E" w:rsidP="00377C6E">
            <w:pPr>
              <w:numPr>
                <w:ilvl w:val="0"/>
                <w:numId w:val="39"/>
              </w:numPr>
              <w:contextualSpacing/>
              <w:rPr>
                <w:sz w:val="22"/>
                <w:szCs w:val="22"/>
              </w:rPr>
            </w:pPr>
            <w:r w:rsidRPr="003D57AA">
              <w:rPr>
                <w:sz w:val="22"/>
                <w:szCs w:val="22"/>
              </w:rPr>
              <w:t xml:space="preserve">Women and people with disability are well represented in staff, volunteer and community structures that support DRR / resilience initiatives. </w:t>
            </w:r>
          </w:p>
          <w:p w14:paraId="789677B6" w14:textId="77777777" w:rsidR="00377C6E" w:rsidRPr="003D57AA" w:rsidRDefault="00377C6E" w:rsidP="00377C6E">
            <w:pPr>
              <w:numPr>
                <w:ilvl w:val="0"/>
                <w:numId w:val="39"/>
              </w:numPr>
              <w:contextualSpacing/>
              <w:rPr>
                <w:sz w:val="22"/>
                <w:szCs w:val="22"/>
              </w:rPr>
            </w:pPr>
            <w:r w:rsidRPr="003D57AA">
              <w:rPr>
                <w:sz w:val="22"/>
                <w:szCs w:val="22"/>
              </w:rPr>
              <w:t xml:space="preserve">Initiatives use appropriate strategies to ensure women, men, boys and girls and people with disability participate in and benefit equally. </w:t>
            </w:r>
          </w:p>
        </w:tc>
        <w:tc>
          <w:tcPr>
            <w:tcW w:w="6704" w:type="dxa"/>
          </w:tcPr>
          <w:p w14:paraId="3F7B7927" w14:textId="77777777" w:rsidR="00377C6E" w:rsidRPr="003D57AA" w:rsidRDefault="009A59A4" w:rsidP="00377C6E">
            <w:pPr>
              <w:numPr>
                <w:ilvl w:val="0"/>
                <w:numId w:val="39"/>
              </w:numPr>
              <w:contextualSpacing/>
              <w:rPr>
                <w:sz w:val="22"/>
                <w:szCs w:val="22"/>
              </w:rPr>
            </w:pPr>
            <w:r w:rsidRPr="003D57AA">
              <w:rPr>
                <w:sz w:val="22"/>
                <w:szCs w:val="22"/>
              </w:rPr>
              <w:t xml:space="preserve">Funded </w:t>
            </w:r>
            <w:r w:rsidR="00377C6E" w:rsidRPr="003D57AA">
              <w:rPr>
                <w:sz w:val="22"/>
                <w:szCs w:val="22"/>
              </w:rPr>
              <w:t xml:space="preserve">ANGOs will be required to create opportunities for local women’s civil society groups and DPOs to participate meaningfully in decision-making on policy and practice for reduction and resilience work.  </w:t>
            </w:r>
          </w:p>
          <w:p w14:paraId="7EE3A6B4" w14:textId="77777777" w:rsidR="00377C6E" w:rsidRPr="003D57AA" w:rsidRDefault="00377C6E" w:rsidP="00377C6E">
            <w:pPr>
              <w:numPr>
                <w:ilvl w:val="0"/>
                <w:numId w:val="39"/>
              </w:numPr>
              <w:contextualSpacing/>
              <w:rPr>
                <w:sz w:val="22"/>
                <w:szCs w:val="22"/>
              </w:rPr>
            </w:pPr>
            <w:r w:rsidRPr="003D57AA">
              <w:rPr>
                <w:sz w:val="22"/>
                <w:szCs w:val="22"/>
              </w:rPr>
              <w:t xml:space="preserve">Partners will also be required to provide data on workplace gender and disability equity within both the ANGO and their local partners, with the aim of improving workplace equity. </w:t>
            </w:r>
          </w:p>
          <w:p w14:paraId="7E7F49EA" w14:textId="77777777" w:rsidR="00377C6E" w:rsidRPr="003D57AA" w:rsidRDefault="00377C6E" w:rsidP="00377C6E">
            <w:pPr>
              <w:numPr>
                <w:ilvl w:val="0"/>
                <w:numId w:val="39"/>
              </w:numPr>
              <w:contextualSpacing/>
              <w:rPr>
                <w:sz w:val="22"/>
                <w:szCs w:val="22"/>
              </w:rPr>
            </w:pPr>
            <w:r w:rsidRPr="003D57AA">
              <w:rPr>
                <w:sz w:val="22"/>
                <w:szCs w:val="22"/>
              </w:rPr>
              <w:t>The partnership will promote the sharing of gender and disability expertise, where an ANGO with in-house expertise provides this resource to benefit partners’ activities</w:t>
            </w:r>
          </w:p>
        </w:tc>
      </w:tr>
      <w:tr w:rsidR="00377C6E" w:rsidRPr="00333FF4" w14:paraId="23ADCB95" w14:textId="77777777" w:rsidTr="00C23DFB">
        <w:tc>
          <w:tcPr>
            <w:tcW w:w="13840" w:type="dxa"/>
            <w:gridSpan w:val="3"/>
            <w:shd w:val="clear" w:color="auto" w:fill="B8CCE4" w:themeFill="accent1" w:themeFillTint="66"/>
          </w:tcPr>
          <w:p w14:paraId="5C938DA5" w14:textId="77777777" w:rsidR="00377C6E" w:rsidRPr="00413364" w:rsidRDefault="00377C6E" w:rsidP="00C23DFB">
            <w:pPr>
              <w:rPr>
                <w:rFonts w:asciiTheme="minorHAnsi" w:hAnsiTheme="minorHAnsi"/>
                <w:sz w:val="22"/>
                <w:szCs w:val="22"/>
              </w:rPr>
            </w:pPr>
            <w:r w:rsidRPr="00413364">
              <w:rPr>
                <w:rFonts w:asciiTheme="minorHAnsi" w:hAnsiTheme="minorHAnsi" w:cs="Calibri"/>
                <w:b/>
                <w:bCs/>
                <w:color w:val="000000"/>
                <w:sz w:val="22"/>
                <w:szCs w:val="22"/>
              </w:rPr>
              <w:t>OUTCOME AREA 3: THE DFAT-HRG PARTNERSHIP</w:t>
            </w:r>
          </w:p>
        </w:tc>
      </w:tr>
      <w:tr w:rsidR="00377C6E" w:rsidRPr="003D57AA" w14:paraId="70CA854E" w14:textId="77777777" w:rsidTr="00C23DFB">
        <w:tc>
          <w:tcPr>
            <w:tcW w:w="1976" w:type="dxa"/>
          </w:tcPr>
          <w:p w14:paraId="5D67E865"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DFAT-HRG partnership outcomes and measures of success defined.</w:t>
            </w:r>
          </w:p>
          <w:p w14:paraId="764B5FA7" w14:textId="77777777" w:rsidR="00377C6E" w:rsidRPr="003D57AA" w:rsidRDefault="00377C6E" w:rsidP="00C23DFB">
            <w:pPr>
              <w:autoSpaceDE w:val="0"/>
              <w:autoSpaceDN w:val="0"/>
              <w:adjustRightInd w:val="0"/>
              <w:rPr>
                <w:rFonts w:cs="Calibri"/>
                <w:b/>
                <w:color w:val="000000"/>
                <w:sz w:val="22"/>
                <w:szCs w:val="22"/>
              </w:rPr>
            </w:pPr>
          </w:p>
        </w:tc>
        <w:tc>
          <w:tcPr>
            <w:tcW w:w="5160" w:type="dxa"/>
          </w:tcPr>
          <w:p w14:paraId="44A17843" w14:textId="77777777" w:rsidR="00377C6E" w:rsidRPr="003D57AA" w:rsidRDefault="00377C6E" w:rsidP="00377C6E">
            <w:pPr>
              <w:numPr>
                <w:ilvl w:val="0"/>
                <w:numId w:val="39"/>
              </w:numPr>
              <w:contextualSpacing/>
              <w:rPr>
                <w:sz w:val="22"/>
                <w:szCs w:val="22"/>
              </w:rPr>
            </w:pPr>
            <w:r w:rsidRPr="003D57AA">
              <w:rPr>
                <w:sz w:val="22"/>
                <w:szCs w:val="22"/>
              </w:rPr>
              <w:t>Clear outcomes and measures to be developed</w:t>
            </w:r>
          </w:p>
          <w:p w14:paraId="018F8014" w14:textId="77777777" w:rsidR="00377C6E" w:rsidRPr="003D57AA" w:rsidRDefault="00377C6E" w:rsidP="00377C6E">
            <w:pPr>
              <w:numPr>
                <w:ilvl w:val="0"/>
                <w:numId w:val="39"/>
              </w:numPr>
              <w:contextualSpacing/>
              <w:rPr>
                <w:sz w:val="22"/>
                <w:szCs w:val="22"/>
              </w:rPr>
            </w:pPr>
            <w:r w:rsidRPr="003D57AA">
              <w:rPr>
                <w:sz w:val="22"/>
                <w:szCs w:val="22"/>
              </w:rPr>
              <w:t xml:space="preserve">The Support Unit strengthens the mutually agreed partnership outcomes identified jointly by DFAT and the HRG. </w:t>
            </w:r>
          </w:p>
        </w:tc>
        <w:tc>
          <w:tcPr>
            <w:tcW w:w="6704" w:type="dxa"/>
          </w:tcPr>
          <w:p w14:paraId="79313BA8" w14:textId="77777777" w:rsidR="00377C6E" w:rsidRPr="003D57AA" w:rsidRDefault="00377C6E" w:rsidP="00377C6E">
            <w:pPr>
              <w:numPr>
                <w:ilvl w:val="0"/>
                <w:numId w:val="39"/>
              </w:numPr>
              <w:contextualSpacing/>
              <w:rPr>
                <w:sz w:val="22"/>
                <w:szCs w:val="22"/>
              </w:rPr>
            </w:pPr>
            <w:r w:rsidRPr="003D57AA">
              <w:rPr>
                <w:sz w:val="22"/>
                <w:szCs w:val="22"/>
              </w:rPr>
              <w:t>The design team suggests that early in the inception phase, the Support Unit facilitates a discussion between partners to outline specific partnership outcomes and refine the measures of success that can then be incorporated within the MEL framework</w:t>
            </w:r>
          </w:p>
        </w:tc>
      </w:tr>
      <w:tr w:rsidR="00377C6E" w:rsidRPr="003D57AA" w14:paraId="366AF737" w14:textId="77777777" w:rsidTr="00C23DFB">
        <w:tc>
          <w:tcPr>
            <w:tcW w:w="1976" w:type="dxa"/>
          </w:tcPr>
          <w:p w14:paraId="2468EEA9"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lastRenderedPageBreak/>
              <w:t>DFAT and HRG coordinate to select and deliver responses.</w:t>
            </w:r>
          </w:p>
        </w:tc>
        <w:tc>
          <w:tcPr>
            <w:tcW w:w="5160" w:type="dxa"/>
          </w:tcPr>
          <w:p w14:paraId="68987D78" w14:textId="77777777" w:rsidR="00377C6E" w:rsidRPr="003D57AA" w:rsidRDefault="00377C6E" w:rsidP="00377C6E">
            <w:pPr>
              <w:numPr>
                <w:ilvl w:val="0"/>
                <w:numId w:val="39"/>
              </w:numPr>
              <w:contextualSpacing/>
              <w:rPr>
                <w:sz w:val="22"/>
                <w:szCs w:val="22"/>
              </w:rPr>
            </w:pPr>
            <w:r w:rsidRPr="003D57AA">
              <w:rPr>
                <w:sz w:val="22"/>
                <w:szCs w:val="22"/>
              </w:rPr>
              <w:t xml:space="preserve">DFAT and HRG coordinate in the response selection processes to avoid duplication of efforts. </w:t>
            </w:r>
          </w:p>
          <w:p w14:paraId="3D1247A6" w14:textId="77777777" w:rsidR="00377C6E" w:rsidRPr="003D57AA" w:rsidRDefault="00522D37" w:rsidP="00377C6E">
            <w:pPr>
              <w:numPr>
                <w:ilvl w:val="0"/>
                <w:numId w:val="39"/>
              </w:numPr>
              <w:contextualSpacing/>
              <w:rPr>
                <w:sz w:val="22"/>
                <w:szCs w:val="22"/>
              </w:rPr>
            </w:pPr>
            <w:r w:rsidRPr="003D57AA">
              <w:rPr>
                <w:sz w:val="22"/>
                <w:szCs w:val="22"/>
              </w:rPr>
              <w:t xml:space="preserve">HRG member </w:t>
            </w:r>
            <w:r w:rsidR="00377C6E" w:rsidRPr="003D57AA">
              <w:rPr>
                <w:sz w:val="22"/>
                <w:szCs w:val="22"/>
              </w:rPr>
              <w:t xml:space="preserve">NGOs share storage facilities for response supplies and equipment where feasible. </w:t>
            </w:r>
          </w:p>
          <w:p w14:paraId="01538A18" w14:textId="77777777" w:rsidR="00377C6E" w:rsidRPr="003D57AA" w:rsidRDefault="00522D37" w:rsidP="00377C6E">
            <w:pPr>
              <w:numPr>
                <w:ilvl w:val="0"/>
                <w:numId w:val="39"/>
              </w:numPr>
              <w:contextualSpacing/>
              <w:rPr>
                <w:sz w:val="22"/>
                <w:szCs w:val="22"/>
              </w:rPr>
            </w:pPr>
            <w:r w:rsidRPr="003D57AA">
              <w:rPr>
                <w:sz w:val="22"/>
                <w:szCs w:val="22"/>
              </w:rPr>
              <w:t>HRG member NGOs</w:t>
            </w:r>
            <w:r w:rsidR="00377C6E" w:rsidRPr="003D57AA">
              <w:rPr>
                <w:sz w:val="22"/>
                <w:szCs w:val="22"/>
              </w:rPr>
              <w:t xml:space="preserve"> proactively seek opportunities for greater collaboration, including sharing programming resources together.</w:t>
            </w:r>
          </w:p>
          <w:p w14:paraId="7CE56593" w14:textId="77777777" w:rsidR="00377C6E" w:rsidRPr="003D57AA" w:rsidRDefault="00377C6E" w:rsidP="00377C6E">
            <w:pPr>
              <w:numPr>
                <w:ilvl w:val="0"/>
                <w:numId w:val="39"/>
              </w:numPr>
              <w:contextualSpacing/>
              <w:rPr>
                <w:sz w:val="22"/>
                <w:szCs w:val="22"/>
              </w:rPr>
            </w:pPr>
            <w:r w:rsidRPr="003D57AA">
              <w:rPr>
                <w:sz w:val="22"/>
                <w:szCs w:val="22"/>
              </w:rPr>
              <w:t xml:space="preserve">DFAT will coordinate with whole-of-government (i.e. ADF) and response partners to ensure coordinated response efforts. </w:t>
            </w:r>
          </w:p>
        </w:tc>
        <w:tc>
          <w:tcPr>
            <w:tcW w:w="6704" w:type="dxa"/>
          </w:tcPr>
          <w:p w14:paraId="0776B4B7" w14:textId="6E222B57" w:rsidR="00377C6E" w:rsidRPr="003D57AA" w:rsidRDefault="00377C6E" w:rsidP="00377C6E">
            <w:pPr>
              <w:numPr>
                <w:ilvl w:val="0"/>
                <w:numId w:val="39"/>
              </w:numPr>
              <w:contextualSpacing/>
              <w:rPr>
                <w:sz w:val="22"/>
                <w:szCs w:val="22"/>
              </w:rPr>
            </w:pPr>
            <w:r w:rsidRPr="003D57AA">
              <w:rPr>
                <w:sz w:val="22"/>
                <w:szCs w:val="22"/>
              </w:rPr>
              <w:t>The operation of the partnership will be facilitated by a strengthened Support Unit, which will help to make the most efficient use of partners' resources.</w:t>
            </w:r>
          </w:p>
          <w:p w14:paraId="6FFF7651" w14:textId="77777777" w:rsidR="00377C6E" w:rsidRPr="003D57AA" w:rsidRDefault="00377C6E" w:rsidP="00522D37">
            <w:pPr>
              <w:numPr>
                <w:ilvl w:val="0"/>
                <w:numId w:val="39"/>
              </w:numPr>
              <w:contextualSpacing/>
              <w:rPr>
                <w:sz w:val="22"/>
                <w:szCs w:val="22"/>
              </w:rPr>
            </w:pPr>
            <w:r w:rsidRPr="003D57AA">
              <w:rPr>
                <w:sz w:val="22"/>
                <w:szCs w:val="22"/>
              </w:rPr>
              <w:t xml:space="preserve">The Support Unit will encourage </w:t>
            </w:r>
            <w:r w:rsidR="00522D37" w:rsidRPr="003D57AA">
              <w:rPr>
                <w:sz w:val="22"/>
                <w:szCs w:val="22"/>
              </w:rPr>
              <w:t>HRG member</w:t>
            </w:r>
            <w:r w:rsidR="009A59A4" w:rsidRPr="003D57AA">
              <w:rPr>
                <w:sz w:val="22"/>
                <w:szCs w:val="22"/>
              </w:rPr>
              <w:t xml:space="preserve"> A</w:t>
            </w:r>
            <w:r w:rsidRPr="003D57AA">
              <w:rPr>
                <w:sz w:val="22"/>
                <w:szCs w:val="22"/>
              </w:rPr>
              <w:t xml:space="preserve">NGOs to a greater degree of shared resources, for example by multiple partners drawing on one NGO's specialist protection expertise and another NGO's specialist gender expertise. </w:t>
            </w:r>
          </w:p>
        </w:tc>
      </w:tr>
      <w:tr w:rsidR="00377C6E" w:rsidRPr="003D57AA" w14:paraId="2E351A4E" w14:textId="77777777" w:rsidTr="00C23DFB">
        <w:tc>
          <w:tcPr>
            <w:tcW w:w="1976" w:type="dxa"/>
          </w:tcPr>
          <w:p w14:paraId="409AC123"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ANGO partners collaborate in joint fundraising appeals and visibility initiatives.</w:t>
            </w:r>
          </w:p>
        </w:tc>
        <w:tc>
          <w:tcPr>
            <w:tcW w:w="5160" w:type="dxa"/>
          </w:tcPr>
          <w:p w14:paraId="0BF0327C" w14:textId="77777777" w:rsidR="00377C6E" w:rsidRPr="003D57AA" w:rsidRDefault="00522D37" w:rsidP="00377C6E">
            <w:pPr>
              <w:numPr>
                <w:ilvl w:val="0"/>
                <w:numId w:val="39"/>
              </w:numPr>
              <w:contextualSpacing/>
              <w:rPr>
                <w:sz w:val="22"/>
                <w:szCs w:val="22"/>
              </w:rPr>
            </w:pPr>
            <w:r w:rsidRPr="003D57AA">
              <w:rPr>
                <w:sz w:val="22"/>
                <w:szCs w:val="22"/>
              </w:rPr>
              <w:t>DFAT and HRG member NGOs</w:t>
            </w:r>
            <w:r w:rsidR="00377C6E" w:rsidRPr="003D57AA">
              <w:rPr>
                <w:sz w:val="22"/>
                <w:szCs w:val="22"/>
              </w:rPr>
              <w:t xml:space="preserve"> participate in joint funding appeals. </w:t>
            </w:r>
          </w:p>
          <w:p w14:paraId="18CD7F90" w14:textId="6D1DA9DC" w:rsidR="00377C6E" w:rsidRPr="003D57AA" w:rsidRDefault="00522D37" w:rsidP="00377C6E">
            <w:pPr>
              <w:numPr>
                <w:ilvl w:val="0"/>
                <w:numId w:val="39"/>
              </w:numPr>
              <w:contextualSpacing/>
              <w:rPr>
                <w:sz w:val="22"/>
                <w:szCs w:val="22"/>
              </w:rPr>
            </w:pPr>
            <w:r w:rsidRPr="003D57AA">
              <w:rPr>
                <w:sz w:val="22"/>
                <w:szCs w:val="22"/>
              </w:rPr>
              <w:t>DFAT and HRG member NGOs</w:t>
            </w:r>
            <w:r w:rsidR="00377C6E" w:rsidRPr="003D57AA">
              <w:rPr>
                <w:sz w:val="22"/>
                <w:szCs w:val="22"/>
              </w:rPr>
              <w:t xml:space="preserve"> </w:t>
            </w:r>
            <w:r w:rsidR="00737D62" w:rsidRPr="003D57AA">
              <w:rPr>
                <w:sz w:val="22"/>
                <w:szCs w:val="22"/>
              </w:rPr>
              <w:t xml:space="preserve">explore options to </w:t>
            </w:r>
            <w:r w:rsidR="00377C6E" w:rsidRPr="003D57AA">
              <w:rPr>
                <w:sz w:val="22"/>
                <w:szCs w:val="22"/>
              </w:rPr>
              <w:t xml:space="preserve">jointly raise awareness of Australia’s role in crises responses and DRR / resilience through joint media initiatives. </w:t>
            </w:r>
          </w:p>
          <w:p w14:paraId="1EA379DA" w14:textId="22E78DEC" w:rsidR="00377C6E" w:rsidRPr="003D57AA" w:rsidRDefault="00737D62" w:rsidP="00737D62">
            <w:pPr>
              <w:numPr>
                <w:ilvl w:val="0"/>
                <w:numId w:val="39"/>
              </w:numPr>
              <w:contextualSpacing/>
              <w:rPr>
                <w:sz w:val="22"/>
                <w:szCs w:val="22"/>
              </w:rPr>
            </w:pPr>
            <w:r w:rsidRPr="003D57AA">
              <w:rPr>
                <w:sz w:val="22"/>
                <w:szCs w:val="22"/>
              </w:rPr>
              <w:t>DFAT and HRG member NGOs explore options to undertake j</w:t>
            </w:r>
            <w:r w:rsidR="00377C6E" w:rsidRPr="003D57AA">
              <w:rPr>
                <w:sz w:val="22"/>
                <w:szCs w:val="22"/>
              </w:rPr>
              <w:t xml:space="preserve">oint appeals. </w:t>
            </w:r>
          </w:p>
        </w:tc>
        <w:tc>
          <w:tcPr>
            <w:tcW w:w="6704" w:type="dxa"/>
          </w:tcPr>
          <w:p w14:paraId="00865F10" w14:textId="77777777" w:rsidR="00377C6E" w:rsidRPr="003D57AA" w:rsidRDefault="00377C6E" w:rsidP="00377C6E">
            <w:pPr>
              <w:numPr>
                <w:ilvl w:val="0"/>
                <w:numId w:val="39"/>
              </w:numPr>
              <w:contextualSpacing/>
              <w:rPr>
                <w:sz w:val="22"/>
                <w:szCs w:val="22"/>
              </w:rPr>
            </w:pPr>
            <w:r w:rsidRPr="003D57AA">
              <w:rPr>
                <w:sz w:val="22"/>
                <w:szCs w:val="22"/>
              </w:rPr>
              <w:t>The Support Unit will provide comms assistance to assist partners to coordinate and message joint appeals.</w:t>
            </w:r>
          </w:p>
          <w:p w14:paraId="3DF9AB80" w14:textId="77777777" w:rsidR="00377C6E" w:rsidRPr="003D57AA" w:rsidRDefault="00377C6E" w:rsidP="00C23DFB">
            <w:pPr>
              <w:ind w:left="360"/>
              <w:contextualSpacing/>
              <w:rPr>
                <w:sz w:val="22"/>
                <w:szCs w:val="22"/>
              </w:rPr>
            </w:pPr>
          </w:p>
        </w:tc>
      </w:tr>
      <w:tr w:rsidR="00377C6E" w:rsidRPr="003D57AA" w14:paraId="22452985" w14:textId="77777777" w:rsidTr="00C23DFB">
        <w:tc>
          <w:tcPr>
            <w:tcW w:w="1976" w:type="dxa"/>
          </w:tcPr>
          <w:p w14:paraId="463EE83E"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The visibility of Australia's collective efforts is increased leveraging external funding.</w:t>
            </w:r>
          </w:p>
        </w:tc>
        <w:tc>
          <w:tcPr>
            <w:tcW w:w="5160" w:type="dxa"/>
          </w:tcPr>
          <w:p w14:paraId="76607E6B" w14:textId="77777777" w:rsidR="00377C6E" w:rsidRPr="003D57AA" w:rsidRDefault="00377C6E" w:rsidP="00377C6E">
            <w:pPr>
              <w:numPr>
                <w:ilvl w:val="0"/>
                <w:numId w:val="39"/>
              </w:numPr>
              <w:contextualSpacing/>
              <w:rPr>
                <w:sz w:val="22"/>
                <w:szCs w:val="22"/>
              </w:rPr>
            </w:pPr>
            <w:r w:rsidRPr="003D57AA">
              <w:rPr>
                <w:sz w:val="22"/>
                <w:szCs w:val="22"/>
              </w:rPr>
              <w:t xml:space="preserve">The impact of responses and DRR initiatives is communicated clearly to the Australian public and internationally (clarity of message). </w:t>
            </w:r>
          </w:p>
          <w:p w14:paraId="6EDEBE49" w14:textId="77777777" w:rsidR="00377C6E" w:rsidRPr="003D57AA" w:rsidRDefault="00377C6E" w:rsidP="00377C6E">
            <w:pPr>
              <w:numPr>
                <w:ilvl w:val="0"/>
                <w:numId w:val="39"/>
              </w:numPr>
              <w:contextualSpacing/>
              <w:rPr>
                <w:sz w:val="22"/>
                <w:szCs w:val="22"/>
              </w:rPr>
            </w:pPr>
            <w:r w:rsidRPr="003D57AA">
              <w:rPr>
                <w:sz w:val="22"/>
                <w:szCs w:val="22"/>
              </w:rPr>
              <w:t>Different forms of communication are used to ensure Australia’s efforts are communicated to different stakeholders. (mode of communication)</w:t>
            </w:r>
          </w:p>
          <w:p w14:paraId="7236FA9E" w14:textId="77777777" w:rsidR="00377C6E" w:rsidRPr="003D57AA" w:rsidRDefault="00377C6E" w:rsidP="00377C6E">
            <w:pPr>
              <w:numPr>
                <w:ilvl w:val="0"/>
                <w:numId w:val="39"/>
              </w:numPr>
              <w:contextualSpacing/>
              <w:rPr>
                <w:sz w:val="22"/>
                <w:szCs w:val="22"/>
              </w:rPr>
            </w:pPr>
            <w:r w:rsidRPr="003D57AA">
              <w:rPr>
                <w:sz w:val="22"/>
                <w:szCs w:val="22"/>
              </w:rPr>
              <w:t xml:space="preserve">Collective ANGO raised funding increases. </w:t>
            </w:r>
          </w:p>
        </w:tc>
        <w:tc>
          <w:tcPr>
            <w:tcW w:w="6704" w:type="dxa"/>
          </w:tcPr>
          <w:p w14:paraId="4239623B" w14:textId="77777777" w:rsidR="00377C6E" w:rsidRPr="003D57AA" w:rsidRDefault="00377C6E" w:rsidP="00377C6E">
            <w:pPr>
              <w:numPr>
                <w:ilvl w:val="0"/>
                <w:numId w:val="39"/>
              </w:numPr>
              <w:contextualSpacing/>
              <w:rPr>
                <w:sz w:val="22"/>
                <w:szCs w:val="22"/>
              </w:rPr>
            </w:pPr>
            <w:r w:rsidRPr="003D57AA">
              <w:rPr>
                <w:sz w:val="22"/>
                <w:szCs w:val="22"/>
              </w:rPr>
              <w:t>The Support Unit will support partners to report the impact of response and DRR and resilience initiatives to different stakeholders.</w:t>
            </w:r>
          </w:p>
          <w:p w14:paraId="2E7A3B64" w14:textId="77777777" w:rsidR="00377C6E" w:rsidRPr="003D57AA" w:rsidRDefault="00377C6E" w:rsidP="00C23DFB">
            <w:pPr>
              <w:ind w:left="360"/>
              <w:contextualSpacing/>
              <w:rPr>
                <w:sz w:val="22"/>
                <w:szCs w:val="22"/>
              </w:rPr>
            </w:pPr>
          </w:p>
        </w:tc>
      </w:tr>
      <w:tr w:rsidR="00377C6E" w:rsidRPr="003D57AA" w14:paraId="091C2157" w14:textId="77777777" w:rsidTr="00C23DFB">
        <w:tc>
          <w:tcPr>
            <w:tcW w:w="1976" w:type="dxa"/>
          </w:tcPr>
          <w:p w14:paraId="5256A403" w14:textId="77777777" w:rsidR="00377C6E" w:rsidRPr="003D57AA" w:rsidRDefault="00377C6E" w:rsidP="00C23DFB">
            <w:pPr>
              <w:autoSpaceDE w:val="0"/>
              <w:autoSpaceDN w:val="0"/>
              <w:adjustRightInd w:val="0"/>
              <w:rPr>
                <w:rFonts w:cs="Calibri"/>
                <w:b/>
                <w:color w:val="000000"/>
                <w:sz w:val="22"/>
                <w:szCs w:val="22"/>
              </w:rPr>
            </w:pPr>
            <w:r w:rsidRPr="003D57AA">
              <w:rPr>
                <w:rFonts w:cs="Calibri"/>
                <w:b/>
                <w:color w:val="000000"/>
                <w:sz w:val="22"/>
                <w:szCs w:val="22"/>
              </w:rPr>
              <w:t xml:space="preserve">Innovation, research and learning feeds into wider sectoral learning improving practice.  </w:t>
            </w:r>
          </w:p>
        </w:tc>
        <w:tc>
          <w:tcPr>
            <w:tcW w:w="5160" w:type="dxa"/>
          </w:tcPr>
          <w:p w14:paraId="60DEF8FB" w14:textId="77777777" w:rsidR="00377C6E" w:rsidRPr="003D57AA" w:rsidRDefault="00377C6E" w:rsidP="00377C6E">
            <w:pPr>
              <w:numPr>
                <w:ilvl w:val="0"/>
                <w:numId w:val="39"/>
              </w:numPr>
              <w:contextualSpacing/>
              <w:rPr>
                <w:sz w:val="22"/>
                <w:szCs w:val="22"/>
              </w:rPr>
            </w:pPr>
            <w:r w:rsidRPr="003D57AA">
              <w:rPr>
                <w:sz w:val="22"/>
                <w:szCs w:val="22"/>
              </w:rPr>
              <w:t xml:space="preserve">Response learning is constructed to feed into and benefit wider HRG learning around particular crisis responses. </w:t>
            </w:r>
          </w:p>
          <w:p w14:paraId="6502929E" w14:textId="77777777" w:rsidR="00377C6E" w:rsidRPr="003D57AA" w:rsidRDefault="00377C6E" w:rsidP="00377C6E">
            <w:pPr>
              <w:numPr>
                <w:ilvl w:val="0"/>
                <w:numId w:val="39"/>
              </w:numPr>
              <w:contextualSpacing/>
              <w:rPr>
                <w:sz w:val="22"/>
                <w:szCs w:val="22"/>
              </w:rPr>
            </w:pPr>
            <w:r w:rsidRPr="003D57AA">
              <w:rPr>
                <w:sz w:val="22"/>
                <w:szCs w:val="22"/>
              </w:rPr>
              <w:t>Learning around delivering quality, accountable and innovative resilience initiatives in the Pacific is shared at local, national and global forums.</w:t>
            </w:r>
          </w:p>
        </w:tc>
        <w:tc>
          <w:tcPr>
            <w:tcW w:w="6704" w:type="dxa"/>
          </w:tcPr>
          <w:p w14:paraId="2EBFA4A5" w14:textId="77777777" w:rsidR="00377C6E" w:rsidRPr="003D57AA" w:rsidRDefault="00377C6E" w:rsidP="00377C6E">
            <w:pPr>
              <w:numPr>
                <w:ilvl w:val="0"/>
                <w:numId w:val="39"/>
              </w:numPr>
              <w:contextualSpacing/>
              <w:rPr>
                <w:sz w:val="22"/>
                <w:szCs w:val="22"/>
              </w:rPr>
            </w:pPr>
            <w:r w:rsidRPr="003D57AA">
              <w:rPr>
                <w:sz w:val="22"/>
                <w:szCs w:val="22"/>
              </w:rPr>
              <w:t>The Support Unit will support the wider Australian humanitarian sector, including by fostering collaboration and innovation, and resourcing more comprehensive lesson-learning activities.</w:t>
            </w:r>
          </w:p>
        </w:tc>
      </w:tr>
    </w:tbl>
    <w:p w14:paraId="1737C074" w14:textId="77777777" w:rsidR="00377C6E" w:rsidRPr="00EA0910" w:rsidRDefault="00377C6E" w:rsidP="00377C6E">
      <w:pPr>
        <w:tabs>
          <w:tab w:val="left" w:pos="1410"/>
        </w:tabs>
      </w:pPr>
      <w:r w:rsidRPr="00EA0910">
        <w:tab/>
      </w:r>
    </w:p>
    <w:p w14:paraId="50DEDE4F" w14:textId="77777777" w:rsidR="00377C6E" w:rsidRDefault="00377C6E" w:rsidP="00377C6E">
      <w:pPr>
        <w:sectPr w:rsidR="00377C6E" w:rsidSect="00C23DFB">
          <w:pgSz w:w="16838" w:h="11906" w:orient="landscape"/>
          <w:pgMar w:top="1440" w:right="1440" w:bottom="1440" w:left="1440" w:header="709" w:footer="709" w:gutter="0"/>
          <w:cols w:space="708"/>
          <w:docGrid w:linePitch="360"/>
        </w:sectPr>
      </w:pPr>
    </w:p>
    <w:p w14:paraId="11035112" w14:textId="77777777" w:rsidR="00EC7A84" w:rsidRPr="00310A12" w:rsidRDefault="00EC7A84" w:rsidP="00EC7A84">
      <w:pPr>
        <w:pBdr>
          <w:bottom w:val="single" w:sz="4" w:space="10" w:color="CF5D27"/>
        </w:pBdr>
        <w:spacing w:before="360" w:after="280"/>
        <w:outlineLvl w:val="1"/>
        <w:rPr>
          <w:rFonts w:ascii="Calibri" w:eastAsiaTheme="majorEastAsia" w:hAnsi="Calibri" w:cstheme="majorBidi"/>
          <w:b/>
          <w:bCs/>
          <w:color w:val="757575"/>
          <w:sz w:val="50"/>
          <w:szCs w:val="26"/>
        </w:rPr>
      </w:pPr>
      <w:bookmarkStart w:id="56" w:name="_Toc448777820"/>
      <w:r>
        <w:rPr>
          <w:rFonts w:ascii="Calibri" w:eastAsiaTheme="majorEastAsia" w:hAnsi="Calibri" w:cstheme="majorBidi"/>
          <w:b/>
          <w:bCs/>
          <w:color w:val="757575"/>
          <w:sz w:val="50"/>
          <w:szCs w:val="26"/>
        </w:rPr>
        <w:lastRenderedPageBreak/>
        <w:t xml:space="preserve">Annex </w:t>
      </w:r>
      <w:r w:rsidR="00D42006">
        <w:rPr>
          <w:rFonts w:ascii="Calibri" w:eastAsiaTheme="majorEastAsia" w:hAnsi="Calibri" w:cstheme="majorBidi"/>
          <w:b/>
          <w:bCs/>
          <w:color w:val="757575"/>
          <w:sz w:val="50"/>
          <w:szCs w:val="26"/>
        </w:rPr>
        <w:t>4</w:t>
      </w:r>
      <w:r>
        <w:rPr>
          <w:rFonts w:ascii="Calibri" w:eastAsiaTheme="majorEastAsia" w:hAnsi="Calibri" w:cstheme="majorBidi"/>
          <w:b/>
          <w:bCs/>
          <w:color w:val="757575"/>
          <w:sz w:val="50"/>
          <w:szCs w:val="26"/>
        </w:rPr>
        <w:t>: Alternative Delivery Options Considered</w:t>
      </w:r>
      <w:bookmarkEnd w:id="56"/>
      <w:r>
        <w:rPr>
          <w:rFonts w:ascii="Calibri" w:eastAsiaTheme="majorEastAsia" w:hAnsi="Calibri" w:cstheme="majorBidi"/>
          <w:b/>
          <w:bCs/>
          <w:color w:val="757575"/>
          <w:sz w:val="50"/>
          <w:szCs w:val="26"/>
        </w:rPr>
        <w:t xml:space="preserve"> </w:t>
      </w:r>
    </w:p>
    <w:p w14:paraId="4749E73F" w14:textId="77777777" w:rsidR="00EC7A84" w:rsidRPr="00641D0E" w:rsidRDefault="00EC7A84" w:rsidP="00EC7A84">
      <w:pPr>
        <w:spacing w:after="120"/>
        <w:rPr>
          <w:rFonts w:ascii="Calibri" w:hAnsi="Calibri"/>
        </w:rPr>
      </w:pPr>
      <w:r w:rsidRPr="00641D0E">
        <w:rPr>
          <w:rFonts w:ascii="Calibri" w:hAnsi="Calibri"/>
        </w:rPr>
        <w:t>A number of alternative delivery approaches were considered by the design team, but are not recommended. Each option has benefits and drawbacks, as evidenced by DFAT's own experience as well as that of other donors.</w:t>
      </w:r>
    </w:p>
    <w:p w14:paraId="79392F34" w14:textId="77777777" w:rsidR="00EC7A84" w:rsidRPr="00641D0E" w:rsidRDefault="00EC7A84" w:rsidP="00EC7A84">
      <w:pPr>
        <w:spacing w:after="120"/>
        <w:rPr>
          <w:rFonts w:ascii="Calibri" w:hAnsi="Calibri"/>
        </w:rPr>
      </w:pPr>
      <w:r w:rsidRPr="00641D0E">
        <w:rPr>
          <w:rFonts w:ascii="Calibri" w:hAnsi="Calibri"/>
          <w:b/>
        </w:rPr>
        <w:t>Alternative option 1: Replicating the HPA:</w:t>
      </w:r>
      <w:r w:rsidRPr="00641D0E">
        <w:rPr>
          <w:rFonts w:ascii="Calibri" w:hAnsi="Calibri"/>
        </w:rPr>
        <w:t xml:space="preserve">  The HPA has been an effective mechanism to respond quickly to disasters and to strengthen community resilience and preparedness. Replicating the existing model would be a straightforward option, and would allow </w:t>
      </w:r>
      <w:r>
        <w:rPr>
          <w:rFonts w:ascii="Calibri" w:hAnsi="Calibri"/>
        </w:rPr>
        <w:t xml:space="preserve">existing </w:t>
      </w:r>
      <w:r w:rsidRPr="00641D0E">
        <w:rPr>
          <w:rFonts w:ascii="Calibri" w:hAnsi="Calibri"/>
        </w:rPr>
        <w:t>partners to continue to develop collaborative relationships with one another, building on accomplishments to date.</w:t>
      </w:r>
    </w:p>
    <w:p w14:paraId="21D4DD7F" w14:textId="77777777" w:rsidR="00EC7A84" w:rsidRPr="00641D0E" w:rsidRDefault="00EC7A84" w:rsidP="00EC7A84">
      <w:pPr>
        <w:spacing w:after="120"/>
        <w:rPr>
          <w:rFonts w:ascii="Calibri" w:hAnsi="Calibri"/>
        </w:rPr>
      </w:pPr>
      <w:r w:rsidRPr="00641D0E">
        <w:rPr>
          <w:rFonts w:ascii="Calibri" w:hAnsi="Calibri"/>
        </w:rPr>
        <w:t>However, replicating the HPA would likely lead to stagnation in the ongoing development of a strategic partnership in the Australian humanitarian sector, and could constrain the scope for even greater collab</w:t>
      </w:r>
      <w:r>
        <w:rPr>
          <w:rFonts w:ascii="Calibri" w:hAnsi="Calibri"/>
        </w:rPr>
        <w:t xml:space="preserve">oration between ANGOs. It would </w:t>
      </w:r>
      <w:r w:rsidRPr="00641D0E">
        <w:rPr>
          <w:rFonts w:ascii="Calibri" w:hAnsi="Calibri"/>
        </w:rPr>
        <w:t>also fail to address the issues that were found to limit HPA's effectiveness.</w:t>
      </w:r>
      <w:r w:rsidRPr="00614914">
        <w:rPr>
          <w:rStyle w:val="FootnoteReference"/>
          <w:rFonts w:ascii="Calibri" w:hAnsi="Calibri"/>
          <w:szCs w:val="16"/>
        </w:rPr>
        <w:footnoteReference w:id="63"/>
      </w:r>
    </w:p>
    <w:p w14:paraId="7E42117F" w14:textId="77777777" w:rsidR="00EC7A84" w:rsidRPr="00641D0E" w:rsidRDefault="00EC7A84" w:rsidP="00EC7A84">
      <w:pPr>
        <w:spacing w:after="120"/>
        <w:rPr>
          <w:rFonts w:ascii="Calibri" w:hAnsi="Calibri"/>
          <w:i/>
        </w:rPr>
      </w:pPr>
      <w:r w:rsidRPr="00641D0E">
        <w:rPr>
          <w:rFonts w:ascii="Calibri" w:hAnsi="Calibri"/>
          <w:i/>
        </w:rPr>
        <w:t>Verdict: A safe bet, but would constrain effectiveness and collaboration in the sector.</w:t>
      </w:r>
    </w:p>
    <w:p w14:paraId="47A63676" w14:textId="77777777" w:rsidR="00EC7A84" w:rsidRPr="00641D0E" w:rsidRDefault="00EC7A84" w:rsidP="00EC7A84">
      <w:pPr>
        <w:spacing w:after="120"/>
        <w:rPr>
          <w:rFonts w:ascii="Calibri" w:hAnsi="Calibri"/>
        </w:rPr>
      </w:pPr>
      <w:r w:rsidRPr="00641D0E">
        <w:rPr>
          <w:rFonts w:ascii="Calibri" w:hAnsi="Calibri"/>
          <w:b/>
        </w:rPr>
        <w:t>Alternative option 2: Direct management by DFAT:</w:t>
      </w:r>
      <w:r w:rsidRPr="00641D0E">
        <w:rPr>
          <w:rFonts w:ascii="Calibri" w:hAnsi="Calibri"/>
        </w:rPr>
        <w:t xml:space="preserve"> Reverting to a traditional grant model – with DFAT considering individual proposals submitted by ANGOs – would have some advantages. It would theoretically allow for closer alignment between DFAT's humanitarian response and development programming. It would also shift some administrative workload away from NGOs, particularly during peak times. Other donor mechanisms, such as the UK Government's Rapid Response Fund and New Zealand's Disaster Response Partnership, retain this decision-making power for the donor agency.</w:t>
      </w:r>
    </w:p>
    <w:p w14:paraId="4E843A7D" w14:textId="77777777" w:rsidR="00EC7A84" w:rsidRPr="00641D0E" w:rsidRDefault="00EC7A84" w:rsidP="00EC7A84">
      <w:pPr>
        <w:spacing w:after="120"/>
        <w:rPr>
          <w:rFonts w:ascii="Calibri" w:hAnsi="Calibri"/>
        </w:rPr>
      </w:pPr>
      <w:r w:rsidRPr="00641D0E">
        <w:rPr>
          <w:rFonts w:ascii="Calibri" w:hAnsi="Calibri"/>
        </w:rPr>
        <w:t>This model would require significantly increased DFAT staff resources, along with investment in DFAT's in-house humanitarian expertise, which is not feasible at this time. It would also be a backward step from the progress achieved under HPA towards a more strategic partnership between DFAT and its NGO partners.</w:t>
      </w:r>
    </w:p>
    <w:p w14:paraId="41C49D49" w14:textId="77777777" w:rsidR="00EC7A84" w:rsidRPr="00641D0E" w:rsidRDefault="00EC7A84" w:rsidP="00EC7A84">
      <w:pPr>
        <w:spacing w:after="120"/>
        <w:rPr>
          <w:rFonts w:ascii="Calibri" w:hAnsi="Calibri"/>
          <w:i/>
        </w:rPr>
      </w:pPr>
      <w:r w:rsidRPr="00641D0E">
        <w:rPr>
          <w:rFonts w:ascii="Calibri" w:hAnsi="Calibri"/>
          <w:i/>
        </w:rPr>
        <w:t>Verdict: Insufficient DFAT staff resources available, and a backwards step for collaboration.</w:t>
      </w:r>
    </w:p>
    <w:p w14:paraId="2ED2C520" w14:textId="77777777" w:rsidR="00EC7A84" w:rsidRPr="00641D0E" w:rsidRDefault="00EC7A84" w:rsidP="00EC7A84">
      <w:pPr>
        <w:spacing w:after="120"/>
        <w:rPr>
          <w:rFonts w:ascii="Calibri" w:hAnsi="Calibri"/>
        </w:rPr>
      </w:pPr>
      <w:r w:rsidRPr="00641D0E">
        <w:rPr>
          <w:rFonts w:ascii="Calibri" w:hAnsi="Calibri"/>
          <w:b/>
        </w:rPr>
        <w:t>Alternative option 3: A private sector-led humanitarian response facility:</w:t>
      </w:r>
      <w:r w:rsidRPr="00641D0E">
        <w:rPr>
          <w:rFonts w:ascii="Calibri" w:hAnsi="Calibri"/>
        </w:rPr>
        <w:t xml:space="preserve"> A highly nimble humanitarian response facility managed by a private sector entity would facilitate rapid disbursal of funds, and would significantly reduce the administrative workload for NGOs and DFAT. Examples of this kind of mechanism being used for humanitarian response are rare, but there are numerous examples of DFAT and other donors achieving efficient outcomes through use of managing contractors to undertake contracting and payments on their behalf.</w:t>
      </w:r>
    </w:p>
    <w:p w14:paraId="66E11AAA" w14:textId="77777777" w:rsidR="00EC7A84" w:rsidRPr="00641D0E" w:rsidRDefault="00EC7A84" w:rsidP="00EC7A84">
      <w:pPr>
        <w:spacing w:after="120"/>
        <w:rPr>
          <w:rFonts w:ascii="Calibri" w:hAnsi="Calibri"/>
        </w:rPr>
      </w:pPr>
      <w:r w:rsidRPr="00641D0E">
        <w:rPr>
          <w:rFonts w:ascii="Calibri" w:hAnsi="Calibri"/>
        </w:rPr>
        <w:lastRenderedPageBreak/>
        <w:t>Insertion of a third party between DFAT and ANGOs would be a step backwards in terms of strategic partnership. It would also be expensive, particularly in light of the extreme peaks in workload during crisis responses. Nonetheless, elements of this model have merit – namely the efficiency created through a support unit – and there may be an appropriate role for a private sector entity in supporting the functioning of the investment.</w:t>
      </w:r>
    </w:p>
    <w:p w14:paraId="64C8D4E1" w14:textId="77777777" w:rsidR="00EC7A84" w:rsidRPr="00641D0E" w:rsidRDefault="00EC7A84" w:rsidP="00EC7A84">
      <w:pPr>
        <w:spacing w:after="120"/>
        <w:rPr>
          <w:rFonts w:ascii="Calibri" w:hAnsi="Calibri"/>
          <w:i/>
        </w:rPr>
      </w:pPr>
      <w:r w:rsidRPr="00641D0E">
        <w:rPr>
          <w:rFonts w:ascii="Calibri" w:hAnsi="Calibri"/>
          <w:i/>
        </w:rPr>
        <w:t xml:space="preserve">Verdict: An efficient support unit </w:t>
      </w:r>
      <w:r>
        <w:rPr>
          <w:rFonts w:ascii="Calibri" w:hAnsi="Calibri"/>
          <w:i/>
        </w:rPr>
        <w:t>would</w:t>
      </w:r>
      <w:r w:rsidRPr="00641D0E">
        <w:rPr>
          <w:rFonts w:ascii="Calibri" w:hAnsi="Calibri"/>
          <w:i/>
        </w:rPr>
        <w:t xml:space="preserve"> be valuable, but insertion of an expensive third party between DFAT and its NGO partners is undesirable.</w:t>
      </w:r>
    </w:p>
    <w:p w14:paraId="079BB5E0" w14:textId="77777777" w:rsidR="00EC7A84" w:rsidRPr="00641D0E" w:rsidRDefault="00EC7A84" w:rsidP="00EC7A84">
      <w:pPr>
        <w:spacing w:after="120"/>
        <w:rPr>
          <w:rFonts w:ascii="Calibri" w:hAnsi="Calibri"/>
        </w:rPr>
      </w:pPr>
      <w:r w:rsidRPr="00641D0E">
        <w:rPr>
          <w:rFonts w:ascii="Calibri" w:hAnsi="Calibri"/>
          <w:b/>
        </w:rPr>
        <w:t>Alternative option 4: Block funding to an NGO-managed consortium:</w:t>
      </w:r>
      <w:r w:rsidRPr="00641D0E">
        <w:rPr>
          <w:rFonts w:ascii="Calibri" w:hAnsi="Calibri"/>
        </w:rPr>
        <w:t xml:space="preserve"> Provision of block funding to an entirely NGO-managed consortium would facilitate rapid response to crises that do not receive high profile media attention, or are under-funded for other reasons. It would likely foster closer collaboration among ANGOs and </w:t>
      </w:r>
      <w:r>
        <w:rPr>
          <w:rFonts w:ascii="Calibri" w:hAnsi="Calibri"/>
        </w:rPr>
        <w:t>significantly</w:t>
      </w:r>
      <w:r w:rsidRPr="00641D0E">
        <w:rPr>
          <w:rFonts w:ascii="Calibri" w:hAnsi="Calibri"/>
        </w:rPr>
        <w:t xml:space="preserve"> reduce the administrative workload for DFAT. The START Network's Start Fund (funded by DFID and Irish Aid) demonstrates the value of this kind of model.</w:t>
      </w:r>
    </w:p>
    <w:p w14:paraId="7B9D08B2" w14:textId="77777777" w:rsidR="00EC7A84" w:rsidRPr="00641D0E" w:rsidRDefault="00EC7A84" w:rsidP="00EC7A84">
      <w:pPr>
        <w:spacing w:after="120"/>
        <w:rPr>
          <w:rFonts w:ascii="Calibri" w:hAnsi="Calibri"/>
        </w:rPr>
      </w:pPr>
      <w:r>
        <w:rPr>
          <w:rFonts w:ascii="Calibri" w:hAnsi="Calibri"/>
        </w:rPr>
        <w:t>However,</w:t>
      </w:r>
      <w:r w:rsidRPr="00641D0E">
        <w:rPr>
          <w:rFonts w:ascii="Calibri" w:hAnsi="Calibri"/>
        </w:rPr>
        <w:t xml:space="preserve"> this model would fail to meet the requirement for a mechanism through which the Government can actively respond to humanitarian crises. Removing the role of the Minister for Foreign Affairs in activation would reduce the visibility of the response and thereby miss an opportunity to shape the Australian public's engagement in the response. </w:t>
      </w:r>
    </w:p>
    <w:p w14:paraId="526388F4" w14:textId="77777777" w:rsidR="00EC7A84" w:rsidRDefault="00EC7A84" w:rsidP="00EC7A84">
      <w:pPr>
        <w:rPr>
          <w:rFonts w:ascii="Calibri" w:hAnsi="Calibri"/>
          <w:i/>
        </w:rPr>
      </w:pPr>
      <w:r w:rsidRPr="00641D0E">
        <w:rPr>
          <w:rFonts w:ascii="Calibri" w:hAnsi="Calibri"/>
          <w:i/>
        </w:rPr>
        <w:t xml:space="preserve">Verdict: NGO centrality to decision-making is highly valuable, but removing the mechanism too far from the Australian Government would be counter-productive. </w:t>
      </w:r>
    </w:p>
    <w:p w14:paraId="4F89CEE2" w14:textId="77777777" w:rsidR="00EC7A84" w:rsidRDefault="00EC7A84" w:rsidP="00CC502F">
      <w:pPr>
        <w:pBdr>
          <w:bottom w:val="single" w:sz="4" w:space="10" w:color="CF5D27"/>
        </w:pBdr>
        <w:spacing w:before="360" w:after="280"/>
        <w:outlineLvl w:val="1"/>
        <w:rPr>
          <w:rFonts w:ascii="Calibri" w:eastAsiaTheme="majorEastAsia" w:hAnsi="Calibri" w:cstheme="majorBidi"/>
          <w:b/>
          <w:bCs/>
          <w:color w:val="757575"/>
          <w:sz w:val="50"/>
          <w:szCs w:val="26"/>
        </w:rPr>
        <w:sectPr w:rsidR="00EC7A84" w:rsidSect="00EC7A84">
          <w:pgSz w:w="11900" w:h="16840"/>
          <w:pgMar w:top="1440" w:right="1800" w:bottom="1440" w:left="1800" w:header="708" w:footer="708" w:gutter="0"/>
          <w:cols w:space="708"/>
          <w:docGrid w:linePitch="360"/>
        </w:sectPr>
      </w:pPr>
    </w:p>
    <w:p w14:paraId="74D2908F" w14:textId="3664DCCF" w:rsidR="0043449C" w:rsidRPr="006A40B8" w:rsidRDefault="0043449C" w:rsidP="007150B4">
      <w:pPr>
        <w:pBdr>
          <w:bottom w:val="single" w:sz="4" w:space="10" w:color="CF5D27"/>
        </w:pBdr>
        <w:spacing w:before="360" w:after="280"/>
        <w:outlineLvl w:val="1"/>
        <w:rPr>
          <w:rFonts w:ascii="Calibri" w:eastAsiaTheme="majorEastAsia" w:hAnsi="Calibri" w:cstheme="majorBidi"/>
          <w:b/>
          <w:bCs/>
          <w:color w:val="757575"/>
          <w:sz w:val="44"/>
          <w:szCs w:val="44"/>
        </w:rPr>
      </w:pPr>
      <w:bookmarkStart w:id="57" w:name="_Toc437723357"/>
      <w:bookmarkStart w:id="58" w:name="_Toc437850851"/>
      <w:bookmarkStart w:id="59" w:name="_Toc437852588"/>
      <w:bookmarkStart w:id="60" w:name="_Toc448777821"/>
      <w:bookmarkEnd w:id="57"/>
      <w:bookmarkEnd w:id="58"/>
      <w:bookmarkEnd w:id="59"/>
      <w:r w:rsidRPr="006A40B8">
        <w:rPr>
          <w:rFonts w:ascii="Calibri" w:eastAsiaTheme="majorEastAsia" w:hAnsi="Calibri" w:cstheme="majorBidi"/>
          <w:b/>
          <w:bCs/>
          <w:color w:val="757575"/>
          <w:sz w:val="44"/>
          <w:szCs w:val="44"/>
        </w:rPr>
        <w:lastRenderedPageBreak/>
        <w:t xml:space="preserve">Annex 5: </w:t>
      </w:r>
      <w:r w:rsidR="00D73754" w:rsidRPr="006A40B8">
        <w:rPr>
          <w:rFonts w:ascii="Calibri" w:eastAsiaTheme="majorEastAsia" w:hAnsi="Calibri" w:cstheme="majorBidi"/>
          <w:b/>
          <w:bCs/>
          <w:color w:val="757575"/>
          <w:sz w:val="44"/>
          <w:szCs w:val="44"/>
        </w:rPr>
        <w:t>D</w:t>
      </w:r>
      <w:r w:rsidR="006A40B8">
        <w:rPr>
          <w:rFonts w:ascii="Calibri" w:eastAsiaTheme="majorEastAsia" w:hAnsi="Calibri" w:cstheme="majorBidi"/>
          <w:b/>
          <w:bCs/>
          <w:color w:val="757575"/>
          <w:sz w:val="44"/>
          <w:szCs w:val="44"/>
        </w:rPr>
        <w:t>raft</w:t>
      </w:r>
      <w:r w:rsidR="00D73754" w:rsidRPr="006A40B8">
        <w:rPr>
          <w:rFonts w:ascii="Calibri" w:eastAsiaTheme="majorEastAsia" w:hAnsi="Calibri" w:cstheme="majorBidi"/>
          <w:b/>
          <w:bCs/>
          <w:color w:val="757575"/>
          <w:sz w:val="44"/>
          <w:szCs w:val="44"/>
        </w:rPr>
        <w:t xml:space="preserve"> </w:t>
      </w:r>
      <w:r w:rsidRPr="006A40B8">
        <w:rPr>
          <w:rFonts w:ascii="Calibri" w:eastAsiaTheme="majorEastAsia" w:hAnsi="Calibri" w:cstheme="majorBidi"/>
          <w:b/>
          <w:bCs/>
          <w:color w:val="757575"/>
          <w:sz w:val="44"/>
          <w:szCs w:val="44"/>
        </w:rPr>
        <w:t>MEL processes and products</w:t>
      </w:r>
      <w:bookmarkEnd w:id="60"/>
    </w:p>
    <w:p w14:paraId="31606659" w14:textId="3C531F47" w:rsidR="0043449C" w:rsidRDefault="0043449C" w:rsidP="00A26539">
      <w:pPr>
        <w:ind w:left="-993" w:right="-755" w:hanging="708"/>
      </w:pPr>
    </w:p>
    <w:bookmarkStart w:id="61" w:name="_Toc448777822"/>
    <w:bookmarkEnd w:id="61"/>
    <w:p w14:paraId="5A432046" w14:textId="0E45703D" w:rsidR="00CC502F" w:rsidRDefault="003D57AA" w:rsidP="001F058B">
      <w:pPr>
        <w:pBdr>
          <w:bottom w:val="single" w:sz="4" w:space="10" w:color="CF5D27"/>
        </w:pBdr>
        <w:spacing w:before="360" w:after="280"/>
        <w:outlineLvl w:val="1"/>
        <w:rPr>
          <w:rFonts w:ascii="Calibri" w:eastAsiaTheme="majorEastAsia" w:hAnsi="Calibri" w:cstheme="majorBidi"/>
          <w:b/>
          <w:bCs/>
          <w:color w:val="757575"/>
          <w:sz w:val="50"/>
          <w:szCs w:val="26"/>
        </w:rPr>
        <w:sectPr w:rsidR="00CC502F" w:rsidSect="00CC502F">
          <w:pgSz w:w="11900" w:h="16840"/>
          <w:pgMar w:top="1440" w:right="1800" w:bottom="1440" w:left="1800" w:header="708" w:footer="708" w:gutter="0"/>
          <w:cols w:space="708"/>
          <w:docGrid w:linePitch="360"/>
        </w:sectPr>
      </w:pPr>
      <w:r>
        <w:object w:dxaOrig="23421" w:dyaOrig="21498" w14:anchorId="119E58CC">
          <v:shape id="_x0000_i1027" type="#_x0000_t75" style="width:496.5pt;height:455.7pt" o:ole="">
            <v:imagedata r:id="rId16" o:title=""/>
          </v:shape>
          <o:OLEObject Type="Embed" ProgID="Visio.Drawing.11" ShapeID="_x0000_i1027" DrawAspect="Content" ObjectID="_1524476495" r:id="rId17"/>
        </w:object>
      </w:r>
    </w:p>
    <w:p w14:paraId="5C3A0341" w14:textId="77777777" w:rsidR="001F058B" w:rsidRPr="00310A12" w:rsidRDefault="001F058B" w:rsidP="001F058B">
      <w:pPr>
        <w:pBdr>
          <w:bottom w:val="single" w:sz="4" w:space="10" w:color="CF5D27"/>
        </w:pBdr>
        <w:spacing w:before="360" w:after="280"/>
        <w:outlineLvl w:val="1"/>
        <w:rPr>
          <w:rFonts w:ascii="Calibri" w:eastAsiaTheme="majorEastAsia" w:hAnsi="Calibri" w:cstheme="majorBidi"/>
          <w:b/>
          <w:bCs/>
          <w:color w:val="757575"/>
          <w:sz w:val="50"/>
          <w:szCs w:val="26"/>
        </w:rPr>
      </w:pPr>
      <w:bookmarkStart w:id="62" w:name="_Toc448777823"/>
      <w:r>
        <w:rPr>
          <w:rFonts w:ascii="Calibri" w:eastAsiaTheme="majorEastAsia" w:hAnsi="Calibri" w:cstheme="majorBidi"/>
          <w:b/>
          <w:bCs/>
          <w:color w:val="757575"/>
          <w:sz w:val="50"/>
          <w:szCs w:val="26"/>
        </w:rPr>
        <w:lastRenderedPageBreak/>
        <w:t xml:space="preserve">Annex </w:t>
      </w:r>
      <w:r w:rsidR="00D95492">
        <w:rPr>
          <w:rFonts w:ascii="Calibri" w:eastAsiaTheme="majorEastAsia" w:hAnsi="Calibri" w:cstheme="majorBidi"/>
          <w:b/>
          <w:bCs/>
          <w:color w:val="757575"/>
          <w:sz w:val="50"/>
          <w:szCs w:val="26"/>
        </w:rPr>
        <w:t>6</w:t>
      </w:r>
      <w:r>
        <w:rPr>
          <w:rFonts w:ascii="Calibri" w:eastAsiaTheme="majorEastAsia" w:hAnsi="Calibri" w:cstheme="majorBidi"/>
          <w:b/>
          <w:bCs/>
          <w:color w:val="757575"/>
          <w:sz w:val="50"/>
          <w:szCs w:val="26"/>
        </w:rPr>
        <w:t>: Support Unit</w:t>
      </w:r>
      <w:r w:rsidR="00931862">
        <w:rPr>
          <w:rFonts w:ascii="Calibri" w:eastAsiaTheme="majorEastAsia" w:hAnsi="Calibri" w:cstheme="majorBidi"/>
          <w:b/>
          <w:bCs/>
          <w:color w:val="757575"/>
          <w:sz w:val="50"/>
          <w:szCs w:val="26"/>
        </w:rPr>
        <w:t>’s</w:t>
      </w:r>
      <w:r>
        <w:rPr>
          <w:rFonts w:ascii="Calibri" w:eastAsiaTheme="majorEastAsia" w:hAnsi="Calibri" w:cstheme="majorBidi"/>
          <w:b/>
          <w:bCs/>
          <w:color w:val="757575"/>
          <w:sz w:val="50"/>
          <w:szCs w:val="26"/>
        </w:rPr>
        <w:t xml:space="preserve"> </w:t>
      </w:r>
      <w:r w:rsidR="00931862">
        <w:rPr>
          <w:rFonts w:ascii="Calibri" w:eastAsiaTheme="majorEastAsia" w:hAnsi="Calibri" w:cstheme="majorBidi"/>
          <w:b/>
          <w:bCs/>
          <w:color w:val="757575"/>
          <w:sz w:val="50"/>
          <w:szCs w:val="26"/>
        </w:rPr>
        <w:t xml:space="preserve">Terms of Reference and </w:t>
      </w:r>
      <w:r>
        <w:rPr>
          <w:rFonts w:ascii="Calibri" w:eastAsiaTheme="majorEastAsia" w:hAnsi="Calibri" w:cstheme="majorBidi"/>
          <w:b/>
          <w:bCs/>
          <w:color w:val="757575"/>
          <w:sz w:val="50"/>
          <w:szCs w:val="26"/>
        </w:rPr>
        <w:t>Position Descriptions</w:t>
      </w:r>
      <w:bookmarkEnd w:id="62"/>
      <w:r>
        <w:rPr>
          <w:rFonts w:ascii="Calibri" w:eastAsiaTheme="majorEastAsia" w:hAnsi="Calibri" w:cstheme="majorBidi"/>
          <w:b/>
          <w:bCs/>
          <w:color w:val="757575"/>
          <w:sz w:val="50"/>
          <w:szCs w:val="26"/>
        </w:rPr>
        <w:t xml:space="preserve"> </w:t>
      </w:r>
    </w:p>
    <w:p w14:paraId="389BCF0C" w14:textId="77777777" w:rsidR="001F058B" w:rsidRDefault="00A37EB1" w:rsidP="001F058B">
      <w:pPr>
        <w:pStyle w:val="Heading3"/>
        <w:spacing w:after="240"/>
      </w:pPr>
      <w:bookmarkStart w:id="63" w:name="_Toc437723359"/>
      <w:bookmarkStart w:id="64" w:name="_Toc437724152"/>
      <w:bookmarkStart w:id="65" w:name="_Toc437850684"/>
      <w:bookmarkStart w:id="66" w:name="_Toc437850853"/>
      <w:bookmarkStart w:id="67" w:name="_Toc437851778"/>
      <w:bookmarkStart w:id="68" w:name="_Toc437852590"/>
      <w:bookmarkStart w:id="69" w:name="_Toc445270041"/>
      <w:bookmarkStart w:id="70" w:name="_Toc445299961"/>
      <w:bookmarkStart w:id="71" w:name="_Toc448777824"/>
      <w:r>
        <w:t>Australian Humanitarian Partnership</w:t>
      </w:r>
      <w:r w:rsidR="001F058B">
        <w:t xml:space="preserve"> Support Unit</w:t>
      </w:r>
      <w:bookmarkEnd w:id="63"/>
      <w:bookmarkEnd w:id="64"/>
      <w:bookmarkEnd w:id="65"/>
      <w:bookmarkEnd w:id="66"/>
      <w:bookmarkEnd w:id="67"/>
      <w:bookmarkEnd w:id="68"/>
      <w:bookmarkEnd w:id="69"/>
      <w:bookmarkEnd w:id="70"/>
      <w:bookmarkEnd w:id="71"/>
    </w:p>
    <w:p w14:paraId="4C62D18E" w14:textId="77777777" w:rsidR="001F058B" w:rsidRPr="001F058B" w:rsidRDefault="001F058B" w:rsidP="001F058B">
      <w:pPr>
        <w:spacing w:after="240"/>
      </w:pPr>
      <w:r w:rsidRPr="001F058B">
        <w:t xml:space="preserve">The Support Unit will facilitate the operation of all aspects of the </w:t>
      </w:r>
      <w:r w:rsidR="00A37EB1">
        <w:t>Australian Humanitarian Partnership</w:t>
      </w:r>
      <w:r w:rsidRPr="001F058B">
        <w:t>. The core responsibilities of the Support Unit will be:</w:t>
      </w:r>
    </w:p>
    <w:p w14:paraId="5908AF4E" w14:textId="2FE59EC5" w:rsidR="00531A29" w:rsidRDefault="00D73754" w:rsidP="001F058B">
      <w:pPr>
        <w:pStyle w:val="ListParagraph"/>
        <w:numPr>
          <w:ilvl w:val="0"/>
          <w:numId w:val="18"/>
        </w:numPr>
        <w:spacing w:after="240"/>
        <w:rPr>
          <w:b/>
          <w:sz w:val="24"/>
          <w:szCs w:val="24"/>
        </w:rPr>
      </w:pPr>
      <w:r>
        <w:rPr>
          <w:b/>
          <w:sz w:val="24"/>
          <w:szCs w:val="24"/>
        </w:rPr>
        <w:t>Managing</w:t>
      </w:r>
      <w:r w:rsidRPr="00737D62">
        <w:rPr>
          <w:b/>
          <w:sz w:val="24"/>
          <w:szCs w:val="24"/>
        </w:rPr>
        <w:t xml:space="preserve"> contractual agreements with DFAT and with the 4-6 HRG member NGOs selected to receive DFAT funding</w:t>
      </w:r>
    </w:p>
    <w:p w14:paraId="060E1865" w14:textId="1708B047" w:rsidR="00D73754" w:rsidRPr="00F1336C" w:rsidRDefault="00531A29" w:rsidP="00737D62">
      <w:pPr>
        <w:pStyle w:val="ListParagraph"/>
        <w:numPr>
          <w:ilvl w:val="1"/>
          <w:numId w:val="18"/>
        </w:numPr>
        <w:spacing w:after="240"/>
        <w:rPr>
          <w:sz w:val="24"/>
          <w:szCs w:val="24"/>
        </w:rPr>
      </w:pPr>
      <w:r w:rsidRPr="00F1336C">
        <w:rPr>
          <w:sz w:val="24"/>
          <w:szCs w:val="24"/>
        </w:rPr>
        <w:t>Including both multi-year contracts for outcome area 2 and a series of diverse contracts for outcome area 1</w:t>
      </w:r>
      <w:r w:rsidR="005F6CFD" w:rsidRPr="00F1336C">
        <w:rPr>
          <w:sz w:val="24"/>
          <w:szCs w:val="24"/>
        </w:rPr>
        <w:t>.</w:t>
      </w:r>
    </w:p>
    <w:p w14:paraId="65CA8C11" w14:textId="77777777" w:rsidR="00D73754" w:rsidRDefault="00D73754" w:rsidP="00737D62">
      <w:pPr>
        <w:pStyle w:val="ListParagraph"/>
        <w:spacing w:after="240"/>
        <w:rPr>
          <w:b/>
          <w:sz w:val="24"/>
          <w:szCs w:val="24"/>
        </w:rPr>
      </w:pPr>
    </w:p>
    <w:p w14:paraId="266C5CEA" w14:textId="77777777" w:rsidR="001F058B" w:rsidRPr="001F058B" w:rsidRDefault="001F058B" w:rsidP="001F058B">
      <w:pPr>
        <w:pStyle w:val="ListParagraph"/>
        <w:numPr>
          <w:ilvl w:val="0"/>
          <w:numId w:val="18"/>
        </w:numPr>
        <w:spacing w:after="240"/>
        <w:rPr>
          <w:b/>
          <w:sz w:val="24"/>
          <w:szCs w:val="24"/>
        </w:rPr>
      </w:pPr>
      <w:r w:rsidRPr="001F058B">
        <w:rPr>
          <w:b/>
          <w:sz w:val="24"/>
          <w:szCs w:val="24"/>
        </w:rPr>
        <w:t xml:space="preserve">Managing the activation processes for humanitarian responses under the </w:t>
      </w:r>
      <w:r w:rsidR="0022318C">
        <w:rPr>
          <w:b/>
          <w:sz w:val="24"/>
          <w:szCs w:val="24"/>
        </w:rPr>
        <w:t>partnership</w:t>
      </w:r>
      <w:r w:rsidR="0022318C" w:rsidRPr="001F058B">
        <w:rPr>
          <w:b/>
          <w:sz w:val="24"/>
          <w:szCs w:val="24"/>
        </w:rPr>
        <w:t xml:space="preserve"> </w:t>
      </w:r>
    </w:p>
    <w:p w14:paraId="263556B3" w14:textId="77777777" w:rsidR="001F058B" w:rsidRPr="001F058B" w:rsidRDefault="001F058B" w:rsidP="001F058B">
      <w:pPr>
        <w:pStyle w:val="ListParagraph"/>
        <w:numPr>
          <w:ilvl w:val="1"/>
          <w:numId w:val="18"/>
        </w:numPr>
        <w:spacing w:after="240"/>
        <w:rPr>
          <w:sz w:val="24"/>
          <w:szCs w:val="24"/>
        </w:rPr>
      </w:pPr>
      <w:r w:rsidRPr="001F058B">
        <w:rPr>
          <w:sz w:val="24"/>
          <w:szCs w:val="24"/>
        </w:rPr>
        <w:t>Including by convening meetings, engaging external technical expertise, documenting decisions and communicating with partners.</w:t>
      </w:r>
    </w:p>
    <w:p w14:paraId="674BD4C3" w14:textId="77777777" w:rsidR="001F058B" w:rsidRPr="001F058B" w:rsidRDefault="001F058B" w:rsidP="001F058B">
      <w:pPr>
        <w:pStyle w:val="ListParagraph"/>
        <w:spacing w:after="240"/>
        <w:rPr>
          <w:b/>
          <w:sz w:val="24"/>
          <w:szCs w:val="24"/>
        </w:rPr>
      </w:pPr>
    </w:p>
    <w:p w14:paraId="632E1E78" w14:textId="3DA82CB9" w:rsidR="001F058B" w:rsidRPr="001F058B" w:rsidRDefault="001F058B" w:rsidP="001F058B">
      <w:pPr>
        <w:pStyle w:val="ListParagraph"/>
        <w:numPr>
          <w:ilvl w:val="0"/>
          <w:numId w:val="18"/>
        </w:numPr>
        <w:spacing w:after="240"/>
        <w:rPr>
          <w:b/>
          <w:sz w:val="24"/>
          <w:szCs w:val="24"/>
        </w:rPr>
      </w:pPr>
      <w:r w:rsidRPr="001F058B">
        <w:rPr>
          <w:b/>
          <w:sz w:val="24"/>
          <w:szCs w:val="24"/>
        </w:rPr>
        <w:t>Supporting sector-wide information-sharing, monitoring</w:t>
      </w:r>
      <w:r w:rsidR="005F6CFD">
        <w:rPr>
          <w:b/>
          <w:sz w:val="24"/>
          <w:szCs w:val="24"/>
        </w:rPr>
        <w:t xml:space="preserve"> and evaluation</w:t>
      </w:r>
      <w:r w:rsidRPr="001F058B">
        <w:rPr>
          <w:b/>
          <w:sz w:val="24"/>
          <w:szCs w:val="24"/>
        </w:rPr>
        <w:t>, reporting and lesson-learning</w:t>
      </w:r>
    </w:p>
    <w:p w14:paraId="7B53D56E" w14:textId="77777777" w:rsidR="001F058B" w:rsidRPr="001F058B" w:rsidRDefault="001F058B" w:rsidP="001F058B">
      <w:pPr>
        <w:pStyle w:val="ListParagraph"/>
        <w:numPr>
          <w:ilvl w:val="1"/>
          <w:numId w:val="18"/>
        </w:numPr>
        <w:spacing w:after="240"/>
        <w:rPr>
          <w:sz w:val="24"/>
          <w:szCs w:val="24"/>
        </w:rPr>
      </w:pPr>
      <w:r w:rsidRPr="001F058B">
        <w:rPr>
          <w:sz w:val="24"/>
          <w:szCs w:val="24"/>
        </w:rPr>
        <w:t>Including by supporting the collaborative development of a coordinated ANGO humanitarian capability map, compiling joint reporting, convening lessons-learned activities and disseminating associated documentation.</w:t>
      </w:r>
    </w:p>
    <w:p w14:paraId="5A2FD61E" w14:textId="77777777" w:rsidR="001F058B" w:rsidRPr="001F058B" w:rsidRDefault="001F058B" w:rsidP="001F058B">
      <w:pPr>
        <w:pStyle w:val="ListParagraph"/>
        <w:spacing w:after="240"/>
        <w:rPr>
          <w:b/>
          <w:sz w:val="24"/>
          <w:szCs w:val="24"/>
        </w:rPr>
      </w:pPr>
    </w:p>
    <w:p w14:paraId="78363228" w14:textId="77777777" w:rsidR="001F058B" w:rsidRPr="001F058B" w:rsidRDefault="001F058B" w:rsidP="001F058B">
      <w:pPr>
        <w:pStyle w:val="ListParagraph"/>
        <w:numPr>
          <w:ilvl w:val="0"/>
          <w:numId w:val="18"/>
        </w:numPr>
        <w:spacing w:after="240"/>
        <w:rPr>
          <w:b/>
          <w:sz w:val="24"/>
          <w:szCs w:val="24"/>
        </w:rPr>
      </w:pPr>
      <w:r w:rsidRPr="001F058B">
        <w:rPr>
          <w:b/>
          <w:sz w:val="24"/>
          <w:szCs w:val="24"/>
        </w:rPr>
        <w:t>Maximising visibility of Australian humanitarian action</w:t>
      </w:r>
    </w:p>
    <w:p w14:paraId="522F32FF" w14:textId="77777777" w:rsidR="001F058B" w:rsidRPr="001F058B" w:rsidRDefault="001F058B" w:rsidP="001F058B">
      <w:pPr>
        <w:pStyle w:val="ListParagraph"/>
        <w:numPr>
          <w:ilvl w:val="1"/>
          <w:numId w:val="18"/>
        </w:numPr>
        <w:spacing w:after="240"/>
        <w:rPr>
          <w:sz w:val="24"/>
          <w:szCs w:val="24"/>
        </w:rPr>
      </w:pPr>
      <w:r w:rsidRPr="001F058B">
        <w:rPr>
          <w:sz w:val="24"/>
          <w:szCs w:val="24"/>
        </w:rPr>
        <w:t>Including by providing information to DFAT and other partners, and producing coordinated media products.</w:t>
      </w:r>
    </w:p>
    <w:p w14:paraId="77C4543F" w14:textId="77777777" w:rsidR="001F058B" w:rsidRPr="001F058B" w:rsidRDefault="001F058B" w:rsidP="001F058B">
      <w:pPr>
        <w:spacing w:after="240"/>
      </w:pPr>
      <w:r w:rsidRPr="001F058B">
        <w:t>The Support Unit w</w:t>
      </w:r>
      <w:r w:rsidR="007724BB">
        <w:t>ill be staffed by three full-time team members</w:t>
      </w:r>
      <w:r w:rsidRPr="001F058B">
        <w:t>, and will be able to draw on external humanitarian and communication experts, as set out in the position descriptions below. The Support Unit will be funded by DFAT.</w:t>
      </w:r>
    </w:p>
    <w:p w14:paraId="41E0FF81" w14:textId="46A7C481" w:rsidR="00D73754" w:rsidRDefault="00D73754" w:rsidP="00D73754">
      <w:pPr>
        <w:spacing w:after="120"/>
        <w:jc w:val="both"/>
        <w:rPr>
          <w:rFonts w:ascii="Calibri" w:hAnsi="Calibri"/>
        </w:rPr>
      </w:pPr>
      <w:r>
        <w:rPr>
          <w:rFonts w:ascii="Calibri" w:hAnsi="Calibri"/>
        </w:rPr>
        <w:t xml:space="preserve">An organisation selected to host the Support Unit will be contracted through a competitive procurement process. </w:t>
      </w:r>
    </w:p>
    <w:p w14:paraId="53D1357A" w14:textId="77777777" w:rsidR="001F058B" w:rsidRPr="001F058B" w:rsidRDefault="001F058B" w:rsidP="001F058B">
      <w:pPr>
        <w:spacing w:after="240"/>
      </w:pPr>
    </w:p>
    <w:p w14:paraId="1BFD5D2B" w14:textId="77777777" w:rsidR="001F058B" w:rsidRPr="001F058B" w:rsidRDefault="001F058B" w:rsidP="001F058B">
      <w:pPr>
        <w:spacing w:after="240"/>
        <w:rPr>
          <w:rFonts w:eastAsiaTheme="majorEastAsia" w:cstheme="majorBidi"/>
          <w:color w:val="365F91" w:themeColor="accent1" w:themeShade="BF"/>
        </w:rPr>
      </w:pPr>
      <w:r w:rsidRPr="001F058B">
        <w:br w:type="page"/>
      </w:r>
    </w:p>
    <w:p w14:paraId="61EBF7E9" w14:textId="77777777" w:rsidR="001F058B" w:rsidRPr="001F058B" w:rsidRDefault="00A37EB1" w:rsidP="001F058B">
      <w:pPr>
        <w:pStyle w:val="Heading3"/>
        <w:spacing w:after="240"/>
      </w:pPr>
      <w:bookmarkStart w:id="72" w:name="_Toc437723360"/>
      <w:bookmarkStart w:id="73" w:name="_Toc437724153"/>
      <w:bookmarkStart w:id="74" w:name="_Toc437850685"/>
      <w:bookmarkStart w:id="75" w:name="_Toc437850854"/>
      <w:bookmarkStart w:id="76" w:name="_Toc437851779"/>
      <w:bookmarkStart w:id="77" w:name="_Toc437852591"/>
      <w:bookmarkStart w:id="78" w:name="_Toc445270042"/>
      <w:bookmarkStart w:id="79" w:name="_Toc445299962"/>
      <w:bookmarkStart w:id="80" w:name="_Toc448777825"/>
      <w:r>
        <w:lastRenderedPageBreak/>
        <w:t>Partnership</w:t>
      </w:r>
      <w:r w:rsidRPr="001F058B">
        <w:t xml:space="preserve"> </w:t>
      </w:r>
      <w:r w:rsidR="001F058B" w:rsidRPr="001F058B">
        <w:t>Director</w:t>
      </w:r>
      <w:bookmarkEnd w:id="72"/>
      <w:bookmarkEnd w:id="73"/>
      <w:bookmarkEnd w:id="74"/>
      <w:bookmarkEnd w:id="75"/>
      <w:bookmarkEnd w:id="76"/>
      <w:bookmarkEnd w:id="77"/>
      <w:bookmarkEnd w:id="78"/>
      <w:bookmarkEnd w:id="79"/>
      <w:bookmarkEnd w:id="80"/>
    </w:p>
    <w:p w14:paraId="349295D0" w14:textId="77777777" w:rsidR="001F058B" w:rsidRPr="001F058B" w:rsidRDefault="001F058B" w:rsidP="001F058B">
      <w:pPr>
        <w:spacing w:after="240"/>
        <w:rPr>
          <w:b/>
        </w:rPr>
      </w:pPr>
      <w:r w:rsidRPr="001F058B">
        <w:rPr>
          <w:b/>
        </w:rPr>
        <w:t>Summary</w:t>
      </w:r>
    </w:p>
    <w:p w14:paraId="768A232D" w14:textId="77777777" w:rsidR="001F058B" w:rsidRPr="001F058B" w:rsidRDefault="001F058B" w:rsidP="001F058B">
      <w:pPr>
        <w:spacing w:after="240"/>
      </w:pPr>
      <w:r w:rsidRPr="001F058B">
        <w:t xml:space="preserve">The </w:t>
      </w:r>
      <w:r w:rsidR="00A37EB1">
        <w:t>Partnership</w:t>
      </w:r>
      <w:r w:rsidR="00A37EB1" w:rsidRPr="001F058B">
        <w:t xml:space="preserve"> </w:t>
      </w:r>
      <w:r w:rsidRPr="001F058B">
        <w:t xml:space="preserve">Director will lead the Support Unit and oversee all of its functions, and will manage the </w:t>
      </w:r>
      <w:r w:rsidR="00D73754">
        <w:t xml:space="preserve">contractual arrangements and the </w:t>
      </w:r>
      <w:r w:rsidRPr="001F058B">
        <w:t xml:space="preserve">activation processes for humanitarian responses under the </w:t>
      </w:r>
      <w:r w:rsidR="0022318C">
        <w:t>partnership</w:t>
      </w:r>
      <w:r w:rsidRPr="001F058B">
        <w:t>.</w:t>
      </w:r>
    </w:p>
    <w:p w14:paraId="2C7474A7" w14:textId="77777777" w:rsidR="001F058B" w:rsidRPr="001F058B" w:rsidRDefault="001F058B" w:rsidP="001F058B">
      <w:pPr>
        <w:spacing w:after="240"/>
        <w:rPr>
          <w:b/>
        </w:rPr>
      </w:pPr>
      <w:r w:rsidRPr="001F058B">
        <w:rPr>
          <w:b/>
        </w:rPr>
        <w:t>Duties and responsibilities</w:t>
      </w:r>
    </w:p>
    <w:p w14:paraId="0AABF586" w14:textId="77777777" w:rsidR="001F058B" w:rsidRPr="001F058B" w:rsidRDefault="001F058B" w:rsidP="001F058B">
      <w:pPr>
        <w:spacing w:after="240"/>
      </w:pPr>
      <w:r w:rsidRPr="001F058B">
        <w:t xml:space="preserve">The </w:t>
      </w:r>
      <w:r w:rsidR="0022318C">
        <w:t>Partnership</w:t>
      </w:r>
      <w:r w:rsidR="0022318C" w:rsidRPr="001F058B">
        <w:t xml:space="preserve"> </w:t>
      </w:r>
      <w:r w:rsidRPr="001F058B">
        <w:t>Director's leadership responsibilities include:</w:t>
      </w:r>
    </w:p>
    <w:p w14:paraId="01F6DAC5"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 xml:space="preserve">Being the central point of contact for the operation of the </w:t>
      </w:r>
      <w:r w:rsidR="0022318C">
        <w:rPr>
          <w:sz w:val="24"/>
          <w:szCs w:val="24"/>
        </w:rPr>
        <w:t>partnership</w:t>
      </w:r>
      <w:r w:rsidRPr="001F058B">
        <w:rPr>
          <w:sz w:val="24"/>
          <w:szCs w:val="24"/>
        </w:rPr>
        <w:t>, including facilitating collaboration and negotiation among partners</w:t>
      </w:r>
    </w:p>
    <w:p w14:paraId="763356CF" w14:textId="77777777" w:rsidR="0022318C" w:rsidRPr="00737D62" w:rsidRDefault="0022318C" w:rsidP="0022318C">
      <w:pPr>
        <w:pStyle w:val="ListParagraph"/>
        <w:numPr>
          <w:ilvl w:val="0"/>
          <w:numId w:val="17"/>
        </w:numPr>
        <w:spacing w:after="240" w:line="240" w:lineRule="auto"/>
        <w:rPr>
          <w:spacing w:val="-4"/>
          <w:sz w:val="24"/>
          <w:szCs w:val="24"/>
        </w:rPr>
      </w:pPr>
      <w:r w:rsidRPr="00737D62">
        <w:rPr>
          <w:spacing w:val="-4"/>
          <w:sz w:val="24"/>
          <w:szCs w:val="24"/>
        </w:rPr>
        <w:t>Maximising the public visibility of activities undertaken through the partnership</w:t>
      </w:r>
    </w:p>
    <w:p w14:paraId="2A963997"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Managing the other two staff positions</w:t>
      </w:r>
    </w:p>
    <w:p w14:paraId="2975AE44" w14:textId="66ED03E9" w:rsidR="007B343C" w:rsidRDefault="004875B0" w:rsidP="001F058B">
      <w:pPr>
        <w:pStyle w:val="ListParagraph"/>
        <w:numPr>
          <w:ilvl w:val="0"/>
          <w:numId w:val="17"/>
        </w:numPr>
        <w:spacing w:after="240" w:line="240" w:lineRule="auto"/>
        <w:rPr>
          <w:sz w:val="24"/>
          <w:szCs w:val="24"/>
        </w:rPr>
      </w:pPr>
      <w:r>
        <w:rPr>
          <w:sz w:val="24"/>
          <w:szCs w:val="24"/>
        </w:rPr>
        <w:t>Overseeing management of</w:t>
      </w:r>
      <w:r w:rsidR="007B343C">
        <w:rPr>
          <w:sz w:val="24"/>
          <w:szCs w:val="24"/>
        </w:rPr>
        <w:t xml:space="preserve"> the contracts with funded NGOs</w:t>
      </w:r>
    </w:p>
    <w:p w14:paraId="602C201C"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Managing the panel of contracted external experts</w:t>
      </w:r>
    </w:p>
    <w:p w14:paraId="17D8AC3D"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Overseeing development and maintenance of the coordinated capability map</w:t>
      </w:r>
    </w:p>
    <w:p w14:paraId="6E54605F" w14:textId="77777777" w:rsidR="001F058B" w:rsidRDefault="001F058B" w:rsidP="001F058B">
      <w:pPr>
        <w:pStyle w:val="ListParagraph"/>
        <w:numPr>
          <w:ilvl w:val="0"/>
          <w:numId w:val="17"/>
        </w:numPr>
        <w:spacing w:after="240" w:line="240" w:lineRule="auto"/>
        <w:rPr>
          <w:sz w:val="24"/>
          <w:szCs w:val="24"/>
        </w:rPr>
      </w:pPr>
      <w:r w:rsidRPr="001F058B">
        <w:rPr>
          <w:sz w:val="24"/>
          <w:szCs w:val="24"/>
        </w:rPr>
        <w:t>Supporting design and implementation of activities focused on building local humanitarian capability in the Pacific and promoting humanitarian innovation</w:t>
      </w:r>
    </w:p>
    <w:p w14:paraId="36020FE7"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Other duties, as required</w:t>
      </w:r>
    </w:p>
    <w:p w14:paraId="0828E045" w14:textId="77777777" w:rsidR="001F058B" w:rsidRPr="001F058B" w:rsidRDefault="001F058B" w:rsidP="001F058B">
      <w:pPr>
        <w:spacing w:after="240"/>
      </w:pPr>
      <w:r w:rsidRPr="001F058B">
        <w:t>Managing activation processes</w:t>
      </w:r>
      <w:r w:rsidR="00D73754">
        <w:t xml:space="preserve"> (including the contractual arrangements)</w:t>
      </w:r>
      <w:r w:rsidRPr="001F058B">
        <w:t xml:space="preserve"> for humanitarian responses will involve the following primary responsibilities:</w:t>
      </w:r>
    </w:p>
    <w:p w14:paraId="23307842" w14:textId="04973EED" w:rsidR="00D73754" w:rsidRPr="00737D62" w:rsidRDefault="00D73754" w:rsidP="00D73754">
      <w:pPr>
        <w:pStyle w:val="ListParagraph"/>
        <w:numPr>
          <w:ilvl w:val="0"/>
          <w:numId w:val="17"/>
        </w:numPr>
        <w:spacing w:after="240"/>
        <w:rPr>
          <w:sz w:val="24"/>
          <w:szCs w:val="24"/>
        </w:rPr>
      </w:pPr>
      <w:r w:rsidRPr="00737D62">
        <w:rPr>
          <w:sz w:val="24"/>
          <w:szCs w:val="24"/>
        </w:rPr>
        <w:t xml:space="preserve">Entering into contractual agreements with DFAT and with the NGOs selected </w:t>
      </w:r>
      <w:r w:rsidR="007B4050">
        <w:rPr>
          <w:sz w:val="24"/>
          <w:szCs w:val="24"/>
        </w:rPr>
        <w:t>for</w:t>
      </w:r>
      <w:r w:rsidRPr="00737D62">
        <w:rPr>
          <w:sz w:val="24"/>
          <w:szCs w:val="24"/>
        </w:rPr>
        <w:t xml:space="preserve"> funding</w:t>
      </w:r>
      <w:r w:rsidR="007B4050">
        <w:rPr>
          <w:sz w:val="24"/>
          <w:szCs w:val="24"/>
        </w:rPr>
        <w:t xml:space="preserve"> in each activation</w:t>
      </w:r>
    </w:p>
    <w:p w14:paraId="15823081"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Convening Response Committees and Technical Assessment Panels</w:t>
      </w:r>
    </w:p>
    <w:p w14:paraId="3E8B8501"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Participating in Response Committee and Technical Assessment Panel deliberations</w:t>
      </w:r>
    </w:p>
    <w:p w14:paraId="097A3D6D"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Drafting Consolidated Proposals</w:t>
      </w:r>
    </w:p>
    <w:p w14:paraId="31932BB5"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Being the central point of contact for communication between and among DFAT and HRG members</w:t>
      </w:r>
    </w:p>
    <w:p w14:paraId="76007F90"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Participating in lesson learning exercises to improve processes</w:t>
      </w:r>
    </w:p>
    <w:p w14:paraId="0C2ABC17"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Other duties, as required</w:t>
      </w:r>
    </w:p>
    <w:p w14:paraId="5E7E6CBC" w14:textId="77777777" w:rsidR="001F058B" w:rsidRPr="001F058B" w:rsidRDefault="001F058B" w:rsidP="001F058B">
      <w:pPr>
        <w:spacing w:after="240"/>
        <w:rPr>
          <w:b/>
        </w:rPr>
      </w:pPr>
      <w:r w:rsidRPr="001F058B">
        <w:rPr>
          <w:b/>
        </w:rPr>
        <w:t>Relationships</w:t>
      </w:r>
    </w:p>
    <w:p w14:paraId="331E52D9" w14:textId="0DEFD76D" w:rsidR="001F058B" w:rsidRPr="001F058B" w:rsidRDefault="001F058B" w:rsidP="001F058B">
      <w:pPr>
        <w:spacing w:after="240"/>
      </w:pPr>
      <w:r w:rsidRPr="001F058B">
        <w:t xml:space="preserve">The </w:t>
      </w:r>
      <w:r w:rsidR="0022318C">
        <w:t xml:space="preserve">Partnership </w:t>
      </w:r>
      <w:r w:rsidRPr="001F058B">
        <w:t>Director will report to the Co-chairs of the HRG</w:t>
      </w:r>
      <w:r w:rsidR="00D73754">
        <w:t xml:space="preserve"> (or to an agreed alternative)</w:t>
      </w:r>
      <w:r w:rsidRPr="001F058B">
        <w:t xml:space="preserve">, with day-to-day line management and human resources issues managed by the </w:t>
      </w:r>
      <w:r w:rsidR="00D73754">
        <w:t xml:space="preserve">CEO (or agreed alternative) of the host </w:t>
      </w:r>
      <w:r w:rsidR="00F1336C">
        <w:t xml:space="preserve">organisation. </w:t>
      </w:r>
      <w:r w:rsidRPr="001F058B">
        <w:t xml:space="preserve">The </w:t>
      </w:r>
      <w:r w:rsidR="0022318C">
        <w:t xml:space="preserve">Partnership </w:t>
      </w:r>
      <w:r w:rsidRPr="001F058B">
        <w:t>Director will manage the two other staff positions and the panel of contracted external expertise.</w:t>
      </w:r>
    </w:p>
    <w:p w14:paraId="65DD8EF8" w14:textId="73395E60" w:rsidR="001F058B" w:rsidRPr="001F058B" w:rsidRDefault="001F058B" w:rsidP="001F058B">
      <w:pPr>
        <w:spacing w:after="240"/>
      </w:pPr>
      <w:r w:rsidRPr="001F058B">
        <w:t>Priority relationships will include the DFAT Humanitarian Director and their team, and the humanitarian directors of each member NGO.</w:t>
      </w:r>
      <w:r w:rsidR="006E436A">
        <w:t xml:space="preserve"> </w:t>
      </w:r>
      <w:r w:rsidRPr="001F058B">
        <w:t>This position will not have contact with children in the course of his/her normal duties.</w:t>
      </w:r>
    </w:p>
    <w:p w14:paraId="6C9FFD8E" w14:textId="77777777" w:rsidR="001F058B" w:rsidRPr="001F058B" w:rsidRDefault="001F058B" w:rsidP="001F058B">
      <w:pPr>
        <w:pStyle w:val="Heading3"/>
        <w:spacing w:after="240"/>
      </w:pPr>
      <w:bookmarkStart w:id="81" w:name="_Toc437723361"/>
      <w:bookmarkStart w:id="82" w:name="_Toc437724154"/>
      <w:bookmarkStart w:id="83" w:name="_Toc437850686"/>
      <w:bookmarkStart w:id="84" w:name="_Toc437850855"/>
      <w:bookmarkStart w:id="85" w:name="_Toc437851780"/>
      <w:bookmarkStart w:id="86" w:name="_Toc437852592"/>
      <w:bookmarkStart w:id="87" w:name="_Toc445270043"/>
      <w:bookmarkStart w:id="88" w:name="_Toc445299963"/>
      <w:bookmarkStart w:id="89" w:name="_Toc448777826"/>
      <w:r w:rsidRPr="001F058B">
        <w:lastRenderedPageBreak/>
        <w:t>MEL Officer</w:t>
      </w:r>
      <w:bookmarkEnd w:id="81"/>
      <w:bookmarkEnd w:id="82"/>
      <w:bookmarkEnd w:id="83"/>
      <w:bookmarkEnd w:id="84"/>
      <w:bookmarkEnd w:id="85"/>
      <w:bookmarkEnd w:id="86"/>
      <w:bookmarkEnd w:id="87"/>
      <w:bookmarkEnd w:id="88"/>
      <w:bookmarkEnd w:id="89"/>
    </w:p>
    <w:p w14:paraId="50CF2BB1" w14:textId="77777777" w:rsidR="001F058B" w:rsidRPr="001F058B" w:rsidRDefault="001F058B" w:rsidP="001F058B">
      <w:pPr>
        <w:spacing w:after="240"/>
        <w:rPr>
          <w:b/>
        </w:rPr>
      </w:pPr>
      <w:r w:rsidRPr="001F058B">
        <w:rPr>
          <w:b/>
        </w:rPr>
        <w:t>Summary</w:t>
      </w:r>
    </w:p>
    <w:p w14:paraId="36CC0FED" w14:textId="77777777" w:rsidR="001F058B" w:rsidRPr="001F058B" w:rsidRDefault="001F058B" w:rsidP="001F058B">
      <w:pPr>
        <w:spacing w:after="240"/>
      </w:pPr>
      <w:r w:rsidRPr="001F058B">
        <w:t xml:space="preserve">The Monitoring, Evaluation and Learning (MEL) Officer will lead the Support Unit's work to coordinate information-sharing; activity monitoring and reporting; and lesson-learning among </w:t>
      </w:r>
      <w:r w:rsidR="0022318C">
        <w:t>partnership</w:t>
      </w:r>
      <w:r w:rsidR="0022318C" w:rsidRPr="001F058B">
        <w:t xml:space="preserve"> </w:t>
      </w:r>
      <w:r w:rsidRPr="001F058B">
        <w:t>members.</w:t>
      </w:r>
    </w:p>
    <w:p w14:paraId="4D8BBCC8" w14:textId="77777777" w:rsidR="001F058B" w:rsidRPr="001F058B" w:rsidRDefault="001F058B" w:rsidP="001F058B">
      <w:pPr>
        <w:spacing w:after="240"/>
        <w:rPr>
          <w:b/>
        </w:rPr>
      </w:pPr>
      <w:r w:rsidRPr="001F058B">
        <w:rPr>
          <w:b/>
        </w:rPr>
        <w:t>Duties and responsibilities</w:t>
      </w:r>
    </w:p>
    <w:p w14:paraId="04D61BA7" w14:textId="77777777" w:rsidR="001F058B" w:rsidRPr="001F058B" w:rsidRDefault="001F058B" w:rsidP="001F058B">
      <w:pPr>
        <w:spacing w:after="240"/>
      </w:pPr>
      <w:r w:rsidRPr="001F058B">
        <w:t>The MEL Officer's primary responsibilities will include:</w:t>
      </w:r>
    </w:p>
    <w:p w14:paraId="24EF84BA" w14:textId="77777777" w:rsidR="00D73754" w:rsidRDefault="00D73754" w:rsidP="002B3D9C">
      <w:pPr>
        <w:pStyle w:val="ListParagraph"/>
        <w:numPr>
          <w:ilvl w:val="0"/>
          <w:numId w:val="17"/>
        </w:numPr>
        <w:spacing w:after="240" w:line="240" w:lineRule="auto"/>
        <w:rPr>
          <w:sz w:val="24"/>
          <w:szCs w:val="24"/>
        </w:rPr>
      </w:pPr>
      <w:r>
        <w:rPr>
          <w:sz w:val="24"/>
          <w:szCs w:val="24"/>
        </w:rPr>
        <w:t>Work</w:t>
      </w:r>
      <w:r w:rsidR="00B346DC">
        <w:rPr>
          <w:sz w:val="24"/>
          <w:szCs w:val="24"/>
        </w:rPr>
        <w:t>ing</w:t>
      </w:r>
      <w:r>
        <w:rPr>
          <w:sz w:val="24"/>
          <w:szCs w:val="24"/>
        </w:rPr>
        <w:t xml:space="preserve"> with </w:t>
      </w:r>
      <w:r w:rsidR="00B346DC">
        <w:rPr>
          <w:sz w:val="24"/>
          <w:szCs w:val="24"/>
        </w:rPr>
        <w:t>HRG members and DFAT</w:t>
      </w:r>
      <w:r>
        <w:rPr>
          <w:sz w:val="24"/>
          <w:szCs w:val="24"/>
        </w:rPr>
        <w:t xml:space="preserve"> to revisit the draft MEL framework in this design and </w:t>
      </w:r>
      <w:r w:rsidR="00B346DC">
        <w:rPr>
          <w:sz w:val="24"/>
          <w:szCs w:val="24"/>
        </w:rPr>
        <w:t xml:space="preserve">refine and revise it as necessary </w:t>
      </w:r>
    </w:p>
    <w:p w14:paraId="13C389BF" w14:textId="77777777" w:rsidR="002B3D9C" w:rsidRDefault="002B3D9C" w:rsidP="002B3D9C">
      <w:pPr>
        <w:pStyle w:val="ListParagraph"/>
        <w:numPr>
          <w:ilvl w:val="0"/>
          <w:numId w:val="17"/>
        </w:numPr>
        <w:spacing w:after="240" w:line="240" w:lineRule="auto"/>
        <w:rPr>
          <w:sz w:val="24"/>
          <w:szCs w:val="24"/>
        </w:rPr>
      </w:pPr>
      <w:r>
        <w:rPr>
          <w:sz w:val="24"/>
          <w:szCs w:val="24"/>
        </w:rPr>
        <w:t>Oversight and responsibility for implementing the elements of the MEL framework outlined in this document.</w:t>
      </w:r>
    </w:p>
    <w:p w14:paraId="4F882460"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 xml:space="preserve">Coordinating the process of developing a joint capability map for ANGOs in the </w:t>
      </w:r>
      <w:r w:rsidR="009633B1">
        <w:rPr>
          <w:sz w:val="24"/>
          <w:szCs w:val="24"/>
        </w:rPr>
        <w:t>Australian Humanitarian Partnership</w:t>
      </w:r>
      <w:r w:rsidRPr="001F058B">
        <w:rPr>
          <w:sz w:val="24"/>
          <w:szCs w:val="24"/>
        </w:rPr>
        <w:t xml:space="preserve">, and ensuring that the capability map is kept up-to-date over the life of the </w:t>
      </w:r>
      <w:r w:rsidR="009633B1">
        <w:rPr>
          <w:sz w:val="24"/>
          <w:szCs w:val="24"/>
        </w:rPr>
        <w:t>partnership</w:t>
      </w:r>
    </w:p>
    <w:p w14:paraId="34E8555C"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Streamlining and improving reporting templates to ensure they are optimally useful for their intended purpose, building on work undertaken under the HPA mechanism</w:t>
      </w:r>
    </w:p>
    <w:p w14:paraId="501F8622"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Aggregating ANGO reporting into joint reports that meet DFAT's requirements, and which can be used to inform future decision-making</w:t>
      </w:r>
    </w:p>
    <w:p w14:paraId="6469ACC7"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 xml:space="preserve">Convening lesson learning exercises and ensuring that appropriate documentation is shared among all members of the </w:t>
      </w:r>
      <w:r w:rsidR="009633B1">
        <w:rPr>
          <w:sz w:val="24"/>
          <w:szCs w:val="24"/>
        </w:rPr>
        <w:t>partnership</w:t>
      </w:r>
      <w:r w:rsidRPr="001F058B">
        <w:rPr>
          <w:sz w:val="24"/>
          <w:szCs w:val="24"/>
        </w:rPr>
        <w:t>, including for the purpose of informing future decision-making</w:t>
      </w:r>
    </w:p>
    <w:p w14:paraId="7FCBFDF9"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Coordinating and managing joint response and activity evaluations</w:t>
      </w:r>
    </w:p>
    <w:p w14:paraId="4FDB469F" w14:textId="77777777" w:rsidR="001F058B" w:rsidRPr="001F058B" w:rsidRDefault="002B3D9C" w:rsidP="001F058B">
      <w:pPr>
        <w:pStyle w:val="ListParagraph"/>
        <w:numPr>
          <w:ilvl w:val="0"/>
          <w:numId w:val="17"/>
        </w:numPr>
        <w:spacing w:after="240" w:line="240" w:lineRule="auto"/>
        <w:rPr>
          <w:sz w:val="24"/>
          <w:szCs w:val="24"/>
        </w:rPr>
      </w:pPr>
      <w:r>
        <w:rPr>
          <w:sz w:val="24"/>
          <w:szCs w:val="24"/>
        </w:rPr>
        <w:t>Commissioning</w:t>
      </w:r>
      <w:r w:rsidR="001F058B" w:rsidRPr="001F058B">
        <w:rPr>
          <w:sz w:val="24"/>
          <w:szCs w:val="24"/>
        </w:rPr>
        <w:t xml:space="preserve"> meta and strategic reviews to deepen analysis and assessments of key aspects of the partnership</w:t>
      </w:r>
    </w:p>
    <w:p w14:paraId="2A3123B2"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Supporting appropriate sharing of information to in-country and Australian stakeholders</w:t>
      </w:r>
    </w:p>
    <w:p w14:paraId="3A3326A7"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 xml:space="preserve">General administrative duties to facilitate the operation of the </w:t>
      </w:r>
      <w:r w:rsidR="009633B1">
        <w:rPr>
          <w:sz w:val="24"/>
          <w:szCs w:val="24"/>
        </w:rPr>
        <w:t>partnership</w:t>
      </w:r>
      <w:r w:rsidRPr="001F058B">
        <w:rPr>
          <w:sz w:val="24"/>
          <w:szCs w:val="24"/>
        </w:rPr>
        <w:t xml:space="preserve">, at the direction of the </w:t>
      </w:r>
      <w:r w:rsidR="009633B1">
        <w:rPr>
          <w:sz w:val="24"/>
          <w:szCs w:val="24"/>
        </w:rPr>
        <w:t>Partnership</w:t>
      </w:r>
      <w:r w:rsidR="009633B1" w:rsidRPr="001F058B">
        <w:rPr>
          <w:sz w:val="24"/>
          <w:szCs w:val="24"/>
        </w:rPr>
        <w:t xml:space="preserve"> </w:t>
      </w:r>
      <w:r w:rsidRPr="001F058B">
        <w:rPr>
          <w:sz w:val="24"/>
          <w:szCs w:val="24"/>
        </w:rPr>
        <w:t>Director.</w:t>
      </w:r>
    </w:p>
    <w:p w14:paraId="575E96FA" w14:textId="77777777" w:rsidR="001F058B" w:rsidRPr="001F058B" w:rsidRDefault="001F058B" w:rsidP="001F058B">
      <w:pPr>
        <w:spacing w:after="240"/>
        <w:rPr>
          <w:b/>
        </w:rPr>
      </w:pPr>
      <w:r w:rsidRPr="001F058B">
        <w:rPr>
          <w:b/>
        </w:rPr>
        <w:t>Relationships</w:t>
      </w:r>
    </w:p>
    <w:p w14:paraId="62D2EB81" w14:textId="77777777" w:rsidR="001F058B" w:rsidRPr="001F058B" w:rsidRDefault="001F058B" w:rsidP="001F058B">
      <w:pPr>
        <w:spacing w:after="240"/>
      </w:pPr>
      <w:r w:rsidRPr="001F058B">
        <w:t xml:space="preserve">The MEL Officer will report to the </w:t>
      </w:r>
      <w:r w:rsidR="009633B1">
        <w:t>Partnership</w:t>
      </w:r>
      <w:r w:rsidR="009633B1" w:rsidRPr="001F058B">
        <w:t xml:space="preserve"> </w:t>
      </w:r>
      <w:r w:rsidRPr="001F058B">
        <w:t>Director.</w:t>
      </w:r>
    </w:p>
    <w:p w14:paraId="50A1A946" w14:textId="77777777" w:rsidR="001F058B" w:rsidRPr="001F058B" w:rsidRDefault="001F058B" w:rsidP="001F058B">
      <w:pPr>
        <w:spacing w:after="240"/>
      </w:pPr>
      <w:r w:rsidRPr="001F058B">
        <w:t xml:space="preserve">Priority relationships will include DFAT's humanitarian response </w:t>
      </w:r>
      <w:r w:rsidR="00680655">
        <w:t xml:space="preserve">and partnership </w:t>
      </w:r>
      <w:r w:rsidRPr="001F058B">
        <w:t xml:space="preserve">team, DFAT's humanitarian performance and quality team, </w:t>
      </w:r>
      <w:r w:rsidR="00A31A49">
        <w:t xml:space="preserve">NZMFAT's humanitarian performance and quality team, </w:t>
      </w:r>
      <w:r w:rsidRPr="001F058B">
        <w:t xml:space="preserve">and the humanitarian directors and M&amp;E officers of each </w:t>
      </w:r>
      <w:r w:rsidR="009633B1">
        <w:t>HRG</w:t>
      </w:r>
      <w:r w:rsidR="009633B1" w:rsidRPr="001F058B">
        <w:t xml:space="preserve"> </w:t>
      </w:r>
      <w:r w:rsidRPr="001F058B">
        <w:t>member NGO.</w:t>
      </w:r>
    </w:p>
    <w:p w14:paraId="64E7D478" w14:textId="77777777" w:rsidR="001F058B" w:rsidRPr="001F058B" w:rsidRDefault="001F058B" w:rsidP="001F058B">
      <w:pPr>
        <w:spacing w:after="240"/>
      </w:pPr>
      <w:r w:rsidRPr="001F058B">
        <w:t>On rare occasions, this position may have limited contact with children during participation in monitoring and evaluation visits.</w:t>
      </w:r>
    </w:p>
    <w:p w14:paraId="2CCEEAF8" w14:textId="77777777" w:rsidR="001F058B" w:rsidRPr="001F058B" w:rsidRDefault="001F058B" w:rsidP="001F058B">
      <w:pPr>
        <w:spacing w:after="240"/>
      </w:pPr>
    </w:p>
    <w:p w14:paraId="1918EABD" w14:textId="77777777" w:rsidR="001F058B" w:rsidRPr="001F058B" w:rsidRDefault="001F058B" w:rsidP="001F058B">
      <w:pPr>
        <w:spacing w:after="240"/>
        <w:rPr>
          <w:rFonts w:eastAsiaTheme="majorEastAsia" w:cstheme="majorBidi"/>
          <w:color w:val="365F91" w:themeColor="accent1" w:themeShade="BF"/>
        </w:rPr>
      </w:pPr>
    </w:p>
    <w:p w14:paraId="6BF20270" w14:textId="77777777" w:rsidR="001F058B" w:rsidRPr="001F058B" w:rsidRDefault="001F058B" w:rsidP="001F058B">
      <w:pPr>
        <w:pStyle w:val="Heading3"/>
        <w:spacing w:after="240"/>
      </w:pPr>
      <w:bookmarkStart w:id="90" w:name="_Toc448777827"/>
      <w:bookmarkStart w:id="91" w:name="_Toc437723362"/>
      <w:bookmarkStart w:id="92" w:name="_Toc437724155"/>
      <w:bookmarkStart w:id="93" w:name="_Toc437850687"/>
      <w:bookmarkStart w:id="94" w:name="_Toc437850856"/>
      <w:bookmarkStart w:id="95" w:name="_Toc437851781"/>
      <w:bookmarkStart w:id="96" w:name="_Toc437852593"/>
      <w:bookmarkStart w:id="97" w:name="_Toc445270044"/>
      <w:bookmarkStart w:id="98" w:name="_Toc445299964"/>
      <w:r w:rsidRPr="001F058B">
        <w:t>Communications</w:t>
      </w:r>
      <w:r w:rsidR="00A0002A">
        <w:t xml:space="preserve"> and Support</w:t>
      </w:r>
      <w:r w:rsidRPr="001F058B">
        <w:t xml:space="preserve"> Officer</w:t>
      </w:r>
      <w:bookmarkEnd w:id="90"/>
      <w:r w:rsidRPr="001F058B">
        <w:t xml:space="preserve"> </w:t>
      </w:r>
      <w:bookmarkEnd w:id="91"/>
      <w:bookmarkEnd w:id="92"/>
      <w:bookmarkEnd w:id="93"/>
      <w:bookmarkEnd w:id="94"/>
      <w:bookmarkEnd w:id="95"/>
      <w:bookmarkEnd w:id="96"/>
      <w:bookmarkEnd w:id="97"/>
      <w:bookmarkEnd w:id="98"/>
    </w:p>
    <w:p w14:paraId="3E548237" w14:textId="77777777" w:rsidR="001F058B" w:rsidRPr="001F058B" w:rsidRDefault="001F058B" w:rsidP="001F058B">
      <w:pPr>
        <w:spacing w:after="240"/>
        <w:rPr>
          <w:b/>
        </w:rPr>
      </w:pPr>
      <w:r w:rsidRPr="001F058B">
        <w:rPr>
          <w:b/>
        </w:rPr>
        <w:t>Summary</w:t>
      </w:r>
    </w:p>
    <w:p w14:paraId="4B1457D0" w14:textId="7790482B" w:rsidR="001F058B" w:rsidRPr="001F058B" w:rsidRDefault="001F058B" w:rsidP="001F058B">
      <w:pPr>
        <w:spacing w:after="240"/>
      </w:pPr>
      <w:r w:rsidRPr="001F058B">
        <w:t>The Communications</w:t>
      </w:r>
      <w:r w:rsidR="00A0002A">
        <w:t xml:space="preserve"> and Support</w:t>
      </w:r>
      <w:r w:rsidRPr="001F058B">
        <w:t xml:space="preserve"> Officer will lead the Support Unit's work to maximize the visibility of Australian humanitarian action</w:t>
      </w:r>
      <w:r w:rsidR="00A0002A">
        <w:t xml:space="preserve">, as well as providing general administrative support </w:t>
      </w:r>
      <w:r w:rsidR="00D23566">
        <w:t xml:space="preserve">(such as contract drafting) </w:t>
      </w:r>
      <w:r w:rsidR="00A0002A">
        <w:t>to ensure the smooth operation of the Support Unit and the partnership as a whole</w:t>
      </w:r>
      <w:r w:rsidRPr="001F058B">
        <w:t xml:space="preserve">. The Communications </w:t>
      </w:r>
      <w:r w:rsidR="00594C59">
        <w:t xml:space="preserve">and Support </w:t>
      </w:r>
      <w:r w:rsidRPr="001F058B">
        <w:t xml:space="preserve">Officer will work with DFAT and HRG member NGOs to improve the Australian public’s awareness of Australia’s collective response to humanitarian crises in a manner that is timely, accurate and engaging. </w:t>
      </w:r>
    </w:p>
    <w:p w14:paraId="6679AC9D" w14:textId="77777777" w:rsidR="001F058B" w:rsidRPr="001F058B" w:rsidRDefault="001F058B" w:rsidP="001F058B">
      <w:pPr>
        <w:spacing w:after="240"/>
        <w:rPr>
          <w:b/>
        </w:rPr>
      </w:pPr>
      <w:r w:rsidRPr="001F058B">
        <w:rPr>
          <w:b/>
        </w:rPr>
        <w:t>Duties and responsibilities</w:t>
      </w:r>
    </w:p>
    <w:p w14:paraId="64DFEC02" w14:textId="77777777" w:rsidR="001F058B" w:rsidRPr="001F058B" w:rsidRDefault="001F058B" w:rsidP="001F058B">
      <w:pPr>
        <w:spacing w:after="240"/>
      </w:pPr>
      <w:r w:rsidRPr="001F058B">
        <w:t xml:space="preserve">The Communications </w:t>
      </w:r>
      <w:r w:rsidR="00A0002A">
        <w:t xml:space="preserve">and Support </w:t>
      </w:r>
      <w:r w:rsidRPr="001F058B">
        <w:t>Officer's primary responsibilities will include:</w:t>
      </w:r>
    </w:p>
    <w:p w14:paraId="7D6DF4EB" w14:textId="77777777" w:rsidR="00A0002A" w:rsidRDefault="00A0002A" w:rsidP="001F058B">
      <w:pPr>
        <w:pStyle w:val="ListParagraph"/>
        <w:numPr>
          <w:ilvl w:val="0"/>
          <w:numId w:val="17"/>
        </w:numPr>
        <w:spacing w:after="240" w:line="240" w:lineRule="auto"/>
        <w:rPr>
          <w:sz w:val="24"/>
          <w:szCs w:val="24"/>
        </w:rPr>
      </w:pPr>
      <w:r>
        <w:rPr>
          <w:sz w:val="24"/>
          <w:szCs w:val="24"/>
        </w:rPr>
        <w:t>General administration to ensure the smooth operation of the Support Unit and the partnership as a whole</w:t>
      </w:r>
    </w:p>
    <w:p w14:paraId="67781C4D" w14:textId="5E575FCD" w:rsidR="00D23566" w:rsidRDefault="00D23566" w:rsidP="001F058B">
      <w:pPr>
        <w:pStyle w:val="ListParagraph"/>
        <w:numPr>
          <w:ilvl w:val="0"/>
          <w:numId w:val="17"/>
        </w:numPr>
        <w:spacing w:after="240" w:line="240" w:lineRule="auto"/>
        <w:rPr>
          <w:sz w:val="24"/>
          <w:szCs w:val="24"/>
        </w:rPr>
      </w:pPr>
      <w:r>
        <w:rPr>
          <w:sz w:val="24"/>
          <w:szCs w:val="24"/>
        </w:rPr>
        <w:t>Development of contract templates, and timely preparation of contracts for activations of the response mechanism</w:t>
      </w:r>
    </w:p>
    <w:p w14:paraId="53701DFA" w14:textId="0F185E22" w:rsidR="003B1860" w:rsidRDefault="003B1860" w:rsidP="001F058B">
      <w:pPr>
        <w:pStyle w:val="ListParagraph"/>
        <w:numPr>
          <w:ilvl w:val="0"/>
          <w:numId w:val="17"/>
        </w:numPr>
        <w:spacing w:after="240" w:line="240" w:lineRule="auto"/>
        <w:rPr>
          <w:sz w:val="24"/>
          <w:szCs w:val="24"/>
        </w:rPr>
      </w:pPr>
      <w:r>
        <w:rPr>
          <w:sz w:val="24"/>
          <w:szCs w:val="24"/>
        </w:rPr>
        <w:t>Managing contracts for results</w:t>
      </w:r>
    </w:p>
    <w:p w14:paraId="7E59E6A9"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Gathering information from ANGOs as activities are put together and implemented</w:t>
      </w:r>
    </w:p>
    <w:p w14:paraId="59F2D502"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Providing comprehensive media materials to encourage informed reporting</w:t>
      </w:r>
    </w:p>
    <w:p w14:paraId="53E2920E"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Working with members' media teams to ensure the collective story is included in media releases, talking points etc.</w:t>
      </w:r>
    </w:p>
    <w:p w14:paraId="360A053E"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Creating content to share among partners, including producing text and graphics, sourcing photos from the field, and writing articles for blogs, among others)</w:t>
      </w:r>
    </w:p>
    <w:p w14:paraId="3977F36A"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Preparing written, photo and graphic content for social media distribution</w:t>
      </w:r>
    </w:p>
    <w:p w14:paraId="49C205D2" w14:textId="77777777" w:rsidR="001F058B" w:rsidRPr="001F058B" w:rsidRDefault="001F058B" w:rsidP="001F058B">
      <w:pPr>
        <w:pStyle w:val="ListParagraph"/>
        <w:numPr>
          <w:ilvl w:val="0"/>
          <w:numId w:val="17"/>
        </w:numPr>
        <w:spacing w:after="240" w:line="240" w:lineRule="auto"/>
        <w:rPr>
          <w:sz w:val="24"/>
          <w:szCs w:val="24"/>
        </w:rPr>
      </w:pPr>
      <w:r w:rsidRPr="001F058B">
        <w:rPr>
          <w:sz w:val="24"/>
          <w:szCs w:val="24"/>
        </w:rPr>
        <w:t xml:space="preserve">Leveraging the media and communication channels of all partners.   </w:t>
      </w:r>
    </w:p>
    <w:p w14:paraId="33661ABD" w14:textId="77777777" w:rsidR="001F058B" w:rsidRPr="001F058B" w:rsidRDefault="001F058B" w:rsidP="001F058B">
      <w:pPr>
        <w:spacing w:after="240"/>
        <w:rPr>
          <w:b/>
        </w:rPr>
      </w:pPr>
      <w:r w:rsidRPr="001F058B">
        <w:rPr>
          <w:b/>
        </w:rPr>
        <w:t>Relationships</w:t>
      </w:r>
    </w:p>
    <w:p w14:paraId="6F1C8924" w14:textId="77777777" w:rsidR="001F058B" w:rsidRPr="001F058B" w:rsidRDefault="001F058B" w:rsidP="001F058B">
      <w:pPr>
        <w:spacing w:after="240"/>
      </w:pPr>
      <w:r w:rsidRPr="001F058B">
        <w:t xml:space="preserve">The Communications </w:t>
      </w:r>
      <w:r w:rsidR="000969CD">
        <w:t xml:space="preserve">and Support </w:t>
      </w:r>
      <w:r w:rsidRPr="001F058B">
        <w:t xml:space="preserve">Officer will report to the </w:t>
      </w:r>
      <w:r w:rsidR="0022318C">
        <w:t>Partnership</w:t>
      </w:r>
      <w:r w:rsidR="0022318C" w:rsidRPr="001F058B">
        <w:t xml:space="preserve"> </w:t>
      </w:r>
      <w:r w:rsidRPr="001F058B">
        <w:t>Director.</w:t>
      </w:r>
    </w:p>
    <w:p w14:paraId="34C62B08" w14:textId="77777777" w:rsidR="001F058B" w:rsidRPr="001F058B" w:rsidRDefault="001F058B" w:rsidP="001F058B">
      <w:pPr>
        <w:spacing w:after="240"/>
      </w:pPr>
      <w:r w:rsidRPr="001F058B">
        <w:t>Priority relationships will include DFAT’s communications officer (within the Humanitarian Division), ANGOs' media teams, and media outlets.</w:t>
      </w:r>
    </w:p>
    <w:p w14:paraId="316D9C9C" w14:textId="77777777" w:rsidR="001F058B" w:rsidRPr="001F058B" w:rsidRDefault="001F058B" w:rsidP="001F058B">
      <w:pPr>
        <w:spacing w:after="240"/>
      </w:pPr>
      <w:r w:rsidRPr="001F058B">
        <w:t>This position will not have contact with children in the course of his/her normal duties.</w:t>
      </w:r>
    </w:p>
    <w:p w14:paraId="551DEA2E" w14:textId="77777777" w:rsidR="001F058B" w:rsidRPr="001F058B" w:rsidRDefault="001F058B" w:rsidP="001F058B">
      <w:pPr>
        <w:spacing w:after="240"/>
      </w:pPr>
    </w:p>
    <w:p w14:paraId="77ADDAEC" w14:textId="77777777" w:rsidR="001F058B" w:rsidRPr="001F058B" w:rsidRDefault="001F058B" w:rsidP="001F058B">
      <w:pPr>
        <w:spacing w:after="240"/>
        <w:rPr>
          <w:rFonts w:eastAsiaTheme="majorEastAsia" w:cstheme="majorBidi"/>
          <w:color w:val="365F91" w:themeColor="accent1" w:themeShade="BF"/>
        </w:rPr>
      </w:pPr>
      <w:r w:rsidRPr="001F058B">
        <w:br w:type="page"/>
      </w:r>
    </w:p>
    <w:p w14:paraId="63B4855F" w14:textId="77777777" w:rsidR="001F058B" w:rsidRPr="001F058B" w:rsidRDefault="001F058B" w:rsidP="001F058B">
      <w:pPr>
        <w:pStyle w:val="Heading3"/>
        <w:spacing w:after="240"/>
      </w:pPr>
      <w:bookmarkStart w:id="99" w:name="_Toc437723363"/>
      <w:bookmarkStart w:id="100" w:name="_Toc437724156"/>
      <w:bookmarkStart w:id="101" w:name="_Toc437850688"/>
      <w:bookmarkStart w:id="102" w:name="_Toc437850857"/>
      <w:bookmarkStart w:id="103" w:name="_Toc437851782"/>
      <w:bookmarkStart w:id="104" w:name="_Toc437852594"/>
      <w:bookmarkStart w:id="105" w:name="_Toc445270045"/>
      <w:bookmarkStart w:id="106" w:name="_Toc445299965"/>
      <w:bookmarkStart w:id="107" w:name="_Toc448777828"/>
      <w:r w:rsidRPr="001F058B">
        <w:lastRenderedPageBreak/>
        <w:t>External support staff</w:t>
      </w:r>
      <w:bookmarkEnd w:id="99"/>
      <w:bookmarkEnd w:id="100"/>
      <w:bookmarkEnd w:id="101"/>
      <w:bookmarkEnd w:id="102"/>
      <w:bookmarkEnd w:id="103"/>
      <w:bookmarkEnd w:id="104"/>
      <w:bookmarkEnd w:id="105"/>
      <w:bookmarkEnd w:id="106"/>
      <w:bookmarkEnd w:id="107"/>
    </w:p>
    <w:p w14:paraId="1F6D6E3F" w14:textId="77777777" w:rsidR="001F058B" w:rsidRPr="001F058B" w:rsidRDefault="001F058B" w:rsidP="001F058B">
      <w:pPr>
        <w:spacing w:after="240"/>
      </w:pPr>
      <w:r w:rsidRPr="001F058B">
        <w:t xml:space="preserve">A small pool of expert technical advisors will be available to the Support Unit through a contracted 'help desk' panel arrangement. </w:t>
      </w:r>
    </w:p>
    <w:p w14:paraId="442B2D78" w14:textId="77777777" w:rsidR="001F058B" w:rsidRPr="001F058B" w:rsidRDefault="001F058B" w:rsidP="001F058B">
      <w:pPr>
        <w:spacing w:after="240"/>
      </w:pPr>
      <w:r w:rsidRPr="001F058B">
        <w:t xml:space="preserve">The advisors will primarily be used to provide an independent, expert voice on the Response Committees and Technical Assessment Panels for humanitarian response activities. They may also be used to facilitate lesson learning exercises, and to verify the accuracy of capability maps, along with other tasks as required. </w:t>
      </w:r>
    </w:p>
    <w:p w14:paraId="477C327B" w14:textId="77777777" w:rsidR="001F058B" w:rsidRPr="001F058B" w:rsidRDefault="001F058B" w:rsidP="001F058B">
      <w:pPr>
        <w:spacing w:after="240"/>
      </w:pPr>
      <w:r w:rsidRPr="001F058B">
        <w:t xml:space="preserve">Technical advisors with strategic communications and content creation expertise will also be available to the Support Unit. </w:t>
      </w:r>
    </w:p>
    <w:p w14:paraId="02A96304" w14:textId="77777777" w:rsidR="001F058B" w:rsidRPr="001F058B" w:rsidRDefault="001F058B" w:rsidP="001F058B">
      <w:pPr>
        <w:spacing w:after="240"/>
      </w:pPr>
      <w:r w:rsidRPr="001F058B">
        <w:t xml:space="preserve">The pool of expert technical advisors will be funded by DFAT, and managed by the </w:t>
      </w:r>
      <w:r w:rsidR="000969CD">
        <w:t>Partnership</w:t>
      </w:r>
      <w:r w:rsidR="000969CD" w:rsidRPr="001F058B">
        <w:t xml:space="preserve"> </w:t>
      </w:r>
      <w:r w:rsidRPr="001F058B">
        <w:t>Director.</w:t>
      </w:r>
    </w:p>
    <w:p w14:paraId="37484B1F" w14:textId="77777777" w:rsidR="001F058B" w:rsidRPr="001F058B" w:rsidRDefault="001F058B" w:rsidP="001F058B">
      <w:pPr>
        <w:spacing w:after="240"/>
      </w:pPr>
      <w:r w:rsidRPr="001F058B">
        <w:t>On rare occasions, if experts are engaged to participate in monitoring and evaluations visits, they may have limited contact with children during those visits.</w:t>
      </w:r>
    </w:p>
    <w:p w14:paraId="6B76C6B8" w14:textId="77777777" w:rsidR="001F058B" w:rsidRPr="001F058B" w:rsidRDefault="001F058B" w:rsidP="001F058B">
      <w:pPr>
        <w:spacing w:after="240"/>
      </w:pPr>
    </w:p>
    <w:p w14:paraId="46B2653F" w14:textId="77777777" w:rsidR="008A5347" w:rsidRDefault="008A5347">
      <w:pPr>
        <w:rPr>
          <w:b/>
        </w:rPr>
      </w:pPr>
      <w:r>
        <w:rPr>
          <w:b/>
        </w:rPr>
        <w:br w:type="page"/>
      </w:r>
    </w:p>
    <w:p w14:paraId="44E30B03" w14:textId="77777777" w:rsidR="00CC502F" w:rsidRDefault="00CC502F" w:rsidP="008A5347">
      <w:pPr>
        <w:pBdr>
          <w:bottom w:val="single" w:sz="4" w:space="10" w:color="CF5D27"/>
        </w:pBdr>
        <w:spacing w:before="360" w:after="280"/>
        <w:outlineLvl w:val="1"/>
        <w:rPr>
          <w:rFonts w:ascii="Calibri" w:eastAsiaTheme="majorEastAsia" w:hAnsi="Calibri" w:cstheme="majorBidi"/>
          <w:b/>
          <w:bCs/>
          <w:color w:val="757575"/>
          <w:sz w:val="50"/>
          <w:szCs w:val="26"/>
        </w:rPr>
        <w:sectPr w:rsidR="00CC502F" w:rsidSect="00CC502F">
          <w:pgSz w:w="11900" w:h="16840"/>
          <w:pgMar w:top="1440" w:right="1800" w:bottom="1440" w:left="1800" w:header="708" w:footer="708" w:gutter="0"/>
          <w:cols w:space="708"/>
          <w:docGrid w:linePitch="360"/>
        </w:sectPr>
      </w:pPr>
    </w:p>
    <w:p w14:paraId="552A45DC" w14:textId="77777777" w:rsidR="008A5347" w:rsidRPr="00310A12" w:rsidRDefault="008A5347" w:rsidP="008A5347">
      <w:pPr>
        <w:pBdr>
          <w:bottom w:val="single" w:sz="4" w:space="10" w:color="CF5D27"/>
        </w:pBdr>
        <w:spacing w:before="360" w:after="280"/>
        <w:outlineLvl w:val="1"/>
        <w:rPr>
          <w:rFonts w:ascii="Calibri" w:eastAsiaTheme="majorEastAsia" w:hAnsi="Calibri" w:cstheme="majorBidi"/>
          <w:b/>
          <w:bCs/>
          <w:color w:val="757575"/>
          <w:sz w:val="50"/>
          <w:szCs w:val="26"/>
        </w:rPr>
      </w:pPr>
      <w:bookmarkStart w:id="108" w:name="_Toc448777829"/>
      <w:r>
        <w:rPr>
          <w:rFonts w:ascii="Calibri" w:eastAsiaTheme="majorEastAsia" w:hAnsi="Calibri" w:cstheme="majorBidi"/>
          <w:b/>
          <w:bCs/>
          <w:color w:val="757575"/>
          <w:sz w:val="50"/>
          <w:szCs w:val="26"/>
        </w:rPr>
        <w:lastRenderedPageBreak/>
        <w:t xml:space="preserve">Annex </w:t>
      </w:r>
      <w:r w:rsidR="003116D9">
        <w:rPr>
          <w:rFonts w:ascii="Calibri" w:eastAsiaTheme="majorEastAsia" w:hAnsi="Calibri" w:cstheme="majorBidi"/>
          <w:b/>
          <w:bCs/>
          <w:color w:val="757575"/>
          <w:sz w:val="50"/>
          <w:szCs w:val="26"/>
        </w:rPr>
        <w:t>7</w:t>
      </w:r>
      <w:r>
        <w:rPr>
          <w:rFonts w:ascii="Calibri" w:eastAsiaTheme="majorEastAsia" w:hAnsi="Calibri" w:cstheme="majorBidi"/>
          <w:b/>
          <w:bCs/>
          <w:color w:val="757575"/>
          <w:sz w:val="50"/>
          <w:szCs w:val="26"/>
        </w:rPr>
        <w:t>: Design - Terms of Reference</w:t>
      </w:r>
      <w:bookmarkEnd w:id="108"/>
      <w:r>
        <w:rPr>
          <w:rFonts w:ascii="Calibri" w:eastAsiaTheme="majorEastAsia" w:hAnsi="Calibri" w:cstheme="majorBidi"/>
          <w:b/>
          <w:bCs/>
          <w:color w:val="757575"/>
          <w:sz w:val="50"/>
          <w:szCs w:val="26"/>
        </w:rPr>
        <w:t xml:space="preserve"> </w:t>
      </w:r>
    </w:p>
    <w:p w14:paraId="51C6E59B" w14:textId="77777777" w:rsidR="00726758" w:rsidRPr="00726758" w:rsidRDefault="00726758" w:rsidP="00726758">
      <w:pPr>
        <w:pStyle w:val="ListParagraph"/>
        <w:keepNext/>
        <w:numPr>
          <w:ilvl w:val="0"/>
          <w:numId w:val="31"/>
        </w:numPr>
        <w:spacing w:before="120" w:after="120" w:line="240" w:lineRule="auto"/>
        <w:ind w:left="357" w:hanging="357"/>
        <w:rPr>
          <w:rFonts w:cstheme="minorHAnsi"/>
          <w:b/>
        </w:rPr>
      </w:pPr>
      <w:r w:rsidRPr="00726758">
        <w:rPr>
          <w:rFonts w:cstheme="minorHAnsi"/>
          <w:b/>
        </w:rPr>
        <w:t>Background</w:t>
      </w:r>
    </w:p>
    <w:p w14:paraId="56635F99"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The existing Humanitarian Partnership Agreement (HPA) was established in 2011 as a partnership between six pre-selected NGOs (CARE Australia, Caritas Australia, Oxfam Australia, Plan International Australia, Save the Children Australia and World Vision Australia) and the Australian Government. The vision of the HPA is:</w:t>
      </w:r>
    </w:p>
    <w:p w14:paraId="3D5746D3" w14:textId="77777777" w:rsidR="00726758" w:rsidRPr="00726758" w:rsidRDefault="00726758" w:rsidP="00726758">
      <w:pPr>
        <w:pStyle w:val="AfterFirstPara"/>
        <w:numPr>
          <w:ilvl w:val="0"/>
          <w:numId w:val="0"/>
        </w:numPr>
        <w:jc w:val="both"/>
        <w:rPr>
          <w:rFonts w:asciiTheme="majorHAnsi" w:hAnsiTheme="majorHAnsi" w:cstheme="minorHAnsi"/>
          <w:i/>
          <w:lang w:val="en-AU"/>
        </w:rPr>
      </w:pPr>
      <w:r w:rsidRPr="00726758">
        <w:rPr>
          <w:rFonts w:asciiTheme="majorHAnsi" w:hAnsiTheme="majorHAnsi" w:cstheme="minorHAnsi"/>
          <w:i/>
          <w:lang w:val="en-AU"/>
        </w:rPr>
        <w:t xml:space="preserve">That DFAT (then AusAID) humanitarian partners will deliver better outcomes for people affected by disasters around the world by enhancing inter-agency collaboration, upholding the highest standards of accountability and ensuring rapid release of funds during crises. </w:t>
      </w:r>
    </w:p>
    <w:p w14:paraId="5844E91D"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 xml:space="preserve">In relation to emergencies, partners agreed </w:t>
      </w:r>
      <w:r w:rsidRPr="00726758">
        <w:rPr>
          <w:rFonts w:asciiTheme="majorHAnsi" w:hAnsiTheme="majorHAnsi" w:cstheme="minorHAnsi"/>
        </w:rPr>
        <w:t>a 72-hour turn-around from activation to approval of funding</w:t>
      </w:r>
      <w:r w:rsidRPr="00726758">
        <w:rPr>
          <w:rFonts w:asciiTheme="majorHAnsi" w:hAnsiTheme="majorHAnsi" w:cstheme="minorHAnsi"/>
          <w:lang w:val="en-AU"/>
        </w:rPr>
        <w:t xml:space="preserve"> to enable a rapid</w:t>
      </w:r>
      <w:r w:rsidRPr="00726758">
        <w:rPr>
          <w:rFonts w:asciiTheme="majorHAnsi" w:hAnsiTheme="majorHAnsi" w:cstheme="minorHAnsi"/>
        </w:rPr>
        <w:t xml:space="preserve"> response. </w:t>
      </w:r>
      <w:r w:rsidRPr="00726758">
        <w:rPr>
          <w:rFonts w:asciiTheme="majorHAnsi" w:hAnsiTheme="majorHAnsi" w:cstheme="minorHAnsi"/>
          <w:lang w:val="en-AU"/>
        </w:rPr>
        <w:t xml:space="preserve"> This has enabled timely mobilisation of life-saving assistance. To complement this, the HPA also provides a mechanism for collaboration on programmed Disaster Risk Reduction (DRR) and Disaster Risk Management (DRM) capacity building initiatives. As a partnership the HPA was also developed with a view to improve strategic dialogue on policy issues of mutual interest between DFAT (then AusAID) and NGOs.</w:t>
      </w:r>
    </w:p>
    <w:p w14:paraId="66AFDCEB"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Through the HPA the six NGO partners have received a total of AU$411.5 million in emergency funding (via 12 activations).  This is in addition to AU$13.5 million in DRR and DRM funding.</w:t>
      </w:r>
      <w:r w:rsidRPr="00726758">
        <w:rPr>
          <w:rStyle w:val="FootnoteReference"/>
          <w:rFonts w:asciiTheme="majorHAnsi" w:hAnsiTheme="majorHAnsi" w:cstheme="minorHAnsi"/>
          <w:lang w:val="en-AU"/>
        </w:rPr>
        <w:footnoteReference w:id="64"/>
      </w:r>
      <w:r w:rsidRPr="00726758">
        <w:rPr>
          <w:rFonts w:asciiTheme="majorHAnsi" w:hAnsiTheme="majorHAnsi" w:cstheme="minorHAnsi"/>
          <w:lang w:val="en-AU"/>
        </w:rPr>
        <w:t xml:space="preserve">  The current HPA mechanism has been extended and is now set to expire on 30 June 2016.</w:t>
      </w:r>
    </w:p>
    <w:p w14:paraId="03BB05FB"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Humanitarian response is an important responsibility of DFAT as part of the Australian aid program.  It is reflected in the Government’s aid policy under the i</w:t>
      </w:r>
      <w:r w:rsidRPr="00726758">
        <w:rPr>
          <w:rFonts w:asciiTheme="majorHAnsi" w:hAnsiTheme="majorHAnsi" w:cstheme="minorHAnsi"/>
          <w:bCs/>
          <w:lang w:val="en-AU"/>
        </w:rPr>
        <w:t>nvestment priority ‘Building Resilience: Humanitarian Assistance, Disaster Risk Reduction and Social Protection’.</w:t>
      </w:r>
      <w:r w:rsidRPr="00726758">
        <w:rPr>
          <w:rFonts w:asciiTheme="majorHAnsi" w:hAnsiTheme="majorHAnsi" w:cstheme="minorHAnsi"/>
          <w:lang w:val="en-AU"/>
        </w:rPr>
        <w:t xml:space="preserve">  The HPA is an important part of the Government’s humanitarian response options and has provided timely and streamlined funding for humanitarian emergencies.  The NGOs under HPA have added value to Australian humanitarian responses, through effective and well-targeted emergency assistance.  </w:t>
      </w:r>
    </w:p>
    <w:p w14:paraId="38E12329"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 xml:space="preserve">A review of the HPA is currently underway and due to be completed on 6 July 2015 with both DFAT and ACFID management responses due on 6 August 2015.  </w:t>
      </w:r>
    </w:p>
    <w:p w14:paraId="300E9F7B" w14:textId="77777777" w:rsidR="00726758" w:rsidRPr="00726758" w:rsidRDefault="00726758" w:rsidP="00726758">
      <w:pPr>
        <w:pStyle w:val="AfterFirstPara"/>
        <w:numPr>
          <w:ilvl w:val="0"/>
          <w:numId w:val="31"/>
        </w:numPr>
        <w:jc w:val="both"/>
        <w:rPr>
          <w:rFonts w:asciiTheme="majorHAnsi" w:hAnsiTheme="majorHAnsi" w:cstheme="minorHAnsi"/>
          <w:b/>
        </w:rPr>
      </w:pPr>
      <w:r w:rsidRPr="00726758">
        <w:rPr>
          <w:rFonts w:asciiTheme="majorHAnsi" w:hAnsiTheme="majorHAnsi" w:cstheme="minorHAnsi"/>
          <w:b/>
        </w:rPr>
        <w:t>Overview</w:t>
      </w:r>
    </w:p>
    <w:p w14:paraId="3C090561" w14:textId="77777777" w:rsidR="00726758" w:rsidRPr="00726758" w:rsidRDefault="00726758" w:rsidP="00726758">
      <w:pPr>
        <w:pStyle w:val="AfterFirstPara"/>
        <w:numPr>
          <w:ilvl w:val="0"/>
          <w:numId w:val="33"/>
        </w:numPr>
        <w:jc w:val="both"/>
        <w:rPr>
          <w:rFonts w:asciiTheme="majorHAnsi" w:hAnsiTheme="majorHAnsi" w:cstheme="minorHAnsi"/>
        </w:rPr>
      </w:pPr>
      <w:r w:rsidRPr="00726758">
        <w:rPr>
          <w:rFonts w:asciiTheme="majorHAnsi" w:hAnsiTheme="majorHAnsi" w:cstheme="minorHAnsi"/>
        </w:rPr>
        <w:t>Design of a mechanism to enable the delivery of effective, efficient and accountable support to crisis affected people, that contributes to more resilient communities.</w:t>
      </w:r>
    </w:p>
    <w:p w14:paraId="41202FF5" w14:textId="77777777" w:rsidR="00726758" w:rsidRPr="00726758" w:rsidRDefault="00726758" w:rsidP="00726758">
      <w:pPr>
        <w:pStyle w:val="AfterFirstPara"/>
        <w:numPr>
          <w:ilvl w:val="0"/>
          <w:numId w:val="0"/>
        </w:numPr>
        <w:ind w:left="720"/>
        <w:jc w:val="both"/>
        <w:rPr>
          <w:rFonts w:asciiTheme="majorHAnsi" w:hAnsiTheme="majorHAnsi" w:cstheme="minorHAnsi"/>
        </w:rPr>
      </w:pPr>
      <w:r w:rsidRPr="00726758">
        <w:rPr>
          <w:rFonts w:asciiTheme="majorHAnsi" w:hAnsiTheme="majorHAnsi" w:cstheme="minorHAnsi"/>
        </w:rPr>
        <w:lastRenderedPageBreak/>
        <w:t xml:space="preserve">The design will be informed by the review and associated ACFID Humanitarian Reference Group (HRG) and DFAT responses to the review, consultation with stakeholders, experience of other donors and DFAT policies. An indicative process is outlined which will be refined once the review has been completed. </w:t>
      </w:r>
    </w:p>
    <w:p w14:paraId="0ADC9C0E" w14:textId="77777777" w:rsidR="00726758" w:rsidRPr="00726758" w:rsidRDefault="00726758" w:rsidP="00726758">
      <w:pPr>
        <w:pStyle w:val="ListParagraph"/>
        <w:keepNext/>
        <w:numPr>
          <w:ilvl w:val="0"/>
          <w:numId w:val="31"/>
        </w:numPr>
        <w:spacing w:before="120" w:after="120" w:line="240" w:lineRule="auto"/>
        <w:ind w:left="357" w:hanging="357"/>
        <w:rPr>
          <w:rFonts w:cstheme="minorHAnsi"/>
          <w:b/>
          <w:i/>
        </w:rPr>
      </w:pPr>
      <w:r w:rsidRPr="00726758">
        <w:rPr>
          <w:rFonts w:cstheme="minorHAnsi"/>
          <w:b/>
        </w:rPr>
        <w:t>Coordination and Direction</w:t>
      </w:r>
    </w:p>
    <w:p w14:paraId="4C5B7497"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 xml:space="preserve">The DFAT HPA Manager will be responsible for the direction and supervision of the Design Team. </w:t>
      </w:r>
    </w:p>
    <w:p w14:paraId="6B94A4D6"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 xml:space="preserve">The HRG representative will support DFAT in organising meetings with stakeholders during the consultation phases for the design. </w:t>
      </w:r>
    </w:p>
    <w:p w14:paraId="408499BB"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 xml:space="preserve">The Investment Concept and Design Document will inform a tender process and to ensure no conflict of interest ACFID HRG representative/members will not be provided copies of these documents in advance of their release to the market.  </w:t>
      </w:r>
    </w:p>
    <w:p w14:paraId="3A0A7BAB" w14:textId="77777777" w:rsidR="00726758" w:rsidRPr="00726758" w:rsidRDefault="00726758" w:rsidP="00726758">
      <w:pPr>
        <w:pStyle w:val="ListParagraph"/>
        <w:keepNext/>
        <w:numPr>
          <w:ilvl w:val="0"/>
          <w:numId w:val="31"/>
        </w:numPr>
        <w:spacing w:before="120" w:after="120" w:line="240" w:lineRule="auto"/>
        <w:ind w:left="357" w:hanging="357"/>
        <w:rPr>
          <w:rFonts w:cstheme="minorHAnsi"/>
          <w:b/>
        </w:rPr>
      </w:pPr>
      <w:r w:rsidRPr="00726758">
        <w:rPr>
          <w:rFonts w:cstheme="minorHAnsi"/>
          <w:b/>
        </w:rPr>
        <w:t>Scope and Methodology</w:t>
      </w:r>
    </w:p>
    <w:p w14:paraId="3F3715B4" w14:textId="77777777" w:rsidR="00726758" w:rsidRPr="00726758" w:rsidRDefault="00726758" w:rsidP="00726758">
      <w:pPr>
        <w:pStyle w:val="AfterFirstPara"/>
        <w:numPr>
          <w:ilvl w:val="0"/>
          <w:numId w:val="0"/>
        </w:numPr>
        <w:jc w:val="both"/>
        <w:rPr>
          <w:rFonts w:asciiTheme="majorHAnsi" w:hAnsiTheme="majorHAnsi" w:cstheme="minorHAnsi"/>
          <w:i/>
          <w:lang w:val="en-AU"/>
        </w:rPr>
      </w:pPr>
      <w:r w:rsidRPr="00726758">
        <w:rPr>
          <w:rFonts w:asciiTheme="majorHAnsi" w:hAnsiTheme="majorHAnsi" w:cstheme="minorHAnsi"/>
          <w:i/>
          <w:lang w:val="en-AU"/>
        </w:rPr>
        <w:t>Note: The process below is indicative, and may be subject to change based on the outcomes of the review process.</w:t>
      </w:r>
    </w:p>
    <w:p w14:paraId="3F487847"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 xml:space="preserve">Guided by the key questions (Annex 1), review recommendations, and DFAT and ACFID HRG responses to the review, the Design Team will produce a </w:t>
      </w:r>
      <w:r w:rsidRPr="00726758">
        <w:rPr>
          <w:rFonts w:asciiTheme="majorHAnsi" w:hAnsiTheme="majorHAnsi" w:cstheme="minorHAnsi"/>
          <w:b/>
          <w:lang w:val="en-AU"/>
        </w:rPr>
        <w:t>Design Approach Report</w:t>
      </w:r>
      <w:r w:rsidRPr="00726758">
        <w:rPr>
          <w:rFonts w:asciiTheme="majorHAnsi" w:hAnsiTheme="majorHAnsi" w:cstheme="minorHAnsi"/>
          <w:lang w:val="en-AU"/>
        </w:rPr>
        <w:t xml:space="preserve"> which will detail methodology to obtain additional information and inform further consultations with stakeholders, as required.</w:t>
      </w:r>
    </w:p>
    <w:p w14:paraId="5A3B061F"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On DFAT approval of the Design Approach Report, the Design Team will conduct desk review of further papers and consultations to inform an Investment Concept detailing the broad approach of the new mechanism</w:t>
      </w:r>
    </w:p>
    <w:p w14:paraId="2566B44C"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The Investment Concept will:</w:t>
      </w:r>
    </w:p>
    <w:p w14:paraId="701F83B3"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consider the need for and rationale for the new mechanism (investment);</w:t>
      </w:r>
    </w:p>
    <w:p w14:paraId="040C5DCC"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propose outcomes and the program logic underpinning these outcomes;</w:t>
      </w:r>
    </w:p>
    <w:p w14:paraId="697700A5"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propose the aid type, partner type, and recommended approach for implementation;</w:t>
      </w:r>
    </w:p>
    <w:p w14:paraId="1560BA39"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propose the investment type (for example, a commercial contract, grant agreement or arrangement with another government agency);</w:t>
      </w:r>
    </w:p>
    <w:p w14:paraId="3AD4CEFC"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propose a monitoring and evaluation framework;</w:t>
      </w:r>
    </w:p>
    <w:p w14:paraId="11156ED2"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consider alternative options for delivering the intended humanitarian outcomes;</w:t>
      </w:r>
    </w:p>
    <w:p w14:paraId="7E491686"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justify the recommended investment as the most effective, efficient, sustainable and accountable way to achieve intended outcomes and</w:t>
      </w:r>
    </w:p>
    <w:p w14:paraId="54F20146"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 xml:space="preserve">prepare a risk and value assessment and address safeguard issues.  </w:t>
      </w:r>
    </w:p>
    <w:p w14:paraId="6327B82A"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lastRenderedPageBreak/>
        <w:t>The Investment Concept will undergo a DFAT peer review process and the Design Team will incorporate changes as a result of this peer review.  Once finalised, the Investment Concept will be submitted for DFAT approval.</w:t>
      </w:r>
    </w:p>
    <w:p w14:paraId="05D10604"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After the Investment Concept is approved, the Design Team will produce an Investment Design, detailing the governance and management arrangements of the proposed response mechanism. A draft template for the Investment Design document will be provided by DFAT.  Among other things, the Investment Design document will include:</w:t>
      </w:r>
    </w:p>
    <w:p w14:paraId="3EE08A5D"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a detailed scope of service and payment structure which will include detail on roles and responsibilities of implementing partners and DFAT (governance arrangements) and administration arrangements, such as reporting requirements and meeting structures;</w:t>
      </w:r>
    </w:p>
    <w:p w14:paraId="4728F37E"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a full risk assessment using the DFAT aid risk register template and risk management strategy, including risks to children, the identification of all personnel positions to be working with or in contact with children, displacement and resettlement risks, and environmental protection requirements in accordance with Australian and national laws;</w:t>
      </w:r>
    </w:p>
    <w:p w14:paraId="0911FD39"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a monitoring and evaluation framework; and</w:t>
      </w:r>
    </w:p>
    <w:p w14:paraId="122C1C06"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how cross-cutting issues such as gender, protection, disability inclusiveness, anti-corruption, child protection, partnerships, innovation and private sector will be integrated.</w:t>
      </w:r>
    </w:p>
    <w:p w14:paraId="413BBB04" w14:textId="77777777" w:rsidR="00726758" w:rsidRPr="00726758" w:rsidRDefault="00726758" w:rsidP="00726758">
      <w:pPr>
        <w:pStyle w:val="ListParagraph"/>
        <w:keepNext/>
        <w:numPr>
          <w:ilvl w:val="0"/>
          <w:numId w:val="31"/>
        </w:numPr>
        <w:spacing w:before="120" w:after="120" w:line="240" w:lineRule="auto"/>
        <w:ind w:left="357" w:hanging="357"/>
        <w:rPr>
          <w:rFonts w:cstheme="minorHAnsi"/>
          <w:b/>
        </w:rPr>
      </w:pPr>
      <w:r w:rsidRPr="00726758">
        <w:rPr>
          <w:rFonts w:cstheme="minorHAnsi"/>
          <w:b/>
        </w:rPr>
        <w:t>Existing Reports</w:t>
      </w:r>
    </w:p>
    <w:p w14:paraId="2B826212"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The Design Team will review existing DFAT policies, HPA review and other documentation, including but not limited to:</w:t>
      </w:r>
    </w:p>
    <w:p w14:paraId="43F9094E" w14:textId="77777777" w:rsidR="00726758" w:rsidRPr="00726758" w:rsidRDefault="00726758" w:rsidP="00726758">
      <w:pPr>
        <w:pStyle w:val="AfterFirstPara"/>
        <w:numPr>
          <w:ilvl w:val="0"/>
          <w:numId w:val="35"/>
        </w:numPr>
        <w:tabs>
          <w:tab w:val="left" w:pos="720"/>
        </w:tabs>
        <w:jc w:val="both"/>
        <w:rPr>
          <w:rFonts w:asciiTheme="majorHAnsi" w:hAnsiTheme="majorHAnsi" w:cstheme="minorHAnsi"/>
        </w:rPr>
      </w:pPr>
      <w:r w:rsidRPr="00726758">
        <w:rPr>
          <w:rFonts w:asciiTheme="majorHAnsi" w:hAnsiTheme="majorHAnsi" w:cstheme="minorHAnsi"/>
        </w:rPr>
        <w:t>DFAT’s Humanitarian Action Policy*</w:t>
      </w:r>
    </w:p>
    <w:p w14:paraId="43E6DB17" w14:textId="77777777" w:rsidR="00726758" w:rsidRPr="00726758" w:rsidRDefault="00726758" w:rsidP="00726758">
      <w:pPr>
        <w:pStyle w:val="AfterFirstPara"/>
        <w:numPr>
          <w:ilvl w:val="0"/>
          <w:numId w:val="35"/>
        </w:numPr>
        <w:tabs>
          <w:tab w:val="left" w:pos="720"/>
        </w:tabs>
        <w:jc w:val="both"/>
        <w:rPr>
          <w:rFonts w:asciiTheme="majorHAnsi" w:hAnsiTheme="majorHAnsi" w:cstheme="minorHAnsi"/>
        </w:rPr>
      </w:pPr>
      <w:r w:rsidRPr="00726758">
        <w:rPr>
          <w:rFonts w:asciiTheme="majorHAnsi" w:hAnsiTheme="majorHAnsi" w:cstheme="minorHAnsi"/>
        </w:rPr>
        <w:t>DFAT’s Investing in a Safer Future: A Disaster Risk Reduction Policy for the Australian Aid Program*</w:t>
      </w:r>
    </w:p>
    <w:p w14:paraId="0A6FCE76" w14:textId="77777777" w:rsidR="00726758" w:rsidRPr="00726758" w:rsidRDefault="00726758" w:rsidP="00726758">
      <w:pPr>
        <w:pStyle w:val="AfterFirstPara"/>
        <w:numPr>
          <w:ilvl w:val="0"/>
          <w:numId w:val="35"/>
        </w:numPr>
        <w:tabs>
          <w:tab w:val="left" w:pos="720"/>
        </w:tabs>
        <w:jc w:val="both"/>
        <w:rPr>
          <w:rFonts w:asciiTheme="majorHAnsi" w:hAnsiTheme="majorHAnsi" w:cstheme="minorHAnsi"/>
        </w:rPr>
      </w:pPr>
      <w:r w:rsidRPr="00726758">
        <w:rPr>
          <w:rFonts w:asciiTheme="majorHAnsi" w:hAnsiTheme="majorHAnsi" w:cstheme="minorHAnsi"/>
        </w:rPr>
        <w:t>DFAT’s Protection in Humanitarian Action Framework</w:t>
      </w:r>
    </w:p>
    <w:p w14:paraId="7E5034D1" w14:textId="77777777" w:rsidR="00726758" w:rsidRPr="00726758" w:rsidRDefault="00726758" w:rsidP="00726758">
      <w:pPr>
        <w:pStyle w:val="AfterFirstPara"/>
        <w:numPr>
          <w:ilvl w:val="0"/>
          <w:numId w:val="35"/>
        </w:numPr>
        <w:tabs>
          <w:tab w:val="left" w:pos="720"/>
        </w:tabs>
        <w:jc w:val="both"/>
        <w:rPr>
          <w:rFonts w:asciiTheme="majorHAnsi" w:hAnsiTheme="majorHAnsi" w:cstheme="minorHAnsi"/>
        </w:rPr>
      </w:pPr>
      <w:r w:rsidRPr="00726758">
        <w:rPr>
          <w:rFonts w:asciiTheme="majorHAnsi" w:hAnsiTheme="majorHAnsi" w:cstheme="minorHAnsi"/>
        </w:rPr>
        <w:t>Relevant sector standards: ACFID Code of Conduct, Red Cross and NGO Code of Conduct for humanitarian action, the Sphere Standards</w:t>
      </w:r>
    </w:p>
    <w:p w14:paraId="66073FB8" w14:textId="77777777" w:rsidR="00726758" w:rsidRPr="00726758" w:rsidRDefault="00726758" w:rsidP="00726758">
      <w:pPr>
        <w:pStyle w:val="AfterFirstPara"/>
        <w:numPr>
          <w:ilvl w:val="0"/>
          <w:numId w:val="35"/>
        </w:numPr>
        <w:tabs>
          <w:tab w:val="left" w:pos="720"/>
        </w:tabs>
        <w:jc w:val="both"/>
        <w:rPr>
          <w:rFonts w:asciiTheme="majorHAnsi" w:hAnsiTheme="majorHAnsi" w:cstheme="minorHAnsi"/>
        </w:rPr>
      </w:pPr>
      <w:r w:rsidRPr="00726758">
        <w:rPr>
          <w:rFonts w:asciiTheme="majorHAnsi" w:hAnsiTheme="majorHAnsi" w:cstheme="minorHAnsi"/>
        </w:rPr>
        <w:t>Relevant documents and evaluations of following donors mechanisms, at a minimum:</w:t>
      </w:r>
    </w:p>
    <w:p w14:paraId="3F24512F" w14:textId="77777777" w:rsidR="00726758" w:rsidRPr="001C1EB2" w:rsidRDefault="00726758" w:rsidP="00726758">
      <w:pPr>
        <w:pStyle w:val="ListParagraph"/>
        <w:numPr>
          <w:ilvl w:val="0"/>
          <w:numId w:val="36"/>
        </w:numPr>
        <w:spacing w:after="0" w:line="240" w:lineRule="auto"/>
        <w:ind w:left="1080"/>
        <w:contextualSpacing w:val="0"/>
        <w:rPr>
          <w:rFonts w:cstheme="minorHAnsi"/>
          <w:sz w:val="24"/>
          <w:szCs w:val="24"/>
        </w:rPr>
      </w:pPr>
      <w:r w:rsidRPr="001C1EB2">
        <w:rPr>
          <w:rFonts w:cstheme="minorHAnsi"/>
          <w:sz w:val="24"/>
          <w:szCs w:val="24"/>
        </w:rPr>
        <w:t>Consortium of British Humanitarian Agencies (CBHA)</w:t>
      </w:r>
    </w:p>
    <w:p w14:paraId="6F4B3BA8" w14:textId="77777777" w:rsidR="00726758" w:rsidRPr="001C1EB2" w:rsidRDefault="00726758" w:rsidP="00726758">
      <w:pPr>
        <w:pStyle w:val="ListParagraph"/>
        <w:numPr>
          <w:ilvl w:val="0"/>
          <w:numId w:val="36"/>
        </w:numPr>
        <w:spacing w:after="0" w:line="240" w:lineRule="auto"/>
        <w:ind w:left="1080"/>
        <w:contextualSpacing w:val="0"/>
        <w:rPr>
          <w:rFonts w:cstheme="minorHAnsi"/>
          <w:sz w:val="24"/>
          <w:szCs w:val="24"/>
        </w:rPr>
      </w:pPr>
      <w:r w:rsidRPr="001C1EB2">
        <w:rPr>
          <w:rFonts w:cstheme="minorHAnsi"/>
          <w:sz w:val="24"/>
          <w:szCs w:val="24"/>
        </w:rPr>
        <w:t>DFID Rapid Response Fund</w:t>
      </w:r>
    </w:p>
    <w:p w14:paraId="343C9617" w14:textId="77777777" w:rsidR="00726758" w:rsidRPr="001C1EB2" w:rsidRDefault="00726758" w:rsidP="00726758">
      <w:pPr>
        <w:pStyle w:val="ListParagraph"/>
        <w:numPr>
          <w:ilvl w:val="0"/>
          <w:numId w:val="36"/>
        </w:numPr>
        <w:spacing w:after="0" w:line="240" w:lineRule="auto"/>
        <w:ind w:left="1080"/>
        <w:contextualSpacing w:val="0"/>
        <w:rPr>
          <w:rFonts w:cstheme="minorHAnsi"/>
          <w:sz w:val="24"/>
          <w:szCs w:val="24"/>
        </w:rPr>
      </w:pPr>
      <w:r w:rsidRPr="001C1EB2">
        <w:rPr>
          <w:rFonts w:cstheme="minorHAnsi"/>
          <w:sz w:val="24"/>
          <w:szCs w:val="24"/>
        </w:rPr>
        <w:t>ECHO Primary Emergency Decision mechanism</w:t>
      </w:r>
    </w:p>
    <w:p w14:paraId="1356C627" w14:textId="77777777" w:rsidR="00726758" w:rsidRPr="001C1EB2" w:rsidRDefault="00726758" w:rsidP="00726758">
      <w:pPr>
        <w:pStyle w:val="ListParagraph"/>
        <w:numPr>
          <w:ilvl w:val="0"/>
          <w:numId w:val="36"/>
        </w:numPr>
        <w:spacing w:after="0" w:line="240" w:lineRule="auto"/>
        <w:ind w:left="1080"/>
        <w:contextualSpacing w:val="0"/>
        <w:rPr>
          <w:rFonts w:cstheme="minorHAnsi"/>
          <w:sz w:val="24"/>
          <w:szCs w:val="24"/>
        </w:rPr>
      </w:pPr>
      <w:r w:rsidRPr="001C1EB2">
        <w:rPr>
          <w:rFonts w:cstheme="minorHAnsi"/>
          <w:sz w:val="24"/>
          <w:szCs w:val="24"/>
        </w:rPr>
        <w:t>UN Central Emergency Response Fund (CERF)</w:t>
      </w:r>
    </w:p>
    <w:p w14:paraId="02FC78D3" w14:textId="77777777" w:rsidR="00726758" w:rsidRPr="00726758" w:rsidRDefault="00726758" w:rsidP="00726758">
      <w:pPr>
        <w:pStyle w:val="AfterFirstPara"/>
        <w:numPr>
          <w:ilvl w:val="0"/>
          <w:numId w:val="35"/>
        </w:numPr>
        <w:tabs>
          <w:tab w:val="left" w:pos="720"/>
        </w:tabs>
        <w:jc w:val="both"/>
        <w:rPr>
          <w:rFonts w:asciiTheme="majorHAnsi" w:hAnsiTheme="majorHAnsi" w:cstheme="minorHAnsi"/>
        </w:rPr>
      </w:pPr>
      <w:r w:rsidRPr="00726758">
        <w:rPr>
          <w:rFonts w:asciiTheme="majorHAnsi" w:hAnsiTheme="majorHAnsi" w:cstheme="minorHAnsi"/>
        </w:rPr>
        <w:t>Good Humanitarian Donorship Principles</w:t>
      </w:r>
    </w:p>
    <w:p w14:paraId="2AB3E20A" w14:textId="77777777" w:rsidR="00726758" w:rsidRPr="00726758" w:rsidRDefault="00726758" w:rsidP="00726758">
      <w:pPr>
        <w:pStyle w:val="AfterFirstPara"/>
        <w:numPr>
          <w:ilvl w:val="0"/>
          <w:numId w:val="35"/>
        </w:numPr>
        <w:tabs>
          <w:tab w:val="left" w:pos="720"/>
        </w:tabs>
        <w:jc w:val="both"/>
        <w:rPr>
          <w:rFonts w:asciiTheme="majorHAnsi" w:hAnsiTheme="majorHAnsi" w:cstheme="minorHAnsi"/>
        </w:rPr>
      </w:pPr>
      <w:r w:rsidRPr="00726758">
        <w:rPr>
          <w:rFonts w:asciiTheme="majorHAnsi" w:hAnsiTheme="majorHAnsi" w:cstheme="minorHAnsi"/>
        </w:rPr>
        <w:t>IASC guidance, including the Gender Handbook in Humanitarian Action</w:t>
      </w:r>
    </w:p>
    <w:p w14:paraId="51F353A1" w14:textId="77777777" w:rsidR="00726758" w:rsidRPr="00726758" w:rsidRDefault="00726758" w:rsidP="00726758">
      <w:pPr>
        <w:pStyle w:val="AfterFirstPara"/>
        <w:numPr>
          <w:ilvl w:val="0"/>
          <w:numId w:val="35"/>
        </w:numPr>
        <w:tabs>
          <w:tab w:val="left" w:pos="720"/>
        </w:tabs>
        <w:jc w:val="both"/>
        <w:rPr>
          <w:rFonts w:asciiTheme="majorHAnsi" w:hAnsiTheme="majorHAnsi" w:cstheme="minorHAnsi"/>
        </w:rPr>
      </w:pPr>
      <w:r w:rsidRPr="00726758">
        <w:rPr>
          <w:rFonts w:asciiTheme="majorHAnsi" w:hAnsiTheme="majorHAnsi" w:cstheme="minorHAnsi"/>
        </w:rPr>
        <w:t>ACFID HRG Policy Paper – Humanitarian Action for Results (HAFR)</w:t>
      </w:r>
    </w:p>
    <w:p w14:paraId="7EDC2898" w14:textId="77777777" w:rsidR="00726758" w:rsidRPr="00726758" w:rsidRDefault="00726758" w:rsidP="00726758">
      <w:pPr>
        <w:pStyle w:val="AfterFirstPara"/>
        <w:numPr>
          <w:ilvl w:val="0"/>
          <w:numId w:val="35"/>
        </w:numPr>
        <w:tabs>
          <w:tab w:val="left" w:pos="720"/>
        </w:tabs>
        <w:jc w:val="both"/>
        <w:rPr>
          <w:rFonts w:asciiTheme="majorHAnsi" w:hAnsiTheme="majorHAnsi" w:cstheme="minorHAnsi"/>
        </w:rPr>
      </w:pPr>
      <w:r w:rsidRPr="00726758">
        <w:rPr>
          <w:rFonts w:asciiTheme="majorHAnsi" w:hAnsiTheme="majorHAnsi" w:cstheme="minorHAnsi"/>
        </w:rPr>
        <w:lastRenderedPageBreak/>
        <w:t>The Future of Non-Governmental Organisations in the Humanitarian Sector – Humanitarian Futures Programme Discussion Paper</w:t>
      </w:r>
    </w:p>
    <w:p w14:paraId="5F0E38A4" w14:textId="77777777" w:rsidR="00726758" w:rsidRPr="00726758" w:rsidRDefault="00726758" w:rsidP="00726758">
      <w:pPr>
        <w:pStyle w:val="AfterFirstPara"/>
        <w:numPr>
          <w:ilvl w:val="0"/>
          <w:numId w:val="35"/>
        </w:numPr>
        <w:tabs>
          <w:tab w:val="left" w:pos="720"/>
        </w:tabs>
        <w:jc w:val="both"/>
        <w:rPr>
          <w:rFonts w:asciiTheme="majorHAnsi" w:hAnsiTheme="majorHAnsi" w:cstheme="minorHAnsi"/>
        </w:rPr>
      </w:pPr>
      <w:r w:rsidRPr="00726758">
        <w:rPr>
          <w:rFonts w:asciiTheme="majorHAnsi" w:hAnsiTheme="majorHAnsi" w:cstheme="minorHAnsi"/>
        </w:rPr>
        <w:t>HPA Private Sector Engagement Discussion Paper</w:t>
      </w:r>
    </w:p>
    <w:p w14:paraId="3F9FDB4C"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 DFAT will have finalised a new Humanitarian Strategy by mid-2015, once a draft of the document has been approved by DFAT this will be shared with the Design Team.  Relevant DFAT staff involved in the strategy development process will be available to talk with the Design Team during the consultation phase of the design process.</w:t>
      </w:r>
    </w:p>
    <w:p w14:paraId="72ACC5C7" w14:textId="77777777" w:rsidR="00726758" w:rsidRPr="00726758" w:rsidRDefault="00726758" w:rsidP="00726758">
      <w:pPr>
        <w:pStyle w:val="ListParagraph"/>
        <w:keepNext/>
        <w:numPr>
          <w:ilvl w:val="0"/>
          <w:numId w:val="31"/>
        </w:numPr>
        <w:spacing w:before="120" w:after="120" w:line="240" w:lineRule="auto"/>
        <w:ind w:left="357" w:hanging="357"/>
        <w:rPr>
          <w:rFonts w:cstheme="minorHAnsi"/>
          <w:b/>
        </w:rPr>
      </w:pPr>
      <w:r w:rsidRPr="00726758">
        <w:rPr>
          <w:rFonts w:cstheme="minorHAnsi"/>
          <w:b/>
        </w:rPr>
        <w:t>Key Stakeholders</w:t>
      </w:r>
    </w:p>
    <w:p w14:paraId="692C54F5"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The Design Team will meet with representatives from the following DFAT sections to draw on their relevant experience. Where possible, roundtable meetings will be held with the areas listed.</w:t>
      </w:r>
    </w:p>
    <w:p w14:paraId="64C429F9"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Internal DFAT stakeholders:</w:t>
      </w:r>
    </w:p>
    <w:p w14:paraId="548B0FAB" w14:textId="77777777" w:rsidR="00726758" w:rsidRPr="00726758" w:rsidRDefault="00726758" w:rsidP="00726758">
      <w:pPr>
        <w:pStyle w:val="AfterFirstPara"/>
        <w:numPr>
          <w:ilvl w:val="0"/>
          <w:numId w:val="37"/>
        </w:numPr>
        <w:tabs>
          <w:tab w:val="left" w:pos="720"/>
        </w:tabs>
        <w:jc w:val="both"/>
        <w:rPr>
          <w:rFonts w:asciiTheme="majorHAnsi" w:hAnsiTheme="majorHAnsi" w:cstheme="minorHAnsi"/>
          <w:lang w:val="en-AU"/>
        </w:rPr>
      </w:pPr>
      <w:r w:rsidRPr="00726758">
        <w:rPr>
          <w:rFonts w:asciiTheme="majorHAnsi" w:hAnsiTheme="majorHAnsi" w:cstheme="minorHAnsi"/>
          <w:lang w:val="en-AU"/>
        </w:rPr>
        <w:t>Humanitarian Division, to discuss emergency responses, disaster risk reduction, protracted crises, early recovery, gender and protection</w:t>
      </w:r>
    </w:p>
    <w:p w14:paraId="75E507A2" w14:textId="77777777" w:rsidR="00726758" w:rsidRPr="00726758" w:rsidRDefault="00726758" w:rsidP="00726758">
      <w:pPr>
        <w:pStyle w:val="AfterFirstPara"/>
        <w:numPr>
          <w:ilvl w:val="0"/>
          <w:numId w:val="37"/>
        </w:numPr>
        <w:tabs>
          <w:tab w:val="left" w:pos="720"/>
        </w:tabs>
        <w:jc w:val="both"/>
        <w:rPr>
          <w:rFonts w:asciiTheme="majorHAnsi" w:hAnsiTheme="majorHAnsi" w:cstheme="minorHAnsi"/>
          <w:lang w:val="en-AU"/>
        </w:rPr>
      </w:pPr>
      <w:r w:rsidRPr="00726758">
        <w:rPr>
          <w:rFonts w:asciiTheme="majorHAnsi" w:hAnsiTheme="majorHAnsi" w:cstheme="minorHAnsi"/>
          <w:lang w:val="en-AU"/>
        </w:rPr>
        <w:t xml:space="preserve">Desk &amp; Post of at least 5 countries – 3 within the Indo-Pacific region and 2 global to discuss their needs to facilitate effective and efficient humanitarian response.  </w:t>
      </w:r>
    </w:p>
    <w:p w14:paraId="6E62BCFF" w14:textId="77777777" w:rsidR="00726758" w:rsidRPr="00726758" w:rsidRDefault="00726758" w:rsidP="00726758">
      <w:pPr>
        <w:pStyle w:val="AfterFirstPara"/>
        <w:numPr>
          <w:ilvl w:val="0"/>
          <w:numId w:val="37"/>
        </w:numPr>
        <w:tabs>
          <w:tab w:val="left" w:pos="720"/>
        </w:tabs>
        <w:jc w:val="both"/>
        <w:rPr>
          <w:rFonts w:asciiTheme="majorHAnsi" w:hAnsiTheme="majorHAnsi" w:cstheme="minorHAnsi"/>
          <w:lang w:val="en-AU"/>
        </w:rPr>
      </w:pPr>
      <w:r w:rsidRPr="00726758">
        <w:rPr>
          <w:rFonts w:asciiTheme="majorHAnsi" w:hAnsiTheme="majorHAnsi" w:cstheme="minorHAnsi"/>
          <w:lang w:val="en-AU"/>
        </w:rPr>
        <w:t>NGOs and Volunteers Branch, to discuss existing arrangements with NGOs</w:t>
      </w:r>
    </w:p>
    <w:p w14:paraId="5CF9793F" w14:textId="77777777" w:rsidR="00726758" w:rsidRPr="00726758" w:rsidRDefault="00726758" w:rsidP="00726758">
      <w:pPr>
        <w:pStyle w:val="AfterFirstPara"/>
        <w:numPr>
          <w:ilvl w:val="0"/>
          <w:numId w:val="37"/>
        </w:numPr>
        <w:tabs>
          <w:tab w:val="left" w:pos="720"/>
        </w:tabs>
        <w:jc w:val="both"/>
        <w:rPr>
          <w:rFonts w:asciiTheme="majorHAnsi" w:hAnsiTheme="majorHAnsi" w:cstheme="minorHAnsi"/>
          <w:lang w:val="en-AU"/>
        </w:rPr>
      </w:pPr>
      <w:r w:rsidRPr="00726758">
        <w:rPr>
          <w:rFonts w:asciiTheme="majorHAnsi" w:hAnsiTheme="majorHAnsi" w:cstheme="minorHAnsi"/>
          <w:lang w:val="en-AU"/>
        </w:rPr>
        <w:t>Development Policy Division, to discuss cross-cutting issues such as fragility, gender, child protection, disability inclusiveness</w:t>
      </w:r>
    </w:p>
    <w:p w14:paraId="69AD5467" w14:textId="77777777" w:rsidR="00726758" w:rsidRPr="00726758" w:rsidRDefault="00726758" w:rsidP="00726758">
      <w:pPr>
        <w:pStyle w:val="AfterFirstPara"/>
        <w:numPr>
          <w:ilvl w:val="0"/>
          <w:numId w:val="37"/>
        </w:numPr>
        <w:jc w:val="both"/>
        <w:rPr>
          <w:rFonts w:asciiTheme="majorHAnsi" w:hAnsiTheme="majorHAnsi" w:cstheme="minorHAnsi"/>
          <w:lang w:val="en-AU"/>
        </w:rPr>
      </w:pPr>
      <w:r w:rsidRPr="00726758">
        <w:rPr>
          <w:rFonts w:asciiTheme="majorHAnsi" w:hAnsiTheme="majorHAnsi" w:cstheme="minorHAnsi"/>
          <w:lang w:val="en-AU"/>
        </w:rPr>
        <w:t>Contracting and Aid Management Division, to discuss scope of service requirements</w:t>
      </w:r>
    </w:p>
    <w:p w14:paraId="398BF08D" w14:textId="77777777" w:rsidR="00726758" w:rsidRPr="00726758" w:rsidRDefault="00726758" w:rsidP="00726758">
      <w:pPr>
        <w:pStyle w:val="AfterFirstPara"/>
        <w:numPr>
          <w:ilvl w:val="0"/>
          <w:numId w:val="37"/>
        </w:numPr>
        <w:tabs>
          <w:tab w:val="left" w:pos="720"/>
        </w:tabs>
        <w:jc w:val="both"/>
        <w:rPr>
          <w:rFonts w:asciiTheme="majorHAnsi" w:hAnsiTheme="majorHAnsi" w:cstheme="minorHAnsi"/>
          <w:lang w:val="en-AU"/>
        </w:rPr>
      </w:pPr>
      <w:r w:rsidRPr="00726758">
        <w:rPr>
          <w:rFonts w:asciiTheme="majorHAnsi" w:hAnsiTheme="majorHAnsi" w:cstheme="minorHAnsi"/>
          <w:lang w:val="en-AU"/>
        </w:rPr>
        <w:t>Private Sector Development Section, to discuss options for partnership and private sector linkages</w:t>
      </w:r>
    </w:p>
    <w:p w14:paraId="489811BC" w14:textId="77777777" w:rsidR="00726758" w:rsidRPr="00726758" w:rsidRDefault="00726758" w:rsidP="00726758">
      <w:pPr>
        <w:pStyle w:val="AfterFirstPara"/>
        <w:numPr>
          <w:ilvl w:val="0"/>
          <w:numId w:val="37"/>
        </w:numPr>
        <w:tabs>
          <w:tab w:val="left" w:pos="720"/>
        </w:tabs>
        <w:jc w:val="both"/>
        <w:rPr>
          <w:rFonts w:asciiTheme="majorHAnsi" w:hAnsiTheme="majorHAnsi" w:cstheme="minorHAnsi"/>
          <w:lang w:val="en-AU"/>
        </w:rPr>
      </w:pPr>
      <w:r w:rsidRPr="00726758">
        <w:rPr>
          <w:rFonts w:asciiTheme="majorHAnsi" w:hAnsiTheme="majorHAnsi" w:cstheme="minorHAnsi"/>
          <w:lang w:val="en-AU"/>
        </w:rPr>
        <w:t>Innovation Hub, to discuss innovation in the context of humanitarian response</w:t>
      </w:r>
    </w:p>
    <w:p w14:paraId="0CED4233" w14:textId="77777777" w:rsidR="00726758" w:rsidRPr="00726758" w:rsidRDefault="00726758" w:rsidP="00726758">
      <w:pPr>
        <w:pStyle w:val="AfterFirstPara"/>
        <w:numPr>
          <w:ilvl w:val="0"/>
          <w:numId w:val="37"/>
        </w:numPr>
        <w:tabs>
          <w:tab w:val="left" w:pos="720"/>
        </w:tabs>
        <w:jc w:val="both"/>
        <w:rPr>
          <w:rFonts w:asciiTheme="majorHAnsi" w:hAnsiTheme="majorHAnsi" w:cstheme="minorHAnsi"/>
          <w:lang w:val="en-AU"/>
        </w:rPr>
      </w:pPr>
      <w:r w:rsidRPr="00726758">
        <w:rPr>
          <w:rFonts w:asciiTheme="majorHAnsi" w:hAnsiTheme="majorHAnsi" w:cstheme="minorHAnsi"/>
          <w:lang w:val="en-AU"/>
        </w:rPr>
        <w:t xml:space="preserve">Geographic/Thematic sections that have developed new partnerships, for example the BRAC/DFID/DFAT Strategic Partnership Arrangement.  </w:t>
      </w:r>
    </w:p>
    <w:p w14:paraId="05115D65" w14:textId="77777777" w:rsidR="00726758" w:rsidRPr="00726758" w:rsidRDefault="00726758" w:rsidP="00726758">
      <w:pPr>
        <w:pStyle w:val="AfterFirstPara"/>
        <w:numPr>
          <w:ilvl w:val="0"/>
          <w:numId w:val="0"/>
        </w:numPr>
        <w:tabs>
          <w:tab w:val="left" w:pos="720"/>
        </w:tabs>
        <w:jc w:val="both"/>
        <w:rPr>
          <w:rFonts w:asciiTheme="majorHAnsi" w:hAnsiTheme="majorHAnsi" w:cstheme="minorHAnsi"/>
          <w:lang w:val="en-AU"/>
        </w:rPr>
      </w:pPr>
      <w:r w:rsidRPr="00726758">
        <w:rPr>
          <w:rFonts w:asciiTheme="majorHAnsi" w:hAnsiTheme="majorHAnsi" w:cstheme="minorHAnsi"/>
          <w:lang w:val="en-AU"/>
        </w:rPr>
        <w:t xml:space="preserve">External stakeholders will include but not be limited to: </w:t>
      </w:r>
    </w:p>
    <w:p w14:paraId="0638AE62" w14:textId="77777777" w:rsidR="00726758" w:rsidRPr="00726758" w:rsidRDefault="00726758" w:rsidP="00726758">
      <w:pPr>
        <w:pStyle w:val="AfterFirstPara"/>
        <w:numPr>
          <w:ilvl w:val="0"/>
          <w:numId w:val="38"/>
        </w:numPr>
        <w:tabs>
          <w:tab w:val="left" w:pos="720"/>
        </w:tabs>
        <w:jc w:val="both"/>
        <w:rPr>
          <w:rFonts w:asciiTheme="majorHAnsi" w:hAnsiTheme="majorHAnsi" w:cstheme="minorHAnsi"/>
          <w:lang w:val="en-AU"/>
        </w:rPr>
      </w:pPr>
      <w:r w:rsidRPr="00726758">
        <w:rPr>
          <w:rFonts w:asciiTheme="majorHAnsi" w:hAnsiTheme="majorHAnsi" w:cstheme="minorHAnsi"/>
          <w:lang w:val="en-AU"/>
        </w:rPr>
        <w:t>ACFID Humanitarian Reference Group members</w:t>
      </w:r>
    </w:p>
    <w:p w14:paraId="47868C0A" w14:textId="77777777" w:rsidR="00726758" w:rsidRPr="00726758" w:rsidRDefault="00726758" w:rsidP="00726758">
      <w:pPr>
        <w:pStyle w:val="AfterFirstPara"/>
        <w:numPr>
          <w:ilvl w:val="0"/>
          <w:numId w:val="38"/>
        </w:numPr>
        <w:tabs>
          <w:tab w:val="left" w:pos="720"/>
        </w:tabs>
        <w:jc w:val="both"/>
        <w:rPr>
          <w:rFonts w:asciiTheme="majorHAnsi" w:hAnsiTheme="majorHAnsi" w:cstheme="minorHAnsi"/>
          <w:lang w:val="en-AU"/>
        </w:rPr>
      </w:pPr>
      <w:r w:rsidRPr="00726758">
        <w:rPr>
          <w:rFonts w:asciiTheme="majorHAnsi" w:hAnsiTheme="majorHAnsi" w:cstheme="minorHAnsi"/>
          <w:lang w:val="en-AU"/>
        </w:rPr>
        <w:t>ACFID staff, including the Humanitarian Advisor and Head of Policy</w:t>
      </w:r>
    </w:p>
    <w:p w14:paraId="0FB73C72" w14:textId="77777777" w:rsidR="00726758" w:rsidRPr="00726758" w:rsidRDefault="00726758" w:rsidP="00726758">
      <w:pPr>
        <w:pStyle w:val="AfterFirstPara"/>
        <w:numPr>
          <w:ilvl w:val="0"/>
          <w:numId w:val="38"/>
        </w:numPr>
        <w:tabs>
          <w:tab w:val="left" w:pos="720"/>
        </w:tabs>
        <w:jc w:val="both"/>
        <w:rPr>
          <w:rFonts w:asciiTheme="majorHAnsi" w:hAnsiTheme="majorHAnsi" w:cstheme="minorHAnsi"/>
          <w:lang w:val="en-AU"/>
        </w:rPr>
      </w:pPr>
      <w:r w:rsidRPr="00726758">
        <w:rPr>
          <w:rFonts w:asciiTheme="majorHAnsi" w:hAnsiTheme="majorHAnsi" w:cstheme="minorHAnsi"/>
          <w:lang w:val="en-AU"/>
        </w:rPr>
        <w:t>Other donors and multilateral organisations, at a minimum:</w:t>
      </w:r>
    </w:p>
    <w:p w14:paraId="0396889B" w14:textId="77777777" w:rsidR="00726758" w:rsidRPr="00726758" w:rsidRDefault="00726758" w:rsidP="00726758">
      <w:pPr>
        <w:pStyle w:val="AfterFirstPara"/>
        <w:numPr>
          <w:ilvl w:val="1"/>
          <w:numId w:val="38"/>
        </w:numPr>
        <w:tabs>
          <w:tab w:val="left" w:pos="720"/>
        </w:tabs>
        <w:jc w:val="both"/>
        <w:rPr>
          <w:rFonts w:asciiTheme="majorHAnsi" w:hAnsiTheme="majorHAnsi" w:cstheme="minorHAnsi"/>
          <w:lang w:val="en-AU"/>
        </w:rPr>
      </w:pPr>
      <w:r w:rsidRPr="00726758">
        <w:rPr>
          <w:rFonts w:asciiTheme="majorHAnsi" w:hAnsiTheme="majorHAnsi" w:cstheme="minorHAnsi"/>
          <w:bCs/>
          <w:lang w:val="en-AU"/>
        </w:rPr>
        <w:t>Department for International Development</w:t>
      </w:r>
      <w:r w:rsidRPr="00726758">
        <w:rPr>
          <w:rFonts w:asciiTheme="majorHAnsi" w:hAnsiTheme="majorHAnsi" w:cstheme="minorHAnsi"/>
          <w:lang w:val="en-AU"/>
        </w:rPr>
        <w:t xml:space="preserve"> (</w:t>
      </w:r>
      <w:r w:rsidRPr="00726758">
        <w:rPr>
          <w:rFonts w:asciiTheme="majorHAnsi" w:hAnsiTheme="majorHAnsi" w:cstheme="minorHAnsi"/>
          <w:bCs/>
          <w:lang w:val="en-AU"/>
        </w:rPr>
        <w:t>DFID</w:t>
      </w:r>
      <w:r w:rsidRPr="00726758">
        <w:rPr>
          <w:rFonts w:asciiTheme="majorHAnsi" w:hAnsiTheme="majorHAnsi" w:cstheme="minorHAnsi"/>
          <w:lang w:val="en-AU"/>
        </w:rPr>
        <w:t xml:space="preserve">) </w:t>
      </w:r>
    </w:p>
    <w:p w14:paraId="410355B6" w14:textId="77777777" w:rsidR="00726758" w:rsidRPr="00726758" w:rsidRDefault="00726758" w:rsidP="00726758">
      <w:pPr>
        <w:pStyle w:val="AfterFirstPara"/>
        <w:numPr>
          <w:ilvl w:val="1"/>
          <w:numId w:val="38"/>
        </w:numPr>
        <w:tabs>
          <w:tab w:val="left" w:pos="720"/>
        </w:tabs>
        <w:jc w:val="both"/>
        <w:rPr>
          <w:rFonts w:asciiTheme="majorHAnsi" w:hAnsiTheme="majorHAnsi" w:cstheme="minorHAnsi"/>
          <w:lang w:val="en-AU"/>
        </w:rPr>
      </w:pPr>
      <w:r w:rsidRPr="00726758">
        <w:rPr>
          <w:rFonts w:asciiTheme="majorHAnsi" w:hAnsiTheme="majorHAnsi" w:cstheme="minorHAnsi"/>
          <w:lang w:val="en-AU"/>
        </w:rPr>
        <w:t xml:space="preserve">UN </w:t>
      </w:r>
      <w:r w:rsidRPr="00726758">
        <w:rPr>
          <w:rFonts w:asciiTheme="majorHAnsi" w:hAnsiTheme="majorHAnsi" w:cstheme="minorHAnsi"/>
          <w:bCs/>
        </w:rPr>
        <w:t>Office for the Coordination of Humanitarian Affairs (OCHA)</w:t>
      </w:r>
    </w:p>
    <w:p w14:paraId="37FBF1D2" w14:textId="77777777" w:rsidR="00726758" w:rsidRPr="00726758" w:rsidRDefault="00726758" w:rsidP="00726758">
      <w:pPr>
        <w:pStyle w:val="AfterFirstPara"/>
        <w:numPr>
          <w:ilvl w:val="1"/>
          <w:numId w:val="38"/>
        </w:numPr>
        <w:tabs>
          <w:tab w:val="left" w:pos="720"/>
        </w:tabs>
        <w:jc w:val="both"/>
        <w:rPr>
          <w:rFonts w:asciiTheme="majorHAnsi" w:hAnsiTheme="majorHAnsi" w:cstheme="minorHAnsi"/>
          <w:lang w:val="en-AU"/>
        </w:rPr>
      </w:pPr>
      <w:r w:rsidRPr="00726758">
        <w:rPr>
          <w:rFonts w:asciiTheme="majorHAnsi" w:hAnsiTheme="majorHAnsi" w:cstheme="minorHAnsi"/>
          <w:bCs/>
        </w:rPr>
        <w:t xml:space="preserve">European Commission  </w:t>
      </w:r>
    </w:p>
    <w:p w14:paraId="5778E2CC" w14:textId="77777777" w:rsidR="00726758" w:rsidRPr="00726758" w:rsidRDefault="00726758" w:rsidP="00726758">
      <w:pPr>
        <w:pStyle w:val="AfterFirstPara"/>
        <w:numPr>
          <w:ilvl w:val="1"/>
          <w:numId w:val="38"/>
        </w:numPr>
        <w:tabs>
          <w:tab w:val="left" w:pos="720"/>
        </w:tabs>
        <w:jc w:val="both"/>
        <w:rPr>
          <w:rFonts w:asciiTheme="majorHAnsi" w:hAnsiTheme="majorHAnsi" w:cstheme="minorHAnsi"/>
          <w:lang w:val="en-AU"/>
        </w:rPr>
      </w:pPr>
      <w:r w:rsidRPr="00726758">
        <w:rPr>
          <w:rFonts w:asciiTheme="majorHAnsi" w:hAnsiTheme="majorHAnsi" w:cstheme="minorHAnsi"/>
          <w:bCs/>
        </w:rPr>
        <w:t>Irish Aid</w:t>
      </w:r>
    </w:p>
    <w:p w14:paraId="53A1A053" w14:textId="77777777" w:rsidR="00726758" w:rsidRPr="00726758" w:rsidRDefault="00726758" w:rsidP="00726758">
      <w:pPr>
        <w:pStyle w:val="AfterFirstPara"/>
        <w:numPr>
          <w:ilvl w:val="0"/>
          <w:numId w:val="38"/>
        </w:numPr>
        <w:tabs>
          <w:tab w:val="left" w:pos="720"/>
        </w:tabs>
        <w:jc w:val="both"/>
        <w:rPr>
          <w:rFonts w:asciiTheme="majorHAnsi" w:hAnsiTheme="majorHAnsi" w:cstheme="minorHAnsi"/>
          <w:lang w:val="en-AU"/>
        </w:rPr>
      </w:pPr>
      <w:r w:rsidRPr="00726758">
        <w:rPr>
          <w:rFonts w:asciiTheme="majorHAnsi" w:hAnsiTheme="majorHAnsi" w:cstheme="minorHAnsi"/>
          <w:lang w:val="en-AU"/>
        </w:rPr>
        <w:lastRenderedPageBreak/>
        <w:t xml:space="preserve">Relevant private sector organisations, such as Aspen Medical, HK Logistics and International </w:t>
      </w:r>
      <w:r w:rsidRPr="00726758">
        <w:rPr>
          <w:rFonts w:asciiTheme="majorHAnsi" w:hAnsiTheme="majorHAnsi" w:cstheme="minorHAnsi"/>
          <w:bCs/>
          <w:lang w:val="en-AU"/>
        </w:rPr>
        <w:t>Development</w:t>
      </w:r>
      <w:r w:rsidRPr="00726758">
        <w:rPr>
          <w:rFonts w:asciiTheme="majorHAnsi" w:hAnsiTheme="majorHAnsi" w:cstheme="minorHAnsi"/>
          <w:lang w:val="en-AU"/>
        </w:rPr>
        <w:t xml:space="preserve"> Contractors Group Australia and the Australian Trade Commission.</w:t>
      </w:r>
    </w:p>
    <w:p w14:paraId="7A905F6C" w14:textId="77777777" w:rsidR="00726758" w:rsidRPr="00726758" w:rsidRDefault="00726758" w:rsidP="00726758">
      <w:pPr>
        <w:pStyle w:val="AfterFirstPara"/>
        <w:numPr>
          <w:ilvl w:val="0"/>
          <w:numId w:val="38"/>
        </w:numPr>
        <w:tabs>
          <w:tab w:val="left" w:pos="720"/>
        </w:tabs>
        <w:jc w:val="both"/>
        <w:rPr>
          <w:rFonts w:asciiTheme="majorHAnsi" w:hAnsiTheme="majorHAnsi" w:cstheme="minorHAnsi"/>
          <w:lang w:val="en-AU"/>
        </w:rPr>
      </w:pPr>
      <w:r w:rsidRPr="00726758">
        <w:rPr>
          <w:rFonts w:asciiTheme="majorHAnsi" w:hAnsiTheme="majorHAnsi" w:cstheme="minorHAnsi"/>
          <w:lang w:val="en-AU"/>
        </w:rPr>
        <w:t>Other relevant non-government clubs, foundations and bodies, such as Rotary.</w:t>
      </w:r>
    </w:p>
    <w:p w14:paraId="0FA9B92F" w14:textId="77777777" w:rsidR="00726758" w:rsidRPr="00726758" w:rsidRDefault="00726758" w:rsidP="00726758">
      <w:pPr>
        <w:pStyle w:val="AfterFirstPara"/>
        <w:numPr>
          <w:ilvl w:val="0"/>
          <w:numId w:val="38"/>
        </w:numPr>
        <w:tabs>
          <w:tab w:val="left" w:pos="720"/>
        </w:tabs>
        <w:jc w:val="both"/>
        <w:rPr>
          <w:rFonts w:asciiTheme="majorHAnsi" w:hAnsiTheme="majorHAnsi" w:cstheme="minorHAnsi"/>
          <w:lang w:val="en-AU"/>
        </w:rPr>
      </w:pPr>
      <w:r w:rsidRPr="00726758">
        <w:rPr>
          <w:rFonts w:asciiTheme="majorHAnsi" w:hAnsiTheme="majorHAnsi" w:cstheme="minorHAnsi"/>
          <w:lang w:val="en-AU"/>
        </w:rPr>
        <w:t>Research groups who have undertaken work on humanitarian financing, such as the Oversea Development Institute (ODI) and Humanitarian Futures Programme.</w:t>
      </w:r>
    </w:p>
    <w:p w14:paraId="7D31F8CB" w14:textId="77777777" w:rsidR="00726758" w:rsidRPr="00726758" w:rsidRDefault="00726758" w:rsidP="00726758">
      <w:pPr>
        <w:pStyle w:val="AfterFirstPara"/>
        <w:numPr>
          <w:ilvl w:val="0"/>
          <w:numId w:val="38"/>
        </w:numPr>
        <w:tabs>
          <w:tab w:val="left" w:pos="720"/>
        </w:tabs>
        <w:jc w:val="both"/>
        <w:rPr>
          <w:rFonts w:asciiTheme="majorHAnsi" w:hAnsiTheme="majorHAnsi" w:cstheme="minorHAnsi"/>
          <w:lang w:val="en-AU"/>
        </w:rPr>
      </w:pPr>
      <w:r w:rsidRPr="00726758">
        <w:rPr>
          <w:rFonts w:asciiTheme="majorHAnsi" w:hAnsiTheme="majorHAnsi" w:cstheme="minorHAnsi"/>
          <w:lang w:val="en-AU"/>
        </w:rPr>
        <w:t xml:space="preserve">ACFID technical expertise, such as the DRR Working Group. </w:t>
      </w:r>
    </w:p>
    <w:p w14:paraId="012270D9" w14:textId="77777777" w:rsidR="00726758" w:rsidRPr="00726758" w:rsidRDefault="00726758" w:rsidP="00726758">
      <w:pPr>
        <w:pStyle w:val="ListParagraph"/>
        <w:keepNext/>
        <w:numPr>
          <w:ilvl w:val="0"/>
          <w:numId w:val="31"/>
        </w:numPr>
        <w:spacing w:before="120" w:after="120" w:line="240" w:lineRule="auto"/>
        <w:rPr>
          <w:rFonts w:cstheme="minorHAnsi"/>
          <w:b/>
        </w:rPr>
      </w:pPr>
      <w:r w:rsidRPr="00726758">
        <w:rPr>
          <w:rFonts w:cstheme="minorHAnsi"/>
          <w:b/>
        </w:rPr>
        <w:t>Specification of Team</w:t>
      </w:r>
    </w:p>
    <w:p w14:paraId="214FD3EE"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The Design Team will be a team of three.  DFAT will ensure the team has a mix of expertise including:</w:t>
      </w:r>
    </w:p>
    <w:p w14:paraId="0E82138D"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Humanitarian expertise – experience and knowledge of the humanitarian sector, specifically best practice in responding to sudden onset emergencies and protracted crises.</w:t>
      </w:r>
    </w:p>
    <w:p w14:paraId="2F34CF25"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 xml:space="preserve">Partnership expertise – demonstrated knowledge of partnership principles and practical application of these. </w:t>
      </w:r>
    </w:p>
    <w:p w14:paraId="17FB8224"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Disaster Risk Reduction and Disaster Risk Management – experience and knowledge of best practice and practical approaches to DRR and DRM.</w:t>
      </w:r>
    </w:p>
    <w:p w14:paraId="26BC6A0C"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Design expertise – demonstrated experience in designing programs, particularly mechanisms designed to respond to requests for assistance and an understanding of DFAT</w:t>
      </w:r>
      <w:r w:rsidRPr="00726758">
        <w:rPr>
          <w:rFonts w:asciiTheme="majorHAnsi" w:hAnsiTheme="majorHAnsi" w:cstheme="minorHAnsi"/>
        </w:rPr>
        <w:t>’s Investment</w:t>
      </w:r>
      <w:r w:rsidRPr="00726758">
        <w:rPr>
          <w:rFonts w:asciiTheme="majorHAnsi" w:hAnsiTheme="majorHAnsi" w:cstheme="minorHAnsi"/>
          <w:lang w:val="en-AU"/>
        </w:rPr>
        <w:t xml:space="preserve"> Design Quality Standards.</w:t>
      </w:r>
    </w:p>
    <w:p w14:paraId="253D0AB7"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Monitoring and Evaluation expertise – demonstrated experience in developing robust monitoring and evaluation approaches/systems, ideally in the humanitarian sector.</w:t>
      </w:r>
    </w:p>
    <w:p w14:paraId="31D0E117"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Policy experience – an understanding of DFAT’s policies and cross-cutting issues.</w:t>
      </w:r>
    </w:p>
    <w:p w14:paraId="3557FFF1" w14:textId="77777777" w:rsidR="00726758" w:rsidRPr="00726758" w:rsidRDefault="00726758" w:rsidP="00726758">
      <w:pPr>
        <w:pStyle w:val="AfterFirstPara"/>
        <w:numPr>
          <w:ilvl w:val="0"/>
          <w:numId w:val="0"/>
        </w:numPr>
        <w:jc w:val="both"/>
        <w:rPr>
          <w:rFonts w:asciiTheme="majorHAnsi" w:hAnsiTheme="majorHAnsi" w:cstheme="minorHAnsi"/>
          <w:lang w:val="en-AU"/>
        </w:rPr>
      </w:pPr>
      <w:r w:rsidRPr="00726758">
        <w:rPr>
          <w:rFonts w:asciiTheme="majorHAnsi" w:hAnsiTheme="majorHAnsi" w:cstheme="minorHAnsi"/>
          <w:lang w:val="en-AU"/>
        </w:rPr>
        <w:t>The Team members will have specific responsibilities as detailed below:</w:t>
      </w:r>
    </w:p>
    <w:p w14:paraId="0C0294D0" w14:textId="77777777" w:rsidR="00726758" w:rsidRPr="00726758" w:rsidRDefault="00726758" w:rsidP="00726758">
      <w:pPr>
        <w:pStyle w:val="AfterFirstPara"/>
        <w:numPr>
          <w:ilvl w:val="0"/>
          <w:numId w:val="34"/>
        </w:numPr>
        <w:jc w:val="both"/>
        <w:rPr>
          <w:rFonts w:asciiTheme="majorHAnsi" w:hAnsiTheme="majorHAnsi" w:cstheme="minorHAnsi"/>
          <w:lang w:val="en-AU"/>
        </w:rPr>
      </w:pPr>
      <w:r w:rsidRPr="00726758">
        <w:rPr>
          <w:rFonts w:asciiTheme="majorHAnsi" w:hAnsiTheme="majorHAnsi" w:cstheme="minorHAnsi"/>
          <w:lang w:val="en-AU"/>
        </w:rPr>
        <w:t>Team Leader role – detailed examination and recommendation of potential options for the next mechanism based on a review of the HPA and best practice donor models.  Responsible for drafting the design approach report, Investment Concept and Investment Design, in accordance with DFAT</w:t>
      </w:r>
      <w:r w:rsidRPr="00726758">
        <w:rPr>
          <w:rFonts w:asciiTheme="majorHAnsi" w:hAnsiTheme="majorHAnsi" w:cstheme="minorHAnsi"/>
        </w:rPr>
        <w:t>’s Investment Design</w:t>
      </w:r>
      <w:r w:rsidRPr="00726758">
        <w:rPr>
          <w:rFonts w:asciiTheme="majorHAnsi" w:hAnsiTheme="majorHAnsi" w:cstheme="minorHAnsi"/>
          <w:lang w:val="en-AU"/>
        </w:rPr>
        <w:t xml:space="preserve"> Quality Standards.  The Team Leader may be invited to participate in the peer review process of the Investment Concept and Investment Design documents.  </w:t>
      </w:r>
    </w:p>
    <w:p w14:paraId="5A1399A2" w14:textId="77777777" w:rsidR="00760212" w:rsidRPr="001F058B" w:rsidRDefault="00726758" w:rsidP="00E340D2">
      <w:pPr>
        <w:pStyle w:val="AfterFirstPara"/>
        <w:numPr>
          <w:ilvl w:val="0"/>
          <w:numId w:val="34"/>
        </w:numPr>
        <w:jc w:val="both"/>
        <w:rPr>
          <w:b/>
        </w:rPr>
      </w:pPr>
      <w:r w:rsidRPr="004F767A">
        <w:rPr>
          <w:rFonts w:asciiTheme="majorHAnsi" w:hAnsiTheme="majorHAnsi" w:cstheme="minorHAnsi"/>
          <w:lang w:val="en-AU"/>
        </w:rPr>
        <w:t xml:space="preserve">Team Member roles – contribute to the overall design process and support the Team Leader to meet all requirements.  This includes providing key inputs (based on the individuals area of expertise) into the design of a new mechanism.  </w:t>
      </w:r>
    </w:p>
    <w:sectPr w:rsidR="00760212" w:rsidRPr="001F058B" w:rsidSect="004F767A">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ED1241" w15:done="0"/>
  <w15:commentEx w15:paraId="1DE217CA" w15:done="0"/>
  <w15:commentEx w15:paraId="6EF96C66" w15:done="0"/>
  <w15:commentEx w15:paraId="37E29D20" w15:done="0"/>
  <w15:commentEx w15:paraId="18FD9179" w15:done="0"/>
  <w15:commentEx w15:paraId="38E249F0" w15:done="0"/>
  <w15:commentEx w15:paraId="54A64E2A" w15:done="0"/>
  <w15:commentEx w15:paraId="64845CE2" w15:done="0"/>
  <w15:commentEx w15:paraId="0B7B2A62" w15:done="0"/>
  <w15:commentEx w15:paraId="2A047A33" w15:done="0"/>
  <w15:commentEx w15:paraId="4D20EFCA" w15:done="0"/>
  <w15:commentEx w15:paraId="05B76180" w15:done="0"/>
  <w15:commentEx w15:paraId="13AE7C72" w15:done="0"/>
  <w15:commentEx w15:paraId="338B8224" w15:done="0"/>
  <w15:commentEx w15:paraId="6724190E" w15:done="0"/>
  <w15:commentEx w15:paraId="5AACC5F3" w15:done="0"/>
  <w15:commentEx w15:paraId="6EE218B5" w15:done="0"/>
  <w15:commentEx w15:paraId="0B8B1845" w15:paraIdParent="6EE218B5" w15:done="0"/>
  <w15:commentEx w15:paraId="31FD2759" w15:done="0"/>
  <w15:commentEx w15:paraId="45ECB890" w15:done="0"/>
  <w15:commentEx w15:paraId="3BD2987D" w15:done="0"/>
  <w15:commentEx w15:paraId="72DAC3CC" w15:done="0"/>
  <w15:commentEx w15:paraId="0A156588" w15:done="0"/>
  <w15:commentEx w15:paraId="4D96669D" w15:done="0"/>
  <w15:commentEx w15:paraId="1DEB7878" w15:done="0"/>
  <w15:commentEx w15:paraId="143832F0" w15:done="0"/>
  <w15:commentEx w15:paraId="5855DE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FDB7F" w14:textId="77777777" w:rsidR="001C5460" w:rsidRDefault="001C5460" w:rsidP="00B5531C">
      <w:r>
        <w:separator/>
      </w:r>
    </w:p>
    <w:p w14:paraId="7224965D" w14:textId="77777777" w:rsidR="001C5460" w:rsidRDefault="001C5460"/>
  </w:endnote>
  <w:endnote w:type="continuationSeparator" w:id="0">
    <w:p w14:paraId="7BA03AAD" w14:textId="77777777" w:rsidR="001C5460" w:rsidRDefault="001C5460" w:rsidP="00B5531C">
      <w:r>
        <w:continuationSeparator/>
      </w:r>
    </w:p>
    <w:p w14:paraId="4CF7F589" w14:textId="77777777" w:rsidR="001C5460" w:rsidRDefault="001C5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taPlusNormal-Roman">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charset w:val="00"/>
    <w:family w:val="auto"/>
    <w:pitch w:val="variable"/>
    <w:sig w:usb0="E0002AFF" w:usb1="C0007841" w:usb2="00000009" w:usb3="00000000" w:csb0="000001FF" w:csb1="00000000"/>
  </w:font>
  <w:font w:name="AvenirNext-Regular">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890E7" w14:textId="77777777" w:rsidR="001C5460" w:rsidRDefault="001C5460" w:rsidP="00B553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FBB8B2" w14:textId="77777777" w:rsidR="001C5460" w:rsidRDefault="001C54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37A3E" w14:textId="77777777" w:rsidR="001C5460" w:rsidRDefault="001C5460" w:rsidP="00B553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1675">
      <w:rPr>
        <w:rStyle w:val="PageNumber"/>
        <w:noProof/>
      </w:rPr>
      <w:t>1</w:t>
    </w:r>
    <w:r>
      <w:rPr>
        <w:rStyle w:val="PageNumber"/>
      </w:rPr>
      <w:fldChar w:fldCharType="end"/>
    </w:r>
  </w:p>
  <w:p w14:paraId="6A259980" w14:textId="77777777" w:rsidR="001C5460" w:rsidRDefault="001C5460" w:rsidP="00D07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7C549" w14:textId="77777777" w:rsidR="001C5460" w:rsidRDefault="001C5460" w:rsidP="00B5531C">
      <w:r>
        <w:separator/>
      </w:r>
    </w:p>
    <w:p w14:paraId="42186BEB" w14:textId="77777777" w:rsidR="001C5460" w:rsidRDefault="001C5460"/>
  </w:footnote>
  <w:footnote w:type="continuationSeparator" w:id="0">
    <w:p w14:paraId="5ED49DF1" w14:textId="77777777" w:rsidR="001C5460" w:rsidRDefault="001C5460" w:rsidP="00B5531C">
      <w:r>
        <w:continuationSeparator/>
      </w:r>
    </w:p>
    <w:p w14:paraId="1DBC2136" w14:textId="77777777" w:rsidR="001C5460" w:rsidRDefault="001C5460"/>
  </w:footnote>
  <w:footnote w:id="1">
    <w:p w14:paraId="22D72284" w14:textId="77777777" w:rsidR="001C5460" w:rsidRDefault="001C5460" w:rsidP="00893058">
      <w:pPr>
        <w:pStyle w:val="FootnoteText"/>
      </w:pPr>
      <w:r>
        <w:rPr>
          <w:rStyle w:val="FootnoteReference"/>
        </w:rPr>
        <w:footnoteRef/>
      </w:r>
      <w:r>
        <w:t xml:space="preserve"> </w:t>
      </w:r>
      <w:hyperlink r:id="rId1" w:history="1">
        <w:r w:rsidRPr="00375EC3">
          <w:rPr>
            <w:rStyle w:val="Hyperlink"/>
          </w:rPr>
          <w:t>http://www.preventionweb.net/files/47136_workingtextonterminology.pdf</w:t>
        </w:r>
      </w:hyperlink>
      <w:r>
        <w:t>, 3 March 2016. Accessed 8 March 2016.</w:t>
      </w:r>
    </w:p>
  </w:footnote>
  <w:footnote w:id="2">
    <w:p w14:paraId="58884818" w14:textId="77777777" w:rsidR="001C5460" w:rsidRDefault="001C5460">
      <w:pPr>
        <w:pStyle w:val="FootnoteText"/>
      </w:pPr>
      <w:r>
        <w:rPr>
          <w:rStyle w:val="FootnoteReference"/>
        </w:rPr>
        <w:footnoteRef/>
      </w:r>
      <w:r>
        <w:t xml:space="preserve"> See Annex 7 for terms of reference for the design process.</w:t>
      </w:r>
    </w:p>
  </w:footnote>
  <w:footnote w:id="3">
    <w:p w14:paraId="7F4299A8" w14:textId="75DE0368" w:rsidR="001C5460" w:rsidRDefault="001C5460" w:rsidP="00125C71">
      <w:pPr>
        <w:pStyle w:val="FootnoteText"/>
        <w:spacing w:line="240" w:lineRule="auto"/>
      </w:pPr>
      <w:r w:rsidRPr="00C318DA">
        <w:rPr>
          <w:rStyle w:val="FootnoteReference"/>
        </w:rPr>
        <w:footnoteRef/>
      </w:r>
      <w:r w:rsidRPr="00C318DA">
        <w:t xml:space="preserve"> The “Australian Humanitarian Partnership” is a working title for the partnership. It is an indicative title only. The design team anticipates that, once active, the partners will debate and agree on a </w:t>
      </w:r>
      <w:r>
        <w:t>name</w:t>
      </w:r>
      <w:r w:rsidRPr="00C318DA">
        <w:t xml:space="preserve"> (or brand) for this partnership</w:t>
      </w:r>
      <w:r w:rsidRPr="00AA1ABC">
        <w:t>.</w:t>
      </w:r>
      <w:r>
        <w:t xml:space="preserve"> </w:t>
      </w:r>
    </w:p>
  </w:footnote>
  <w:footnote w:id="4">
    <w:p w14:paraId="390DB32C" w14:textId="62E9247D" w:rsidR="001C5460" w:rsidRDefault="001C5460" w:rsidP="00B41169">
      <w:pPr>
        <w:pStyle w:val="FootnoteText"/>
        <w:spacing w:line="240" w:lineRule="auto"/>
      </w:pPr>
      <w:r>
        <w:rPr>
          <w:rStyle w:val="FootnoteReference"/>
        </w:rPr>
        <w:footnoteRef/>
      </w:r>
      <w:r>
        <w:t xml:space="preserve"> HRG Member NGOs: ActionAid; Act for Peace;</w:t>
      </w:r>
      <w:r w:rsidRPr="00737D62">
        <w:t xml:space="preserve"> Adventist Development and Relief Agency (ADRA); </w:t>
      </w:r>
      <w:r>
        <w:t xml:space="preserve">Australian Lutheran World Service; </w:t>
      </w:r>
      <w:r w:rsidRPr="00737D62">
        <w:t>Australian Red Cross</w:t>
      </w:r>
      <w:r>
        <w:t>; CARE Australia; Caritas Australia; ChildFund Australia; Habitat for Humanity Australia; Oxfam Australia; Plan International Australia; RedR Australia; Save the Children Australia; Transform Aid International; World Vision Australia.</w:t>
      </w:r>
    </w:p>
  </w:footnote>
  <w:footnote w:id="5">
    <w:p w14:paraId="5D9F839D" w14:textId="6B88DA40" w:rsidR="001C5460" w:rsidRDefault="001C5460" w:rsidP="00B654D2">
      <w:r>
        <w:rPr>
          <w:rStyle w:val="FootnoteReference"/>
        </w:rPr>
        <w:footnoteRef/>
      </w:r>
      <w:r>
        <w:t xml:space="preserve"> </w:t>
      </w:r>
      <w:r>
        <w:rPr>
          <w:rFonts w:ascii="Franklin Gothic Book" w:eastAsia="Times New Roman" w:hAnsi="Franklin Gothic Book" w:cs="Times New Roman"/>
          <w:sz w:val="16"/>
          <w:szCs w:val="20"/>
          <w:lang w:eastAsia="en-AU"/>
        </w:rPr>
        <w:t>Selection will be based on an assessment of capabilities across five domains: re</w:t>
      </w:r>
      <w:r w:rsidRPr="00871F47">
        <w:rPr>
          <w:rFonts w:ascii="Franklin Gothic Book" w:eastAsia="Times New Roman" w:hAnsi="Franklin Gothic Book" w:cs="Times New Roman"/>
          <w:sz w:val="16"/>
          <w:szCs w:val="20"/>
          <w:lang w:eastAsia="en-AU"/>
        </w:rPr>
        <w:t>sponse to rapid-onset crises</w:t>
      </w:r>
      <w:r>
        <w:rPr>
          <w:rFonts w:ascii="Franklin Gothic Book" w:eastAsia="Times New Roman" w:hAnsi="Franklin Gothic Book" w:cs="Times New Roman"/>
          <w:sz w:val="16"/>
          <w:szCs w:val="20"/>
          <w:lang w:eastAsia="en-AU"/>
        </w:rPr>
        <w:t xml:space="preserve"> (including early recovery); r</w:t>
      </w:r>
      <w:r w:rsidRPr="00871F47">
        <w:rPr>
          <w:rFonts w:ascii="Franklin Gothic Book" w:eastAsia="Times New Roman" w:hAnsi="Franklin Gothic Book" w:cs="Times New Roman"/>
          <w:sz w:val="16"/>
          <w:szCs w:val="20"/>
          <w:lang w:eastAsia="en-AU"/>
        </w:rPr>
        <w:t>esponse to protracted and slow-onset crises</w:t>
      </w:r>
      <w:r>
        <w:rPr>
          <w:rFonts w:ascii="Franklin Gothic Book" w:eastAsia="Times New Roman" w:hAnsi="Franklin Gothic Book" w:cs="Times New Roman"/>
          <w:sz w:val="16"/>
          <w:szCs w:val="20"/>
          <w:lang w:eastAsia="en-AU"/>
        </w:rPr>
        <w:t xml:space="preserve"> (including early recovery); b</w:t>
      </w:r>
      <w:r w:rsidRPr="00871F47">
        <w:rPr>
          <w:rFonts w:ascii="Franklin Gothic Book" w:eastAsia="Times New Roman" w:hAnsi="Franklin Gothic Book" w:cs="Times New Roman"/>
          <w:sz w:val="16"/>
          <w:szCs w:val="20"/>
          <w:lang w:eastAsia="en-AU"/>
        </w:rPr>
        <w:t xml:space="preserve">uilding local humanitarian capacity </w:t>
      </w:r>
      <w:r>
        <w:rPr>
          <w:rFonts w:ascii="Franklin Gothic Book" w:eastAsia="Times New Roman" w:hAnsi="Franklin Gothic Book" w:cs="Times New Roman"/>
          <w:sz w:val="16"/>
          <w:szCs w:val="20"/>
          <w:lang w:eastAsia="en-AU"/>
        </w:rPr>
        <w:t xml:space="preserve">and strengthening the disaster resilience of </w:t>
      </w:r>
      <w:r w:rsidRPr="00871F47">
        <w:rPr>
          <w:rFonts w:ascii="Franklin Gothic Book" w:eastAsia="Times New Roman" w:hAnsi="Franklin Gothic Book" w:cs="Times New Roman"/>
          <w:sz w:val="16"/>
          <w:szCs w:val="20"/>
          <w:lang w:eastAsia="en-AU"/>
        </w:rPr>
        <w:t>Pacific</w:t>
      </w:r>
      <w:r>
        <w:rPr>
          <w:rFonts w:ascii="Franklin Gothic Book" w:eastAsia="Times New Roman" w:hAnsi="Franklin Gothic Book" w:cs="Times New Roman"/>
          <w:sz w:val="16"/>
          <w:szCs w:val="20"/>
          <w:lang w:eastAsia="en-AU"/>
        </w:rPr>
        <w:t xml:space="preserve"> communities; p</w:t>
      </w:r>
      <w:r w:rsidRPr="00871F47">
        <w:rPr>
          <w:rFonts w:ascii="Franklin Gothic Book" w:eastAsia="Times New Roman" w:hAnsi="Franklin Gothic Book" w:cs="Times New Roman"/>
          <w:sz w:val="16"/>
          <w:szCs w:val="20"/>
          <w:lang w:eastAsia="en-AU"/>
        </w:rPr>
        <w:t>rotection and inclusion expertise</w:t>
      </w:r>
      <w:r>
        <w:rPr>
          <w:rFonts w:ascii="Franklin Gothic Book" w:eastAsia="Times New Roman" w:hAnsi="Franklin Gothic Book" w:cs="Times New Roman"/>
          <w:sz w:val="16"/>
          <w:szCs w:val="20"/>
          <w:lang w:eastAsia="en-AU"/>
        </w:rPr>
        <w:t>; and p</w:t>
      </w:r>
      <w:r w:rsidRPr="00871F47">
        <w:rPr>
          <w:rFonts w:ascii="Franklin Gothic Book" w:eastAsia="Times New Roman" w:hAnsi="Franklin Gothic Book" w:cs="Times New Roman"/>
          <w:sz w:val="16"/>
          <w:szCs w:val="20"/>
          <w:lang w:eastAsia="en-AU"/>
        </w:rPr>
        <w:t>artnership capacity</w:t>
      </w:r>
      <w:r>
        <w:rPr>
          <w:rFonts w:ascii="Franklin Gothic Book" w:eastAsia="Times New Roman" w:hAnsi="Franklin Gothic Book" w:cs="Times New Roman"/>
          <w:sz w:val="16"/>
          <w:szCs w:val="20"/>
          <w:lang w:eastAsia="en-AU"/>
        </w:rPr>
        <w:t>.</w:t>
      </w:r>
    </w:p>
  </w:footnote>
  <w:footnote w:id="6">
    <w:p w14:paraId="4B88F5B3" w14:textId="77777777" w:rsidR="001C5460" w:rsidRDefault="001C5460" w:rsidP="00B41169">
      <w:pPr>
        <w:pStyle w:val="FootnoteText"/>
        <w:spacing w:line="240" w:lineRule="auto"/>
      </w:pPr>
      <w:r>
        <w:rPr>
          <w:rStyle w:val="FootnoteReference"/>
        </w:rPr>
        <w:footnoteRef/>
      </w:r>
      <w:r>
        <w:t xml:space="preserve"> DFAT’s Humanitarian Strategy (draft), February 2016.</w:t>
      </w:r>
    </w:p>
  </w:footnote>
  <w:footnote w:id="7">
    <w:p w14:paraId="6046C1CC" w14:textId="77777777" w:rsidR="001C5460" w:rsidRDefault="001C5460" w:rsidP="00B41169">
      <w:pPr>
        <w:pStyle w:val="FootnoteText"/>
        <w:spacing w:line="240" w:lineRule="auto"/>
      </w:pPr>
      <w:r>
        <w:rPr>
          <w:rStyle w:val="FootnoteReference"/>
        </w:rPr>
        <w:footnoteRef/>
      </w:r>
      <w:r>
        <w:t xml:space="preserve"> Australian NGO Cooperation Program (ANCP).</w:t>
      </w:r>
    </w:p>
  </w:footnote>
  <w:footnote w:id="8">
    <w:p w14:paraId="15858CEC" w14:textId="77777777" w:rsidR="001C5460" w:rsidRDefault="001C5460" w:rsidP="00B41169">
      <w:pPr>
        <w:pStyle w:val="FootnoteText"/>
        <w:spacing w:line="240" w:lineRule="auto"/>
      </w:pPr>
      <w:r>
        <w:rPr>
          <w:rStyle w:val="FootnoteReference"/>
          <w:rFonts w:eastAsiaTheme="minorHAnsi"/>
        </w:rPr>
        <w:footnoteRef/>
      </w:r>
      <w:r>
        <w:t xml:space="preserve"> Global Humanitarian Assistance Report 2015.</w:t>
      </w:r>
    </w:p>
  </w:footnote>
  <w:footnote w:id="9">
    <w:p w14:paraId="3F7BFD18" w14:textId="77777777" w:rsidR="001C5460" w:rsidRDefault="001C5460" w:rsidP="00B41169">
      <w:pPr>
        <w:pStyle w:val="FootnoteText"/>
        <w:spacing w:line="240" w:lineRule="auto"/>
      </w:pPr>
      <w:r>
        <w:rPr>
          <w:rStyle w:val="FootnoteReference"/>
          <w:rFonts w:eastAsiaTheme="minorHAnsi"/>
        </w:rPr>
        <w:footnoteRef/>
      </w:r>
      <w:r>
        <w:t xml:space="preserve"> W</w:t>
      </w:r>
      <w:r w:rsidRPr="00E91DAD">
        <w:t>ith contributions totalling USD 24.5 billion</w:t>
      </w:r>
      <w:r>
        <w:t>.</w:t>
      </w:r>
    </w:p>
  </w:footnote>
  <w:footnote w:id="10">
    <w:p w14:paraId="12A966E0" w14:textId="77777777" w:rsidR="001C5460" w:rsidRDefault="001C5460" w:rsidP="00B41169">
      <w:pPr>
        <w:pStyle w:val="FootnoteText"/>
        <w:spacing w:line="240" w:lineRule="auto"/>
      </w:pPr>
      <w:r>
        <w:rPr>
          <w:rStyle w:val="FootnoteReference"/>
          <w:rFonts w:eastAsiaTheme="minorHAnsi"/>
        </w:rPr>
        <w:footnoteRef/>
      </w:r>
      <w:r>
        <w:t xml:space="preserve"> Global Humanitarian Assistance Report 2015.</w:t>
      </w:r>
    </w:p>
  </w:footnote>
  <w:footnote w:id="11">
    <w:p w14:paraId="07DC5B19" w14:textId="77777777" w:rsidR="001C5460" w:rsidRDefault="001C5460" w:rsidP="00B41169">
      <w:pPr>
        <w:pStyle w:val="FootnoteText"/>
        <w:spacing w:line="240" w:lineRule="auto"/>
      </w:pPr>
      <w:r>
        <w:rPr>
          <w:rStyle w:val="FootnoteReference"/>
          <w:rFonts w:eastAsiaTheme="minorHAnsi"/>
        </w:rPr>
        <w:footnoteRef/>
      </w:r>
      <w:r>
        <w:t xml:space="preserve"> Global Humanitarian Assistance Report 2015.</w:t>
      </w:r>
    </w:p>
  </w:footnote>
  <w:footnote w:id="12">
    <w:p w14:paraId="2B9F78A5" w14:textId="77777777" w:rsidR="001C5460" w:rsidRDefault="001C5460" w:rsidP="00B41169">
      <w:pPr>
        <w:pStyle w:val="FootnoteText"/>
        <w:spacing w:line="240" w:lineRule="auto"/>
      </w:pPr>
      <w:r>
        <w:rPr>
          <w:rStyle w:val="FootnoteReference"/>
          <w:rFonts w:eastAsiaTheme="minorHAnsi"/>
        </w:rPr>
        <w:footnoteRef/>
      </w:r>
      <w:r>
        <w:t xml:space="preserve"> UN Under-Secretary-General for Humanitarian Affairs and Emergency Relief Coordinator Stephen O’Brien Opening Remarks to the Global Consultation for the World Humanitarian Summit Geneva, 14 October 2015.</w:t>
      </w:r>
    </w:p>
  </w:footnote>
  <w:footnote w:id="13">
    <w:p w14:paraId="1FE40C03" w14:textId="77777777" w:rsidR="001C5460" w:rsidRDefault="001C5460" w:rsidP="00B41169">
      <w:pPr>
        <w:pStyle w:val="FootnoteText"/>
        <w:spacing w:line="240" w:lineRule="auto"/>
      </w:pPr>
      <w:r>
        <w:rPr>
          <w:rStyle w:val="FootnoteReference"/>
        </w:rPr>
        <w:footnoteRef/>
      </w:r>
      <w:r>
        <w:t xml:space="preserve"> </w:t>
      </w:r>
      <w:hyperlink r:id="rId2" w:history="1">
        <w:r w:rsidRPr="00375EC3">
          <w:rPr>
            <w:rStyle w:val="Hyperlink"/>
          </w:rPr>
          <w:t>http://www.unescap.org/our-work/ict-disaster-risk-reduction</w:t>
        </w:r>
      </w:hyperlink>
      <w:r>
        <w:t>.</w:t>
      </w:r>
    </w:p>
  </w:footnote>
  <w:footnote w:id="14">
    <w:p w14:paraId="0AADA02A" w14:textId="77777777" w:rsidR="001C5460" w:rsidRDefault="001C5460" w:rsidP="00B41169">
      <w:pPr>
        <w:pStyle w:val="FootnoteText"/>
        <w:spacing w:line="240" w:lineRule="auto"/>
      </w:pPr>
      <w:r>
        <w:rPr>
          <w:rStyle w:val="FootnoteReference"/>
          <w:rFonts w:eastAsiaTheme="minorHAnsi"/>
        </w:rPr>
        <w:footnoteRef/>
      </w:r>
      <w:r>
        <w:t xml:space="preserve"> </w:t>
      </w:r>
      <w:r w:rsidRPr="00C276C2">
        <w:rPr>
          <w:i/>
        </w:rPr>
        <w:t>Humanitarian Trends and Challenges for the Pacific Region</w:t>
      </w:r>
      <w:r>
        <w:t>, Paper prepared by ODI for the World Humanitarian Summit’s Regional Consultation, July 2015.</w:t>
      </w:r>
    </w:p>
  </w:footnote>
  <w:footnote w:id="15">
    <w:p w14:paraId="41E63344" w14:textId="77777777" w:rsidR="001C5460" w:rsidRDefault="001C5460" w:rsidP="00A977AD">
      <w:pPr>
        <w:pStyle w:val="FootnoteText"/>
        <w:spacing w:line="240" w:lineRule="auto"/>
      </w:pPr>
      <w:r>
        <w:rPr>
          <w:rStyle w:val="FootnoteReference"/>
          <w:rFonts w:eastAsiaTheme="minorHAnsi"/>
        </w:rPr>
        <w:footnoteRef/>
      </w:r>
      <w:r>
        <w:t xml:space="preserve"> Between May 2014 and July 2015, eight regional consultations involving more than 23,000 people, as well as major thematic and stakeholder consultations and online dialogues took place, backed by over 400 written submissions.</w:t>
      </w:r>
    </w:p>
  </w:footnote>
  <w:footnote w:id="16">
    <w:p w14:paraId="37498089" w14:textId="77777777" w:rsidR="001C5460" w:rsidRDefault="001C5460" w:rsidP="00A977AD">
      <w:pPr>
        <w:pStyle w:val="FootnoteText"/>
        <w:spacing w:line="240" w:lineRule="auto"/>
      </w:pPr>
      <w:r>
        <w:rPr>
          <w:rStyle w:val="FootnoteReference"/>
          <w:rFonts w:eastAsiaTheme="minorHAnsi"/>
        </w:rPr>
        <w:footnoteRef/>
      </w:r>
      <w:r>
        <w:t xml:space="preserve"> Global Humanitarian Assistance Report 2015.</w:t>
      </w:r>
    </w:p>
  </w:footnote>
  <w:footnote w:id="17">
    <w:p w14:paraId="19D4D087" w14:textId="77777777" w:rsidR="001C5460" w:rsidRDefault="001C5460" w:rsidP="004D1C94">
      <w:pPr>
        <w:pStyle w:val="FootnoteText"/>
        <w:spacing w:line="240" w:lineRule="auto"/>
      </w:pPr>
      <w:r>
        <w:rPr>
          <w:rStyle w:val="FootnoteReference"/>
          <w:rFonts w:eastAsiaTheme="minorHAnsi"/>
        </w:rPr>
        <w:footnoteRef/>
      </w:r>
      <w:r>
        <w:t xml:space="preserve"> Sendai Framework for Disaster Risk Reduction 2015-2030.</w:t>
      </w:r>
    </w:p>
  </w:footnote>
  <w:footnote w:id="18">
    <w:p w14:paraId="71378D49" w14:textId="77777777" w:rsidR="001C5460" w:rsidRDefault="001C5460" w:rsidP="004D1C94">
      <w:pPr>
        <w:pStyle w:val="FootnoteText"/>
      </w:pPr>
      <w:r>
        <w:rPr>
          <w:rStyle w:val="FootnoteReference"/>
        </w:rPr>
        <w:footnoteRef/>
      </w:r>
      <w:r>
        <w:t xml:space="preserve"> </w:t>
      </w:r>
      <w:hyperlink r:id="rId3" w:history="1">
        <w:r w:rsidRPr="00375EC3">
          <w:rPr>
            <w:rStyle w:val="Hyperlink"/>
          </w:rPr>
          <w:t>https://www.ipcc.ch/pdf/special-reports/srex/SREX_Full_Report.pdf</w:t>
        </w:r>
      </w:hyperlink>
      <w:r>
        <w:t xml:space="preserve">. </w:t>
      </w:r>
    </w:p>
  </w:footnote>
  <w:footnote w:id="19">
    <w:p w14:paraId="182672EE" w14:textId="77777777" w:rsidR="001C5460" w:rsidRDefault="001C5460" w:rsidP="00E66DDF">
      <w:pPr>
        <w:pStyle w:val="FootnoteText"/>
        <w:spacing w:line="240" w:lineRule="auto"/>
      </w:pPr>
      <w:r>
        <w:rPr>
          <w:rStyle w:val="FootnoteReference"/>
          <w:rFonts w:eastAsiaTheme="minorHAnsi"/>
        </w:rPr>
        <w:footnoteRef/>
      </w:r>
      <w:r>
        <w:t xml:space="preserve"> </w:t>
      </w:r>
      <w:hyperlink r:id="rId4" w:history="1">
        <w:r w:rsidRPr="005819B3">
          <w:rPr>
            <w:rStyle w:val="Hyperlink"/>
          </w:rPr>
          <w:t>http://www.independent.co.uk/environment/climate-change/climate-change-women-more-vulnerable-to-dangers-of-global-warming-than-men-say-leading-academics-a6717311.html</w:t>
        </w:r>
      </w:hyperlink>
      <w:r>
        <w:rPr>
          <w:rStyle w:val="Hyperlink"/>
        </w:rPr>
        <w:t>.</w:t>
      </w:r>
    </w:p>
  </w:footnote>
  <w:footnote w:id="20">
    <w:p w14:paraId="1613CBD6" w14:textId="77777777" w:rsidR="001C5460" w:rsidRDefault="001C5460" w:rsidP="00A977AD">
      <w:pPr>
        <w:pStyle w:val="FootnoteText"/>
        <w:spacing w:line="240" w:lineRule="auto"/>
      </w:pPr>
      <w:r>
        <w:rPr>
          <w:rStyle w:val="FootnoteReference"/>
          <w:rFonts w:eastAsiaTheme="minorHAnsi"/>
        </w:rPr>
        <w:footnoteRef/>
      </w:r>
      <w:r>
        <w:t xml:space="preserve"> ibid.</w:t>
      </w:r>
    </w:p>
  </w:footnote>
  <w:footnote w:id="21">
    <w:p w14:paraId="107F8D23" w14:textId="77777777" w:rsidR="001C5460" w:rsidRPr="002144B2" w:rsidRDefault="001C5460" w:rsidP="0049294C">
      <w:pPr>
        <w:pStyle w:val="FootnoteText"/>
        <w:spacing w:line="240" w:lineRule="auto"/>
        <w:rPr>
          <w:rFonts w:asciiTheme="minorHAnsi" w:hAnsiTheme="minorHAnsi"/>
        </w:rPr>
      </w:pPr>
      <w:r>
        <w:rPr>
          <w:rStyle w:val="FootnoteReference"/>
          <w:rFonts w:eastAsiaTheme="minorHAnsi"/>
        </w:rPr>
        <w:footnoteRef/>
      </w:r>
      <w:r>
        <w:t xml:space="preserve"> </w:t>
      </w:r>
      <w:r w:rsidRPr="004F767A">
        <w:t>The HPA is a partnership between six pre-selected Australian NGOs (CARE Australia, Caritas Australia, Oxfam Australia, Plan International Australia, Save the Children Australia and World Vision Australia) and the Australian Government.</w:t>
      </w:r>
    </w:p>
  </w:footnote>
  <w:footnote w:id="22">
    <w:p w14:paraId="08563AA1" w14:textId="77777777" w:rsidR="001C5460" w:rsidRDefault="001C5460" w:rsidP="00A977AD">
      <w:pPr>
        <w:pStyle w:val="FootnoteText"/>
      </w:pPr>
      <w:r>
        <w:rPr>
          <w:rStyle w:val="FootnoteReference"/>
          <w:rFonts w:eastAsiaTheme="minorHAnsi"/>
        </w:rPr>
        <w:footnoteRef/>
      </w:r>
      <w:r>
        <w:t xml:space="preserve"> See Review of the DFAT-NGO Humanitarian Partnership Agreement (2011-2016), July 2015.</w:t>
      </w:r>
    </w:p>
  </w:footnote>
  <w:footnote w:id="23">
    <w:p w14:paraId="6F13EDD4" w14:textId="77777777" w:rsidR="001C5460" w:rsidRDefault="001C5460" w:rsidP="00A977AD">
      <w:pPr>
        <w:pStyle w:val="FootnoteText"/>
        <w:spacing w:line="240" w:lineRule="auto"/>
      </w:pPr>
      <w:r>
        <w:rPr>
          <w:rStyle w:val="FootnoteReference"/>
          <w:rFonts w:eastAsiaTheme="minorHAnsi"/>
        </w:rPr>
        <w:footnoteRef/>
      </w:r>
      <w:r>
        <w:t xml:space="preserve"> </w:t>
      </w:r>
      <w:r w:rsidRPr="006355D9">
        <w:rPr>
          <w:i/>
        </w:rPr>
        <w:t>Towards Better Humanitarian Donorship: 12 Lessons from DAC Peer Reviews</w:t>
      </w:r>
      <w:r>
        <w:t>, OECD, 2012.</w:t>
      </w:r>
    </w:p>
  </w:footnote>
  <w:footnote w:id="24">
    <w:p w14:paraId="6A97D8D2" w14:textId="77777777" w:rsidR="001C5460" w:rsidRPr="004F767A" w:rsidRDefault="001C5460" w:rsidP="00A977AD">
      <w:pPr>
        <w:autoSpaceDE w:val="0"/>
        <w:autoSpaceDN w:val="0"/>
        <w:adjustRightInd w:val="0"/>
        <w:rPr>
          <w:sz w:val="16"/>
          <w:szCs w:val="16"/>
        </w:rPr>
      </w:pPr>
      <w:r>
        <w:rPr>
          <w:rStyle w:val="FootnoteReference"/>
        </w:rPr>
        <w:footnoteRef/>
      </w:r>
      <w:r>
        <w:t xml:space="preserve"> </w:t>
      </w:r>
      <w:r w:rsidRPr="004F767A">
        <w:rPr>
          <w:rFonts w:ascii="Franklin Gothic Book" w:eastAsia="Times New Roman" w:hAnsi="Franklin Gothic Book" w:cs="Times New Roman"/>
          <w:i/>
          <w:sz w:val="16"/>
          <w:szCs w:val="20"/>
          <w:lang w:eastAsia="en-AU"/>
        </w:rPr>
        <w:t>Future Humanitarian Financing: Looking Beyond the Crisis</w:t>
      </w:r>
      <w:r w:rsidRPr="004F767A">
        <w:rPr>
          <w:rFonts w:ascii="Franklin Gothic Book" w:eastAsia="Times New Roman" w:hAnsi="Franklin Gothic Book" w:cs="Times New Roman"/>
          <w:sz w:val="16"/>
          <w:szCs w:val="20"/>
          <w:lang w:eastAsia="en-AU"/>
        </w:rPr>
        <w:t>, a report of the findings of the Future Humanitarian Financing (FHF) dialogue process, 2015.</w:t>
      </w:r>
    </w:p>
  </w:footnote>
  <w:footnote w:id="25">
    <w:p w14:paraId="5E65E567" w14:textId="77777777" w:rsidR="001C5460" w:rsidRPr="004F767A" w:rsidRDefault="001C5460" w:rsidP="00A977AD">
      <w:r w:rsidRPr="002E2485">
        <w:rPr>
          <w:rStyle w:val="FootnoteReference"/>
          <w:lang w:eastAsia="en-AU"/>
        </w:rPr>
        <w:footnoteRef/>
      </w:r>
      <w:r w:rsidRPr="002E2485">
        <w:rPr>
          <w:rStyle w:val="FootnoteReference"/>
          <w:lang w:eastAsia="en-AU"/>
        </w:rPr>
        <w:t xml:space="preserve"> </w:t>
      </w:r>
      <w:r w:rsidRPr="002E2485">
        <w:rPr>
          <w:rFonts w:ascii="Franklin Gothic Book" w:eastAsia="Times New Roman" w:hAnsi="Franklin Gothic Book" w:cs="Times New Roman"/>
          <w:i/>
          <w:sz w:val="16"/>
          <w:szCs w:val="20"/>
          <w:lang w:eastAsia="en-AU"/>
        </w:rPr>
        <w:t xml:space="preserve">ODI: Humanitarian Policy Group: “Localising humanitarianism: improving effectiveness through inclusive action” </w:t>
      </w:r>
      <w:r w:rsidRPr="004F767A">
        <w:rPr>
          <w:rFonts w:ascii="Franklin Gothic Book" w:eastAsia="Times New Roman" w:hAnsi="Franklin Gothic Book" w:cs="Times New Roman"/>
          <w:sz w:val="16"/>
          <w:szCs w:val="20"/>
          <w:lang w:eastAsia="en-AU"/>
        </w:rPr>
        <w:t>(July 2015)</w:t>
      </w:r>
      <w:r>
        <w:rPr>
          <w:rFonts w:ascii="Franklin Gothic Book" w:eastAsia="Times New Roman" w:hAnsi="Franklin Gothic Book" w:cs="Times New Roman"/>
          <w:sz w:val="16"/>
          <w:szCs w:val="20"/>
          <w:lang w:eastAsia="en-AU"/>
        </w:rPr>
        <w:t>.</w:t>
      </w:r>
    </w:p>
  </w:footnote>
  <w:footnote w:id="26">
    <w:p w14:paraId="061E7697" w14:textId="77777777" w:rsidR="001C5460" w:rsidRDefault="001C5460" w:rsidP="00A977AD">
      <w:pPr>
        <w:pStyle w:val="FootnoteText"/>
        <w:spacing w:line="240" w:lineRule="auto"/>
      </w:pPr>
      <w:r>
        <w:rPr>
          <w:rStyle w:val="FootnoteReference"/>
          <w:rFonts w:eastAsiaTheme="minorHAnsi"/>
        </w:rPr>
        <w:footnoteRef/>
      </w:r>
      <w:r w:rsidRPr="006D75FC">
        <w:rPr>
          <w:i/>
        </w:rPr>
        <w:t>Imagining More Effective Humanitarian Aid: A Donor Perspective</w:t>
      </w:r>
      <w:r>
        <w:t>, OECD Development Cooperation Working Paper 19, October 2014.</w:t>
      </w:r>
    </w:p>
  </w:footnote>
  <w:footnote w:id="27">
    <w:p w14:paraId="59B82DFC" w14:textId="77777777" w:rsidR="001C5460" w:rsidRPr="004F767A" w:rsidRDefault="001C5460" w:rsidP="00A977AD">
      <w:pPr>
        <w:rPr>
          <w:sz w:val="16"/>
          <w:szCs w:val="16"/>
        </w:rPr>
      </w:pPr>
      <w:r w:rsidRPr="00A65090">
        <w:rPr>
          <w:rStyle w:val="FootnoteReference"/>
          <w:rFonts w:eastAsia="Times New Roman" w:cs="Times New Roman"/>
          <w:lang w:eastAsia="en-AU"/>
        </w:rPr>
        <w:footnoteRef/>
      </w:r>
      <w:r w:rsidRPr="00A65090">
        <w:rPr>
          <w:rStyle w:val="FootnoteReference"/>
          <w:rFonts w:eastAsia="Times New Roman" w:cs="Times New Roman"/>
          <w:lang w:eastAsia="en-AU"/>
        </w:rPr>
        <w:t xml:space="preserve"> </w:t>
      </w:r>
      <w:r w:rsidRPr="004F767A">
        <w:rPr>
          <w:rFonts w:ascii="Franklin Gothic Book" w:eastAsia="Times New Roman" w:hAnsi="Franklin Gothic Book" w:cs="Times New Roman"/>
          <w:i/>
          <w:sz w:val="16"/>
          <w:szCs w:val="20"/>
          <w:lang w:eastAsia="en-AU"/>
        </w:rPr>
        <w:t xml:space="preserve">Humanitarian Futures Programme: The Future of NGOs in the Humanitarian Sector (August 2013) </w:t>
      </w:r>
      <w:r w:rsidRPr="004F767A">
        <w:rPr>
          <w:rFonts w:ascii="Franklin Gothic Book" w:eastAsia="Times New Roman" w:hAnsi="Franklin Gothic Book" w:cs="Times New Roman"/>
          <w:sz w:val="16"/>
          <w:szCs w:val="20"/>
          <w:lang w:eastAsia="en-AU"/>
        </w:rPr>
        <w:t>– A discussion paper for the START Network</w:t>
      </w:r>
      <w:r>
        <w:rPr>
          <w:rFonts w:ascii="Franklin Gothic Book" w:eastAsia="Times New Roman" w:hAnsi="Franklin Gothic Book" w:cs="Times New Roman"/>
          <w:sz w:val="16"/>
          <w:szCs w:val="20"/>
          <w:lang w:eastAsia="en-AU"/>
        </w:rPr>
        <w:t>.</w:t>
      </w:r>
    </w:p>
  </w:footnote>
  <w:footnote w:id="28">
    <w:p w14:paraId="09C9000E" w14:textId="77777777" w:rsidR="001C5460" w:rsidRDefault="001C5460">
      <w:pPr>
        <w:pStyle w:val="FootnoteText"/>
      </w:pPr>
      <w:r>
        <w:rPr>
          <w:rStyle w:val="FootnoteReference"/>
        </w:rPr>
        <w:footnoteRef/>
      </w:r>
      <w:r>
        <w:t xml:space="preserve"> Global Humanitarian Assistance Report 2015.</w:t>
      </w:r>
    </w:p>
  </w:footnote>
  <w:footnote w:id="29">
    <w:p w14:paraId="7F13D4F3" w14:textId="77777777" w:rsidR="001C5460" w:rsidRDefault="001C5460" w:rsidP="00F64F1B">
      <w:pPr>
        <w:pStyle w:val="FootnoteText"/>
        <w:spacing w:line="240" w:lineRule="auto"/>
      </w:pPr>
      <w:r>
        <w:rPr>
          <w:rStyle w:val="FootnoteReference"/>
          <w:rFonts w:eastAsiaTheme="minorHAnsi"/>
        </w:rPr>
        <w:footnoteRef/>
      </w:r>
      <w:r>
        <w:t xml:space="preserve"> The current DFAT-NGO Humanitarian Partnership Agreement (2011-2016) replaced the Periodic Funding Agreements for Disaster Risk Management Program 2006-2009.</w:t>
      </w:r>
    </w:p>
  </w:footnote>
  <w:footnote w:id="30">
    <w:p w14:paraId="36DD7380" w14:textId="77777777" w:rsidR="001C5460" w:rsidRDefault="001C5460" w:rsidP="00A977AD">
      <w:pPr>
        <w:pStyle w:val="FootnoteText"/>
      </w:pPr>
      <w:r>
        <w:rPr>
          <w:rStyle w:val="FootnoteReference"/>
          <w:rFonts w:eastAsiaTheme="minorHAnsi"/>
        </w:rPr>
        <w:footnoteRef/>
      </w:r>
      <w:r>
        <w:t xml:space="preserve"> </w:t>
      </w:r>
      <w:r w:rsidRPr="002037C3">
        <w:rPr>
          <w:i/>
        </w:rPr>
        <w:t>Humanitarian Financing in Australia: Scoping Report on Comparative Mechanisms</w:t>
      </w:r>
      <w:r>
        <w:t>, Humanitarian Advisory Group, 2012.</w:t>
      </w:r>
    </w:p>
  </w:footnote>
  <w:footnote w:id="31">
    <w:p w14:paraId="68A4CDD7" w14:textId="77777777" w:rsidR="001C5460" w:rsidRDefault="001C5460" w:rsidP="00A977AD">
      <w:pPr>
        <w:pStyle w:val="FootnoteText"/>
      </w:pPr>
      <w:r>
        <w:rPr>
          <w:rStyle w:val="FootnoteReference"/>
          <w:rFonts w:eastAsiaTheme="minorHAnsi"/>
        </w:rPr>
        <w:footnoteRef/>
      </w:r>
      <w:r>
        <w:t xml:space="preserve"> ACFID’s Annual Statistical Survey (2013-2014).</w:t>
      </w:r>
    </w:p>
  </w:footnote>
  <w:footnote w:id="32">
    <w:p w14:paraId="157990DE" w14:textId="77777777" w:rsidR="001C5460" w:rsidRPr="00011731" w:rsidRDefault="001C5460" w:rsidP="00F64F1B">
      <w:pPr>
        <w:pStyle w:val="FootnoteText"/>
        <w:spacing w:line="240" w:lineRule="auto"/>
        <w:rPr>
          <w:lang w:val="en-US"/>
        </w:rPr>
      </w:pPr>
      <w:r>
        <w:rPr>
          <w:rStyle w:val="FootnoteReference"/>
          <w:rFonts w:eastAsiaTheme="minorEastAsia"/>
        </w:rPr>
        <w:footnoteRef/>
      </w:r>
      <w:r>
        <w:t xml:space="preserve"> </w:t>
      </w:r>
      <w:r>
        <w:rPr>
          <w:lang w:val="en-US"/>
        </w:rPr>
        <w:t>In light of those separate funding agreements, it is expected that Australian Red Cross and RedR will participate in the partnership aspects of the Australian Humanitarian Partnership but will not be eligible for pre-selection for rapid response funding under this investment.</w:t>
      </w:r>
    </w:p>
  </w:footnote>
  <w:footnote w:id="33">
    <w:p w14:paraId="73B74D5E" w14:textId="77777777" w:rsidR="001C5460" w:rsidRDefault="001C5460">
      <w:pPr>
        <w:pStyle w:val="FootnoteText"/>
      </w:pPr>
      <w:r>
        <w:rPr>
          <w:rStyle w:val="FootnoteReference"/>
        </w:rPr>
        <w:footnoteRef/>
      </w:r>
      <w:r>
        <w:t xml:space="preserve"> A similar process to that under the current HPA model, with some modifications as outlined below.</w:t>
      </w:r>
    </w:p>
  </w:footnote>
  <w:footnote w:id="34">
    <w:p w14:paraId="5A1FFC3E" w14:textId="77777777" w:rsidR="001C5460" w:rsidRDefault="001C5460" w:rsidP="00022DF8">
      <w:pPr>
        <w:pStyle w:val="FootnoteText"/>
      </w:pPr>
      <w:r>
        <w:rPr>
          <w:rStyle w:val="FootnoteReference"/>
        </w:rPr>
        <w:footnoteRef/>
      </w:r>
      <w:r>
        <w:t xml:space="preserve"> Preparatory Stakeholder Analysis, World Humanitarian Summit Regional Consultation for the Pacific, 2015.</w:t>
      </w:r>
    </w:p>
  </w:footnote>
  <w:footnote w:id="35">
    <w:p w14:paraId="181CC259" w14:textId="77777777" w:rsidR="001C5460" w:rsidRDefault="001C5460" w:rsidP="00022DF8">
      <w:pPr>
        <w:pStyle w:val="FootnoteText"/>
      </w:pPr>
      <w:r>
        <w:rPr>
          <w:rStyle w:val="FootnoteReference"/>
        </w:rPr>
        <w:footnoteRef/>
      </w:r>
      <w:r>
        <w:t xml:space="preserve"> Preparatory Stakeholder Analysis, World Humanitarian Summit Regional Consultation for the Pacific, 2015.</w:t>
      </w:r>
    </w:p>
  </w:footnote>
  <w:footnote w:id="36">
    <w:p w14:paraId="2258926C" w14:textId="77777777" w:rsidR="001C5460" w:rsidRPr="00F57104" w:rsidRDefault="001C5460" w:rsidP="00F64F1B">
      <w:pPr>
        <w:pStyle w:val="FootnoteText"/>
        <w:spacing w:line="240" w:lineRule="auto"/>
        <w:rPr>
          <w:lang w:val="en-US"/>
        </w:rPr>
      </w:pPr>
      <w:r>
        <w:rPr>
          <w:rStyle w:val="FootnoteReference"/>
        </w:rPr>
        <w:footnoteRef/>
      </w:r>
      <w:r>
        <w:t xml:space="preserve"> </w:t>
      </w:r>
      <w:r>
        <w:rPr>
          <w:lang w:val="en-US"/>
        </w:rPr>
        <w:t>These percentages relate to DFAT's overall humanitarian expenditure, not to individual activations of the mechanisms. In some contexts (Iraq and Syria, for example) it may be appropriate for much less (or zero) funding to go to ANGOs, while in some other contexts, significantly more than 18-20% may be appropriate.</w:t>
      </w:r>
    </w:p>
  </w:footnote>
  <w:footnote w:id="37">
    <w:p w14:paraId="08B78616" w14:textId="77777777" w:rsidR="001C5460" w:rsidRDefault="001C5460" w:rsidP="00B90BFE">
      <w:pPr>
        <w:pStyle w:val="FootnoteText"/>
        <w:spacing w:line="240" w:lineRule="auto"/>
      </w:pPr>
      <w:r>
        <w:rPr>
          <w:rStyle w:val="FootnoteReference"/>
        </w:rPr>
        <w:footnoteRef/>
      </w:r>
      <w:r>
        <w:t xml:space="preserve"> </w:t>
      </w:r>
      <w:r w:rsidRPr="004F767A">
        <w:t xml:space="preserve">ANGOs partners selected through the competitive procurement process will participate with DFAT in a ‘design-and-implement' inception phase </w:t>
      </w:r>
      <w:r>
        <w:t>in</w:t>
      </w:r>
      <w:r w:rsidRPr="004F767A">
        <w:t xml:space="preserve"> 2016-17, which will determine the priorities, partnerships and activities to be pursued</w:t>
      </w:r>
      <w:r>
        <w:t>.</w:t>
      </w:r>
    </w:p>
  </w:footnote>
  <w:footnote w:id="38">
    <w:p w14:paraId="039F9E30" w14:textId="77777777" w:rsidR="001C5460" w:rsidRPr="00F766B2" w:rsidRDefault="001C5460" w:rsidP="00B90BFE">
      <w:pPr>
        <w:pStyle w:val="FootnoteText"/>
        <w:spacing w:line="240" w:lineRule="auto"/>
        <w:rPr>
          <w:lang w:val="en-US"/>
        </w:rPr>
      </w:pPr>
      <w:r>
        <w:rPr>
          <w:rStyle w:val="FootnoteReference"/>
        </w:rPr>
        <w:footnoteRef/>
      </w:r>
      <w:r>
        <w:t xml:space="preserve"> </w:t>
      </w:r>
      <w:r>
        <w:rPr>
          <w:lang w:val="en-US"/>
        </w:rPr>
        <w:t>And/or potential secondment of DFAT staff into the Support Unit.</w:t>
      </w:r>
    </w:p>
  </w:footnote>
  <w:footnote w:id="39">
    <w:p w14:paraId="1D8440A7" w14:textId="58CF0FF4" w:rsidR="001C5460" w:rsidRPr="00672D3C" w:rsidRDefault="001C5460" w:rsidP="00B90BFE">
      <w:pPr>
        <w:rPr>
          <w:rFonts w:ascii="Franklin Gothic Book" w:eastAsia="Times New Roman" w:hAnsi="Franklin Gothic Book" w:cs="Times New Roman"/>
          <w:sz w:val="16"/>
          <w:szCs w:val="20"/>
          <w:lang w:val="en-US" w:eastAsia="en-AU"/>
        </w:rPr>
      </w:pPr>
      <w:r w:rsidRPr="00672D3C">
        <w:rPr>
          <w:rStyle w:val="FootnoteReference"/>
          <w:rFonts w:eastAsia="Times New Roman" w:cs="Times New Roman"/>
          <w:lang w:eastAsia="en-AU"/>
        </w:rPr>
        <w:footnoteRef/>
      </w:r>
      <w:r w:rsidRPr="00672D3C">
        <w:rPr>
          <w:rStyle w:val="FootnoteReference"/>
        </w:rPr>
        <w:t xml:space="preserve"> </w:t>
      </w:r>
      <w:r w:rsidRPr="0070507C">
        <w:rPr>
          <w:rFonts w:ascii="Franklin Gothic Book" w:eastAsia="Times New Roman" w:hAnsi="Franklin Gothic Book" w:cs="Times New Roman"/>
          <w:sz w:val="16"/>
          <w:szCs w:val="20"/>
          <w:lang w:val="en-US" w:eastAsia="en-AU"/>
        </w:rPr>
        <w:t xml:space="preserve">Derived from the following annual </w:t>
      </w:r>
      <w:r>
        <w:rPr>
          <w:rFonts w:ascii="Franklin Gothic Book" w:eastAsia="Times New Roman" w:hAnsi="Franklin Gothic Book" w:cs="Times New Roman"/>
          <w:sz w:val="16"/>
          <w:szCs w:val="20"/>
          <w:lang w:val="en-US" w:eastAsia="en-AU"/>
        </w:rPr>
        <w:t>estimates</w:t>
      </w:r>
      <w:r w:rsidRPr="0070507C">
        <w:rPr>
          <w:rFonts w:ascii="Franklin Gothic Book" w:eastAsia="Times New Roman" w:hAnsi="Franklin Gothic Book" w:cs="Times New Roman"/>
          <w:sz w:val="16"/>
          <w:szCs w:val="20"/>
          <w:lang w:val="en-US" w:eastAsia="en-AU"/>
        </w:rPr>
        <w:t xml:space="preserve"> based on the DFAT Advisor Remuneration Framework </w:t>
      </w:r>
      <w:r>
        <w:rPr>
          <w:rFonts w:ascii="Franklin Gothic Book" w:eastAsia="Times New Roman" w:hAnsi="Franklin Gothic Book" w:cs="Times New Roman"/>
          <w:sz w:val="16"/>
          <w:szCs w:val="20"/>
          <w:lang w:val="en-US" w:eastAsia="en-AU"/>
        </w:rPr>
        <w:t xml:space="preserve">(ARF) </w:t>
      </w:r>
      <w:r w:rsidRPr="0070507C">
        <w:rPr>
          <w:rFonts w:ascii="Franklin Gothic Book" w:eastAsia="Times New Roman" w:hAnsi="Franklin Gothic Book" w:cs="Times New Roman"/>
          <w:sz w:val="16"/>
          <w:szCs w:val="20"/>
          <w:lang w:val="en-US" w:eastAsia="en-AU"/>
        </w:rPr>
        <w:t xml:space="preserve">2016 rates. Note that ARF figures are used as a guide only, </w:t>
      </w:r>
      <w:r>
        <w:rPr>
          <w:rFonts w:ascii="Franklin Gothic Book" w:eastAsia="Times New Roman" w:hAnsi="Franklin Gothic Book" w:cs="Times New Roman"/>
          <w:sz w:val="16"/>
          <w:szCs w:val="20"/>
          <w:lang w:val="en-US" w:eastAsia="en-AU"/>
        </w:rPr>
        <w:t>since</w:t>
      </w:r>
      <w:r w:rsidRPr="0070507C">
        <w:rPr>
          <w:rFonts w:ascii="Franklin Gothic Book" w:eastAsia="Times New Roman" w:hAnsi="Franklin Gothic Book" w:cs="Times New Roman"/>
          <w:sz w:val="16"/>
          <w:szCs w:val="20"/>
          <w:lang w:val="en-US" w:eastAsia="en-AU"/>
        </w:rPr>
        <w:t xml:space="preserve"> the ARF does not apply</w:t>
      </w:r>
      <w:r>
        <w:rPr>
          <w:rFonts w:ascii="Franklin Gothic Book" w:eastAsia="Times New Roman" w:hAnsi="Franklin Gothic Book" w:cs="Times New Roman"/>
          <w:sz w:val="16"/>
          <w:szCs w:val="20"/>
          <w:lang w:val="en-US" w:eastAsia="en-AU"/>
        </w:rPr>
        <w:t xml:space="preserve"> to </w:t>
      </w:r>
      <w:r w:rsidRPr="0070507C">
        <w:rPr>
          <w:rFonts w:ascii="Franklin Gothic Book" w:eastAsia="Times New Roman" w:hAnsi="Franklin Gothic Book" w:cs="Times New Roman"/>
          <w:sz w:val="16"/>
          <w:szCs w:val="20"/>
          <w:lang w:val="en-US" w:eastAsia="en-AU"/>
        </w:rPr>
        <w:t>"individuals (including those in advisory roles) engaged through the terms and conditions of a grant agreement using the grant recipient’s own procur</w:t>
      </w:r>
      <w:r>
        <w:rPr>
          <w:rFonts w:ascii="Franklin Gothic Book" w:eastAsia="Times New Roman" w:hAnsi="Franklin Gothic Book" w:cs="Times New Roman"/>
          <w:sz w:val="16"/>
          <w:szCs w:val="20"/>
          <w:lang w:val="en-US" w:eastAsia="en-AU"/>
        </w:rPr>
        <w:t>ement processes.</w:t>
      </w:r>
      <w:r w:rsidRPr="0070507C">
        <w:rPr>
          <w:rFonts w:ascii="Franklin Gothic Book" w:eastAsia="Times New Roman" w:hAnsi="Franklin Gothic Book" w:cs="Times New Roman"/>
          <w:sz w:val="16"/>
          <w:szCs w:val="20"/>
          <w:lang w:val="en-US" w:eastAsia="en-AU"/>
        </w:rPr>
        <w:t>"</w:t>
      </w:r>
      <w:r>
        <w:rPr>
          <w:rFonts w:ascii="Franklin Gothic Book" w:eastAsia="Times New Roman" w:hAnsi="Franklin Gothic Book" w:cs="Times New Roman"/>
          <w:sz w:val="16"/>
          <w:szCs w:val="20"/>
          <w:lang w:val="en-US" w:eastAsia="en-AU"/>
        </w:rPr>
        <w:t xml:space="preserve"> Director (C</w:t>
      </w:r>
      <w:r w:rsidRPr="0070507C">
        <w:rPr>
          <w:rFonts w:ascii="Franklin Gothic Book" w:eastAsia="Times New Roman" w:hAnsi="Franklin Gothic Book" w:cs="Times New Roman"/>
          <w:sz w:val="16"/>
          <w:szCs w:val="20"/>
          <w:lang w:val="en-US" w:eastAsia="en-AU"/>
        </w:rPr>
        <w:t>3</w:t>
      </w:r>
      <w:r>
        <w:rPr>
          <w:rFonts w:ascii="Franklin Gothic Book" w:eastAsia="Times New Roman" w:hAnsi="Franklin Gothic Book" w:cs="Times New Roman"/>
          <w:sz w:val="16"/>
          <w:szCs w:val="20"/>
          <w:lang w:val="en-US" w:eastAsia="en-AU"/>
        </w:rPr>
        <w:t>): $164,196. MEL Officer (C</w:t>
      </w:r>
      <w:r w:rsidRPr="0070507C">
        <w:rPr>
          <w:rFonts w:ascii="Franklin Gothic Book" w:eastAsia="Times New Roman" w:hAnsi="Franklin Gothic Book" w:cs="Times New Roman"/>
          <w:sz w:val="16"/>
          <w:szCs w:val="20"/>
          <w:lang w:val="en-US" w:eastAsia="en-AU"/>
        </w:rPr>
        <w:t>2): $1</w:t>
      </w:r>
      <w:r>
        <w:rPr>
          <w:rFonts w:ascii="Franklin Gothic Book" w:eastAsia="Times New Roman" w:hAnsi="Franklin Gothic Book" w:cs="Times New Roman"/>
          <w:sz w:val="16"/>
          <w:szCs w:val="20"/>
          <w:lang w:val="en-US" w:eastAsia="en-AU"/>
        </w:rPr>
        <w:t>20,384</w:t>
      </w:r>
      <w:r w:rsidRPr="0070507C">
        <w:rPr>
          <w:rFonts w:ascii="Franklin Gothic Book" w:eastAsia="Times New Roman" w:hAnsi="Franklin Gothic Book" w:cs="Times New Roman"/>
          <w:sz w:val="16"/>
          <w:szCs w:val="20"/>
          <w:lang w:val="en-US" w:eastAsia="en-AU"/>
        </w:rPr>
        <w:t>. Communications Off</w:t>
      </w:r>
      <w:r>
        <w:rPr>
          <w:rFonts w:ascii="Franklin Gothic Book" w:eastAsia="Times New Roman" w:hAnsi="Franklin Gothic Book" w:cs="Times New Roman"/>
          <w:sz w:val="16"/>
          <w:szCs w:val="20"/>
          <w:lang w:val="en-US" w:eastAsia="en-AU"/>
        </w:rPr>
        <w:t>icer (C</w:t>
      </w:r>
      <w:r w:rsidRPr="0070507C">
        <w:rPr>
          <w:rFonts w:ascii="Franklin Gothic Book" w:eastAsia="Times New Roman" w:hAnsi="Franklin Gothic Book" w:cs="Times New Roman"/>
          <w:sz w:val="16"/>
          <w:szCs w:val="20"/>
          <w:lang w:val="en-US" w:eastAsia="en-AU"/>
        </w:rPr>
        <w:t>2): $</w:t>
      </w:r>
      <w:r>
        <w:rPr>
          <w:rFonts w:ascii="Franklin Gothic Book" w:eastAsia="Times New Roman" w:hAnsi="Franklin Gothic Book" w:cs="Times New Roman"/>
          <w:sz w:val="16"/>
          <w:szCs w:val="20"/>
          <w:lang w:val="en-US" w:eastAsia="en-AU"/>
        </w:rPr>
        <w:t>120,384</w:t>
      </w:r>
      <w:r w:rsidRPr="0070507C">
        <w:rPr>
          <w:rFonts w:ascii="Franklin Gothic Book" w:eastAsia="Times New Roman" w:hAnsi="Franklin Gothic Book" w:cs="Times New Roman"/>
          <w:sz w:val="16"/>
          <w:szCs w:val="20"/>
          <w:lang w:val="en-US" w:eastAsia="en-AU"/>
        </w:rPr>
        <w:t xml:space="preserve">. </w:t>
      </w:r>
      <w:r>
        <w:rPr>
          <w:rFonts w:ascii="Franklin Gothic Book" w:eastAsia="Times New Roman" w:hAnsi="Franklin Gothic Book" w:cs="Times New Roman"/>
          <w:sz w:val="16"/>
          <w:szCs w:val="20"/>
          <w:lang w:val="en-US" w:eastAsia="en-AU"/>
        </w:rPr>
        <w:t xml:space="preserve">20% management fee for three full-time positions: $80,993. </w:t>
      </w:r>
      <w:r w:rsidRPr="0070507C">
        <w:rPr>
          <w:rFonts w:ascii="Franklin Gothic Book" w:eastAsia="Times New Roman" w:hAnsi="Franklin Gothic Book" w:cs="Times New Roman"/>
          <w:sz w:val="16"/>
          <w:szCs w:val="20"/>
          <w:lang w:val="en-US" w:eastAsia="en-AU"/>
        </w:rPr>
        <w:t>3</w:t>
      </w:r>
      <w:r>
        <w:rPr>
          <w:rFonts w:ascii="Franklin Gothic Book" w:eastAsia="Times New Roman" w:hAnsi="Franklin Gothic Book" w:cs="Times New Roman"/>
          <w:sz w:val="16"/>
          <w:szCs w:val="20"/>
          <w:lang w:val="en-US" w:eastAsia="en-AU"/>
        </w:rPr>
        <w:t>3 input days (4</w:t>
      </w:r>
      <w:r w:rsidRPr="0070507C">
        <w:rPr>
          <w:rFonts w:ascii="Franklin Gothic Book" w:eastAsia="Times New Roman" w:hAnsi="Franklin Gothic Book" w:cs="Times New Roman"/>
          <w:sz w:val="16"/>
          <w:szCs w:val="20"/>
          <w:lang w:val="en-US" w:eastAsia="en-AU"/>
        </w:rPr>
        <w:t xml:space="preserve"> rapid activations at 3 days each, 2 protract</w:t>
      </w:r>
      <w:r>
        <w:rPr>
          <w:rFonts w:ascii="Franklin Gothic Book" w:eastAsia="Times New Roman" w:hAnsi="Franklin Gothic Book" w:cs="Times New Roman"/>
          <w:sz w:val="16"/>
          <w:szCs w:val="20"/>
          <w:lang w:val="en-US" w:eastAsia="en-AU"/>
        </w:rPr>
        <w:t>ed activations at 4 days each, C</w:t>
      </w:r>
      <w:r w:rsidRPr="0070507C">
        <w:rPr>
          <w:rFonts w:ascii="Franklin Gothic Book" w:eastAsia="Times New Roman" w:hAnsi="Franklin Gothic Book" w:cs="Times New Roman"/>
          <w:sz w:val="16"/>
          <w:szCs w:val="20"/>
          <w:lang w:val="en-US" w:eastAsia="en-AU"/>
        </w:rPr>
        <w:t xml:space="preserve">ommunications 5 days, </w:t>
      </w:r>
      <w:r>
        <w:rPr>
          <w:rFonts w:ascii="Franklin Gothic Book" w:eastAsia="Times New Roman" w:hAnsi="Franklin Gothic Book" w:cs="Times New Roman"/>
          <w:sz w:val="16"/>
          <w:szCs w:val="20"/>
          <w:lang w:val="en-US" w:eastAsia="en-AU"/>
        </w:rPr>
        <w:t>Contingency</w:t>
      </w:r>
      <w:r w:rsidRPr="0070507C">
        <w:rPr>
          <w:rFonts w:ascii="Franklin Gothic Book" w:eastAsia="Times New Roman" w:hAnsi="Franklin Gothic Book" w:cs="Times New Roman"/>
          <w:sz w:val="16"/>
          <w:szCs w:val="20"/>
          <w:lang w:val="en-US" w:eastAsia="en-AU"/>
        </w:rPr>
        <w:t xml:space="preserve"> </w:t>
      </w:r>
      <w:r>
        <w:rPr>
          <w:rFonts w:ascii="Franklin Gothic Book" w:eastAsia="Times New Roman" w:hAnsi="Franklin Gothic Book" w:cs="Times New Roman"/>
          <w:sz w:val="16"/>
          <w:szCs w:val="20"/>
          <w:lang w:val="en-US" w:eastAsia="en-AU"/>
        </w:rPr>
        <w:t>8 days) from external experts (C</w:t>
      </w:r>
      <w:r w:rsidRPr="0070507C">
        <w:rPr>
          <w:rFonts w:ascii="Franklin Gothic Book" w:eastAsia="Times New Roman" w:hAnsi="Franklin Gothic Book" w:cs="Times New Roman"/>
          <w:sz w:val="16"/>
          <w:szCs w:val="20"/>
          <w:lang w:val="en-US" w:eastAsia="en-AU"/>
        </w:rPr>
        <w:t>3 @ short-term rates, plus a 20% management fee): $</w:t>
      </w:r>
      <w:r>
        <w:rPr>
          <w:rFonts w:ascii="Franklin Gothic Book" w:eastAsia="Times New Roman" w:hAnsi="Franklin Gothic Book" w:cs="Times New Roman"/>
          <w:sz w:val="16"/>
          <w:szCs w:val="20"/>
          <w:lang w:val="en-US" w:eastAsia="en-AU"/>
        </w:rPr>
        <w:t>32,155</w:t>
      </w:r>
      <w:r w:rsidRPr="0070507C">
        <w:rPr>
          <w:rFonts w:ascii="Franklin Gothic Book" w:eastAsia="Times New Roman" w:hAnsi="Franklin Gothic Book" w:cs="Times New Roman"/>
          <w:sz w:val="16"/>
          <w:szCs w:val="20"/>
          <w:lang w:val="en-US" w:eastAsia="en-AU"/>
        </w:rPr>
        <w:t xml:space="preserve">. </w:t>
      </w:r>
      <w:r>
        <w:rPr>
          <w:rFonts w:ascii="Franklin Gothic Book" w:eastAsia="Times New Roman" w:hAnsi="Franklin Gothic Book" w:cs="Times New Roman"/>
          <w:sz w:val="16"/>
          <w:szCs w:val="20"/>
          <w:lang w:val="en-US" w:eastAsia="en-AU"/>
        </w:rPr>
        <w:t xml:space="preserve">Travel budget $50,000. Office administration costs $30,000 </w:t>
      </w:r>
      <w:r>
        <w:rPr>
          <w:rFonts w:ascii="Franklin Gothic Book" w:eastAsia="Times New Roman" w:hAnsi="Franklin Gothic Book" w:cs="Times New Roman"/>
          <w:sz w:val="16"/>
          <w:szCs w:val="20"/>
          <w:u w:val="single"/>
          <w:lang w:val="en-US" w:eastAsia="en-AU"/>
        </w:rPr>
        <w:t>Total: $598,112</w:t>
      </w:r>
      <w:r w:rsidRPr="0070507C">
        <w:rPr>
          <w:rFonts w:ascii="Franklin Gothic Book" w:eastAsia="Times New Roman" w:hAnsi="Franklin Gothic Book" w:cs="Times New Roman"/>
          <w:sz w:val="16"/>
          <w:szCs w:val="20"/>
          <w:lang w:val="en-US" w:eastAsia="en-AU"/>
        </w:rPr>
        <w:t xml:space="preserve">. </w:t>
      </w:r>
    </w:p>
  </w:footnote>
  <w:footnote w:id="40">
    <w:p w14:paraId="75B0F665" w14:textId="77777777" w:rsidR="001C5460" w:rsidRPr="006A7678" w:rsidRDefault="001C5460" w:rsidP="001C2EC8">
      <w:pPr>
        <w:pStyle w:val="FootnoteText"/>
        <w:spacing w:line="240" w:lineRule="auto"/>
        <w:rPr>
          <w:lang w:val="en-US"/>
        </w:rPr>
      </w:pPr>
      <w:r>
        <w:rPr>
          <w:rStyle w:val="FootnoteReference"/>
        </w:rPr>
        <w:footnoteRef/>
      </w:r>
      <w:r>
        <w:t xml:space="preserve"> </w:t>
      </w:r>
      <w:r w:rsidRPr="002037C3">
        <w:rPr>
          <w:i/>
        </w:rPr>
        <w:t>Humanitarian Financing in Australia: Scoping Report on Comparative Mechanisms</w:t>
      </w:r>
      <w:r>
        <w:t>, Humanitarian Advisory Group, 2012.</w:t>
      </w:r>
    </w:p>
  </w:footnote>
  <w:footnote w:id="41">
    <w:p w14:paraId="20E97595" w14:textId="77777777" w:rsidR="001C5460" w:rsidRPr="005D712C" w:rsidRDefault="001C5460" w:rsidP="000B4674">
      <w:pPr>
        <w:pStyle w:val="FootnoteText"/>
        <w:rPr>
          <w:lang w:val="en-US"/>
        </w:rPr>
      </w:pPr>
      <w:r>
        <w:rPr>
          <w:rStyle w:val="FootnoteReference"/>
        </w:rPr>
        <w:footnoteRef/>
      </w:r>
      <w:r>
        <w:t xml:space="preserve"> </w:t>
      </w:r>
      <w:r>
        <w:rPr>
          <w:lang w:val="en-US"/>
        </w:rPr>
        <w:t>HPA Review p.18.</w:t>
      </w:r>
    </w:p>
  </w:footnote>
  <w:footnote w:id="42">
    <w:p w14:paraId="37509664" w14:textId="77777777" w:rsidR="001C5460" w:rsidRPr="004F767A" w:rsidRDefault="001C5460" w:rsidP="003E45FD">
      <w:pPr>
        <w:pStyle w:val="FootnoteText"/>
        <w:spacing w:line="240" w:lineRule="auto"/>
        <w:rPr>
          <w:szCs w:val="16"/>
        </w:rPr>
      </w:pPr>
      <w:r w:rsidRPr="00DC5265">
        <w:rPr>
          <w:rStyle w:val="FootnoteReference"/>
          <w:sz w:val="18"/>
          <w:szCs w:val="18"/>
        </w:rPr>
        <w:footnoteRef/>
      </w:r>
      <w:r w:rsidRPr="00DC5265">
        <w:rPr>
          <w:sz w:val="18"/>
          <w:szCs w:val="18"/>
        </w:rPr>
        <w:t xml:space="preserve"> </w:t>
      </w:r>
      <w:r w:rsidRPr="004F767A">
        <w:rPr>
          <w:szCs w:val="16"/>
        </w:rPr>
        <w:t>Monitoring reports will request brief information while individual and joint response evaluation</w:t>
      </w:r>
      <w:r>
        <w:rPr>
          <w:szCs w:val="16"/>
        </w:rPr>
        <w:t>s</w:t>
      </w:r>
      <w:r w:rsidRPr="004F767A">
        <w:rPr>
          <w:szCs w:val="16"/>
        </w:rPr>
        <w:t xml:space="preserve"> will provide opportunity for more in-depth analysis and reporting. </w:t>
      </w:r>
    </w:p>
  </w:footnote>
  <w:footnote w:id="43">
    <w:p w14:paraId="29A65C30" w14:textId="77777777" w:rsidR="001C5460" w:rsidRPr="00474E49" w:rsidRDefault="001C5460" w:rsidP="003E45FD">
      <w:pPr>
        <w:pStyle w:val="FootnoteText"/>
        <w:spacing w:line="240" w:lineRule="auto"/>
        <w:rPr>
          <w:sz w:val="18"/>
          <w:szCs w:val="18"/>
        </w:rPr>
      </w:pPr>
      <w:r w:rsidRPr="00C07829">
        <w:rPr>
          <w:rStyle w:val="FootnoteReference"/>
          <w:rFonts w:ascii="Franklin Gothic Book" w:hAnsi="Franklin Gothic Book"/>
          <w:szCs w:val="16"/>
        </w:rPr>
        <w:footnoteRef/>
      </w:r>
      <w:r w:rsidRPr="00C07829">
        <w:rPr>
          <w:szCs w:val="16"/>
        </w:rPr>
        <w:t xml:space="preserve"> See the Theory of Change in </w:t>
      </w:r>
      <w:r>
        <w:rPr>
          <w:szCs w:val="16"/>
        </w:rPr>
        <w:t>Annex 2</w:t>
      </w:r>
      <w:r w:rsidRPr="00C07829">
        <w:rPr>
          <w:szCs w:val="16"/>
        </w:rPr>
        <w:t>.</w:t>
      </w:r>
    </w:p>
  </w:footnote>
  <w:footnote w:id="44">
    <w:p w14:paraId="6E2B5974" w14:textId="77777777" w:rsidR="001C5460" w:rsidRPr="004F767A" w:rsidRDefault="001C5460" w:rsidP="003E45FD">
      <w:pPr>
        <w:pStyle w:val="FootnoteText"/>
        <w:spacing w:line="240" w:lineRule="auto"/>
        <w:rPr>
          <w:szCs w:val="16"/>
        </w:rPr>
      </w:pPr>
      <w:r w:rsidRPr="00474E49">
        <w:rPr>
          <w:rStyle w:val="FootnoteReference"/>
          <w:rFonts w:asciiTheme="minorHAnsi" w:hAnsiTheme="minorHAnsi"/>
        </w:rPr>
        <w:footnoteRef/>
      </w:r>
      <w:r w:rsidRPr="00474E49">
        <w:t xml:space="preserve"> </w:t>
      </w:r>
      <w:r w:rsidRPr="004F767A">
        <w:rPr>
          <w:szCs w:val="16"/>
        </w:rPr>
        <w:t xml:space="preserve">During consultations with partners, field visits of 2-3 days for each implementing partner was reported to be insufficient. </w:t>
      </w:r>
    </w:p>
  </w:footnote>
  <w:footnote w:id="45">
    <w:p w14:paraId="1013A3F1" w14:textId="77777777" w:rsidR="001C5460" w:rsidRDefault="001C5460" w:rsidP="001D2115">
      <w:pPr>
        <w:pStyle w:val="FootnoteText"/>
        <w:spacing w:line="240" w:lineRule="auto"/>
      </w:pPr>
      <w:r>
        <w:rPr>
          <w:rStyle w:val="FootnoteReference"/>
        </w:rPr>
        <w:footnoteRef/>
      </w:r>
      <w:r>
        <w:t xml:space="preserve"> Collection of photo, video and audio content will enable people to directly report their own experiences of being involved in crisis responses and capture these in a format that can be more easily shared with the Australian public and other stakeholders. This will ensure participatory ways of collecting and sharing content can be used in the evaluation.</w:t>
      </w:r>
    </w:p>
  </w:footnote>
  <w:footnote w:id="46">
    <w:p w14:paraId="5C84FE22" w14:textId="77777777" w:rsidR="001C5460" w:rsidRDefault="001C5460" w:rsidP="003E45FD">
      <w:pPr>
        <w:pStyle w:val="FootnoteText"/>
        <w:spacing w:line="240" w:lineRule="auto"/>
      </w:pPr>
      <w:r w:rsidRPr="002654D1">
        <w:rPr>
          <w:rStyle w:val="FootnoteReference"/>
        </w:rPr>
        <w:footnoteRef/>
      </w:r>
      <w:r w:rsidRPr="002654D1">
        <w:t xml:space="preserve"> Strategic evaluations will provide an in-depth examination of priority areas that warrant deeper enquiry (i.e. protection in responses and initiatives, ANGO and whole-of-government coordination in responses).  Meta evaluations will synthesis and analyse </w:t>
      </w:r>
      <w:r>
        <w:t>evaluations and other key</w:t>
      </w:r>
      <w:r w:rsidRPr="002654D1">
        <w:t xml:space="preserve"> information, allowing key issues and learnings to be summarised in priority areas (i.e. private sector engagement, adherence to the Core Humanitarian Standards).</w:t>
      </w:r>
    </w:p>
  </w:footnote>
  <w:footnote w:id="47">
    <w:p w14:paraId="751F6BCD" w14:textId="77777777" w:rsidR="001C5460" w:rsidRPr="00FA13CD" w:rsidRDefault="001C5460" w:rsidP="00F64F1B">
      <w:pPr>
        <w:pStyle w:val="FootnoteText"/>
        <w:spacing w:line="240" w:lineRule="auto"/>
        <w:rPr>
          <w:i/>
          <w:lang w:val="en-US"/>
        </w:rPr>
      </w:pPr>
      <w:r w:rsidRPr="00F64F1B">
        <w:rPr>
          <w:rStyle w:val="FootnoteReference"/>
        </w:rPr>
        <w:footnoteRef/>
      </w:r>
      <w:r w:rsidRPr="00FA13CD">
        <w:rPr>
          <w:lang w:val="en-US"/>
        </w:rPr>
        <w:t xml:space="preserve"> </w:t>
      </w:r>
      <w:r>
        <w:rPr>
          <w:lang w:val="en-US"/>
        </w:rPr>
        <w:t>Including among others the</w:t>
      </w:r>
      <w:r w:rsidRPr="00AE5790">
        <w:t xml:space="preserve"> </w:t>
      </w:r>
      <w:r w:rsidRPr="00E20027">
        <w:t>Core Humanitarian Standard on Quality and Accountability</w:t>
      </w:r>
      <w:r>
        <w:rPr>
          <w:lang w:val="en-US"/>
        </w:rPr>
        <w:t xml:space="preserve">, the ACFID Code of Conduct, the </w:t>
      </w:r>
      <w:r w:rsidRPr="00FA13CD">
        <w:rPr>
          <w:lang w:val="en-US"/>
        </w:rPr>
        <w:t>Code of Conduct for the International Red Cross and Red Crescent Movement and Non-Governmental Organisa</w:t>
      </w:r>
      <w:r>
        <w:rPr>
          <w:lang w:val="en-US"/>
        </w:rPr>
        <w:t xml:space="preserve">tions (NGOs) in Disaster Relief, and the Sendai Framework for Disaster Risk Reduction. </w:t>
      </w:r>
    </w:p>
  </w:footnote>
  <w:footnote w:id="48">
    <w:p w14:paraId="5177810C" w14:textId="77777777" w:rsidR="001C5460" w:rsidRPr="00712F03" w:rsidRDefault="001C5460" w:rsidP="007F1D78">
      <w:pPr>
        <w:pStyle w:val="FootnoteText"/>
        <w:spacing w:line="240" w:lineRule="auto"/>
        <w:rPr>
          <w:lang w:val="en-US"/>
        </w:rPr>
      </w:pPr>
      <w:r>
        <w:rPr>
          <w:rStyle w:val="FootnoteReference"/>
        </w:rPr>
        <w:footnoteRef/>
      </w:r>
      <w:r>
        <w:t xml:space="preserve"> </w:t>
      </w:r>
      <w:r>
        <w:rPr>
          <w:lang w:val="en-US"/>
        </w:rPr>
        <w:t>Draft position descriptions are attached at Annex 6, for discussion and agreement among DFAT, ACFID and HRG members.</w:t>
      </w:r>
    </w:p>
  </w:footnote>
  <w:footnote w:id="49">
    <w:p w14:paraId="709E80A6" w14:textId="77777777" w:rsidR="001C5460" w:rsidRPr="00F4210C" w:rsidRDefault="001C5460" w:rsidP="00C335CA">
      <w:pPr>
        <w:pStyle w:val="FootnoteText"/>
        <w:rPr>
          <w:lang w:val="en-US"/>
        </w:rPr>
      </w:pPr>
      <w:r>
        <w:rPr>
          <w:rStyle w:val="FootnoteReference"/>
        </w:rPr>
        <w:footnoteRef/>
      </w:r>
      <w:r>
        <w:t xml:space="preserve"> </w:t>
      </w:r>
      <w:r>
        <w:rPr>
          <w:lang w:val="en-US"/>
        </w:rPr>
        <w:t>Detailed selection documentation will be developed by DFAT and the Design Team.</w:t>
      </w:r>
    </w:p>
  </w:footnote>
  <w:footnote w:id="50">
    <w:p w14:paraId="0BBA519A" w14:textId="77777777" w:rsidR="001C5460" w:rsidRPr="00D0035E" w:rsidRDefault="001C5460" w:rsidP="00DB6E20">
      <w:pPr>
        <w:autoSpaceDE w:val="0"/>
        <w:autoSpaceDN w:val="0"/>
        <w:adjustRightInd w:val="0"/>
        <w:rPr>
          <w:szCs w:val="16"/>
        </w:rPr>
      </w:pPr>
      <w:r>
        <w:rPr>
          <w:rStyle w:val="FootnoteReference"/>
        </w:rPr>
        <w:footnoteRef/>
      </w:r>
      <w:r>
        <w:t xml:space="preserve"> </w:t>
      </w:r>
      <w:r w:rsidRPr="004F767A">
        <w:rPr>
          <w:rFonts w:ascii="Franklin Gothic Book" w:hAnsi="Franklin Gothic Book"/>
          <w:sz w:val="16"/>
          <w:szCs w:val="16"/>
        </w:rPr>
        <w:t xml:space="preserve">Such as: the </w:t>
      </w:r>
      <w:r w:rsidRPr="004F767A">
        <w:rPr>
          <w:rFonts w:ascii="Franklin Gothic Book" w:hAnsi="Franklin Gothic Book"/>
          <w:i/>
          <w:sz w:val="16"/>
          <w:szCs w:val="16"/>
        </w:rPr>
        <w:t>Inter-agency Standing Committee: IASC Gender Handbook in Humanitarian Action</w:t>
      </w:r>
      <w:r w:rsidRPr="004F767A">
        <w:rPr>
          <w:rFonts w:ascii="Franklin Gothic Book" w:hAnsi="Franklin Gothic Book"/>
          <w:sz w:val="16"/>
          <w:szCs w:val="16"/>
        </w:rPr>
        <w:t xml:space="preserve"> (2006); and the </w:t>
      </w:r>
      <w:r w:rsidRPr="004F767A">
        <w:rPr>
          <w:rFonts w:ascii="Franklin Gothic Book" w:hAnsi="Franklin Gothic Book"/>
          <w:i/>
          <w:sz w:val="16"/>
          <w:szCs w:val="16"/>
        </w:rPr>
        <w:t>Inter-agency Standing Committee, 2015:</w:t>
      </w:r>
      <w:r w:rsidRPr="004F767A">
        <w:rPr>
          <w:rFonts w:ascii="Franklin Gothic Book" w:hAnsi="Franklin Gothic Book"/>
          <w:sz w:val="16"/>
          <w:szCs w:val="16"/>
        </w:rPr>
        <w:t xml:space="preserve"> </w:t>
      </w:r>
      <w:r w:rsidRPr="004F767A">
        <w:rPr>
          <w:rFonts w:ascii="Franklin Gothic Book" w:hAnsi="Franklin Gothic Book"/>
          <w:i/>
          <w:sz w:val="16"/>
          <w:szCs w:val="16"/>
        </w:rPr>
        <w:t>Guidelines for Integrating Gender-Based Violence Interventions in Humanitarian Action: Reducing risk, promoting resilience and aiding recovery</w:t>
      </w:r>
      <w:r>
        <w:rPr>
          <w:rFonts w:ascii="Franklin Gothic Book" w:hAnsi="Franklin Gothic Book"/>
          <w:i/>
          <w:sz w:val="16"/>
          <w:szCs w:val="16"/>
        </w:rPr>
        <w:t>.</w:t>
      </w:r>
    </w:p>
  </w:footnote>
  <w:footnote w:id="51">
    <w:p w14:paraId="05D926A3" w14:textId="77777777" w:rsidR="001C5460" w:rsidRDefault="001C5460" w:rsidP="00247F6F">
      <w:pPr>
        <w:pStyle w:val="FootnoteText"/>
      </w:pPr>
      <w:r>
        <w:rPr>
          <w:rStyle w:val="FootnoteReference"/>
        </w:rPr>
        <w:footnoteRef/>
      </w:r>
      <w:r>
        <w:t xml:space="preserve"> DFAT’s Gender Equality and Women’s Empowerment Strategy, February 2016.</w:t>
      </w:r>
    </w:p>
  </w:footnote>
  <w:footnote w:id="52">
    <w:p w14:paraId="76ABFCB3" w14:textId="77777777" w:rsidR="001C5460" w:rsidRPr="00D776E4" w:rsidRDefault="001C5460" w:rsidP="0080429E">
      <w:pPr>
        <w:pStyle w:val="FootnoteText"/>
        <w:jc w:val="both"/>
        <w:rPr>
          <w:szCs w:val="14"/>
          <w:lang w:val="en-US"/>
        </w:rPr>
      </w:pPr>
      <w:r w:rsidRPr="00D776E4">
        <w:rPr>
          <w:rStyle w:val="FootnoteReference"/>
          <w:rFonts w:eastAsiaTheme="majorEastAsia"/>
          <w:szCs w:val="14"/>
        </w:rPr>
        <w:footnoteRef/>
      </w:r>
      <w:r w:rsidRPr="00D776E4">
        <w:rPr>
          <w:szCs w:val="14"/>
        </w:rPr>
        <w:t xml:space="preserve"> </w:t>
      </w:r>
      <w:r w:rsidRPr="004F767A">
        <w:rPr>
          <w:szCs w:val="14"/>
        </w:rPr>
        <w:t>HPA mid-term review June 2013,</w:t>
      </w:r>
      <w:r w:rsidRPr="00D776E4">
        <w:rPr>
          <w:szCs w:val="14"/>
        </w:rPr>
        <w:t xml:space="preserve"> p.22.</w:t>
      </w:r>
    </w:p>
  </w:footnote>
  <w:footnote w:id="53">
    <w:p w14:paraId="3F0A55CA" w14:textId="77777777" w:rsidR="001C5460" w:rsidRPr="00D776E4" w:rsidRDefault="001C5460" w:rsidP="0080429E">
      <w:pPr>
        <w:pStyle w:val="FootnoteText"/>
        <w:jc w:val="both"/>
        <w:rPr>
          <w:szCs w:val="14"/>
          <w:lang w:val="en-US"/>
        </w:rPr>
      </w:pPr>
      <w:r w:rsidRPr="00D776E4">
        <w:rPr>
          <w:rStyle w:val="FootnoteReference"/>
          <w:rFonts w:eastAsiaTheme="majorEastAsia"/>
          <w:szCs w:val="14"/>
        </w:rPr>
        <w:footnoteRef/>
      </w:r>
      <w:r>
        <w:rPr>
          <w:szCs w:val="14"/>
        </w:rPr>
        <w:t xml:space="preserve"> </w:t>
      </w:r>
      <w:r w:rsidRPr="004F767A">
        <w:rPr>
          <w:szCs w:val="14"/>
        </w:rPr>
        <w:t>HPA mid-term review June 2013,</w:t>
      </w:r>
      <w:r w:rsidRPr="00D776E4">
        <w:rPr>
          <w:szCs w:val="14"/>
        </w:rPr>
        <w:t xml:space="preserve"> p.19 and Philippines Typhoon Haiyan HPA Response Report, August 2014. p.20.</w:t>
      </w:r>
    </w:p>
  </w:footnote>
  <w:footnote w:id="54">
    <w:p w14:paraId="0A89FC7B" w14:textId="77777777" w:rsidR="001C5460" w:rsidRPr="00D776E4" w:rsidRDefault="001C5460" w:rsidP="0080429E">
      <w:pPr>
        <w:pStyle w:val="FootnoteText"/>
        <w:jc w:val="both"/>
        <w:rPr>
          <w:szCs w:val="14"/>
          <w:lang w:val="en-US"/>
        </w:rPr>
      </w:pPr>
      <w:r w:rsidRPr="00D776E4">
        <w:rPr>
          <w:rStyle w:val="FootnoteReference"/>
          <w:rFonts w:eastAsiaTheme="majorEastAsia"/>
          <w:szCs w:val="14"/>
        </w:rPr>
        <w:footnoteRef/>
      </w:r>
      <w:r w:rsidRPr="00D776E4">
        <w:rPr>
          <w:szCs w:val="14"/>
        </w:rPr>
        <w:t xml:space="preserve"> Philippines Typhoon Bopha HPA Response Report, June 2013. pp.11-12.</w:t>
      </w:r>
    </w:p>
  </w:footnote>
  <w:footnote w:id="55">
    <w:p w14:paraId="6AA7A2D8" w14:textId="77777777" w:rsidR="001C5460" w:rsidRPr="00AD635D" w:rsidRDefault="001C5460" w:rsidP="00993ECB">
      <w:pPr>
        <w:pStyle w:val="FootnoteText"/>
        <w:spacing w:line="240" w:lineRule="auto"/>
        <w:rPr>
          <w:lang w:val="en-US"/>
        </w:rPr>
      </w:pPr>
      <w:r w:rsidRPr="002E2F8C">
        <w:rPr>
          <w:rStyle w:val="FootnoteReference"/>
          <w:rFonts w:eastAsiaTheme="majorEastAsia"/>
          <w:sz w:val="18"/>
          <w:szCs w:val="18"/>
        </w:rPr>
        <w:footnoteRef/>
      </w:r>
      <w:r w:rsidRPr="002E2F8C">
        <w:rPr>
          <w:sz w:val="18"/>
          <w:szCs w:val="18"/>
        </w:rPr>
        <w:t xml:space="preserve"> </w:t>
      </w:r>
      <w:r w:rsidRPr="00AD635D">
        <w:t>Philippines Typhoon Bopha HPA Response Report, June 2013. pp. 12-13.</w:t>
      </w:r>
    </w:p>
  </w:footnote>
  <w:footnote w:id="56">
    <w:p w14:paraId="3C1F2018" w14:textId="77777777" w:rsidR="001C5460" w:rsidRDefault="001C5460" w:rsidP="00993ECB">
      <w:pPr>
        <w:pStyle w:val="FootnoteText"/>
        <w:spacing w:line="240" w:lineRule="auto"/>
        <w:jc w:val="both"/>
      </w:pPr>
      <w:r w:rsidRPr="00DD0594">
        <w:rPr>
          <w:rStyle w:val="FootnoteReference"/>
          <w:rFonts w:eastAsiaTheme="majorEastAsia"/>
          <w:szCs w:val="14"/>
        </w:rPr>
        <w:footnoteRef/>
      </w:r>
      <w:r w:rsidRPr="00DD0594">
        <w:rPr>
          <w:rStyle w:val="FootnoteReference"/>
          <w:rFonts w:eastAsiaTheme="majorEastAsia"/>
          <w:szCs w:val="14"/>
        </w:rPr>
        <w:t xml:space="preserve"> </w:t>
      </w:r>
      <w:r w:rsidRPr="00DD0594">
        <w:t xml:space="preserve">This is illustrated by the Lebanon activation which gave partners an additional two week period to prepare investment concept proposals. </w:t>
      </w:r>
    </w:p>
  </w:footnote>
  <w:footnote w:id="57">
    <w:p w14:paraId="111F1A94" w14:textId="77777777" w:rsidR="001C5460" w:rsidRPr="00E75BA4" w:rsidRDefault="001C5460" w:rsidP="0080429E">
      <w:pPr>
        <w:pStyle w:val="FootnoteText"/>
        <w:jc w:val="both"/>
      </w:pPr>
      <w:r w:rsidRPr="00E75BA4">
        <w:rPr>
          <w:rStyle w:val="FootnoteReference"/>
          <w:rFonts w:eastAsiaTheme="majorEastAsia"/>
        </w:rPr>
        <w:footnoteRef/>
      </w:r>
      <w:r w:rsidRPr="00E75BA4">
        <w:rPr>
          <w:rStyle w:val="FootnoteReference"/>
          <w:rFonts w:eastAsiaTheme="majorEastAsia"/>
        </w:rPr>
        <w:t xml:space="preserve"> </w:t>
      </w:r>
      <w:r w:rsidRPr="008C2B30">
        <w:t>Joint Communique: Learning and Recommendations on Disaster Risk Reduction</w:t>
      </w:r>
      <w:r>
        <w:t>, May 2014</w:t>
      </w:r>
      <w:r w:rsidRPr="00E75BA4">
        <w:t>.</w:t>
      </w:r>
    </w:p>
  </w:footnote>
  <w:footnote w:id="58">
    <w:p w14:paraId="714B5BC8" w14:textId="77777777" w:rsidR="001C5460" w:rsidRDefault="001C5460" w:rsidP="0080429E">
      <w:pPr>
        <w:pStyle w:val="FootnoteText"/>
      </w:pPr>
      <w:r>
        <w:rPr>
          <w:rStyle w:val="FootnoteReference"/>
          <w:rFonts w:eastAsiaTheme="majorEastAsia"/>
        </w:rPr>
        <w:footnoteRef/>
      </w:r>
      <w:r>
        <w:t xml:space="preserve"> </w:t>
      </w:r>
      <w:r w:rsidRPr="008C2B30">
        <w:t>Joint Communique: Learning and Recommendations on Disaster Risk Reduction</w:t>
      </w:r>
      <w:r>
        <w:t>, May 2014.</w:t>
      </w:r>
    </w:p>
  </w:footnote>
  <w:footnote w:id="59">
    <w:p w14:paraId="730CF473" w14:textId="77777777" w:rsidR="001C5460" w:rsidRDefault="001C5460" w:rsidP="0080429E">
      <w:pPr>
        <w:pStyle w:val="FootnoteText"/>
      </w:pPr>
      <w:r>
        <w:rPr>
          <w:rStyle w:val="FootnoteReference"/>
          <w:rFonts w:eastAsiaTheme="majorEastAsia"/>
        </w:rPr>
        <w:footnoteRef/>
      </w:r>
      <w:r>
        <w:t xml:space="preserve"> The challenge around identifying what has gone into (i.e. partner time and resources) and the collective value of the partnership has implications for determining the Value for Money of the HPA (for both DFAT and NGO partners).</w:t>
      </w:r>
    </w:p>
  </w:footnote>
  <w:footnote w:id="60">
    <w:p w14:paraId="530AD617" w14:textId="77777777" w:rsidR="001C5460" w:rsidRPr="006A40B8" w:rsidRDefault="001C5460" w:rsidP="0080429E">
      <w:pPr>
        <w:pStyle w:val="FootnoteText"/>
        <w:jc w:val="both"/>
        <w:rPr>
          <w:szCs w:val="16"/>
          <w:lang w:val="en-US"/>
        </w:rPr>
      </w:pPr>
      <w:r w:rsidRPr="006A40B8">
        <w:rPr>
          <w:rStyle w:val="FootnoteReference"/>
          <w:rFonts w:eastAsiaTheme="majorEastAsia"/>
          <w:szCs w:val="16"/>
        </w:rPr>
        <w:footnoteRef/>
      </w:r>
      <w:r w:rsidRPr="002E2F8C">
        <w:rPr>
          <w:sz w:val="18"/>
          <w:szCs w:val="18"/>
        </w:rPr>
        <w:t xml:space="preserve"> </w:t>
      </w:r>
      <w:r w:rsidRPr="006A40B8">
        <w:rPr>
          <w:szCs w:val="16"/>
        </w:rPr>
        <w:t>Philippines Typhoon Bopha HPA Response Report, June 2013. p.15.</w:t>
      </w:r>
    </w:p>
  </w:footnote>
  <w:footnote w:id="61">
    <w:p w14:paraId="61C40300" w14:textId="77777777" w:rsidR="001C5460" w:rsidRPr="00C437BA" w:rsidRDefault="001C5460" w:rsidP="0080429E">
      <w:pPr>
        <w:pStyle w:val="FootnoteText"/>
        <w:jc w:val="both"/>
        <w:rPr>
          <w:szCs w:val="16"/>
          <w:lang w:val="en-US"/>
        </w:rPr>
      </w:pPr>
      <w:r w:rsidRPr="006A40B8">
        <w:rPr>
          <w:rStyle w:val="FootnoteReference"/>
          <w:rFonts w:eastAsiaTheme="majorEastAsia"/>
          <w:szCs w:val="16"/>
        </w:rPr>
        <w:footnoteRef/>
      </w:r>
      <w:r w:rsidRPr="006A40B8">
        <w:rPr>
          <w:szCs w:val="16"/>
        </w:rPr>
        <w:t xml:space="preserve"> </w:t>
      </w:r>
      <w:r w:rsidRPr="00C437BA">
        <w:rPr>
          <w:szCs w:val="16"/>
        </w:rPr>
        <w:t>Independent Review of the Period Funding Agreement for Disaster Risk Management (PFA), December 2009. p.5.</w:t>
      </w:r>
    </w:p>
  </w:footnote>
  <w:footnote w:id="62">
    <w:p w14:paraId="37B3FE41" w14:textId="77777777" w:rsidR="001C5460" w:rsidRDefault="001C5460" w:rsidP="0080429E">
      <w:pPr>
        <w:pStyle w:val="FootnoteText"/>
      </w:pPr>
      <w:r>
        <w:rPr>
          <w:rStyle w:val="FootnoteReference"/>
          <w:rFonts w:eastAsiaTheme="majorEastAsia"/>
        </w:rPr>
        <w:footnoteRef/>
      </w:r>
      <w:r>
        <w:t xml:space="preserve"> HPA mid-term review, June 2013, p.21.</w:t>
      </w:r>
    </w:p>
  </w:footnote>
  <w:footnote w:id="63">
    <w:p w14:paraId="0F2DC2A2" w14:textId="77777777" w:rsidR="001C5460" w:rsidRPr="006C08F7" w:rsidRDefault="001C5460" w:rsidP="00EC7A84">
      <w:pPr>
        <w:pStyle w:val="FootnoteText"/>
        <w:spacing w:line="240" w:lineRule="auto"/>
        <w:rPr>
          <w:lang w:val="en-US"/>
        </w:rPr>
      </w:pPr>
      <w:r>
        <w:rPr>
          <w:rStyle w:val="FootnoteReference"/>
        </w:rPr>
        <w:footnoteRef/>
      </w:r>
      <w:r>
        <w:t xml:space="preserve"> </w:t>
      </w:r>
      <w:r w:rsidRPr="006C0793">
        <w:rPr>
          <w:rFonts w:asciiTheme="minorHAnsi" w:hAnsiTheme="minorHAnsi"/>
          <w:szCs w:val="16"/>
        </w:rPr>
        <w:t>Such as</w:t>
      </w:r>
      <w:r>
        <w:rPr>
          <w:rFonts w:asciiTheme="minorHAnsi" w:hAnsiTheme="minorHAnsi"/>
          <w:szCs w:val="16"/>
        </w:rPr>
        <w:t xml:space="preserve"> </w:t>
      </w:r>
      <w:r w:rsidRPr="006C0793">
        <w:rPr>
          <w:rFonts w:asciiTheme="minorHAnsi" w:hAnsiTheme="minorHAnsi"/>
          <w:szCs w:val="16"/>
        </w:rPr>
        <w:t xml:space="preserve">the </w:t>
      </w:r>
      <w:r>
        <w:rPr>
          <w:rFonts w:asciiTheme="minorHAnsi" w:hAnsiTheme="minorHAnsi"/>
          <w:szCs w:val="16"/>
        </w:rPr>
        <w:t>divisiveness</w:t>
      </w:r>
      <w:r w:rsidRPr="006C0793">
        <w:rPr>
          <w:rFonts w:asciiTheme="minorHAnsi" w:hAnsiTheme="minorHAnsi"/>
          <w:szCs w:val="16"/>
        </w:rPr>
        <w:t xml:space="preserve"> of the peer review process; the inappropriateness of the mechanism for protracted crises; overlap with other structures such as the HRG; and a lack of public awareness and visibility</w:t>
      </w:r>
      <w:r>
        <w:rPr>
          <w:rFonts w:asciiTheme="minorHAnsi" w:hAnsiTheme="minorHAnsi"/>
          <w:szCs w:val="16"/>
        </w:rPr>
        <w:t>.</w:t>
      </w:r>
    </w:p>
  </w:footnote>
  <w:footnote w:id="64">
    <w:p w14:paraId="69906B1C" w14:textId="77777777" w:rsidR="001C5460" w:rsidRPr="00096FCD" w:rsidRDefault="001C5460" w:rsidP="00726758">
      <w:pPr>
        <w:pStyle w:val="FootnoteText"/>
        <w:rPr>
          <w:rFonts w:asciiTheme="minorHAnsi" w:hAnsiTheme="minorHAnsi" w:cstheme="minorBidi"/>
          <w:color w:val="1F497D" w:themeColor="dark2"/>
        </w:rPr>
      </w:pPr>
      <w:r>
        <w:rPr>
          <w:rStyle w:val="FootnoteReference"/>
        </w:rPr>
        <w:footnoteRef/>
      </w:r>
      <w:r>
        <w:t xml:space="preserve"> According to the Schedule 2 Head Agreement, the objective of this funding was to reduce community vulnerability and enhance resilience to disasters, and to strengthen DRM capacities and systems of HPA NGOs and their in-country NGO partners.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4FF20" w14:textId="1E317D4F" w:rsidR="001C5460" w:rsidRDefault="001C5460" w:rsidP="001F310B">
    <w:pPr>
      <w:shd w:val="clear" w:color="auto" w:fill="92CDDC" w:themeFill="accent5" w:themeFillTint="99"/>
      <w:tabs>
        <w:tab w:val="left" w:pos="7133"/>
      </w:tabs>
      <w:ind w:left="-1928" w:right="-1871"/>
      <w:jc w:val="center"/>
    </w:pPr>
    <w:r>
      <w:t xml:space="preserve"> Investment Design Document: </w:t>
    </w:r>
    <w:r w:rsidR="00BE7395">
      <w:t>11</w:t>
    </w:r>
    <w:r w:rsidR="00DE1EA1">
      <w:t xml:space="preserve"> </w:t>
    </w:r>
    <w:r>
      <w:t>May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2A2"/>
    <w:multiLevelType w:val="hybridMultilevel"/>
    <w:tmpl w:val="7B480ED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162E20"/>
    <w:multiLevelType w:val="hybridMultilevel"/>
    <w:tmpl w:val="68E45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5E0276"/>
    <w:multiLevelType w:val="hybridMultilevel"/>
    <w:tmpl w:val="AD447AF8"/>
    <w:lvl w:ilvl="0" w:tplc="26087CDE">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F1B62"/>
    <w:multiLevelType w:val="hybridMultilevel"/>
    <w:tmpl w:val="0CA809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7FB591F"/>
    <w:multiLevelType w:val="hybridMultilevel"/>
    <w:tmpl w:val="DEB2E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B787B"/>
    <w:multiLevelType w:val="hybridMultilevel"/>
    <w:tmpl w:val="C34CD5E8"/>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nsid w:val="0913482A"/>
    <w:multiLevelType w:val="hybridMultilevel"/>
    <w:tmpl w:val="58144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0A006260"/>
    <w:multiLevelType w:val="hybridMultilevel"/>
    <w:tmpl w:val="7E40D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9A04DA"/>
    <w:multiLevelType w:val="hybridMultilevel"/>
    <w:tmpl w:val="78C233CA"/>
    <w:lvl w:ilvl="0" w:tplc="898A02F6">
      <w:start w:val="3"/>
      <w:numFmt w:val="bullet"/>
      <w:lvlText w:val="-"/>
      <w:lvlJc w:val="left"/>
      <w:pPr>
        <w:ind w:left="720" w:hanging="360"/>
      </w:pPr>
      <w:rPr>
        <w:rFonts w:ascii="Calibri" w:eastAsia="Times New Roman" w:hAnsi="Calibri" w:cs="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9954B6"/>
    <w:multiLevelType w:val="hybridMultilevel"/>
    <w:tmpl w:val="35A2D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B023E8"/>
    <w:multiLevelType w:val="hybridMultilevel"/>
    <w:tmpl w:val="EDC078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98F47A3"/>
    <w:multiLevelType w:val="hybridMultilevel"/>
    <w:tmpl w:val="11D6B0DC"/>
    <w:lvl w:ilvl="0" w:tplc="6AEA01F2">
      <w:start w:val="1"/>
      <w:numFmt w:val="decimal"/>
      <w:lvlText w:val="%1."/>
      <w:lvlJc w:val="left"/>
      <w:pPr>
        <w:ind w:left="1077" w:hanging="360"/>
      </w:pPr>
      <w:rPr>
        <w:rFonts w:hint="default"/>
        <w:b/>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nsid w:val="1A7C45F7"/>
    <w:multiLevelType w:val="hybridMultilevel"/>
    <w:tmpl w:val="9A1A8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C0C39D6"/>
    <w:multiLevelType w:val="hybridMultilevel"/>
    <w:tmpl w:val="1D68A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E015591"/>
    <w:multiLevelType w:val="hybridMultilevel"/>
    <w:tmpl w:val="E2465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DC04ED"/>
    <w:multiLevelType w:val="hybridMultilevel"/>
    <w:tmpl w:val="5E52CF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19F0719"/>
    <w:multiLevelType w:val="hybridMultilevel"/>
    <w:tmpl w:val="5B46DF4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3BF1BB4"/>
    <w:multiLevelType w:val="hybridMultilevel"/>
    <w:tmpl w:val="1460FAF6"/>
    <w:lvl w:ilvl="0" w:tplc="6AEA01F2">
      <w:start w:val="1"/>
      <w:numFmt w:val="decimal"/>
      <w:lvlText w:val="%1."/>
      <w:lvlJc w:val="left"/>
      <w:pPr>
        <w:ind w:left="1077" w:hanging="360"/>
      </w:pPr>
      <w:rPr>
        <w:rFonts w:hint="default"/>
        <w:b/>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8">
    <w:nsid w:val="24174C1D"/>
    <w:multiLevelType w:val="hybridMultilevel"/>
    <w:tmpl w:val="3A2AC7BA"/>
    <w:lvl w:ilvl="0" w:tplc="B42699A4">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6331916"/>
    <w:multiLevelType w:val="hybridMultilevel"/>
    <w:tmpl w:val="4F5A81F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0">
    <w:nsid w:val="28701E34"/>
    <w:multiLevelType w:val="hybridMultilevel"/>
    <w:tmpl w:val="B42A4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99D3301"/>
    <w:multiLevelType w:val="hybridMultilevel"/>
    <w:tmpl w:val="8ADA751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317872F2"/>
    <w:multiLevelType w:val="hybridMultilevel"/>
    <w:tmpl w:val="D7569A3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nsid w:val="3ECB2BB7"/>
    <w:multiLevelType w:val="hybridMultilevel"/>
    <w:tmpl w:val="B1746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A9F74A3"/>
    <w:multiLevelType w:val="hybridMultilevel"/>
    <w:tmpl w:val="CDB8BE7E"/>
    <w:lvl w:ilvl="0" w:tplc="898A02F6">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B606E9B"/>
    <w:multiLevelType w:val="hybridMultilevel"/>
    <w:tmpl w:val="EF285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3890085"/>
    <w:multiLevelType w:val="hybridMultilevel"/>
    <w:tmpl w:val="20C8ED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5E75543"/>
    <w:multiLevelType w:val="hybridMultilevel"/>
    <w:tmpl w:val="F244C9AE"/>
    <w:lvl w:ilvl="0" w:tplc="304406B8">
      <w:start w:val="3"/>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A105B1A"/>
    <w:multiLevelType w:val="hybridMultilevel"/>
    <w:tmpl w:val="80E2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F40203"/>
    <w:multiLevelType w:val="hybridMultilevel"/>
    <w:tmpl w:val="57224B5E"/>
    <w:lvl w:ilvl="0" w:tplc="E6BE95C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DAE3187"/>
    <w:multiLevelType w:val="hybridMultilevel"/>
    <w:tmpl w:val="7A765C9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32">
    <w:nsid w:val="62005F02"/>
    <w:multiLevelType w:val="multilevel"/>
    <w:tmpl w:val="ABF8F082"/>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41F4478"/>
    <w:multiLevelType w:val="hybridMultilevel"/>
    <w:tmpl w:val="378ED29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4A55E5E"/>
    <w:multiLevelType w:val="hybridMultilevel"/>
    <w:tmpl w:val="8366456C"/>
    <w:lvl w:ilvl="0" w:tplc="2D78A8A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336DA4"/>
    <w:multiLevelType w:val="hybridMultilevel"/>
    <w:tmpl w:val="E68E6F2C"/>
    <w:lvl w:ilvl="0" w:tplc="2D78A8AC">
      <w:numFmt w:val="bullet"/>
      <w:lvlText w:val=""/>
      <w:lvlJc w:val="left"/>
      <w:pPr>
        <w:ind w:left="1080" w:hanging="360"/>
      </w:pPr>
      <w:rPr>
        <w:rFonts w:ascii="Symbol" w:eastAsiaTheme="minorEastAsia"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6D8D7906"/>
    <w:multiLevelType w:val="hybridMultilevel"/>
    <w:tmpl w:val="CC80EC00"/>
    <w:lvl w:ilvl="0" w:tplc="3676B62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21409"/>
    <w:multiLevelType w:val="hybridMultilevel"/>
    <w:tmpl w:val="5EE27506"/>
    <w:lvl w:ilvl="0" w:tplc="096CD37C">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nsid w:val="71D66B65"/>
    <w:multiLevelType w:val="hybridMultilevel"/>
    <w:tmpl w:val="4A146F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2771394"/>
    <w:multiLevelType w:val="hybridMultilevel"/>
    <w:tmpl w:val="920EC8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45F2DF5"/>
    <w:multiLevelType w:val="hybridMultilevel"/>
    <w:tmpl w:val="B5D4F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4CD1D29"/>
    <w:multiLevelType w:val="hybridMultilevel"/>
    <w:tmpl w:val="A84E5974"/>
    <w:lvl w:ilvl="0" w:tplc="304406B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F826BA"/>
    <w:multiLevelType w:val="hybridMultilevel"/>
    <w:tmpl w:val="633697F6"/>
    <w:lvl w:ilvl="0" w:tplc="34AABE54">
      <w:start w:val="1"/>
      <w:numFmt w:val="bullet"/>
      <w:lvlText w:val=""/>
      <w:lvlJc w:val="left"/>
      <w:pPr>
        <w:ind w:left="360" w:hanging="360"/>
      </w:pPr>
      <w:rPr>
        <w:rFonts w:ascii="Symbol" w:hAnsi="Symbol" w:hint="default"/>
        <w:color w:val="95B3D7" w:themeColor="accent1" w:themeTint="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5AF02CC"/>
    <w:multiLevelType w:val="hybridMultilevel"/>
    <w:tmpl w:val="709457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CC2042F"/>
    <w:multiLevelType w:val="hybridMultilevel"/>
    <w:tmpl w:val="0616D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nsid w:val="7F5A6228"/>
    <w:multiLevelType w:val="hybridMultilevel"/>
    <w:tmpl w:val="7E0E7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1"/>
  </w:num>
  <w:num w:numId="2">
    <w:abstractNumId w:val="2"/>
  </w:num>
  <w:num w:numId="3">
    <w:abstractNumId w:val="32"/>
  </w:num>
  <w:num w:numId="4">
    <w:abstractNumId w:val="34"/>
  </w:num>
  <w:num w:numId="5">
    <w:abstractNumId w:val="7"/>
  </w:num>
  <w:num w:numId="6">
    <w:abstractNumId w:val="43"/>
  </w:num>
  <w:num w:numId="7">
    <w:abstractNumId w:val="20"/>
  </w:num>
  <w:num w:numId="8">
    <w:abstractNumId w:val="4"/>
  </w:num>
  <w:num w:numId="9">
    <w:abstractNumId w:val="22"/>
  </w:num>
  <w:num w:numId="10">
    <w:abstractNumId w:val="23"/>
  </w:num>
  <w:num w:numId="11">
    <w:abstractNumId w:val="45"/>
  </w:num>
  <w:num w:numId="12">
    <w:abstractNumId w:val="12"/>
  </w:num>
  <w:num w:numId="13">
    <w:abstractNumId w:val="3"/>
  </w:num>
  <w:num w:numId="14">
    <w:abstractNumId w:val="25"/>
  </w:num>
  <w:num w:numId="15">
    <w:abstractNumId w:val="14"/>
  </w:num>
  <w:num w:numId="16">
    <w:abstractNumId w:val="40"/>
  </w:num>
  <w:num w:numId="17">
    <w:abstractNumId w:val="36"/>
  </w:num>
  <w:num w:numId="18">
    <w:abstractNumId w:val="9"/>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4"/>
  </w:num>
  <w:num w:numId="23">
    <w:abstractNumId w:val="44"/>
  </w:num>
  <w:num w:numId="24">
    <w:abstractNumId w:val="29"/>
  </w:num>
  <w:num w:numId="25">
    <w:abstractNumId w:val="28"/>
  </w:num>
  <w:num w:numId="26">
    <w:abstractNumId w:val="13"/>
  </w:num>
  <w:num w:numId="27">
    <w:abstractNumId w:val="37"/>
  </w:num>
  <w:num w:numId="28">
    <w:abstractNumId w:val="5"/>
  </w:num>
  <w:num w:numId="29">
    <w:abstractNumId w:val="11"/>
  </w:num>
  <w:num w:numId="30">
    <w:abstractNumId w:val="10"/>
  </w:num>
  <w:num w:numId="31">
    <w:abstractNumId w:val="18"/>
  </w:num>
  <w:num w:numId="32">
    <w:abstractNumId w:val="31"/>
  </w:num>
  <w:num w:numId="33">
    <w:abstractNumId w:val="0"/>
  </w:num>
  <w:num w:numId="34">
    <w:abstractNumId w:val="24"/>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9"/>
  </w:num>
  <w:num w:numId="38">
    <w:abstractNumId w:val="30"/>
  </w:num>
  <w:num w:numId="39">
    <w:abstractNumId w:val="42"/>
  </w:num>
  <w:num w:numId="40">
    <w:abstractNumId w:val="19"/>
  </w:num>
  <w:num w:numId="41">
    <w:abstractNumId w:val="21"/>
  </w:num>
  <w:num w:numId="42">
    <w:abstractNumId w:val="15"/>
  </w:num>
  <w:num w:numId="43">
    <w:abstractNumId w:val="27"/>
  </w:num>
  <w:num w:numId="44">
    <w:abstractNumId w:val="1"/>
  </w:num>
  <w:num w:numId="45">
    <w:abstractNumId w:val="6"/>
  </w:num>
  <w:num w:numId="46">
    <w:abstractNumId w:val="38"/>
  </w:num>
  <w:num w:numId="47">
    <w:abstractNumId w:val="17"/>
  </w:num>
  <w:num w:numId="48">
    <w:abstractNumId w:val="26"/>
  </w:num>
  <w:num w:numId="49">
    <w:abstractNumId w:val="33"/>
  </w:num>
  <w:num w:numId="50">
    <w:abstractNumId w:val="35"/>
  </w:num>
  <w:numIdMacAtCleanup w:val="1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Collins">
    <w15:presenceInfo w15:providerId="None" w15:userId="Michael Coll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42"/>
    <w:rsid w:val="000000C9"/>
    <w:rsid w:val="0000013B"/>
    <w:rsid w:val="00000591"/>
    <w:rsid w:val="0000075C"/>
    <w:rsid w:val="00001B44"/>
    <w:rsid w:val="00001EA2"/>
    <w:rsid w:val="00003167"/>
    <w:rsid w:val="000035A3"/>
    <w:rsid w:val="00003A07"/>
    <w:rsid w:val="00004031"/>
    <w:rsid w:val="000049C5"/>
    <w:rsid w:val="00005C4F"/>
    <w:rsid w:val="00005D42"/>
    <w:rsid w:val="00011731"/>
    <w:rsid w:val="0001249A"/>
    <w:rsid w:val="00012565"/>
    <w:rsid w:val="00012E7D"/>
    <w:rsid w:val="00016D5B"/>
    <w:rsid w:val="0001714D"/>
    <w:rsid w:val="00017A9B"/>
    <w:rsid w:val="00017C39"/>
    <w:rsid w:val="00022AED"/>
    <w:rsid w:val="00022C1A"/>
    <w:rsid w:val="00022DF8"/>
    <w:rsid w:val="00022EEC"/>
    <w:rsid w:val="00022F93"/>
    <w:rsid w:val="00023D52"/>
    <w:rsid w:val="00024362"/>
    <w:rsid w:val="00024569"/>
    <w:rsid w:val="000278B0"/>
    <w:rsid w:val="0003133E"/>
    <w:rsid w:val="00031795"/>
    <w:rsid w:val="00031E0D"/>
    <w:rsid w:val="00031F64"/>
    <w:rsid w:val="00032DB5"/>
    <w:rsid w:val="00032FC5"/>
    <w:rsid w:val="00034554"/>
    <w:rsid w:val="00035498"/>
    <w:rsid w:val="0003626A"/>
    <w:rsid w:val="000374A6"/>
    <w:rsid w:val="000416F0"/>
    <w:rsid w:val="00041FC0"/>
    <w:rsid w:val="000428F8"/>
    <w:rsid w:val="00043F12"/>
    <w:rsid w:val="00044630"/>
    <w:rsid w:val="00044D94"/>
    <w:rsid w:val="0004638A"/>
    <w:rsid w:val="00046D5B"/>
    <w:rsid w:val="00047563"/>
    <w:rsid w:val="000508E1"/>
    <w:rsid w:val="00050A04"/>
    <w:rsid w:val="00050D41"/>
    <w:rsid w:val="00050EA6"/>
    <w:rsid w:val="0005593D"/>
    <w:rsid w:val="0005601B"/>
    <w:rsid w:val="00056A2B"/>
    <w:rsid w:val="000575EB"/>
    <w:rsid w:val="00061A71"/>
    <w:rsid w:val="000632DF"/>
    <w:rsid w:val="00063D4B"/>
    <w:rsid w:val="00063F1A"/>
    <w:rsid w:val="00065458"/>
    <w:rsid w:val="000662B7"/>
    <w:rsid w:val="000667D9"/>
    <w:rsid w:val="00067EC9"/>
    <w:rsid w:val="00070D8B"/>
    <w:rsid w:val="00071A8A"/>
    <w:rsid w:val="00075E16"/>
    <w:rsid w:val="00076765"/>
    <w:rsid w:val="00077CF4"/>
    <w:rsid w:val="00080091"/>
    <w:rsid w:val="00081822"/>
    <w:rsid w:val="000833D4"/>
    <w:rsid w:val="000835D0"/>
    <w:rsid w:val="00083732"/>
    <w:rsid w:val="00083770"/>
    <w:rsid w:val="00084F32"/>
    <w:rsid w:val="00086738"/>
    <w:rsid w:val="00090427"/>
    <w:rsid w:val="00092469"/>
    <w:rsid w:val="00092E1A"/>
    <w:rsid w:val="000937D2"/>
    <w:rsid w:val="00093A48"/>
    <w:rsid w:val="00093D42"/>
    <w:rsid w:val="00095694"/>
    <w:rsid w:val="000969CD"/>
    <w:rsid w:val="0009760B"/>
    <w:rsid w:val="000A044B"/>
    <w:rsid w:val="000A1B28"/>
    <w:rsid w:val="000A3AC9"/>
    <w:rsid w:val="000A5100"/>
    <w:rsid w:val="000A600C"/>
    <w:rsid w:val="000B0C65"/>
    <w:rsid w:val="000B1EA2"/>
    <w:rsid w:val="000B2447"/>
    <w:rsid w:val="000B2AB1"/>
    <w:rsid w:val="000B4674"/>
    <w:rsid w:val="000B4BC3"/>
    <w:rsid w:val="000B5BAE"/>
    <w:rsid w:val="000B631F"/>
    <w:rsid w:val="000B6AA7"/>
    <w:rsid w:val="000C0719"/>
    <w:rsid w:val="000C2236"/>
    <w:rsid w:val="000C2BDD"/>
    <w:rsid w:val="000C311B"/>
    <w:rsid w:val="000C37F6"/>
    <w:rsid w:val="000C4912"/>
    <w:rsid w:val="000C4C5E"/>
    <w:rsid w:val="000C61DA"/>
    <w:rsid w:val="000C65F1"/>
    <w:rsid w:val="000C717A"/>
    <w:rsid w:val="000D00BE"/>
    <w:rsid w:val="000D2852"/>
    <w:rsid w:val="000D2DF6"/>
    <w:rsid w:val="000D44E9"/>
    <w:rsid w:val="000D4CCB"/>
    <w:rsid w:val="000D4D9D"/>
    <w:rsid w:val="000D5C73"/>
    <w:rsid w:val="000D5E69"/>
    <w:rsid w:val="000D62BA"/>
    <w:rsid w:val="000D6E2D"/>
    <w:rsid w:val="000E15C2"/>
    <w:rsid w:val="000E1FC2"/>
    <w:rsid w:val="000E2995"/>
    <w:rsid w:val="000E2B3A"/>
    <w:rsid w:val="000E3035"/>
    <w:rsid w:val="000E3B75"/>
    <w:rsid w:val="000E5FCC"/>
    <w:rsid w:val="000F11F8"/>
    <w:rsid w:val="000F1F96"/>
    <w:rsid w:val="000F24E1"/>
    <w:rsid w:val="000F26BD"/>
    <w:rsid w:val="000F2A09"/>
    <w:rsid w:val="000F547B"/>
    <w:rsid w:val="000F58BA"/>
    <w:rsid w:val="000F58C2"/>
    <w:rsid w:val="000F6461"/>
    <w:rsid w:val="001001AC"/>
    <w:rsid w:val="0010029E"/>
    <w:rsid w:val="0010068C"/>
    <w:rsid w:val="00102550"/>
    <w:rsid w:val="00102DF5"/>
    <w:rsid w:val="00103419"/>
    <w:rsid w:val="00104431"/>
    <w:rsid w:val="00105C1F"/>
    <w:rsid w:val="00107D24"/>
    <w:rsid w:val="00107E15"/>
    <w:rsid w:val="00107F14"/>
    <w:rsid w:val="00111040"/>
    <w:rsid w:val="00112383"/>
    <w:rsid w:val="001127A9"/>
    <w:rsid w:val="00112982"/>
    <w:rsid w:val="00112BD7"/>
    <w:rsid w:val="00113842"/>
    <w:rsid w:val="00114FE7"/>
    <w:rsid w:val="00115FDF"/>
    <w:rsid w:val="001166E5"/>
    <w:rsid w:val="001219C8"/>
    <w:rsid w:val="001222CD"/>
    <w:rsid w:val="001229AB"/>
    <w:rsid w:val="0012323F"/>
    <w:rsid w:val="00123FA5"/>
    <w:rsid w:val="00124F9C"/>
    <w:rsid w:val="00125C71"/>
    <w:rsid w:val="00125F80"/>
    <w:rsid w:val="00126181"/>
    <w:rsid w:val="00126198"/>
    <w:rsid w:val="001264F4"/>
    <w:rsid w:val="00130E9F"/>
    <w:rsid w:val="00131464"/>
    <w:rsid w:val="0013201C"/>
    <w:rsid w:val="00132B4F"/>
    <w:rsid w:val="00133E1B"/>
    <w:rsid w:val="00134920"/>
    <w:rsid w:val="00134E4C"/>
    <w:rsid w:val="00136E86"/>
    <w:rsid w:val="00137D2A"/>
    <w:rsid w:val="00137F4C"/>
    <w:rsid w:val="00142C44"/>
    <w:rsid w:val="00142C6D"/>
    <w:rsid w:val="001448D8"/>
    <w:rsid w:val="00145234"/>
    <w:rsid w:val="00145932"/>
    <w:rsid w:val="00147CD9"/>
    <w:rsid w:val="0015037D"/>
    <w:rsid w:val="0015087C"/>
    <w:rsid w:val="00151645"/>
    <w:rsid w:val="0015425A"/>
    <w:rsid w:val="0015574C"/>
    <w:rsid w:val="001564A6"/>
    <w:rsid w:val="00156842"/>
    <w:rsid w:val="0015696E"/>
    <w:rsid w:val="00157D9F"/>
    <w:rsid w:val="00162A04"/>
    <w:rsid w:val="00162A0F"/>
    <w:rsid w:val="00166E2B"/>
    <w:rsid w:val="00166E83"/>
    <w:rsid w:val="00167A0B"/>
    <w:rsid w:val="00167FD2"/>
    <w:rsid w:val="0017007E"/>
    <w:rsid w:val="00170B57"/>
    <w:rsid w:val="001716F9"/>
    <w:rsid w:val="001727E3"/>
    <w:rsid w:val="00172A5E"/>
    <w:rsid w:val="00173267"/>
    <w:rsid w:val="00176212"/>
    <w:rsid w:val="001765AC"/>
    <w:rsid w:val="00176A5F"/>
    <w:rsid w:val="0017736C"/>
    <w:rsid w:val="00177DFA"/>
    <w:rsid w:val="00181E4D"/>
    <w:rsid w:val="001822BC"/>
    <w:rsid w:val="00182C95"/>
    <w:rsid w:val="00183EBC"/>
    <w:rsid w:val="00185B18"/>
    <w:rsid w:val="001863B4"/>
    <w:rsid w:val="00187204"/>
    <w:rsid w:val="00190905"/>
    <w:rsid w:val="001929E5"/>
    <w:rsid w:val="00192B28"/>
    <w:rsid w:val="00192E3F"/>
    <w:rsid w:val="00193F21"/>
    <w:rsid w:val="00194480"/>
    <w:rsid w:val="00194706"/>
    <w:rsid w:val="00194D7B"/>
    <w:rsid w:val="00195215"/>
    <w:rsid w:val="00196275"/>
    <w:rsid w:val="001967A3"/>
    <w:rsid w:val="001A17FE"/>
    <w:rsid w:val="001A1B5C"/>
    <w:rsid w:val="001A1F44"/>
    <w:rsid w:val="001A384B"/>
    <w:rsid w:val="001A4EE3"/>
    <w:rsid w:val="001A5288"/>
    <w:rsid w:val="001A54D7"/>
    <w:rsid w:val="001A62DF"/>
    <w:rsid w:val="001A6B61"/>
    <w:rsid w:val="001A7380"/>
    <w:rsid w:val="001B14E6"/>
    <w:rsid w:val="001B1FD0"/>
    <w:rsid w:val="001B2418"/>
    <w:rsid w:val="001B39BC"/>
    <w:rsid w:val="001B4F03"/>
    <w:rsid w:val="001B6518"/>
    <w:rsid w:val="001B796E"/>
    <w:rsid w:val="001B7F58"/>
    <w:rsid w:val="001C0000"/>
    <w:rsid w:val="001C0141"/>
    <w:rsid w:val="001C0313"/>
    <w:rsid w:val="001C1995"/>
    <w:rsid w:val="001C1EB2"/>
    <w:rsid w:val="001C2156"/>
    <w:rsid w:val="001C2EC8"/>
    <w:rsid w:val="001C51B4"/>
    <w:rsid w:val="001C5460"/>
    <w:rsid w:val="001C6B37"/>
    <w:rsid w:val="001C7287"/>
    <w:rsid w:val="001D1380"/>
    <w:rsid w:val="001D19E3"/>
    <w:rsid w:val="001D2115"/>
    <w:rsid w:val="001D22B9"/>
    <w:rsid w:val="001D2522"/>
    <w:rsid w:val="001D32D1"/>
    <w:rsid w:val="001D3536"/>
    <w:rsid w:val="001D52DD"/>
    <w:rsid w:val="001E23CF"/>
    <w:rsid w:val="001E2D20"/>
    <w:rsid w:val="001E306A"/>
    <w:rsid w:val="001E32EB"/>
    <w:rsid w:val="001E357C"/>
    <w:rsid w:val="001E3E20"/>
    <w:rsid w:val="001E4426"/>
    <w:rsid w:val="001E45F3"/>
    <w:rsid w:val="001E545F"/>
    <w:rsid w:val="001E5C09"/>
    <w:rsid w:val="001E5E3A"/>
    <w:rsid w:val="001E6298"/>
    <w:rsid w:val="001E682C"/>
    <w:rsid w:val="001F058B"/>
    <w:rsid w:val="001F0C20"/>
    <w:rsid w:val="001F0D8E"/>
    <w:rsid w:val="001F1AA6"/>
    <w:rsid w:val="001F1DC0"/>
    <w:rsid w:val="001F310B"/>
    <w:rsid w:val="001F326A"/>
    <w:rsid w:val="001F345C"/>
    <w:rsid w:val="001F3FC1"/>
    <w:rsid w:val="001F544F"/>
    <w:rsid w:val="001F6E1F"/>
    <w:rsid w:val="001F6E9B"/>
    <w:rsid w:val="002001A8"/>
    <w:rsid w:val="00202350"/>
    <w:rsid w:val="00202A8F"/>
    <w:rsid w:val="00203E36"/>
    <w:rsid w:val="00205861"/>
    <w:rsid w:val="00205953"/>
    <w:rsid w:val="002129D4"/>
    <w:rsid w:val="00212A4B"/>
    <w:rsid w:val="00213C5F"/>
    <w:rsid w:val="00214D08"/>
    <w:rsid w:val="00215AB7"/>
    <w:rsid w:val="00220433"/>
    <w:rsid w:val="00220A3F"/>
    <w:rsid w:val="00220F6B"/>
    <w:rsid w:val="0022318C"/>
    <w:rsid w:val="00224932"/>
    <w:rsid w:val="00225950"/>
    <w:rsid w:val="00226328"/>
    <w:rsid w:val="0023075B"/>
    <w:rsid w:val="00231C31"/>
    <w:rsid w:val="00232C63"/>
    <w:rsid w:val="0023445B"/>
    <w:rsid w:val="00235C32"/>
    <w:rsid w:val="0023636C"/>
    <w:rsid w:val="00237829"/>
    <w:rsid w:val="00240160"/>
    <w:rsid w:val="00240EB4"/>
    <w:rsid w:val="002422CE"/>
    <w:rsid w:val="00243F1A"/>
    <w:rsid w:val="00245118"/>
    <w:rsid w:val="002458E5"/>
    <w:rsid w:val="00245B4E"/>
    <w:rsid w:val="00247F6F"/>
    <w:rsid w:val="00250AE6"/>
    <w:rsid w:val="00251CC4"/>
    <w:rsid w:val="00251E79"/>
    <w:rsid w:val="002544FF"/>
    <w:rsid w:val="002547B7"/>
    <w:rsid w:val="002549DD"/>
    <w:rsid w:val="00255CE9"/>
    <w:rsid w:val="00255EE0"/>
    <w:rsid w:val="002608EF"/>
    <w:rsid w:val="00261B80"/>
    <w:rsid w:val="0026320B"/>
    <w:rsid w:val="0026535F"/>
    <w:rsid w:val="002654D1"/>
    <w:rsid w:val="00266692"/>
    <w:rsid w:val="00267C6D"/>
    <w:rsid w:val="00270B49"/>
    <w:rsid w:val="002716FB"/>
    <w:rsid w:val="002725B4"/>
    <w:rsid w:val="002732EF"/>
    <w:rsid w:val="002756E9"/>
    <w:rsid w:val="00276ED1"/>
    <w:rsid w:val="00277AEE"/>
    <w:rsid w:val="00277EC6"/>
    <w:rsid w:val="00283A5C"/>
    <w:rsid w:val="0028586A"/>
    <w:rsid w:val="00286489"/>
    <w:rsid w:val="00287F87"/>
    <w:rsid w:val="00291846"/>
    <w:rsid w:val="002920B5"/>
    <w:rsid w:val="00292555"/>
    <w:rsid w:val="0029284D"/>
    <w:rsid w:val="002932DB"/>
    <w:rsid w:val="00293740"/>
    <w:rsid w:val="00295CFB"/>
    <w:rsid w:val="0029613A"/>
    <w:rsid w:val="00296C2E"/>
    <w:rsid w:val="002978B6"/>
    <w:rsid w:val="00297F8C"/>
    <w:rsid w:val="002A1894"/>
    <w:rsid w:val="002A1BE3"/>
    <w:rsid w:val="002A42DA"/>
    <w:rsid w:val="002A6DE8"/>
    <w:rsid w:val="002A7188"/>
    <w:rsid w:val="002A7253"/>
    <w:rsid w:val="002A73DF"/>
    <w:rsid w:val="002A785C"/>
    <w:rsid w:val="002B1B0C"/>
    <w:rsid w:val="002B3D9C"/>
    <w:rsid w:val="002B50D3"/>
    <w:rsid w:val="002B6290"/>
    <w:rsid w:val="002C2343"/>
    <w:rsid w:val="002C3CD2"/>
    <w:rsid w:val="002C3EB9"/>
    <w:rsid w:val="002C46F8"/>
    <w:rsid w:val="002C7EBF"/>
    <w:rsid w:val="002D06D2"/>
    <w:rsid w:val="002D1FA2"/>
    <w:rsid w:val="002D4764"/>
    <w:rsid w:val="002D5561"/>
    <w:rsid w:val="002D5D98"/>
    <w:rsid w:val="002D62C1"/>
    <w:rsid w:val="002D66F9"/>
    <w:rsid w:val="002D6769"/>
    <w:rsid w:val="002D7761"/>
    <w:rsid w:val="002D79D3"/>
    <w:rsid w:val="002E1AEF"/>
    <w:rsid w:val="002E28AE"/>
    <w:rsid w:val="002E2CA4"/>
    <w:rsid w:val="002E3FF5"/>
    <w:rsid w:val="002E4498"/>
    <w:rsid w:val="002E6164"/>
    <w:rsid w:val="002E6243"/>
    <w:rsid w:val="002F0CEC"/>
    <w:rsid w:val="002F1020"/>
    <w:rsid w:val="002F17FA"/>
    <w:rsid w:val="002F2991"/>
    <w:rsid w:val="002F2CD9"/>
    <w:rsid w:val="002F3094"/>
    <w:rsid w:val="002F42F0"/>
    <w:rsid w:val="002F622B"/>
    <w:rsid w:val="002F6B80"/>
    <w:rsid w:val="002F6DF2"/>
    <w:rsid w:val="00300E32"/>
    <w:rsid w:val="00301888"/>
    <w:rsid w:val="00301DA5"/>
    <w:rsid w:val="00306853"/>
    <w:rsid w:val="003079B8"/>
    <w:rsid w:val="003101D2"/>
    <w:rsid w:val="00310875"/>
    <w:rsid w:val="003112DA"/>
    <w:rsid w:val="003116D9"/>
    <w:rsid w:val="0031177C"/>
    <w:rsid w:val="00312C1D"/>
    <w:rsid w:val="0031380F"/>
    <w:rsid w:val="00315545"/>
    <w:rsid w:val="00316C7B"/>
    <w:rsid w:val="003170CA"/>
    <w:rsid w:val="003175E0"/>
    <w:rsid w:val="00322283"/>
    <w:rsid w:val="00324CB1"/>
    <w:rsid w:val="00324CCE"/>
    <w:rsid w:val="00324F59"/>
    <w:rsid w:val="00327B04"/>
    <w:rsid w:val="00330827"/>
    <w:rsid w:val="00330D18"/>
    <w:rsid w:val="0033161E"/>
    <w:rsid w:val="00331A45"/>
    <w:rsid w:val="00331C1F"/>
    <w:rsid w:val="003323C4"/>
    <w:rsid w:val="00333FF4"/>
    <w:rsid w:val="003357DA"/>
    <w:rsid w:val="003362B9"/>
    <w:rsid w:val="00342C02"/>
    <w:rsid w:val="003436B2"/>
    <w:rsid w:val="00343ACD"/>
    <w:rsid w:val="003455FB"/>
    <w:rsid w:val="00347A27"/>
    <w:rsid w:val="00350319"/>
    <w:rsid w:val="00352678"/>
    <w:rsid w:val="0035474F"/>
    <w:rsid w:val="00361182"/>
    <w:rsid w:val="003612D0"/>
    <w:rsid w:val="00361A3B"/>
    <w:rsid w:val="003627E2"/>
    <w:rsid w:val="00364985"/>
    <w:rsid w:val="00367C55"/>
    <w:rsid w:val="00370BA5"/>
    <w:rsid w:val="00371FC0"/>
    <w:rsid w:val="003725B6"/>
    <w:rsid w:val="0037296B"/>
    <w:rsid w:val="003748E3"/>
    <w:rsid w:val="003777E5"/>
    <w:rsid w:val="00377C6E"/>
    <w:rsid w:val="003800CF"/>
    <w:rsid w:val="00380E11"/>
    <w:rsid w:val="0038101E"/>
    <w:rsid w:val="00381AD2"/>
    <w:rsid w:val="0038312E"/>
    <w:rsid w:val="00383303"/>
    <w:rsid w:val="00383F41"/>
    <w:rsid w:val="00387CB2"/>
    <w:rsid w:val="00390FC0"/>
    <w:rsid w:val="00391808"/>
    <w:rsid w:val="00391A5D"/>
    <w:rsid w:val="00392CF5"/>
    <w:rsid w:val="00393664"/>
    <w:rsid w:val="00394B76"/>
    <w:rsid w:val="0039621C"/>
    <w:rsid w:val="003A0A38"/>
    <w:rsid w:val="003A1FCD"/>
    <w:rsid w:val="003A2335"/>
    <w:rsid w:val="003A34DF"/>
    <w:rsid w:val="003A469B"/>
    <w:rsid w:val="003A6AF7"/>
    <w:rsid w:val="003A7174"/>
    <w:rsid w:val="003B0BD0"/>
    <w:rsid w:val="003B0E32"/>
    <w:rsid w:val="003B165E"/>
    <w:rsid w:val="003B1860"/>
    <w:rsid w:val="003B395E"/>
    <w:rsid w:val="003B4328"/>
    <w:rsid w:val="003B5B5B"/>
    <w:rsid w:val="003B6BDB"/>
    <w:rsid w:val="003B6FE4"/>
    <w:rsid w:val="003B715C"/>
    <w:rsid w:val="003C0074"/>
    <w:rsid w:val="003C0407"/>
    <w:rsid w:val="003C0C51"/>
    <w:rsid w:val="003C1089"/>
    <w:rsid w:val="003C4CE7"/>
    <w:rsid w:val="003C6AD8"/>
    <w:rsid w:val="003C7519"/>
    <w:rsid w:val="003C7CD0"/>
    <w:rsid w:val="003D05E2"/>
    <w:rsid w:val="003D0C3B"/>
    <w:rsid w:val="003D0F8A"/>
    <w:rsid w:val="003D24B5"/>
    <w:rsid w:val="003D42DE"/>
    <w:rsid w:val="003D4F3E"/>
    <w:rsid w:val="003D57AA"/>
    <w:rsid w:val="003D655B"/>
    <w:rsid w:val="003D6B85"/>
    <w:rsid w:val="003D7B77"/>
    <w:rsid w:val="003E0481"/>
    <w:rsid w:val="003E0BDA"/>
    <w:rsid w:val="003E2C38"/>
    <w:rsid w:val="003E2FAF"/>
    <w:rsid w:val="003E3516"/>
    <w:rsid w:val="003E45FD"/>
    <w:rsid w:val="003E6156"/>
    <w:rsid w:val="003E661C"/>
    <w:rsid w:val="003E68EA"/>
    <w:rsid w:val="003E74A9"/>
    <w:rsid w:val="003E75C6"/>
    <w:rsid w:val="003F0425"/>
    <w:rsid w:val="003F06C6"/>
    <w:rsid w:val="003F0C28"/>
    <w:rsid w:val="003F4845"/>
    <w:rsid w:val="003F4C1E"/>
    <w:rsid w:val="003F5BBD"/>
    <w:rsid w:val="003F7FBA"/>
    <w:rsid w:val="00400F0D"/>
    <w:rsid w:val="00402421"/>
    <w:rsid w:val="004032D9"/>
    <w:rsid w:val="00404AA8"/>
    <w:rsid w:val="00404C90"/>
    <w:rsid w:val="00405304"/>
    <w:rsid w:val="00405EE8"/>
    <w:rsid w:val="004064D7"/>
    <w:rsid w:val="004107F9"/>
    <w:rsid w:val="00411A9C"/>
    <w:rsid w:val="00413364"/>
    <w:rsid w:val="00413545"/>
    <w:rsid w:val="0041461C"/>
    <w:rsid w:val="00415127"/>
    <w:rsid w:val="004157EC"/>
    <w:rsid w:val="004170FF"/>
    <w:rsid w:val="00417744"/>
    <w:rsid w:val="0042217D"/>
    <w:rsid w:val="0042217F"/>
    <w:rsid w:val="004221F5"/>
    <w:rsid w:val="00422D24"/>
    <w:rsid w:val="00422EA2"/>
    <w:rsid w:val="004233D7"/>
    <w:rsid w:val="00423CF7"/>
    <w:rsid w:val="00424874"/>
    <w:rsid w:val="00424F17"/>
    <w:rsid w:val="00425DE6"/>
    <w:rsid w:val="00426ADB"/>
    <w:rsid w:val="0043052D"/>
    <w:rsid w:val="004306F6"/>
    <w:rsid w:val="004308BF"/>
    <w:rsid w:val="00430B23"/>
    <w:rsid w:val="00430DE7"/>
    <w:rsid w:val="00432F8E"/>
    <w:rsid w:val="0043337A"/>
    <w:rsid w:val="00433C37"/>
    <w:rsid w:val="0043449C"/>
    <w:rsid w:val="00435816"/>
    <w:rsid w:val="00436E89"/>
    <w:rsid w:val="0044178E"/>
    <w:rsid w:val="0044478B"/>
    <w:rsid w:val="004509DA"/>
    <w:rsid w:val="004518F6"/>
    <w:rsid w:val="00452A86"/>
    <w:rsid w:val="00454279"/>
    <w:rsid w:val="00454990"/>
    <w:rsid w:val="00456083"/>
    <w:rsid w:val="0045701E"/>
    <w:rsid w:val="00457E29"/>
    <w:rsid w:val="004613A4"/>
    <w:rsid w:val="00461DDB"/>
    <w:rsid w:val="00464114"/>
    <w:rsid w:val="00464B7A"/>
    <w:rsid w:val="00464D5D"/>
    <w:rsid w:val="00465190"/>
    <w:rsid w:val="00467335"/>
    <w:rsid w:val="004679F9"/>
    <w:rsid w:val="00470B19"/>
    <w:rsid w:val="00471EA6"/>
    <w:rsid w:val="00472AAD"/>
    <w:rsid w:val="00473E38"/>
    <w:rsid w:val="00474495"/>
    <w:rsid w:val="00474816"/>
    <w:rsid w:val="00477762"/>
    <w:rsid w:val="00480009"/>
    <w:rsid w:val="00480312"/>
    <w:rsid w:val="004818C0"/>
    <w:rsid w:val="00481BF6"/>
    <w:rsid w:val="00482436"/>
    <w:rsid w:val="00484186"/>
    <w:rsid w:val="00484C04"/>
    <w:rsid w:val="00485036"/>
    <w:rsid w:val="0048586A"/>
    <w:rsid w:val="00485998"/>
    <w:rsid w:val="00485B43"/>
    <w:rsid w:val="004868BE"/>
    <w:rsid w:val="004875B0"/>
    <w:rsid w:val="00487823"/>
    <w:rsid w:val="00490042"/>
    <w:rsid w:val="00491542"/>
    <w:rsid w:val="00491E8C"/>
    <w:rsid w:val="00491FE3"/>
    <w:rsid w:val="0049294C"/>
    <w:rsid w:val="00493B11"/>
    <w:rsid w:val="00495BE2"/>
    <w:rsid w:val="0049713F"/>
    <w:rsid w:val="004A0E3A"/>
    <w:rsid w:val="004A4A79"/>
    <w:rsid w:val="004A5183"/>
    <w:rsid w:val="004A5D73"/>
    <w:rsid w:val="004A64A0"/>
    <w:rsid w:val="004A6672"/>
    <w:rsid w:val="004A7E6F"/>
    <w:rsid w:val="004B0CB3"/>
    <w:rsid w:val="004B0F46"/>
    <w:rsid w:val="004B131C"/>
    <w:rsid w:val="004B2D31"/>
    <w:rsid w:val="004B35AA"/>
    <w:rsid w:val="004B3D18"/>
    <w:rsid w:val="004B5195"/>
    <w:rsid w:val="004B54D2"/>
    <w:rsid w:val="004B6B75"/>
    <w:rsid w:val="004C1B86"/>
    <w:rsid w:val="004C1FA9"/>
    <w:rsid w:val="004C2E1E"/>
    <w:rsid w:val="004C38B2"/>
    <w:rsid w:val="004C5613"/>
    <w:rsid w:val="004D103B"/>
    <w:rsid w:val="004D1C94"/>
    <w:rsid w:val="004D1CAD"/>
    <w:rsid w:val="004D2A46"/>
    <w:rsid w:val="004D31CC"/>
    <w:rsid w:val="004D3220"/>
    <w:rsid w:val="004D5E6E"/>
    <w:rsid w:val="004D66EB"/>
    <w:rsid w:val="004D6EA5"/>
    <w:rsid w:val="004D70A3"/>
    <w:rsid w:val="004E34A8"/>
    <w:rsid w:val="004E5B6A"/>
    <w:rsid w:val="004E6AAB"/>
    <w:rsid w:val="004E7111"/>
    <w:rsid w:val="004E72B7"/>
    <w:rsid w:val="004F1D1C"/>
    <w:rsid w:val="004F30F4"/>
    <w:rsid w:val="004F3EBA"/>
    <w:rsid w:val="004F427A"/>
    <w:rsid w:val="004F449D"/>
    <w:rsid w:val="004F72D9"/>
    <w:rsid w:val="004F7380"/>
    <w:rsid w:val="004F767A"/>
    <w:rsid w:val="00502186"/>
    <w:rsid w:val="00503FBD"/>
    <w:rsid w:val="005055C6"/>
    <w:rsid w:val="00506660"/>
    <w:rsid w:val="0050667F"/>
    <w:rsid w:val="005075F9"/>
    <w:rsid w:val="0051147A"/>
    <w:rsid w:val="00511EF0"/>
    <w:rsid w:val="00512479"/>
    <w:rsid w:val="00512FB0"/>
    <w:rsid w:val="00514AFB"/>
    <w:rsid w:val="00514FCD"/>
    <w:rsid w:val="00515583"/>
    <w:rsid w:val="00515DC5"/>
    <w:rsid w:val="00516389"/>
    <w:rsid w:val="005205A8"/>
    <w:rsid w:val="00521692"/>
    <w:rsid w:val="00521A80"/>
    <w:rsid w:val="00522D37"/>
    <w:rsid w:val="0052371B"/>
    <w:rsid w:val="00524F89"/>
    <w:rsid w:val="005253BA"/>
    <w:rsid w:val="00525DD6"/>
    <w:rsid w:val="00527BEA"/>
    <w:rsid w:val="00530A06"/>
    <w:rsid w:val="00530B92"/>
    <w:rsid w:val="005314AB"/>
    <w:rsid w:val="00531A29"/>
    <w:rsid w:val="00532067"/>
    <w:rsid w:val="00534092"/>
    <w:rsid w:val="0053486B"/>
    <w:rsid w:val="005353E3"/>
    <w:rsid w:val="005428DA"/>
    <w:rsid w:val="00546D47"/>
    <w:rsid w:val="005477B0"/>
    <w:rsid w:val="00547FE8"/>
    <w:rsid w:val="005500C2"/>
    <w:rsid w:val="0055086C"/>
    <w:rsid w:val="005514D2"/>
    <w:rsid w:val="0055489F"/>
    <w:rsid w:val="00554A4A"/>
    <w:rsid w:val="00555586"/>
    <w:rsid w:val="00555E96"/>
    <w:rsid w:val="00556512"/>
    <w:rsid w:val="00556F3A"/>
    <w:rsid w:val="0056050A"/>
    <w:rsid w:val="005609BD"/>
    <w:rsid w:val="00564589"/>
    <w:rsid w:val="0056560B"/>
    <w:rsid w:val="00565A0B"/>
    <w:rsid w:val="005665E5"/>
    <w:rsid w:val="005672CA"/>
    <w:rsid w:val="00570132"/>
    <w:rsid w:val="005701C1"/>
    <w:rsid w:val="00570601"/>
    <w:rsid w:val="00571974"/>
    <w:rsid w:val="00572522"/>
    <w:rsid w:val="00573676"/>
    <w:rsid w:val="00573A66"/>
    <w:rsid w:val="0057483D"/>
    <w:rsid w:val="00574D96"/>
    <w:rsid w:val="00574DD6"/>
    <w:rsid w:val="00575B68"/>
    <w:rsid w:val="005777ED"/>
    <w:rsid w:val="00580287"/>
    <w:rsid w:val="00582F42"/>
    <w:rsid w:val="00582FF5"/>
    <w:rsid w:val="00584FD6"/>
    <w:rsid w:val="00585B8D"/>
    <w:rsid w:val="005865DE"/>
    <w:rsid w:val="00586797"/>
    <w:rsid w:val="00587673"/>
    <w:rsid w:val="00590A39"/>
    <w:rsid w:val="0059105A"/>
    <w:rsid w:val="0059148A"/>
    <w:rsid w:val="00591547"/>
    <w:rsid w:val="005918E2"/>
    <w:rsid w:val="00594C59"/>
    <w:rsid w:val="00596229"/>
    <w:rsid w:val="00597438"/>
    <w:rsid w:val="00597509"/>
    <w:rsid w:val="00597DD7"/>
    <w:rsid w:val="005A058F"/>
    <w:rsid w:val="005A0E03"/>
    <w:rsid w:val="005A11A9"/>
    <w:rsid w:val="005A138C"/>
    <w:rsid w:val="005A3C53"/>
    <w:rsid w:val="005A416A"/>
    <w:rsid w:val="005A4DD0"/>
    <w:rsid w:val="005A4F8E"/>
    <w:rsid w:val="005A54F6"/>
    <w:rsid w:val="005A5F86"/>
    <w:rsid w:val="005A6B80"/>
    <w:rsid w:val="005A79B9"/>
    <w:rsid w:val="005A7A75"/>
    <w:rsid w:val="005B0688"/>
    <w:rsid w:val="005B17AF"/>
    <w:rsid w:val="005B1FFD"/>
    <w:rsid w:val="005B2C1D"/>
    <w:rsid w:val="005B4A93"/>
    <w:rsid w:val="005B5442"/>
    <w:rsid w:val="005B5669"/>
    <w:rsid w:val="005B5A28"/>
    <w:rsid w:val="005B6F61"/>
    <w:rsid w:val="005C0AFE"/>
    <w:rsid w:val="005C20E5"/>
    <w:rsid w:val="005C26AF"/>
    <w:rsid w:val="005C2DD0"/>
    <w:rsid w:val="005C4142"/>
    <w:rsid w:val="005C4D9B"/>
    <w:rsid w:val="005C6926"/>
    <w:rsid w:val="005C752A"/>
    <w:rsid w:val="005C79B0"/>
    <w:rsid w:val="005D0618"/>
    <w:rsid w:val="005D3B41"/>
    <w:rsid w:val="005D40A7"/>
    <w:rsid w:val="005D40B0"/>
    <w:rsid w:val="005D4DF6"/>
    <w:rsid w:val="005D53F9"/>
    <w:rsid w:val="005D5400"/>
    <w:rsid w:val="005D712C"/>
    <w:rsid w:val="005E0432"/>
    <w:rsid w:val="005E1A7A"/>
    <w:rsid w:val="005E1C66"/>
    <w:rsid w:val="005E318B"/>
    <w:rsid w:val="005E4DBC"/>
    <w:rsid w:val="005E5502"/>
    <w:rsid w:val="005E55B7"/>
    <w:rsid w:val="005E593B"/>
    <w:rsid w:val="005E66D6"/>
    <w:rsid w:val="005F06CB"/>
    <w:rsid w:val="005F0F8B"/>
    <w:rsid w:val="005F2031"/>
    <w:rsid w:val="005F39D3"/>
    <w:rsid w:val="005F5A45"/>
    <w:rsid w:val="005F6CFD"/>
    <w:rsid w:val="00601663"/>
    <w:rsid w:val="00602F83"/>
    <w:rsid w:val="006030E9"/>
    <w:rsid w:val="006035B0"/>
    <w:rsid w:val="0060539C"/>
    <w:rsid w:val="00605F41"/>
    <w:rsid w:val="00607DC3"/>
    <w:rsid w:val="0061130F"/>
    <w:rsid w:val="00611989"/>
    <w:rsid w:val="00611EC7"/>
    <w:rsid w:val="00613A11"/>
    <w:rsid w:val="00613B24"/>
    <w:rsid w:val="00614914"/>
    <w:rsid w:val="00614B8A"/>
    <w:rsid w:val="00614C36"/>
    <w:rsid w:val="006165C2"/>
    <w:rsid w:val="00616740"/>
    <w:rsid w:val="0062115E"/>
    <w:rsid w:val="0062372D"/>
    <w:rsid w:val="00624842"/>
    <w:rsid w:val="006255F0"/>
    <w:rsid w:val="006257AE"/>
    <w:rsid w:val="00626123"/>
    <w:rsid w:val="00626BA9"/>
    <w:rsid w:val="00626C77"/>
    <w:rsid w:val="006277E0"/>
    <w:rsid w:val="00630392"/>
    <w:rsid w:val="006317D9"/>
    <w:rsid w:val="00631C65"/>
    <w:rsid w:val="00632BB8"/>
    <w:rsid w:val="00632FE4"/>
    <w:rsid w:val="00635A68"/>
    <w:rsid w:val="00636F4D"/>
    <w:rsid w:val="00640571"/>
    <w:rsid w:val="00641D0E"/>
    <w:rsid w:val="00642FE8"/>
    <w:rsid w:val="00643DF6"/>
    <w:rsid w:val="006454CD"/>
    <w:rsid w:val="00646131"/>
    <w:rsid w:val="00646F40"/>
    <w:rsid w:val="006478FE"/>
    <w:rsid w:val="00652037"/>
    <w:rsid w:val="00652741"/>
    <w:rsid w:val="00652AB1"/>
    <w:rsid w:val="00652FFE"/>
    <w:rsid w:val="0065408A"/>
    <w:rsid w:val="00654775"/>
    <w:rsid w:val="00655451"/>
    <w:rsid w:val="00655E67"/>
    <w:rsid w:val="00657E06"/>
    <w:rsid w:val="00657E08"/>
    <w:rsid w:val="00657EE7"/>
    <w:rsid w:val="00660050"/>
    <w:rsid w:val="00663232"/>
    <w:rsid w:val="00664C4F"/>
    <w:rsid w:val="00665BEF"/>
    <w:rsid w:val="00666B7D"/>
    <w:rsid w:val="006679D6"/>
    <w:rsid w:val="0067082A"/>
    <w:rsid w:val="00671EF8"/>
    <w:rsid w:val="00672BFC"/>
    <w:rsid w:val="00672D3C"/>
    <w:rsid w:val="00672E95"/>
    <w:rsid w:val="0067314A"/>
    <w:rsid w:val="00674F34"/>
    <w:rsid w:val="00675240"/>
    <w:rsid w:val="006772B4"/>
    <w:rsid w:val="0068002A"/>
    <w:rsid w:val="00680655"/>
    <w:rsid w:val="00680CDA"/>
    <w:rsid w:val="006811A9"/>
    <w:rsid w:val="00681296"/>
    <w:rsid w:val="006827BE"/>
    <w:rsid w:val="00684A1A"/>
    <w:rsid w:val="00685688"/>
    <w:rsid w:val="00686034"/>
    <w:rsid w:val="00686670"/>
    <w:rsid w:val="00686716"/>
    <w:rsid w:val="00687C6F"/>
    <w:rsid w:val="00687DAC"/>
    <w:rsid w:val="00693218"/>
    <w:rsid w:val="00694DB1"/>
    <w:rsid w:val="00696E8B"/>
    <w:rsid w:val="006A010C"/>
    <w:rsid w:val="006A072B"/>
    <w:rsid w:val="006A0CFB"/>
    <w:rsid w:val="006A1BE3"/>
    <w:rsid w:val="006A3BB7"/>
    <w:rsid w:val="006A40B8"/>
    <w:rsid w:val="006A6579"/>
    <w:rsid w:val="006A7210"/>
    <w:rsid w:val="006A7678"/>
    <w:rsid w:val="006A7B75"/>
    <w:rsid w:val="006B24CC"/>
    <w:rsid w:val="006B3923"/>
    <w:rsid w:val="006B4CE5"/>
    <w:rsid w:val="006B604C"/>
    <w:rsid w:val="006C08F7"/>
    <w:rsid w:val="006C0968"/>
    <w:rsid w:val="006C09DC"/>
    <w:rsid w:val="006C19A7"/>
    <w:rsid w:val="006C3AD0"/>
    <w:rsid w:val="006C44BA"/>
    <w:rsid w:val="006C4D7C"/>
    <w:rsid w:val="006C521A"/>
    <w:rsid w:val="006C658E"/>
    <w:rsid w:val="006D0B3F"/>
    <w:rsid w:val="006D0D80"/>
    <w:rsid w:val="006D1347"/>
    <w:rsid w:val="006D19DE"/>
    <w:rsid w:val="006D27A9"/>
    <w:rsid w:val="006D300C"/>
    <w:rsid w:val="006D38FF"/>
    <w:rsid w:val="006D7C56"/>
    <w:rsid w:val="006E0401"/>
    <w:rsid w:val="006E1263"/>
    <w:rsid w:val="006E3EDB"/>
    <w:rsid w:val="006E436A"/>
    <w:rsid w:val="006E738F"/>
    <w:rsid w:val="006F2C05"/>
    <w:rsid w:val="006F3615"/>
    <w:rsid w:val="006F3DEF"/>
    <w:rsid w:val="006F55EE"/>
    <w:rsid w:val="006F5704"/>
    <w:rsid w:val="006F65FF"/>
    <w:rsid w:val="006F7611"/>
    <w:rsid w:val="007022D6"/>
    <w:rsid w:val="00703915"/>
    <w:rsid w:val="0070507C"/>
    <w:rsid w:val="00705B18"/>
    <w:rsid w:val="0070686E"/>
    <w:rsid w:val="00706C42"/>
    <w:rsid w:val="0071105C"/>
    <w:rsid w:val="00711F6F"/>
    <w:rsid w:val="00712BC6"/>
    <w:rsid w:val="00712F03"/>
    <w:rsid w:val="007150B4"/>
    <w:rsid w:val="007157F7"/>
    <w:rsid w:val="0071606F"/>
    <w:rsid w:val="0071630C"/>
    <w:rsid w:val="00716872"/>
    <w:rsid w:val="00720489"/>
    <w:rsid w:val="00721EF2"/>
    <w:rsid w:val="00726758"/>
    <w:rsid w:val="007267CD"/>
    <w:rsid w:val="007312F9"/>
    <w:rsid w:val="00732649"/>
    <w:rsid w:val="007335DC"/>
    <w:rsid w:val="00733AF2"/>
    <w:rsid w:val="00734D5F"/>
    <w:rsid w:val="00734FEB"/>
    <w:rsid w:val="007352D7"/>
    <w:rsid w:val="00735700"/>
    <w:rsid w:val="00737B1C"/>
    <w:rsid w:val="00737D62"/>
    <w:rsid w:val="0074058E"/>
    <w:rsid w:val="00740B98"/>
    <w:rsid w:val="00741A3D"/>
    <w:rsid w:val="00742609"/>
    <w:rsid w:val="007430FD"/>
    <w:rsid w:val="00743605"/>
    <w:rsid w:val="00744978"/>
    <w:rsid w:val="007465EC"/>
    <w:rsid w:val="007466DF"/>
    <w:rsid w:val="0074690C"/>
    <w:rsid w:val="00746A96"/>
    <w:rsid w:val="007506AD"/>
    <w:rsid w:val="00752777"/>
    <w:rsid w:val="00753B41"/>
    <w:rsid w:val="00755894"/>
    <w:rsid w:val="00760212"/>
    <w:rsid w:val="00760943"/>
    <w:rsid w:val="0076267F"/>
    <w:rsid w:val="00762ECE"/>
    <w:rsid w:val="00762FFD"/>
    <w:rsid w:val="00764CEA"/>
    <w:rsid w:val="00765C98"/>
    <w:rsid w:val="0076626B"/>
    <w:rsid w:val="007664DD"/>
    <w:rsid w:val="00766D05"/>
    <w:rsid w:val="00766EAB"/>
    <w:rsid w:val="0076729D"/>
    <w:rsid w:val="00767768"/>
    <w:rsid w:val="007708CB"/>
    <w:rsid w:val="00770F4C"/>
    <w:rsid w:val="00772268"/>
    <w:rsid w:val="007724BB"/>
    <w:rsid w:val="007725B8"/>
    <w:rsid w:val="00772BE5"/>
    <w:rsid w:val="00772D32"/>
    <w:rsid w:val="007732F4"/>
    <w:rsid w:val="00773B65"/>
    <w:rsid w:val="00774D3E"/>
    <w:rsid w:val="00774F50"/>
    <w:rsid w:val="00775CDD"/>
    <w:rsid w:val="00775F41"/>
    <w:rsid w:val="00776104"/>
    <w:rsid w:val="0077751E"/>
    <w:rsid w:val="007813B1"/>
    <w:rsid w:val="00781505"/>
    <w:rsid w:val="00782E00"/>
    <w:rsid w:val="00782F91"/>
    <w:rsid w:val="00783A7A"/>
    <w:rsid w:val="0078530E"/>
    <w:rsid w:val="00785A96"/>
    <w:rsid w:val="007864CA"/>
    <w:rsid w:val="00786C37"/>
    <w:rsid w:val="00791871"/>
    <w:rsid w:val="00793D9B"/>
    <w:rsid w:val="007A19FF"/>
    <w:rsid w:val="007A31B1"/>
    <w:rsid w:val="007A6A25"/>
    <w:rsid w:val="007A7175"/>
    <w:rsid w:val="007A7232"/>
    <w:rsid w:val="007B0BB8"/>
    <w:rsid w:val="007B314B"/>
    <w:rsid w:val="007B343C"/>
    <w:rsid w:val="007B395C"/>
    <w:rsid w:val="007B4050"/>
    <w:rsid w:val="007B4C7E"/>
    <w:rsid w:val="007B5F1F"/>
    <w:rsid w:val="007B60C2"/>
    <w:rsid w:val="007B7E67"/>
    <w:rsid w:val="007C32C7"/>
    <w:rsid w:val="007C3565"/>
    <w:rsid w:val="007C6294"/>
    <w:rsid w:val="007C7980"/>
    <w:rsid w:val="007D05B0"/>
    <w:rsid w:val="007D2EC6"/>
    <w:rsid w:val="007D3A2C"/>
    <w:rsid w:val="007D462E"/>
    <w:rsid w:val="007D650B"/>
    <w:rsid w:val="007D7E2D"/>
    <w:rsid w:val="007E18EC"/>
    <w:rsid w:val="007E20DC"/>
    <w:rsid w:val="007E29FB"/>
    <w:rsid w:val="007E42FB"/>
    <w:rsid w:val="007E4359"/>
    <w:rsid w:val="007E5855"/>
    <w:rsid w:val="007E68FA"/>
    <w:rsid w:val="007F0DA1"/>
    <w:rsid w:val="007F1BEF"/>
    <w:rsid w:val="007F1D78"/>
    <w:rsid w:val="007F5FC6"/>
    <w:rsid w:val="007F6DA1"/>
    <w:rsid w:val="00800F46"/>
    <w:rsid w:val="008012E8"/>
    <w:rsid w:val="0080170F"/>
    <w:rsid w:val="0080189C"/>
    <w:rsid w:val="00801C32"/>
    <w:rsid w:val="0080429E"/>
    <w:rsid w:val="00804E6C"/>
    <w:rsid w:val="008061E0"/>
    <w:rsid w:val="00806CE4"/>
    <w:rsid w:val="00807D95"/>
    <w:rsid w:val="00807DB9"/>
    <w:rsid w:val="00810F22"/>
    <w:rsid w:val="00811E46"/>
    <w:rsid w:val="00813C06"/>
    <w:rsid w:val="00815B9E"/>
    <w:rsid w:val="008171F6"/>
    <w:rsid w:val="00817EB5"/>
    <w:rsid w:val="00820053"/>
    <w:rsid w:val="0082104B"/>
    <w:rsid w:val="00821A0E"/>
    <w:rsid w:val="00822FE9"/>
    <w:rsid w:val="00823411"/>
    <w:rsid w:val="008238B1"/>
    <w:rsid w:val="00825800"/>
    <w:rsid w:val="0082594B"/>
    <w:rsid w:val="00825DA7"/>
    <w:rsid w:val="0082700C"/>
    <w:rsid w:val="00827D4F"/>
    <w:rsid w:val="008303E9"/>
    <w:rsid w:val="0083079B"/>
    <w:rsid w:val="00832024"/>
    <w:rsid w:val="00833CFF"/>
    <w:rsid w:val="008341C9"/>
    <w:rsid w:val="00834537"/>
    <w:rsid w:val="008345D3"/>
    <w:rsid w:val="00835387"/>
    <w:rsid w:val="008366D2"/>
    <w:rsid w:val="00836BF9"/>
    <w:rsid w:val="008374CE"/>
    <w:rsid w:val="00837E61"/>
    <w:rsid w:val="0084008C"/>
    <w:rsid w:val="00840739"/>
    <w:rsid w:val="0084082C"/>
    <w:rsid w:val="00840CC6"/>
    <w:rsid w:val="008425DD"/>
    <w:rsid w:val="008437AB"/>
    <w:rsid w:val="00843C34"/>
    <w:rsid w:val="00843D72"/>
    <w:rsid w:val="00845B70"/>
    <w:rsid w:val="00847475"/>
    <w:rsid w:val="00850029"/>
    <w:rsid w:val="008500CA"/>
    <w:rsid w:val="00850AEA"/>
    <w:rsid w:val="00850F81"/>
    <w:rsid w:val="00853BEA"/>
    <w:rsid w:val="00854C48"/>
    <w:rsid w:val="00860D7F"/>
    <w:rsid w:val="00862BFD"/>
    <w:rsid w:val="00863EC8"/>
    <w:rsid w:val="008640CD"/>
    <w:rsid w:val="00865693"/>
    <w:rsid w:val="008659E6"/>
    <w:rsid w:val="00865C58"/>
    <w:rsid w:val="00865CE1"/>
    <w:rsid w:val="0086670C"/>
    <w:rsid w:val="0087151A"/>
    <w:rsid w:val="00871F47"/>
    <w:rsid w:val="008721E8"/>
    <w:rsid w:val="0087246F"/>
    <w:rsid w:val="008769B8"/>
    <w:rsid w:val="00876E4E"/>
    <w:rsid w:val="00877035"/>
    <w:rsid w:val="00877CF7"/>
    <w:rsid w:val="0088248E"/>
    <w:rsid w:val="00883B3A"/>
    <w:rsid w:val="008840CA"/>
    <w:rsid w:val="00893058"/>
    <w:rsid w:val="00893A17"/>
    <w:rsid w:val="00894234"/>
    <w:rsid w:val="00895395"/>
    <w:rsid w:val="00895A9F"/>
    <w:rsid w:val="00895C60"/>
    <w:rsid w:val="008963F1"/>
    <w:rsid w:val="0089722E"/>
    <w:rsid w:val="008A0193"/>
    <w:rsid w:val="008A1E38"/>
    <w:rsid w:val="008A2DE8"/>
    <w:rsid w:val="008A5347"/>
    <w:rsid w:val="008A6CA4"/>
    <w:rsid w:val="008A78AC"/>
    <w:rsid w:val="008B0943"/>
    <w:rsid w:val="008B24CD"/>
    <w:rsid w:val="008B2C79"/>
    <w:rsid w:val="008B34A9"/>
    <w:rsid w:val="008B4830"/>
    <w:rsid w:val="008B4EAA"/>
    <w:rsid w:val="008B5476"/>
    <w:rsid w:val="008B56F9"/>
    <w:rsid w:val="008B7B3E"/>
    <w:rsid w:val="008C02FA"/>
    <w:rsid w:val="008C3D56"/>
    <w:rsid w:val="008C4C51"/>
    <w:rsid w:val="008C4D8D"/>
    <w:rsid w:val="008C54B8"/>
    <w:rsid w:val="008C6317"/>
    <w:rsid w:val="008C63C2"/>
    <w:rsid w:val="008C7F83"/>
    <w:rsid w:val="008D0A26"/>
    <w:rsid w:val="008D10F2"/>
    <w:rsid w:val="008D21A3"/>
    <w:rsid w:val="008D3CFC"/>
    <w:rsid w:val="008D4B13"/>
    <w:rsid w:val="008D55A2"/>
    <w:rsid w:val="008D5657"/>
    <w:rsid w:val="008D5FC0"/>
    <w:rsid w:val="008D6AE8"/>
    <w:rsid w:val="008E061C"/>
    <w:rsid w:val="008E2CA0"/>
    <w:rsid w:val="008E2E53"/>
    <w:rsid w:val="008F1B56"/>
    <w:rsid w:val="008F1D4E"/>
    <w:rsid w:val="008F2411"/>
    <w:rsid w:val="008F3CC1"/>
    <w:rsid w:val="008F548C"/>
    <w:rsid w:val="008F61B6"/>
    <w:rsid w:val="008F6587"/>
    <w:rsid w:val="008F699C"/>
    <w:rsid w:val="008F7BF9"/>
    <w:rsid w:val="00900119"/>
    <w:rsid w:val="00901447"/>
    <w:rsid w:val="009019C8"/>
    <w:rsid w:val="00901DC1"/>
    <w:rsid w:val="00904602"/>
    <w:rsid w:val="009052BF"/>
    <w:rsid w:val="0091020D"/>
    <w:rsid w:val="0091073D"/>
    <w:rsid w:val="009118B1"/>
    <w:rsid w:val="00914396"/>
    <w:rsid w:val="00914811"/>
    <w:rsid w:val="00914EE2"/>
    <w:rsid w:val="00915A5B"/>
    <w:rsid w:val="009160C5"/>
    <w:rsid w:val="009168DB"/>
    <w:rsid w:val="00917889"/>
    <w:rsid w:val="0092043E"/>
    <w:rsid w:val="009215B4"/>
    <w:rsid w:val="00922854"/>
    <w:rsid w:val="00923F2A"/>
    <w:rsid w:val="009240B5"/>
    <w:rsid w:val="0092499A"/>
    <w:rsid w:val="00925217"/>
    <w:rsid w:val="009256CE"/>
    <w:rsid w:val="00927B4D"/>
    <w:rsid w:val="009307BA"/>
    <w:rsid w:val="00930F34"/>
    <w:rsid w:val="00931862"/>
    <w:rsid w:val="0093452D"/>
    <w:rsid w:val="00934F43"/>
    <w:rsid w:val="00935086"/>
    <w:rsid w:val="0093552F"/>
    <w:rsid w:val="00936033"/>
    <w:rsid w:val="0093688C"/>
    <w:rsid w:val="0094066B"/>
    <w:rsid w:val="009406B5"/>
    <w:rsid w:val="009408FB"/>
    <w:rsid w:val="00942C5B"/>
    <w:rsid w:val="00943B92"/>
    <w:rsid w:val="00943D5A"/>
    <w:rsid w:val="00945B82"/>
    <w:rsid w:val="009469A1"/>
    <w:rsid w:val="00947153"/>
    <w:rsid w:val="00950CB3"/>
    <w:rsid w:val="00951D9B"/>
    <w:rsid w:val="00952090"/>
    <w:rsid w:val="009539DC"/>
    <w:rsid w:val="00953F47"/>
    <w:rsid w:val="009546C4"/>
    <w:rsid w:val="009556DD"/>
    <w:rsid w:val="00957490"/>
    <w:rsid w:val="00960A03"/>
    <w:rsid w:val="00960C2E"/>
    <w:rsid w:val="00960E41"/>
    <w:rsid w:val="00961BDC"/>
    <w:rsid w:val="00961EE0"/>
    <w:rsid w:val="009633B1"/>
    <w:rsid w:val="00963626"/>
    <w:rsid w:val="00963933"/>
    <w:rsid w:val="0096555D"/>
    <w:rsid w:val="00967473"/>
    <w:rsid w:val="00970532"/>
    <w:rsid w:val="0097078B"/>
    <w:rsid w:val="00970C51"/>
    <w:rsid w:val="009711AE"/>
    <w:rsid w:val="00971A7D"/>
    <w:rsid w:val="00971B82"/>
    <w:rsid w:val="00971D3E"/>
    <w:rsid w:val="00972E17"/>
    <w:rsid w:val="00974D5F"/>
    <w:rsid w:val="00974F7F"/>
    <w:rsid w:val="00975AD4"/>
    <w:rsid w:val="00976C32"/>
    <w:rsid w:val="009802EB"/>
    <w:rsid w:val="0098115A"/>
    <w:rsid w:val="00981AAF"/>
    <w:rsid w:val="00982A65"/>
    <w:rsid w:val="00983336"/>
    <w:rsid w:val="0098503E"/>
    <w:rsid w:val="0098557A"/>
    <w:rsid w:val="0099130F"/>
    <w:rsid w:val="00991DB0"/>
    <w:rsid w:val="00993395"/>
    <w:rsid w:val="00993ECB"/>
    <w:rsid w:val="00996CD7"/>
    <w:rsid w:val="00997136"/>
    <w:rsid w:val="00997648"/>
    <w:rsid w:val="009978FE"/>
    <w:rsid w:val="009A14A0"/>
    <w:rsid w:val="009A2855"/>
    <w:rsid w:val="009A59A4"/>
    <w:rsid w:val="009A5F95"/>
    <w:rsid w:val="009B0450"/>
    <w:rsid w:val="009B11CA"/>
    <w:rsid w:val="009B25EA"/>
    <w:rsid w:val="009B2BC4"/>
    <w:rsid w:val="009B30AC"/>
    <w:rsid w:val="009B4987"/>
    <w:rsid w:val="009B557C"/>
    <w:rsid w:val="009B5DC5"/>
    <w:rsid w:val="009B746B"/>
    <w:rsid w:val="009B74FB"/>
    <w:rsid w:val="009C007E"/>
    <w:rsid w:val="009C2F64"/>
    <w:rsid w:val="009C56B3"/>
    <w:rsid w:val="009C6EB6"/>
    <w:rsid w:val="009D26AB"/>
    <w:rsid w:val="009D2B74"/>
    <w:rsid w:val="009D5909"/>
    <w:rsid w:val="009D69FC"/>
    <w:rsid w:val="009E16CD"/>
    <w:rsid w:val="009E1DF7"/>
    <w:rsid w:val="009E2FD3"/>
    <w:rsid w:val="009E3D5F"/>
    <w:rsid w:val="009E4541"/>
    <w:rsid w:val="009E529F"/>
    <w:rsid w:val="009E5C6D"/>
    <w:rsid w:val="009F27BB"/>
    <w:rsid w:val="009F2A36"/>
    <w:rsid w:val="009F492C"/>
    <w:rsid w:val="009F745F"/>
    <w:rsid w:val="009F7A9B"/>
    <w:rsid w:val="00A0002A"/>
    <w:rsid w:val="00A00184"/>
    <w:rsid w:val="00A01BFF"/>
    <w:rsid w:val="00A02CFB"/>
    <w:rsid w:val="00A03742"/>
    <w:rsid w:val="00A04C13"/>
    <w:rsid w:val="00A0532C"/>
    <w:rsid w:val="00A054A1"/>
    <w:rsid w:val="00A05929"/>
    <w:rsid w:val="00A06D1C"/>
    <w:rsid w:val="00A11122"/>
    <w:rsid w:val="00A1218B"/>
    <w:rsid w:val="00A130E2"/>
    <w:rsid w:val="00A1368D"/>
    <w:rsid w:val="00A13A0A"/>
    <w:rsid w:val="00A144B2"/>
    <w:rsid w:val="00A156A9"/>
    <w:rsid w:val="00A21373"/>
    <w:rsid w:val="00A21500"/>
    <w:rsid w:val="00A224F7"/>
    <w:rsid w:val="00A226F6"/>
    <w:rsid w:val="00A232B0"/>
    <w:rsid w:val="00A239A7"/>
    <w:rsid w:val="00A23C06"/>
    <w:rsid w:val="00A25042"/>
    <w:rsid w:val="00A26539"/>
    <w:rsid w:val="00A27119"/>
    <w:rsid w:val="00A30F11"/>
    <w:rsid w:val="00A3160D"/>
    <w:rsid w:val="00A31A49"/>
    <w:rsid w:val="00A33DB5"/>
    <w:rsid w:val="00A346EF"/>
    <w:rsid w:val="00A35743"/>
    <w:rsid w:val="00A37E5F"/>
    <w:rsid w:val="00A37EB1"/>
    <w:rsid w:val="00A40411"/>
    <w:rsid w:val="00A41595"/>
    <w:rsid w:val="00A41AE4"/>
    <w:rsid w:val="00A421F5"/>
    <w:rsid w:val="00A42338"/>
    <w:rsid w:val="00A46B83"/>
    <w:rsid w:val="00A508E3"/>
    <w:rsid w:val="00A50E28"/>
    <w:rsid w:val="00A519D1"/>
    <w:rsid w:val="00A52538"/>
    <w:rsid w:val="00A52A75"/>
    <w:rsid w:val="00A52D25"/>
    <w:rsid w:val="00A54131"/>
    <w:rsid w:val="00A544E0"/>
    <w:rsid w:val="00A54EA7"/>
    <w:rsid w:val="00A54FB6"/>
    <w:rsid w:val="00A5515C"/>
    <w:rsid w:val="00A55750"/>
    <w:rsid w:val="00A56BAB"/>
    <w:rsid w:val="00A56FFD"/>
    <w:rsid w:val="00A60A82"/>
    <w:rsid w:val="00A6150A"/>
    <w:rsid w:val="00A615EB"/>
    <w:rsid w:val="00A63C8E"/>
    <w:rsid w:val="00A65CDB"/>
    <w:rsid w:val="00A67DC0"/>
    <w:rsid w:val="00A7078B"/>
    <w:rsid w:val="00A718D0"/>
    <w:rsid w:val="00A71CAD"/>
    <w:rsid w:val="00A71E34"/>
    <w:rsid w:val="00A721D8"/>
    <w:rsid w:val="00A72816"/>
    <w:rsid w:val="00A72F57"/>
    <w:rsid w:val="00A75587"/>
    <w:rsid w:val="00A76935"/>
    <w:rsid w:val="00A8037A"/>
    <w:rsid w:val="00A81782"/>
    <w:rsid w:val="00A81CA6"/>
    <w:rsid w:val="00A83672"/>
    <w:rsid w:val="00A8450B"/>
    <w:rsid w:val="00A909B4"/>
    <w:rsid w:val="00A91C42"/>
    <w:rsid w:val="00A95C2C"/>
    <w:rsid w:val="00A95CEC"/>
    <w:rsid w:val="00A977AD"/>
    <w:rsid w:val="00AA1ABC"/>
    <w:rsid w:val="00AA2CBA"/>
    <w:rsid w:val="00AA368E"/>
    <w:rsid w:val="00AA37CB"/>
    <w:rsid w:val="00AA4E22"/>
    <w:rsid w:val="00AA5CE5"/>
    <w:rsid w:val="00AA653A"/>
    <w:rsid w:val="00AA7732"/>
    <w:rsid w:val="00AB14F2"/>
    <w:rsid w:val="00AB36AA"/>
    <w:rsid w:val="00AB47D4"/>
    <w:rsid w:val="00AB5004"/>
    <w:rsid w:val="00AB5055"/>
    <w:rsid w:val="00AB6326"/>
    <w:rsid w:val="00AB791D"/>
    <w:rsid w:val="00AC0AE3"/>
    <w:rsid w:val="00AC36D0"/>
    <w:rsid w:val="00AC60F3"/>
    <w:rsid w:val="00AC67F0"/>
    <w:rsid w:val="00AC6C31"/>
    <w:rsid w:val="00AC78CE"/>
    <w:rsid w:val="00AC79B6"/>
    <w:rsid w:val="00AD18CB"/>
    <w:rsid w:val="00AD3C26"/>
    <w:rsid w:val="00AD6586"/>
    <w:rsid w:val="00AD7042"/>
    <w:rsid w:val="00AE1E96"/>
    <w:rsid w:val="00AE2367"/>
    <w:rsid w:val="00AE447D"/>
    <w:rsid w:val="00AE5790"/>
    <w:rsid w:val="00AE730C"/>
    <w:rsid w:val="00AE77F6"/>
    <w:rsid w:val="00AE7E08"/>
    <w:rsid w:val="00AE7F8C"/>
    <w:rsid w:val="00AF17FA"/>
    <w:rsid w:val="00AF55FF"/>
    <w:rsid w:val="00AF5F6D"/>
    <w:rsid w:val="00AF761A"/>
    <w:rsid w:val="00AF79D3"/>
    <w:rsid w:val="00B0540D"/>
    <w:rsid w:val="00B05AE0"/>
    <w:rsid w:val="00B05C57"/>
    <w:rsid w:val="00B07486"/>
    <w:rsid w:val="00B12D35"/>
    <w:rsid w:val="00B12FC5"/>
    <w:rsid w:val="00B137BD"/>
    <w:rsid w:val="00B1728D"/>
    <w:rsid w:val="00B17891"/>
    <w:rsid w:val="00B179CE"/>
    <w:rsid w:val="00B21A34"/>
    <w:rsid w:val="00B22A03"/>
    <w:rsid w:val="00B23027"/>
    <w:rsid w:val="00B232B0"/>
    <w:rsid w:val="00B237B9"/>
    <w:rsid w:val="00B245E9"/>
    <w:rsid w:val="00B2495E"/>
    <w:rsid w:val="00B2509A"/>
    <w:rsid w:val="00B2778F"/>
    <w:rsid w:val="00B30A07"/>
    <w:rsid w:val="00B3117B"/>
    <w:rsid w:val="00B313C0"/>
    <w:rsid w:val="00B32808"/>
    <w:rsid w:val="00B32914"/>
    <w:rsid w:val="00B32E0B"/>
    <w:rsid w:val="00B3410F"/>
    <w:rsid w:val="00B346DC"/>
    <w:rsid w:val="00B350FA"/>
    <w:rsid w:val="00B35ADF"/>
    <w:rsid w:val="00B41169"/>
    <w:rsid w:val="00B419A1"/>
    <w:rsid w:val="00B4321C"/>
    <w:rsid w:val="00B43F8A"/>
    <w:rsid w:val="00B4493B"/>
    <w:rsid w:val="00B44B64"/>
    <w:rsid w:val="00B47A48"/>
    <w:rsid w:val="00B47EA8"/>
    <w:rsid w:val="00B5052F"/>
    <w:rsid w:val="00B50CA8"/>
    <w:rsid w:val="00B51A35"/>
    <w:rsid w:val="00B51B9C"/>
    <w:rsid w:val="00B5531C"/>
    <w:rsid w:val="00B60A49"/>
    <w:rsid w:val="00B60C66"/>
    <w:rsid w:val="00B61266"/>
    <w:rsid w:val="00B61A93"/>
    <w:rsid w:val="00B6204D"/>
    <w:rsid w:val="00B62088"/>
    <w:rsid w:val="00B62D7F"/>
    <w:rsid w:val="00B63123"/>
    <w:rsid w:val="00B654D2"/>
    <w:rsid w:val="00B65680"/>
    <w:rsid w:val="00B670D5"/>
    <w:rsid w:val="00B73002"/>
    <w:rsid w:val="00B73894"/>
    <w:rsid w:val="00B744F5"/>
    <w:rsid w:val="00B751F9"/>
    <w:rsid w:val="00B7612D"/>
    <w:rsid w:val="00B7653D"/>
    <w:rsid w:val="00B77283"/>
    <w:rsid w:val="00B80048"/>
    <w:rsid w:val="00B80E8A"/>
    <w:rsid w:val="00B82D22"/>
    <w:rsid w:val="00B8308D"/>
    <w:rsid w:val="00B8330A"/>
    <w:rsid w:val="00B841E2"/>
    <w:rsid w:val="00B8448E"/>
    <w:rsid w:val="00B85103"/>
    <w:rsid w:val="00B85B84"/>
    <w:rsid w:val="00B861DA"/>
    <w:rsid w:val="00B86203"/>
    <w:rsid w:val="00B86B3C"/>
    <w:rsid w:val="00B90797"/>
    <w:rsid w:val="00B90BFE"/>
    <w:rsid w:val="00B90DC7"/>
    <w:rsid w:val="00B91306"/>
    <w:rsid w:val="00B9134C"/>
    <w:rsid w:val="00B915F5"/>
    <w:rsid w:val="00B9193B"/>
    <w:rsid w:val="00B91971"/>
    <w:rsid w:val="00B91D63"/>
    <w:rsid w:val="00B93B5C"/>
    <w:rsid w:val="00B95663"/>
    <w:rsid w:val="00B95ED0"/>
    <w:rsid w:val="00B9674B"/>
    <w:rsid w:val="00B971DB"/>
    <w:rsid w:val="00B97CE5"/>
    <w:rsid w:val="00BA10F3"/>
    <w:rsid w:val="00BA1660"/>
    <w:rsid w:val="00BA1A11"/>
    <w:rsid w:val="00BA220B"/>
    <w:rsid w:val="00BA4617"/>
    <w:rsid w:val="00BA48CB"/>
    <w:rsid w:val="00BA4E10"/>
    <w:rsid w:val="00BA5801"/>
    <w:rsid w:val="00BA6AEB"/>
    <w:rsid w:val="00BA6EBA"/>
    <w:rsid w:val="00BB26E6"/>
    <w:rsid w:val="00BB411A"/>
    <w:rsid w:val="00BB6D03"/>
    <w:rsid w:val="00BC012B"/>
    <w:rsid w:val="00BC06EC"/>
    <w:rsid w:val="00BC0E09"/>
    <w:rsid w:val="00BC0E27"/>
    <w:rsid w:val="00BC0EEE"/>
    <w:rsid w:val="00BC4224"/>
    <w:rsid w:val="00BC5995"/>
    <w:rsid w:val="00BD0193"/>
    <w:rsid w:val="00BD4BD0"/>
    <w:rsid w:val="00BD67C7"/>
    <w:rsid w:val="00BD6C52"/>
    <w:rsid w:val="00BD7E35"/>
    <w:rsid w:val="00BE1E0D"/>
    <w:rsid w:val="00BE2775"/>
    <w:rsid w:val="00BE289A"/>
    <w:rsid w:val="00BE2B26"/>
    <w:rsid w:val="00BE46C7"/>
    <w:rsid w:val="00BE6A1D"/>
    <w:rsid w:val="00BE7395"/>
    <w:rsid w:val="00BF3AB0"/>
    <w:rsid w:val="00BF3BF5"/>
    <w:rsid w:val="00BF4509"/>
    <w:rsid w:val="00BF4660"/>
    <w:rsid w:val="00BF53F5"/>
    <w:rsid w:val="00BF590F"/>
    <w:rsid w:val="00BF5B79"/>
    <w:rsid w:val="00BF75DC"/>
    <w:rsid w:val="00C003AD"/>
    <w:rsid w:val="00C02589"/>
    <w:rsid w:val="00C029BF"/>
    <w:rsid w:val="00C04971"/>
    <w:rsid w:val="00C061D1"/>
    <w:rsid w:val="00C06A6B"/>
    <w:rsid w:val="00C07165"/>
    <w:rsid w:val="00C07829"/>
    <w:rsid w:val="00C079AC"/>
    <w:rsid w:val="00C11C81"/>
    <w:rsid w:val="00C1266C"/>
    <w:rsid w:val="00C1447B"/>
    <w:rsid w:val="00C150BB"/>
    <w:rsid w:val="00C15BB8"/>
    <w:rsid w:val="00C15BE8"/>
    <w:rsid w:val="00C165FB"/>
    <w:rsid w:val="00C16C8C"/>
    <w:rsid w:val="00C17656"/>
    <w:rsid w:val="00C20859"/>
    <w:rsid w:val="00C20967"/>
    <w:rsid w:val="00C20D83"/>
    <w:rsid w:val="00C23BC2"/>
    <w:rsid w:val="00C23DFB"/>
    <w:rsid w:val="00C240AB"/>
    <w:rsid w:val="00C2423E"/>
    <w:rsid w:val="00C2441D"/>
    <w:rsid w:val="00C2494F"/>
    <w:rsid w:val="00C25992"/>
    <w:rsid w:val="00C26AB6"/>
    <w:rsid w:val="00C2766B"/>
    <w:rsid w:val="00C318DA"/>
    <w:rsid w:val="00C325EC"/>
    <w:rsid w:val="00C335CA"/>
    <w:rsid w:val="00C3509E"/>
    <w:rsid w:val="00C35738"/>
    <w:rsid w:val="00C42C16"/>
    <w:rsid w:val="00C437BA"/>
    <w:rsid w:val="00C4523C"/>
    <w:rsid w:val="00C50F92"/>
    <w:rsid w:val="00C51EFB"/>
    <w:rsid w:val="00C52BBE"/>
    <w:rsid w:val="00C53395"/>
    <w:rsid w:val="00C53822"/>
    <w:rsid w:val="00C54BD7"/>
    <w:rsid w:val="00C577BD"/>
    <w:rsid w:val="00C57E1B"/>
    <w:rsid w:val="00C61DEF"/>
    <w:rsid w:val="00C6379F"/>
    <w:rsid w:val="00C642D9"/>
    <w:rsid w:val="00C65969"/>
    <w:rsid w:val="00C66DA9"/>
    <w:rsid w:val="00C709D6"/>
    <w:rsid w:val="00C70DCD"/>
    <w:rsid w:val="00C71926"/>
    <w:rsid w:val="00C72AA2"/>
    <w:rsid w:val="00C7303F"/>
    <w:rsid w:val="00C74413"/>
    <w:rsid w:val="00C74A3B"/>
    <w:rsid w:val="00C7536F"/>
    <w:rsid w:val="00C76A32"/>
    <w:rsid w:val="00C800DF"/>
    <w:rsid w:val="00C8155D"/>
    <w:rsid w:val="00C83E1C"/>
    <w:rsid w:val="00C84BD1"/>
    <w:rsid w:val="00C84F0C"/>
    <w:rsid w:val="00C91B03"/>
    <w:rsid w:val="00C9635B"/>
    <w:rsid w:val="00C96C90"/>
    <w:rsid w:val="00C97DEC"/>
    <w:rsid w:val="00CA1061"/>
    <w:rsid w:val="00CA11BC"/>
    <w:rsid w:val="00CA66A9"/>
    <w:rsid w:val="00CA6D65"/>
    <w:rsid w:val="00CA7303"/>
    <w:rsid w:val="00CA7C05"/>
    <w:rsid w:val="00CB2169"/>
    <w:rsid w:val="00CB28AD"/>
    <w:rsid w:val="00CB3799"/>
    <w:rsid w:val="00CB4023"/>
    <w:rsid w:val="00CB425E"/>
    <w:rsid w:val="00CB5DEA"/>
    <w:rsid w:val="00CC01AE"/>
    <w:rsid w:val="00CC1541"/>
    <w:rsid w:val="00CC16A2"/>
    <w:rsid w:val="00CC26D6"/>
    <w:rsid w:val="00CC367B"/>
    <w:rsid w:val="00CC4394"/>
    <w:rsid w:val="00CC492F"/>
    <w:rsid w:val="00CC502F"/>
    <w:rsid w:val="00CC5269"/>
    <w:rsid w:val="00CC5276"/>
    <w:rsid w:val="00CC575E"/>
    <w:rsid w:val="00CC6FDD"/>
    <w:rsid w:val="00CD0BF9"/>
    <w:rsid w:val="00CD1CAF"/>
    <w:rsid w:val="00CD2D6F"/>
    <w:rsid w:val="00CD3026"/>
    <w:rsid w:val="00CD4465"/>
    <w:rsid w:val="00CD51EB"/>
    <w:rsid w:val="00CD5EBB"/>
    <w:rsid w:val="00CD6F4B"/>
    <w:rsid w:val="00CD74C6"/>
    <w:rsid w:val="00CD7575"/>
    <w:rsid w:val="00CD76EC"/>
    <w:rsid w:val="00CD7FAD"/>
    <w:rsid w:val="00CE0137"/>
    <w:rsid w:val="00CE1675"/>
    <w:rsid w:val="00CE3A70"/>
    <w:rsid w:val="00CE6EC8"/>
    <w:rsid w:val="00CF012A"/>
    <w:rsid w:val="00CF075E"/>
    <w:rsid w:val="00CF0FEE"/>
    <w:rsid w:val="00CF1D97"/>
    <w:rsid w:val="00CF3118"/>
    <w:rsid w:val="00CF37C1"/>
    <w:rsid w:val="00CF3866"/>
    <w:rsid w:val="00CF3B49"/>
    <w:rsid w:val="00CF42F4"/>
    <w:rsid w:val="00CF47D4"/>
    <w:rsid w:val="00CF5703"/>
    <w:rsid w:val="00CF58BD"/>
    <w:rsid w:val="00CF621A"/>
    <w:rsid w:val="00CF6D85"/>
    <w:rsid w:val="00CF7066"/>
    <w:rsid w:val="00CF7A57"/>
    <w:rsid w:val="00D036D1"/>
    <w:rsid w:val="00D04751"/>
    <w:rsid w:val="00D05AB7"/>
    <w:rsid w:val="00D05FC5"/>
    <w:rsid w:val="00D06F6D"/>
    <w:rsid w:val="00D079BF"/>
    <w:rsid w:val="00D1049B"/>
    <w:rsid w:val="00D10BAE"/>
    <w:rsid w:val="00D1155C"/>
    <w:rsid w:val="00D13FCF"/>
    <w:rsid w:val="00D14069"/>
    <w:rsid w:val="00D15D22"/>
    <w:rsid w:val="00D16569"/>
    <w:rsid w:val="00D17818"/>
    <w:rsid w:val="00D211CB"/>
    <w:rsid w:val="00D21A36"/>
    <w:rsid w:val="00D22A42"/>
    <w:rsid w:val="00D22BE3"/>
    <w:rsid w:val="00D22C6D"/>
    <w:rsid w:val="00D23566"/>
    <w:rsid w:val="00D23F41"/>
    <w:rsid w:val="00D24A46"/>
    <w:rsid w:val="00D25078"/>
    <w:rsid w:val="00D25E28"/>
    <w:rsid w:val="00D268A7"/>
    <w:rsid w:val="00D274AB"/>
    <w:rsid w:val="00D30457"/>
    <w:rsid w:val="00D31E8D"/>
    <w:rsid w:val="00D33112"/>
    <w:rsid w:val="00D40081"/>
    <w:rsid w:val="00D41A75"/>
    <w:rsid w:val="00D42006"/>
    <w:rsid w:val="00D45221"/>
    <w:rsid w:val="00D45348"/>
    <w:rsid w:val="00D45B58"/>
    <w:rsid w:val="00D472CD"/>
    <w:rsid w:val="00D479C5"/>
    <w:rsid w:val="00D47A2B"/>
    <w:rsid w:val="00D50BD8"/>
    <w:rsid w:val="00D519D4"/>
    <w:rsid w:val="00D53186"/>
    <w:rsid w:val="00D55845"/>
    <w:rsid w:val="00D55A51"/>
    <w:rsid w:val="00D56568"/>
    <w:rsid w:val="00D56A97"/>
    <w:rsid w:val="00D57548"/>
    <w:rsid w:val="00D60A45"/>
    <w:rsid w:val="00D62101"/>
    <w:rsid w:val="00D62FEE"/>
    <w:rsid w:val="00D645D7"/>
    <w:rsid w:val="00D6460B"/>
    <w:rsid w:val="00D65212"/>
    <w:rsid w:val="00D70B4E"/>
    <w:rsid w:val="00D70EE5"/>
    <w:rsid w:val="00D70FC8"/>
    <w:rsid w:val="00D71198"/>
    <w:rsid w:val="00D71681"/>
    <w:rsid w:val="00D719A8"/>
    <w:rsid w:val="00D71D03"/>
    <w:rsid w:val="00D73754"/>
    <w:rsid w:val="00D74FCC"/>
    <w:rsid w:val="00D76F16"/>
    <w:rsid w:val="00D80CE9"/>
    <w:rsid w:val="00D83575"/>
    <w:rsid w:val="00D859A9"/>
    <w:rsid w:val="00D8745D"/>
    <w:rsid w:val="00D87B78"/>
    <w:rsid w:val="00D9014B"/>
    <w:rsid w:val="00D9273D"/>
    <w:rsid w:val="00D92A22"/>
    <w:rsid w:val="00D95492"/>
    <w:rsid w:val="00D95677"/>
    <w:rsid w:val="00D978D7"/>
    <w:rsid w:val="00DA13A1"/>
    <w:rsid w:val="00DA19A7"/>
    <w:rsid w:val="00DA1D62"/>
    <w:rsid w:val="00DA243A"/>
    <w:rsid w:val="00DA3ED4"/>
    <w:rsid w:val="00DA40D2"/>
    <w:rsid w:val="00DA6D1A"/>
    <w:rsid w:val="00DB02ED"/>
    <w:rsid w:val="00DB07C0"/>
    <w:rsid w:val="00DB10F1"/>
    <w:rsid w:val="00DB26DA"/>
    <w:rsid w:val="00DB2A10"/>
    <w:rsid w:val="00DB2B70"/>
    <w:rsid w:val="00DB5DEC"/>
    <w:rsid w:val="00DB5F3D"/>
    <w:rsid w:val="00DB635A"/>
    <w:rsid w:val="00DB6411"/>
    <w:rsid w:val="00DB687F"/>
    <w:rsid w:val="00DB6E20"/>
    <w:rsid w:val="00DB6F4D"/>
    <w:rsid w:val="00DB7A00"/>
    <w:rsid w:val="00DC052B"/>
    <w:rsid w:val="00DC08A1"/>
    <w:rsid w:val="00DC0AF7"/>
    <w:rsid w:val="00DC0CD2"/>
    <w:rsid w:val="00DC1F32"/>
    <w:rsid w:val="00DC3F64"/>
    <w:rsid w:val="00DC70DA"/>
    <w:rsid w:val="00DD0798"/>
    <w:rsid w:val="00DD11D2"/>
    <w:rsid w:val="00DD3E40"/>
    <w:rsid w:val="00DD589D"/>
    <w:rsid w:val="00DD67A7"/>
    <w:rsid w:val="00DD70E1"/>
    <w:rsid w:val="00DD7C37"/>
    <w:rsid w:val="00DE0925"/>
    <w:rsid w:val="00DE15E8"/>
    <w:rsid w:val="00DE1EA1"/>
    <w:rsid w:val="00DE4546"/>
    <w:rsid w:val="00DE4633"/>
    <w:rsid w:val="00DE4A77"/>
    <w:rsid w:val="00DE53C6"/>
    <w:rsid w:val="00DE5545"/>
    <w:rsid w:val="00DE5B33"/>
    <w:rsid w:val="00DE62D7"/>
    <w:rsid w:val="00DE6628"/>
    <w:rsid w:val="00DE698B"/>
    <w:rsid w:val="00DE7C36"/>
    <w:rsid w:val="00DF005B"/>
    <w:rsid w:val="00DF101E"/>
    <w:rsid w:val="00DF223A"/>
    <w:rsid w:val="00DF401E"/>
    <w:rsid w:val="00DF410A"/>
    <w:rsid w:val="00DF46E5"/>
    <w:rsid w:val="00DF47FF"/>
    <w:rsid w:val="00DF5816"/>
    <w:rsid w:val="00DF5E2F"/>
    <w:rsid w:val="00E00A68"/>
    <w:rsid w:val="00E00B4B"/>
    <w:rsid w:val="00E00C4E"/>
    <w:rsid w:val="00E00CBA"/>
    <w:rsid w:val="00E017B2"/>
    <w:rsid w:val="00E0236C"/>
    <w:rsid w:val="00E02DF4"/>
    <w:rsid w:val="00E03285"/>
    <w:rsid w:val="00E04057"/>
    <w:rsid w:val="00E05974"/>
    <w:rsid w:val="00E07269"/>
    <w:rsid w:val="00E07A2D"/>
    <w:rsid w:val="00E109BD"/>
    <w:rsid w:val="00E12243"/>
    <w:rsid w:val="00E1531D"/>
    <w:rsid w:val="00E15527"/>
    <w:rsid w:val="00E17B13"/>
    <w:rsid w:val="00E2113A"/>
    <w:rsid w:val="00E215F4"/>
    <w:rsid w:val="00E22409"/>
    <w:rsid w:val="00E2562B"/>
    <w:rsid w:val="00E25845"/>
    <w:rsid w:val="00E33105"/>
    <w:rsid w:val="00E337EB"/>
    <w:rsid w:val="00E33BA8"/>
    <w:rsid w:val="00E340D2"/>
    <w:rsid w:val="00E343E4"/>
    <w:rsid w:val="00E34707"/>
    <w:rsid w:val="00E3581B"/>
    <w:rsid w:val="00E35A62"/>
    <w:rsid w:val="00E37AE4"/>
    <w:rsid w:val="00E40EA5"/>
    <w:rsid w:val="00E42F81"/>
    <w:rsid w:val="00E436B3"/>
    <w:rsid w:val="00E4552B"/>
    <w:rsid w:val="00E4558E"/>
    <w:rsid w:val="00E462E5"/>
    <w:rsid w:val="00E5141F"/>
    <w:rsid w:val="00E538BF"/>
    <w:rsid w:val="00E54CB2"/>
    <w:rsid w:val="00E550D9"/>
    <w:rsid w:val="00E55C88"/>
    <w:rsid w:val="00E55D1C"/>
    <w:rsid w:val="00E567C0"/>
    <w:rsid w:val="00E6007B"/>
    <w:rsid w:val="00E60C6E"/>
    <w:rsid w:val="00E624DB"/>
    <w:rsid w:val="00E62F39"/>
    <w:rsid w:val="00E64332"/>
    <w:rsid w:val="00E65475"/>
    <w:rsid w:val="00E66DDF"/>
    <w:rsid w:val="00E70FB1"/>
    <w:rsid w:val="00E717FD"/>
    <w:rsid w:val="00E72E64"/>
    <w:rsid w:val="00E72EA1"/>
    <w:rsid w:val="00E73207"/>
    <w:rsid w:val="00E7644D"/>
    <w:rsid w:val="00E76F31"/>
    <w:rsid w:val="00E77037"/>
    <w:rsid w:val="00E7710A"/>
    <w:rsid w:val="00E808FE"/>
    <w:rsid w:val="00E80970"/>
    <w:rsid w:val="00E80C23"/>
    <w:rsid w:val="00E825FA"/>
    <w:rsid w:val="00E82985"/>
    <w:rsid w:val="00E82E1C"/>
    <w:rsid w:val="00E84315"/>
    <w:rsid w:val="00E8631A"/>
    <w:rsid w:val="00E8701F"/>
    <w:rsid w:val="00E87B93"/>
    <w:rsid w:val="00E90D28"/>
    <w:rsid w:val="00E9153F"/>
    <w:rsid w:val="00E93CB6"/>
    <w:rsid w:val="00E945A2"/>
    <w:rsid w:val="00E958B3"/>
    <w:rsid w:val="00E95917"/>
    <w:rsid w:val="00E95FF3"/>
    <w:rsid w:val="00E97CD6"/>
    <w:rsid w:val="00E97F7F"/>
    <w:rsid w:val="00EA0467"/>
    <w:rsid w:val="00EA063D"/>
    <w:rsid w:val="00EA1C28"/>
    <w:rsid w:val="00EA4E43"/>
    <w:rsid w:val="00EA4F34"/>
    <w:rsid w:val="00EA61F5"/>
    <w:rsid w:val="00EA704F"/>
    <w:rsid w:val="00EB0625"/>
    <w:rsid w:val="00EB177E"/>
    <w:rsid w:val="00EB21B8"/>
    <w:rsid w:val="00EB2AC9"/>
    <w:rsid w:val="00EB2FA3"/>
    <w:rsid w:val="00EB3669"/>
    <w:rsid w:val="00EB4ADE"/>
    <w:rsid w:val="00EB652B"/>
    <w:rsid w:val="00EB6A70"/>
    <w:rsid w:val="00EB6C1C"/>
    <w:rsid w:val="00EC04D4"/>
    <w:rsid w:val="00EC0D91"/>
    <w:rsid w:val="00EC2696"/>
    <w:rsid w:val="00EC2987"/>
    <w:rsid w:val="00EC55FA"/>
    <w:rsid w:val="00EC5B86"/>
    <w:rsid w:val="00EC75DA"/>
    <w:rsid w:val="00EC7A84"/>
    <w:rsid w:val="00ED0E1D"/>
    <w:rsid w:val="00ED2771"/>
    <w:rsid w:val="00ED2F5F"/>
    <w:rsid w:val="00ED3B50"/>
    <w:rsid w:val="00ED4152"/>
    <w:rsid w:val="00ED6902"/>
    <w:rsid w:val="00ED70FF"/>
    <w:rsid w:val="00ED73F8"/>
    <w:rsid w:val="00EE1DE5"/>
    <w:rsid w:val="00EE4B6D"/>
    <w:rsid w:val="00EE7C2F"/>
    <w:rsid w:val="00EF0194"/>
    <w:rsid w:val="00EF06CE"/>
    <w:rsid w:val="00EF0FE2"/>
    <w:rsid w:val="00EF15A3"/>
    <w:rsid w:val="00EF28E1"/>
    <w:rsid w:val="00EF3E39"/>
    <w:rsid w:val="00EF52AA"/>
    <w:rsid w:val="00EF7335"/>
    <w:rsid w:val="00F000CA"/>
    <w:rsid w:val="00F00ADC"/>
    <w:rsid w:val="00F00B29"/>
    <w:rsid w:val="00F0143C"/>
    <w:rsid w:val="00F02AD7"/>
    <w:rsid w:val="00F049A2"/>
    <w:rsid w:val="00F055E7"/>
    <w:rsid w:val="00F0696A"/>
    <w:rsid w:val="00F07239"/>
    <w:rsid w:val="00F115F4"/>
    <w:rsid w:val="00F1336C"/>
    <w:rsid w:val="00F135D1"/>
    <w:rsid w:val="00F13CEC"/>
    <w:rsid w:val="00F147F1"/>
    <w:rsid w:val="00F16C38"/>
    <w:rsid w:val="00F16E70"/>
    <w:rsid w:val="00F1720C"/>
    <w:rsid w:val="00F204A7"/>
    <w:rsid w:val="00F24AE8"/>
    <w:rsid w:val="00F27878"/>
    <w:rsid w:val="00F31664"/>
    <w:rsid w:val="00F33EAD"/>
    <w:rsid w:val="00F34A09"/>
    <w:rsid w:val="00F34B56"/>
    <w:rsid w:val="00F34CF1"/>
    <w:rsid w:val="00F35B9B"/>
    <w:rsid w:val="00F361B1"/>
    <w:rsid w:val="00F36B5F"/>
    <w:rsid w:val="00F37939"/>
    <w:rsid w:val="00F4210C"/>
    <w:rsid w:val="00F42A9D"/>
    <w:rsid w:val="00F4490F"/>
    <w:rsid w:val="00F46C67"/>
    <w:rsid w:val="00F477A2"/>
    <w:rsid w:val="00F47D14"/>
    <w:rsid w:val="00F51A74"/>
    <w:rsid w:val="00F520CB"/>
    <w:rsid w:val="00F527F4"/>
    <w:rsid w:val="00F53181"/>
    <w:rsid w:val="00F5344B"/>
    <w:rsid w:val="00F53B4D"/>
    <w:rsid w:val="00F566E0"/>
    <w:rsid w:val="00F57104"/>
    <w:rsid w:val="00F63ECA"/>
    <w:rsid w:val="00F64D9F"/>
    <w:rsid w:val="00F64F1B"/>
    <w:rsid w:val="00F66507"/>
    <w:rsid w:val="00F669F4"/>
    <w:rsid w:val="00F705CE"/>
    <w:rsid w:val="00F70D51"/>
    <w:rsid w:val="00F71F16"/>
    <w:rsid w:val="00F73C2B"/>
    <w:rsid w:val="00F7657F"/>
    <w:rsid w:val="00F766B2"/>
    <w:rsid w:val="00F76CB7"/>
    <w:rsid w:val="00F77D6D"/>
    <w:rsid w:val="00F816BA"/>
    <w:rsid w:val="00F81C67"/>
    <w:rsid w:val="00F81D58"/>
    <w:rsid w:val="00F82ED4"/>
    <w:rsid w:val="00F83800"/>
    <w:rsid w:val="00F83B09"/>
    <w:rsid w:val="00F86DA0"/>
    <w:rsid w:val="00F876AA"/>
    <w:rsid w:val="00F87DCC"/>
    <w:rsid w:val="00F87E05"/>
    <w:rsid w:val="00F9009C"/>
    <w:rsid w:val="00F90EE7"/>
    <w:rsid w:val="00F92121"/>
    <w:rsid w:val="00F93F57"/>
    <w:rsid w:val="00F94136"/>
    <w:rsid w:val="00F94995"/>
    <w:rsid w:val="00F94B12"/>
    <w:rsid w:val="00F96318"/>
    <w:rsid w:val="00FA0E0F"/>
    <w:rsid w:val="00FA10C1"/>
    <w:rsid w:val="00FA13CD"/>
    <w:rsid w:val="00FA28E3"/>
    <w:rsid w:val="00FA4BDF"/>
    <w:rsid w:val="00FA57A2"/>
    <w:rsid w:val="00FA5AB6"/>
    <w:rsid w:val="00FA5BD0"/>
    <w:rsid w:val="00FA6235"/>
    <w:rsid w:val="00FA634A"/>
    <w:rsid w:val="00FA7328"/>
    <w:rsid w:val="00FA7E01"/>
    <w:rsid w:val="00FB0ED8"/>
    <w:rsid w:val="00FB103F"/>
    <w:rsid w:val="00FB15E1"/>
    <w:rsid w:val="00FB30F6"/>
    <w:rsid w:val="00FB33BD"/>
    <w:rsid w:val="00FB46A0"/>
    <w:rsid w:val="00FB478E"/>
    <w:rsid w:val="00FB71DE"/>
    <w:rsid w:val="00FB75CF"/>
    <w:rsid w:val="00FB7BF0"/>
    <w:rsid w:val="00FC0582"/>
    <w:rsid w:val="00FC0C3D"/>
    <w:rsid w:val="00FC112F"/>
    <w:rsid w:val="00FC1E0C"/>
    <w:rsid w:val="00FC1F17"/>
    <w:rsid w:val="00FC312B"/>
    <w:rsid w:val="00FC54A6"/>
    <w:rsid w:val="00FC54DD"/>
    <w:rsid w:val="00FC61FE"/>
    <w:rsid w:val="00FC7B57"/>
    <w:rsid w:val="00FD0B1F"/>
    <w:rsid w:val="00FD0C03"/>
    <w:rsid w:val="00FD0EF5"/>
    <w:rsid w:val="00FD20EA"/>
    <w:rsid w:val="00FD210E"/>
    <w:rsid w:val="00FD222F"/>
    <w:rsid w:val="00FD2DF2"/>
    <w:rsid w:val="00FD3F46"/>
    <w:rsid w:val="00FD697F"/>
    <w:rsid w:val="00FD75E8"/>
    <w:rsid w:val="00FE15D4"/>
    <w:rsid w:val="00FE184A"/>
    <w:rsid w:val="00FE2CF0"/>
    <w:rsid w:val="00FE32D7"/>
    <w:rsid w:val="00FE3D15"/>
    <w:rsid w:val="00FE4A95"/>
    <w:rsid w:val="00FF152B"/>
    <w:rsid w:val="00FF3073"/>
    <w:rsid w:val="00FF3955"/>
    <w:rsid w:val="00FF528B"/>
    <w:rsid w:val="00FF580B"/>
    <w:rsid w:val="00FF5C86"/>
    <w:rsid w:val="00FF6782"/>
    <w:rsid w:val="00FF6C4D"/>
    <w:rsid w:val="00FF73B0"/>
    <w:rsid w:val="00FF74FA"/>
    <w:rsid w:val="00FF78F0"/>
    <w:rsid w:val="00FF7D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4232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ub headings"/>
    <w:qFormat/>
    <w:rsid w:val="00A00184"/>
    <w:rPr>
      <w:rFonts w:asciiTheme="majorHAnsi" w:hAnsiTheme="majorHAnsi"/>
    </w:rPr>
  </w:style>
  <w:style w:type="paragraph" w:styleId="Heading1">
    <w:name w:val="heading 1"/>
    <w:basedOn w:val="Normal"/>
    <w:next w:val="Normal"/>
    <w:link w:val="Heading1Char"/>
    <w:uiPriority w:val="9"/>
    <w:qFormat/>
    <w:rsid w:val="00A00184"/>
    <w:pPr>
      <w:keepNext/>
      <w:keepLines/>
      <w:spacing w:before="48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A1E38"/>
    <w:pPr>
      <w:keepNext/>
      <w:keepLines/>
      <w:spacing w:before="200"/>
      <w:outlineLvl w:val="1"/>
    </w:pPr>
    <w:rPr>
      <w:rFonts w:ascii="Calibri" w:eastAsiaTheme="majorEastAsia" w:hAnsi="Calibri" w:cstheme="majorBidi"/>
      <w:b/>
      <w:bCs/>
      <w:color w:val="4F81BD" w:themeColor="accent1"/>
      <w:sz w:val="22"/>
      <w:szCs w:val="22"/>
    </w:rPr>
  </w:style>
  <w:style w:type="paragraph" w:styleId="Heading3">
    <w:name w:val="heading 3"/>
    <w:basedOn w:val="Normal"/>
    <w:next w:val="Normal"/>
    <w:link w:val="Heading3Char"/>
    <w:uiPriority w:val="9"/>
    <w:unhideWhenUsed/>
    <w:qFormat/>
    <w:rsid w:val="00972E17"/>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8B56F9"/>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1E38"/>
    <w:rPr>
      <w:rFonts w:ascii="Calibri" w:eastAsiaTheme="majorEastAsia" w:hAnsi="Calibri" w:cstheme="majorBidi"/>
      <w:b/>
      <w:bCs/>
      <w:color w:val="4F81BD" w:themeColor="accent1"/>
      <w:sz w:val="22"/>
      <w:szCs w:val="22"/>
    </w:rPr>
  </w:style>
  <w:style w:type="paragraph" w:styleId="ListParagraph">
    <w:name w:val="List Paragraph"/>
    <w:aliases w:val="Heading 2."/>
    <w:basedOn w:val="Normal"/>
    <w:qFormat/>
    <w:rsid w:val="00A00184"/>
    <w:pPr>
      <w:spacing w:after="200" w:line="276" w:lineRule="auto"/>
      <w:ind w:left="720"/>
      <w:contextualSpacing/>
    </w:pPr>
    <w:rPr>
      <w:rFonts w:eastAsiaTheme="minorHAnsi"/>
      <w:sz w:val="32"/>
      <w:szCs w:val="22"/>
    </w:rPr>
  </w:style>
  <w:style w:type="character" w:customStyle="1" w:styleId="Heading3Char">
    <w:name w:val="Heading 3 Char"/>
    <w:basedOn w:val="DefaultParagraphFont"/>
    <w:link w:val="Heading3"/>
    <w:uiPriority w:val="9"/>
    <w:rsid w:val="00972E17"/>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B5531C"/>
    <w:pPr>
      <w:tabs>
        <w:tab w:val="center" w:pos="4320"/>
        <w:tab w:val="right" w:pos="8640"/>
      </w:tabs>
    </w:pPr>
  </w:style>
  <w:style w:type="character" w:customStyle="1" w:styleId="FooterChar">
    <w:name w:val="Footer Char"/>
    <w:basedOn w:val="DefaultParagraphFont"/>
    <w:link w:val="Footer"/>
    <w:uiPriority w:val="99"/>
    <w:rsid w:val="00B5531C"/>
  </w:style>
  <w:style w:type="character" w:styleId="PageNumber">
    <w:name w:val="page number"/>
    <w:basedOn w:val="DefaultParagraphFont"/>
    <w:uiPriority w:val="99"/>
    <w:semiHidden/>
    <w:unhideWhenUsed/>
    <w:rsid w:val="00B5531C"/>
  </w:style>
  <w:style w:type="paragraph" w:styleId="FootnoteText">
    <w:name w:val="footnote text"/>
    <w:basedOn w:val="BodyText"/>
    <w:link w:val="FootnoteTextChar"/>
    <w:unhideWhenUsed/>
    <w:rsid w:val="00FB33BD"/>
    <w:pPr>
      <w:spacing w:after="0" w:line="280" w:lineRule="exact"/>
      <w:contextualSpacing/>
    </w:pPr>
    <w:rPr>
      <w:rFonts w:ascii="Franklin Gothic Book" w:eastAsia="Times New Roman" w:hAnsi="Franklin Gothic Book" w:cs="Times New Roman"/>
      <w:sz w:val="16"/>
      <w:szCs w:val="20"/>
      <w:lang w:eastAsia="en-AU"/>
    </w:rPr>
  </w:style>
  <w:style w:type="character" w:customStyle="1" w:styleId="FootnoteTextChar">
    <w:name w:val="Footnote Text Char"/>
    <w:basedOn w:val="DefaultParagraphFont"/>
    <w:link w:val="FootnoteText"/>
    <w:rsid w:val="00FB33BD"/>
    <w:rPr>
      <w:rFonts w:ascii="Franklin Gothic Book" w:eastAsia="Times New Roman" w:hAnsi="Franklin Gothic Book" w:cs="Times New Roman"/>
      <w:sz w:val="16"/>
      <w:szCs w:val="20"/>
      <w:lang w:eastAsia="en-AU"/>
    </w:rPr>
  </w:style>
  <w:style w:type="character" w:styleId="FootnoteReference">
    <w:name w:val="footnote reference"/>
    <w:aliases w:val="Normal + Font:9 Point,Superscript 3 Point Times"/>
    <w:rsid w:val="00FB33BD"/>
    <w:rPr>
      <w:rFonts w:ascii="Times New Roman" w:hAnsi="Times New Roman"/>
      <w:w w:val="100"/>
      <w:position w:val="6"/>
      <w:sz w:val="16"/>
      <w:szCs w:val="12"/>
      <w:vertAlign w:val="baseline"/>
    </w:rPr>
  </w:style>
  <w:style w:type="paragraph" w:styleId="BodyText">
    <w:name w:val="Body Text"/>
    <w:basedOn w:val="Normal"/>
    <w:link w:val="BodyTextChar"/>
    <w:uiPriority w:val="99"/>
    <w:semiHidden/>
    <w:unhideWhenUsed/>
    <w:rsid w:val="00FB33BD"/>
    <w:pPr>
      <w:spacing w:after="120"/>
    </w:pPr>
  </w:style>
  <w:style w:type="character" w:customStyle="1" w:styleId="BodyTextChar">
    <w:name w:val="Body Text Char"/>
    <w:basedOn w:val="DefaultParagraphFont"/>
    <w:link w:val="BodyText"/>
    <w:uiPriority w:val="99"/>
    <w:semiHidden/>
    <w:rsid w:val="00FB33BD"/>
  </w:style>
  <w:style w:type="paragraph" w:customStyle="1" w:styleId="SDAbodytext">
    <w:name w:val="SDA body text"/>
    <w:basedOn w:val="Normal"/>
    <w:link w:val="SDAbodytextChar"/>
    <w:qFormat/>
    <w:rsid w:val="009E2FD3"/>
    <w:pPr>
      <w:spacing w:before="120" w:after="120"/>
    </w:pPr>
    <w:rPr>
      <w:rFonts w:eastAsiaTheme="minorHAnsi"/>
      <w:sz w:val="22"/>
      <w:szCs w:val="22"/>
    </w:rPr>
  </w:style>
  <w:style w:type="character" w:customStyle="1" w:styleId="SDAbodytextChar">
    <w:name w:val="SDA body text Char"/>
    <w:basedOn w:val="DefaultParagraphFont"/>
    <w:link w:val="SDAbodytext"/>
    <w:rsid w:val="009E2FD3"/>
    <w:rPr>
      <w:rFonts w:eastAsiaTheme="minorHAnsi"/>
      <w:sz w:val="22"/>
      <w:szCs w:val="22"/>
    </w:rPr>
  </w:style>
  <w:style w:type="table" w:styleId="TableGrid">
    <w:name w:val="Table Grid"/>
    <w:basedOn w:val="TableNormal"/>
    <w:uiPriority w:val="59"/>
    <w:rsid w:val="0093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 text"/>
    <w:basedOn w:val="Normal"/>
    <w:uiPriority w:val="99"/>
    <w:rsid w:val="0023636C"/>
    <w:pPr>
      <w:widowControl w:val="0"/>
      <w:suppressAutoHyphens/>
      <w:autoSpaceDE w:val="0"/>
      <w:autoSpaceDN w:val="0"/>
      <w:adjustRightInd w:val="0"/>
      <w:spacing w:before="120" w:after="120" w:line="240" w:lineRule="atLeast"/>
      <w:textAlignment w:val="center"/>
    </w:pPr>
    <w:rPr>
      <w:rFonts w:ascii="Calibri" w:eastAsia="Arial" w:hAnsi="Calibri" w:cs="MetaPlusNormal-Roman"/>
      <w:color w:val="000000"/>
      <w:sz w:val="18"/>
      <w:szCs w:val="18"/>
    </w:rPr>
  </w:style>
  <w:style w:type="character" w:styleId="CommentReference">
    <w:name w:val="annotation reference"/>
    <w:basedOn w:val="DefaultParagraphFont"/>
    <w:uiPriority w:val="99"/>
    <w:semiHidden/>
    <w:unhideWhenUsed/>
    <w:rsid w:val="00584FD6"/>
    <w:rPr>
      <w:sz w:val="16"/>
      <w:szCs w:val="16"/>
    </w:rPr>
  </w:style>
  <w:style w:type="paragraph" w:styleId="CommentText">
    <w:name w:val="annotation text"/>
    <w:basedOn w:val="Normal"/>
    <w:link w:val="CommentTextChar"/>
    <w:uiPriority w:val="99"/>
    <w:unhideWhenUsed/>
    <w:rsid w:val="00584FD6"/>
    <w:rPr>
      <w:sz w:val="20"/>
      <w:szCs w:val="20"/>
    </w:rPr>
  </w:style>
  <w:style w:type="character" w:customStyle="1" w:styleId="CommentTextChar">
    <w:name w:val="Comment Text Char"/>
    <w:basedOn w:val="DefaultParagraphFont"/>
    <w:link w:val="CommentText"/>
    <w:uiPriority w:val="99"/>
    <w:rsid w:val="00584FD6"/>
    <w:rPr>
      <w:sz w:val="20"/>
      <w:szCs w:val="20"/>
    </w:rPr>
  </w:style>
  <w:style w:type="paragraph" w:styleId="CommentSubject">
    <w:name w:val="annotation subject"/>
    <w:basedOn w:val="CommentText"/>
    <w:next w:val="CommentText"/>
    <w:link w:val="CommentSubjectChar"/>
    <w:uiPriority w:val="99"/>
    <w:semiHidden/>
    <w:unhideWhenUsed/>
    <w:rsid w:val="00584FD6"/>
    <w:rPr>
      <w:b/>
      <w:bCs/>
    </w:rPr>
  </w:style>
  <w:style w:type="character" w:customStyle="1" w:styleId="CommentSubjectChar">
    <w:name w:val="Comment Subject Char"/>
    <w:basedOn w:val="CommentTextChar"/>
    <w:link w:val="CommentSubject"/>
    <w:uiPriority w:val="99"/>
    <w:semiHidden/>
    <w:rsid w:val="00584FD6"/>
    <w:rPr>
      <w:b/>
      <w:bCs/>
      <w:sz w:val="20"/>
      <w:szCs w:val="20"/>
    </w:rPr>
  </w:style>
  <w:style w:type="paragraph" w:styleId="BalloonText">
    <w:name w:val="Balloon Text"/>
    <w:basedOn w:val="Normal"/>
    <w:link w:val="BalloonTextChar"/>
    <w:uiPriority w:val="99"/>
    <w:semiHidden/>
    <w:unhideWhenUsed/>
    <w:rsid w:val="00584FD6"/>
    <w:rPr>
      <w:rFonts w:ascii="Tahoma" w:hAnsi="Tahoma" w:cs="Tahoma"/>
      <w:sz w:val="16"/>
      <w:szCs w:val="16"/>
    </w:rPr>
  </w:style>
  <w:style w:type="character" w:customStyle="1" w:styleId="BalloonTextChar">
    <w:name w:val="Balloon Text Char"/>
    <w:basedOn w:val="DefaultParagraphFont"/>
    <w:link w:val="BalloonText"/>
    <w:uiPriority w:val="99"/>
    <w:semiHidden/>
    <w:rsid w:val="00584FD6"/>
    <w:rPr>
      <w:rFonts w:ascii="Tahoma" w:hAnsi="Tahoma" w:cs="Tahoma"/>
      <w:sz w:val="16"/>
      <w:szCs w:val="16"/>
    </w:rPr>
  </w:style>
  <w:style w:type="paragraph" w:styleId="Revision">
    <w:name w:val="Revision"/>
    <w:hidden/>
    <w:uiPriority w:val="99"/>
    <w:semiHidden/>
    <w:rsid w:val="001E5C09"/>
  </w:style>
  <w:style w:type="paragraph" w:customStyle="1" w:styleId="CONLevel1">
    <w:name w:val=".CON  Level   1."/>
    <w:basedOn w:val="Normal"/>
    <w:next w:val="Normal"/>
    <w:rsid w:val="0070507C"/>
    <w:pPr>
      <w:keepNext/>
      <w:numPr>
        <w:numId w:val="3"/>
      </w:numPr>
      <w:spacing w:before="240"/>
      <w:outlineLvl w:val="1"/>
    </w:pPr>
    <w:rPr>
      <w:rFonts w:ascii="Times New Roman" w:eastAsia="Times New Roman" w:hAnsi="Times New Roman" w:cs="Times New Roman"/>
      <w:b/>
      <w:szCs w:val="22"/>
    </w:rPr>
  </w:style>
  <w:style w:type="paragraph" w:customStyle="1" w:styleId="CONLevel11">
    <w:name w:val=".CON  Level   1.1"/>
    <w:basedOn w:val="Normal"/>
    <w:next w:val="Normal"/>
    <w:rsid w:val="0070507C"/>
    <w:pPr>
      <w:numPr>
        <w:ilvl w:val="1"/>
        <w:numId w:val="3"/>
      </w:numPr>
      <w:spacing w:before="240"/>
      <w:outlineLvl w:val="2"/>
    </w:pPr>
    <w:rPr>
      <w:rFonts w:ascii="Times New Roman" w:eastAsia="Times New Roman" w:hAnsi="Times New Roman" w:cs="Times New Roman"/>
      <w:szCs w:val="22"/>
    </w:rPr>
  </w:style>
  <w:style w:type="paragraph" w:customStyle="1" w:styleId="CONLevela">
    <w:name w:val=".CON  Level  (a)"/>
    <w:basedOn w:val="Normal"/>
    <w:next w:val="Normal"/>
    <w:rsid w:val="0070507C"/>
    <w:pPr>
      <w:numPr>
        <w:ilvl w:val="2"/>
        <w:numId w:val="3"/>
      </w:numPr>
      <w:spacing w:before="240"/>
      <w:outlineLvl w:val="3"/>
    </w:pPr>
    <w:rPr>
      <w:rFonts w:ascii="Times New Roman" w:eastAsia="Times New Roman" w:hAnsi="Times New Roman" w:cs="Times New Roman"/>
      <w:szCs w:val="22"/>
    </w:rPr>
  </w:style>
  <w:style w:type="paragraph" w:customStyle="1" w:styleId="CONLeveli">
    <w:name w:val=".CON  Level  (i)"/>
    <w:basedOn w:val="Normal"/>
    <w:next w:val="Normal"/>
    <w:rsid w:val="0070507C"/>
    <w:pPr>
      <w:numPr>
        <w:ilvl w:val="3"/>
        <w:numId w:val="3"/>
      </w:numPr>
      <w:spacing w:before="240"/>
      <w:outlineLvl w:val="4"/>
    </w:pPr>
    <w:rPr>
      <w:rFonts w:ascii="Times New Roman" w:eastAsia="Times New Roman" w:hAnsi="Times New Roman" w:cs="Times New Roman"/>
      <w:szCs w:val="22"/>
    </w:rPr>
  </w:style>
  <w:style w:type="paragraph" w:customStyle="1" w:styleId="CONLevelA0">
    <w:name w:val=".CON  Level (A)"/>
    <w:basedOn w:val="Normal"/>
    <w:next w:val="Normal"/>
    <w:rsid w:val="0070507C"/>
    <w:pPr>
      <w:numPr>
        <w:ilvl w:val="4"/>
        <w:numId w:val="3"/>
      </w:numPr>
      <w:spacing w:before="240"/>
      <w:outlineLvl w:val="5"/>
    </w:pPr>
    <w:rPr>
      <w:rFonts w:ascii="Times New Roman" w:eastAsia="Times New Roman" w:hAnsi="Times New Roman" w:cs="Times New Roman"/>
      <w:szCs w:val="22"/>
    </w:rPr>
  </w:style>
  <w:style w:type="paragraph" w:customStyle="1" w:styleId="CONLevelI0">
    <w:name w:val=".CON  Level (I)"/>
    <w:basedOn w:val="Normal"/>
    <w:next w:val="Normal"/>
    <w:rsid w:val="0070507C"/>
    <w:pPr>
      <w:numPr>
        <w:ilvl w:val="5"/>
        <w:numId w:val="3"/>
      </w:numPr>
      <w:spacing w:before="240"/>
      <w:outlineLvl w:val="6"/>
    </w:pPr>
    <w:rPr>
      <w:rFonts w:ascii="Times New Roman" w:eastAsia="Times New Roman" w:hAnsi="Times New Roman" w:cs="Times New Roman"/>
      <w:szCs w:val="22"/>
    </w:rPr>
  </w:style>
  <w:style w:type="paragraph" w:customStyle="1" w:styleId="Default">
    <w:name w:val="Default"/>
    <w:rsid w:val="00D53186"/>
    <w:pPr>
      <w:autoSpaceDE w:val="0"/>
      <w:autoSpaceDN w:val="0"/>
      <w:adjustRightInd w:val="0"/>
    </w:pPr>
    <w:rPr>
      <w:rFonts w:ascii="Calibri" w:eastAsiaTheme="minorHAnsi" w:hAnsi="Calibri" w:cs="Calibri"/>
      <w:color w:val="000000"/>
    </w:rPr>
  </w:style>
  <w:style w:type="character" w:customStyle="1" w:styleId="Heading4Char">
    <w:name w:val="Heading 4 Char"/>
    <w:basedOn w:val="DefaultParagraphFont"/>
    <w:link w:val="Heading4"/>
    <w:uiPriority w:val="9"/>
    <w:rsid w:val="008B56F9"/>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1E682C"/>
    <w:rPr>
      <w:color w:val="0000FF" w:themeColor="hyperlink"/>
      <w:u w:val="single"/>
    </w:rPr>
  </w:style>
  <w:style w:type="paragraph" w:styleId="Header">
    <w:name w:val="header"/>
    <w:basedOn w:val="Normal"/>
    <w:link w:val="HeaderChar"/>
    <w:uiPriority w:val="99"/>
    <w:unhideWhenUsed/>
    <w:rsid w:val="00A95CEC"/>
    <w:pPr>
      <w:tabs>
        <w:tab w:val="center" w:pos="4513"/>
        <w:tab w:val="right" w:pos="9026"/>
      </w:tabs>
    </w:pPr>
  </w:style>
  <w:style w:type="character" w:customStyle="1" w:styleId="HeaderChar">
    <w:name w:val="Header Char"/>
    <w:basedOn w:val="DefaultParagraphFont"/>
    <w:link w:val="Header"/>
    <w:uiPriority w:val="99"/>
    <w:rsid w:val="00A95CEC"/>
  </w:style>
  <w:style w:type="character" w:customStyle="1" w:styleId="Heading1Char">
    <w:name w:val="Heading 1 Char"/>
    <w:basedOn w:val="DefaultParagraphFont"/>
    <w:link w:val="Heading1"/>
    <w:uiPriority w:val="9"/>
    <w:rsid w:val="00A00184"/>
    <w:rPr>
      <w:rFonts w:asciiTheme="majorHAnsi" w:eastAsiaTheme="majorEastAsia" w:hAnsiTheme="majorHAnsi" w:cstheme="majorBidi"/>
      <w:b/>
      <w:bCs/>
      <w:color w:val="365F91" w:themeColor="accent1" w:themeShade="BF"/>
      <w:sz w:val="32"/>
      <w:szCs w:val="28"/>
    </w:rPr>
  </w:style>
  <w:style w:type="paragraph" w:customStyle="1" w:styleId="AfterFirstPara">
    <w:name w:val="AfterFirstPara"/>
    <w:basedOn w:val="Normal"/>
    <w:rsid w:val="00726758"/>
    <w:pPr>
      <w:numPr>
        <w:numId w:val="32"/>
      </w:numPr>
      <w:spacing w:before="120" w:after="120"/>
    </w:pPr>
    <w:rPr>
      <w:rFonts w:ascii="Times New Roman" w:eastAsia="Times New Roman" w:hAnsi="Times New Roman" w:cs="Times New Roman"/>
      <w:lang w:val="en-GB" w:eastAsia="zh-CN"/>
    </w:rPr>
  </w:style>
  <w:style w:type="paragraph" w:styleId="TOCHeading">
    <w:name w:val="TOC Heading"/>
    <w:basedOn w:val="Heading1"/>
    <w:next w:val="Normal"/>
    <w:uiPriority w:val="39"/>
    <w:unhideWhenUsed/>
    <w:qFormat/>
    <w:rsid w:val="00FF73B0"/>
    <w:pPr>
      <w:spacing w:line="276" w:lineRule="auto"/>
      <w:outlineLvl w:val="9"/>
    </w:pPr>
    <w:rPr>
      <w:lang w:val="en-US" w:eastAsia="ja-JP"/>
    </w:rPr>
  </w:style>
  <w:style w:type="paragraph" w:styleId="TOC2">
    <w:name w:val="toc 2"/>
    <w:basedOn w:val="Normal"/>
    <w:next w:val="Normal"/>
    <w:autoRedefine/>
    <w:uiPriority w:val="39"/>
    <w:unhideWhenUsed/>
    <w:rsid w:val="000D00BE"/>
    <w:pPr>
      <w:tabs>
        <w:tab w:val="right" w:leader="dot" w:pos="8290"/>
      </w:tabs>
      <w:spacing w:after="100"/>
      <w:ind w:left="240"/>
    </w:pPr>
    <w:rPr>
      <w:rFonts w:ascii="Calibri" w:eastAsiaTheme="majorEastAsia" w:hAnsi="Calibri" w:cstheme="majorBidi"/>
      <w:b/>
      <w:bCs/>
      <w:noProof/>
    </w:rPr>
  </w:style>
  <w:style w:type="paragraph" w:styleId="TOC3">
    <w:name w:val="toc 3"/>
    <w:basedOn w:val="Normal"/>
    <w:next w:val="Normal"/>
    <w:autoRedefine/>
    <w:uiPriority w:val="39"/>
    <w:unhideWhenUsed/>
    <w:rsid w:val="00FF73B0"/>
    <w:pPr>
      <w:spacing w:after="100"/>
      <w:ind w:left="480"/>
    </w:pPr>
  </w:style>
  <w:style w:type="paragraph" w:styleId="TOC1">
    <w:name w:val="toc 1"/>
    <w:basedOn w:val="Normal"/>
    <w:next w:val="Normal"/>
    <w:autoRedefine/>
    <w:uiPriority w:val="39"/>
    <w:unhideWhenUsed/>
    <w:rsid w:val="00145234"/>
    <w:pPr>
      <w:tabs>
        <w:tab w:val="right" w:leader="dot" w:pos="8290"/>
      </w:tabs>
      <w:spacing w:after="100"/>
    </w:pPr>
    <w:rPr>
      <w:b/>
      <w:noProof/>
    </w:rPr>
  </w:style>
  <w:style w:type="paragraph" w:styleId="Title">
    <w:name w:val="Title"/>
    <w:basedOn w:val="Normal"/>
    <w:next w:val="Normal"/>
    <w:link w:val="TitleChar"/>
    <w:uiPriority w:val="10"/>
    <w:qFormat/>
    <w:rsid w:val="00BD019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0193"/>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semiHidden/>
    <w:unhideWhenUsed/>
    <w:qFormat/>
    <w:rsid w:val="0043449C"/>
    <w:pPr>
      <w:spacing w:after="200"/>
    </w:pPr>
    <w:rPr>
      <w:rFonts w:asciiTheme="minorHAnsi" w:eastAsiaTheme="minorHAnsi" w:hAnsiTheme="minorHAnsi"/>
      <w:b/>
      <w:bCs/>
      <w:color w:val="4F81BD" w:themeColor="accent1"/>
      <w:sz w:val="18"/>
      <w:szCs w:val="18"/>
    </w:rPr>
  </w:style>
  <w:style w:type="paragraph" w:styleId="NormalWeb">
    <w:name w:val="Normal (Web)"/>
    <w:basedOn w:val="Normal"/>
    <w:uiPriority w:val="99"/>
    <w:semiHidden/>
    <w:unhideWhenUsed/>
    <w:rsid w:val="0097078B"/>
    <w:pPr>
      <w:spacing w:before="100" w:beforeAutospacing="1" w:after="100" w:afterAutospacing="1"/>
    </w:pPr>
    <w:rPr>
      <w:rFonts w:ascii="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ub headings"/>
    <w:qFormat/>
    <w:rsid w:val="00A00184"/>
    <w:rPr>
      <w:rFonts w:asciiTheme="majorHAnsi" w:hAnsiTheme="majorHAnsi"/>
    </w:rPr>
  </w:style>
  <w:style w:type="paragraph" w:styleId="Heading1">
    <w:name w:val="heading 1"/>
    <w:basedOn w:val="Normal"/>
    <w:next w:val="Normal"/>
    <w:link w:val="Heading1Char"/>
    <w:uiPriority w:val="9"/>
    <w:qFormat/>
    <w:rsid w:val="00A00184"/>
    <w:pPr>
      <w:keepNext/>
      <w:keepLines/>
      <w:spacing w:before="48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A1E38"/>
    <w:pPr>
      <w:keepNext/>
      <w:keepLines/>
      <w:spacing w:before="200"/>
      <w:outlineLvl w:val="1"/>
    </w:pPr>
    <w:rPr>
      <w:rFonts w:ascii="Calibri" w:eastAsiaTheme="majorEastAsia" w:hAnsi="Calibri" w:cstheme="majorBidi"/>
      <w:b/>
      <w:bCs/>
      <w:color w:val="4F81BD" w:themeColor="accent1"/>
      <w:sz w:val="22"/>
      <w:szCs w:val="22"/>
    </w:rPr>
  </w:style>
  <w:style w:type="paragraph" w:styleId="Heading3">
    <w:name w:val="heading 3"/>
    <w:basedOn w:val="Normal"/>
    <w:next w:val="Normal"/>
    <w:link w:val="Heading3Char"/>
    <w:uiPriority w:val="9"/>
    <w:unhideWhenUsed/>
    <w:qFormat/>
    <w:rsid w:val="00972E17"/>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8B56F9"/>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1E38"/>
    <w:rPr>
      <w:rFonts w:ascii="Calibri" w:eastAsiaTheme="majorEastAsia" w:hAnsi="Calibri" w:cstheme="majorBidi"/>
      <w:b/>
      <w:bCs/>
      <w:color w:val="4F81BD" w:themeColor="accent1"/>
      <w:sz w:val="22"/>
      <w:szCs w:val="22"/>
    </w:rPr>
  </w:style>
  <w:style w:type="paragraph" w:styleId="ListParagraph">
    <w:name w:val="List Paragraph"/>
    <w:aliases w:val="Heading 2."/>
    <w:basedOn w:val="Normal"/>
    <w:qFormat/>
    <w:rsid w:val="00A00184"/>
    <w:pPr>
      <w:spacing w:after="200" w:line="276" w:lineRule="auto"/>
      <w:ind w:left="720"/>
      <w:contextualSpacing/>
    </w:pPr>
    <w:rPr>
      <w:rFonts w:eastAsiaTheme="minorHAnsi"/>
      <w:sz w:val="32"/>
      <w:szCs w:val="22"/>
    </w:rPr>
  </w:style>
  <w:style w:type="character" w:customStyle="1" w:styleId="Heading3Char">
    <w:name w:val="Heading 3 Char"/>
    <w:basedOn w:val="DefaultParagraphFont"/>
    <w:link w:val="Heading3"/>
    <w:uiPriority w:val="9"/>
    <w:rsid w:val="00972E17"/>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B5531C"/>
    <w:pPr>
      <w:tabs>
        <w:tab w:val="center" w:pos="4320"/>
        <w:tab w:val="right" w:pos="8640"/>
      </w:tabs>
    </w:pPr>
  </w:style>
  <w:style w:type="character" w:customStyle="1" w:styleId="FooterChar">
    <w:name w:val="Footer Char"/>
    <w:basedOn w:val="DefaultParagraphFont"/>
    <w:link w:val="Footer"/>
    <w:uiPriority w:val="99"/>
    <w:rsid w:val="00B5531C"/>
  </w:style>
  <w:style w:type="character" w:styleId="PageNumber">
    <w:name w:val="page number"/>
    <w:basedOn w:val="DefaultParagraphFont"/>
    <w:uiPriority w:val="99"/>
    <w:semiHidden/>
    <w:unhideWhenUsed/>
    <w:rsid w:val="00B5531C"/>
  </w:style>
  <w:style w:type="paragraph" w:styleId="FootnoteText">
    <w:name w:val="footnote text"/>
    <w:basedOn w:val="BodyText"/>
    <w:link w:val="FootnoteTextChar"/>
    <w:unhideWhenUsed/>
    <w:rsid w:val="00FB33BD"/>
    <w:pPr>
      <w:spacing w:after="0" w:line="280" w:lineRule="exact"/>
      <w:contextualSpacing/>
    </w:pPr>
    <w:rPr>
      <w:rFonts w:ascii="Franklin Gothic Book" w:eastAsia="Times New Roman" w:hAnsi="Franklin Gothic Book" w:cs="Times New Roman"/>
      <w:sz w:val="16"/>
      <w:szCs w:val="20"/>
      <w:lang w:eastAsia="en-AU"/>
    </w:rPr>
  </w:style>
  <w:style w:type="character" w:customStyle="1" w:styleId="FootnoteTextChar">
    <w:name w:val="Footnote Text Char"/>
    <w:basedOn w:val="DefaultParagraphFont"/>
    <w:link w:val="FootnoteText"/>
    <w:rsid w:val="00FB33BD"/>
    <w:rPr>
      <w:rFonts w:ascii="Franklin Gothic Book" w:eastAsia="Times New Roman" w:hAnsi="Franklin Gothic Book" w:cs="Times New Roman"/>
      <w:sz w:val="16"/>
      <w:szCs w:val="20"/>
      <w:lang w:eastAsia="en-AU"/>
    </w:rPr>
  </w:style>
  <w:style w:type="character" w:styleId="FootnoteReference">
    <w:name w:val="footnote reference"/>
    <w:aliases w:val="Normal + Font:9 Point,Superscript 3 Point Times"/>
    <w:rsid w:val="00FB33BD"/>
    <w:rPr>
      <w:rFonts w:ascii="Times New Roman" w:hAnsi="Times New Roman"/>
      <w:w w:val="100"/>
      <w:position w:val="6"/>
      <w:sz w:val="16"/>
      <w:szCs w:val="12"/>
      <w:vertAlign w:val="baseline"/>
    </w:rPr>
  </w:style>
  <w:style w:type="paragraph" w:styleId="BodyText">
    <w:name w:val="Body Text"/>
    <w:basedOn w:val="Normal"/>
    <w:link w:val="BodyTextChar"/>
    <w:uiPriority w:val="99"/>
    <w:semiHidden/>
    <w:unhideWhenUsed/>
    <w:rsid w:val="00FB33BD"/>
    <w:pPr>
      <w:spacing w:after="120"/>
    </w:pPr>
  </w:style>
  <w:style w:type="character" w:customStyle="1" w:styleId="BodyTextChar">
    <w:name w:val="Body Text Char"/>
    <w:basedOn w:val="DefaultParagraphFont"/>
    <w:link w:val="BodyText"/>
    <w:uiPriority w:val="99"/>
    <w:semiHidden/>
    <w:rsid w:val="00FB33BD"/>
  </w:style>
  <w:style w:type="paragraph" w:customStyle="1" w:styleId="SDAbodytext">
    <w:name w:val="SDA body text"/>
    <w:basedOn w:val="Normal"/>
    <w:link w:val="SDAbodytextChar"/>
    <w:qFormat/>
    <w:rsid w:val="009E2FD3"/>
    <w:pPr>
      <w:spacing w:before="120" w:after="120"/>
    </w:pPr>
    <w:rPr>
      <w:rFonts w:eastAsiaTheme="minorHAnsi"/>
      <w:sz w:val="22"/>
      <w:szCs w:val="22"/>
    </w:rPr>
  </w:style>
  <w:style w:type="character" w:customStyle="1" w:styleId="SDAbodytextChar">
    <w:name w:val="SDA body text Char"/>
    <w:basedOn w:val="DefaultParagraphFont"/>
    <w:link w:val="SDAbodytext"/>
    <w:rsid w:val="009E2FD3"/>
    <w:rPr>
      <w:rFonts w:eastAsiaTheme="minorHAnsi"/>
      <w:sz w:val="22"/>
      <w:szCs w:val="22"/>
    </w:rPr>
  </w:style>
  <w:style w:type="table" w:styleId="TableGrid">
    <w:name w:val="Table Grid"/>
    <w:basedOn w:val="TableNormal"/>
    <w:uiPriority w:val="59"/>
    <w:rsid w:val="0093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 text"/>
    <w:basedOn w:val="Normal"/>
    <w:uiPriority w:val="99"/>
    <w:rsid w:val="0023636C"/>
    <w:pPr>
      <w:widowControl w:val="0"/>
      <w:suppressAutoHyphens/>
      <w:autoSpaceDE w:val="0"/>
      <w:autoSpaceDN w:val="0"/>
      <w:adjustRightInd w:val="0"/>
      <w:spacing w:before="120" w:after="120" w:line="240" w:lineRule="atLeast"/>
      <w:textAlignment w:val="center"/>
    </w:pPr>
    <w:rPr>
      <w:rFonts w:ascii="Calibri" w:eastAsia="Arial" w:hAnsi="Calibri" w:cs="MetaPlusNormal-Roman"/>
      <w:color w:val="000000"/>
      <w:sz w:val="18"/>
      <w:szCs w:val="18"/>
    </w:rPr>
  </w:style>
  <w:style w:type="character" w:styleId="CommentReference">
    <w:name w:val="annotation reference"/>
    <w:basedOn w:val="DefaultParagraphFont"/>
    <w:uiPriority w:val="99"/>
    <w:semiHidden/>
    <w:unhideWhenUsed/>
    <w:rsid w:val="00584FD6"/>
    <w:rPr>
      <w:sz w:val="16"/>
      <w:szCs w:val="16"/>
    </w:rPr>
  </w:style>
  <w:style w:type="paragraph" w:styleId="CommentText">
    <w:name w:val="annotation text"/>
    <w:basedOn w:val="Normal"/>
    <w:link w:val="CommentTextChar"/>
    <w:uiPriority w:val="99"/>
    <w:unhideWhenUsed/>
    <w:rsid w:val="00584FD6"/>
    <w:rPr>
      <w:sz w:val="20"/>
      <w:szCs w:val="20"/>
    </w:rPr>
  </w:style>
  <w:style w:type="character" w:customStyle="1" w:styleId="CommentTextChar">
    <w:name w:val="Comment Text Char"/>
    <w:basedOn w:val="DefaultParagraphFont"/>
    <w:link w:val="CommentText"/>
    <w:uiPriority w:val="99"/>
    <w:rsid w:val="00584FD6"/>
    <w:rPr>
      <w:sz w:val="20"/>
      <w:szCs w:val="20"/>
    </w:rPr>
  </w:style>
  <w:style w:type="paragraph" w:styleId="CommentSubject">
    <w:name w:val="annotation subject"/>
    <w:basedOn w:val="CommentText"/>
    <w:next w:val="CommentText"/>
    <w:link w:val="CommentSubjectChar"/>
    <w:uiPriority w:val="99"/>
    <w:semiHidden/>
    <w:unhideWhenUsed/>
    <w:rsid w:val="00584FD6"/>
    <w:rPr>
      <w:b/>
      <w:bCs/>
    </w:rPr>
  </w:style>
  <w:style w:type="character" w:customStyle="1" w:styleId="CommentSubjectChar">
    <w:name w:val="Comment Subject Char"/>
    <w:basedOn w:val="CommentTextChar"/>
    <w:link w:val="CommentSubject"/>
    <w:uiPriority w:val="99"/>
    <w:semiHidden/>
    <w:rsid w:val="00584FD6"/>
    <w:rPr>
      <w:b/>
      <w:bCs/>
      <w:sz w:val="20"/>
      <w:szCs w:val="20"/>
    </w:rPr>
  </w:style>
  <w:style w:type="paragraph" w:styleId="BalloonText">
    <w:name w:val="Balloon Text"/>
    <w:basedOn w:val="Normal"/>
    <w:link w:val="BalloonTextChar"/>
    <w:uiPriority w:val="99"/>
    <w:semiHidden/>
    <w:unhideWhenUsed/>
    <w:rsid w:val="00584FD6"/>
    <w:rPr>
      <w:rFonts w:ascii="Tahoma" w:hAnsi="Tahoma" w:cs="Tahoma"/>
      <w:sz w:val="16"/>
      <w:szCs w:val="16"/>
    </w:rPr>
  </w:style>
  <w:style w:type="character" w:customStyle="1" w:styleId="BalloonTextChar">
    <w:name w:val="Balloon Text Char"/>
    <w:basedOn w:val="DefaultParagraphFont"/>
    <w:link w:val="BalloonText"/>
    <w:uiPriority w:val="99"/>
    <w:semiHidden/>
    <w:rsid w:val="00584FD6"/>
    <w:rPr>
      <w:rFonts w:ascii="Tahoma" w:hAnsi="Tahoma" w:cs="Tahoma"/>
      <w:sz w:val="16"/>
      <w:szCs w:val="16"/>
    </w:rPr>
  </w:style>
  <w:style w:type="paragraph" w:styleId="Revision">
    <w:name w:val="Revision"/>
    <w:hidden/>
    <w:uiPriority w:val="99"/>
    <w:semiHidden/>
    <w:rsid w:val="001E5C09"/>
  </w:style>
  <w:style w:type="paragraph" w:customStyle="1" w:styleId="CONLevel1">
    <w:name w:val=".CON  Level   1."/>
    <w:basedOn w:val="Normal"/>
    <w:next w:val="Normal"/>
    <w:rsid w:val="0070507C"/>
    <w:pPr>
      <w:keepNext/>
      <w:numPr>
        <w:numId w:val="3"/>
      </w:numPr>
      <w:spacing w:before="240"/>
      <w:outlineLvl w:val="1"/>
    </w:pPr>
    <w:rPr>
      <w:rFonts w:ascii="Times New Roman" w:eastAsia="Times New Roman" w:hAnsi="Times New Roman" w:cs="Times New Roman"/>
      <w:b/>
      <w:szCs w:val="22"/>
    </w:rPr>
  </w:style>
  <w:style w:type="paragraph" w:customStyle="1" w:styleId="CONLevel11">
    <w:name w:val=".CON  Level   1.1"/>
    <w:basedOn w:val="Normal"/>
    <w:next w:val="Normal"/>
    <w:rsid w:val="0070507C"/>
    <w:pPr>
      <w:numPr>
        <w:ilvl w:val="1"/>
        <w:numId w:val="3"/>
      </w:numPr>
      <w:spacing w:before="240"/>
      <w:outlineLvl w:val="2"/>
    </w:pPr>
    <w:rPr>
      <w:rFonts w:ascii="Times New Roman" w:eastAsia="Times New Roman" w:hAnsi="Times New Roman" w:cs="Times New Roman"/>
      <w:szCs w:val="22"/>
    </w:rPr>
  </w:style>
  <w:style w:type="paragraph" w:customStyle="1" w:styleId="CONLevela">
    <w:name w:val=".CON  Level  (a)"/>
    <w:basedOn w:val="Normal"/>
    <w:next w:val="Normal"/>
    <w:rsid w:val="0070507C"/>
    <w:pPr>
      <w:numPr>
        <w:ilvl w:val="2"/>
        <w:numId w:val="3"/>
      </w:numPr>
      <w:spacing w:before="240"/>
      <w:outlineLvl w:val="3"/>
    </w:pPr>
    <w:rPr>
      <w:rFonts w:ascii="Times New Roman" w:eastAsia="Times New Roman" w:hAnsi="Times New Roman" w:cs="Times New Roman"/>
      <w:szCs w:val="22"/>
    </w:rPr>
  </w:style>
  <w:style w:type="paragraph" w:customStyle="1" w:styleId="CONLeveli">
    <w:name w:val=".CON  Level  (i)"/>
    <w:basedOn w:val="Normal"/>
    <w:next w:val="Normal"/>
    <w:rsid w:val="0070507C"/>
    <w:pPr>
      <w:numPr>
        <w:ilvl w:val="3"/>
        <w:numId w:val="3"/>
      </w:numPr>
      <w:spacing w:before="240"/>
      <w:outlineLvl w:val="4"/>
    </w:pPr>
    <w:rPr>
      <w:rFonts w:ascii="Times New Roman" w:eastAsia="Times New Roman" w:hAnsi="Times New Roman" w:cs="Times New Roman"/>
      <w:szCs w:val="22"/>
    </w:rPr>
  </w:style>
  <w:style w:type="paragraph" w:customStyle="1" w:styleId="CONLevelA0">
    <w:name w:val=".CON  Level (A)"/>
    <w:basedOn w:val="Normal"/>
    <w:next w:val="Normal"/>
    <w:rsid w:val="0070507C"/>
    <w:pPr>
      <w:numPr>
        <w:ilvl w:val="4"/>
        <w:numId w:val="3"/>
      </w:numPr>
      <w:spacing w:before="240"/>
      <w:outlineLvl w:val="5"/>
    </w:pPr>
    <w:rPr>
      <w:rFonts w:ascii="Times New Roman" w:eastAsia="Times New Roman" w:hAnsi="Times New Roman" w:cs="Times New Roman"/>
      <w:szCs w:val="22"/>
    </w:rPr>
  </w:style>
  <w:style w:type="paragraph" w:customStyle="1" w:styleId="CONLevelI0">
    <w:name w:val=".CON  Level (I)"/>
    <w:basedOn w:val="Normal"/>
    <w:next w:val="Normal"/>
    <w:rsid w:val="0070507C"/>
    <w:pPr>
      <w:numPr>
        <w:ilvl w:val="5"/>
        <w:numId w:val="3"/>
      </w:numPr>
      <w:spacing w:before="240"/>
      <w:outlineLvl w:val="6"/>
    </w:pPr>
    <w:rPr>
      <w:rFonts w:ascii="Times New Roman" w:eastAsia="Times New Roman" w:hAnsi="Times New Roman" w:cs="Times New Roman"/>
      <w:szCs w:val="22"/>
    </w:rPr>
  </w:style>
  <w:style w:type="paragraph" w:customStyle="1" w:styleId="Default">
    <w:name w:val="Default"/>
    <w:rsid w:val="00D53186"/>
    <w:pPr>
      <w:autoSpaceDE w:val="0"/>
      <w:autoSpaceDN w:val="0"/>
      <w:adjustRightInd w:val="0"/>
    </w:pPr>
    <w:rPr>
      <w:rFonts w:ascii="Calibri" w:eastAsiaTheme="minorHAnsi" w:hAnsi="Calibri" w:cs="Calibri"/>
      <w:color w:val="000000"/>
    </w:rPr>
  </w:style>
  <w:style w:type="character" w:customStyle="1" w:styleId="Heading4Char">
    <w:name w:val="Heading 4 Char"/>
    <w:basedOn w:val="DefaultParagraphFont"/>
    <w:link w:val="Heading4"/>
    <w:uiPriority w:val="9"/>
    <w:rsid w:val="008B56F9"/>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1E682C"/>
    <w:rPr>
      <w:color w:val="0000FF" w:themeColor="hyperlink"/>
      <w:u w:val="single"/>
    </w:rPr>
  </w:style>
  <w:style w:type="paragraph" w:styleId="Header">
    <w:name w:val="header"/>
    <w:basedOn w:val="Normal"/>
    <w:link w:val="HeaderChar"/>
    <w:uiPriority w:val="99"/>
    <w:unhideWhenUsed/>
    <w:rsid w:val="00A95CEC"/>
    <w:pPr>
      <w:tabs>
        <w:tab w:val="center" w:pos="4513"/>
        <w:tab w:val="right" w:pos="9026"/>
      </w:tabs>
    </w:pPr>
  </w:style>
  <w:style w:type="character" w:customStyle="1" w:styleId="HeaderChar">
    <w:name w:val="Header Char"/>
    <w:basedOn w:val="DefaultParagraphFont"/>
    <w:link w:val="Header"/>
    <w:uiPriority w:val="99"/>
    <w:rsid w:val="00A95CEC"/>
  </w:style>
  <w:style w:type="character" w:customStyle="1" w:styleId="Heading1Char">
    <w:name w:val="Heading 1 Char"/>
    <w:basedOn w:val="DefaultParagraphFont"/>
    <w:link w:val="Heading1"/>
    <w:uiPriority w:val="9"/>
    <w:rsid w:val="00A00184"/>
    <w:rPr>
      <w:rFonts w:asciiTheme="majorHAnsi" w:eastAsiaTheme="majorEastAsia" w:hAnsiTheme="majorHAnsi" w:cstheme="majorBidi"/>
      <w:b/>
      <w:bCs/>
      <w:color w:val="365F91" w:themeColor="accent1" w:themeShade="BF"/>
      <w:sz w:val="32"/>
      <w:szCs w:val="28"/>
    </w:rPr>
  </w:style>
  <w:style w:type="paragraph" w:customStyle="1" w:styleId="AfterFirstPara">
    <w:name w:val="AfterFirstPara"/>
    <w:basedOn w:val="Normal"/>
    <w:rsid w:val="00726758"/>
    <w:pPr>
      <w:numPr>
        <w:numId w:val="32"/>
      </w:numPr>
      <w:spacing w:before="120" w:after="120"/>
    </w:pPr>
    <w:rPr>
      <w:rFonts w:ascii="Times New Roman" w:eastAsia="Times New Roman" w:hAnsi="Times New Roman" w:cs="Times New Roman"/>
      <w:lang w:val="en-GB" w:eastAsia="zh-CN"/>
    </w:rPr>
  </w:style>
  <w:style w:type="paragraph" w:styleId="TOCHeading">
    <w:name w:val="TOC Heading"/>
    <w:basedOn w:val="Heading1"/>
    <w:next w:val="Normal"/>
    <w:uiPriority w:val="39"/>
    <w:unhideWhenUsed/>
    <w:qFormat/>
    <w:rsid w:val="00FF73B0"/>
    <w:pPr>
      <w:spacing w:line="276" w:lineRule="auto"/>
      <w:outlineLvl w:val="9"/>
    </w:pPr>
    <w:rPr>
      <w:lang w:val="en-US" w:eastAsia="ja-JP"/>
    </w:rPr>
  </w:style>
  <w:style w:type="paragraph" w:styleId="TOC2">
    <w:name w:val="toc 2"/>
    <w:basedOn w:val="Normal"/>
    <w:next w:val="Normal"/>
    <w:autoRedefine/>
    <w:uiPriority w:val="39"/>
    <w:unhideWhenUsed/>
    <w:rsid w:val="000D00BE"/>
    <w:pPr>
      <w:tabs>
        <w:tab w:val="right" w:leader="dot" w:pos="8290"/>
      </w:tabs>
      <w:spacing w:after="100"/>
      <w:ind w:left="240"/>
    </w:pPr>
    <w:rPr>
      <w:rFonts w:ascii="Calibri" w:eastAsiaTheme="majorEastAsia" w:hAnsi="Calibri" w:cstheme="majorBidi"/>
      <w:b/>
      <w:bCs/>
      <w:noProof/>
    </w:rPr>
  </w:style>
  <w:style w:type="paragraph" w:styleId="TOC3">
    <w:name w:val="toc 3"/>
    <w:basedOn w:val="Normal"/>
    <w:next w:val="Normal"/>
    <w:autoRedefine/>
    <w:uiPriority w:val="39"/>
    <w:unhideWhenUsed/>
    <w:rsid w:val="00FF73B0"/>
    <w:pPr>
      <w:spacing w:after="100"/>
      <w:ind w:left="480"/>
    </w:pPr>
  </w:style>
  <w:style w:type="paragraph" w:styleId="TOC1">
    <w:name w:val="toc 1"/>
    <w:basedOn w:val="Normal"/>
    <w:next w:val="Normal"/>
    <w:autoRedefine/>
    <w:uiPriority w:val="39"/>
    <w:unhideWhenUsed/>
    <w:rsid w:val="00145234"/>
    <w:pPr>
      <w:tabs>
        <w:tab w:val="right" w:leader="dot" w:pos="8290"/>
      </w:tabs>
      <w:spacing w:after="100"/>
    </w:pPr>
    <w:rPr>
      <w:b/>
      <w:noProof/>
    </w:rPr>
  </w:style>
  <w:style w:type="paragraph" w:styleId="Title">
    <w:name w:val="Title"/>
    <w:basedOn w:val="Normal"/>
    <w:next w:val="Normal"/>
    <w:link w:val="TitleChar"/>
    <w:uiPriority w:val="10"/>
    <w:qFormat/>
    <w:rsid w:val="00BD019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0193"/>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semiHidden/>
    <w:unhideWhenUsed/>
    <w:qFormat/>
    <w:rsid w:val="0043449C"/>
    <w:pPr>
      <w:spacing w:after="200"/>
    </w:pPr>
    <w:rPr>
      <w:rFonts w:asciiTheme="minorHAnsi" w:eastAsiaTheme="minorHAnsi" w:hAnsiTheme="minorHAnsi"/>
      <w:b/>
      <w:bCs/>
      <w:color w:val="4F81BD" w:themeColor="accent1"/>
      <w:sz w:val="18"/>
      <w:szCs w:val="18"/>
    </w:rPr>
  </w:style>
  <w:style w:type="paragraph" w:styleId="NormalWeb">
    <w:name w:val="Normal (Web)"/>
    <w:basedOn w:val="Normal"/>
    <w:uiPriority w:val="99"/>
    <w:semiHidden/>
    <w:unhideWhenUsed/>
    <w:rsid w:val="0097078B"/>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160">
      <w:bodyDiv w:val="1"/>
      <w:marLeft w:val="0"/>
      <w:marRight w:val="0"/>
      <w:marTop w:val="0"/>
      <w:marBottom w:val="0"/>
      <w:divBdr>
        <w:top w:val="none" w:sz="0" w:space="0" w:color="auto"/>
        <w:left w:val="none" w:sz="0" w:space="0" w:color="auto"/>
        <w:bottom w:val="none" w:sz="0" w:space="0" w:color="auto"/>
        <w:right w:val="none" w:sz="0" w:space="0" w:color="auto"/>
      </w:divBdr>
    </w:div>
    <w:div w:id="97141475">
      <w:bodyDiv w:val="1"/>
      <w:marLeft w:val="0"/>
      <w:marRight w:val="0"/>
      <w:marTop w:val="0"/>
      <w:marBottom w:val="0"/>
      <w:divBdr>
        <w:top w:val="none" w:sz="0" w:space="0" w:color="auto"/>
        <w:left w:val="none" w:sz="0" w:space="0" w:color="auto"/>
        <w:bottom w:val="none" w:sz="0" w:space="0" w:color="auto"/>
        <w:right w:val="none" w:sz="0" w:space="0" w:color="auto"/>
      </w:divBdr>
    </w:div>
    <w:div w:id="100228420">
      <w:bodyDiv w:val="1"/>
      <w:marLeft w:val="0"/>
      <w:marRight w:val="0"/>
      <w:marTop w:val="0"/>
      <w:marBottom w:val="0"/>
      <w:divBdr>
        <w:top w:val="none" w:sz="0" w:space="0" w:color="auto"/>
        <w:left w:val="none" w:sz="0" w:space="0" w:color="auto"/>
        <w:bottom w:val="none" w:sz="0" w:space="0" w:color="auto"/>
        <w:right w:val="none" w:sz="0" w:space="0" w:color="auto"/>
      </w:divBdr>
    </w:div>
    <w:div w:id="223105325">
      <w:bodyDiv w:val="1"/>
      <w:marLeft w:val="0"/>
      <w:marRight w:val="0"/>
      <w:marTop w:val="0"/>
      <w:marBottom w:val="0"/>
      <w:divBdr>
        <w:top w:val="none" w:sz="0" w:space="0" w:color="auto"/>
        <w:left w:val="none" w:sz="0" w:space="0" w:color="auto"/>
        <w:bottom w:val="none" w:sz="0" w:space="0" w:color="auto"/>
        <w:right w:val="none" w:sz="0" w:space="0" w:color="auto"/>
      </w:divBdr>
    </w:div>
    <w:div w:id="351616214">
      <w:bodyDiv w:val="1"/>
      <w:marLeft w:val="0"/>
      <w:marRight w:val="0"/>
      <w:marTop w:val="0"/>
      <w:marBottom w:val="0"/>
      <w:divBdr>
        <w:top w:val="none" w:sz="0" w:space="0" w:color="auto"/>
        <w:left w:val="none" w:sz="0" w:space="0" w:color="auto"/>
        <w:bottom w:val="none" w:sz="0" w:space="0" w:color="auto"/>
        <w:right w:val="none" w:sz="0" w:space="0" w:color="auto"/>
      </w:divBdr>
    </w:div>
    <w:div w:id="588318672">
      <w:bodyDiv w:val="1"/>
      <w:marLeft w:val="0"/>
      <w:marRight w:val="0"/>
      <w:marTop w:val="0"/>
      <w:marBottom w:val="0"/>
      <w:divBdr>
        <w:top w:val="none" w:sz="0" w:space="0" w:color="auto"/>
        <w:left w:val="none" w:sz="0" w:space="0" w:color="auto"/>
        <w:bottom w:val="none" w:sz="0" w:space="0" w:color="auto"/>
        <w:right w:val="none" w:sz="0" w:space="0" w:color="auto"/>
      </w:divBdr>
    </w:div>
    <w:div w:id="743070956">
      <w:bodyDiv w:val="1"/>
      <w:marLeft w:val="0"/>
      <w:marRight w:val="0"/>
      <w:marTop w:val="0"/>
      <w:marBottom w:val="0"/>
      <w:divBdr>
        <w:top w:val="none" w:sz="0" w:space="0" w:color="auto"/>
        <w:left w:val="none" w:sz="0" w:space="0" w:color="auto"/>
        <w:bottom w:val="none" w:sz="0" w:space="0" w:color="auto"/>
        <w:right w:val="none" w:sz="0" w:space="0" w:color="auto"/>
      </w:divBdr>
    </w:div>
    <w:div w:id="803158339">
      <w:bodyDiv w:val="1"/>
      <w:marLeft w:val="0"/>
      <w:marRight w:val="0"/>
      <w:marTop w:val="0"/>
      <w:marBottom w:val="0"/>
      <w:divBdr>
        <w:top w:val="none" w:sz="0" w:space="0" w:color="auto"/>
        <w:left w:val="none" w:sz="0" w:space="0" w:color="auto"/>
        <w:bottom w:val="none" w:sz="0" w:space="0" w:color="auto"/>
        <w:right w:val="none" w:sz="0" w:space="0" w:color="auto"/>
      </w:divBdr>
      <w:divsChild>
        <w:div w:id="1961299743">
          <w:marLeft w:val="0"/>
          <w:marRight w:val="0"/>
          <w:marTop w:val="0"/>
          <w:marBottom w:val="0"/>
          <w:divBdr>
            <w:top w:val="none" w:sz="0" w:space="0" w:color="auto"/>
            <w:left w:val="none" w:sz="0" w:space="0" w:color="auto"/>
            <w:bottom w:val="none" w:sz="0" w:space="0" w:color="auto"/>
            <w:right w:val="none" w:sz="0" w:space="0" w:color="auto"/>
          </w:divBdr>
          <w:divsChild>
            <w:div w:id="1845320179">
              <w:marLeft w:val="0"/>
              <w:marRight w:val="0"/>
              <w:marTop w:val="0"/>
              <w:marBottom w:val="0"/>
              <w:divBdr>
                <w:top w:val="none" w:sz="0" w:space="0" w:color="auto"/>
                <w:left w:val="none" w:sz="0" w:space="0" w:color="auto"/>
                <w:bottom w:val="none" w:sz="0" w:space="0" w:color="auto"/>
                <w:right w:val="none" w:sz="0" w:space="0" w:color="auto"/>
              </w:divBdr>
              <w:divsChild>
                <w:div w:id="1666283217">
                  <w:marLeft w:val="0"/>
                  <w:marRight w:val="0"/>
                  <w:marTop w:val="0"/>
                  <w:marBottom w:val="0"/>
                  <w:divBdr>
                    <w:top w:val="none" w:sz="0" w:space="0" w:color="auto"/>
                    <w:left w:val="none" w:sz="0" w:space="0" w:color="auto"/>
                    <w:bottom w:val="none" w:sz="0" w:space="0" w:color="auto"/>
                    <w:right w:val="none" w:sz="0" w:space="0" w:color="auto"/>
                  </w:divBdr>
                  <w:divsChild>
                    <w:div w:id="11862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85397">
      <w:bodyDiv w:val="1"/>
      <w:marLeft w:val="0"/>
      <w:marRight w:val="0"/>
      <w:marTop w:val="0"/>
      <w:marBottom w:val="0"/>
      <w:divBdr>
        <w:top w:val="none" w:sz="0" w:space="0" w:color="auto"/>
        <w:left w:val="none" w:sz="0" w:space="0" w:color="auto"/>
        <w:bottom w:val="none" w:sz="0" w:space="0" w:color="auto"/>
        <w:right w:val="none" w:sz="0" w:space="0" w:color="auto"/>
      </w:divBdr>
    </w:div>
    <w:div w:id="1058940725">
      <w:bodyDiv w:val="1"/>
      <w:marLeft w:val="0"/>
      <w:marRight w:val="0"/>
      <w:marTop w:val="0"/>
      <w:marBottom w:val="0"/>
      <w:divBdr>
        <w:top w:val="none" w:sz="0" w:space="0" w:color="auto"/>
        <w:left w:val="none" w:sz="0" w:space="0" w:color="auto"/>
        <w:bottom w:val="none" w:sz="0" w:space="0" w:color="auto"/>
        <w:right w:val="none" w:sz="0" w:space="0" w:color="auto"/>
      </w:divBdr>
    </w:div>
    <w:div w:id="1376391429">
      <w:bodyDiv w:val="1"/>
      <w:marLeft w:val="0"/>
      <w:marRight w:val="0"/>
      <w:marTop w:val="0"/>
      <w:marBottom w:val="0"/>
      <w:divBdr>
        <w:top w:val="none" w:sz="0" w:space="0" w:color="auto"/>
        <w:left w:val="none" w:sz="0" w:space="0" w:color="auto"/>
        <w:bottom w:val="none" w:sz="0" w:space="0" w:color="auto"/>
        <w:right w:val="none" w:sz="0" w:space="0" w:color="auto"/>
      </w:divBdr>
    </w:div>
    <w:div w:id="1590432739">
      <w:bodyDiv w:val="1"/>
      <w:marLeft w:val="0"/>
      <w:marRight w:val="0"/>
      <w:marTop w:val="0"/>
      <w:marBottom w:val="0"/>
      <w:divBdr>
        <w:top w:val="none" w:sz="0" w:space="0" w:color="auto"/>
        <w:left w:val="none" w:sz="0" w:space="0" w:color="auto"/>
        <w:bottom w:val="none" w:sz="0" w:space="0" w:color="auto"/>
        <w:right w:val="none" w:sz="0" w:space="0" w:color="auto"/>
      </w:divBdr>
    </w:div>
    <w:div w:id="1995983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customXml" Target="../customXml/item3.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emf"/><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ipcc.ch/pdf/special-reports/srex/SREX_Full_Report.pdf" TargetMode="External"/><Relationship Id="rId2" Type="http://schemas.openxmlformats.org/officeDocument/2006/relationships/hyperlink" Target="http://www.unescap.org/our-work/ict-disaster-risk-reduction" TargetMode="External"/><Relationship Id="rId1" Type="http://schemas.openxmlformats.org/officeDocument/2006/relationships/hyperlink" Target="http://www.preventionweb.net/files/47136_workingtextonterminology.pdf" TargetMode="External"/><Relationship Id="rId4" Type="http://schemas.openxmlformats.org/officeDocument/2006/relationships/hyperlink" Target="http://www.independent.co.uk/environment/climate-change/climate-change-women-more-vulnerable-to-dangers-of-global-warming-than-men-say-leading-academics-a67173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A8D080-7ED3-470B-89F1-42E65682AB3C}"/>
</file>

<file path=customXml/itemProps2.xml><?xml version="1.0" encoding="utf-8"?>
<ds:datastoreItem xmlns:ds="http://schemas.openxmlformats.org/officeDocument/2006/customXml" ds:itemID="{5878DE4B-08CB-4EE8-81A8-282023FC0542}"/>
</file>

<file path=customXml/itemProps3.xml><?xml version="1.0" encoding="utf-8"?>
<ds:datastoreItem xmlns:ds="http://schemas.openxmlformats.org/officeDocument/2006/customXml" ds:itemID="{3AC524CF-D061-4259-B0D1-C12795201B3E}"/>
</file>

<file path=customXml/itemProps4.xml><?xml version="1.0" encoding="utf-8"?>
<ds:datastoreItem xmlns:ds="http://schemas.openxmlformats.org/officeDocument/2006/customXml" ds:itemID="{52C6D2C8-ABDF-4EA4-B945-211D946E74B2}"/>
</file>

<file path=docProps/app.xml><?xml version="1.0" encoding="utf-8"?>
<Properties xmlns="http://schemas.openxmlformats.org/officeDocument/2006/extended-properties" xmlns:vt="http://schemas.openxmlformats.org/officeDocument/2006/docPropsVTypes">
  <Template>48BE8E17</Template>
  <TotalTime>0</TotalTime>
  <Pages>80</Pages>
  <Words>23762</Words>
  <Characters>135444</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158889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Turner, Richelle</cp:lastModifiedBy>
  <cp:revision>2</cp:revision>
  <cp:lastPrinted>2016-03-17T22:13:00Z</cp:lastPrinted>
  <dcterms:created xsi:type="dcterms:W3CDTF">2016-05-11T02:55:00Z</dcterms:created>
  <dcterms:modified xsi:type="dcterms:W3CDTF">2016-05-11T02:55:00Z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32a08999-4f40-42a0-a2a1-880d4da4b1e3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53200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