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0669" w14:textId="28B25408" w:rsidR="00B02380" w:rsidRPr="00E07BFD" w:rsidRDefault="009E48B0" w:rsidP="00E07BFD">
      <w:pPr>
        <w:pStyle w:val="Heading2"/>
      </w:pPr>
      <w:r w:rsidRPr="00E07BFD">
        <w:rPr>
          <w:caps w:val="0"/>
        </w:rPr>
        <w:t xml:space="preserve">Investment Design Quality Assessment Tool </w:t>
      </w:r>
      <w:r w:rsidR="00A13CEA">
        <w:rPr>
          <w:caps w:val="0"/>
        </w:rPr>
        <w:t>a</w:t>
      </w:r>
      <w:r w:rsidR="00A13CEA" w:rsidRPr="00E07BFD">
        <w:rPr>
          <w:caps w:val="0"/>
        </w:rPr>
        <w:t xml:space="preserve">nd </w:t>
      </w:r>
      <w:r w:rsidRPr="00E07BFD">
        <w:rPr>
          <w:caps w:val="0"/>
        </w:rPr>
        <w:t>Scoring Matrix</w:t>
      </w:r>
    </w:p>
    <w:p w14:paraId="043E9688" w14:textId="5FE2DEF6" w:rsidR="007D39AC" w:rsidRPr="00D90E36" w:rsidRDefault="007D39AC" w:rsidP="007D39AC">
      <w:pPr>
        <w:rPr>
          <w:i/>
          <w:iCs/>
        </w:rPr>
      </w:pPr>
      <w:r w:rsidRPr="00D90E36">
        <w:rPr>
          <w:i/>
          <w:iCs/>
        </w:rPr>
        <w:t xml:space="preserve">Last revised: </w:t>
      </w:r>
      <w:r>
        <w:rPr>
          <w:i/>
          <w:iCs/>
        </w:rPr>
        <w:t>September</w:t>
      </w:r>
      <w:r w:rsidRPr="00D90E36">
        <w:rPr>
          <w:i/>
          <w:iCs/>
        </w:rPr>
        <w:t xml:space="preserve"> 2023</w:t>
      </w:r>
    </w:p>
    <w:p w14:paraId="15EB511F" w14:textId="77777777" w:rsidR="00F60B21" w:rsidRPr="00433FF0" w:rsidRDefault="00F60B21" w:rsidP="00F60B21">
      <w:pPr>
        <w:rPr>
          <w:color w:val="auto"/>
        </w:rPr>
      </w:pPr>
      <w:r>
        <w:rPr>
          <w:color w:val="auto"/>
        </w:rPr>
        <w:t>This tool is</w:t>
      </w:r>
      <w:r w:rsidRPr="00433FF0">
        <w:rPr>
          <w:color w:val="auto"/>
        </w:rPr>
        <w:t xml:space="preserve"> used to assess and provide comments on the quality of the design document</w:t>
      </w:r>
      <w:r>
        <w:rPr>
          <w:color w:val="auto"/>
        </w:rPr>
        <w:t>, drawing on the Matrix (included from page 4)</w:t>
      </w:r>
      <w:r w:rsidRPr="00433FF0">
        <w:rPr>
          <w:color w:val="auto"/>
        </w:rPr>
        <w:t>.</w:t>
      </w:r>
    </w:p>
    <w:p w14:paraId="7F93D29F" w14:textId="77852F1F" w:rsidR="00F60B21" w:rsidRDefault="00F60B21" w:rsidP="00F60B21">
      <w:pPr>
        <w:rPr>
          <w:color w:val="auto"/>
        </w:rPr>
      </w:pPr>
      <w:r>
        <w:rPr>
          <w:color w:val="auto"/>
        </w:rPr>
        <w:t>This document</w:t>
      </w:r>
      <w:r w:rsidRPr="008833CC">
        <w:rPr>
          <w:color w:val="auto"/>
        </w:rPr>
        <w:t xml:space="preserve"> </w:t>
      </w:r>
      <w:r>
        <w:rPr>
          <w:color w:val="auto"/>
        </w:rPr>
        <w:t>should be read in conjunction with</w:t>
      </w:r>
      <w:r w:rsidRPr="008833CC">
        <w:rPr>
          <w:color w:val="auto"/>
        </w:rPr>
        <w:t xml:space="preserve"> the</w:t>
      </w:r>
      <w:r>
        <w:rPr>
          <w:color w:val="auto"/>
        </w:rPr>
        <w:t xml:space="preserve"> </w:t>
      </w:r>
      <w:hyperlink r:id="rId9" w:history="1">
        <w:r w:rsidRPr="0006085D">
          <w:rPr>
            <w:rStyle w:val="Hyperlink"/>
            <w:rFonts w:cstheme="minorBidi"/>
          </w:rPr>
          <w:t>Investment Design Quality Assurance Guidance</w:t>
        </w:r>
      </w:hyperlink>
      <w:r w:rsidRPr="008510D8">
        <w:rPr>
          <w:color w:val="auto"/>
        </w:rPr>
        <w:t xml:space="preserve"> (internal DFAT document)</w:t>
      </w:r>
      <w:r>
        <w:rPr>
          <w:color w:val="auto"/>
        </w:rPr>
        <w:t xml:space="preserve">. Please refer to the guidance for further details on the quality assurance process. </w:t>
      </w:r>
    </w:p>
    <w:p w14:paraId="079E7FEB" w14:textId="77777777" w:rsidR="00864465" w:rsidRPr="00D90E36" w:rsidRDefault="00864465" w:rsidP="00F60B21"/>
    <w:p w14:paraId="05A47464" w14:textId="36BBEC1F" w:rsidR="00646C82" w:rsidRPr="00D90E36" w:rsidRDefault="00646C82"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b/>
          <w:color w:val="auto"/>
        </w:rPr>
      </w:pPr>
      <w:r w:rsidRPr="00D90E36">
        <w:rPr>
          <w:b/>
          <w:color w:val="auto"/>
        </w:rPr>
        <w:t>Investment name:</w:t>
      </w:r>
    </w:p>
    <w:p w14:paraId="799F25EF" w14:textId="353CBC42" w:rsidR="00646C82" w:rsidRPr="00D90E36" w:rsidRDefault="00646C82"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b/>
          <w:color w:val="auto"/>
        </w:rPr>
      </w:pPr>
      <w:r w:rsidRPr="00D90E36">
        <w:rPr>
          <w:b/>
          <w:color w:val="auto"/>
        </w:rPr>
        <w:t>Start date:</w:t>
      </w:r>
      <w:r w:rsidRPr="00D90E36">
        <w:rPr>
          <w:b/>
          <w:color w:val="auto"/>
        </w:rPr>
        <w:tab/>
      </w:r>
    </w:p>
    <w:p w14:paraId="760F0252" w14:textId="66902099" w:rsidR="00646C82" w:rsidRPr="00D90E36" w:rsidRDefault="00646C82"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b/>
          <w:color w:val="auto"/>
        </w:rPr>
      </w:pPr>
      <w:r w:rsidRPr="00D90E36">
        <w:rPr>
          <w:b/>
          <w:color w:val="auto"/>
        </w:rPr>
        <w:t>End Date:</w:t>
      </w:r>
    </w:p>
    <w:p w14:paraId="423F7E59" w14:textId="578E8598" w:rsidR="00646C82" w:rsidRPr="00D90E36" w:rsidRDefault="00646C82"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color w:val="auto"/>
        </w:rPr>
      </w:pPr>
      <w:r w:rsidRPr="00D90E36">
        <w:rPr>
          <w:b/>
          <w:color w:val="auto"/>
        </w:rPr>
        <w:t xml:space="preserve">Total proposed funding allocation: </w:t>
      </w:r>
      <w:r w:rsidR="00744271" w:rsidRPr="00D90E36">
        <w:rPr>
          <w:color w:val="auto"/>
        </w:rPr>
        <w:t>AUD</w:t>
      </w:r>
      <w:r w:rsidR="0050586B" w:rsidRPr="00D90E36">
        <w:rPr>
          <w:color w:val="auto"/>
        </w:rPr>
        <w:t>____</w:t>
      </w:r>
    </w:p>
    <w:p w14:paraId="2F509E04" w14:textId="19D21615" w:rsidR="00646C82" w:rsidRPr="00D90E36" w:rsidRDefault="00646C82"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i/>
          <w:color w:val="auto"/>
        </w:rPr>
      </w:pPr>
      <w:r w:rsidRPr="00D90E36">
        <w:rPr>
          <w:b/>
          <w:color w:val="auto"/>
        </w:rPr>
        <w:t>Risk profile:</w:t>
      </w:r>
      <w:r w:rsidRPr="00D90E36">
        <w:rPr>
          <w:color w:val="auto"/>
        </w:rPr>
        <w:t xml:space="preserve"> </w:t>
      </w:r>
      <w:r w:rsidR="003C286D" w:rsidRPr="00D90E36">
        <w:rPr>
          <w:i/>
          <w:iCs/>
          <w:sz w:val="21"/>
          <w:szCs w:val="21"/>
        </w:rPr>
        <w:t>low/medium/high</w:t>
      </w:r>
      <w:r w:rsidR="00C414B9">
        <w:rPr>
          <w:i/>
          <w:iCs/>
          <w:sz w:val="21"/>
          <w:szCs w:val="21"/>
        </w:rPr>
        <w:t>/very high</w:t>
      </w:r>
      <w:r w:rsidR="003C286D" w:rsidRPr="00D90E36">
        <w:rPr>
          <w:i/>
          <w:iCs/>
          <w:sz w:val="21"/>
          <w:szCs w:val="21"/>
        </w:rPr>
        <w:t xml:space="preserve"> risk</w:t>
      </w:r>
      <w:r w:rsidR="003C286D" w:rsidRPr="00D90E36">
        <w:rPr>
          <w:b/>
          <w:bCs/>
          <w:sz w:val="21"/>
          <w:szCs w:val="21"/>
        </w:rPr>
        <w:t xml:space="preserve">  </w:t>
      </w:r>
    </w:p>
    <w:p w14:paraId="0785F519" w14:textId="27F14DA6" w:rsidR="00707D5F" w:rsidRPr="00D90E36" w:rsidRDefault="003C286D" w:rsidP="008A7ABA">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b/>
          <w:color w:val="auto"/>
        </w:rPr>
      </w:pPr>
      <w:r w:rsidRPr="00D90E36">
        <w:rPr>
          <w:b/>
          <w:color w:val="auto"/>
        </w:rPr>
        <w:t>Value</w:t>
      </w:r>
      <w:r w:rsidR="00C37AA8" w:rsidRPr="00D90E36">
        <w:rPr>
          <w:b/>
          <w:color w:val="auto"/>
        </w:rPr>
        <w:t xml:space="preserve"> profile</w:t>
      </w:r>
      <w:r w:rsidRPr="00D90E36">
        <w:rPr>
          <w:b/>
          <w:color w:val="auto"/>
        </w:rPr>
        <w:t xml:space="preserve">: </w:t>
      </w:r>
      <w:r w:rsidR="00C37AA8" w:rsidRPr="00D90E36">
        <w:rPr>
          <w:i/>
          <w:iCs/>
          <w:sz w:val="21"/>
          <w:szCs w:val="21"/>
        </w:rPr>
        <w:t xml:space="preserve">low/medium/high value    </w:t>
      </w:r>
      <w:r w:rsidR="00CE7235" w:rsidRPr="00D90E36">
        <w:rPr>
          <w:i/>
          <w:iCs/>
          <w:sz w:val="21"/>
          <w:szCs w:val="21"/>
        </w:rPr>
        <w:t xml:space="preserve">       </w:t>
      </w:r>
      <w:r w:rsidR="00C37AA8" w:rsidRPr="00D90E36">
        <w:rPr>
          <w:i/>
          <w:iCs/>
          <w:sz w:val="21"/>
          <w:szCs w:val="21"/>
        </w:rPr>
        <w:t>[low &lt;$3m</w:t>
      </w:r>
      <w:r w:rsidR="00707E25" w:rsidRPr="00D90E36">
        <w:rPr>
          <w:i/>
          <w:iCs/>
          <w:sz w:val="21"/>
          <w:szCs w:val="21"/>
        </w:rPr>
        <w:t xml:space="preserve">; high </w:t>
      </w:r>
      <w:r w:rsidR="00744271" w:rsidRPr="00D90E36">
        <w:rPr>
          <w:i/>
          <w:iCs/>
          <w:sz w:val="21"/>
          <w:szCs w:val="21"/>
        </w:rPr>
        <w:t xml:space="preserve">= </w:t>
      </w:r>
      <w:r w:rsidR="00C37AA8" w:rsidRPr="00D90E36">
        <w:rPr>
          <w:i/>
          <w:iCs/>
          <w:sz w:val="21"/>
          <w:szCs w:val="21"/>
        </w:rPr>
        <w:t>$100m</w:t>
      </w:r>
      <w:r w:rsidR="00744271" w:rsidRPr="00D90E36">
        <w:rPr>
          <w:i/>
          <w:iCs/>
          <w:sz w:val="21"/>
          <w:szCs w:val="21"/>
        </w:rPr>
        <w:t xml:space="preserve"> and above</w:t>
      </w:r>
      <w:r w:rsidR="00C37AA8" w:rsidRPr="00D90E36">
        <w:rPr>
          <w:i/>
          <w:iCs/>
          <w:sz w:val="21"/>
          <w:szCs w:val="21"/>
        </w:rPr>
        <w:t>]</w:t>
      </w:r>
    </w:p>
    <w:p w14:paraId="68973656" w14:textId="0AB2C6EC" w:rsidR="00646C82" w:rsidRPr="00D90E36" w:rsidRDefault="00646C82" w:rsidP="0068516C">
      <w:pPr>
        <w:pStyle w:val="BodyText"/>
        <w:pBdr>
          <w:top w:val="single" w:sz="4" w:space="1" w:color="auto"/>
          <w:left w:val="single" w:sz="4" w:space="4" w:color="auto"/>
          <w:bottom w:val="single" w:sz="4" w:space="1" w:color="auto"/>
          <w:right w:val="single" w:sz="4" w:space="4" w:color="auto"/>
        </w:pBdr>
        <w:shd w:val="clear" w:color="auto" w:fill="C7E4DB" w:themeFill="accent3" w:themeFillTint="66"/>
        <w:rPr>
          <w:rFonts w:cs="Arial"/>
          <w:i/>
          <w:color w:val="auto"/>
          <w:sz w:val="18"/>
          <w:szCs w:val="18"/>
          <w:lang w:val="en-AU"/>
        </w:rPr>
      </w:pPr>
      <w:r w:rsidRPr="00D90E36">
        <w:rPr>
          <w:b/>
          <w:color w:val="auto"/>
        </w:rPr>
        <w:t xml:space="preserve">Investment outcomes: </w:t>
      </w:r>
      <w:r w:rsidRPr="00D90E36">
        <w:rPr>
          <w:rFonts w:cs="Arial"/>
          <w:i/>
          <w:color w:val="auto"/>
          <w:sz w:val="18"/>
          <w:szCs w:val="18"/>
          <w:lang w:val="en-AU"/>
        </w:rPr>
        <w:t>&lt;State the end program outcomes expected from this investment&gt;</w:t>
      </w:r>
    </w:p>
    <w:p w14:paraId="3525FFBE" w14:textId="77777777" w:rsidR="00B42D8D" w:rsidRPr="00D90E36" w:rsidRDefault="00B42D8D" w:rsidP="0068516C">
      <w:pPr>
        <w:pStyle w:val="BodyText"/>
        <w:pBdr>
          <w:top w:val="single" w:sz="4" w:space="1" w:color="auto"/>
          <w:left w:val="single" w:sz="4" w:space="4" w:color="auto"/>
          <w:bottom w:val="single" w:sz="4" w:space="1" w:color="auto"/>
          <w:right w:val="single" w:sz="4" w:space="4" w:color="auto"/>
        </w:pBdr>
        <w:shd w:val="clear" w:color="auto" w:fill="C7E4DB" w:themeFill="accent3" w:themeFillTint="66"/>
        <w:rPr>
          <w:rFonts w:cs="Arial"/>
          <w:i/>
          <w:color w:val="auto"/>
          <w:sz w:val="18"/>
          <w:szCs w:val="18"/>
          <w:lang w:val="en-AU"/>
        </w:rPr>
      </w:pPr>
    </w:p>
    <w:p w14:paraId="5D9D37AE" w14:textId="77777777" w:rsidR="0068516C" w:rsidRPr="00D90E36" w:rsidRDefault="0068516C" w:rsidP="0068516C">
      <w:pPr>
        <w:pStyle w:val="BodyText"/>
        <w:pBdr>
          <w:top w:val="single" w:sz="4" w:space="1" w:color="auto"/>
          <w:left w:val="single" w:sz="4" w:space="4" w:color="auto"/>
          <w:bottom w:val="single" w:sz="4" w:space="1" w:color="auto"/>
          <w:right w:val="single" w:sz="4" w:space="4" w:color="auto"/>
        </w:pBdr>
        <w:shd w:val="clear" w:color="auto" w:fill="C7E4DB" w:themeFill="accent3" w:themeFillTint="66"/>
        <w:rPr>
          <w:rFonts w:cs="Arial"/>
          <w:i/>
          <w:color w:val="auto"/>
          <w:sz w:val="18"/>
          <w:szCs w:val="18"/>
          <w:lang w:val="en-AU"/>
        </w:rPr>
      </w:pPr>
    </w:p>
    <w:p w14:paraId="771D7CD3" w14:textId="77777777" w:rsidR="00B42D8D" w:rsidRPr="00D90E36" w:rsidRDefault="00B42D8D"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rFonts w:cs="Arial"/>
          <w:i/>
          <w:color w:val="auto"/>
          <w:sz w:val="18"/>
          <w:szCs w:val="18"/>
          <w:lang w:val="en-AU"/>
        </w:rPr>
      </w:pPr>
    </w:p>
    <w:p w14:paraId="6EB9D9D4" w14:textId="0CC3B30E" w:rsidR="00646C82" w:rsidRPr="00D90E36" w:rsidRDefault="00646C82" w:rsidP="0068516C">
      <w:pPr>
        <w:pStyle w:val="BodyText"/>
        <w:pBdr>
          <w:top w:val="single" w:sz="4" w:space="1" w:color="auto"/>
          <w:left w:val="single" w:sz="4" w:space="4" w:color="auto"/>
          <w:bottom w:val="single" w:sz="4" w:space="1" w:color="auto"/>
          <w:right w:val="single" w:sz="4" w:space="4" w:color="auto"/>
        </w:pBdr>
        <w:shd w:val="clear" w:color="auto" w:fill="C7E4DB" w:themeFill="accent3" w:themeFillTint="66"/>
        <w:rPr>
          <w:rFonts w:cs="Arial"/>
          <w:i/>
          <w:color w:val="auto"/>
          <w:sz w:val="18"/>
          <w:szCs w:val="18"/>
          <w:lang w:val="en-AU"/>
        </w:rPr>
      </w:pPr>
      <w:r w:rsidRPr="00D90E36">
        <w:rPr>
          <w:b/>
          <w:color w:val="auto"/>
        </w:rPr>
        <w:t xml:space="preserve">Investment description: </w:t>
      </w:r>
      <w:r w:rsidRPr="00D90E36">
        <w:rPr>
          <w:rFonts w:cs="Arial"/>
          <w:i/>
          <w:color w:val="auto"/>
          <w:sz w:val="18"/>
          <w:szCs w:val="18"/>
          <w:lang w:val="en-AU"/>
        </w:rPr>
        <w:t>&lt;Briefly describe how this investment will be implemented&gt;</w:t>
      </w:r>
    </w:p>
    <w:p w14:paraId="7E2F0B59" w14:textId="77777777" w:rsidR="00B42D8D" w:rsidRPr="00D90E36" w:rsidRDefault="00B42D8D" w:rsidP="0068516C">
      <w:pPr>
        <w:pStyle w:val="BodyText"/>
        <w:pBdr>
          <w:top w:val="single" w:sz="4" w:space="1" w:color="auto"/>
          <w:left w:val="single" w:sz="4" w:space="4" w:color="auto"/>
          <w:bottom w:val="single" w:sz="4" w:space="1" w:color="auto"/>
          <w:right w:val="single" w:sz="4" w:space="4" w:color="auto"/>
        </w:pBdr>
        <w:shd w:val="clear" w:color="auto" w:fill="C7E4DB" w:themeFill="accent3" w:themeFillTint="66"/>
        <w:rPr>
          <w:rFonts w:cs="Arial"/>
          <w:i/>
          <w:color w:val="auto"/>
          <w:sz w:val="18"/>
          <w:szCs w:val="18"/>
          <w:lang w:val="en-AU"/>
        </w:rPr>
      </w:pPr>
    </w:p>
    <w:p w14:paraId="5C9113B1" w14:textId="77777777" w:rsidR="0068516C" w:rsidRPr="00D90E36" w:rsidRDefault="0068516C" w:rsidP="0068516C">
      <w:pPr>
        <w:pStyle w:val="BodyText"/>
        <w:pBdr>
          <w:top w:val="single" w:sz="4" w:space="1" w:color="auto"/>
          <w:left w:val="single" w:sz="4" w:space="4" w:color="auto"/>
          <w:bottom w:val="single" w:sz="4" w:space="1" w:color="auto"/>
          <w:right w:val="single" w:sz="4" w:space="4" w:color="auto"/>
        </w:pBdr>
        <w:shd w:val="clear" w:color="auto" w:fill="C7E4DB" w:themeFill="accent3" w:themeFillTint="66"/>
        <w:rPr>
          <w:rFonts w:cs="Arial"/>
          <w:i/>
          <w:color w:val="auto"/>
          <w:sz w:val="18"/>
          <w:szCs w:val="18"/>
          <w:lang w:val="en-AU"/>
        </w:rPr>
      </w:pPr>
    </w:p>
    <w:p w14:paraId="147A85F5" w14:textId="77777777" w:rsidR="00B42D8D" w:rsidRPr="00D90E36" w:rsidRDefault="00B42D8D"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rFonts w:cs="Arial"/>
          <w:i/>
          <w:color w:val="auto"/>
          <w:sz w:val="18"/>
          <w:szCs w:val="18"/>
          <w:lang w:val="en-AU"/>
        </w:rPr>
      </w:pPr>
    </w:p>
    <w:p w14:paraId="4A56CB81" w14:textId="1CC7D52C" w:rsidR="00646C82" w:rsidRPr="00D90E36" w:rsidRDefault="00646C82"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b/>
          <w:color w:val="auto"/>
        </w:rPr>
      </w:pPr>
      <w:r w:rsidRPr="00D90E36">
        <w:rPr>
          <w:b/>
          <w:color w:val="auto"/>
        </w:rPr>
        <w:t>Appraiser/peer reviewer name (and position, if internal to DFAT)</w:t>
      </w:r>
      <w:r w:rsidR="0068516C" w:rsidRPr="00D90E36">
        <w:rPr>
          <w:b/>
          <w:color w:val="auto"/>
        </w:rPr>
        <w:t xml:space="preserve">: </w:t>
      </w:r>
    </w:p>
    <w:p w14:paraId="74068CE8" w14:textId="3A58A581" w:rsidR="00646C82" w:rsidRPr="00D90E36" w:rsidRDefault="00646C82" w:rsidP="0050586B">
      <w:pPr>
        <w:pStyle w:val="BodyText"/>
        <w:pBdr>
          <w:top w:val="single" w:sz="4" w:space="1" w:color="auto"/>
          <w:left w:val="single" w:sz="4" w:space="4" w:color="auto"/>
          <w:bottom w:val="single" w:sz="4" w:space="1" w:color="auto"/>
          <w:right w:val="single" w:sz="4" w:space="4" w:color="auto"/>
          <w:between w:val="single" w:sz="4" w:space="1" w:color="auto"/>
        </w:pBdr>
        <w:shd w:val="clear" w:color="auto" w:fill="C7E4DB" w:themeFill="accent3" w:themeFillTint="66"/>
        <w:rPr>
          <w:color w:val="auto"/>
        </w:rPr>
      </w:pPr>
      <w:r w:rsidRPr="00D90E36">
        <w:rPr>
          <w:b/>
          <w:color w:val="auto"/>
        </w:rPr>
        <w:t>Date of appraisal or peer review:</w:t>
      </w:r>
    </w:p>
    <w:p w14:paraId="05F267DF" w14:textId="77777777" w:rsidR="00646C82" w:rsidRPr="00D90E36" w:rsidRDefault="00646C82" w:rsidP="00D54595">
      <w:pPr>
        <w:rPr>
          <w:color w:val="auto"/>
        </w:rPr>
      </w:pPr>
    </w:p>
    <w:p w14:paraId="16A51DAC" w14:textId="77777777" w:rsidR="00571B58" w:rsidRDefault="00571B58">
      <w:pPr>
        <w:suppressAutoHyphens w:val="0"/>
        <w:spacing w:before="0" w:after="120" w:line="440" w:lineRule="atLeast"/>
        <w:rPr>
          <w:rFonts w:eastAsiaTheme="majorEastAsia" w:cstheme="majorBidi"/>
          <w:caps/>
          <w:color w:val="auto"/>
          <w:sz w:val="38"/>
          <w:szCs w:val="26"/>
        </w:rPr>
      </w:pPr>
      <w:r>
        <w:rPr>
          <w:color w:val="auto"/>
        </w:rPr>
        <w:br w:type="page"/>
      </w:r>
    </w:p>
    <w:p w14:paraId="057D0753" w14:textId="008C5954" w:rsidR="00D7137B" w:rsidRPr="00E07BFD" w:rsidRDefault="00A13CEA" w:rsidP="00E07BFD">
      <w:pPr>
        <w:pStyle w:val="Heading2"/>
      </w:pPr>
      <w:r w:rsidRPr="00E07BFD">
        <w:rPr>
          <w:caps w:val="0"/>
        </w:rPr>
        <w:lastRenderedPageBreak/>
        <w:t>Design Quality Scoring</w:t>
      </w:r>
    </w:p>
    <w:p w14:paraId="288EA198" w14:textId="74B84296" w:rsidR="00D7137B" w:rsidRPr="00D90E36" w:rsidRDefault="00E827CC" w:rsidP="00D7137B">
      <w:pPr>
        <w:rPr>
          <w:color w:val="auto"/>
        </w:rPr>
      </w:pPr>
      <w:r w:rsidRPr="00D90E36">
        <w:rPr>
          <w:color w:val="auto"/>
        </w:rPr>
        <w:t>Appraisers and formal peer reviewers should address each design quality criterion with reference to the Investment Design Quality Scoring Matrix.</w:t>
      </w:r>
    </w:p>
    <w:p w14:paraId="5BDF65DB" w14:textId="0673F9E7" w:rsidR="000261A3" w:rsidRPr="00D90E36" w:rsidRDefault="00330F04" w:rsidP="00D7137B">
      <w:pPr>
        <w:rPr>
          <w:b/>
          <w:bCs/>
          <w:i/>
          <w:iCs/>
          <w:color w:val="auto"/>
        </w:rPr>
      </w:pPr>
      <w:r w:rsidRPr="00D90E36">
        <w:rPr>
          <w:b/>
          <w:bCs/>
          <w:i/>
          <w:iCs/>
          <w:color w:val="auto"/>
        </w:rPr>
        <w:t>Satisfactory rating</w:t>
      </w:r>
    </w:p>
    <w:p w14:paraId="2A46D348" w14:textId="70A5DD2F" w:rsidR="00330F04" w:rsidRPr="00D90E36" w:rsidRDefault="00330F04" w:rsidP="00D7137B">
      <w:pPr>
        <w:rPr>
          <w:lang w:eastAsia="en-AU"/>
        </w:rPr>
      </w:pPr>
      <w:r w:rsidRPr="00D90E36">
        <w:rPr>
          <w:color w:val="auto"/>
        </w:rPr>
        <w:t xml:space="preserve">6 </w:t>
      </w:r>
      <w:r w:rsidR="00FA0FBE" w:rsidRPr="00D90E36">
        <w:rPr>
          <w:color w:val="auto"/>
        </w:rPr>
        <w:t xml:space="preserve">- </w:t>
      </w:r>
      <w:r w:rsidRPr="00805797">
        <w:rPr>
          <w:rFonts w:cs="MuseoSans-500"/>
          <w:u w:color="373545" w:themeColor="text2"/>
          <w:lang w:eastAsia="en-AU"/>
        </w:rPr>
        <w:t>Very</w:t>
      </w:r>
      <w:r w:rsidRPr="00D90E36">
        <w:rPr>
          <w:lang w:eastAsia="en-AU"/>
        </w:rPr>
        <w:t xml:space="preserve"> high quality</w:t>
      </w:r>
      <w:r w:rsidR="00FA0FBE" w:rsidRPr="00D90E36">
        <w:rPr>
          <w:lang w:eastAsia="en-AU"/>
        </w:rPr>
        <w:t>; does not require amendment before proceeding</w:t>
      </w:r>
    </w:p>
    <w:p w14:paraId="213F8D06" w14:textId="3EE215C4" w:rsidR="00FA0FBE" w:rsidRPr="00D90E36" w:rsidRDefault="00FA0FBE" w:rsidP="00D7137B">
      <w:pPr>
        <w:rPr>
          <w:lang w:eastAsia="en-AU"/>
        </w:rPr>
      </w:pPr>
      <w:r w:rsidRPr="00D90E36">
        <w:rPr>
          <w:lang w:eastAsia="en-AU"/>
        </w:rPr>
        <w:t>5 – Good quality; needs minor work to improve in some areas</w:t>
      </w:r>
    </w:p>
    <w:p w14:paraId="0269E73C" w14:textId="2677F9CF" w:rsidR="00FA0FBE" w:rsidRPr="00D90E36" w:rsidRDefault="00FA0FBE" w:rsidP="00D7137B">
      <w:pPr>
        <w:rPr>
          <w:color w:val="auto"/>
        </w:rPr>
      </w:pPr>
      <w:r w:rsidRPr="00D90E36">
        <w:rPr>
          <w:lang w:eastAsia="en-AU"/>
        </w:rPr>
        <w:t>4 – Adequate quality; needs some work to improve</w:t>
      </w:r>
    </w:p>
    <w:p w14:paraId="31C99027" w14:textId="2DC324CA" w:rsidR="000261A3" w:rsidRPr="00D90E36" w:rsidRDefault="00C844B2" w:rsidP="00D7137B">
      <w:pPr>
        <w:rPr>
          <w:b/>
          <w:bCs/>
          <w:i/>
          <w:iCs/>
          <w:color w:val="auto"/>
        </w:rPr>
      </w:pPr>
      <w:r w:rsidRPr="00D90E36">
        <w:rPr>
          <w:b/>
          <w:bCs/>
          <w:i/>
          <w:iCs/>
          <w:color w:val="auto"/>
        </w:rPr>
        <w:t>Less than satisfactory rating</w:t>
      </w:r>
    </w:p>
    <w:p w14:paraId="32672A28" w14:textId="6CCD2930" w:rsidR="00C844B2" w:rsidRPr="00D90E36" w:rsidRDefault="00C844B2" w:rsidP="00D7137B">
      <w:pPr>
        <w:rPr>
          <w:color w:val="auto"/>
        </w:rPr>
      </w:pPr>
      <w:r w:rsidRPr="00D90E36">
        <w:rPr>
          <w:color w:val="auto"/>
        </w:rPr>
        <w:t>3 – Less than adequate quality; needs to be improved in core areas</w:t>
      </w:r>
    </w:p>
    <w:p w14:paraId="15B1F5E6" w14:textId="5B3292D0" w:rsidR="00C844B2" w:rsidRPr="00D90E36" w:rsidRDefault="00904D8A" w:rsidP="00D7137B">
      <w:pPr>
        <w:rPr>
          <w:color w:val="auto"/>
        </w:rPr>
      </w:pPr>
      <w:r w:rsidRPr="00D90E36">
        <w:rPr>
          <w:color w:val="auto"/>
        </w:rPr>
        <w:t>2 – Poor quality; needs major work to improve</w:t>
      </w:r>
    </w:p>
    <w:p w14:paraId="4C39FD81" w14:textId="24738508" w:rsidR="00894052" w:rsidRPr="00D90E36" w:rsidRDefault="00904D8A" w:rsidP="00D7137B">
      <w:pPr>
        <w:rPr>
          <w:color w:val="auto"/>
        </w:rPr>
      </w:pPr>
      <w:r w:rsidRPr="00D90E36">
        <w:rPr>
          <w:color w:val="auto"/>
        </w:rPr>
        <w:t>1 – Very poor quality; needs major overhaul.</w:t>
      </w:r>
    </w:p>
    <w:tbl>
      <w:tblPr>
        <w:tblpPr w:leftFromText="180" w:rightFromText="180" w:bottomFromText="160" w:vertAnchor="text" w:horzAnchor="margin" w:tblpY="225"/>
        <w:tblW w:w="86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6737"/>
        <w:gridCol w:w="1888"/>
      </w:tblGrid>
      <w:tr w:rsidR="00571B58" w:rsidRPr="00D90E36" w14:paraId="6F224A94" w14:textId="77777777" w:rsidTr="5D9C0FD8">
        <w:trPr>
          <w:cantSplit/>
          <w:trHeight w:val="282"/>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9D5E7" w:themeFill="accent1" w:themeFillTint="66"/>
            <w:hideMark/>
          </w:tcPr>
          <w:p w14:paraId="04AE9597" w14:textId="77777777" w:rsidR="00571B58" w:rsidRPr="00D90E36" w:rsidRDefault="00571B58">
            <w:pPr>
              <w:pStyle w:val="BodyText"/>
              <w:rPr>
                <w:b/>
                <w:color w:val="auto"/>
              </w:rPr>
            </w:pPr>
            <w:r w:rsidRPr="00D90E36">
              <w:rPr>
                <w:b/>
                <w:color w:val="auto"/>
              </w:rPr>
              <w:t>Criterion</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9D5E7" w:themeFill="accent1" w:themeFillTint="66"/>
          </w:tcPr>
          <w:p w14:paraId="38AD65AC" w14:textId="77777777" w:rsidR="00571B58" w:rsidRPr="00D90E36" w:rsidRDefault="00571B58">
            <w:pPr>
              <w:pStyle w:val="BodyText"/>
              <w:rPr>
                <w:b/>
                <w:color w:val="auto"/>
              </w:rPr>
            </w:pPr>
            <w:r w:rsidRPr="00D90E36">
              <w:rPr>
                <w:b/>
                <w:color w:val="auto"/>
              </w:rPr>
              <w:t>Score</w:t>
            </w:r>
          </w:p>
        </w:tc>
      </w:tr>
      <w:tr w:rsidR="00571B58" w:rsidRPr="00D90E36" w14:paraId="13F677FA" w14:textId="77777777" w:rsidTr="5D9C0FD8">
        <w:trPr>
          <w:cantSplit/>
          <w:trHeight w:val="351"/>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Mar>
              <w:top w:w="28" w:type="dxa"/>
              <w:left w:w="108" w:type="dxa"/>
              <w:bottom w:w="28" w:type="dxa"/>
              <w:right w:w="108" w:type="dxa"/>
            </w:tcMar>
            <w:hideMark/>
          </w:tcPr>
          <w:p w14:paraId="1193FA77" w14:textId="77777777" w:rsidR="00571B58" w:rsidRPr="00D90E36" w:rsidRDefault="00571B58" w:rsidP="00571B58">
            <w:pPr>
              <w:pStyle w:val="BodyText"/>
              <w:numPr>
                <w:ilvl w:val="0"/>
                <w:numId w:val="68"/>
              </w:numPr>
              <w:rPr>
                <w:color w:val="auto"/>
              </w:rPr>
            </w:pPr>
            <w:r w:rsidRPr="00D90E36">
              <w:rPr>
                <w:color w:val="auto"/>
              </w:rPr>
              <w:t>Relevance</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Pr>
          <w:p w14:paraId="74FC73E1" w14:textId="77777777" w:rsidR="00571B58" w:rsidRPr="00D90E36" w:rsidRDefault="00571B58">
            <w:pPr>
              <w:pStyle w:val="BodyText"/>
              <w:rPr>
                <w:color w:val="auto"/>
              </w:rPr>
            </w:pPr>
          </w:p>
        </w:tc>
      </w:tr>
      <w:tr w:rsidR="00571B58" w:rsidRPr="00D90E36" w14:paraId="63A0AF61" w14:textId="77777777" w:rsidTr="5D9C0FD8">
        <w:trPr>
          <w:cantSplit/>
          <w:trHeight w:val="351"/>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Mar>
              <w:top w:w="28" w:type="dxa"/>
              <w:left w:w="108" w:type="dxa"/>
              <w:bottom w:w="28" w:type="dxa"/>
              <w:right w:w="108" w:type="dxa"/>
            </w:tcMar>
            <w:hideMark/>
          </w:tcPr>
          <w:p w14:paraId="71656166" w14:textId="77777777" w:rsidR="00571B58" w:rsidRPr="00D90E36" w:rsidRDefault="00571B58" w:rsidP="00571B58">
            <w:pPr>
              <w:pStyle w:val="BodyText"/>
              <w:numPr>
                <w:ilvl w:val="0"/>
                <w:numId w:val="68"/>
              </w:numPr>
              <w:rPr>
                <w:color w:val="auto"/>
              </w:rPr>
            </w:pPr>
            <w:r w:rsidRPr="00D90E36">
              <w:rPr>
                <w:color w:val="auto"/>
              </w:rPr>
              <w:t>Effectiveness</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Pr>
          <w:p w14:paraId="59566D01" w14:textId="77777777" w:rsidR="00571B58" w:rsidRPr="00D90E36" w:rsidRDefault="00571B58">
            <w:pPr>
              <w:pStyle w:val="BodyText"/>
              <w:rPr>
                <w:color w:val="auto"/>
              </w:rPr>
            </w:pPr>
          </w:p>
        </w:tc>
      </w:tr>
      <w:tr w:rsidR="00571B58" w:rsidRPr="00D90E36" w14:paraId="461995A2" w14:textId="77777777" w:rsidTr="5D9C0FD8">
        <w:trPr>
          <w:cantSplit/>
          <w:trHeight w:val="351"/>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Mar>
              <w:top w:w="28" w:type="dxa"/>
              <w:left w:w="108" w:type="dxa"/>
              <w:bottom w:w="28" w:type="dxa"/>
              <w:right w:w="108" w:type="dxa"/>
            </w:tcMar>
          </w:tcPr>
          <w:p w14:paraId="26750B49" w14:textId="77777777" w:rsidR="00571B58" w:rsidRPr="00D90E36" w:rsidRDefault="00571B58" w:rsidP="00571B58">
            <w:pPr>
              <w:pStyle w:val="BodyText"/>
              <w:numPr>
                <w:ilvl w:val="0"/>
                <w:numId w:val="68"/>
              </w:numPr>
              <w:rPr>
                <w:color w:val="auto"/>
              </w:rPr>
            </w:pPr>
            <w:r w:rsidRPr="00D90E36">
              <w:rPr>
                <w:color w:val="auto"/>
              </w:rPr>
              <w:t>Efficiency</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Pr>
          <w:p w14:paraId="733EAA56" w14:textId="77777777" w:rsidR="00571B58" w:rsidRPr="00D90E36" w:rsidRDefault="00571B58">
            <w:pPr>
              <w:pStyle w:val="BodyText"/>
              <w:rPr>
                <w:color w:val="auto"/>
              </w:rPr>
            </w:pPr>
          </w:p>
        </w:tc>
      </w:tr>
      <w:tr w:rsidR="00571B58" w:rsidRPr="00D90E36" w14:paraId="3AFE6C0B" w14:textId="77777777" w:rsidTr="5D9C0FD8">
        <w:trPr>
          <w:cantSplit/>
          <w:trHeight w:val="351"/>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Mar>
              <w:top w:w="28" w:type="dxa"/>
              <w:left w:w="108" w:type="dxa"/>
              <w:bottom w:w="28" w:type="dxa"/>
              <w:right w:w="108" w:type="dxa"/>
            </w:tcMar>
          </w:tcPr>
          <w:p w14:paraId="5E8E535F" w14:textId="3759396D" w:rsidR="00571B58" w:rsidRPr="00D90E36" w:rsidRDefault="00571B58" w:rsidP="00571B58">
            <w:pPr>
              <w:pStyle w:val="BodyText"/>
              <w:numPr>
                <w:ilvl w:val="0"/>
                <w:numId w:val="68"/>
              </w:numPr>
              <w:rPr>
                <w:color w:val="auto"/>
              </w:rPr>
            </w:pPr>
            <w:r w:rsidRPr="5D9C0FD8">
              <w:rPr>
                <w:color w:val="auto"/>
              </w:rPr>
              <w:t>Monitoring</w:t>
            </w:r>
            <w:r w:rsidR="00C51EDA" w:rsidRPr="5D9C0FD8">
              <w:rPr>
                <w:color w:val="auto"/>
              </w:rPr>
              <w:t xml:space="preserve">, </w:t>
            </w:r>
            <w:r w:rsidR="102EF7FB" w:rsidRPr="5D9C0FD8">
              <w:rPr>
                <w:color w:val="auto"/>
              </w:rPr>
              <w:t>E</w:t>
            </w:r>
            <w:r w:rsidRPr="5D9C0FD8">
              <w:rPr>
                <w:color w:val="auto"/>
              </w:rPr>
              <w:t>valuation</w:t>
            </w:r>
            <w:r w:rsidR="00C51EDA" w:rsidRPr="5D9C0FD8">
              <w:rPr>
                <w:color w:val="auto"/>
              </w:rPr>
              <w:t xml:space="preserve"> and </w:t>
            </w:r>
            <w:r w:rsidR="5C7F5B2E" w:rsidRPr="5D9C0FD8">
              <w:rPr>
                <w:color w:val="auto"/>
              </w:rPr>
              <w:t>L</w:t>
            </w:r>
            <w:r w:rsidR="00C51EDA" w:rsidRPr="5D9C0FD8">
              <w:rPr>
                <w:color w:val="auto"/>
              </w:rPr>
              <w:t>earning (MEL)</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Pr>
          <w:p w14:paraId="15215674" w14:textId="77777777" w:rsidR="00571B58" w:rsidRPr="00D90E36" w:rsidRDefault="00571B58">
            <w:pPr>
              <w:pStyle w:val="BodyText"/>
              <w:rPr>
                <w:color w:val="auto"/>
              </w:rPr>
            </w:pPr>
          </w:p>
        </w:tc>
      </w:tr>
      <w:tr w:rsidR="00571B58" w:rsidRPr="00D90E36" w14:paraId="34E06FCA" w14:textId="77777777" w:rsidTr="5D9C0FD8">
        <w:trPr>
          <w:cantSplit/>
          <w:trHeight w:val="351"/>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Mar>
              <w:top w:w="28" w:type="dxa"/>
              <w:left w:w="108" w:type="dxa"/>
              <w:bottom w:w="28" w:type="dxa"/>
              <w:right w:w="108" w:type="dxa"/>
            </w:tcMar>
          </w:tcPr>
          <w:p w14:paraId="4D83BBE9" w14:textId="77777777" w:rsidR="00571B58" w:rsidRPr="00D90E36" w:rsidRDefault="00571B58" w:rsidP="00571B58">
            <w:pPr>
              <w:pStyle w:val="BodyText"/>
              <w:numPr>
                <w:ilvl w:val="0"/>
                <w:numId w:val="68"/>
              </w:numPr>
              <w:rPr>
                <w:b/>
                <w:color w:val="auto"/>
              </w:rPr>
            </w:pPr>
            <w:r w:rsidRPr="00D90E36">
              <w:rPr>
                <w:color w:val="auto"/>
              </w:rPr>
              <w:t>Sustainability</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Pr>
          <w:p w14:paraId="51CCB249" w14:textId="77777777" w:rsidR="00571B58" w:rsidRPr="00D90E36" w:rsidRDefault="00571B58">
            <w:pPr>
              <w:pStyle w:val="BodyText"/>
              <w:rPr>
                <w:b/>
                <w:color w:val="auto"/>
              </w:rPr>
            </w:pPr>
          </w:p>
        </w:tc>
      </w:tr>
      <w:tr w:rsidR="00571B58" w:rsidRPr="00D90E36" w14:paraId="281C4508" w14:textId="77777777" w:rsidTr="5D9C0FD8">
        <w:trPr>
          <w:cantSplit/>
          <w:trHeight w:val="351"/>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Mar>
              <w:top w:w="28" w:type="dxa"/>
              <w:left w:w="108" w:type="dxa"/>
              <w:bottom w:w="28" w:type="dxa"/>
              <w:right w:w="108" w:type="dxa"/>
            </w:tcMar>
          </w:tcPr>
          <w:p w14:paraId="212D66FC" w14:textId="77777777" w:rsidR="00571B58" w:rsidRPr="00D90E36" w:rsidRDefault="00571B58" w:rsidP="00571B58">
            <w:pPr>
              <w:pStyle w:val="BodyText"/>
              <w:numPr>
                <w:ilvl w:val="0"/>
                <w:numId w:val="68"/>
              </w:numPr>
              <w:rPr>
                <w:color w:val="auto"/>
              </w:rPr>
            </w:pPr>
            <w:r w:rsidRPr="00D90E36">
              <w:rPr>
                <w:color w:val="auto"/>
              </w:rPr>
              <w:t xml:space="preserve">Gender equality </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Pr>
          <w:p w14:paraId="65D499C7" w14:textId="77777777" w:rsidR="00571B58" w:rsidRPr="00D90E36" w:rsidRDefault="00571B58">
            <w:pPr>
              <w:pStyle w:val="BodyText"/>
              <w:rPr>
                <w:b/>
                <w:color w:val="auto"/>
              </w:rPr>
            </w:pPr>
          </w:p>
        </w:tc>
      </w:tr>
      <w:tr w:rsidR="00571B58" w:rsidRPr="00D90E36" w14:paraId="24235BCF" w14:textId="77777777" w:rsidTr="5D9C0FD8">
        <w:trPr>
          <w:cantSplit/>
          <w:trHeight w:val="351"/>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Mar>
              <w:top w:w="28" w:type="dxa"/>
              <w:left w:w="108" w:type="dxa"/>
              <w:bottom w:w="28" w:type="dxa"/>
              <w:right w:w="108" w:type="dxa"/>
            </w:tcMar>
          </w:tcPr>
          <w:p w14:paraId="5F91004C" w14:textId="1E180536" w:rsidR="00571B58" w:rsidRPr="00D90E36" w:rsidRDefault="00571B58" w:rsidP="00571B58">
            <w:pPr>
              <w:pStyle w:val="BodyText"/>
              <w:numPr>
                <w:ilvl w:val="0"/>
                <w:numId w:val="68"/>
              </w:numPr>
              <w:rPr>
                <w:color w:val="auto"/>
              </w:rPr>
            </w:pPr>
            <w:r>
              <w:rPr>
                <w:color w:val="auto"/>
              </w:rPr>
              <w:t>Cross-cutting issues (including disability inclusion, social inclusion, climate change, innovation</w:t>
            </w:r>
            <w:r w:rsidR="008A4329">
              <w:rPr>
                <w:color w:val="auto"/>
              </w:rPr>
              <w:t>,</w:t>
            </w:r>
            <w:r>
              <w:rPr>
                <w:color w:val="auto"/>
              </w:rPr>
              <w:t xml:space="preserve"> and private sector)</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Pr>
          <w:p w14:paraId="58C54CE2" w14:textId="77777777" w:rsidR="00571B58" w:rsidRPr="00D90E36" w:rsidRDefault="00571B58">
            <w:pPr>
              <w:pStyle w:val="BodyText"/>
              <w:rPr>
                <w:b/>
                <w:color w:val="auto"/>
              </w:rPr>
            </w:pPr>
          </w:p>
        </w:tc>
      </w:tr>
      <w:tr w:rsidR="00571B58" w:rsidRPr="00D90E36" w14:paraId="7A620CBF" w14:textId="77777777" w:rsidTr="5D9C0FD8">
        <w:trPr>
          <w:cantSplit/>
          <w:trHeight w:val="351"/>
        </w:trPr>
        <w:tc>
          <w:tcPr>
            <w:tcW w:w="6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Mar>
              <w:top w:w="28" w:type="dxa"/>
              <w:left w:w="108" w:type="dxa"/>
              <w:bottom w:w="28" w:type="dxa"/>
              <w:right w:w="108" w:type="dxa"/>
            </w:tcMar>
          </w:tcPr>
          <w:p w14:paraId="7B85E8A4" w14:textId="77777777" w:rsidR="00571B58" w:rsidRPr="00D90E36" w:rsidRDefault="00571B58" w:rsidP="00571B58">
            <w:pPr>
              <w:pStyle w:val="BodyText"/>
              <w:numPr>
                <w:ilvl w:val="0"/>
                <w:numId w:val="68"/>
              </w:numPr>
              <w:rPr>
                <w:color w:val="auto"/>
              </w:rPr>
            </w:pPr>
            <w:r w:rsidRPr="00D90E36">
              <w:rPr>
                <w:color w:val="auto"/>
              </w:rPr>
              <w:t>Risk management and safeguards</w:t>
            </w:r>
          </w:p>
        </w:tc>
        <w:tc>
          <w:tcPr>
            <w:tcW w:w="18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4EAF3" w:themeFill="accent1" w:themeFillTint="33"/>
          </w:tcPr>
          <w:p w14:paraId="5B3AD09D" w14:textId="77777777" w:rsidR="00571B58" w:rsidRPr="00D90E36" w:rsidRDefault="00571B58">
            <w:pPr>
              <w:pStyle w:val="BodyText"/>
              <w:rPr>
                <w:b/>
                <w:color w:val="auto"/>
              </w:rPr>
            </w:pPr>
          </w:p>
        </w:tc>
      </w:tr>
    </w:tbl>
    <w:p w14:paraId="63B39545" w14:textId="77777777" w:rsidR="00AE1744" w:rsidRPr="00D90E36" w:rsidRDefault="00AE1744" w:rsidP="00D54595">
      <w:pPr>
        <w:rPr>
          <w:b/>
          <w:color w:val="auto"/>
        </w:rPr>
      </w:pPr>
    </w:p>
    <w:p w14:paraId="7EBB6E35" w14:textId="77777777" w:rsidR="00571B58" w:rsidRDefault="00571B58">
      <w:pPr>
        <w:suppressAutoHyphens w:val="0"/>
        <w:spacing w:before="0" w:after="120" w:line="440" w:lineRule="atLeast"/>
        <w:rPr>
          <w:rFonts w:eastAsiaTheme="majorEastAsia" w:cstheme="majorBidi"/>
          <w:b/>
          <w:caps/>
          <w:color w:val="auto"/>
          <w:sz w:val="38"/>
          <w:szCs w:val="26"/>
        </w:rPr>
      </w:pPr>
      <w:r>
        <w:rPr>
          <w:b/>
          <w:color w:val="auto"/>
        </w:rPr>
        <w:br w:type="page"/>
      </w:r>
    </w:p>
    <w:p w14:paraId="21BEA286" w14:textId="2786DFE7" w:rsidR="00D7137B" w:rsidRPr="00E07BFD" w:rsidRDefault="00A13CEA" w:rsidP="00E07BFD">
      <w:pPr>
        <w:pStyle w:val="Heading2"/>
      </w:pPr>
      <w:r w:rsidRPr="00E07BFD">
        <w:rPr>
          <w:caps w:val="0"/>
        </w:rPr>
        <w:lastRenderedPageBreak/>
        <w:t>Independent Appraisal / Formal Peer Review Comments</w:t>
      </w:r>
    </w:p>
    <w:p w14:paraId="296DA2AE" w14:textId="6122F7FE" w:rsidR="00D7137B" w:rsidRPr="00D90E36" w:rsidRDefault="009C101A" w:rsidP="00E827CC">
      <w:pPr>
        <w:ind w:left="-142"/>
        <w:rPr>
          <w:color w:val="auto"/>
        </w:rPr>
      </w:pPr>
      <w:r w:rsidRPr="00D90E36">
        <w:rPr>
          <w:color w:val="auto"/>
        </w:rPr>
        <w:t xml:space="preserve">Appraisers and formal peer reviewers should provide </w:t>
      </w:r>
      <w:r w:rsidR="00DE315F" w:rsidRPr="00D90E36">
        <w:rPr>
          <w:color w:val="auto"/>
        </w:rPr>
        <w:t xml:space="preserve">comments to support a rating – usually 1-3 paragraphs </w:t>
      </w:r>
      <w:r w:rsidR="00CB6674" w:rsidRPr="00D90E36">
        <w:rPr>
          <w:color w:val="auto"/>
        </w:rPr>
        <w:t>are</w:t>
      </w:r>
      <w:r w:rsidR="00DE315F" w:rsidRPr="00D90E36">
        <w:rPr>
          <w:color w:val="auto"/>
        </w:rPr>
        <w:t xml:space="preserve"> sufficient) and, if needed, describe </w:t>
      </w:r>
      <w:r w:rsidR="009629F0" w:rsidRPr="00D90E36">
        <w:rPr>
          <w:color w:val="auto"/>
        </w:rPr>
        <w:t>what action are required to improve the rating.</w:t>
      </w:r>
    </w:p>
    <w:p w14:paraId="5BBA039E" w14:textId="77777777" w:rsidR="00F22D5F" w:rsidRPr="00D90E36" w:rsidRDefault="00F22D5F" w:rsidP="00F22D5F">
      <w:pPr>
        <w:pStyle w:val="BodyText"/>
        <w:numPr>
          <w:ilvl w:val="0"/>
          <w:numId w:val="35"/>
        </w:numPr>
        <w:ind w:left="314" w:hanging="284"/>
        <w:rPr>
          <w:b/>
          <w:bCs/>
          <w:color w:val="auto"/>
        </w:rPr>
      </w:pPr>
      <w:r w:rsidRPr="00D90E36">
        <w:rPr>
          <w:b/>
          <w:color w:val="auto"/>
          <w:szCs w:val="20"/>
        </w:rPr>
        <w:t xml:space="preserve">Relevance: </w:t>
      </w:r>
      <w:r w:rsidRPr="00D90E36">
        <w:rPr>
          <w:color w:val="auto"/>
        </w:rPr>
        <w:t>how well does the design explain why DFAT should make this investment, and the evidence underpinning this rationale?</w:t>
      </w:r>
    </w:p>
    <w:p w14:paraId="0A29AFD9" w14:textId="77777777" w:rsidR="00F22D5F" w:rsidRPr="000246A6" w:rsidRDefault="00F22D5F" w:rsidP="00F22D5F">
      <w:pPr>
        <w:spacing w:before="0" w:after="0"/>
        <w:ind w:firstLine="314"/>
        <w:rPr>
          <w:rFonts w:cs="Arial"/>
          <w:color w:val="auto"/>
          <w:szCs w:val="20"/>
        </w:rPr>
      </w:pPr>
      <w:r w:rsidRPr="00D90E36">
        <w:rPr>
          <w:rFonts w:cs="Arial"/>
          <w:b/>
          <w:bCs/>
          <w:color w:val="auto"/>
          <w:szCs w:val="20"/>
        </w:rPr>
        <w:t>Score:</w:t>
      </w:r>
      <w:r w:rsidRPr="000246A6">
        <w:rPr>
          <w:rFonts w:cs="Arial"/>
          <w:color w:val="auto"/>
          <w:szCs w:val="20"/>
        </w:rPr>
        <w:t xml:space="preserve"> </w:t>
      </w:r>
    </w:p>
    <w:p w14:paraId="7C4BDD70" w14:textId="77777777" w:rsidR="00F22D5F" w:rsidRPr="00D90E36" w:rsidRDefault="00F22D5F" w:rsidP="00F22D5F">
      <w:pPr>
        <w:spacing w:before="0" w:after="0"/>
        <w:ind w:firstLine="314"/>
        <w:rPr>
          <w:rFonts w:cs="Arial"/>
          <w:b/>
          <w:bCs/>
          <w:color w:val="auto"/>
          <w:szCs w:val="20"/>
        </w:rPr>
      </w:pPr>
      <w:r w:rsidRPr="00D90E36">
        <w:rPr>
          <w:rFonts w:cs="Arial"/>
          <w:b/>
          <w:bCs/>
          <w:color w:val="auto"/>
          <w:szCs w:val="20"/>
        </w:rPr>
        <w:t>Comments:</w:t>
      </w:r>
      <w:r w:rsidRPr="008833CC">
        <w:rPr>
          <w:rFonts w:cs="Arial"/>
          <w:color w:val="auto"/>
          <w:szCs w:val="20"/>
        </w:rPr>
        <w:t xml:space="preserve"> </w:t>
      </w:r>
    </w:p>
    <w:p w14:paraId="057B0814" w14:textId="77777777" w:rsidR="00F22D5F" w:rsidRDefault="00F22D5F" w:rsidP="00F22D5F">
      <w:pPr>
        <w:spacing w:before="0" w:after="0"/>
        <w:ind w:firstLine="314"/>
        <w:rPr>
          <w:rFonts w:cs="Arial"/>
          <w:b/>
          <w:bCs/>
          <w:color w:val="auto"/>
          <w:szCs w:val="20"/>
        </w:rPr>
      </w:pPr>
      <w:r w:rsidRPr="00D90E36">
        <w:rPr>
          <w:rFonts w:cs="Arial"/>
          <w:b/>
          <w:bCs/>
          <w:color w:val="auto"/>
          <w:szCs w:val="20"/>
        </w:rPr>
        <w:t>Actions:</w:t>
      </w:r>
      <w:r w:rsidRPr="008833CC">
        <w:rPr>
          <w:rFonts w:cs="Arial"/>
          <w:color w:val="auto"/>
          <w:szCs w:val="20"/>
        </w:rPr>
        <w:t xml:space="preserve"> </w:t>
      </w:r>
    </w:p>
    <w:p w14:paraId="5EBEBD36" w14:textId="77777777" w:rsidR="00F22D5F" w:rsidRPr="00D90E36" w:rsidRDefault="00F22D5F" w:rsidP="00F22D5F">
      <w:pPr>
        <w:pStyle w:val="BodyText"/>
        <w:numPr>
          <w:ilvl w:val="0"/>
          <w:numId w:val="35"/>
        </w:numPr>
        <w:ind w:left="314" w:hanging="284"/>
        <w:rPr>
          <w:b/>
          <w:bCs/>
          <w:color w:val="auto"/>
        </w:rPr>
      </w:pPr>
      <w:r w:rsidRPr="00D90E36">
        <w:rPr>
          <w:b/>
          <w:color w:val="auto"/>
          <w:szCs w:val="20"/>
        </w:rPr>
        <w:t xml:space="preserve">Effectiveness: </w:t>
      </w:r>
      <w:r w:rsidRPr="00D90E36">
        <w:rPr>
          <w:color w:val="auto"/>
          <w:szCs w:val="20"/>
        </w:rPr>
        <w:t>does the design clearly describe end of program and intermediate outcomes, and a strong program logic? Are the policy dialogue arrangements clear to leverage reform?</w:t>
      </w:r>
    </w:p>
    <w:p w14:paraId="566DAA7D" w14:textId="77777777" w:rsidR="00F22D5F" w:rsidRPr="00D90E36" w:rsidRDefault="00F22D5F" w:rsidP="00F22D5F">
      <w:pPr>
        <w:spacing w:before="0" w:after="0"/>
        <w:ind w:firstLine="314"/>
        <w:rPr>
          <w:rFonts w:cs="Arial"/>
          <w:b/>
          <w:bCs/>
          <w:color w:val="auto"/>
          <w:szCs w:val="20"/>
        </w:rPr>
      </w:pPr>
      <w:r w:rsidRPr="00D90E36">
        <w:rPr>
          <w:rFonts w:cs="Arial"/>
          <w:b/>
          <w:bCs/>
          <w:color w:val="auto"/>
          <w:szCs w:val="20"/>
        </w:rPr>
        <w:t>Score:</w:t>
      </w:r>
      <w:r w:rsidRPr="008833CC">
        <w:rPr>
          <w:rFonts w:cs="Arial"/>
          <w:color w:val="auto"/>
          <w:szCs w:val="20"/>
        </w:rPr>
        <w:t xml:space="preserve"> </w:t>
      </w:r>
      <w:r w:rsidRPr="00D90E36">
        <w:rPr>
          <w:rFonts w:cs="Arial"/>
          <w:b/>
          <w:bCs/>
          <w:color w:val="auto"/>
          <w:szCs w:val="20"/>
        </w:rPr>
        <w:t xml:space="preserve"> </w:t>
      </w:r>
    </w:p>
    <w:p w14:paraId="48327080" w14:textId="77777777" w:rsidR="00F22D5F" w:rsidRPr="00D90E36" w:rsidRDefault="00F22D5F" w:rsidP="00F22D5F">
      <w:pPr>
        <w:spacing w:before="0" w:after="0"/>
        <w:ind w:firstLine="314"/>
        <w:rPr>
          <w:rFonts w:cs="Arial"/>
          <w:b/>
          <w:bCs/>
          <w:color w:val="auto"/>
          <w:szCs w:val="20"/>
        </w:rPr>
      </w:pPr>
      <w:r w:rsidRPr="00D90E36">
        <w:rPr>
          <w:rFonts w:cs="Arial"/>
          <w:b/>
          <w:bCs/>
          <w:color w:val="auto"/>
          <w:szCs w:val="20"/>
        </w:rPr>
        <w:t>Comments:</w:t>
      </w:r>
      <w:r w:rsidRPr="008833CC">
        <w:rPr>
          <w:rFonts w:cs="Arial"/>
          <w:color w:val="auto"/>
          <w:szCs w:val="20"/>
        </w:rPr>
        <w:t xml:space="preserve"> </w:t>
      </w:r>
    </w:p>
    <w:p w14:paraId="5212B857" w14:textId="77777777" w:rsidR="00F22D5F" w:rsidRDefault="00F22D5F" w:rsidP="00F22D5F">
      <w:pPr>
        <w:spacing w:before="0" w:after="0"/>
        <w:ind w:firstLine="314"/>
        <w:rPr>
          <w:rFonts w:cs="Arial"/>
          <w:b/>
          <w:bCs/>
          <w:color w:val="auto"/>
          <w:szCs w:val="20"/>
        </w:rPr>
      </w:pPr>
      <w:r w:rsidRPr="00D90E36">
        <w:rPr>
          <w:rFonts w:cs="Arial"/>
          <w:b/>
          <w:bCs/>
          <w:color w:val="auto"/>
          <w:szCs w:val="20"/>
        </w:rPr>
        <w:t>Actions:</w:t>
      </w:r>
      <w:r w:rsidRPr="008833CC">
        <w:rPr>
          <w:rFonts w:cs="Arial"/>
          <w:color w:val="auto"/>
          <w:szCs w:val="20"/>
        </w:rPr>
        <w:t xml:space="preserve"> </w:t>
      </w:r>
    </w:p>
    <w:p w14:paraId="5488842E" w14:textId="77777777" w:rsidR="00F22D5F" w:rsidRPr="00D90E36" w:rsidRDefault="00F22D5F" w:rsidP="00F22D5F">
      <w:pPr>
        <w:pStyle w:val="BodyText"/>
        <w:numPr>
          <w:ilvl w:val="0"/>
          <w:numId w:val="35"/>
        </w:numPr>
        <w:ind w:left="314" w:hanging="284"/>
        <w:rPr>
          <w:bCs/>
          <w:color w:val="auto"/>
          <w:szCs w:val="20"/>
        </w:rPr>
      </w:pPr>
      <w:r w:rsidRPr="00D90E36">
        <w:rPr>
          <w:b/>
          <w:color w:val="auto"/>
          <w:szCs w:val="20"/>
        </w:rPr>
        <w:t>Efficiency:</w:t>
      </w:r>
      <w:r w:rsidRPr="00D90E36">
        <w:rPr>
          <w:bCs/>
          <w:color w:val="auto"/>
          <w:szCs w:val="20"/>
        </w:rPr>
        <w:t xml:space="preserve"> will the investment demonstrate value for money, and will it be an economical and ethical use of Australia’s (and other partners’) resources? </w:t>
      </w:r>
      <w:r w:rsidRPr="00D90E36">
        <w:rPr>
          <w:color w:val="auto"/>
          <w:szCs w:val="20"/>
        </w:rPr>
        <w:t>Will governance and management arrangements enable effective implementation of the investment?</w:t>
      </w:r>
    </w:p>
    <w:p w14:paraId="1443CD4D" w14:textId="77777777" w:rsidR="00F22D5F" w:rsidRPr="00D90E36" w:rsidRDefault="00F22D5F" w:rsidP="00F22D5F">
      <w:pPr>
        <w:spacing w:before="0" w:after="0"/>
        <w:ind w:firstLine="314"/>
        <w:rPr>
          <w:rFonts w:cs="Arial"/>
          <w:b/>
          <w:bCs/>
          <w:color w:val="auto"/>
          <w:szCs w:val="20"/>
        </w:rPr>
      </w:pPr>
      <w:r w:rsidRPr="00D90E36">
        <w:rPr>
          <w:rFonts w:cs="Arial"/>
          <w:b/>
          <w:bCs/>
          <w:color w:val="auto"/>
          <w:szCs w:val="20"/>
        </w:rPr>
        <w:t>Score:</w:t>
      </w:r>
      <w:r w:rsidRPr="008833CC">
        <w:rPr>
          <w:rFonts w:cs="Arial"/>
          <w:color w:val="auto"/>
          <w:szCs w:val="20"/>
        </w:rPr>
        <w:t xml:space="preserve"> </w:t>
      </w:r>
    </w:p>
    <w:p w14:paraId="0827CEBB" w14:textId="77777777" w:rsidR="00F22D5F" w:rsidRPr="00D90E36" w:rsidRDefault="00F22D5F" w:rsidP="00F22D5F">
      <w:pPr>
        <w:spacing w:before="0" w:after="0"/>
        <w:ind w:firstLine="314"/>
        <w:rPr>
          <w:rFonts w:cs="Arial"/>
          <w:b/>
          <w:bCs/>
          <w:color w:val="auto"/>
          <w:szCs w:val="20"/>
        </w:rPr>
      </w:pPr>
      <w:r w:rsidRPr="00D90E36">
        <w:rPr>
          <w:rFonts w:cs="Arial"/>
          <w:b/>
          <w:bCs/>
          <w:color w:val="auto"/>
          <w:szCs w:val="20"/>
        </w:rPr>
        <w:t>Comments:</w:t>
      </w:r>
      <w:r w:rsidRPr="008833CC">
        <w:rPr>
          <w:rFonts w:cs="Arial"/>
          <w:color w:val="auto"/>
          <w:szCs w:val="20"/>
        </w:rPr>
        <w:t xml:space="preserve"> </w:t>
      </w:r>
    </w:p>
    <w:p w14:paraId="7A32818B" w14:textId="77777777" w:rsidR="00F22D5F" w:rsidRDefault="00F22D5F" w:rsidP="00F22D5F">
      <w:pPr>
        <w:spacing w:before="0" w:after="0"/>
        <w:ind w:firstLine="314"/>
        <w:rPr>
          <w:rFonts w:cs="Arial"/>
          <w:b/>
          <w:bCs/>
          <w:color w:val="auto"/>
          <w:szCs w:val="20"/>
        </w:rPr>
      </w:pPr>
      <w:r w:rsidRPr="00D90E36">
        <w:rPr>
          <w:rFonts w:cs="Arial"/>
          <w:b/>
          <w:bCs/>
          <w:color w:val="auto"/>
          <w:szCs w:val="20"/>
        </w:rPr>
        <w:t>Actions:</w:t>
      </w:r>
      <w:r w:rsidRPr="008833CC">
        <w:rPr>
          <w:rFonts w:cs="Arial"/>
          <w:color w:val="auto"/>
          <w:szCs w:val="20"/>
        </w:rPr>
        <w:t xml:space="preserve"> </w:t>
      </w:r>
    </w:p>
    <w:p w14:paraId="76DC259D" w14:textId="25082C09" w:rsidR="00F22D5F" w:rsidRPr="00D90E36" w:rsidRDefault="00F22D5F" w:rsidP="00F22D5F">
      <w:pPr>
        <w:pStyle w:val="BodyText"/>
        <w:numPr>
          <w:ilvl w:val="0"/>
          <w:numId w:val="35"/>
        </w:numPr>
        <w:ind w:left="314" w:hanging="284"/>
        <w:rPr>
          <w:b/>
          <w:bCs/>
          <w:color w:val="auto"/>
        </w:rPr>
      </w:pPr>
      <w:r w:rsidRPr="5D9C0FD8">
        <w:rPr>
          <w:b/>
          <w:bCs/>
          <w:color w:val="auto"/>
        </w:rPr>
        <w:t>Monitoring</w:t>
      </w:r>
      <w:r w:rsidR="009335F5" w:rsidRPr="5D9C0FD8">
        <w:rPr>
          <w:b/>
          <w:bCs/>
          <w:color w:val="auto"/>
        </w:rPr>
        <w:t xml:space="preserve">, </w:t>
      </w:r>
      <w:r w:rsidR="44D8FA00" w:rsidRPr="5D9C0FD8">
        <w:rPr>
          <w:b/>
          <w:bCs/>
          <w:color w:val="auto"/>
        </w:rPr>
        <w:t>E</w:t>
      </w:r>
      <w:r w:rsidRPr="5D9C0FD8">
        <w:rPr>
          <w:b/>
          <w:bCs/>
          <w:color w:val="auto"/>
        </w:rPr>
        <w:t>valuation</w:t>
      </w:r>
      <w:r w:rsidR="009335F5" w:rsidRPr="5D9C0FD8">
        <w:rPr>
          <w:b/>
          <w:bCs/>
          <w:color w:val="auto"/>
        </w:rPr>
        <w:t xml:space="preserve"> and </w:t>
      </w:r>
      <w:r w:rsidR="60FF3C14" w:rsidRPr="5D9C0FD8">
        <w:rPr>
          <w:b/>
          <w:bCs/>
          <w:color w:val="auto"/>
        </w:rPr>
        <w:t>L</w:t>
      </w:r>
      <w:r w:rsidR="009335F5" w:rsidRPr="5D9C0FD8">
        <w:rPr>
          <w:b/>
          <w:bCs/>
          <w:color w:val="auto"/>
        </w:rPr>
        <w:t>earning (MEL)</w:t>
      </w:r>
      <w:r w:rsidRPr="5D9C0FD8">
        <w:rPr>
          <w:b/>
          <w:bCs/>
          <w:color w:val="auto"/>
        </w:rPr>
        <w:t>:</w:t>
      </w:r>
      <w:r w:rsidRPr="5D9C0FD8">
        <w:rPr>
          <w:rStyle w:val="Strong"/>
          <w:color w:val="auto"/>
        </w:rPr>
        <w:t xml:space="preserve"> </w:t>
      </w:r>
      <w:r w:rsidRPr="5D9C0FD8">
        <w:rPr>
          <w:color w:val="auto"/>
        </w:rPr>
        <w:t xml:space="preserve">are </w:t>
      </w:r>
      <w:r w:rsidR="009335F5" w:rsidRPr="5D9C0FD8">
        <w:rPr>
          <w:color w:val="auto"/>
        </w:rPr>
        <w:t>MEL</w:t>
      </w:r>
      <w:r w:rsidRPr="5D9C0FD8">
        <w:rPr>
          <w:color w:val="auto"/>
        </w:rPr>
        <w:t xml:space="preserve"> arrangements appropriate for measuring progress towards expected outcomes? </w:t>
      </w:r>
    </w:p>
    <w:p w14:paraId="769BFB15" w14:textId="77777777" w:rsidR="00F22D5F" w:rsidRPr="00D90E36" w:rsidRDefault="00F22D5F" w:rsidP="00F22D5F">
      <w:pPr>
        <w:spacing w:before="0" w:after="0"/>
        <w:ind w:firstLine="314"/>
        <w:rPr>
          <w:rFonts w:cs="Arial"/>
          <w:b/>
          <w:bCs/>
          <w:color w:val="auto"/>
          <w:szCs w:val="20"/>
        </w:rPr>
      </w:pPr>
      <w:r w:rsidRPr="00D90E36">
        <w:rPr>
          <w:rFonts w:cs="Arial"/>
          <w:b/>
          <w:bCs/>
          <w:color w:val="auto"/>
          <w:szCs w:val="20"/>
        </w:rPr>
        <w:t>Score:</w:t>
      </w:r>
      <w:r w:rsidRPr="008833CC">
        <w:rPr>
          <w:rFonts w:cs="Arial"/>
          <w:color w:val="auto"/>
          <w:szCs w:val="20"/>
        </w:rPr>
        <w:t xml:space="preserve"> </w:t>
      </w:r>
    </w:p>
    <w:p w14:paraId="58FC48FE" w14:textId="77777777" w:rsidR="00F22D5F" w:rsidRPr="00D90E36" w:rsidRDefault="00F22D5F" w:rsidP="00F22D5F">
      <w:pPr>
        <w:spacing w:before="0" w:after="0"/>
        <w:ind w:firstLine="314"/>
        <w:rPr>
          <w:rFonts w:cs="Arial"/>
          <w:b/>
          <w:bCs/>
          <w:color w:val="auto"/>
          <w:szCs w:val="20"/>
        </w:rPr>
      </w:pPr>
      <w:r w:rsidRPr="00D90E36">
        <w:rPr>
          <w:rFonts w:cs="Arial"/>
          <w:b/>
          <w:bCs/>
          <w:color w:val="auto"/>
          <w:szCs w:val="20"/>
        </w:rPr>
        <w:t>Comments:</w:t>
      </w:r>
      <w:r w:rsidRPr="008833CC">
        <w:rPr>
          <w:rFonts w:cs="Arial"/>
          <w:color w:val="auto"/>
          <w:szCs w:val="20"/>
        </w:rPr>
        <w:t xml:space="preserve"> </w:t>
      </w:r>
    </w:p>
    <w:p w14:paraId="6189158F" w14:textId="77777777" w:rsidR="00F22D5F" w:rsidRDefault="00F22D5F" w:rsidP="00F22D5F">
      <w:pPr>
        <w:spacing w:before="0" w:after="0"/>
        <w:ind w:firstLine="314"/>
        <w:rPr>
          <w:rFonts w:cs="Arial"/>
          <w:b/>
          <w:bCs/>
          <w:color w:val="auto"/>
          <w:szCs w:val="20"/>
        </w:rPr>
      </w:pPr>
      <w:r w:rsidRPr="00D90E36">
        <w:rPr>
          <w:rFonts w:cs="Arial"/>
          <w:b/>
          <w:bCs/>
          <w:color w:val="auto"/>
          <w:szCs w:val="20"/>
        </w:rPr>
        <w:t>Actions:</w:t>
      </w:r>
      <w:r w:rsidRPr="008833CC">
        <w:rPr>
          <w:rFonts w:cs="Arial"/>
          <w:color w:val="auto"/>
          <w:szCs w:val="20"/>
        </w:rPr>
        <w:t xml:space="preserve"> </w:t>
      </w:r>
    </w:p>
    <w:p w14:paraId="021D359E" w14:textId="77777777" w:rsidR="00F22D5F" w:rsidRPr="00D90E36" w:rsidRDefault="00F22D5F" w:rsidP="00F22D5F">
      <w:pPr>
        <w:pStyle w:val="BodyText"/>
        <w:numPr>
          <w:ilvl w:val="0"/>
          <w:numId w:val="35"/>
        </w:numPr>
        <w:ind w:left="314" w:hanging="284"/>
        <w:rPr>
          <w:b/>
          <w:bCs/>
          <w:color w:val="auto"/>
        </w:rPr>
      </w:pPr>
      <w:r w:rsidRPr="00D90E36">
        <w:rPr>
          <w:b/>
          <w:color w:val="auto"/>
          <w:szCs w:val="20"/>
        </w:rPr>
        <w:t>Sustainability:</w:t>
      </w:r>
      <w:r w:rsidRPr="00D90E36">
        <w:rPr>
          <w:rStyle w:val="Strong"/>
          <w:color w:val="auto"/>
        </w:rPr>
        <w:t xml:space="preserve"> </w:t>
      </w:r>
      <w:r w:rsidRPr="00D90E36">
        <w:rPr>
          <w:color w:val="auto"/>
          <w:szCs w:val="20"/>
        </w:rPr>
        <w:t>will expected benefits be long-lasting, and institutionalised through local systems?</w:t>
      </w:r>
    </w:p>
    <w:p w14:paraId="0AA836E0"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Score: </w:t>
      </w:r>
    </w:p>
    <w:p w14:paraId="724DDECD"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Comments: </w:t>
      </w:r>
    </w:p>
    <w:p w14:paraId="30695DDA"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Actions: </w:t>
      </w:r>
    </w:p>
    <w:p w14:paraId="1587ABAF" w14:textId="77777777" w:rsidR="00F22D5F" w:rsidRPr="00D90E36" w:rsidRDefault="00F22D5F" w:rsidP="00F22D5F">
      <w:pPr>
        <w:pStyle w:val="BodyText"/>
        <w:numPr>
          <w:ilvl w:val="0"/>
          <w:numId w:val="35"/>
        </w:numPr>
        <w:ind w:left="314" w:hanging="284"/>
        <w:rPr>
          <w:b/>
          <w:color w:val="auto"/>
          <w:szCs w:val="20"/>
        </w:rPr>
      </w:pPr>
      <w:r w:rsidRPr="00D90E36">
        <w:rPr>
          <w:b/>
          <w:color w:val="auto"/>
          <w:szCs w:val="20"/>
        </w:rPr>
        <w:t>Gender equality:</w:t>
      </w:r>
      <w:r w:rsidRPr="00D90E36">
        <w:rPr>
          <w:bCs/>
          <w:szCs w:val="20"/>
        </w:rPr>
        <w:t xml:space="preserve"> </w:t>
      </w:r>
      <w:r w:rsidRPr="00D90E36">
        <w:rPr>
          <w:color w:val="auto"/>
          <w:szCs w:val="20"/>
        </w:rPr>
        <w:t>how well does the design address gender equality?</w:t>
      </w:r>
    </w:p>
    <w:p w14:paraId="7D54256B"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Score: </w:t>
      </w:r>
    </w:p>
    <w:p w14:paraId="202C6399"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Comments: </w:t>
      </w:r>
    </w:p>
    <w:p w14:paraId="61F5A372"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Actions: </w:t>
      </w:r>
    </w:p>
    <w:p w14:paraId="44A25D8E" w14:textId="4069A081" w:rsidR="00F22D5F" w:rsidRPr="007832A1" w:rsidRDefault="00F22D5F" w:rsidP="00F22D5F">
      <w:pPr>
        <w:pStyle w:val="ListParagraph"/>
        <w:numPr>
          <w:ilvl w:val="0"/>
          <w:numId w:val="35"/>
        </w:numPr>
        <w:spacing w:before="0" w:after="0"/>
        <w:ind w:left="360"/>
        <w:rPr>
          <w:b/>
          <w:bCs/>
          <w:color w:val="auto"/>
        </w:rPr>
      </w:pPr>
      <w:r>
        <w:rPr>
          <w:b/>
          <w:color w:val="auto"/>
          <w:szCs w:val="20"/>
        </w:rPr>
        <w:t>Cross-cutting issues</w:t>
      </w:r>
      <w:r w:rsidRPr="007832A1">
        <w:rPr>
          <w:b/>
          <w:color w:val="auto"/>
          <w:szCs w:val="20"/>
        </w:rPr>
        <w:t>:</w:t>
      </w:r>
      <w:r w:rsidRPr="007832A1">
        <w:rPr>
          <w:rStyle w:val="Strong"/>
          <w:color w:val="auto"/>
        </w:rPr>
        <w:t xml:space="preserve"> </w:t>
      </w:r>
      <w:r w:rsidRPr="007832A1">
        <w:rPr>
          <w:color w:val="auto"/>
          <w:szCs w:val="20"/>
        </w:rPr>
        <w:t>does the design adequately</w:t>
      </w:r>
      <w:r>
        <w:rPr>
          <w:color w:val="auto"/>
          <w:szCs w:val="20"/>
        </w:rPr>
        <w:t xml:space="preserve"> address disability inclusion, social inclusion, climate change,</w:t>
      </w:r>
      <w:r w:rsidRPr="007832A1">
        <w:rPr>
          <w:color w:val="auto"/>
          <w:szCs w:val="20"/>
        </w:rPr>
        <w:t xml:space="preserve"> innovative approaches</w:t>
      </w:r>
      <w:r w:rsidR="00043E46">
        <w:rPr>
          <w:color w:val="auto"/>
          <w:szCs w:val="20"/>
        </w:rPr>
        <w:t>,</w:t>
      </w:r>
      <w:r w:rsidRPr="007832A1">
        <w:rPr>
          <w:color w:val="auto"/>
          <w:szCs w:val="20"/>
        </w:rPr>
        <w:t xml:space="preserve"> and private sector engagement?</w:t>
      </w:r>
    </w:p>
    <w:p w14:paraId="5FD1414E"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Score: </w:t>
      </w:r>
    </w:p>
    <w:p w14:paraId="79C34179"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Comments: </w:t>
      </w:r>
    </w:p>
    <w:p w14:paraId="52B3ADA0"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Actions: </w:t>
      </w:r>
    </w:p>
    <w:p w14:paraId="57E9B5CF" w14:textId="77777777" w:rsidR="00F22D5F" w:rsidRPr="00D90E36" w:rsidRDefault="00F22D5F" w:rsidP="00F22D5F">
      <w:pPr>
        <w:pStyle w:val="BodyText"/>
        <w:numPr>
          <w:ilvl w:val="0"/>
          <w:numId w:val="35"/>
        </w:numPr>
        <w:ind w:left="360"/>
        <w:rPr>
          <w:b/>
          <w:color w:val="auto"/>
          <w:szCs w:val="20"/>
        </w:rPr>
      </w:pPr>
      <w:r w:rsidRPr="00D90E36">
        <w:rPr>
          <w:b/>
          <w:color w:val="auto"/>
          <w:szCs w:val="20"/>
        </w:rPr>
        <w:t>Risk management and safeguards:</w:t>
      </w:r>
      <w:r w:rsidRPr="00D90E36">
        <w:rPr>
          <w:rStyle w:val="Strong"/>
          <w:color w:val="auto"/>
        </w:rPr>
        <w:t xml:space="preserve"> </w:t>
      </w:r>
      <w:r w:rsidRPr="00D90E36">
        <w:rPr>
          <w:color w:val="auto"/>
          <w:szCs w:val="20"/>
        </w:rPr>
        <w:t>does the design address what could go wrong, and explain appropriate responses?</w:t>
      </w:r>
    </w:p>
    <w:p w14:paraId="6669F225"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Score: </w:t>
      </w:r>
    </w:p>
    <w:p w14:paraId="097B6277" w14:textId="77777777" w:rsidR="00F22D5F" w:rsidRPr="00F22D5F" w:rsidRDefault="00F22D5F" w:rsidP="00F22D5F">
      <w:pPr>
        <w:spacing w:before="0" w:after="0"/>
        <w:ind w:firstLine="314"/>
        <w:rPr>
          <w:rFonts w:cs="Arial"/>
          <w:b/>
          <w:bCs/>
          <w:color w:val="auto"/>
          <w:szCs w:val="20"/>
        </w:rPr>
      </w:pPr>
      <w:r w:rsidRPr="00F22D5F">
        <w:rPr>
          <w:rFonts w:cs="Arial"/>
          <w:b/>
          <w:bCs/>
          <w:color w:val="auto"/>
          <w:szCs w:val="20"/>
        </w:rPr>
        <w:t xml:space="preserve">Comments: </w:t>
      </w:r>
    </w:p>
    <w:p w14:paraId="2B765FB5" w14:textId="598D14AF" w:rsidR="00F22D5F" w:rsidRPr="00D90E36" w:rsidRDefault="00F22D5F" w:rsidP="00F22D5F">
      <w:pPr>
        <w:spacing w:before="0" w:after="0"/>
        <w:ind w:firstLine="314"/>
        <w:rPr>
          <w:rFonts w:cs="Arial"/>
          <w:b/>
          <w:bCs/>
          <w:color w:val="auto"/>
          <w:szCs w:val="20"/>
        </w:rPr>
      </w:pPr>
      <w:r w:rsidRPr="00F22D5F">
        <w:rPr>
          <w:rFonts w:cs="Arial"/>
          <w:b/>
          <w:bCs/>
          <w:color w:val="auto"/>
          <w:szCs w:val="20"/>
        </w:rPr>
        <w:t xml:space="preserve">Actions: </w:t>
      </w:r>
    </w:p>
    <w:p w14:paraId="77425B52" w14:textId="77777777" w:rsidR="00F22D5F" w:rsidRPr="00D90E36" w:rsidRDefault="00F22D5F" w:rsidP="00F22D5F">
      <w:pPr>
        <w:keepNext/>
        <w:suppressAutoHyphens w:val="0"/>
        <w:spacing w:before="0" w:after="0" w:line="240" w:lineRule="auto"/>
        <w:rPr>
          <w:rFonts w:cs="Arial"/>
          <w:b/>
          <w:color w:val="auto"/>
          <w:sz w:val="18"/>
        </w:rPr>
      </w:pPr>
      <w:r w:rsidRPr="00D90E36">
        <w:rPr>
          <w:rFonts w:cs="Arial"/>
          <w:b/>
          <w:color w:val="auto"/>
        </w:rPr>
        <w:t>Other comments or issues for attention</w:t>
      </w:r>
    </w:p>
    <w:p w14:paraId="429F9A8E" w14:textId="77777777" w:rsidR="002A5765" w:rsidRPr="00D90E36" w:rsidRDefault="002A5765" w:rsidP="00D74F8C">
      <w:pPr>
        <w:spacing w:before="0" w:after="0"/>
        <w:rPr>
          <w:rFonts w:cs="Arial"/>
          <w:color w:val="auto"/>
          <w:sz w:val="18"/>
          <w:szCs w:val="18"/>
        </w:rPr>
        <w:sectPr w:rsidR="002A5765" w:rsidRPr="00D90E36" w:rsidSect="00BA421F">
          <w:headerReference w:type="default" r:id="rId10"/>
          <w:footerReference w:type="default" r:id="rId11"/>
          <w:headerReference w:type="first" r:id="rId12"/>
          <w:footerReference w:type="first" r:id="rId13"/>
          <w:pgSz w:w="11906" w:h="16838" w:code="9"/>
          <w:pgMar w:top="1440" w:right="1274" w:bottom="1440" w:left="1560" w:header="227" w:footer="59" w:gutter="0"/>
          <w:cols w:space="708"/>
          <w:docGrid w:linePitch="360"/>
        </w:sectPr>
      </w:pPr>
    </w:p>
    <w:p w14:paraId="2FA3AAD5" w14:textId="16A6B0A4" w:rsidR="002A5765" w:rsidRPr="00E07BFD" w:rsidRDefault="00A13CEA" w:rsidP="00E07BFD">
      <w:pPr>
        <w:pStyle w:val="Heading2"/>
      </w:pPr>
      <w:bookmarkStart w:id="0" w:name="_Hlk142982642"/>
      <w:r w:rsidRPr="00E07BFD">
        <w:rPr>
          <w:caps w:val="0"/>
        </w:rPr>
        <w:lastRenderedPageBreak/>
        <w:t>Investment Design Quality Scoring Matrix</w:t>
      </w:r>
    </w:p>
    <w:bookmarkEnd w:id="0"/>
    <w:p w14:paraId="39EC76CD" w14:textId="77777777" w:rsidR="002E050D" w:rsidRDefault="00465892" w:rsidP="00465892">
      <w:pPr>
        <w:spacing w:after="120" w:line="240" w:lineRule="auto"/>
        <w:ind w:right="283"/>
        <w:rPr>
          <w:rFonts w:eastAsia="Calibri Light" w:cs="Times New Roman"/>
          <w:color w:val="auto"/>
        </w:rPr>
      </w:pPr>
      <w:r w:rsidRPr="00D90E36">
        <w:rPr>
          <w:rFonts w:eastAsia="Calibri Light" w:cs="Times New Roman"/>
          <w:color w:val="auto"/>
        </w:rPr>
        <w:t xml:space="preserve">This matrix sets out DFAT’s expectations for investment design quality, and guidance on the application of scoring for appraisers, peer review chairs and participants, investment managers and delegates. </w:t>
      </w:r>
    </w:p>
    <w:p w14:paraId="55AE4BF1" w14:textId="474B96FE" w:rsidR="00465892" w:rsidRPr="00D90E36" w:rsidRDefault="00465892" w:rsidP="00465892">
      <w:pPr>
        <w:spacing w:after="120" w:line="240" w:lineRule="auto"/>
        <w:ind w:right="283"/>
        <w:rPr>
          <w:rFonts w:eastAsia="Calibri Light" w:cs="Times New Roman"/>
          <w:color w:val="auto"/>
        </w:rPr>
      </w:pPr>
      <w:r>
        <w:rPr>
          <w:rFonts w:eastAsia="Calibri Light" w:cs="Times New Roman"/>
          <w:color w:val="auto"/>
        </w:rPr>
        <w:t>It builds on the</w:t>
      </w:r>
      <w:r w:rsidR="00C050AB">
        <w:rPr>
          <w:rFonts w:eastAsia="Calibri Light" w:cs="Times New Roman"/>
          <w:color w:val="auto"/>
        </w:rPr>
        <w:t xml:space="preserve"> </w:t>
      </w:r>
      <w:hyperlink r:id="rId14" w:history="1">
        <w:r w:rsidR="00C050AB" w:rsidRPr="002E050D">
          <w:rPr>
            <w:rStyle w:val="Hyperlink"/>
            <w:rFonts w:eastAsia="Calibri Light" w:cs="Times New Roman"/>
          </w:rPr>
          <w:t>DFAT Design and Monitoring &amp; Evaluation and Learning Standards</w:t>
        </w:r>
      </w:hyperlink>
      <w:r>
        <w:rPr>
          <w:rFonts w:eastAsia="Calibri Light" w:cs="Times New Roman"/>
          <w:color w:val="auto"/>
        </w:rPr>
        <w:t xml:space="preserve"> </w:t>
      </w:r>
      <w:r w:rsidRPr="008A4329">
        <w:rPr>
          <w:color w:val="auto"/>
        </w:rPr>
        <w:t>(Standard 4: Investment Design)</w:t>
      </w:r>
      <w:r>
        <w:t xml:space="preserve">. </w:t>
      </w:r>
    </w:p>
    <w:p w14:paraId="1AA43F3C" w14:textId="77777777" w:rsidR="00465892" w:rsidRPr="00D90E36" w:rsidRDefault="00465892" w:rsidP="00465892">
      <w:pPr>
        <w:spacing w:after="120" w:line="240" w:lineRule="auto"/>
        <w:ind w:right="283"/>
        <w:rPr>
          <w:rFonts w:eastAsia="Calibri Light" w:cs="Times New Roman"/>
          <w:color w:val="auto"/>
        </w:rPr>
      </w:pPr>
      <w:r w:rsidRPr="00D90E36">
        <w:rPr>
          <w:rFonts w:eastAsia="Calibri Light" w:cs="Times New Roman"/>
          <w:color w:val="auto"/>
        </w:rPr>
        <w:t xml:space="preserve">Investment design quality is scored on six-point scale (below). Each design quality criterion must be scored by each appraiser. When determining a score, reviewers should consider the available evidence on the design, normally restricted to the publicly available investment design document, </w:t>
      </w:r>
      <w:r>
        <w:rPr>
          <w:rFonts w:eastAsia="Calibri Light" w:cs="Times New Roman"/>
          <w:color w:val="auto"/>
        </w:rPr>
        <w:t xml:space="preserve">regional or country </w:t>
      </w:r>
      <w:r w:rsidRPr="00D90E36">
        <w:rPr>
          <w:rFonts w:eastAsia="Calibri Light" w:cs="Times New Roman"/>
          <w:color w:val="auto"/>
        </w:rPr>
        <w:t>development plans and policy statements</w:t>
      </w:r>
      <w:r>
        <w:rPr>
          <w:rFonts w:eastAsia="Calibri Light" w:cs="Times New Roman"/>
          <w:color w:val="auto"/>
        </w:rPr>
        <w:t xml:space="preserve"> or sectoral guidance,</w:t>
      </w:r>
      <w:r w:rsidRPr="00D90E36">
        <w:rPr>
          <w:rFonts w:eastAsia="Calibri Light" w:cs="Times New Roman"/>
          <w:color w:val="auto"/>
        </w:rPr>
        <w:t xml:space="preserve"> and may include reference to internal and sensitive material. Particular attention should be paid to justifying ratings of three and four.</w:t>
      </w:r>
    </w:p>
    <w:p w14:paraId="2A1A9CBE" w14:textId="77777777" w:rsidR="00465892" w:rsidRPr="007D39AC" w:rsidRDefault="00465892" w:rsidP="000D6FBF">
      <w:pPr>
        <w:ind w:left="720"/>
        <w:rPr>
          <w:b/>
          <w:bCs/>
          <w:i/>
          <w:iCs/>
          <w:color w:val="auto"/>
        </w:rPr>
      </w:pPr>
      <w:r w:rsidRPr="007D39AC">
        <w:rPr>
          <w:b/>
          <w:bCs/>
          <w:i/>
          <w:iCs/>
          <w:color w:val="auto"/>
        </w:rPr>
        <w:t>Satisfactory rating</w:t>
      </w:r>
    </w:p>
    <w:p w14:paraId="59FBE47D" w14:textId="77777777" w:rsidR="00465892" w:rsidRPr="008A4329" w:rsidRDefault="00465892" w:rsidP="000D6FBF">
      <w:pPr>
        <w:ind w:left="720"/>
        <w:rPr>
          <w:color w:val="auto"/>
          <w:lang w:eastAsia="en-AU"/>
        </w:rPr>
      </w:pPr>
      <w:r w:rsidRPr="007D39AC">
        <w:rPr>
          <w:b/>
          <w:bCs/>
          <w:color w:val="auto"/>
        </w:rPr>
        <w:t xml:space="preserve">6 </w:t>
      </w:r>
      <w:r w:rsidRPr="008A4329">
        <w:rPr>
          <w:b/>
          <w:bCs/>
          <w:color w:val="auto"/>
          <w:lang w:eastAsia="en-AU"/>
        </w:rPr>
        <w:t>–</w:t>
      </w:r>
      <w:r w:rsidRPr="007D39AC">
        <w:rPr>
          <w:b/>
          <w:bCs/>
          <w:color w:val="auto"/>
        </w:rPr>
        <w:t xml:space="preserve"> </w:t>
      </w:r>
      <w:r w:rsidRPr="008A4329">
        <w:rPr>
          <w:rStyle w:val="Hyperlink"/>
          <w:b/>
          <w:bCs/>
          <w:color w:val="auto"/>
          <w:u w:val="none"/>
          <w:lang w:eastAsia="en-AU"/>
        </w:rPr>
        <w:t>Very</w:t>
      </w:r>
      <w:r w:rsidRPr="008A4329">
        <w:rPr>
          <w:b/>
          <w:bCs/>
          <w:color w:val="auto"/>
          <w:lang w:eastAsia="en-AU"/>
        </w:rPr>
        <w:t xml:space="preserve"> good:</w:t>
      </w:r>
      <w:r w:rsidRPr="008A4329">
        <w:rPr>
          <w:color w:val="auto"/>
          <w:lang w:eastAsia="en-AU"/>
        </w:rPr>
        <w:t xml:space="preserve"> satisfies criteria in all areas; does not require amendment</w:t>
      </w:r>
    </w:p>
    <w:p w14:paraId="2F79637B" w14:textId="77777777" w:rsidR="00465892" w:rsidRPr="008A4329" w:rsidRDefault="00465892" w:rsidP="000D6FBF">
      <w:pPr>
        <w:ind w:left="720"/>
        <w:rPr>
          <w:color w:val="auto"/>
          <w:lang w:eastAsia="en-AU"/>
        </w:rPr>
      </w:pPr>
      <w:r w:rsidRPr="008A4329">
        <w:rPr>
          <w:b/>
          <w:bCs/>
          <w:color w:val="auto"/>
          <w:lang w:eastAsia="en-AU"/>
        </w:rPr>
        <w:t>5 – Good:</w:t>
      </w:r>
      <w:r w:rsidRPr="008A4329">
        <w:rPr>
          <w:color w:val="auto"/>
          <w:lang w:eastAsia="en-AU"/>
        </w:rPr>
        <w:t xml:space="preserve"> satisfies criteria in almost all areas; may need minor work to improve in some areas</w:t>
      </w:r>
    </w:p>
    <w:p w14:paraId="5EEA37E1" w14:textId="77777777" w:rsidR="00465892" w:rsidRPr="007D39AC" w:rsidRDefault="00465892" w:rsidP="000D6FBF">
      <w:pPr>
        <w:ind w:left="720"/>
        <w:rPr>
          <w:color w:val="auto"/>
        </w:rPr>
      </w:pPr>
      <w:r w:rsidRPr="008A4329">
        <w:rPr>
          <w:b/>
          <w:bCs/>
          <w:color w:val="auto"/>
          <w:lang w:eastAsia="en-AU"/>
        </w:rPr>
        <w:t>4 – Adequate:</w:t>
      </w:r>
      <w:r w:rsidRPr="008A4329">
        <w:rPr>
          <w:color w:val="auto"/>
          <w:lang w:eastAsia="en-AU"/>
        </w:rPr>
        <w:t xml:space="preserve"> on balance satisfies criteria; does not fail in any major area, needs some work to improve</w:t>
      </w:r>
    </w:p>
    <w:p w14:paraId="5A6E968B" w14:textId="77777777" w:rsidR="00465892" w:rsidRPr="007D39AC" w:rsidRDefault="00465892" w:rsidP="000D6FBF">
      <w:pPr>
        <w:ind w:left="720"/>
        <w:rPr>
          <w:b/>
          <w:bCs/>
          <w:i/>
          <w:iCs/>
          <w:color w:val="auto"/>
        </w:rPr>
      </w:pPr>
      <w:r w:rsidRPr="007D39AC">
        <w:rPr>
          <w:b/>
          <w:bCs/>
          <w:i/>
          <w:iCs/>
          <w:color w:val="auto"/>
        </w:rPr>
        <w:t>Unsatisfactory rating</w:t>
      </w:r>
    </w:p>
    <w:p w14:paraId="5F922A3C" w14:textId="77777777" w:rsidR="00465892" w:rsidRPr="007D39AC" w:rsidRDefault="00465892" w:rsidP="000D6FBF">
      <w:pPr>
        <w:ind w:left="720"/>
        <w:rPr>
          <w:color w:val="auto"/>
        </w:rPr>
      </w:pPr>
      <w:r w:rsidRPr="007D39AC">
        <w:rPr>
          <w:b/>
          <w:bCs/>
          <w:color w:val="auto"/>
        </w:rPr>
        <w:t>3 – Less than adequate:</w:t>
      </w:r>
      <w:r w:rsidRPr="007D39AC">
        <w:rPr>
          <w:color w:val="auto"/>
        </w:rPr>
        <w:t xml:space="preserve"> </w:t>
      </w:r>
      <w:r w:rsidRPr="008A4329">
        <w:rPr>
          <w:color w:val="auto"/>
          <w:lang w:eastAsia="en-AU"/>
        </w:rPr>
        <w:t xml:space="preserve">on balance does not satisfy criteria and/or fails in at least one major area; </w:t>
      </w:r>
      <w:r w:rsidRPr="007D39AC">
        <w:rPr>
          <w:color w:val="auto"/>
        </w:rPr>
        <w:t>needs work to be improved in core areas</w:t>
      </w:r>
    </w:p>
    <w:p w14:paraId="056B348A" w14:textId="77777777" w:rsidR="00465892" w:rsidRPr="007D39AC" w:rsidRDefault="00465892" w:rsidP="000D6FBF">
      <w:pPr>
        <w:ind w:left="720"/>
        <w:rPr>
          <w:color w:val="auto"/>
        </w:rPr>
      </w:pPr>
      <w:r w:rsidRPr="007D39AC">
        <w:rPr>
          <w:b/>
          <w:bCs/>
          <w:color w:val="auto"/>
        </w:rPr>
        <w:t>2 – Poor:</w:t>
      </w:r>
      <w:r w:rsidRPr="007D39AC">
        <w:rPr>
          <w:color w:val="auto"/>
        </w:rPr>
        <w:t xml:space="preserve"> </w:t>
      </w:r>
      <w:r w:rsidRPr="008A4329">
        <w:rPr>
          <w:color w:val="auto"/>
          <w:lang w:eastAsia="en-AU"/>
        </w:rPr>
        <w:t xml:space="preserve">does not satisfy criteria in several major area; </w:t>
      </w:r>
      <w:r w:rsidRPr="007D39AC">
        <w:rPr>
          <w:color w:val="auto"/>
        </w:rPr>
        <w:t>needs major work to improve</w:t>
      </w:r>
    </w:p>
    <w:p w14:paraId="7CCB4575" w14:textId="77777777" w:rsidR="00465892" w:rsidRPr="008A4329" w:rsidRDefault="00465892" w:rsidP="000D6FBF">
      <w:pPr>
        <w:ind w:left="720"/>
        <w:rPr>
          <w:color w:val="auto"/>
          <w:lang w:eastAsia="en-AU"/>
        </w:rPr>
      </w:pPr>
      <w:r w:rsidRPr="007D39AC">
        <w:rPr>
          <w:b/>
          <w:bCs/>
          <w:color w:val="auto"/>
        </w:rPr>
        <w:t>1 – Very poor:</w:t>
      </w:r>
      <w:r w:rsidRPr="007D39AC">
        <w:rPr>
          <w:color w:val="auto"/>
        </w:rPr>
        <w:t xml:space="preserve"> </w:t>
      </w:r>
      <w:r w:rsidRPr="008A4329">
        <w:rPr>
          <w:color w:val="auto"/>
          <w:lang w:eastAsia="en-AU"/>
        </w:rPr>
        <w:t xml:space="preserve">does not satisfy criteria in any major area; </w:t>
      </w:r>
      <w:r w:rsidRPr="007D39AC">
        <w:rPr>
          <w:color w:val="auto"/>
        </w:rPr>
        <w:t>needs major overhaul</w:t>
      </w:r>
    </w:p>
    <w:p w14:paraId="1D34839B" w14:textId="77777777" w:rsidR="00465892" w:rsidRPr="00D90E36" w:rsidRDefault="00465892" w:rsidP="00465892">
      <w:pPr>
        <w:spacing w:after="120" w:line="240" w:lineRule="auto"/>
        <w:ind w:right="283"/>
        <w:rPr>
          <w:color w:val="auto"/>
        </w:rPr>
      </w:pPr>
      <w:r w:rsidRPr="00D90E36">
        <w:rPr>
          <w:rFonts w:eastAsia="Calibri Light" w:cs="Times New Roman"/>
          <w:color w:val="auto"/>
        </w:rPr>
        <w:t>This matrix emphasises the importance of analysis and evidence to support DFAT’s investment decisions. High quality analysis of the investment context, including political economy analysis and gender analysis, should inform all of DFAT’s investments. Recommendations and lessons learned from evaluations, independent reviews/evaluations, appraisal reports, aides-memoire, feedback from partners and other stakeholders, and independent research conducted in the context or sector should be clearly stated and responded to.</w:t>
      </w:r>
    </w:p>
    <w:p w14:paraId="65FB9F57" w14:textId="77777777" w:rsidR="00AE5191" w:rsidRDefault="00465892" w:rsidP="00465892">
      <w:pPr>
        <w:spacing w:after="120" w:line="240" w:lineRule="auto"/>
        <w:ind w:right="283"/>
        <w:rPr>
          <w:rFonts w:eastAsia="Calibri Light" w:cs="Times New Roman"/>
          <w:color w:val="auto"/>
        </w:rPr>
        <w:sectPr w:rsidR="00AE5191" w:rsidSect="007C6DD8">
          <w:footerReference w:type="default" r:id="rId15"/>
          <w:pgSz w:w="11906" w:h="16838" w:code="9"/>
          <w:pgMar w:top="1440" w:right="1440" w:bottom="1440" w:left="1440" w:header="567" w:footer="57" w:gutter="0"/>
          <w:cols w:space="708"/>
          <w:docGrid w:linePitch="360"/>
        </w:sectPr>
      </w:pPr>
      <w:r w:rsidRPr="00D90E36">
        <w:rPr>
          <w:rFonts w:eastAsia="Calibri Light" w:cs="Times New Roman"/>
          <w:color w:val="auto"/>
        </w:rPr>
        <w:t xml:space="preserve">Some designs (including those for facilities and other extremely flexible, adaptive investments, design and implement arrangements, and innovative procurement trials) may defer development of some elements of the design (e.g. a detailed program logic) to implementation. In these cases this must be explained clearly, and responsibilities for development, quality assurance, and approval of these elements must be identified. Please contact </w:t>
      </w:r>
      <w:hyperlink r:id="rId16" w:history="1">
        <w:r w:rsidRPr="00D90E36">
          <w:rPr>
            <w:rStyle w:val="Hyperlink"/>
            <w:rFonts w:eastAsia="Calibri Light" w:cs="Times New Roman"/>
            <w:i/>
            <w:iCs/>
          </w:rPr>
          <w:t>designmail@dfat.gov.au</w:t>
        </w:r>
      </w:hyperlink>
      <w:r w:rsidRPr="00D90E36">
        <w:rPr>
          <w:rFonts w:eastAsia="Calibri Light" w:cs="Times New Roman"/>
          <w:color w:val="auto"/>
        </w:rPr>
        <w:t xml:space="preserve"> to discuss how to adapt this matrix for these types of investments.</w:t>
      </w:r>
    </w:p>
    <w:p w14:paraId="1A2A1F41" w14:textId="22D89724" w:rsidR="00646C82" w:rsidRPr="00E07BFD" w:rsidRDefault="00A13CEA" w:rsidP="00E07BFD">
      <w:pPr>
        <w:pStyle w:val="Heading2"/>
      </w:pPr>
      <w:r w:rsidRPr="00E07BFD">
        <w:rPr>
          <w:caps w:val="0"/>
        </w:rPr>
        <w:lastRenderedPageBreak/>
        <w:t>1. Relevance</w:t>
      </w:r>
    </w:p>
    <w:p w14:paraId="5CFDB3A3" w14:textId="77777777" w:rsidR="00646C82" w:rsidRPr="00D90E36" w:rsidRDefault="00646C82" w:rsidP="00646C82">
      <w:pPr>
        <w:spacing w:after="120" w:line="240" w:lineRule="auto"/>
        <w:rPr>
          <w:rStyle w:val="SubtleEmphasis"/>
        </w:rPr>
      </w:pPr>
      <w:r w:rsidRPr="00D90E36">
        <w:rPr>
          <w:rStyle w:val="SubtleEmphasis"/>
        </w:rPr>
        <w:t>Does the design explain why DFAT should make the proposed investment, and the evidence that has informed decisions?</w:t>
      </w:r>
    </w:p>
    <w:p w14:paraId="0BE168CF" w14:textId="77777777" w:rsidR="00646C82" w:rsidRPr="00D90E36" w:rsidRDefault="00646C82" w:rsidP="00C0736E">
      <w:pPr>
        <w:rPr>
          <w:b/>
          <w:bCs/>
        </w:rPr>
      </w:pPr>
      <w:r w:rsidRPr="00D90E36">
        <w:rPr>
          <w:b/>
          <w:bCs/>
        </w:rPr>
        <w:t>Focus areas:</w:t>
      </w:r>
    </w:p>
    <w:p w14:paraId="617E7296" w14:textId="4F03210E" w:rsidR="00646C82" w:rsidRPr="00D90E36" w:rsidRDefault="00646C82" w:rsidP="00C0736E">
      <w:pPr>
        <w:pStyle w:val="ListParagraph"/>
        <w:numPr>
          <w:ilvl w:val="0"/>
          <w:numId w:val="53"/>
        </w:numPr>
      </w:pPr>
      <w:r w:rsidRPr="00D90E36">
        <w:t>Strategic focus and policy alignment</w:t>
      </w:r>
    </w:p>
    <w:p w14:paraId="08B465D3" w14:textId="77777777" w:rsidR="005D65C1" w:rsidRDefault="00646C82" w:rsidP="00C0736E">
      <w:pPr>
        <w:pStyle w:val="ListParagraph"/>
        <w:numPr>
          <w:ilvl w:val="0"/>
          <w:numId w:val="53"/>
        </w:numPr>
      </w:pPr>
      <w:r w:rsidRPr="00D90E36">
        <w:t>Analysis and lessons</w:t>
      </w:r>
    </w:p>
    <w:p w14:paraId="3E4483B0" w14:textId="291794CE" w:rsidR="00253308" w:rsidRPr="00D90E36" w:rsidRDefault="00253308" w:rsidP="00C0736E">
      <w:pPr>
        <w:pStyle w:val="ListParagraph"/>
        <w:numPr>
          <w:ilvl w:val="0"/>
          <w:numId w:val="53"/>
        </w:numPr>
      </w:pPr>
      <w:r>
        <w:t>Modality selection</w:t>
      </w:r>
    </w:p>
    <w:p w14:paraId="0BE96E56" w14:textId="785DA665" w:rsidR="00F168A1" w:rsidRPr="00D90E36" w:rsidRDefault="00F168A1" w:rsidP="002D22F8">
      <w:pPr>
        <w:spacing w:after="120" w:line="240" w:lineRule="auto"/>
        <w:rPr>
          <w:rFonts w:eastAsia="Calibri Light" w:cs="Times New Roman"/>
          <w:color w:val="auto"/>
        </w:rPr>
      </w:pPr>
    </w:p>
    <w:tbl>
      <w:tblPr>
        <w:tblStyle w:val="TableGrid"/>
        <w:tblW w:w="14454" w:type="dxa"/>
        <w:tblLook w:val="04A0" w:firstRow="1" w:lastRow="0" w:firstColumn="1" w:lastColumn="0" w:noHBand="0" w:noVBand="1"/>
      </w:tblPr>
      <w:tblGrid>
        <w:gridCol w:w="3823"/>
        <w:gridCol w:w="3969"/>
        <w:gridCol w:w="3260"/>
        <w:gridCol w:w="3402"/>
      </w:tblGrid>
      <w:tr w:rsidR="00533AB7" w:rsidRPr="00D90E36" w14:paraId="70D8144F" w14:textId="17EAAF4B" w:rsidTr="001D160B">
        <w:trPr>
          <w:trHeight w:val="350"/>
          <w:tblHeader/>
        </w:trPr>
        <w:tc>
          <w:tcPr>
            <w:tcW w:w="3823" w:type="dxa"/>
            <w:tcBorders>
              <w:left w:val="single" w:sz="4" w:space="0" w:color="auto"/>
            </w:tcBorders>
            <w:shd w:val="clear" w:color="auto" w:fill="D4EAF3" w:themeFill="accent1" w:themeFillTint="33"/>
          </w:tcPr>
          <w:p w14:paraId="1F12CEF8" w14:textId="5F59AFD5"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Good, very good (rating 5-6) </w:t>
            </w:r>
          </w:p>
        </w:tc>
        <w:tc>
          <w:tcPr>
            <w:tcW w:w="3969" w:type="dxa"/>
            <w:shd w:val="clear" w:color="auto" w:fill="D4EAF3" w:themeFill="accent1" w:themeFillTint="33"/>
          </w:tcPr>
          <w:p w14:paraId="2F9AB183" w14:textId="44E665FF"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260" w:type="dxa"/>
            <w:shd w:val="clear" w:color="auto" w:fill="D4EAF3" w:themeFill="accent1" w:themeFillTint="33"/>
          </w:tcPr>
          <w:p w14:paraId="683BF483" w14:textId="1F652145"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3402" w:type="dxa"/>
            <w:shd w:val="clear" w:color="auto" w:fill="D4EAF3" w:themeFill="accent1" w:themeFillTint="33"/>
          </w:tcPr>
          <w:p w14:paraId="5F202FD6" w14:textId="4C69F50C"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ED7C49" w:rsidRPr="00D90E36" w14:paraId="32E2BD60" w14:textId="4EDA6704" w:rsidTr="00CD7B27">
        <w:trPr>
          <w:trHeight w:val="3102"/>
        </w:trPr>
        <w:tc>
          <w:tcPr>
            <w:tcW w:w="3823" w:type="dxa"/>
            <w:tcBorders>
              <w:left w:val="single" w:sz="4" w:space="0" w:color="auto"/>
            </w:tcBorders>
          </w:tcPr>
          <w:p w14:paraId="3903E4E1" w14:textId="7777777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DFAT’s strategic intent for the investment is explicitly set out, and reflects the priorities and objectives in the relevant development plan (and sector strategies, where relevant). </w:t>
            </w:r>
          </w:p>
          <w:p w14:paraId="6570583D" w14:textId="7777777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It is clear how the investment aligns with Australia’s and the partner country’s formal policy commitments. </w:t>
            </w:r>
          </w:p>
          <w:p w14:paraId="33B9F040" w14:textId="21F60776" w:rsidR="00ED7C49" w:rsidRPr="00ED7C49" w:rsidRDefault="00ED7C49" w:rsidP="00ED7C49">
            <w:pPr>
              <w:keepLines/>
              <w:spacing w:before="0" w:after="0" w:line="240" w:lineRule="auto"/>
              <w:rPr>
                <w:rFonts w:eastAsia="Calibri Light"/>
                <w:color w:val="auto"/>
                <w:sz w:val="18"/>
                <w:szCs w:val="18"/>
              </w:rPr>
            </w:pPr>
            <w:r w:rsidRPr="00ED7C49">
              <w:rPr>
                <w:rFonts w:eastAsia="Calibri Light" w:cs="Times New Roman"/>
                <w:color w:val="auto"/>
                <w:sz w:val="18"/>
                <w:szCs w:val="18"/>
              </w:rPr>
              <w:t xml:space="preserve">The investment’s intersection with a broader range of Australian and partner country interests are described and analysed. Australia’s comparative advantage and influence is leveraged. </w:t>
            </w:r>
          </w:p>
        </w:tc>
        <w:tc>
          <w:tcPr>
            <w:tcW w:w="3969" w:type="dxa"/>
            <w:tcBorders>
              <w:left w:val="single" w:sz="4" w:space="0" w:color="auto"/>
            </w:tcBorders>
          </w:tcPr>
          <w:p w14:paraId="7EA71365" w14:textId="77777777" w:rsidR="00ED7C49" w:rsidRPr="00D90E36" w:rsidRDefault="00ED7C49" w:rsidP="00ED7C49">
            <w:pPr>
              <w:keepLines/>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 xml:space="preserve">There is reference to DFAT’s strategic intent for the investment and reflects the priorities and objectives in the relevant development plan (and sector strategies, where relevant). </w:t>
            </w:r>
          </w:p>
          <w:p w14:paraId="1CAEA197" w14:textId="6AA008FE" w:rsidR="00ED7C49" w:rsidRPr="00ED7C49" w:rsidRDefault="00ED7C49" w:rsidP="00ED7C49">
            <w:pPr>
              <w:keepLines/>
              <w:spacing w:before="0" w:after="0" w:line="240" w:lineRule="auto"/>
              <w:rPr>
                <w:rFonts w:eastAsia="Calibri Light"/>
                <w:color w:val="auto"/>
                <w:sz w:val="18"/>
                <w:szCs w:val="18"/>
              </w:rPr>
            </w:pPr>
            <w:r w:rsidRPr="00ED7C49">
              <w:rPr>
                <w:rFonts w:eastAsia="Calibri Light" w:cs="Times New Roman"/>
                <w:color w:val="auto"/>
                <w:sz w:val="18"/>
                <w:szCs w:val="18"/>
              </w:rPr>
              <w:t>Australia’s and the partner country’s formal policy commitments are set out, and alignment and linkages between them and the investment are demonstrated. Australia’s comparative advantage and influence is considered.</w:t>
            </w:r>
          </w:p>
        </w:tc>
        <w:tc>
          <w:tcPr>
            <w:tcW w:w="3260" w:type="dxa"/>
          </w:tcPr>
          <w:p w14:paraId="645B4BDB" w14:textId="7777777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DFAT’s strategic intent is not identified and links to the relevant development plan (and sector strategies, where relevant) are weak. </w:t>
            </w:r>
          </w:p>
          <w:p w14:paraId="498F9E7D" w14:textId="1D79FC88" w:rsidR="00ED7C49" w:rsidRPr="00D90E36" w:rsidRDefault="00ED7C49" w:rsidP="00ED7C49">
            <w:pPr>
              <w:keepLines/>
              <w:spacing w:after="120" w:line="240" w:lineRule="auto"/>
              <w:rPr>
                <w:rFonts w:eastAsia="Calibri Light" w:cs="Times New Roman"/>
                <w:iCs/>
                <w:color w:val="auto"/>
                <w:sz w:val="18"/>
                <w:szCs w:val="18"/>
              </w:rPr>
            </w:pPr>
            <w:r w:rsidRPr="00D90E36">
              <w:rPr>
                <w:rFonts w:eastAsia="Calibri Light" w:cs="Times New Roman"/>
                <w:color w:val="auto"/>
                <w:sz w:val="18"/>
                <w:szCs w:val="18"/>
              </w:rPr>
              <w:t>Policy commitments are summarised, with little analysis or description of their relationship to the proposed investment. Statements are general. Links to partners’ plans and strategies are poorly articulated.</w:t>
            </w:r>
          </w:p>
        </w:tc>
        <w:tc>
          <w:tcPr>
            <w:tcW w:w="3402" w:type="dxa"/>
          </w:tcPr>
          <w:p w14:paraId="1B44FE81" w14:textId="7777777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are cursory references to DFAT’s formal and publicly stated policy commitments.</w:t>
            </w:r>
          </w:p>
          <w:p w14:paraId="40E450BD" w14:textId="7777777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are cursory references to partners’ plans and strategies.</w:t>
            </w:r>
          </w:p>
          <w:p w14:paraId="4AB8E980" w14:textId="6BD9BD6D" w:rsidR="00ED7C49" w:rsidRPr="00D90E36" w:rsidRDefault="00ED7C49" w:rsidP="00ED7C49">
            <w:pPr>
              <w:keepLines/>
              <w:spacing w:after="120" w:line="240" w:lineRule="auto"/>
              <w:rPr>
                <w:rFonts w:eastAsia="Calibri Light" w:cs="Times New Roman"/>
                <w:iCs/>
                <w:color w:val="auto"/>
                <w:sz w:val="18"/>
                <w:szCs w:val="18"/>
              </w:rPr>
            </w:pPr>
          </w:p>
        </w:tc>
      </w:tr>
      <w:tr w:rsidR="00ED7C49" w:rsidRPr="00D90E36" w14:paraId="7F901490" w14:textId="6F176CAE" w:rsidTr="001D160B">
        <w:tc>
          <w:tcPr>
            <w:tcW w:w="3823" w:type="dxa"/>
            <w:tcBorders>
              <w:left w:val="single" w:sz="4" w:space="0" w:color="auto"/>
            </w:tcBorders>
          </w:tcPr>
          <w:p w14:paraId="45A286AF" w14:textId="1A8CB19A" w:rsidR="00ED7C49"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Relevant analyses</w:t>
            </w:r>
            <w:r>
              <w:rPr>
                <w:rFonts w:eastAsia="Calibri Light" w:cs="Times New Roman"/>
                <w:color w:val="auto"/>
                <w:sz w:val="18"/>
                <w:szCs w:val="18"/>
              </w:rPr>
              <w:t xml:space="preserve">, including political economy </w:t>
            </w:r>
            <w:r w:rsidR="005D65C1">
              <w:rPr>
                <w:rFonts w:eastAsia="Calibri Light" w:cs="Times New Roman"/>
                <w:color w:val="auto"/>
                <w:sz w:val="18"/>
                <w:szCs w:val="18"/>
              </w:rPr>
              <w:t>or climate impac</w:t>
            </w:r>
            <w:r w:rsidR="008A4969">
              <w:rPr>
                <w:rFonts w:eastAsia="Calibri Light" w:cs="Times New Roman"/>
                <w:color w:val="auto"/>
                <w:sz w:val="18"/>
                <w:szCs w:val="18"/>
              </w:rPr>
              <w:t xml:space="preserve">t </w:t>
            </w:r>
            <w:r>
              <w:rPr>
                <w:rFonts w:eastAsia="Calibri Light" w:cs="Times New Roman"/>
                <w:color w:val="auto"/>
                <w:sz w:val="18"/>
                <w:szCs w:val="18"/>
              </w:rPr>
              <w:t>analysis</w:t>
            </w:r>
            <w:r w:rsidRPr="00D90E36">
              <w:rPr>
                <w:rFonts w:eastAsia="Calibri Light" w:cs="Times New Roman"/>
                <w:color w:val="auto"/>
                <w:sz w:val="18"/>
                <w:szCs w:val="18"/>
              </w:rPr>
              <w:t xml:space="preserve"> and commissioned research are provided, along with details of consultation and feedback from local stakeholders including government, civil society</w:t>
            </w:r>
            <w:r w:rsidR="008A4329">
              <w:rPr>
                <w:rFonts w:eastAsia="Calibri Light" w:cs="Times New Roman"/>
                <w:color w:val="auto"/>
                <w:sz w:val="18"/>
                <w:szCs w:val="18"/>
              </w:rPr>
              <w:t>,</w:t>
            </w:r>
            <w:r w:rsidRPr="00D90E36">
              <w:rPr>
                <w:rFonts w:eastAsia="Calibri Light" w:cs="Times New Roman"/>
                <w:color w:val="auto"/>
                <w:sz w:val="18"/>
                <w:szCs w:val="18"/>
              </w:rPr>
              <w:t xml:space="preserve"> and the private sector. </w:t>
            </w:r>
          </w:p>
          <w:p w14:paraId="67F5DCB0" w14:textId="0715C1CB"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Lessons and recommendations from reviews and evaluations are explicitly addressed</w:t>
            </w:r>
            <w:r>
              <w:rPr>
                <w:rFonts w:eastAsia="Calibri Light" w:cs="Times New Roman"/>
                <w:color w:val="auto"/>
                <w:sz w:val="18"/>
                <w:szCs w:val="18"/>
              </w:rPr>
              <w:t xml:space="preserve"> including how the findings and management responses have been integrated into the design</w:t>
            </w:r>
            <w:r w:rsidRPr="00D90E36">
              <w:rPr>
                <w:rFonts w:eastAsia="Calibri Light" w:cs="Times New Roman"/>
                <w:color w:val="auto"/>
                <w:sz w:val="18"/>
                <w:szCs w:val="18"/>
              </w:rPr>
              <w:t>.</w:t>
            </w:r>
          </w:p>
        </w:tc>
        <w:tc>
          <w:tcPr>
            <w:tcW w:w="3969" w:type="dxa"/>
          </w:tcPr>
          <w:p w14:paraId="7D2ABC8D" w14:textId="77777777" w:rsidR="00ED7C49" w:rsidRDefault="00ED7C49" w:rsidP="00ED7C49">
            <w:pPr>
              <w:keepLines/>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Information from secondary sources is used to justify the investment. There is evidence of consultation with and incorporation of feedback from key stakeholders (including local stakeholders).</w:t>
            </w:r>
          </w:p>
          <w:p w14:paraId="6B9063AF" w14:textId="77777777" w:rsidR="00ED7C49" w:rsidRPr="00D90E36" w:rsidRDefault="00ED7C49" w:rsidP="00ED7C49">
            <w:pPr>
              <w:keepLines/>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 xml:space="preserve">Lessons and recommendations from reviews and evaluations are </w:t>
            </w:r>
            <w:r>
              <w:rPr>
                <w:rFonts w:eastAsia="Calibri Light" w:cs="Times New Roman"/>
                <w:color w:val="auto"/>
                <w:sz w:val="18"/>
                <w:szCs w:val="18"/>
              </w:rPr>
              <w:t>considered</w:t>
            </w:r>
            <w:r w:rsidRPr="00D90E36">
              <w:rPr>
                <w:rFonts w:eastAsia="Calibri Light" w:cs="Times New Roman"/>
                <w:color w:val="auto"/>
                <w:sz w:val="18"/>
                <w:szCs w:val="18"/>
              </w:rPr>
              <w:t>.</w:t>
            </w:r>
          </w:p>
          <w:p w14:paraId="53A0CC16" w14:textId="1D4D1129" w:rsidR="00ED7C49" w:rsidRPr="00D90E36" w:rsidRDefault="00ED7C49" w:rsidP="00ED7C49">
            <w:pPr>
              <w:keepLines/>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Plans for conducting further analysis and using the evidence collected are stated clearly.</w:t>
            </w:r>
          </w:p>
        </w:tc>
        <w:tc>
          <w:tcPr>
            <w:tcW w:w="3260" w:type="dxa"/>
          </w:tcPr>
          <w:p w14:paraId="47BA5FD6" w14:textId="2286114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Assertions are based on few sources and references, with little reference to past lessons</w:t>
            </w:r>
            <w:r>
              <w:rPr>
                <w:rFonts w:eastAsia="Calibri Light" w:cs="Times New Roman"/>
                <w:color w:val="auto"/>
                <w:sz w:val="18"/>
                <w:szCs w:val="18"/>
              </w:rPr>
              <w:t>, reviews</w:t>
            </w:r>
            <w:r w:rsidR="008A4329">
              <w:rPr>
                <w:rFonts w:eastAsia="Calibri Light" w:cs="Times New Roman"/>
                <w:color w:val="auto"/>
                <w:sz w:val="18"/>
                <w:szCs w:val="18"/>
              </w:rPr>
              <w:t>,</w:t>
            </w:r>
            <w:r>
              <w:rPr>
                <w:rFonts w:eastAsia="Calibri Light" w:cs="Times New Roman"/>
                <w:color w:val="auto"/>
                <w:sz w:val="18"/>
                <w:szCs w:val="18"/>
              </w:rPr>
              <w:t xml:space="preserve"> or evaluations</w:t>
            </w:r>
            <w:r w:rsidRPr="00D90E36">
              <w:rPr>
                <w:rFonts w:eastAsia="Calibri Light" w:cs="Times New Roman"/>
                <w:color w:val="auto"/>
                <w:sz w:val="18"/>
                <w:szCs w:val="18"/>
              </w:rPr>
              <w:t xml:space="preserve"> relevant to the investment. There is limited evidence of consultation with and incorporating feedback from key stakeholders. </w:t>
            </w:r>
            <w:r>
              <w:rPr>
                <w:rFonts w:eastAsia="Calibri Light" w:cs="Times New Roman"/>
                <w:color w:val="auto"/>
                <w:sz w:val="18"/>
                <w:szCs w:val="18"/>
              </w:rPr>
              <w:br/>
            </w:r>
            <w:r w:rsidRPr="00D90E36">
              <w:rPr>
                <w:rFonts w:eastAsia="Calibri Light" w:cs="Times New Roman"/>
                <w:color w:val="auto"/>
                <w:sz w:val="18"/>
                <w:szCs w:val="18"/>
              </w:rPr>
              <w:t>Plans for future analysis are non-specific, or not focused on use of the evidence collected.</w:t>
            </w:r>
          </w:p>
        </w:tc>
        <w:tc>
          <w:tcPr>
            <w:tcW w:w="3402" w:type="dxa"/>
          </w:tcPr>
          <w:p w14:paraId="3D49DBD0" w14:textId="7777777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justification for Australia’s investment is poorly explained</w:t>
            </w:r>
            <w:r>
              <w:rPr>
                <w:rFonts w:eastAsia="Calibri Light" w:cs="Times New Roman"/>
                <w:color w:val="auto"/>
                <w:sz w:val="18"/>
                <w:szCs w:val="18"/>
              </w:rPr>
              <w:t>, and the evidence is weak based on earlier phases or similar interventions</w:t>
            </w:r>
            <w:r w:rsidRPr="00D90E36">
              <w:rPr>
                <w:rFonts w:eastAsia="Calibri Light" w:cs="Times New Roman"/>
                <w:color w:val="auto"/>
                <w:sz w:val="18"/>
                <w:szCs w:val="18"/>
              </w:rPr>
              <w:t>.</w:t>
            </w:r>
          </w:p>
          <w:p w14:paraId="55827CA6" w14:textId="7777777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is no evidence of engagement with key stakeholders.</w:t>
            </w:r>
          </w:p>
          <w:p w14:paraId="74DDE466" w14:textId="09F4CE17" w:rsidR="00ED7C49" w:rsidRPr="00D90E36" w:rsidRDefault="00ED7C49" w:rsidP="00ED7C49">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are no plans for future analysis.</w:t>
            </w:r>
          </w:p>
        </w:tc>
      </w:tr>
      <w:tr w:rsidR="00CD7B27" w:rsidRPr="00D90E36" w14:paraId="6881B07F" w14:textId="701F9B22" w:rsidTr="001D160B">
        <w:tc>
          <w:tcPr>
            <w:tcW w:w="3823" w:type="dxa"/>
            <w:tcBorders>
              <w:left w:val="single" w:sz="4" w:space="0" w:color="auto"/>
            </w:tcBorders>
          </w:tcPr>
          <w:p w14:paraId="7B3DE44A" w14:textId="77777777" w:rsidR="00CD7B27" w:rsidRPr="00D90E36" w:rsidRDefault="00CD7B27" w:rsidP="00CD7B2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lastRenderedPageBreak/>
              <w:t xml:space="preserve">A range of </w:t>
            </w:r>
            <w:r>
              <w:rPr>
                <w:rFonts w:eastAsia="Calibri Light" w:cs="Times New Roman"/>
                <w:color w:val="auto"/>
                <w:sz w:val="18"/>
                <w:szCs w:val="18"/>
              </w:rPr>
              <w:t xml:space="preserve">delivery </w:t>
            </w:r>
            <w:r w:rsidRPr="00D90E36">
              <w:rPr>
                <w:rFonts w:eastAsia="Calibri Light" w:cs="Times New Roman"/>
                <w:color w:val="auto"/>
                <w:sz w:val="18"/>
                <w:szCs w:val="18"/>
              </w:rPr>
              <w:t>options</w:t>
            </w:r>
            <w:r>
              <w:rPr>
                <w:rFonts w:eastAsia="Calibri Light" w:cs="Times New Roman"/>
                <w:color w:val="auto"/>
                <w:sz w:val="18"/>
                <w:szCs w:val="18"/>
              </w:rPr>
              <w:t xml:space="preserve"> / modalities</w:t>
            </w:r>
            <w:r w:rsidRPr="00D90E36">
              <w:rPr>
                <w:rFonts w:eastAsia="Calibri Light" w:cs="Times New Roman"/>
                <w:color w:val="auto"/>
                <w:sz w:val="18"/>
                <w:szCs w:val="18"/>
              </w:rPr>
              <w:t xml:space="preserve"> to address the identified development challenges have been explored. </w:t>
            </w:r>
          </w:p>
          <w:p w14:paraId="106BEAA4" w14:textId="77777777" w:rsidR="00CD7B27" w:rsidRDefault="00CD7B27" w:rsidP="00CD7B2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chosen approach(es) to delivering development assistance draw on high quality analysis (for example, political economy analysis) and lessons from past practice. </w:t>
            </w:r>
          </w:p>
          <w:p w14:paraId="1F21EB53" w14:textId="17153D85" w:rsidR="00CD7B27" w:rsidRPr="00D90E36" w:rsidRDefault="00CD7B27" w:rsidP="00CD7B2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is considered assessment of alternative delivery options (including working in partner systems, sector wide approaches, partnerships, facilities, projects, co-financing, multilateral, NGO, TA, twinning, WoG engagement, and other modalities).</w:t>
            </w:r>
          </w:p>
        </w:tc>
        <w:tc>
          <w:tcPr>
            <w:tcW w:w="3969" w:type="dxa"/>
          </w:tcPr>
          <w:p w14:paraId="24E5C3AD" w14:textId="77777777" w:rsidR="00CD7B27" w:rsidRPr="00D90E36" w:rsidRDefault="00CD7B27" w:rsidP="00CD7B27">
            <w:pPr>
              <w:keepLines/>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 xml:space="preserve">There is </w:t>
            </w:r>
            <w:r>
              <w:rPr>
                <w:rFonts w:eastAsia="Calibri Light" w:cs="Times New Roman"/>
                <w:color w:val="auto"/>
                <w:sz w:val="18"/>
                <w:szCs w:val="18"/>
              </w:rPr>
              <w:t>some</w:t>
            </w:r>
            <w:r w:rsidRPr="00D90E36">
              <w:rPr>
                <w:rFonts w:eastAsia="Calibri Light" w:cs="Times New Roman"/>
                <w:color w:val="auto"/>
                <w:sz w:val="18"/>
                <w:szCs w:val="18"/>
              </w:rPr>
              <w:t xml:space="preserve"> discussion of alternative </w:t>
            </w:r>
            <w:r>
              <w:rPr>
                <w:rFonts w:eastAsia="Calibri Light" w:cs="Times New Roman"/>
                <w:color w:val="auto"/>
                <w:sz w:val="18"/>
                <w:szCs w:val="18"/>
              </w:rPr>
              <w:t xml:space="preserve">delivery </w:t>
            </w:r>
            <w:r w:rsidRPr="00D90E36">
              <w:rPr>
                <w:rFonts w:eastAsia="Calibri Light" w:cs="Times New Roman"/>
                <w:color w:val="auto"/>
                <w:sz w:val="18"/>
                <w:szCs w:val="18"/>
              </w:rPr>
              <w:t>options</w:t>
            </w:r>
            <w:r>
              <w:rPr>
                <w:rFonts w:eastAsia="Calibri Light" w:cs="Times New Roman"/>
                <w:color w:val="auto"/>
                <w:sz w:val="18"/>
                <w:szCs w:val="18"/>
              </w:rPr>
              <w:t xml:space="preserve"> / modalities</w:t>
            </w:r>
            <w:r w:rsidRPr="00D90E36">
              <w:rPr>
                <w:rFonts w:eastAsia="Calibri Light" w:cs="Times New Roman"/>
                <w:color w:val="auto"/>
                <w:sz w:val="18"/>
                <w:szCs w:val="18"/>
              </w:rPr>
              <w:t xml:space="preserve"> for addressing identified development challenges.</w:t>
            </w:r>
          </w:p>
          <w:p w14:paraId="1D908BB5" w14:textId="77777777" w:rsidR="00CD7B27" w:rsidRPr="00D90E36" w:rsidRDefault="00CD7B27" w:rsidP="00CD7B27">
            <w:pPr>
              <w:keepLines/>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 xml:space="preserve">There is a credible evidence-based explanation for why the chosen approach(es) to delivering development assistance are appropriate for the context. </w:t>
            </w:r>
          </w:p>
          <w:p w14:paraId="4D4C59A6" w14:textId="77777777" w:rsidR="00CD7B27" w:rsidRPr="00D90E36" w:rsidRDefault="00CD7B27" w:rsidP="00CD7B27">
            <w:pPr>
              <w:keepLines/>
              <w:spacing w:after="120" w:line="240" w:lineRule="auto"/>
              <w:outlineLvl w:val="0"/>
              <w:rPr>
                <w:rFonts w:eastAsia="Calibri Light" w:cs="Times New Roman"/>
                <w:color w:val="auto"/>
                <w:sz w:val="18"/>
                <w:szCs w:val="18"/>
              </w:rPr>
            </w:pPr>
          </w:p>
          <w:p w14:paraId="4A288F29" w14:textId="5A4CD359" w:rsidR="00CD7B27" w:rsidRPr="00D90E36" w:rsidRDefault="00CD7B27" w:rsidP="00CD7B27">
            <w:pPr>
              <w:keepLines/>
              <w:spacing w:after="120" w:line="240" w:lineRule="auto"/>
              <w:outlineLvl w:val="0"/>
              <w:rPr>
                <w:rFonts w:eastAsia="Calibri Light" w:cs="Times New Roman"/>
                <w:color w:val="auto"/>
                <w:sz w:val="18"/>
                <w:szCs w:val="18"/>
              </w:rPr>
            </w:pPr>
          </w:p>
        </w:tc>
        <w:tc>
          <w:tcPr>
            <w:tcW w:w="3260" w:type="dxa"/>
          </w:tcPr>
          <w:p w14:paraId="0518064E" w14:textId="77777777" w:rsidR="00CD7B27" w:rsidRPr="00D90E36" w:rsidRDefault="00CD7B27" w:rsidP="00CD7B2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Alternative options are not outlined.</w:t>
            </w:r>
          </w:p>
          <w:p w14:paraId="05B69F61" w14:textId="77777777" w:rsidR="00CD7B27" w:rsidRPr="00D90E36" w:rsidRDefault="00CD7B27" w:rsidP="00CD7B2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is little explanation for the chosen approach(es) to delivering development assistance.</w:t>
            </w:r>
          </w:p>
          <w:p w14:paraId="4A0CF2D3" w14:textId="77777777" w:rsidR="00CD7B27" w:rsidRPr="00D90E36" w:rsidRDefault="00CD7B27" w:rsidP="00CD7B27">
            <w:pPr>
              <w:keepLines/>
              <w:spacing w:after="120" w:line="240" w:lineRule="auto"/>
              <w:rPr>
                <w:rFonts w:eastAsia="Calibri Light" w:cs="Times New Roman"/>
                <w:color w:val="auto"/>
                <w:sz w:val="18"/>
                <w:szCs w:val="18"/>
              </w:rPr>
            </w:pPr>
          </w:p>
          <w:p w14:paraId="7D8A20CE" w14:textId="18E4498A" w:rsidR="00CD7B27" w:rsidRPr="00D90E36" w:rsidRDefault="00CD7B27" w:rsidP="00CD7B27">
            <w:pPr>
              <w:keepLines/>
              <w:spacing w:after="120" w:line="240" w:lineRule="auto"/>
              <w:rPr>
                <w:rFonts w:eastAsia="Calibri Light" w:cs="Times New Roman"/>
                <w:color w:val="auto"/>
                <w:sz w:val="18"/>
                <w:szCs w:val="18"/>
              </w:rPr>
            </w:pPr>
          </w:p>
        </w:tc>
        <w:tc>
          <w:tcPr>
            <w:tcW w:w="3402" w:type="dxa"/>
          </w:tcPr>
          <w:p w14:paraId="580D495D" w14:textId="77777777" w:rsidR="00CD7B27" w:rsidRPr="00D90E36" w:rsidRDefault="00CD7B27" w:rsidP="00CD7B2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Alternative options are not outlined</w:t>
            </w:r>
            <w:r>
              <w:rPr>
                <w:rFonts w:eastAsia="Calibri Light" w:cs="Times New Roman"/>
                <w:color w:val="auto"/>
                <w:sz w:val="18"/>
                <w:szCs w:val="18"/>
              </w:rPr>
              <w:t xml:space="preserve"> and there is no</w:t>
            </w:r>
            <w:r w:rsidRPr="00D90E36">
              <w:rPr>
                <w:rFonts w:eastAsia="Calibri Light" w:cs="Times New Roman"/>
                <w:color w:val="auto"/>
                <w:sz w:val="18"/>
                <w:szCs w:val="18"/>
              </w:rPr>
              <w:t xml:space="preserve"> explanation for the chosen approach(es) to delivering development assistance.</w:t>
            </w:r>
          </w:p>
          <w:p w14:paraId="37198149" w14:textId="6DCC7765" w:rsidR="00CD7B27" w:rsidRPr="00D90E36" w:rsidRDefault="00CD7B27" w:rsidP="00CD7B27">
            <w:pPr>
              <w:keepLines/>
              <w:spacing w:after="120" w:line="240" w:lineRule="auto"/>
              <w:rPr>
                <w:rFonts w:eastAsia="Calibri Light" w:cs="Times New Roman"/>
                <w:color w:val="auto"/>
                <w:sz w:val="18"/>
                <w:szCs w:val="18"/>
              </w:rPr>
            </w:pPr>
          </w:p>
        </w:tc>
      </w:tr>
    </w:tbl>
    <w:p w14:paraId="2770B3EE" w14:textId="4E2CFCF4" w:rsidR="00826F77" w:rsidRPr="00E07BFD" w:rsidRDefault="00A13CEA" w:rsidP="00E07BFD">
      <w:pPr>
        <w:pStyle w:val="Heading2"/>
      </w:pPr>
      <w:r w:rsidRPr="00E07BFD">
        <w:rPr>
          <w:caps w:val="0"/>
        </w:rPr>
        <w:br w:type="page"/>
      </w:r>
      <w:r w:rsidRPr="00E07BFD">
        <w:rPr>
          <w:caps w:val="0"/>
        </w:rPr>
        <w:lastRenderedPageBreak/>
        <w:t>2. Effectiveness</w:t>
      </w:r>
    </w:p>
    <w:p w14:paraId="16099A70" w14:textId="4A87C37E" w:rsidR="004141DC" w:rsidRPr="00D90E36" w:rsidRDefault="004141DC" w:rsidP="004141DC">
      <w:pPr>
        <w:spacing w:after="120" w:line="240" w:lineRule="auto"/>
        <w:rPr>
          <w:rStyle w:val="SubtleEmphasis"/>
        </w:rPr>
      </w:pPr>
      <w:r w:rsidRPr="00D90E36">
        <w:rPr>
          <w:rStyle w:val="SubtleEmphasis"/>
        </w:rPr>
        <w:t xml:space="preserve">Are the changes the investment is expected to deliver clearly identified, along with an explanation of how they will occur? </w:t>
      </w:r>
    </w:p>
    <w:p w14:paraId="09767E80" w14:textId="77777777" w:rsidR="004141DC" w:rsidRPr="00D90E36" w:rsidRDefault="004141DC" w:rsidP="00C0736E">
      <w:pPr>
        <w:rPr>
          <w:b/>
          <w:bCs/>
        </w:rPr>
      </w:pPr>
      <w:r w:rsidRPr="00D90E36">
        <w:rPr>
          <w:b/>
          <w:bCs/>
        </w:rPr>
        <w:t>Focus areas:</w:t>
      </w:r>
    </w:p>
    <w:p w14:paraId="5BAB0888" w14:textId="77777777" w:rsidR="000E3ACE" w:rsidRPr="00D90E36" w:rsidRDefault="000E3ACE" w:rsidP="000E3ACE">
      <w:pPr>
        <w:pStyle w:val="ListParagraph"/>
        <w:numPr>
          <w:ilvl w:val="0"/>
          <w:numId w:val="53"/>
        </w:numPr>
      </w:pPr>
      <w:r>
        <w:t>Outcomes and program logic</w:t>
      </w:r>
    </w:p>
    <w:p w14:paraId="4B7340D7" w14:textId="77777777" w:rsidR="000E3ACE" w:rsidRPr="00D90E36" w:rsidRDefault="000E3ACE" w:rsidP="000E3ACE">
      <w:pPr>
        <w:pStyle w:val="ListParagraph"/>
        <w:numPr>
          <w:ilvl w:val="0"/>
          <w:numId w:val="53"/>
        </w:numPr>
      </w:pPr>
      <w:r>
        <w:t>Delivery approach(es)</w:t>
      </w:r>
    </w:p>
    <w:p w14:paraId="1F8B667A" w14:textId="77777777" w:rsidR="000E3ACE" w:rsidRPr="00D90E36" w:rsidRDefault="000E3ACE" w:rsidP="000E3ACE">
      <w:pPr>
        <w:pStyle w:val="ListParagraph"/>
        <w:numPr>
          <w:ilvl w:val="0"/>
          <w:numId w:val="53"/>
        </w:numPr>
      </w:pPr>
      <w:r>
        <w:t>Policy dialogue and reform opportunities</w:t>
      </w:r>
    </w:p>
    <w:p w14:paraId="20E7EBD3" w14:textId="77777777" w:rsidR="00887333" w:rsidRPr="00D90E36" w:rsidRDefault="00887333" w:rsidP="00C0736E"/>
    <w:tbl>
      <w:tblPr>
        <w:tblStyle w:val="TableGrid"/>
        <w:tblW w:w="14601" w:type="dxa"/>
        <w:tblInd w:w="-147" w:type="dxa"/>
        <w:tblLook w:val="04A0" w:firstRow="1" w:lastRow="0" w:firstColumn="1" w:lastColumn="0" w:noHBand="0" w:noVBand="1"/>
      </w:tblPr>
      <w:tblGrid>
        <w:gridCol w:w="3828"/>
        <w:gridCol w:w="4252"/>
        <w:gridCol w:w="3261"/>
        <w:gridCol w:w="3260"/>
      </w:tblGrid>
      <w:tr w:rsidR="004141DC" w:rsidRPr="00D90E36" w14:paraId="7E9D4AD0" w14:textId="77777777" w:rsidTr="00A15818">
        <w:trPr>
          <w:tblHeader/>
        </w:trPr>
        <w:tc>
          <w:tcPr>
            <w:tcW w:w="3828" w:type="dxa"/>
            <w:tcBorders>
              <w:left w:val="single" w:sz="4" w:space="0" w:color="auto"/>
            </w:tcBorders>
            <w:shd w:val="clear" w:color="auto" w:fill="D4EAF3" w:themeFill="accent1" w:themeFillTint="33"/>
          </w:tcPr>
          <w:p w14:paraId="78264ADF" w14:textId="77777777"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Good, very good (rating 5-6) </w:t>
            </w:r>
          </w:p>
        </w:tc>
        <w:tc>
          <w:tcPr>
            <w:tcW w:w="4252" w:type="dxa"/>
            <w:shd w:val="clear" w:color="auto" w:fill="D4EAF3" w:themeFill="accent1" w:themeFillTint="33"/>
          </w:tcPr>
          <w:p w14:paraId="7013498A" w14:textId="77777777"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261" w:type="dxa"/>
            <w:shd w:val="clear" w:color="auto" w:fill="D4EAF3" w:themeFill="accent1" w:themeFillTint="33"/>
          </w:tcPr>
          <w:p w14:paraId="2892433C" w14:textId="77777777"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3260" w:type="dxa"/>
            <w:shd w:val="clear" w:color="auto" w:fill="D4EAF3" w:themeFill="accent1" w:themeFillTint="33"/>
          </w:tcPr>
          <w:p w14:paraId="0E2A0F65" w14:textId="77777777"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AF0CBA" w:rsidRPr="00D90E36" w14:paraId="5F06C3A3" w14:textId="77777777" w:rsidTr="00EF4BBC">
        <w:trPr>
          <w:trHeight w:val="818"/>
        </w:trPr>
        <w:tc>
          <w:tcPr>
            <w:tcW w:w="3828" w:type="dxa"/>
            <w:tcBorders>
              <w:left w:val="single" w:sz="4" w:space="0" w:color="auto"/>
            </w:tcBorders>
          </w:tcPr>
          <w:p w14:paraId="53081E73" w14:textId="77777777" w:rsidR="00AF0CBA" w:rsidRPr="00D90E36"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Both end of investment and intermediate outcomes fulfil the requirements in the ‘adequate/rating 4’ box at right.</w:t>
            </w:r>
          </w:p>
          <w:p w14:paraId="7984F1B9" w14:textId="52AD7975" w:rsidR="00AF0CBA" w:rsidRPr="00D90E36"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There is evidence to support DFAT’s assertions that these outcomes are achievable, and that available resources, context, </w:t>
            </w:r>
            <w:r w:rsidR="00185924">
              <w:rPr>
                <w:rFonts w:eastAsia="Calibri Light" w:cs="Times New Roman"/>
                <w:color w:val="auto"/>
                <w:sz w:val="18"/>
                <w:szCs w:val="18"/>
              </w:rPr>
              <w:t xml:space="preserve">including climate context, </w:t>
            </w:r>
            <w:r w:rsidRPr="00D90E36">
              <w:rPr>
                <w:rFonts w:eastAsia="Calibri Light" w:cs="Times New Roman"/>
                <w:color w:val="auto"/>
                <w:sz w:val="18"/>
                <w:szCs w:val="18"/>
              </w:rPr>
              <w:t xml:space="preserve">and relationships have been analysed to confirm this. </w:t>
            </w:r>
          </w:p>
          <w:p w14:paraId="7C3A3F23" w14:textId="77777777" w:rsidR="00AF0CBA"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is evidence that outcomes have been developed in consultation with stakeholders (particularly the partner government</w:t>
            </w:r>
            <w:r>
              <w:rPr>
                <w:rFonts w:eastAsia="Calibri Light" w:cs="Times New Roman"/>
                <w:color w:val="auto"/>
                <w:sz w:val="18"/>
                <w:szCs w:val="18"/>
              </w:rPr>
              <w:t xml:space="preserve"> if relevant</w:t>
            </w:r>
            <w:r w:rsidRPr="00D90E36">
              <w:rPr>
                <w:rFonts w:eastAsia="Calibri Light" w:cs="Times New Roman"/>
                <w:color w:val="auto"/>
                <w:sz w:val="18"/>
                <w:szCs w:val="18"/>
              </w:rPr>
              <w:t>).</w:t>
            </w:r>
          </w:p>
          <w:p w14:paraId="61952882" w14:textId="73E708FC" w:rsidR="00AF0CBA" w:rsidRPr="00D90E36" w:rsidRDefault="00AF0CBA" w:rsidP="00AF0CBA">
            <w:pPr>
              <w:keepLines/>
              <w:spacing w:after="120" w:line="240" w:lineRule="auto"/>
              <w:rPr>
                <w:rFonts w:eastAsia="Calibri Light" w:cs="Times New Roman"/>
                <w:color w:val="auto"/>
                <w:sz w:val="18"/>
                <w:szCs w:val="18"/>
              </w:rPr>
            </w:pPr>
            <w:r>
              <w:rPr>
                <w:rFonts w:eastAsia="Calibri Light" w:cs="Times New Roman"/>
                <w:color w:val="auto"/>
                <w:sz w:val="18"/>
                <w:szCs w:val="18"/>
              </w:rPr>
              <w:t>End of Program outcomes or intermediate outcomes integrate gender equality, climate</w:t>
            </w:r>
            <w:r w:rsidR="008A4329">
              <w:rPr>
                <w:rFonts w:eastAsia="Calibri Light" w:cs="Times New Roman"/>
                <w:color w:val="auto"/>
                <w:sz w:val="18"/>
                <w:szCs w:val="18"/>
              </w:rPr>
              <w:t xml:space="preserve"> change,</w:t>
            </w:r>
            <w:r>
              <w:rPr>
                <w:rFonts w:eastAsia="Calibri Light" w:cs="Times New Roman"/>
                <w:color w:val="auto"/>
                <w:sz w:val="18"/>
                <w:szCs w:val="18"/>
              </w:rPr>
              <w:t xml:space="preserve"> and localisation intent.  </w:t>
            </w:r>
          </w:p>
          <w:p w14:paraId="323FFABD" w14:textId="77777777" w:rsidR="00AF0CBA" w:rsidRPr="00D90E36" w:rsidRDefault="00AF0CBA" w:rsidP="00AF0CBA">
            <w:pPr>
              <w:keepLines/>
              <w:spacing w:after="120" w:line="240" w:lineRule="auto"/>
              <w:rPr>
                <w:rFonts w:eastAsia="Calibri Light" w:cs="Times New Roman"/>
                <w:color w:val="auto"/>
                <w:sz w:val="18"/>
                <w:szCs w:val="18"/>
              </w:rPr>
            </w:pPr>
          </w:p>
          <w:p w14:paraId="330DF10C" w14:textId="77777777" w:rsidR="00AF0CBA" w:rsidRPr="00D90E36" w:rsidRDefault="00AF0CBA" w:rsidP="00AF0CBA">
            <w:pPr>
              <w:keepLines/>
              <w:spacing w:after="120" w:line="240" w:lineRule="auto"/>
              <w:rPr>
                <w:rFonts w:eastAsia="Calibri Light" w:cs="Times New Roman"/>
                <w:color w:val="auto"/>
                <w:sz w:val="18"/>
                <w:szCs w:val="18"/>
              </w:rPr>
            </w:pPr>
          </w:p>
        </w:tc>
        <w:tc>
          <w:tcPr>
            <w:tcW w:w="4252" w:type="dxa"/>
          </w:tcPr>
          <w:p w14:paraId="49C978EC" w14:textId="77777777" w:rsidR="00AF0CBA" w:rsidRPr="00D90E36"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Outcome statements identify changes that can reasonably be expected to occur as a result of the investment, and define: </w:t>
            </w:r>
          </w:p>
          <w:p w14:paraId="5130E53A" w14:textId="77777777" w:rsidR="00AF0CBA" w:rsidRPr="00D90E36" w:rsidRDefault="00AF0CBA" w:rsidP="00AF0CBA">
            <w:pPr>
              <w:pStyle w:val="ListParagraph"/>
              <w:keepLines/>
              <w:numPr>
                <w:ilvl w:val="0"/>
                <w:numId w:val="28"/>
              </w:numPr>
              <w:spacing w:before="0" w:after="0" w:line="240" w:lineRule="auto"/>
              <w:ind w:left="174" w:hanging="142"/>
              <w:contextualSpacing w:val="0"/>
              <w:rPr>
                <w:rFonts w:eastAsia="Calibri Light" w:cs="Times New Roman"/>
                <w:color w:val="auto"/>
                <w:sz w:val="18"/>
                <w:szCs w:val="18"/>
              </w:rPr>
            </w:pPr>
            <w:r w:rsidRPr="00D90E36">
              <w:rPr>
                <w:rFonts w:eastAsia="Calibri Light" w:cs="Times New Roman"/>
                <w:color w:val="auto"/>
                <w:sz w:val="18"/>
                <w:szCs w:val="18"/>
              </w:rPr>
              <w:t xml:space="preserve">An ‘end state’ when the outcome has been achieved </w:t>
            </w:r>
          </w:p>
          <w:p w14:paraId="5BD6C6B3" w14:textId="77777777" w:rsidR="00AF0CBA" w:rsidRPr="00D90E36" w:rsidRDefault="00AF0CBA" w:rsidP="00AF0CBA">
            <w:pPr>
              <w:pStyle w:val="ListParagraph"/>
              <w:keepLines/>
              <w:numPr>
                <w:ilvl w:val="0"/>
                <w:numId w:val="28"/>
              </w:numPr>
              <w:spacing w:before="0" w:after="0" w:line="240" w:lineRule="auto"/>
              <w:ind w:left="174" w:hanging="142"/>
              <w:contextualSpacing w:val="0"/>
              <w:rPr>
                <w:rFonts w:eastAsia="Calibri Light" w:cs="Times New Roman"/>
                <w:color w:val="auto"/>
                <w:sz w:val="18"/>
                <w:szCs w:val="18"/>
              </w:rPr>
            </w:pPr>
            <w:r w:rsidRPr="00D90E36">
              <w:rPr>
                <w:rFonts w:eastAsia="Calibri Light" w:cs="Times New Roman"/>
                <w:color w:val="auto"/>
                <w:sz w:val="18"/>
                <w:szCs w:val="18"/>
              </w:rPr>
              <w:t xml:space="preserve">Who or what is expected to change </w:t>
            </w:r>
          </w:p>
          <w:p w14:paraId="599198B1" w14:textId="77777777" w:rsidR="00AF0CBA" w:rsidRPr="00D90E36" w:rsidRDefault="00AF0CBA" w:rsidP="00AF0CBA">
            <w:pPr>
              <w:pStyle w:val="ListParagraph"/>
              <w:keepLines/>
              <w:numPr>
                <w:ilvl w:val="0"/>
                <w:numId w:val="28"/>
              </w:numPr>
              <w:spacing w:before="0" w:after="0" w:line="240" w:lineRule="auto"/>
              <w:ind w:left="174" w:hanging="142"/>
              <w:contextualSpacing w:val="0"/>
              <w:rPr>
                <w:rFonts w:eastAsia="Calibri Light" w:cs="Times New Roman"/>
                <w:color w:val="auto"/>
                <w:sz w:val="18"/>
                <w:szCs w:val="18"/>
              </w:rPr>
            </w:pPr>
            <w:r w:rsidRPr="00D90E36">
              <w:rPr>
                <w:rFonts w:eastAsia="Calibri Light" w:cs="Times New Roman"/>
                <w:color w:val="auto"/>
                <w:sz w:val="18"/>
                <w:szCs w:val="18"/>
              </w:rPr>
              <w:t>The type of change expected to occur: knowledge (awareness of new ideas, techniques or strategies); action (behaviour change based upon new information/ideas); or condition (organisational or societal condition changes due to the stakeholders’ actions)</w:t>
            </w:r>
          </w:p>
          <w:p w14:paraId="23791632" w14:textId="1E7C26C9" w:rsidR="00AF0CBA" w:rsidRDefault="00AF0CBA" w:rsidP="00AF0CBA">
            <w:pPr>
              <w:pStyle w:val="ListParagraph"/>
              <w:keepLines/>
              <w:numPr>
                <w:ilvl w:val="0"/>
                <w:numId w:val="28"/>
              </w:numPr>
              <w:spacing w:before="0" w:after="0" w:line="240" w:lineRule="auto"/>
              <w:ind w:left="174" w:hanging="142"/>
              <w:contextualSpacing w:val="0"/>
              <w:rPr>
                <w:rFonts w:eastAsia="Calibri Light" w:cs="Times New Roman"/>
                <w:color w:val="auto"/>
                <w:sz w:val="18"/>
                <w:szCs w:val="18"/>
              </w:rPr>
            </w:pPr>
            <w:r w:rsidRPr="00D90E36">
              <w:rPr>
                <w:rFonts w:eastAsia="Calibri Light" w:cs="Times New Roman"/>
                <w:color w:val="auto"/>
                <w:sz w:val="18"/>
                <w:szCs w:val="18"/>
              </w:rPr>
              <w:t>When the changes are expected to be seen</w:t>
            </w:r>
          </w:p>
          <w:p w14:paraId="48112669" w14:textId="77777777" w:rsidR="00AF0CBA" w:rsidRPr="00AF0CBA" w:rsidRDefault="00AF0CBA" w:rsidP="00AF0CBA">
            <w:pPr>
              <w:keepLines/>
              <w:spacing w:before="0" w:after="0" w:line="240" w:lineRule="auto"/>
              <w:rPr>
                <w:rFonts w:eastAsia="Calibri Light" w:cs="Times New Roman"/>
                <w:color w:val="auto"/>
                <w:sz w:val="18"/>
                <w:szCs w:val="18"/>
              </w:rPr>
            </w:pPr>
          </w:p>
          <w:p w14:paraId="0C250C5A" w14:textId="512C7AD2" w:rsidR="00AF0CBA" w:rsidRPr="00D90E36" w:rsidRDefault="00AF0CBA" w:rsidP="00AF0CBA">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DFAT’s level of ambition for the investment is realistic, taking into account the human and financial resources, context, </w:t>
            </w:r>
            <w:r w:rsidR="003407D4">
              <w:rPr>
                <w:rFonts w:eastAsia="Calibri Light" w:cs="Times New Roman"/>
                <w:color w:val="auto"/>
                <w:sz w:val="18"/>
                <w:szCs w:val="18"/>
              </w:rPr>
              <w:t xml:space="preserve">including climate context, </w:t>
            </w:r>
            <w:r w:rsidRPr="00D90E36">
              <w:rPr>
                <w:rFonts w:eastAsia="Calibri Light" w:cs="Times New Roman"/>
                <w:color w:val="auto"/>
                <w:sz w:val="18"/>
                <w:szCs w:val="18"/>
              </w:rPr>
              <w:t xml:space="preserve">and relationships.  </w:t>
            </w:r>
          </w:p>
          <w:p w14:paraId="6BB23E25" w14:textId="04579C0F" w:rsidR="00AF0CBA" w:rsidRPr="00D90E36"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Outcomes are demonstrably acceptable to identified key stakeholders.</w:t>
            </w:r>
          </w:p>
        </w:tc>
        <w:tc>
          <w:tcPr>
            <w:tcW w:w="3261" w:type="dxa"/>
          </w:tcPr>
          <w:p w14:paraId="2431C83E" w14:textId="77777777" w:rsidR="00AF0CBA" w:rsidRPr="00D90E36"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It is not clear who or what will change as a result of the investment, in what way, and/or by when.  </w:t>
            </w:r>
          </w:p>
          <w:p w14:paraId="24DBC373" w14:textId="77777777" w:rsidR="00AF0CBA" w:rsidRPr="00D90E36"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Outcomes are overly or insufficiently ambitious, taking into account the human and financial resources, context, and relationships.  </w:t>
            </w:r>
          </w:p>
          <w:p w14:paraId="1DE5CCD9" w14:textId="77777777" w:rsidR="00AF0CBA"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Stakeholder perspectives on outcomes are poorly explained. </w:t>
            </w:r>
          </w:p>
          <w:p w14:paraId="13F071E8" w14:textId="4A49E0D2" w:rsidR="00AF0CBA" w:rsidRPr="00D90E36" w:rsidRDefault="00AF0CBA" w:rsidP="00AF0CBA">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End of Program outcomes and/or intermediate outcomes fail to integrate gender equality, climate </w:t>
            </w:r>
            <w:r w:rsidR="008A4329">
              <w:rPr>
                <w:rFonts w:eastAsia="Calibri Light" w:cs="Times New Roman"/>
                <w:color w:val="auto"/>
                <w:sz w:val="18"/>
                <w:szCs w:val="18"/>
              </w:rPr>
              <w:t>change, and</w:t>
            </w:r>
            <w:r>
              <w:rPr>
                <w:rFonts w:eastAsia="Calibri Light" w:cs="Times New Roman"/>
                <w:color w:val="auto"/>
                <w:sz w:val="18"/>
                <w:szCs w:val="18"/>
              </w:rPr>
              <w:t xml:space="preserve"> localisation intent.  </w:t>
            </w:r>
          </w:p>
          <w:p w14:paraId="1A80F786" w14:textId="300AAA3E" w:rsidR="00AF0CBA" w:rsidRPr="00D90E36" w:rsidRDefault="00AF0CBA" w:rsidP="00AF0CBA">
            <w:pPr>
              <w:keepLines/>
              <w:spacing w:after="120" w:line="240" w:lineRule="auto"/>
              <w:rPr>
                <w:rFonts w:eastAsia="Calibri Light" w:cs="Times New Roman"/>
                <w:color w:val="auto"/>
                <w:sz w:val="18"/>
                <w:szCs w:val="18"/>
              </w:rPr>
            </w:pPr>
          </w:p>
        </w:tc>
        <w:tc>
          <w:tcPr>
            <w:tcW w:w="3260" w:type="dxa"/>
          </w:tcPr>
          <w:p w14:paraId="0A4E994A" w14:textId="77777777" w:rsidR="00AF0CBA" w:rsidRPr="00D90E36"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Outcomes are set out as general statements of intent, or strategic goals. </w:t>
            </w:r>
          </w:p>
          <w:p w14:paraId="4399593C" w14:textId="03356BD5" w:rsidR="00AF0CBA" w:rsidRPr="00D90E36" w:rsidRDefault="00AF0CBA" w:rsidP="00AF0CBA">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Stakeholder perspectives are not defined.</w:t>
            </w:r>
          </w:p>
          <w:p w14:paraId="308E52AF" w14:textId="77777777" w:rsidR="00AF0CBA" w:rsidRPr="00D90E36" w:rsidRDefault="00AF0CBA" w:rsidP="00AF0CBA">
            <w:pPr>
              <w:keepLines/>
              <w:spacing w:after="120" w:line="240" w:lineRule="auto"/>
              <w:rPr>
                <w:rFonts w:eastAsia="Calibri Light" w:cs="Times New Roman"/>
                <w:color w:val="auto"/>
                <w:sz w:val="18"/>
                <w:szCs w:val="18"/>
              </w:rPr>
            </w:pPr>
          </w:p>
        </w:tc>
      </w:tr>
      <w:tr w:rsidR="001047F7" w:rsidRPr="00D90E36" w14:paraId="4D1E8E6C" w14:textId="77777777" w:rsidTr="00967668">
        <w:trPr>
          <w:trHeight w:val="4205"/>
        </w:trPr>
        <w:tc>
          <w:tcPr>
            <w:tcW w:w="3828" w:type="dxa"/>
          </w:tcPr>
          <w:p w14:paraId="6BB6C6D1" w14:textId="04ECF82F"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lastRenderedPageBreak/>
              <w:t xml:space="preserve">A program logic explains the causal sequence through which DFAT expects to achieve the desired outcomes, beginning with inputs, moving through activities, outputs, intermediate and end of investment outcomes, and a compelling case for how the end-of-program outcomes are expected to contribute to the investment’s broader </w:t>
            </w:r>
            <w:r w:rsidR="00C222BB" w:rsidRPr="00D90E36">
              <w:rPr>
                <w:rFonts w:eastAsia="Calibri Light" w:cs="Times New Roman"/>
                <w:color w:val="auto"/>
                <w:sz w:val="18"/>
                <w:szCs w:val="18"/>
              </w:rPr>
              <w:t>goals.</w:t>
            </w:r>
            <w:r w:rsidR="00C222BB">
              <w:rPr>
                <w:rFonts w:eastAsia="Calibri Light" w:cs="Times New Roman"/>
                <w:color w:val="auto"/>
                <w:sz w:val="18"/>
                <w:szCs w:val="18"/>
              </w:rPr>
              <w:t xml:space="preserve"> It</w:t>
            </w:r>
            <w:r w:rsidR="00A76B52">
              <w:rPr>
                <w:rFonts w:eastAsia="Calibri Light" w:cs="Times New Roman"/>
                <w:color w:val="auto"/>
                <w:sz w:val="18"/>
                <w:szCs w:val="18"/>
              </w:rPr>
              <w:t xml:space="preserve"> should also </w:t>
            </w:r>
            <w:r w:rsidR="00C222BB">
              <w:rPr>
                <w:rFonts w:eastAsia="Calibri Light" w:cs="Times New Roman"/>
                <w:color w:val="auto"/>
                <w:sz w:val="18"/>
                <w:szCs w:val="18"/>
              </w:rPr>
              <w:t>identify assumptions and uncertainty, such as the uncertainty over climate change and disasters on the program logic.</w:t>
            </w:r>
            <w:r w:rsidRPr="00D90E36">
              <w:rPr>
                <w:rFonts w:eastAsia="Calibri Light" w:cs="Times New Roman"/>
                <w:color w:val="auto"/>
                <w:sz w:val="18"/>
                <w:szCs w:val="18"/>
              </w:rPr>
              <w:t xml:space="preserve"> </w:t>
            </w:r>
          </w:p>
          <w:p w14:paraId="5DF63929" w14:textId="77777777"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program logic is articulated in a graphic and in plain English, with clear and specific language, and was developed through extensive consultation and stakeholder involvement.</w:t>
            </w:r>
          </w:p>
          <w:p w14:paraId="6223514D" w14:textId="49FBAFD6"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It is supported by strong evidence and past practice, and demonstrates analysis and testing in the specific context, including explanations of assumptions and risks.</w:t>
            </w:r>
          </w:p>
        </w:tc>
        <w:tc>
          <w:tcPr>
            <w:tcW w:w="4252" w:type="dxa"/>
          </w:tcPr>
          <w:p w14:paraId="57958BB1" w14:textId="2A05B6A8" w:rsidR="001047F7"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End of program outcomes or intermediate outcomes consider cross-cutting issues such as gender equality, climate </w:t>
            </w:r>
            <w:r w:rsidR="008A4329">
              <w:rPr>
                <w:rFonts w:eastAsia="Calibri Light" w:cs="Times New Roman"/>
                <w:color w:val="auto"/>
                <w:sz w:val="18"/>
                <w:szCs w:val="18"/>
              </w:rPr>
              <w:t xml:space="preserve">change, </w:t>
            </w:r>
            <w:r>
              <w:rPr>
                <w:rFonts w:eastAsia="Calibri Light" w:cs="Times New Roman"/>
                <w:color w:val="auto"/>
                <w:sz w:val="18"/>
                <w:szCs w:val="18"/>
              </w:rPr>
              <w:t xml:space="preserve">and localisation intent.  </w:t>
            </w:r>
          </w:p>
          <w:p w14:paraId="1F1CF52C" w14:textId="6F9DDE6D"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There is a program logic that explains credible causal links between activities, outputs, and outcomes. </w:t>
            </w:r>
            <w:r w:rsidR="00245D05">
              <w:rPr>
                <w:rFonts w:eastAsia="Calibri Light" w:cs="Times New Roman"/>
                <w:color w:val="auto"/>
                <w:sz w:val="18"/>
                <w:szCs w:val="18"/>
              </w:rPr>
              <w:t>The program logic also articulates some assumptions and uncertainty.</w:t>
            </w:r>
            <w:r w:rsidRPr="00D90E36">
              <w:rPr>
                <w:rFonts w:eastAsia="Calibri Light" w:cs="Times New Roman"/>
                <w:color w:val="auto"/>
                <w:sz w:val="18"/>
                <w:szCs w:val="18"/>
              </w:rPr>
              <w:t xml:space="preserve"> </w:t>
            </w:r>
          </w:p>
          <w:p w14:paraId="34F653BB" w14:textId="77777777"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program logic is expressed in a graphic and in plain English, using language that can be understood by stakeholders.  </w:t>
            </w:r>
          </w:p>
          <w:p w14:paraId="68F6EFFE" w14:textId="77777777"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may be little evidence of previous success or achievement, but there is an explanation of how it will be tested and reviewed throughout implementation.</w:t>
            </w:r>
          </w:p>
          <w:p w14:paraId="0F358982" w14:textId="77777777" w:rsidR="001047F7" w:rsidRPr="00D90E36" w:rsidRDefault="001047F7" w:rsidP="001047F7">
            <w:pPr>
              <w:keepLines/>
              <w:spacing w:after="120" w:line="240" w:lineRule="auto"/>
              <w:rPr>
                <w:rFonts w:eastAsia="Calibri Light" w:cs="Times New Roman"/>
                <w:color w:val="auto"/>
                <w:sz w:val="18"/>
                <w:szCs w:val="18"/>
              </w:rPr>
            </w:pPr>
          </w:p>
        </w:tc>
        <w:tc>
          <w:tcPr>
            <w:tcW w:w="3261" w:type="dxa"/>
          </w:tcPr>
          <w:p w14:paraId="17E54D93" w14:textId="77777777"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Links between activities, outputs and outcomes are tenuous, poorly defined, and/or depend on significant assumptions that pose crucial threats to the investment.</w:t>
            </w:r>
          </w:p>
          <w:p w14:paraId="52DDCFD3" w14:textId="77777777"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graphic or narrative explanation is absent or unclear. </w:t>
            </w:r>
          </w:p>
          <w:p w14:paraId="795E9487" w14:textId="227AC02C"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Evidence to support the logic is absent, with little to no reference to ongoing testing and review. </w:t>
            </w:r>
          </w:p>
        </w:tc>
        <w:tc>
          <w:tcPr>
            <w:tcW w:w="3260" w:type="dxa"/>
          </w:tcPr>
          <w:p w14:paraId="5A2B2EC0" w14:textId="77777777" w:rsidR="001047F7" w:rsidRPr="00D90E36"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is little evidence, or outline of causal linkages, to suggest that the investment will achieve the intended outcomes.</w:t>
            </w:r>
          </w:p>
          <w:p w14:paraId="70AA3776" w14:textId="77777777" w:rsidR="001047F7" w:rsidRPr="00D90E36" w:rsidRDefault="001047F7" w:rsidP="001047F7">
            <w:pPr>
              <w:keepLines/>
              <w:spacing w:after="120" w:line="240" w:lineRule="auto"/>
              <w:rPr>
                <w:rFonts w:eastAsia="Calibri Light" w:cs="Times New Roman"/>
                <w:color w:val="auto"/>
                <w:sz w:val="18"/>
                <w:szCs w:val="18"/>
              </w:rPr>
            </w:pPr>
          </w:p>
        </w:tc>
      </w:tr>
      <w:tr w:rsidR="001047F7" w:rsidRPr="00D90E36" w14:paraId="5380EE91" w14:textId="77777777" w:rsidTr="00EF4BBC">
        <w:tc>
          <w:tcPr>
            <w:tcW w:w="3828" w:type="dxa"/>
          </w:tcPr>
          <w:p w14:paraId="27AD7D07" w14:textId="77777777" w:rsidR="001047F7"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The</w:t>
            </w:r>
            <w:r w:rsidRPr="00D90E36">
              <w:rPr>
                <w:rFonts w:eastAsia="Calibri Light" w:cs="Times New Roman"/>
                <w:color w:val="auto"/>
                <w:sz w:val="18"/>
                <w:szCs w:val="18"/>
              </w:rPr>
              <w:t xml:space="preserve"> </w:t>
            </w:r>
            <w:r>
              <w:rPr>
                <w:rFonts w:eastAsia="Calibri Light" w:cs="Times New Roman"/>
                <w:color w:val="auto"/>
                <w:sz w:val="18"/>
                <w:szCs w:val="18"/>
              </w:rPr>
              <w:t>delivery</w:t>
            </w:r>
            <w:r w:rsidRPr="00D90E36">
              <w:rPr>
                <w:rFonts w:eastAsia="Calibri Light" w:cs="Times New Roman"/>
                <w:color w:val="auto"/>
                <w:sz w:val="18"/>
                <w:szCs w:val="18"/>
              </w:rPr>
              <w:t xml:space="preserve"> approach</w:t>
            </w:r>
            <w:r>
              <w:rPr>
                <w:rFonts w:eastAsia="Calibri Light" w:cs="Times New Roman"/>
                <w:color w:val="auto"/>
                <w:sz w:val="18"/>
                <w:szCs w:val="18"/>
              </w:rPr>
              <w:t xml:space="preserve"> is clearly articulated and there is evidence it will be able to achieve the intended outcomes</w:t>
            </w:r>
            <w:r w:rsidRPr="00D90E36">
              <w:rPr>
                <w:rFonts w:eastAsia="Calibri Light" w:cs="Times New Roman"/>
                <w:color w:val="auto"/>
                <w:sz w:val="18"/>
                <w:szCs w:val="18"/>
              </w:rPr>
              <w:t xml:space="preserve">. </w:t>
            </w:r>
          </w:p>
          <w:p w14:paraId="45A23468" w14:textId="77777777" w:rsidR="001047F7"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Key stakeholders have been closely involved in developing the delivery approach. </w:t>
            </w:r>
          </w:p>
          <w:p w14:paraId="506C7D18" w14:textId="7AC162D4" w:rsidR="001047F7" w:rsidRPr="00D90E36"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The approach provides strong flexibility which allows for continued adaptation to context. </w:t>
            </w:r>
          </w:p>
        </w:tc>
        <w:tc>
          <w:tcPr>
            <w:tcW w:w="4252" w:type="dxa"/>
          </w:tcPr>
          <w:p w14:paraId="62D28F97" w14:textId="77777777" w:rsidR="001047F7"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delivery approach is clearly articulated</w:t>
            </w:r>
            <w:r>
              <w:rPr>
                <w:rFonts w:eastAsia="Calibri Light" w:cs="Times New Roman"/>
                <w:color w:val="auto"/>
                <w:sz w:val="18"/>
                <w:szCs w:val="18"/>
              </w:rPr>
              <w:t xml:space="preserve"> and</w:t>
            </w:r>
            <w:r w:rsidRPr="00D90E36">
              <w:rPr>
                <w:rFonts w:eastAsia="Calibri Light" w:cs="Times New Roman"/>
                <w:color w:val="auto"/>
                <w:sz w:val="18"/>
                <w:szCs w:val="18"/>
              </w:rPr>
              <w:t xml:space="preserve"> there is evidence that it is appropriate to the context</w:t>
            </w:r>
            <w:r>
              <w:rPr>
                <w:rFonts w:eastAsia="Calibri Light" w:cs="Times New Roman"/>
                <w:color w:val="auto"/>
                <w:sz w:val="18"/>
                <w:szCs w:val="18"/>
              </w:rPr>
              <w:t xml:space="preserve"> and may be able to achieve the intended outcomes. </w:t>
            </w:r>
          </w:p>
          <w:p w14:paraId="42DB8EBD" w14:textId="77777777" w:rsidR="001047F7"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Key stakeholders </w:t>
            </w:r>
            <w:r w:rsidRPr="00D90E36">
              <w:rPr>
                <w:rFonts w:eastAsia="Calibri Light" w:cs="Times New Roman"/>
                <w:color w:val="auto"/>
                <w:sz w:val="18"/>
                <w:szCs w:val="18"/>
              </w:rPr>
              <w:t>(e.g. partner government)</w:t>
            </w:r>
            <w:r>
              <w:rPr>
                <w:rFonts w:eastAsia="Calibri Light" w:cs="Times New Roman"/>
                <w:color w:val="auto"/>
                <w:sz w:val="18"/>
                <w:szCs w:val="18"/>
              </w:rPr>
              <w:t xml:space="preserve"> have agreed to the delivery approach</w:t>
            </w:r>
            <w:r w:rsidRPr="00D90E36">
              <w:rPr>
                <w:rFonts w:eastAsia="Calibri Light" w:cs="Times New Roman"/>
                <w:color w:val="auto"/>
                <w:sz w:val="18"/>
                <w:szCs w:val="18"/>
              </w:rPr>
              <w:t>.</w:t>
            </w:r>
          </w:p>
          <w:p w14:paraId="6D07D6E9" w14:textId="7BFFBE4D" w:rsidR="001047F7" w:rsidRPr="00D90E36"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The approach provides some flexibility to adapt to context. </w:t>
            </w:r>
          </w:p>
        </w:tc>
        <w:tc>
          <w:tcPr>
            <w:tcW w:w="3261" w:type="dxa"/>
          </w:tcPr>
          <w:p w14:paraId="025599A7" w14:textId="77777777" w:rsidR="001047F7"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delivery approach </w:t>
            </w:r>
            <w:r>
              <w:rPr>
                <w:rFonts w:eastAsia="Calibri Light" w:cs="Times New Roman"/>
                <w:color w:val="auto"/>
                <w:sz w:val="18"/>
                <w:szCs w:val="18"/>
              </w:rPr>
              <w:t>is</w:t>
            </w:r>
            <w:r w:rsidRPr="00D90E36">
              <w:rPr>
                <w:rFonts w:eastAsia="Calibri Light" w:cs="Times New Roman"/>
                <w:color w:val="auto"/>
                <w:sz w:val="18"/>
                <w:szCs w:val="18"/>
              </w:rPr>
              <w:t xml:space="preserve"> not clearly explained and</w:t>
            </w:r>
            <w:r>
              <w:rPr>
                <w:rFonts w:eastAsia="Calibri Light" w:cs="Times New Roman"/>
                <w:color w:val="auto"/>
                <w:sz w:val="18"/>
                <w:szCs w:val="18"/>
              </w:rPr>
              <w:t xml:space="preserve"> there is limited evidence it will achieve the intended outcomes</w:t>
            </w:r>
            <w:r w:rsidRPr="00D90E36">
              <w:rPr>
                <w:rFonts w:eastAsia="Calibri Light" w:cs="Times New Roman"/>
                <w:color w:val="auto"/>
                <w:sz w:val="18"/>
                <w:szCs w:val="18"/>
              </w:rPr>
              <w:t>.</w:t>
            </w:r>
          </w:p>
          <w:p w14:paraId="28F43C7D" w14:textId="77777777" w:rsidR="001047F7"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Key stakeholders have not been consulted on the delivery approach. </w:t>
            </w:r>
          </w:p>
          <w:p w14:paraId="3CC15051" w14:textId="77777777" w:rsidR="001047F7" w:rsidRPr="00F76879"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There is very limited ability to adapt to context once implementation begins. </w:t>
            </w:r>
          </w:p>
          <w:p w14:paraId="23BBDDEF" w14:textId="1D34816B" w:rsidR="001047F7" w:rsidRPr="00D90E36" w:rsidRDefault="001047F7" w:rsidP="001047F7">
            <w:pPr>
              <w:keepLines/>
              <w:spacing w:after="120" w:line="240" w:lineRule="auto"/>
              <w:rPr>
                <w:rFonts w:eastAsia="Calibri Light" w:cs="Times New Roman"/>
                <w:color w:val="auto"/>
                <w:sz w:val="18"/>
                <w:szCs w:val="18"/>
              </w:rPr>
            </w:pPr>
          </w:p>
        </w:tc>
        <w:tc>
          <w:tcPr>
            <w:tcW w:w="3260" w:type="dxa"/>
          </w:tcPr>
          <w:p w14:paraId="467F2521" w14:textId="77777777" w:rsidR="001047F7" w:rsidRDefault="001047F7" w:rsidP="001047F7">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delivery approach is inappropriate, and/or there is no explanation.</w:t>
            </w:r>
          </w:p>
          <w:p w14:paraId="793DD0D2" w14:textId="16C05076" w:rsidR="001047F7" w:rsidRPr="00D90E36" w:rsidRDefault="001047F7" w:rsidP="001047F7">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No flexibility is evident. </w:t>
            </w:r>
          </w:p>
        </w:tc>
      </w:tr>
    </w:tbl>
    <w:p w14:paraId="38AD551F" w14:textId="77777777" w:rsidR="00D62976" w:rsidRDefault="00D62976">
      <w:r>
        <w:br w:type="page"/>
      </w:r>
    </w:p>
    <w:tbl>
      <w:tblPr>
        <w:tblStyle w:val="TableGrid"/>
        <w:tblW w:w="14601" w:type="dxa"/>
        <w:tblInd w:w="-147" w:type="dxa"/>
        <w:tblLook w:val="04A0" w:firstRow="1" w:lastRow="0" w:firstColumn="1" w:lastColumn="0" w:noHBand="0" w:noVBand="1"/>
      </w:tblPr>
      <w:tblGrid>
        <w:gridCol w:w="3828"/>
        <w:gridCol w:w="4252"/>
        <w:gridCol w:w="3261"/>
        <w:gridCol w:w="3260"/>
      </w:tblGrid>
      <w:tr w:rsidR="00D62976" w:rsidRPr="00A727BE" w14:paraId="1307EA1D" w14:textId="77777777" w:rsidTr="00A727BE">
        <w:trPr>
          <w:trHeight w:val="460"/>
        </w:trPr>
        <w:tc>
          <w:tcPr>
            <w:tcW w:w="3828" w:type="dxa"/>
            <w:shd w:val="clear" w:color="auto" w:fill="BCE1E5" w:themeFill="accent2" w:themeFillTint="66"/>
          </w:tcPr>
          <w:p w14:paraId="207918FB" w14:textId="5A6B8EF9" w:rsidR="00D62976" w:rsidRPr="00A727BE" w:rsidRDefault="00D62976" w:rsidP="00A727BE">
            <w:pPr>
              <w:keepLines/>
              <w:spacing w:after="120" w:line="240" w:lineRule="auto"/>
              <w:jc w:val="center"/>
              <w:rPr>
                <w:rFonts w:eastAsia="Calibri Light" w:cs="Times New Roman"/>
                <w:b/>
                <w:bCs/>
                <w:i/>
                <w:iCs/>
                <w:color w:val="auto"/>
                <w:sz w:val="18"/>
                <w:szCs w:val="18"/>
              </w:rPr>
            </w:pPr>
            <w:r w:rsidRPr="00A727BE">
              <w:rPr>
                <w:rFonts w:eastAsia="Calibri Light" w:cs="Times New Roman"/>
                <w:b/>
                <w:bCs/>
                <w:i/>
                <w:iCs/>
                <w:color w:val="auto"/>
                <w:sz w:val="18"/>
                <w:szCs w:val="18"/>
              </w:rPr>
              <w:lastRenderedPageBreak/>
              <w:t>Good/very good (rating 5-6)</w:t>
            </w:r>
          </w:p>
        </w:tc>
        <w:tc>
          <w:tcPr>
            <w:tcW w:w="4252" w:type="dxa"/>
            <w:shd w:val="clear" w:color="auto" w:fill="BCE1E5" w:themeFill="accent2" w:themeFillTint="66"/>
          </w:tcPr>
          <w:p w14:paraId="60C01E89" w14:textId="19986C16" w:rsidR="00D62976" w:rsidRPr="00A727BE" w:rsidRDefault="00D62976" w:rsidP="00A727BE">
            <w:pPr>
              <w:keepLines/>
              <w:spacing w:after="120" w:line="240" w:lineRule="auto"/>
              <w:jc w:val="center"/>
              <w:rPr>
                <w:rFonts w:eastAsia="Calibri Light" w:cs="Times New Roman"/>
                <w:b/>
                <w:bCs/>
                <w:i/>
                <w:iCs/>
                <w:color w:val="auto"/>
                <w:sz w:val="18"/>
                <w:szCs w:val="18"/>
              </w:rPr>
            </w:pPr>
            <w:r w:rsidRPr="00A727BE">
              <w:rPr>
                <w:rFonts w:eastAsia="Calibri Light" w:cs="Times New Roman"/>
                <w:b/>
                <w:bCs/>
                <w:i/>
                <w:iCs/>
                <w:color w:val="auto"/>
                <w:sz w:val="18"/>
                <w:szCs w:val="18"/>
              </w:rPr>
              <w:t>Adequate (rating 4)</w:t>
            </w:r>
          </w:p>
        </w:tc>
        <w:tc>
          <w:tcPr>
            <w:tcW w:w="3261" w:type="dxa"/>
            <w:shd w:val="clear" w:color="auto" w:fill="BCE1E5" w:themeFill="accent2" w:themeFillTint="66"/>
          </w:tcPr>
          <w:p w14:paraId="4560674E" w14:textId="1DC98AA7" w:rsidR="00D62976" w:rsidRPr="00A727BE" w:rsidRDefault="00D62976" w:rsidP="00A727BE">
            <w:pPr>
              <w:keepLines/>
              <w:spacing w:after="120" w:line="240" w:lineRule="auto"/>
              <w:jc w:val="center"/>
              <w:rPr>
                <w:rFonts w:eastAsia="Calibri Light" w:cs="Times New Roman"/>
                <w:b/>
                <w:bCs/>
                <w:i/>
                <w:iCs/>
                <w:color w:val="auto"/>
                <w:sz w:val="18"/>
                <w:szCs w:val="18"/>
              </w:rPr>
            </w:pPr>
            <w:r w:rsidRPr="00A727BE">
              <w:rPr>
                <w:rFonts w:eastAsia="Calibri Light" w:cs="Times New Roman"/>
                <w:b/>
                <w:bCs/>
                <w:i/>
                <w:iCs/>
                <w:color w:val="auto"/>
                <w:sz w:val="18"/>
                <w:szCs w:val="18"/>
              </w:rPr>
              <w:t>Less than adequate (rating 3)</w:t>
            </w:r>
          </w:p>
        </w:tc>
        <w:tc>
          <w:tcPr>
            <w:tcW w:w="3260" w:type="dxa"/>
            <w:shd w:val="clear" w:color="auto" w:fill="BCE1E5" w:themeFill="accent2" w:themeFillTint="66"/>
          </w:tcPr>
          <w:p w14:paraId="1E67E6A4" w14:textId="085282D6" w:rsidR="00D62976" w:rsidRPr="00A727BE" w:rsidRDefault="00D62976" w:rsidP="00A727BE">
            <w:pPr>
              <w:keepLines/>
              <w:spacing w:after="120" w:line="240" w:lineRule="auto"/>
              <w:jc w:val="center"/>
              <w:rPr>
                <w:rFonts w:eastAsia="Calibri Light" w:cs="Times New Roman"/>
                <w:b/>
                <w:bCs/>
                <w:i/>
                <w:iCs/>
                <w:color w:val="auto"/>
                <w:sz w:val="18"/>
                <w:szCs w:val="18"/>
              </w:rPr>
            </w:pPr>
            <w:r w:rsidRPr="00A727BE">
              <w:rPr>
                <w:rFonts w:eastAsia="Calibri Light" w:cs="Times New Roman"/>
                <w:b/>
                <w:bCs/>
                <w:i/>
                <w:iCs/>
                <w:color w:val="auto"/>
                <w:sz w:val="18"/>
                <w:szCs w:val="18"/>
              </w:rPr>
              <w:t>Poor</w:t>
            </w:r>
            <w:r w:rsidR="00A727BE" w:rsidRPr="00A727BE">
              <w:rPr>
                <w:rFonts w:eastAsia="Calibri Light" w:cs="Times New Roman"/>
                <w:b/>
                <w:bCs/>
                <w:i/>
                <w:iCs/>
                <w:color w:val="auto"/>
                <w:sz w:val="18"/>
                <w:szCs w:val="18"/>
              </w:rPr>
              <w:t>/</w:t>
            </w:r>
            <w:r w:rsidRPr="00A727BE">
              <w:rPr>
                <w:rFonts w:eastAsia="Calibri Light" w:cs="Times New Roman"/>
                <w:b/>
                <w:bCs/>
                <w:i/>
                <w:iCs/>
                <w:color w:val="auto"/>
                <w:sz w:val="18"/>
                <w:szCs w:val="18"/>
              </w:rPr>
              <w:t>ver</w:t>
            </w:r>
            <w:r w:rsidR="00A727BE" w:rsidRPr="00A727BE">
              <w:rPr>
                <w:rFonts w:eastAsia="Calibri Light" w:cs="Times New Roman"/>
                <w:b/>
                <w:bCs/>
                <w:i/>
                <w:iCs/>
                <w:color w:val="auto"/>
                <w:sz w:val="18"/>
                <w:szCs w:val="18"/>
              </w:rPr>
              <w:t>y poor (rating 1-2)</w:t>
            </w:r>
          </w:p>
        </w:tc>
      </w:tr>
      <w:tr w:rsidR="00516462" w:rsidRPr="00D90E36" w14:paraId="5CEAA09B" w14:textId="77777777" w:rsidTr="00EF4BBC">
        <w:trPr>
          <w:trHeight w:val="460"/>
        </w:trPr>
        <w:tc>
          <w:tcPr>
            <w:tcW w:w="3828" w:type="dxa"/>
            <w:vMerge w:val="restart"/>
          </w:tcPr>
          <w:p w14:paraId="2D1B860B" w14:textId="4CCEE829" w:rsidR="00516462" w:rsidRPr="00D90E36" w:rsidRDefault="00516462" w:rsidP="00516462">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Australia’s expectations for leveraging the investment to strengthen policy engagement</w:t>
            </w:r>
            <w:r>
              <w:rPr>
                <w:rFonts w:eastAsia="Calibri Light" w:cs="Times New Roman"/>
                <w:color w:val="auto"/>
                <w:sz w:val="18"/>
                <w:szCs w:val="18"/>
              </w:rPr>
              <w:t xml:space="preserve"> and dialogue</w:t>
            </w:r>
            <w:r w:rsidRPr="00D90E36">
              <w:rPr>
                <w:rFonts w:eastAsia="Calibri Light" w:cs="Times New Roman"/>
                <w:color w:val="auto"/>
                <w:sz w:val="18"/>
                <w:szCs w:val="18"/>
              </w:rPr>
              <w:t xml:space="preserve"> are set out. Contributions to broader objectives are clearly articulated.</w:t>
            </w:r>
          </w:p>
          <w:p w14:paraId="13F22333" w14:textId="383D0A32" w:rsidR="00516462" w:rsidRDefault="00516462" w:rsidP="00516462">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Roles, responsibilities</w:t>
            </w:r>
            <w:r w:rsidR="008A4329">
              <w:rPr>
                <w:rFonts w:eastAsia="Calibri Light" w:cs="Times New Roman"/>
                <w:color w:val="auto"/>
                <w:sz w:val="18"/>
                <w:szCs w:val="18"/>
              </w:rPr>
              <w:t>,</w:t>
            </w:r>
            <w:r w:rsidRPr="00D90E36">
              <w:rPr>
                <w:rFonts w:eastAsia="Calibri Light" w:cs="Times New Roman"/>
                <w:color w:val="auto"/>
                <w:sz w:val="18"/>
                <w:szCs w:val="18"/>
              </w:rPr>
              <w:t xml:space="preserve"> and opportunities for policy dialogue are outlined, with reference to DFAT and partner staff at various levels. </w:t>
            </w:r>
          </w:p>
          <w:p w14:paraId="2750D9CC" w14:textId="18BCFEBA" w:rsidR="00516462" w:rsidRPr="00D90E36" w:rsidRDefault="00516462" w:rsidP="00516462">
            <w:pPr>
              <w:keepLines/>
              <w:spacing w:after="120" w:line="240" w:lineRule="auto"/>
              <w:rPr>
                <w:rFonts w:eastAsia="Calibri Light" w:cs="Times New Roman"/>
                <w:color w:val="auto"/>
                <w:sz w:val="18"/>
                <w:szCs w:val="18"/>
              </w:rPr>
            </w:pPr>
            <w:r>
              <w:rPr>
                <w:rFonts w:eastAsia="Calibri Light" w:cs="Times New Roman"/>
                <w:color w:val="auto"/>
                <w:sz w:val="18"/>
                <w:szCs w:val="18"/>
              </w:rPr>
              <w:t>Policy dialogue matrix is included and comprehensive, including roles, responsibilities</w:t>
            </w:r>
            <w:r w:rsidR="008A4329">
              <w:rPr>
                <w:rFonts w:eastAsia="Calibri Light" w:cs="Times New Roman"/>
                <w:color w:val="auto"/>
                <w:sz w:val="18"/>
                <w:szCs w:val="18"/>
              </w:rPr>
              <w:t>,</w:t>
            </w:r>
            <w:r>
              <w:rPr>
                <w:rFonts w:eastAsia="Calibri Light" w:cs="Times New Roman"/>
                <w:color w:val="auto"/>
                <w:sz w:val="18"/>
                <w:szCs w:val="18"/>
              </w:rPr>
              <w:t xml:space="preserve"> and broader policy reform opportunities, and is coordinated across Australia’s engagement (beyond a single investment). </w:t>
            </w:r>
          </w:p>
        </w:tc>
        <w:tc>
          <w:tcPr>
            <w:tcW w:w="4252" w:type="dxa"/>
            <w:vMerge w:val="restart"/>
          </w:tcPr>
          <w:p w14:paraId="68C4D3FC" w14:textId="77777777" w:rsidR="00516462" w:rsidRPr="00D90E36" w:rsidRDefault="00516462" w:rsidP="00516462">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Opportunities for policy and budget dialogue are outlined.</w:t>
            </w:r>
          </w:p>
          <w:p w14:paraId="62055E03" w14:textId="77777777" w:rsidR="00516462" w:rsidRDefault="00516462" w:rsidP="00516462">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Roles and responsibilities are described for DFAT and partners (including WoG).</w:t>
            </w:r>
          </w:p>
          <w:p w14:paraId="5E1BC364" w14:textId="2584E1E4" w:rsidR="00516462" w:rsidRPr="00D90E36" w:rsidRDefault="00516462" w:rsidP="00516462">
            <w:pPr>
              <w:keepLines/>
              <w:spacing w:after="120" w:line="240" w:lineRule="auto"/>
              <w:rPr>
                <w:rFonts w:eastAsia="Calibri Light" w:cs="Times New Roman"/>
                <w:color w:val="auto"/>
                <w:sz w:val="18"/>
                <w:szCs w:val="18"/>
              </w:rPr>
            </w:pPr>
            <w:r>
              <w:rPr>
                <w:rFonts w:eastAsia="Calibri Light" w:cs="Times New Roman"/>
                <w:color w:val="auto"/>
                <w:sz w:val="18"/>
                <w:szCs w:val="18"/>
              </w:rPr>
              <w:t>Policy dialogue matrix is included, including roles, responsibilities</w:t>
            </w:r>
            <w:r w:rsidR="008A4329">
              <w:rPr>
                <w:rFonts w:eastAsia="Calibri Light" w:cs="Times New Roman"/>
                <w:color w:val="auto"/>
                <w:sz w:val="18"/>
                <w:szCs w:val="18"/>
              </w:rPr>
              <w:t>,</w:t>
            </w:r>
            <w:r>
              <w:rPr>
                <w:rFonts w:eastAsia="Calibri Light" w:cs="Times New Roman"/>
                <w:color w:val="auto"/>
                <w:sz w:val="18"/>
                <w:szCs w:val="18"/>
              </w:rPr>
              <w:t xml:space="preserve"> and possible reform opportunities. Signals ambition for policy dialogue to be coordinated with other Australian engagement. There are clear plans to develop the matrix further during implementation. </w:t>
            </w:r>
          </w:p>
        </w:tc>
        <w:tc>
          <w:tcPr>
            <w:tcW w:w="3261" w:type="dxa"/>
            <w:vMerge w:val="restart"/>
          </w:tcPr>
          <w:p w14:paraId="2F565828" w14:textId="77777777" w:rsidR="00516462" w:rsidRPr="00D90E36" w:rsidRDefault="00516462" w:rsidP="00516462">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Opportunities for policy and budget dialogue are implicit or broadly stated. </w:t>
            </w:r>
          </w:p>
          <w:p w14:paraId="1E80B6BF" w14:textId="77777777" w:rsidR="00516462" w:rsidRDefault="00516462" w:rsidP="00516462">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Roles and responsibilities are unclear or not described in detail.</w:t>
            </w:r>
          </w:p>
          <w:p w14:paraId="64AA828A" w14:textId="4AEF8A6A" w:rsidR="00516462" w:rsidRPr="00D90E36" w:rsidRDefault="00516462" w:rsidP="00516462">
            <w:pPr>
              <w:keepLines/>
              <w:spacing w:after="120" w:line="240" w:lineRule="auto"/>
              <w:rPr>
                <w:rFonts w:eastAsia="Calibri Light" w:cs="Times New Roman"/>
                <w:color w:val="auto"/>
                <w:sz w:val="18"/>
                <w:szCs w:val="18"/>
              </w:rPr>
            </w:pPr>
            <w:r>
              <w:rPr>
                <w:rFonts w:eastAsia="Calibri Light" w:cs="Times New Roman"/>
                <w:color w:val="auto"/>
                <w:sz w:val="18"/>
                <w:szCs w:val="18"/>
              </w:rPr>
              <w:t>Policy dialogue matrix is limited/not completed.</w:t>
            </w:r>
          </w:p>
        </w:tc>
        <w:tc>
          <w:tcPr>
            <w:tcW w:w="3260" w:type="dxa"/>
            <w:vMerge w:val="restart"/>
          </w:tcPr>
          <w:p w14:paraId="5BD5601C" w14:textId="77777777" w:rsidR="00516462" w:rsidRDefault="00516462" w:rsidP="00516462">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References to potential for policy and budget dialogue are absent or cursory.</w:t>
            </w:r>
          </w:p>
          <w:p w14:paraId="7C5ED3A7" w14:textId="23D4ED10" w:rsidR="00516462" w:rsidRPr="00D90E36" w:rsidRDefault="00516462" w:rsidP="00516462">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No policy dialogue matrix. </w:t>
            </w:r>
          </w:p>
        </w:tc>
      </w:tr>
      <w:tr w:rsidR="004141DC" w:rsidRPr="00D90E36" w14:paraId="1BAE127E" w14:textId="77777777" w:rsidTr="00EF4BBC">
        <w:trPr>
          <w:trHeight w:val="460"/>
        </w:trPr>
        <w:tc>
          <w:tcPr>
            <w:tcW w:w="3828" w:type="dxa"/>
            <w:vMerge/>
          </w:tcPr>
          <w:p w14:paraId="622C3D0E" w14:textId="77777777" w:rsidR="004141DC" w:rsidRPr="00D90E36" w:rsidRDefault="004141DC" w:rsidP="007C6DD8">
            <w:pPr>
              <w:keepLines/>
              <w:spacing w:after="120" w:line="240" w:lineRule="auto"/>
              <w:rPr>
                <w:rFonts w:eastAsia="Calibri Light" w:cs="Times New Roman"/>
                <w:color w:val="auto"/>
                <w:sz w:val="18"/>
                <w:szCs w:val="18"/>
              </w:rPr>
            </w:pPr>
          </w:p>
        </w:tc>
        <w:tc>
          <w:tcPr>
            <w:tcW w:w="4252" w:type="dxa"/>
            <w:vMerge/>
          </w:tcPr>
          <w:p w14:paraId="562F38D9" w14:textId="77777777" w:rsidR="004141DC" w:rsidRPr="00D90E36" w:rsidRDefault="004141DC" w:rsidP="007C6DD8">
            <w:pPr>
              <w:keepLines/>
              <w:spacing w:after="120" w:line="240" w:lineRule="auto"/>
              <w:rPr>
                <w:rFonts w:eastAsia="Calibri Light" w:cs="Times New Roman"/>
                <w:color w:val="auto"/>
                <w:sz w:val="18"/>
                <w:szCs w:val="18"/>
              </w:rPr>
            </w:pPr>
          </w:p>
        </w:tc>
        <w:tc>
          <w:tcPr>
            <w:tcW w:w="3261" w:type="dxa"/>
            <w:vMerge/>
          </w:tcPr>
          <w:p w14:paraId="056E1CC1" w14:textId="77777777" w:rsidR="004141DC" w:rsidRPr="00D90E36" w:rsidRDefault="004141DC" w:rsidP="007C6DD8">
            <w:pPr>
              <w:keepLines/>
              <w:spacing w:after="120" w:line="240" w:lineRule="auto"/>
              <w:rPr>
                <w:rFonts w:eastAsia="Calibri Light" w:cs="Times New Roman"/>
                <w:color w:val="auto"/>
                <w:sz w:val="18"/>
                <w:szCs w:val="18"/>
              </w:rPr>
            </w:pPr>
          </w:p>
        </w:tc>
        <w:tc>
          <w:tcPr>
            <w:tcW w:w="3260" w:type="dxa"/>
            <w:vMerge/>
          </w:tcPr>
          <w:p w14:paraId="6C51DD92" w14:textId="77777777" w:rsidR="004141DC" w:rsidRPr="00D90E36" w:rsidRDefault="004141DC" w:rsidP="007C6DD8">
            <w:pPr>
              <w:keepLines/>
              <w:spacing w:after="120" w:line="240" w:lineRule="auto"/>
              <w:rPr>
                <w:rFonts w:eastAsia="Calibri Light" w:cs="Times New Roman"/>
                <w:color w:val="auto"/>
                <w:sz w:val="18"/>
                <w:szCs w:val="18"/>
              </w:rPr>
            </w:pPr>
          </w:p>
        </w:tc>
      </w:tr>
    </w:tbl>
    <w:p w14:paraId="3F2D82B6" w14:textId="73C2A190" w:rsidR="00CB514F" w:rsidRPr="00E07BFD" w:rsidRDefault="00A13CEA" w:rsidP="00E07BFD">
      <w:pPr>
        <w:pStyle w:val="Heading2"/>
      </w:pPr>
      <w:r w:rsidRPr="00E07BFD">
        <w:rPr>
          <w:rStyle w:val="SubtleEmphasis"/>
          <w:i w:val="0"/>
          <w:iCs w:val="0"/>
          <w:caps w:val="0"/>
          <w:color w:val="373545" w:themeColor="text2"/>
        </w:rPr>
        <w:br w:type="page"/>
      </w:r>
      <w:r w:rsidRPr="00E07BFD">
        <w:rPr>
          <w:rStyle w:val="SubtleEmphasis"/>
          <w:i w:val="0"/>
          <w:iCs w:val="0"/>
          <w:caps w:val="0"/>
          <w:color w:val="373545" w:themeColor="text2"/>
        </w:rPr>
        <w:lastRenderedPageBreak/>
        <w:t xml:space="preserve">3. </w:t>
      </w:r>
      <w:r w:rsidRPr="00E07BFD">
        <w:rPr>
          <w:caps w:val="0"/>
        </w:rPr>
        <w:t>Efficiency</w:t>
      </w:r>
    </w:p>
    <w:p w14:paraId="6BB09AD8" w14:textId="77777777" w:rsidR="006C1B9A" w:rsidRPr="00D90E36" w:rsidRDefault="006C1B9A" w:rsidP="006C1B9A">
      <w:pPr>
        <w:spacing w:after="120" w:line="240" w:lineRule="auto"/>
        <w:rPr>
          <w:rStyle w:val="SubtleEmphasis"/>
        </w:rPr>
      </w:pPr>
      <w:r w:rsidRPr="00D90E36">
        <w:rPr>
          <w:rStyle w:val="SubtleEmphasis"/>
        </w:rPr>
        <w:t>Is there a compelling argument that this investment will demonstrate value for money, and be an economical and ethical use of Australia’s (and other partners’) resources?</w:t>
      </w:r>
    </w:p>
    <w:p w14:paraId="713133AC" w14:textId="77777777" w:rsidR="006C1B9A" w:rsidRPr="00D90E36" w:rsidRDefault="006C1B9A" w:rsidP="006C1B9A">
      <w:pPr>
        <w:rPr>
          <w:b/>
          <w:bCs/>
        </w:rPr>
      </w:pPr>
      <w:r w:rsidRPr="00D90E36">
        <w:rPr>
          <w:b/>
          <w:bCs/>
        </w:rPr>
        <w:t>Focus areas:</w:t>
      </w:r>
    </w:p>
    <w:p w14:paraId="07983A36" w14:textId="77777777" w:rsidR="006C1B9A" w:rsidRPr="00D90E36" w:rsidRDefault="006C1B9A" w:rsidP="006C1B9A">
      <w:pPr>
        <w:pStyle w:val="ListParagraph"/>
        <w:numPr>
          <w:ilvl w:val="0"/>
          <w:numId w:val="53"/>
        </w:numPr>
      </w:pPr>
      <w:r>
        <w:t>Governance</w:t>
      </w:r>
    </w:p>
    <w:p w14:paraId="75FDCC4E" w14:textId="77777777" w:rsidR="006C1B9A" w:rsidRPr="00D90E36" w:rsidRDefault="006C1B9A" w:rsidP="006C1B9A">
      <w:pPr>
        <w:pStyle w:val="ListParagraph"/>
        <w:numPr>
          <w:ilvl w:val="0"/>
          <w:numId w:val="53"/>
        </w:numPr>
      </w:pPr>
      <w:r>
        <w:t>Management arrangements and capabilities</w:t>
      </w:r>
    </w:p>
    <w:p w14:paraId="2493D05D" w14:textId="77777777" w:rsidR="006C1B9A" w:rsidRPr="00D90E36" w:rsidRDefault="006C1B9A" w:rsidP="006C1B9A">
      <w:pPr>
        <w:pStyle w:val="ListParagraph"/>
        <w:numPr>
          <w:ilvl w:val="0"/>
          <w:numId w:val="53"/>
        </w:numPr>
      </w:pPr>
      <w:r>
        <w:t>Value for money</w:t>
      </w:r>
    </w:p>
    <w:p w14:paraId="476687D3" w14:textId="4184AAE2" w:rsidR="00AE0BA1" w:rsidRPr="00D90E36" w:rsidRDefault="006C1B9A" w:rsidP="008960AB">
      <w:pPr>
        <w:pStyle w:val="ListParagraph"/>
        <w:numPr>
          <w:ilvl w:val="0"/>
          <w:numId w:val="53"/>
        </w:numPr>
      </w:pPr>
      <w:r>
        <w:t xml:space="preserve">Financing and resourcing </w:t>
      </w:r>
    </w:p>
    <w:tbl>
      <w:tblPr>
        <w:tblStyle w:val="TableGrid"/>
        <w:tblW w:w="14601" w:type="dxa"/>
        <w:tblInd w:w="-147" w:type="dxa"/>
        <w:tblLook w:val="04A0" w:firstRow="1" w:lastRow="0" w:firstColumn="1" w:lastColumn="0" w:noHBand="0" w:noVBand="1"/>
      </w:tblPr>
      <w:tblGrid>
        <w:gridCol w:w="4395"/>
        <w:gridCol w:w="3827"/>
        <w:gridCol w:w="3402"/>
        <w:gridCol w:w="2977"/>
      </w:tblGrid>
      <w:tr w:rsidR="004141DC" w:rsidRPr="00D90E36" w14:paraId="6A9CBA03" w14:textId="77777777" w:rsidTr="008A4329">
        <w:trPr>
          <w:tblHeader/>
        </w:trPr>
        <w:tc>
          <w:tcPr>
            <w:tcW w:w="4395" w:type="dxa"/>
            <w:tcBorders>
              <w:left w:val="single" w:sz="4" w:space="0" w:color="auto"/>
            </w:tcBorders>
            <w:shd w:val="clear" w:color="auto" w:fill="D4EAF3" w:themeFill="accent1" w:themeFillTint="33"/>
          </w:tcPr>
          <w:p w14:paraId="37EA9D8D" w14:textId="77777777"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Good, very good (rating 5-6) </w:t>
            </w:r>
          </w:p>
        </w:tc>
        <w:tc>
          <w:tcPr>
            <w:tcW w:w="3827" w:type="dxa"/>
            <w:shd w:val="clear" w:color="auto" w:fill="D4EAF3" w:themeFill="accent1" w:themeFillTint="33"/>
          </w:tcPr>
          <w:p w14:paraId="3EAAFC32" w14:textId="77777777"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402" w:type="dxa"/>
            <w:shd w:val="clear" w:color="auto" w:fill="D4EAF3" w:themeFill="accent1" w:themeFillTint="33"/>
          </w:tcPr>
          <w:p w14:paraId="69291EEA" w14:textId="77777777"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2977" w:type="dxa"/>
            <w:shd w:val="clear" w:color="auto" w:fill="D4EAF3" w:themeFill="accent1" w:themeFillTint="33"/>
          </w:tcPr>
          <w:p w14:paraId="6993EA9F" w14:textId="77777777" w:rsidR="004141DC" w:rsidRPr="00D90E36" w:rsidRDefault="004141DC"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8960AB" w:rsidRPr="00D90E36" w14:paraId="54A7BCC2" w14:textId="77777777" w:rsidTr="008A4329">
        <w:trPr>
          <w:trHeight w:val="818"/>
        </w:trPr>
        <w:tc>
          <w:tcPr>
            <w:tcW w:w="4395" w:type="dxa"/>
            <w:tcBorders>
              <w:left w:val="single" w:sz="4" w:space="0" w:color="auto"/>
            </w:tcBorders>
          </w:tcPr>
          <w:p w14:paraId="298C49DE"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Tailored governance arrangements will enable a wide range of representatives and stakeholders, including the partner government, to participate in decision-making.</w:t>
            </w:r>
          </w:p>
          <w:p w14:paraId="05FA95EE" w14:textId="1621974B"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Governance arrangements and </w:t>
            </w:r>
            <w:r w:rsidR="000D54CB">
              <w:rPr>
                <w:rFonts w:eastAsia="Calibri Light" w:cs="Times New Roman"/>
                <w:color w:val="auto"/>
                <w:sz w:val="18"/>
                <w:szCs w:val="18"/>
              </w:rPr>
              <w:t>MEL</w:t>
            </w:r>
            <w:r w:rsidRPr="00D90E36">
              <w:rPr>
                <w:rFonts w:eastAsia="Calibri Light" w:cs="Times New Roman"/>
                <w:color w:val="auto"/>
                <w:sz w:val="18"/>
                <w:szCs w:val="18"/>
              </w:rPr>
              <w:t xml:space="preserve"> arrangements are fully integrated.</w:t>
            </w:r>
          </w:p>
          <w:p w14:paraId="7E7B91B6" w14:textId="79567B7D" w:rsidR="008960AB" w:rsidRPr="00D90E36" w:rsidRDefault="008960AB" w:rsidP="008960AB">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Gender equality and inclusive participation will be pursued explicitly.</w:t>
            </w:r>
          </w:p>
        </w:tc>
        <w:tc>
          <w:tcPr>
            <w:tcW w:w="3827" w:type="dxa"/>
          </w:tcPr>
          <w:p w14:paraId="0ADE6058"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Specific and workable governance arrangements for the investment are set out, reflecting formal agreements between Australia and key partners.</w:t>
            </w:r>
          </w:p>
          <w:p w14:paraId="2B13A3D5" w14:textId="1022CCF7" w:rsidR="008960AB" w:rsidRPr="00D90E36" w:rsidRDefault="008960AB" w:rsidP="008960AB">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Strategies to broaden participation and stakeholder engagement in decision-making are outlined.</w:t>
            </w:r>
          </w:p>
        </w:tc>
        <w:tc>
          <w:tcPr>
            <w:tcW w:w="3402" w:type="dxa"/>
          </w:tcPr>
          <w:p w14:paraId="6C67B37E"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Standard governance arrangements between the key partners are outlined, with no or little adaptation for this investment. </w:t>
            </w:r>
          </w:p>
          <w:p w14:paraId="615DE694" w14:textId="75DAA3C5"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There are no or few opportunities for partner government, vulnerable groups, civil society, private sector</w:t>
            </w:r>
            <w:r w:rsidR="008A4329">
              <w:rPr>
                <w:rFonts w:eastAsia="Calibri Light" w:cs="Times New Roman"/>
                <w:color w:val="auto"/>
                <w:sz w:val="18"/>
                <w:szCs w:val="18"/>
              </w:rPr>
              <w:t>,</w:t>
            </w:r>
            <w:r w:rsidRPr="00D90E36">
              <w:rPr>
                <w:rFonts w:eastAsia="Calibri Light" w:cs="Times New Roman"/>
                <w:color w:val="auto"/>
                <w:sz w:val="18"/>
                <w:szCs w:val="18"/>
              </w:rPr>
              <w:t xml:space="preserve"> or other stakeholders to influence decision making.</w:t>
            </w:r>
          </w:p>
          <w:p w14:paraId="7A88AA38" w14:textId="6A6394B4" w:rsidR="008960AB" w:rsidRPr="00D90E36" w:rsidRDefault="008960AB" w:rsidP="008960AB">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Links between decision-making and performance data are not clearly set out. </w:t>
            </w:r>
          </w:p>
        </w:tc>
        <w:tc>
          <w:tcPr>
            <w:tcW w:w="2977" w:type="dxa"/>
          </w:tcPr>
          <w:p w14:paraId="094CAE89"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Governance arrangements are poorly defined, or unlikely to achieve participation and support from key parties in practice.</w:t>
            </w:r>
          </w:p>
          <w:p w14:paraId="5DD07BE2"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There are no or cursory references to the use of performance information for decision-making.</w:t>
            </w:r>
          </w:p>
          <w:p w14:paraId="5112ADF0" w14:textId="77777777" w:rsidR="008960AB" w:rsidRPr="00D90E36" w:rsidRDefault="008960AB" w:rsidP="008960AB">
            <w:pPr>
              <w:keepLines/>
              <w:spacing w:after="120" w:line="240" w:lineRule="auto"/>
              <w:rPr>
                <w:rFonts w:eastAsia="Calibri Light" w:cs="Times New Roman"/>
                <w:color w:val="auto"/>
                <w:sz w:val="18"/>
                <w:szCs w:val="18"/>
              </w:rPr>
            </w:pPr>
          </w:p>
        </w:tc>
      </w:tr>
      <w:tr w:rsidR="008960AB" w:rsidRPr="00D90E36" w14:paraId="1833A883" w14:textId="77777777" w:rsidTr="008A4329">
        <w:tc>
          <w:tcPr>
            <w:tcW w:w="4395" w:type="dxa"/>
          </w:tcPr>
          <w:p w14:paraId="4628B6D0" w14:textId="77777777" w:rsidR="008960AB"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roles and responsibilities of DFAT and partners </w:t>
            </w:r>
            <w:r>
              <w:rPr>
                <w:rFonts w:eastAsia="Calibri Light" w:cs="Times New Roman"/>
                <w:color w:val="auto"/>
                <w:sz w:val="18"/>
                <w:szCs w:val="18"/>
              </w:rPr>
              <w:t xml:space="preserve">throughout implementation </w:t>
            </w:r>
            <w:r w:rsidRPr="00D90E36">
              <w:rPr>
                <w:rFonts w:eastAsia="Calibri Light" w:cs="Times New Roman"/>
                <w:color w:val="auto"/>
                <w:sz w:val="18"/>
                <w:szCs w:val="18"/>
              </w:rPr>
              <w:t>are clearly described, along with processes for their evolution and review over time.</w:t>
            </w:r>
          </w:p>
          <w:p w14:paraId="22FA26A0" w14:textId="77777777" w:rsidR="008960AB"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Accountability for outputs and outcomes are articulated.</w:t>
            </w:r>
          </w:p>
          <w:p w14:paraId="09BE4383" w14:textId="77777777" w:rsidR="00DA3427" w:rsidRDefault="008960AB" w:rsidP="008960AB">
            <w:pPr>
              <w:keepLines/>
              <w:spacing w:after="120" w:line="240" w:lineRule="auto"/>
              <w:rPr>
                <w:rFonts w:eastAsia="Calibri Light" w:cs="Times New Roman"/>
                <w:color w:val="auto"/>
                <w:sz w:val="18"/>
                <w:szCs w:val="18"/>
              </w:rPr>
            </w:pPr>
            <w:r>
              <w:rPr>
                <w:rFonts w:eastAsia="Calibri Light" w:cs="Times New Roman"/>
                <w:color w:val="auto"/>
                <w:sz w:val="18"/>
                <w:szCs w:val="18"/>
              </w:rPr>
              <w:t>DFAT’s management role and FTE resources are clearly outlined</w:t>
            </w:r>
            <w:r w:rsidR="002E5F77">
              <w:rPr>
                <w:rFonts w:eastAsia="Calibri Light" w:cs="Times New Roman"/>
                <w:color w:val="auto"/>
                <w:sz w:val="18"/>
                <w:szCs w:val="18"/>
              </w:rPr>
              <w:t>.</w:t>
            </w:r>
            <w:r>
              <w:rPr>
                <w:rFonts w:eastAsia="Calibri Light" w:cs="Times New Roman"/>
                <w:color w:val="auto"/>
                <w:sz w:val="18"/>
                <w:szCs w:val="18"/>
              </w:rPr>
              <w:t xml:space="preserve"> </w:t>
            </w:r>
            <w:r w:rsidR="002E5F77" w:rsidRPr="002E5F77">
              <w:rPr>
                <w:rFonts w:eastAsia="Calibri Light" w:cs="Times New Roman"/>
                <w:color w:val="auto"/>
                <w:sz w:val="18"/>
                <w:szCs w:val="18"/>
              </w:rPr>
              <w:t>For multi-country or regional investments</w:t>
            </w:r>
            <w:r w:rsidR="00DA3427">
              <w:rPr>
                <w:rFonts w:eastAsia="Calibri Light" w:cs="Times New Roman"/>
                <w:color w:val="auto"/>
                <w:sz w:val="18"/>
                <w:szCs w:val="18"/>
              </w:rPr>
              <w:t>,</w:t>
            </w:r>
            <w:r w:rsidR="002E5F77" w:rsidRPr="002E5F77">
              <w:rPr>
                <w:rFonts w:eastAsia="Calibri Light" w:cs="Times New Roman"/>
                <w:color w:val="auto"/>
                <w:sz w:val="18"/>
                <w:szCs w:val="18"/>
              </w:rPr>
              <w:t xml:space="preserve"> processes for engaging with geographic areas</w:t>
            </w:r>
            <w:r w:rsidR="002E5F77">
              <w:rPr>
                <w:rFonts w:eastAsia="Calibri Light" w:cs="Times New Roman"/>
                <w:color w:val="auto"/>
                <w:sz w:val="18"/>
                <w:szCs w:val="18"/>
              </w:rPr>
              <w:t xml:space="preserve"> </w:t>
            </w:r>
            <w:r w:rsidR="002E5F77" w:rsidRPr="002E5F77">
              <w:rPr>
                <w:rFonts w:eastAsia="Calibri Light" w:cs="Times New Roman"/>
                <w:color w:val="auto"/>
                <w:sz w:val="18"/>
                <w:szCs w:val="18"/>
              </w:rPr>
              <w:t>(Posts and desks)</w:t>
            </w:r>
            <w:r w:rsidR="00FB399E">
              <w:rPr>
                <w:rFonts w:eastAsia="Calibri Light" w:cs="Times New Roman"/>
                <w:color w:val="auto"/>
                <w:sz w:val="18"/>
                <w:szCs w:val="18"/>
              </w:rPr>
              <w:t xml:space="preserve"> are clear</w:t>
            </w:r>
            <w:r w:rsidR="002E5F77" w:rsidRPr="002E5F77">
              <w:rPr>
                <w:rFonts w:eastAsia="Calibri Light" w:cs="Times New Roman"/>
                <w:color w:val="auto"/>
                <w:sz w:val="18"/>
                <w:szCs w:val="18"/>
              </w:rPr>
              <w:t xml:space="preserve"> e.g. in planning, ongoing communication</w:t>
            </w:r>
            <w:r w:rsidR="00DA3427">
              <w:rPr>
                <w:rFonts w:eastAsia="Calibri Light" w:cs="Times New Roman"/>
                <w:color w:val="auto"/>
                <w:sz w:val="18"/>
                <w:szCs w:val="18"/>
              </w:rPr>
              <w:t>,</w:t>
            </w:r>
            <w:r w:rsidR="002E5F77" w:rsidRPr="002E5F77">
              <w:rPr>
                <w:rFonts w:eastAsia="Calibri Light" w:cs="Times New Roman"/>
                <w:color w:val="auto"/>
                <w:sz w:val="18"/>
                <w:szCs w:val="18"/>
              </w:rPr>
              <w:t xml:space="preserve"> and reporting, </w:t>
            </w:r>
            <w:r w:rsidR="00FF6F73">
              <w:rPr>
                <w:rFonts w:eastAsia="Calibri Light" w:cs="Times New Roman"/>
                <w:color w:val="auto"/>
                <w:sz w:val="18"/>
                <w:szCs w:val="18"/>
              </w:rPr>
              <w:t xml:space="preserve">including </w:t>
            </w:r>
            <w:r w:rsidR="002E5F77" w:rsidRPr="002E5F77">
              <w:rPr>
                <w:rFonts w:eastAsia="Calibri Light" w:cs="Times New Roman"/>
                <w:color w:val="auto"/>
                <w:sz w:val="18"/>
                <w:szCs w:val="18"/>
              </w:rPr>
              <w:t>country-level work</w:t>
            </w:r>
            <w:r w:rsidR="00DA3427">
              <w:rPr>
                <w:rFonts w:eastAsia="Calibri Light" w:cs="Times New Roman"/>
                <w:color w:val="auto"/>
                <w:sz w:val="18"/>
                <w:szCs w:val="18"/>
              </w:rPr>
              <w:t xml:space="preserve"> plans.</w:t>
            </w:r>
          </w:p>
          <w:p w14:paraId="791C781C" w14:textId="62B30B1D" w:rsidR="008960AB" w:rsidRPr="00D90E36" w:rsidRDefault="008960AB" w:rsidP="008960AB">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Australia and expected delivery partners have demonstrated capacity to deliver what is expected.</w:t>
            </w:r>
            <w:r>
              <w:rPr>
                <w:rFonts w:eastAsia="Calibri Light" w:cs="Times New Roman"/>
                <w:color w:val="auto"/>
                <w:sz w:val="18"/>
                <w:szCs w:val="18"/>
              </w:rPr>
              <w:t xml:space="preserve"> </w:t>
            </w:r>
          </w:p>
        </w:tc>
        <w:tc>
          <w:tcPr>
            <w:tcW w:w="3827" w:type="dxa"/>
          </w:tcPr>
          <w:p w14:paraId="382DD3BB"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roles and responsibilities of DFAT and partners are clearly described.  </w:t>
            </w:r>
          </w:p>
          <w:p w14:paraId="51207C35"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If not defined, there are plans to negotiate and clarify accountability for outputs and outcomes.</w:t>
            </w:r>
          </w:p>
          <w:p w14:paraId="6649E94C" w14:textId="77777777" w:rsidR="008960AB" w:rsidRDefault="008960AB" w:rsidP="008960AB">
            <w:pPr>
              <w:keepLines/>
              <w:spacing w:before="0" w:after="120" w:line="240" w:lineRule="auto"/>
              <w:outlineLvl w:val="0"/>
              <w:rPr>
                <w:rFonts w:eastAsia="Calibri Light" w:cs="Times New Roman"/>
                <w:color w:val="auto"/>
                <w:sz w:val="18"/>
                <w:szCs w:val="18"/>
              </w:rPr>
            </w:pPr>
            <w:r w:rsidRPr="00D90E36">
              <w:rPr>
                <w:rFonts w:eastAsia="Calibri Light" w:cs="Times New Roman"/>
                <w:color w:val="auto"/>
                <w:sz w:val="18"/>
                <w:szCs w:val="18"/>
              </w:rPr>
              <w:t>There is evidence that Australia and potential delivery partners will have capacity to carry out what is expected of them.</w:t>
            </w:r>
          </w:p>
          <w:p w14:paraId="4D7C24B8" w14:textId="1E14173B" w:rsidR="008960AB" w:rsidRPr="00D90E36" w:rsidRDefault="008960AB" w:rsidP="008960AB">
            <w:pPr>
              <w:keepLines/>
              <w:spacing w:after="120" w:line="240" w:lineRule="auto"/>
              <w:outlineLvl w:val="0"/>
              <w:rPr>
                <w:rFonts w:eastAsia="Calibri Light" w:cs="Times New Roman"/>
                <w:color w:val="auto"/>
                <w:sz w:val="18"/>
                <w:szCs w:val="18"/>
              </w:rPr>
            </w:pPr>
            <w:r>
              <w:rPr>
                <w:rFonts w:eastAsia="Calibri Light" w:cs="Times New Roman"/>
                <w:color w:val="auto"/>
                <w:sz w:val="18"/>
                <w:szCs w:val="18"/>
              </w:rPr>
              <w:t>DFAT’s management role and FTE resources are outlined.</w:t>
            </w:r>
            <w:r w:rsidR="00C55CD4">
              <w:rPr>
                <w:rFonts w:eastAsia="Calibri Light" w:cs="Times New Roman"/>
                <w:color w:val="auto"/>
                <w:sz w:val="18"/>
                <w:szCs w:val="18"/>
              </w:rPr>
              <w:t xml:space="preserve"> For multi-country or regional programs there</w:t>
            </w:r>
            <w:r w:rsidR="00DA3427">
              <w:rPr>
                <w:rFonts w:eastAsia="Calibri Light" w:cs="Times New Roman"/>
                <w:color w:val="auto"/>
                <w:sz w:val="18"/>
                <w:szCs w:val="18"/>
              </w:rPr>
              <w:t xml:space="preserve"> is</w:t>
            </w:r>
            <w:r w:rsidR="00C55CD4">
              <w:rPr>
                <w:rFonts w:eastAsia="Calibri Light" w:cs="Times New Roman"/>
                <w:color w:val="auto"/>
                <w:sz w:val="18"/>
                <w:szCs w:val="18"/>
              </w:rPr>
              <w:t xml:space="preserve"> </w:t>
            </w:r>
            <w:r w:rsidR="00D5288D">
              <w:rPr>
                <w:rFonts w:eastAsia="Calibri Light" w:cs="Times New Roman"/>
                <w:color w:val="auto"/>
                <w:sz w:val="18"/>
                <w:szCs w:val="18"/>
              </w:rPr>
              <w:t>cons</w:t>
            </w:r>
            <w:r w:rsidR="00111528">
              <w:rPr>
                <w:rFonts w:eastAsia="Calibri Light" w:cs="Times New Roman"/>
                <w:color w:val="auto"/>
                <w:sz w:val="18"/>
                <w:szCs w:val="18"/>
              </w:rPr>
              <w:t>ideration of</w:t>
            </w:r>
            <w:r w:rsidR="00D86336">
              <w:rPr>
                <w:rFonts w:eastAsia="Calibri Light" w:cs="Times New Roman"/>
                <w:color w:val="auto"/>
                <w:sz w:val="18"/>
                <w:szCs w:val="18"/>
              </w:rPr>
              <w:t xml:space="preserve"> engagement processes with geographic area</w:t>
            </w:r>
            <w:r w:rsidR="006A6DD3">
              <w:rPr>
                <w:rFonts w:eastAsia="Calibri Light" w:cs="Times New Roman"/>
                <w:color w:val="auto"/>
                <w:sz w:val="18"/>
                <w:szCs w:val="18"/>
              </w:rPr>
              <w:t>s</w:t>
            </w:r>
            <w:r w:rsidR="00D86336">
              <w:rPr>
                <w:rFonts w:eastAsia="Calibri Light" w:cs="Times New Roman"/>
                <w:color w:val="auto"/>
                <w:sz w:val="18"/>
                <w:szCs w:val="18"/>
              </w:rPr>
              <w:t xml:space="preserve"> (Post and Desks). </w:t>
            </w:r>
          </w:p>
        </w:tc>
        <w:tc>
          <w:tcPr>
            <w:tcW w:w="3402" w:type="dxa"/>
          </w:tcPr>
          <w:p w14:paraId="4959AA26"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Roles and responsibilities are unclear or not fully described. </w:t>
            </w:r>
          </w:p>
          <w:p w14:paraId="0FE15058"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There are no clear plans to define accountability for outcomes. </w:t>
            </w:r>
          </w:p>
          <w:p w14:paraId="51D3FFF5" w14:textId="199315A9"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It is not clear </w:t>
            </w:r>
            <w:r w:rsidR="00DA3427" w:rsidRPr="00D90E36">
              <w:rPr>
                <w:rFonts w:eastAsia="Calibri Light" w:cs="Times New Roman"/>
                <w:color w:val="auto"/>
                <w:sz w:val="18"/>
                <w:szCs w:val="18"/>
              </w:rPr>
              <w:t>whether</w:t>
            </w:r>
            <w:r w:rsidRPr="00D90E36">
              <w:rPr>
                <w:rFonts w:eastAsia="Calibri Light" w:cs="Times New Roman"/>
                <w:color w:val="auto"/>
                <w:sz w:val="18"/>
                <w:szCs w:val="18"/>
              </w:rPr>
              <w:t xml:space="preserve"> Australia and potential delivery partners will be capable of carrying out what is expected of them. </w:t>
            </w:r>
          </w:p>
          <w:p w14:paraId="5093C5F9" w14:textId="77777777" w:rsidR="008960AB" w:rsidRPr="00D90E36" w:rsidRDefault="008960AB" w:rsidP="008960AB">
            <w:pPr>
              <w:keepLines/>
              <w:spacing w:after="120" w:line="240" w:lineRule="auto"/>
              <w:rPr>
                <w:rFonts w:eastAsia="Calibri Light" w:cs="Times New Roman"/>
                <w:color w:val="auto"/>
                <w:sz w:val="18"/>
                <w:szCs w:val="18"/>
              </w:rPr>
            </w:pPr>
          </w:p>
        </w:tc>
        <w:tc>
          <w:tcPr>
            <w:tcW w:w="2977" w:type="dxa"/>
          </w:tcPr>
          <w:p w14:paraId="5BF6EF1F"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Processes for defining roles, responsibilities, and accountabilities are absent.  </w:t>
            </w:r>
          </w:p>
          <w:p w14:paraId="2B405EB1" w14:textId="77777777" w:rsidR="008960AB" w:rsidRPr="00D90E36" w:rsidRDefault="008960AB" w:rsidP="008960AB">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Risks to implementation, related to capacity, personnel, and partnerships in the context are not explored.</w:t>
            </w:r>
          </w:p>
          <w:p w14:paraId="1288766B" w14:textId="5F7D6B64" w:rsidR="008960AB" w:rsidRPr="00D90E36" w:rsidRDefault="008960AB" w:rsidP="008960AB">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Australia’s and potential partners’ capabilities are not discussed.</w:t>
            </w:r>
          </w:p>
        </w:tc>
      </w:tr>
      <w:tr w:rsidR="00431DA8" w:rsidRPr="00D90E36" w14:paraId="1ADFF82D" w14:textId="77777777" w:rsidTr="008A4329">
        <w:tc>
          <w:tcPr>
            <w:tcW w:w="4395" w:type="dxa"/>
          </w:tcPr>
          <w:p w14:paraId="18A86729" w14:textId="77777777" w:rsidR="00431DA8"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lastRenderedPageBreak/>
              <w:t xml:space="preserve">Analysis of alternative </w:t>
            </w:r>
            <w:r>
              <w:rPr>
                <w:rFonts w:eastAsia="Calibri Light" w:cs="Times New Roman"/>
                <w:color w:val="auto"/>
                <w:sz w:val="18"/>
                <w:szCs w:val="18"/>
              </w:rPr>
              <w:t xml:space="preserve">delivery or </w:t>
            </w:r>
            <w:r w:rsidRPr="00D90E36">
              <w:rPr>
                <w:rFonts w:eastAsia="Calibri Light" w:cs="Times New Roman"/>
                <w:color w:val="auto"/>
                <w:sz w:val="18"/>
                <w:szCs w:val="18"/>
              </w:rPr>
              <w:t>financing options and delivery arrangements provides a clear justification of the value for money of the selected delivery approach, including selection and relative costs of implementation partners.</w:t>
            </w:r>
          </w:p>
          <w:p w14:paraId="3EAF9F17" w14:textId="5FC9A264" w:rsidR="00431DA8" w:rsidRPr="00D90E36"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process for, or justification for, selection of delivery partner/s that will ensure sufficient capacity, experience</w:t>
            </w:r>
            <w:r w:rsidR="008A4329">
              <w:rPr>
                <w:rFonts w:eastAsia="Calibri Light" w:cs="Times New Roman"/>
                <w:color w:val="auto"/>
                <w:sz w:val="18"/>
                <w:szCs w:val="18"/>
              </w:rPr>
              <w:t>,</w:t>
            </w:r>
            <w:r w:rsidRPr="00D90E36">
              <w:rPr>
                <w:rFonts w:eastAsia="Calibri Light" w:cs="Times New Roman"/>
                <w:color w:val="auto"/>
                <w:sz w:val="18"/>
                <w:szCs w:val="18"/>
              </w:rPr>
              <w:t xml:space="preserve"> and expertise to implement the program.  </w:t>
            </w:r>
          </w:p>
        </w:tc>
        <w:tc>
          <w:tcPr>
            <w:tcW w:w="3827" w:type="dxa"/>
          </w:tcPr>
          <w:p w14:paraId="37F5931F" w14:textId="77777777" w:rsidR="00431DA8"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Value for money is justified through a narrative analysis of benefits and costs of the proposed approach, based on lessons learnt and prior experience, but may not include a detailed cost-benefit or efficiency analysis.</w:t>
            </w:r>
          </w:p>
          <w:p w14:paraId="7276FDA9" w14:textId="6319F037" w:rsidR="00431DA8" w:rsidRPr="00D90E36"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There is a credible process for, or justification for, selection of delivery partner/s. </w:t>
            </w:r>
          </w:p>
        </w:tc>
        <w:tc>
          <w:tcPr>
            <w:tcW w:w="3402" w:type="dxa"/>
          </w:tcPr>
          <w:p w14:paraId="1A934088" w14:textId="77777777" w:rsidR="00431DA8"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Value for money is implied through reference to previous experience and external benchmarks, but not explicitly justified in the investment design.</w:t>
            </w:r>
          </w:p>
          <w:p w14:paraId="1F789AB8" w14:textId="1E1F557C" w:rsidR="00431DA8" w:rsidRPr="00D90E36"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process for selecting delivery partner/s is unclear or not credible. </w:t>
            </w:r>
          </w:p>
        </w:tc>
        <w:tc>
          <w:tcPr>
            <w:tcW w:w="2977" w:type="dxa"/>
          </w:tcPr>
          <w:p w14:paraId="4EEA5B72" w14:textId="77777777" w:rsidR="00431DA8"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Value for money is not clearly justified in the investment design.</w:t>
            </w:r>
          </w:p>
          <w:p w14:paraId="70D44820" w14:textId="0FC2F5A4" w:rsidR="00431DA8" w:rsidRPr="00D90E36"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Processes for selecting delivery partners</w:t>
            </w:r>
            <w:r>
              <w:rPr>
                <w:rFonts w:eastAsia="Calibri Light" w:cs="Times New Roman"/>
                <w:color w:val="auto"/>
                <w:sz w:val="18"/>
                <w:szCs w:val="18"/>
              </w:rPr>
              <w:t xml:space="preserve"> are absent. </w:t>
            </w:r>
          </w:p>
        </w:tc>
      </w:tr>
      <w:tr w:rsidR="00431DA8" w:rsidRPr="00D90E36" w14:paraId="0532675E" w14:textId="77777777" w:rsidTr="008A4329">
        <w:trPr>
          <w:trHeight w:val="460"/>
        </w:trPr>
        <w:tc>
          <w:tcPr>
            <w:tcW w:w="4395" w:type="dxa"/>
            <w:vMerge w:val="restart"/>
          </w:tcPr>
          <w:p w14:paraId="51D15FDB" w14:textId="51782FBB" w:rsidR="00431DA8" w:rsidRPr="00D90E36"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A detailed input and resource schedule is provided, with internal transaction costs and inputs from DFAT, independent contractors, and implementing partners, for implementation, policy dialogue, quality assurance, risk management and </w:t>
            </w:r>
            <w:r w:rsidR="00F659B6">
              <w:rPr>
                <w:rFonts w:eastAsia="Calibri Light" w:cs="Times New Roman"/>
                <w:color w:val="auto"/>
                <w:sz w:val="18"/>
                <w:szCs w:val="18"/>
              </w:rPr>
              <w:t>MEL</w:t>
            </w:r>
            <w:r w:rsidRPr="00D90E36">
              <w:rPr>
                <w:rFonts w:eastAsia="Calibri Light" w:cs="Times New Roman"/>
                <w:color w:val="auto"/>
                <w:sz w:val="18"/>
                <w:szCs w:val="18"/>
              </w:rPr>
              <w:t xml:space="preserve"> resources.</w:t>
            </w:r>
            <w:r>
              <w:rPr>
                <w:rFonts w:eastAsia="Calibri Light" w:cs="Times New Roman"/>
                <w:color w:val="auto"/>
                <w:sz w:val="18"/>
                <w:szCs w:val="18"/>
              </w:rPr>
              <w:t xml:space="preserve"> (The budget and schedule may be indicative and/or provide a clear framework to allow ongoing flexibility – note this may be for internal DFAT audience only.) </w:t>
            </w:r>
          </w:p>
        </w:tc>
        <w:tc>
          <w:tcPr>
            <w:tcW w:w="3827" w:type="dxa"/>
            <w:vMerge w:val="restart"/>
          </w:tcPr>
          <w:p w14:paraId="68573464" w14:textId="79314954" w:rsidR="00431DA8" w:rsidRPr="00D90E36"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An inputs and resource schedule is provided which outlines the major cost categories and funding allocations, but detailed input costing may be provided through a procurement process or later detailed planning stage requiring further scrutiny at inception.</w:t>
            </w:r>
            <w:r>
              <w:rPr>
                <w:rFonts w:eastAsia="Calibri Light" w:cs="Times New Roman"/>
                <w:color w:val="auto"/>
                <w:sz w:val="18"/>
                <w:szCs w:val="18"/>
              </w:rPr>
              <w:t xml:space="preserve"> (The budget and schedule may be indicative and/or provide a clear framework to allow some flexibility – note this may be for internal DFAT audience only.)</w:t>
            </w:r>
          </w:p>
        </w:tc>
        <w:tc>
          <w:tcPr>
            <w:tcW w:w="3402" w:type="dxa"/>
            <w:vMerge w:val="restart"/>
          </w:tcPr>
          <w:p w14:paraId="31A46037" w14:textId="3DE55AE8" w:rsidR="00431DA8" w:rsidRPr="00D90E36"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 high-level inputs schedule is provided which fails to include all the inputs and costs which may be required.</w:t>
            </w:r>
          </w:p>
        </w:tc>
        <w:tc>
          <w:tcPr>
            <w:tcW w:w="2977" w:type="dxa"/>
            <w:vMerge w:val="restart"/>
          </w:tcPr>
          <w:p w14:paraId="0A0BE3E4" w14:textId="1E5A9251" w:rsidR="00431DA8" w:rsidRPr="00D90E36" w:rsidRDefault="00431DA8" w:rsidP="00431DA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inputs schedule is scant or not provided.</w:t>
            </w:r>
          </w:p>
        </w:tc>
      </w:tr>
      <w:tr w:rsidR="004141DC" w:rsidRPr="00D90E36" w14:paraId="2B6A97F5" w14:textId="77777777" w:rsidTr="008A4329">
        <w:trPr>
          <w:trHeight w:val="460"/>
        </w:trPr>
        <w:tc>
          <w:tcPr>
            <w:tcW w:w="4395" w:type="dxa"/>
            <w:vMerge/>
          </w:tcPr>
          <w:p w14:paraId="0ECFCCC5" w14:textId="77777777" w:rsidR="004141DC" w:rsidRPr="00D90E36" w:rsidRDefault="004141DC" w:rsidP="007C6DD8">
            <w:pPr>
              <w:keepLines/>
              <w:spacing w:after="120" w:line="240" w:lineRule="auto"/>
              <w:rPr>
                <w:rFonts w:eastAsia="Calibri Light" w:cs="Times New Roman"/>
                <w:color w:val="auto"/>
                <w:sz w:val="18"/>
                <w:szCs w:val="18"/>
              </w:rPr>
            </w:pPr>
          </w:p>
        </w:tc>
        <w:tc>
          <w:tcPr>
            <w:tcW w:w="3827" w:type="dxa"/>
            <w:vMerge/>
          </w:tcPr>
          <w:p w14:paraId="54EF5724" w14:textId="77777777" w:rsidR="004141DC" w:rsidRPr="00D90E36" w:rsidRDefault="004141DC" w:rsidP="007C6DD8">
            <w:pPr>
              <w:keepLines/>
              <w:spacing w:after="120" w:line="240" w:lineRule="auto"/>
              <w:rPr>
                <w:rFonts w:eastAsia="Calibri Light" w:cs="Times New Roman"/>
                <w:color w:val="auto"/>
                <w:sz w:val="18"/>
                <w:szCs w:val="18"/>
              </w:rPr>
            </w:pPr>
          </w:p>
        </w:tc>
        <w:tc>
          <w:tcPr>
            <w:tcW w:w="3402" w:type="dxa"/>
            <w:vMerge/>
          </w:tcPr>
          <w:p w14:paraId="71700672" w14:textId="77777777" w:rsidR="004141DC" w:rsidRPr="00D90E36" w:rsidRDefault="004141DC" w:rsidP="007C6DD8">
            <w:pPr>
              <w:keepLines/>
              <w:spacing w:after="120" w:line="240" w:lineRule="auto"/>
              <w:rPr>
                <w:rFonts w:eastAsia="Calibri Light" w:cs="Times New Roman"/>
                <w:color w:val="auto"/>
                <w:sz w:val="18"/>
                <w:szCs w:val="18"/>
              </w:rPr>
            </w:pPr>
          </w:p>
        </w:tc>
        <w:tc>
          <w:tcPr>
            <w:tcW w:w="2977" w:type="dxa"/>
            <w:vMerge/>
          </w:tcPr>
          <w:p w14:paraId="71B44291" w14:textId="77777777" w:rsidR="004141DC" w:rsidRPr="00D90E36" w:rsidRDefault="004141DC" w:rsidP="007C6DD8">
            <w:pPr>
              <w:keepLines/>
              <w:spacing w:after="120" w:line="240" w:lineRule="auto"/>
              <w:rPr>
                <w:rFonts w:eastAsia="Calibri Light" w:cs="Times New Roman"/>
                <w:color w:val="auto"/>
                <w:sz w:val="18"/>
                <w:szCs w:val="18"/>
              </w:rPr>
            </w:pPr>
          </w:p>
        </w:tc>
      </w:tr>
    </w:tbl>
    <w:p w14:paraId="230295C3" w14:textId="77777777" w:rsidR="00CB514F" w:rsidRPr="00D90E36" w:rsidRDefault="00CB514F">
      <w:pPr>
        <w:suppressAutoHyphens w:val="0"/>
        <w:spacing w:before="0" w:after="120" w:line="440" w:lineRule="atLeast"/>
        <w:rPr>
          <w:rFonts w:eastAsia="Calibri Light" w:cs="Times New Roman"/>
          <w:b/>
          <w:smallCaps/>
          <w:color w:val="auto"/>
          <w:sz w:val="24"/>
          <w:szCs w:val="18"/>
        </w:rPr>
      </w:pPr>
      <w:r w:rsidRPr="00D90E36">
        <w:rPr>
          <w:rFonts w:eastAsia="Calibri Light" w:cs="Times New Roman"/>
          <w:b/>
          <w:smallCaps/>
          <w:color w:val="auto"/>
          <w:sz w:val="24"/>
          <w:szCs w:val="18"/>
        </w:rPr>
        <w:br w:type="page"/>
      </w:r>
    </w:p>
    <w:p w14:paraId="71862198" w14:textId="105E0CF0" w:rsidR="00B572AC" w:rsidRPr="00E07BFD" w:rsidRDefault="00A13CEA" w:rsidP="00E07BFD">
      <w:pPr>
        <w:pStyle w:val="Heading2"/>
      </w:pPr>
      <w:r w:rsidRPr="00E07BFD">
        <w:rPr>
          <w:caps w:val="0"/>
        </w:rPr>
        <w:lastRenderedPageBreak/>
        <w:t xml:space="preserve">4. Monitoring, Evaluation </w:t>
      </w:r>
      <w:r>
        <w:rPr>
          <w:caps w:val="0"/>
        </w:rPr>
        <w:t>and</w:t>
      </w:r>
      <w:r w:rsidRPr="00E07BFD">
        <w:rPr>
          <w:caps w:val="0"/>
        </w:rPr>
        <w:t xml:space="preserve"> Learning</w:t>
      </w:r>
    </w:p>
    <w:p w14:paraId="41C3A63A" w14:textId="7DEF0EAC" w:rsidR="00B572AC" w:rsidRPr="00D90E36" w:rsidRDefault="00B572AC" w:rsidP="00B572AC">
      <w:pPr>
        <w:spacing w:after="120" w:line="240" w:lineRule="auto"/>
        <w:rPr>
          <w:rStyle w:val="SubtleEmphasis"/>
        </w:rPr>
      </w:pPr>
      <w:r w:rsidRPr="00D90E36">
        <w:rPr>
          <w:rStyle w:val="SubtleEmphasis"/>
        </w:rPr>
        <w:t xml:space="preserve">Will </w:t>
      </w:r>
      <w:r w:rsidR="00720C7F">
        <w:rPr>
          <w:rStyle w:val="SubtleEmphasis"/>
        </w:rPr>
        <w:t>ME</w:t>
      </w:r>
      <w:r w:rsidR="00301A30">
        <w:rPr>
          <w:rStyle w:val="SubtleEmphasis"/>
        </w:rPr>
        <w:t>L</w:t>
      </w:r>
      <w:r w:rsidRPr="00D90E36">
        <w:rPr>
          <w:rStyle w:val="SubtleEmphasis"/>
        </w:rPr>
        <w:t xml:space="preserve"> arrangements ensure that performance information is collected, and available to decision-makers throughout implementation?</w:t>
      </w:r>
    </w:p>
    <w:p w14:paraId="09CCC907" w14:textId="77777777" w:rsidR="00B572AC" w:rsidRPr="00D90E36" w:rsidRDefault="00B572AC" w:rsidP="00B572AC">
      <w:pPr>
        <w:rPr>
          <w:b/>
          <w:bCs/>
        </w:rPr>
      </w:pPr>
      <w:r w:rsidRPr="00D90E36">
        <w:rPr>
          <w:b/>
          <w:bCs/>
        </w:rPr>
        <w:t>Focus areas:</w:t>
      </w:r>
    </w:p>
    <w:p w14:paraId="1048CFBD" w14:textId="77777777" w:rsidR="00B572AC" w:rsidRPr="00D90E36" w:rsidRDefault="00B572AC" w:rsidP="00B572AC">
      <w:pPr>
        <w:pStyle w:val="ListParagraph"/>
        <w:numPr>
          <w:ilvl w:val="0"/>
          <w:numId w:val="53"/>
        </w:numPr>
      </w:pPr>
      <w:r>
        <w:t>Measurement of results</w:t>
      </w:r>
    </w:p>
    <w:p w14:paraId="54562FFE" w14:textId="125CE786" w:rsidR="00B572AC" w:rsidRPr="00D90E36" w:rsidRDefault="00B572AC" w:rsidP="00B572AC">
      <w:pPr>
        <w:pStyle w:val="ListParagraph"/>
        <w:numPr>
          <w:ilvl w:val="0"/>
          <w:numId w:val="53"/>
        </w:numPr>
      </w:pPr>
      <w:r>
        <w:t xml:space="preserve">Use of </w:t>
      </w:r>
      <w:r w:rsidR="006C6E26">
        <w:t>MEL</w:t>
      </w:r>
    </w:p>
    <w:p w14:paraId="097C152B" w14:textId="573E1F67" w:rsidR="00B572AC" w:rsidRPr="00D90E36" w:rsidRDefault="00B572AC" w:rsidP="00B572AC">
      <w:pPr>
        <w:pStyle w:val="ListParagraph"/>
        <w:numPr>
          <w:ilvl w:val="0"/>
          <w:numId w:val="53"/>
        </w:numPr>
      </w:pPr>
      <w:r>
        <w:t xml:space="preserve">Independent </w:t>
      </w:r>
      <w:r w:rsidR="00147C11">
        <w:t>MEL</w:t>
      </w:r>
    </w:p>
    <w:p w14:paraId="7844C9B1" w14:textId="05479746" w:rsidR="00B572AC" w:rsidRPr="00D90E36" w:rsidRDefault="00B572AC" w:rsidP="00B572AC">
      <w:pPr>
        <w:pStyle w:val="ListParagraph"/>
        <w:numPr>
          <w:ilvl w:val="0"/>
          <w:numId w:val="53"/>
        </w:numPr>
      </w:pPr>
      <w:r>
        <w:t xml:space="preserve">Resources for </w:t>
      </w:r>
      <w:r w:rsidR="00147C11">
        <w:t>MEL</w:t>
      </w:r>
    </w:p>
    <w:p w14:paraId="685716CE" w14:textId="77777777" w:rsidR="008B0D04" w:rsidRPr="00D90E36" w:rsidRDefault="008B0D04" w:rsidP="00C0736E"/>
    <w:tbl>
      <w:tblPr>
        <w:tblStyle w:val="TableGrid"/>
        <w:tblW w:w="14743" w:type="dxa"/>
        <w:tblInd w:w="-147" w:type="dxa"/>
        <w:tblLook w:val="04A0" w:firstRow="1" w:lastRow="0" w:firstColumn="1" w:lastColumn="0" w:noHBand="0" w:noVBand="1"/>
      </w:tblPr>
      <w:tblGrid>
        <w:gridCol w:w="3970"/>
        <w:gridCol w:w="3543"/>
        <w:gridCol w:w="3828"/>
        <w:gridCol w:w="3402"/>
      </w:tblGrid>
      <w:tr w:rsidR="0043415E" w:rsidRPr="00D90E36" w14:paraId="7C2A4625" w14:textId="77777777" w:rsidTr="008A4329">
        <w:trPr>
          <w:tblHeader/>
        </w:trPr>
        <w:tc>
          <w:tcPr>
            <w:tcW w:w="3970" w:type="dxa"/>
            <w:tcBorders>
              <w:left w:val="single" w:sz="4" w:space="0" w:color="auto"/>
            </w:tcBorders>
            <w:shd w:val="clear" w:color="auto" w:fill="D4EAF3" w:themeFill="accent1" w:themeFillTint="33"/>
          </w:tcPr>
          <w:p w14:paraId="73659372" w14:textId="77777777" w:rsidR="0043415E" w:rsidRPr="00D90E36" w:rsidRDefault="0043415E"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Good, very good (rating 5-6) </w:t>
            </w:r>
          </w:p>
        </w:tc>
        <w:tc>
          <w:tcPr>
            <w:tcW w:w="3543" w:type="dxa"/>
            <w:shd w:val="clear" w:color="auto" w:fill="D4EAF3" w:themeFill="accent1" w:themeFillTint="33"/>
          </w:tcPr>
          <w:p w14:paraId="1AD666BD" w14:textId="77777777" w:rsidR="0043415E" w:rsidRPr="00D90E36" w:rsidRDefault="0043415E"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828" w:type="dxa"/>
            <w:shd w:val="clear" w:color="auto" w:fill="D4EAF3" w:themeFill="accent1" w:themeFillTint="33"/>
          </w:tcPr>
          <w:p w14:paraId="09D122BB" w14:textId="77777777" w:rsidR="0043415E" w:rsidRPr="00D90E36" w:rsidRDefault="0043415E"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3402" w:type="dxa"/>
            <w:shd w:val="clear" w:color="auto" w:fill="D4EAF3" w:themeFill="accent1" w:themeFillTint="33"/>
          </w:tcPr>
          <w:p w14:paraId="372E095F" w14:textId="77777777" w:rsidR="0043415E" w:rsidRPr="00D90E36" w:rsidRDefault="0043415E" w:rsidP="007C6DD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470A22" w:rsidRPr="00D90E36" w14:paraId="4558AE55" w14:textId="77777777" w:rsidTr="008A4329">
        <w:trPr>
          <w:trHeight w:val="3343"/>
        </w:trPr>
        <w:tc>
          <w:tcPr>
            <w:tcW w:w="3970" w:type="dxa"/>
            <w:tcBorders>
              <w:left w:val="single" w:sz="4" w:space="0" w:color="auto"/>
            </w:tcBorders>
          </w:tcPr>
          <w:p w14:paraId="2413FD9E" w14:textId="752DB180" w:rsidR="36C39F53" w:rsidRPr="008A4329" w:rsidRDefault="36C39F53" w:rsidP="008A4329">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All of DFAT’s Design and MEL Standards 3 Program Logic and 4 Investment Design are met.</w:t>
            </w:r>
          </w:p>
          <w:p w14:paraId="0666064B" w14:textId="28B2CD2E" w:rsidR="36C39F53" w:rsidRPr="008A4329" w:rsidRDefault="36C39F53" w:rsidP="008A4329">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 xml:space="preserve">End-of-program outcomes (EOPO) and Intermediate Outcomes (IO) are expressed in terms of key performance indicators pitched at the right level. </w:t>
            </w:r>
          </w:p>
          <w:p w14:paraId="59F54FD0" w14:textId="2ECBE43A" w:rsidR="00573FE9" w:rsidRPr="008A4329" w:rsidRDefault="36C39F53" w:rsidP="008A4329">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 xml:space="preserve">Tier 2 and Tier 3 indicators have been appropriately embedded in the MEL framework and reporting milestones. </w:t>
            </w:r>
          </w:p>
          <w:p w14:paraId="014E8B0D" w14:textId="19347D12" w:rsidR="003A7B6A" w:rsidRPr="008A4329" w:rsidRDefault="36C39F53" w:rsidP="00573FE9">
            <w:pPr>
              <w:rPr>
                <w:rFonts w:cstheme="minorHAnsi"/>
                <w:color w:val="auto"/>
                <w:sz w:val="18"/>
                <w:szCs w:val="18"/>
              </w:rPr>
            </w:pPr>
            <w:r w:rsidRPr="008A4329">
              <w:rPr>
                <w:rFonts w:cstheme="minorHAnsi"/>
                <w:color w:val="auto"/>
                <w:sz w:val="18"/>
                <w:szCs w:val="18"/>
              </w:rPr>
              <w:t xml:space="preserve">The MEL framework is attached as an annex: </w:t>
            </w:r>
          </w:p>
          <w:p w14:paraId="6CCF0752" w14:textId="0AC53280" w:rsidR="003A7B6A" w:rsidRPr="008A4329" w:rsidRDefault="36C39F53" w:rsidP="008A4329">
            <w:pPr>
              <w:pStyle w:val="ListParagraph"/>
              <w:numPr>
                <w:ilvl w:val="0"/>
                <w:numId w:val="75"/>
              </w:numPr>
              <w:rPr>
                <w:rFonts w:cstheme="minorHAnsi"/>
                <w:color w:val="auto"/>
                <w:sz w:val="18"/>
                <w:szCs w:val="18"/>
              </w:rPr>
            </w:pPr>
            <w:r w:rsidRPr="008A4329">
              <w:rPr>
                <w:rFonts w:eastAsia="Calibri Light" w:cstheme="minorHAnsi"/>
                <w:color w:val="auto"/>
                <w:sz w:val="18"/>
                <w:szCs w:val="18"/>
              </w:rPr>
              <w:t>It is linked to the program logic,</w:t>
            </w:r>
          </w:p>
          <w:p w14:paraId="58C5B0E9" w14:textId="165BD676" w:rsidR="00573FE9" w:rsidRPr="008A4329" w:rsidRDefault="36C39F53" w:rsidP="008A4329">
            <w:pPr>
              <w:pStyle w:val="ListParagraph"/>
              <w:keepLines/>
              <w:numPr>
                <w:ilvl w:val="0"/>
                <w:numId w:val="75"/>
              </w:numPr>
              <w:spacing w:after="120" w:line="240" w:lineRule="auto"/>
              <w:rPr>
                <w:rFonts w:eastAsia="Calibri Light" w:cstheme="minorHAnsi"/>
                <w:color w:val="auto"/>
                <w:sz w:val="18"/>
                <w:szCs w:val="18"/>
              </w:rPr>
            </w:pPr>
            <w:r w:rsidRPr="008A4329">
              <w:rPr>
                <w:rFonts w:eastAsia="Calibri Light" w:cstheme="minorHAnsi"/>
                <w:color w:val="auto"/>
                <w:sz w:val="18"/>
                <w:szCs w:val="18"/>
              </w:rPr>
              <w:t>Includes indicative indicators as appropriate for the design at EOPO, IO and output level,</w:t>
            </w:r>
            <w:r w:rsidR="003A7B6A" w:rsidRPr="008A4329">
              <w:rPr>
                <w:rFonts w:eastAsia="Calibri Light" w:cstheme="minorHAnsi"/>
                <w:color w:val="auto"/>
                <w:sz w:val="18"/>
                <w:szCs w:val="18"/>
              </w:rPr>
              <w:t xml:space="preserve"> and </w:t>
            </w:r>
          </w:p>
          <w:p w14:paraId="378AD8BA" w14:textId="7C54907D" w:rsidR="36C39F53" w:rsidRPr="008A4329" w:rsidRDefault="36C39F53" w:rsidP="008A4329">
            <w:pPr>
              <w:pStyle w:val="ListParagraph"/>
              <w:numPr>
                <w:ilvl w:val="0"/>
                <w:numId w:val="75"/>
              </w:numPr>
              <w:rPr>
                <w:color w:val="auto"/>
              </w:rPr>
            </w:pPr>
            <w:r w:rsidRPr="008A4329">
              <w:rPr>
                <w:rFonts w:cstheme="minorHAnsi"/>
                <w:color w:val="auto"/>
                <w:sz w:val="18"/>
                <w:szCs w:val="18"/>
              </w:rPr>
              <w:t>Key evaluation questions are included for EOPO, IO and output level</w:t>
            </w:r>
            <w:r w:rsidRPr="008A4329">
              <w:rPr>
                <w:color w:val="auto"/>
              </w:rPr>
              <w:t xml:space="preserve"> </w:t>
            </w:r>
          </w:p>
          <w:p w14:paraId="254B97F8" w14:textId="4B942E70" w:rsidR="36C39F53" w:rsidRPr="008A4329" w:rsidRDefault="36C39F53" w:rsidP="008A4329">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 xml:space="preserve">The approach to MEL is appropriate for the intention of the design. (is the design appropriate for consideration of impact evaluation or real-time evaluation) </w:t>
            </w:r>
          </w:p>
        </w:tc>
        <w:tc>
          <w:tcPr>
            <w:tcW w:w="3543" w:type="dxa"/>
          </w:tcPr>
          <w:p w14:paraId="4D85DB3F" w14:textId="70CDC696" w:rsidR="0E17C7DF" w:rsidRPr="008A4329" w:rsidRDefault="0E17C7DF" w:rsidP="008A4329">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 xml:space="preserve">Most of DFAT’s Design and MEL Standards 3 Program Logic and 4 Investment Design are met. Any shortcomings are described and justified. </w:t>
            </w:r>
          </w:p>
          <w:p w14:paraId="0E3D879D" w14:textId="5DC3591B" w:rsidR="0E17C7DF" w:rsidRPr="008A4329" w:rsidRDefault="0E17C7DF" w:rsidP="008A4329">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 xml:space="preserve">End-of-program outcomes (EOPO) and Intermediate Outcomes (IO) are expressed in terms of key performance indicators pitched at the right level. </w:t>
            </w:r>
          </w:p>
          <w:p w14:paraId="753590E4" w14:textId="400E3126" w:rsidR="0E17C7DF" w:rsidRPr="008A4329" w:rsidRDefault="0E17C7DF" w:rsidP="008A4329">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 xml:space="preserve">Reporting on Tier 2 and Tier 3indicators have been appropriately considered. If not reported, this is justified. </w:t>
            </w:r>
          </w:p>
          <w:p w14:paraId="3072DB60" w14:textId="3F45C905" w:rsidR="0E17C7DF" w:rsidRPr="008A4329" w:rsidRDefault="0E17C7DF" w:rsidP="008A4329">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 xml:space="preserve">The MEL framework is attached as an annex: </w:t>
            </w:r>
          </w:p>
          <w:p w14:paraId="56DACE43" w14:textId="58EDB1B6" w:rsidR="0E17C7DF" w:rsidRPr="008A4329" w:rsidRDefault="0E17C7DF" w:rsidP="008A4329">
            <w:pPr>
              <w:pStyle w:val="ListParagraph"/>
              <w:keepLines/>
              <w:numPr>
                <w:ilvl w:val="0"/>
                <w:numId w:val="3"/>
              </w:numPr>
              <w:spacing w:after="120" w:line="240" w:lineRule="auto"/>
              <w:rPr>
                <w:rFonts w:eastAsia="Calibri Light" w:cs="Times New Roman"/>
                <w:color w:val="auto"/>
                <w:sz w:val="18"/>
                <w:szCs w:val="18"/>
              </w:rPr>
            </w:pPr>
            <w:r w:rsidRPr="008A4329">
              <w:rPr>
                <w:rFonts w:eastAsia="Calibri Light" w:cs="Times New Roman"/>
                <w:color w:val="auto"/>
                <w:sz w:val="18"/>
                <w:szCs w:val="18"/>
              </w:rPr>
              <w:t>It is linked to the program logic,</w:t>
            </w:r>
          </w:p>
          <w:p w14:paraId="3DA4A7AE" w14:textId="0779B023" w:rsidR="0E17C7DF" w:rsidRPr="008A4329" w:rsidRDefault="0E17C7DF" w:rsidP="008A4329">
            <w:pPr>
              <w:pStyle w:val="ListParagraph"/>
              <w:keepLines/>
              <w:numPr>
                <w:ilvl w:val="0"/>
                <w:numId w:val="3"/>
              </w:numPr>
              <w:spacing w:after="120" w:line="240" w:lineRule="auto"/>
              <w:rPr>
                <w:rFonts w:eastAsia="Calibri Light" w:cs="Times New Roman"/>
                <w:color w:val="auto"/>
                <w:sz w:val="18"/>
                <w:szCs w:val="18"/>
              </w:rPr>
            </w:pPr>
            <w:r w:rsidRPr="008A4329">
              <w:rPr>
                <w:rFonts w:eastAsia="Calibri Light" w:cs="Times New Roman"/>
                <w:color w:val="auto"/>
                <w:sz w:val="18"/>
                <w:szCs w:val="18"/>
              </w:rPr>
              <w:t>Includes indicative indicators as appropriate for the design,</w:t>
            </w:r>
          </w:p>
          <w:p w14:paraId="7008D36A" w14:textId="74A1B413" w:rsidR="0E17C7DF" w:rsidRPr="008A4329" w:rsidRDefault="0E17C7DF" w:rsidP="008A4329">
            <w:pPr>
              <w:pStyle w:val="ListParagraph"/>
              <w:keepLines/>
              <w:numPr>
                <w:ilvl w:val="0"/>
                <w:numId w:val="3"/>
              </w:numPr>
              <w:spacing w:after="120" w:line="240" w:lineRule="auto"/>
              <w:rPr>
                <w:rFonts w:eastAsia="Calibri Light" w:cs="Times New Roman"/>
                <w:color w:val="auto"/>
                <w:sz w:val="18"/>
                <w:szCs w:val="18"/>
              </w:rPr>
            </w:pPr>
            <w:r w:rsidRPr="008A4329">
              <w:rPr>
                <w:rFonts w:eastAsia="Calibri Light" w:cs="Times New Roman"/>
                <w:color w:val="auto"/>
                <w:sz w:val="18"/>
                <w:szCs w:val="18"/>
              </w:rPr>
              <w:t xml:space="preserve">Key evaluation questions are included </w:t>
            </w:r>
          </w:p>
          <w:p w14:paraId="1191C229" w14:textId="78BE9FB1" w:rsidR="00470A22" w:rsidRPr="00D90E36" w:rsidRDefault="0E17C7DF" w:rsidP="00FA4CBA">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The approach to MEL is appropriate for the intention of the design. (is the design appropriate for consideration of impact evaluation or real-time evaluation)</w:t>
            </w:r>
          </w:p>
        </w:tc>
        <w:tc>
          <w:tcPr>
            <w:tcW w:w="3828" w:type="dxa"/>
          </w:tcPr>
          <w:p w14:paraId="37871F14" w14:textId="184C0DE2" w:rsidR="00CD1FA8" w:rsidRPr="008A4329" w:rsidRDefault="00CD1FA8" w:rsidP="008A4329">
            <w:pPr>
              <w:keepLines/>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Key elements of DFAT’s Design and MEL Standards 3 Program Logic and 4 Investment Design are not met.</w:t>
            </w:r>
          </w:p>
          <w:p w14:paraId="4481E646" w14:textId="3FDB2BC8" w:rsidR="00CD1FA8" w:rsidRPr="008A4329" w:rsidRDefault="00CD1FA8" w:rsidP="008A4329">
            <w:pPr>
              <w:keepLines/>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 xml:space="preserve">End-of-program outcomes (EOPO) and Intermediate Outcomes (IO) are not expressed in terms of key performance indicators. Or it is pitched at a level that is not matching the resources and time available. </w:t>
            </w:r>
          </w:p>
          <w:p w14:paraId="35472E3B" w14:textId="2A262EF9" w:rsidR="00CD1FA8" w:rsidRPr="008A4329" w:rsidRDefault="00CD1FA8" w:rsidP="008A4329">
            <w:pPr>
              <w:keepLines/>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 xml:space="preserve">Tier 2 or Tier 3 indicators mentioned but not identified. </w:t>
            </w:r>
          </w:p>
          <w:p w14:paraId="06C55153" w14:textId="77777777" w:rsidR="00CD1FA8" w:rsidRPr="008A4329" w:rsidRDefault="00CD1FA8" w:rsidP="008A4329">
            <w:pPr>
              <w:keepLines/>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 xml:space="preserve">The MEL framework is attached as an annex: </w:t>
            </w:r>
          </w:p>
          <w:p w14:paraId="5ACD7FFE" w14:textId="77777777" w:rsidR="00CD1FA8" w:rsidRPr="008A4329" w:rsidRDefault="00CD1FA8" w:rsidP="008A4329">
            <w:pPr>
              <w:pStyle w:val="ListParagraph"/>
              <w:keepLines/>
              <w:numPr>
                <w:ilvl w:val="0"/>
                <w:numId w:val="73"/>
              </w:numPr>
              <w:suppressAutoHyphens w:val="0"/>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Not linked to the program logic,</w:t>
            </w:r>
          </w:p>
          <w:p w14:paraId="18B41EE0" w14:textId="77777777" w:rsidR="00CD1FA8" w:rsidRPr="008A4329" w:rsidRDefault="00CD1FA8" w:rsidP="008A4329">
            <w:pPr>
              <w:pStyle w:val="ListParagraph"/>
              <w:keepLines/>
              <w:numPr>
                <w:ilvl w:val="0"/>
                <w:numId w:val="73"/>
              </w:numPr>
              <w:suppressAutoHyphens w:val="0"/>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Included indicative indicators not realistic for the design,</w:t>
            </w:r>
          </w:p>
          <w:p w14:paraId="19B449BC" w14:textId="5D2B0371" w:rsidR="00CD1FA8" w:rsidRPr="008A4329" w:rsidRDefault="00CD1FA8" w:rsidP="008A4329">
            <w:pPr>
              <w:pStyle w:val="ListParagraph"/>
              <w:keepLines/>
              <w:numPr>
                <w:ilvl w:val="0"/>
                <w:numId w:val="73"/>
              </w:numPr>
              <w:suppressAutoHyphens w:val="0"/>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 xml:space="preserve">No key evaluation questions are included </w:t>
            </w:r>
          </w:p>
          <w:p w14:paraId="63389737" w14:textId="1FA013DC" w:rsidR="00470A22" w:rsidRPr="00D90E36" w:rsidRDefault="00CD1FA8" w:rsidP="00FA4CBA">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No thought around the approach to MEL</w:t>
            </w:r>
            <w:r w:rsidR="00921A64">
              <w:rPr>
                <w:rFonts w:eastAsia="Calibri Light" w:cs="Times New Roman"/>
                <w:color w:val="auto"/>
                <w:sz w:val="18"/>
                <w:szCs w:val="18"/>
              </w:rPr>
              <w:t>,</w:t>
            </w:r>
            <w:r w:rsidRPr="008A4329">
              <w:rPr>
                <w:rFonts w:eastAsia="Calibri Light" w:cs="Times New Roman"/>
                <w:color w:val="auto"/>
                <w:sz w:val="18"/>
                <w:szCs w:val="18"/>
              </w:rPr>
              <w:t xml:space="preserve"> or an approach that is not appropriate for the intention of the design.</w:t>
            </w:r>
          </w:p>
        </w:tc>
        <w:tc>
          <w:tcPr>
            <w:tcW w:w="3402" w:type="dxa"/>
          </w:tcPr>
          <w:p w14:paraId="5EE82818" w14:textId="77777777" w:rsidR="004E161E" w:rsidRPr="008A4329" w:rsidRDefault="004E161E" w:rsidP="008A4329">
            <w:pPr>
              <w:keepLines/>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DFAT’s Design and MEL Standards 3 Program Logic and 4 Investment Design have not been applied.</w:t>
            </w:r>
          </w:p>
          <w:p w14:paraId="25639444" w14:textId="77777777" w:rsidR="004E161E" w:rsidRPr="008A4329" w:rsidRDefault="004E161E" w:rsidP="008A4329">
            <w:pPr>
              <w:keepLines/>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 xml:space="preserve">End-of-program outcomes (EOPO) and Intermediate Outcomes (IO) are not clear. Or appropriate level for the resources and time available. </w:t>
            </w:r>
          </w:p>
          <w:p w14:paraId="2727F66C" w14:textId="3CF395FB" w:rsidR="004E161E" w:rsidRPr="008A4329" w:rsidRDefault="004E161E" w:rsidP="008A4329">
            <w:pPr>
              <w:keepLines/>
              <w:spacing w:after="120" w:line="240" w:lineRule="auto"/>
              <w:textAlignment w:val="baseline"/>
              <w:rPr>
                <w:rFonts w:eastAsia="Calibri Light" w:cs="Times New Roman"/>
                <w:color w:val="auto"/>
                <w:sz w:val="18"/>
                <w:szCs w:val="18"/>
              </w:rPr>
            </w:pPr>
            <w:r w:rsidRPr="008A4329">
              <w:rPr>
                <w:rFonts w:eastAsia="Calibri Light" w:cs="Times New Roman"/>
                <w:color w:val="auto"/>
                <w:sz w:val="18"/>
                <w:szCs w:val="18"/>
              </w:rPr>
              <w:t xml:space="preserve">Reporting on </w:t>
            </w:r>
            <w:r w:rsidR="00907982">
              <w:rPr>
                <w:rFonts w:eastAsia="Calibri Light" w:cs="Times New Roman"/>
                <w:color w:val="auto"/>
                <w:sz w:val="18"/>
                <w:szCs w:val="18"/>
              </w:rPr>
              <w:t>T</w:t>
            </w:r>
            <w:r w:rsidRPr="008A4329">
              <w:rPr>
                <w:rFonts w:eastAsia="Calibri Light" w:cs="Times New Roman"/>
                <w:color w:val="auto"/>
                <w:sz w:val="18"/>
                <w:szCs w:val="18"/>
              </w:rPr>
              <w:t xml:space="preserve">ier 2 and </w:t>
            </w:r>
            <w:r w:rsidR="00907982">
              <w:rPr>
                <w:rFonts w:eastAsia="Calibri Light" w:cs="Times New Roman"/>
                <w:color w:val="auto"/>
                <w:sz w:val="18"/>
                <w:szCs w:val="18"/>
              </w:rPr>
              <w:t xml:space="preserve">Tier </w:t>
            </w:r>
            <w:r w:rsidRPr="008A4329">
              <w:rPr>
                <w:rFonts w:eastAsia="Calibri Light" w:cs="Times New Roman"/>
                <w:color w:val="auto"/>
                <w:sz w:val="18"/>
                <w:szCs w:val="18"/>
              </w:rPr>
              <w:t xml:space="preserve">3 indicators not mentioned. </w:t>
            </w:r>
          </w:p>
          <w:p w14:paraId="288304B7" w14:textId="55953B72" w:rsidR="008E7E97" w:rsidRPr="00D90E36" w:rsidRDefault="004E161E" w:rsidP="008E7E97">
            <w:pPr>
              <w:keepLines/>
              <w:spacing w:after="120" w:line="240" w:lineRule="auto"/>
              <w:rPr>
                <w:rFonts w:eastAsia="Calibri Light" w:cs="Times New Roman"/>
                <w:color w:val="auto"/>
                <w:sz w:val="18"/>
                <w:szCs w:val="18"/>
              </w:rPr>
            </w:pPr>
            <w:r w:rsidRPr="008A4329">
              <w:rPr>
                <w:rFonts w:eastAsia="Calibri Light" w:cs="Times New Roman"/>
                <w:color w:val="auto"/>
                <w:sz w:val="18"/>
                <w:szCs w:val="18"/>
              </w:rPr>
              <w:t>No MEL framework is attached as annex or not filled out.</w:t>
            </w:r>
          </w:p>
        </w:tc>
      </w:tr>
      <w:tr w:rsidR="008E7E97" w:rsidRPr="00D90E36" w14:paraId="3955ACC9" w14:textId="77777777" w:rsidTr="00907982">
        <w:tc>
          <w:tcPr>
            <w:tcW w:w="3970" w:type="dxa"/>
          </w:tcPr>
          <w:p w14:paraId="38F03554" w14:textId="77777777" w:rsidR="008E7E97" w:rsidRPr="0064607D" w:rsidRDefault="008E7E97" w:rsidP="008E7E97">
            <w:pPr>
              <w:keepLines/>
              <w:spacing w:after="120" w:line="240" w:lineRule="auto"/>
              <w:rPr>
                <w:rFonts w:eastAsia="Calibri Light" w:cs="Times New Roman"/>
                <w:color w:val="auto"/>
                <w:sz w:val="18"/>
                <w:szCs w:val="18"/>
              </w:rPr>
            </w:pPr>
            <w:r w:rsidRPr="0064607D">
              <w:rPr>
                <w:rFonts w:eastAsia="Calibri Light" w:cs="Times New Roman"/>
                <w:color w:val="auto"/>
                <w:sz w:val="18"/>
                <w:szCs w:val="18"/>
              </w:rPr>
              <w:lastRenderedPageBreak/>
              <w:t xml:space="preserve">Cross-cutting priorities like gender, disability, and social inclusion as well as climate change are clearly considered in the MEL system. </w:t>
            </w:r>
          </w:p>
          <w:p w14:paraId="723AA24B" w14:textId="77777777" w:rsidR="008E7E97" w:rsidRPr="0064607D" w:rsidRDefault="008E7E97" w:rsidP="008E7E97">
            <w:pPr>
              <w:keepLines/>
              <w:spacing w:after="120" w:line="240" w:lineRule="auto"/>
              <w:rPr>
                <w:rFonts w:eastAsia="Calibri Light" w:cs="Times New Roman"/>
                <w:color w:val="auto"/>
                <w:sz w:val="18"/>
                <w:szCs w:val="18"/>
              </w:rPr>
            </w:pPr>
            <w:r w:rsidRPr="0064607D">
              <w:rPr>
                <w:rFonts w:eastAsia="Calibri Light" w:cs="Times New Roman"/>
                <w:color w:val="auto"/>
                <w:sz w:val="18"/>
                <w:szCs w:val="18"/>
              </w:rPr>
              <w:t>The design has considered use of partner systems for (and where appropriate feeds into) data collection and reporting</w:t>
            </w:r>
            <w:r>
              <w:rPr>
                <w:rFonts w:eastAsia="Calibri Light" w:cs="Times New Roman"/>
                <w:color w:val="auto"/>
                <w:sz w:val="18"/>
                <w:szCs w:val="18"/>
              </w:rPr>
              <w:t>,</w:t>
            </w:r>
            <w:r w:rsidRPr="0064607D">
              <w:rPr>
                <w:rFonts w:eastAsia="Calibri Light" w:cs="Times New Roman"/>
                <w:color w:val="auto"/>
                <w:sz w:val="18"/>
                <w:szCs w:val="18"/>
              </w:rPr>
              <w:t xml:space="preserve"> and supplements them where necessary. Australia's requirements are harmonised with other actors. </w:t>
            </w:r>
          </w:p>
          <w:p w14:paraId="77717993" w14:textId="4E70FBB9" w:rsidR="008E7E97" w:rsidRPr="36C39F53" w:rsidRDefault="008E7E97" w:rsidP="008E7E97">
            <w:pPr>
              <w:keepLines/>
              <w:spacing w:after="120" w:line="240" w:lineRule="auto"/>
              <w:rPr>
                <w:rFonts w:ascii="Calibri" w:eastAsia="Calibri" w:hAnsi="Calibri" w:cs="Calibri"/>
                <w:sz w:val="18"/>
                <w:szCs w:val="18"/>
              </w:rPr>
            </w:pPr>
            <w:r w:rsidRPr="0064607D">
              <w:rPr>
                <w:rFonts w:eastAsia="Calibri Light" w:cs="Times New Roman"/>
                <w:color w:val="auto"/>
                <w:sz w:val="18"/>
                <w:szCs w:val="18"/>
              </w:rPr>
              <w:t>If partner systems are not available, it is explained how data will be collected and how partner systems will be built over time (could be other donors’ responsibility). If it is within the design, it is resourced and part of monitored interventions.</w:t>
            </w:r>
          </w:p>
        </w:tc>
        <w:tc>
          <w:tcPr>
            <w:tcW w:w="3543" w:type="dxa"/>
          </w:tcPr>
          <w:p w14:paraId="6CCF9EA3" w14:textId="77777777" w:rsidR="008E7E97" w:rsidRPr="0064607D" w:rsidRDefault="008E7E97" w:rsidP="008E7E97">
            <w:pPr>
              <w:keepLines/>
              <w:spacing w:after="120" w:line="240" w:lineRule="auto"/>
              <w:rPr>
                <w:rFonts w:eastAsia="Calibri Light" w:cs="Times New Roman"/>
                <w:color w:val="auto"/>
                <w:sz w:val="18"/>
                <w:szCs w:val="18"/>
              </w:rPr>
            </w:pPr>
            <w:r w:rsidRPr="0064607D">
              <w:rPr>
                <w:rFonts w:eastAsia="Calibri Light" w:cs="Times New Roman"/>
                <w:color w:val="auto"/>
                <w:sz w:val="18"/>
                <w:szCs w:val="18"/>
              </w:rPr>
              <w:t>Cross-cutting priorities like gender, disability, and social inclusion as well as climate change are briefly considered in the MEL system.</w:t>
            </w:r>
          </w:p>
          <w:p w14:paraId="7405C2EE" w14:textId="77777777" w:rsidR="008E7E97" w:rsidRPr="0064607D" w:rsidRDefault="008E7E97" w:rsidP="008E7E97">
            <w:pPr>
              <w:keepLines/>
              <w:spacing w:after="120" w:line="240" w:lineRule="auto"/>
              <w:rPr>
                <w:rFonts w:eastAsia="Calibri Light" w:cs="Times New Roman"/>
                <w:color w:val="auto"/>
                <w:sz w:val="18"/>
                <w:szCs w:val="18"/>
              </w:rPr>
            </w:pPr>
            <w:r w:rsidRPr="0064607D">
              <w:rPr>
                <w:rFonts w:eastAsia="Calibri Light" w:cs="Times New Roman"/>
                <w:color w:val="auto"/>
                <w:sz w:val="18"/>
                <w:szCs w:val="18"/>
              </w:rPr>
              <w:t>The design has considered use of partner systems for (and where appropriate feeds into) data collection and reporting to some extent</w:t>
            </w:r>
            <w:r>
              <w:rPr>
                <w:rFonts w:eastAsia="Calibri Light" w:cs="Times New Roman"/>
                <w:color w:val="auto"/>
                <w:sz w:val="18"/>
                <w:szCs w:val="18"/>
              </w:rPr>
              <w:t>,</w:t>
            </w:r>
            <w:r w:rsidRPr="0064607D">
              <w:rPr>
                <w:rFonts w:eastAsia="Calibri Light" w:cs="Times New Roman"/>
                <w:color w:val="auto"/>
                <w:sz w:val="18"/>
                <w:szCs w:val="18"/>
              </w:rPr>
              <w:t xml:space="preserve"> including supplementing them where necessary. Australia's requirements are harmonised with other actors. </w:t>
            </w:r>
          </w:p>
          <w:p w14:paraId="57520645" w14:textId="1C141E12" w:rsidR="008E7E97" w:rsidRPr="36C39F53" w:rsidRDefault="008E7E97" w:rsidP="008E7E97">
            <w:pPr>
              <w:keepLines/>
              <w:spacing w:after="120" w:line="240" w:lineRule="auto"/>
              <w:rPr>
                <w:rFonts w:ascii="Calibri" w:eastAsia="Calibri" w:hAnsi="Calibri" w:cs="Calibri"/>
                <w:sz w:val="18"/>
                <w:szCs w:val="18"/>
              </w:rPr>
            </w:pPr>
            <w:r w:rsidRPr="0064607D">
              <w:rPr>
                <w:rFonts w:eastAsia="Calibri Light" w:cs="Times New Roman"/>
                <w:color w:val="auto"/>
                <w:sz w:val="18"/>
                <w:szCs w:val="18"/>
              </w:rPr>
              <w:t>If partner systems are not available, it is explained how data will be collected.</w:t>
            </w:r>
          </w:p>
        </w:tc>
        <w:tc>
          <w:tcPr>
            <w:tcW w:w="3828" w:type="dxa"/>
          </w:tcPr>
          <w:p w14:paraId="5C563F36" w14:textId="77777777" w:rsidR="008E7E97" w:rsidRPr="0064607D" w:rsidRDefault="008E7E97" w:rsidP="008E7E97">
            <w:pPr>
              <w:keepLines/>
              <w:spacing w:after="120" w:line="240" w:lineRule="auto"/>
              <w:textAlignment w:val="baseline"/>
              <w:rPr>
                <w:rFonts w:eastAsia="Calibri Light" w:cs="Times New Roman"/>
                <w:color w:val="auto"/>
                <w:sz w:val="18"/>
                <w:szCs w:val="18"/>
              </w:rPr>
            </w:pPr>
            <w:r w:rsidRPr="0064607D">
              <w:rPr>
                <w:rFonts w:eastAsia="Calibri Light" w:cs="Times New Roman"/>
                <w:color w:val="auto"/>
                <w:sz w:val="18"/>
                <w:szCs w:val="18"/>
              </w:rPr>
              <w:t xml:space="preserve">Cross-cutting priorities like gender, </w:t>
            </w:r>
            <w:proofErr w:type="gramStart"/>
            <w:r w:rsidRPr="0064607D">
              <w:rPr>
                <w:rFonts w:eastAsia="Calibri Light" w:cs="Times New Roman"/>
                <w:color w:val="auto"/>
                <w:sz w:val="18"/>
                <w:szCs w:val="18"/>
              </w:rPr>
              <w:t>disability</w:t>
            </w:r>
            <w:proofErr w:type="gramEnd"/>
            <w:r w:rsidRPr="0064607D">
              <w:rPr>
                <w:rFonts w:eastAsia="Calibri Light" w:cs="Times New Roman"/>
                <w:color w:val="auto"/>
                <w:sz w:val="18"/>
                <w:szCs w:val="18"/>
              </w:rPr>
              <w:t xml:space="preserve"> and social inclusion as well as climate change are not adequately considered in the MEL system.</w:t>
            </w:r>
          </w:p>
          <w:p w14:paraId="00C7674D" w14:textId="73C3E038" w:rsidR="008E7E97" w:rsidRPr="00896576" w:rsidRDefault="008E7E97" w:rsidP="008E7E97">
            <w:pPr>
              <w:spacing w:after="0" w:line="240" w:lineRule="auto"/>
              <w:textAlignment w:val="baseline"/>
              <w:rPr>
                <w:rFonts w:ascii="Calibri" w:eastAsia="Times New Roman" w:hAnsi="Calibri" w:cs="Calibri"/>
                <w:sz w:val="18"/>
                <w:szCs w:val="18"/>
                <w:lang w:eastAsia="en-AU"/>
              </w:rPr>
            </w:pPr>
            <w:r w:rsidRPr="0064607D">
              <w:rPr>
                <w:rFonts w:eastAsia="Calibri Light" w:cs="Times New Roman"/>
                <w:color w:val="auto"/>
                <w:sz w:val="18"/>
                <w:szCs w:val="18"/>
              </w:rPr>
              <w:t>The design has not considered (or mentions routinely without thought) the use of partner systems for data collection.</w:t>
            </w:r>
          </w:p>
        </w:tc>
        <w:tc>
          <w:tcPr>
            <w:tcW w:w="3402" w:type="dxa"/>
          </w:tcPr>
          <w:p w14:paraId="279AD2F1" w14:textId="089E7CFF" w:rsidR="008E7E97" w:rsidRDefault="008E7E97" w:rsidP="008E7E97">
            <w:pPr>
              <w:keepLines/>
              <w:spacing w:after="120" w:line="240" w:lineRule="auto"/>
              <w:rPr>
                <w:rFonts w:eastAsia="Calibri Light" w:cs="Times New Roman"/>
                <w:color w:val="auto"/>
                <w:sz w:val="18"/>
                <w:szCs w:val="18"/>
              </w:rPr>
            </w:pPr>
            <w:r w:rsidRPr="0064607D">
              <w:rPr>
                <w:rFonts w:eastAsia="Calibri Light" w:cs="Times New Roman"/>
                <w:color w:val="auto"/>
                <w:sz w:val="18"/>
                <w:szCs w:val="18"/>
              </w:rPr>
              <w:t>The MEL system i</w:t>
            </w:r>
            <w:r>
              <w:rPr>
                <w:rFonts w:eastAsia="Calibri Light" w:cs="Times New Roman"/>
                <w:color w:val="auto"/>
                <w:sz w:val="18"/>
                <w:szCs w:val="18"/>
              </w:rPr>
              <w:t>s</w:t>
            </w:r>
            <w:r w:rsidRPr="0064607D">
              <w:rPr>
                <w:rFonts w:eastAsia="Calibri Light" w:cs="Times New Roman"/>
                <w:color w:val="auto"/>
                <w:sz w:val="18"/>
                <w:szCs w:val="18"/>
              </w:rPr>
              <w:t xml:space="preserve"> parallel to, and does not intersect with</w:t>
            </w:r>
            <w:r w:rsidR="00D01F44">
              <w:rPr>
                <w:rFonts w:eastAsia="Calibri Light" w:cs="Times New Roman"/>
                <w:color w:val="auto"/>
                <w:sz w:val="18"/>
                <w:szCs w:val="18"/>
              </w:rPr>
              <w:t>,</w:t>
            </w:r>
            <w:r w:rsidRPr="0064607D">
              <w:rPr>
                <w:rFonts w:eastAsia="Calibri Light" w:cs="Times New Roman"/>
                <w:color w:val="auto"/>
                <w:sz w:val="18"/>
                <w:szCs w:val="18"/>
              </w:rPr>
              <w:t xml:space="preserve"> local partners’ data without explanation or justification.</w:t>
            </w:r>
          </w:p>
          <w:p w14:paraId="7CD2AD77" w14:textId="77777777" w:rsidR="008E7E97" w:rsidRDefault="008E7E97" w:rsidP="008A2591">
            <w:pPr>
              <w:spacing w:after="0" w:line="240" w:lineRule="auto"/>
              <w:textAlignment w:val="baseline"/>
              <w:rPr>
                <w:rFonts w:ascii="Calibri" w:eastAsia="Times New Roman" w:hAnsi="Calibri" w:cs="Calibri"/>
                <w:sz w:val="18"/>
                <w:szCs w:val="18"/>
                <w:lang w:eastAsia="en-AU"/>
              </w:rPr>
            </w:pPr>
          </w:p>
        </w:tc>
      </w:tr>
      <w:tr w:rsidR="00D01F44" w:rsidRPr="00D01F44" w14:paraId="5F787EDF" w14:textId="77777777" w:rsidTr="00907982">
        <w:tc>
          <w:tcPr>
            <w:tcW w:w="3970" w:type="dxa"/>
          </w:tcPr>
          <w:p w14:paraId="389FA045" w14:textId="38318E26" w:rsidR="00E209A8" w:rsidRPr="008A4329" w:rsidRDefault="7259A3ED" w:rsidP="00E209A8">
            <w:pPr>
              <w:keepLines/>
              <w:spacing w:after="120" w:line="240" w:lineRule="auto"/>
              <w:rPr>
                <w:color w:val="auto"/>
              </w:rPr>
            </w:pPr>
            <w:r w:rsidRPr="008A4329">
              <w:rPr>
                <w:rFonts w:ascii="Calibri" w:eastAsia="Calibri" w:hAnsi="Calibri" w:cs="Calibri"/>
                <w:color w:val="auto"/>
                <w:sz w:val="18"/>
                <w:szCs w:val="18"/>
              </w:rPr>
              <w:t>Expectations for use of MEL information for decision-making are clearly set out. Timing of reporting of analysed data synchs with decision-making. Roles and responsibilities in reporting and feedback loops are articulated.</w:t>
            </w:r>
            <w:r w:rsidRPr="008A4329">
              <w:rPr>
                <w:rFonts w:ascii="Times New Roman" w:eastAsia="Times New Roman" w:hAnsi="Times New Roman" w:cs="Times New Roman"/>
                <w:color w:val="auto"/>
                <w:sz w:val="24"/>
                <w:szCs w:val="24"/>
              </w:rPr>
              <w:t xml:space="preserve"> </w:t>
            </w:r>
          </w:p>
          <w:p w14:paraId="5D7023A6" w14:textId="60270CF6" w:rsidR="00E209A8" w:rsidRPr="00D01F44" w:rsidRDefault="7259A3ED" w:rsidP="008A4329">
            <w:pPr>
              <w:keepLines/>
              <w:spacing w:after="120" w:line="240" w:lineRule="auto"/>
              <w:rPr>
                <w:rFonts w:eastAsia="Calibri Light" w:cs="Times New Roman"/>
                <w:color w:val="auto"/>
                <w:sz w:val="18"/>
                <w:szCs w:val="18"/>
              </w:rPr>
            </w:pPr>
            <w:r w:rsidRPr="008A4329">
              <w:rPr>
                <w:rFonts w:ascii="Calibri" w:eastAsia="Calibri" w:hAnsi="Calibri" w:cs="Calibri"/>
                <w:color w:val="auto"/>
                <w:sz w:val="18"/>
                <w:szCs w:val="18"/>
              </w:rPr>
              <w:t>It is clear what stakeholders will be included in decision making and when</w:t>
            </w:r>
            <w:r w:rsidR="000545BC">
              <w:rPr>
                <w:rFonts w:ascii="Calibri" w:eastAsia="Calibri" w:hAnsi="Calibri" w:cs="Calibri"/>
                <w:color w:val="auto"/>
                <w:sz w:val="18"/>
                <w:szCs w:val="18"/>
              </w:rPr>
              <w:t>,</w:t>
            </w:r>
            <w:r w:rsidRPr="008A4329">
              <w:rPr>
                <w:rFonts w:ascii="Calibri" w:eastAsia="Calibri" w:hAnsi="Calibri" w:cs="Calibri"/>
                <w:color w:val="auto"/>
                <w:sz w:val="18"/>
                <w:szCs w:val="18"/>
              </w:rPr>
              <w:t xml:space="preserve"> based on what information.</w:t>
            </w:r>
          </w:p>
        </w:tc>
        <w:tc>
          <w:tcPr>
            <w:tcW w:w="3543" w:type="dxa"/>
          </w:tcPr>
          <w:p w14:paraId="7CA368EC" w14:textId="53312494" w:rsidR="00E209A8" w:rsidRPr="008A4329" w:rsidRDefault="529F1152" w:rsidP="00E209A8">
            <w:pPr>
              <w:keepLines/>
              <w:spacing w:after="120" w:line="240" w:lineRule="auto"/>
              <w:rPr>
                <w:color w:val="auto"/>
              </w:rPr>
            </w:pPr>
            <w:r w:rsidRPr="008A4329">
              <w:rPr>
                <w:rFonts w:ascii="Calibri" w:eastAsia="Calibri" w:hAnsi="Calibri" w:cs="Calibri"/>
                <w:color w:val="auto"/>
                <w:sz w:val="18"/>
                <w:szCs w:val="18"/>
              </w:rPr>
              <w:t xml:space="preserve">Expectations for use of MEL information are outlined, including when and how partners will use data for decision-making. Roles and responsibilities in reporting and feedback loops are articulated. </w:t>
            </w:r>
          </w:p>
          <w:p w14:paraId="143335B7" w14:textId="517F8278" w:rsidR="00E209A8" w:rsidRPr="008A4329" w:rsidRDefault="529F1152" w:rsidP="008A4329">
            <w:pPr>
              <w:keepLines/>
              <w:spacing w:after="120" w:line="240" w:lineRule="auto"/>
              <w:rPr>
                <w:rFonts w:ascii="Calibri" w:eastAsia="Calibri" w:hAnsi="Calibri" w:cs="Calibri"/>
                <w:color w:val="auto"/>
                <w:sz w:val="18"/>
                <w:szCs w:val="18"/>
              </w:rPr>
            </w:pPr>
            <w:r w:rsidRPr="008A4329">
              <w:rPr>
                <w:rFonts w:ascii="Calibri" w:eastAsia="Calibri" w:hAnsi="Calibri" w:cs="Calibri"/>
                <w:color w:val="auto"/>
                <w:sz w:val="18"/>
                <w:szCs w:val="18"/>
              </w:rPr>
              <w:t>It is clear who will be included in decision making.</w:t>
            </w:r>
          </w:p>
        </w:tc>
        <w:tc>
          <w:tcPr>
            <w:tcW w:w="3828" w:type="dxa"/>
          </w:tcPr>
          <w:p w14:paraId="239CA4A5" w14:textId="1F124708" w:rsidR="008E153F" w:rsidRPr="008A4329" w:rsidRDefault="008E153F" w:rsidP="008E153F">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 xml:space="preserve">Expectations for use of MEL information is unclear, including when and how partners will use data for decision-making. </w:t>
            </w:r>
          </w:p>
          <w:p w14:paraId="0201BD5A" w14:textId="486F624C" w:rsidR="008E153F" w:rsidRPr="008A4329" w:rsidRDefault="008E153F" w:rsidP="008E153F">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Roles and responsibilities in reporting and feedback loops are not clearly articulated.</w:t>
            </w:r>
          </w:p>
          <w:p w14:paraId="509A71AD" w14:textId="2AB6DD31" w:rsidR="00E209A8" w:rsidRPr="00D01F44" w:rsidRDefault="008E153F" w:rsidP="00E209A8">
            <w:pPr>
              <w:keepLines/>
              <w:spacing w:after="120" w:line="240" w:lineRule="auto"/>
              <w:rPr>
                <w:rFonts w:eastAsia="Calibri Light" w:cs="Times New Roman"/>
                <w:color w:val="auto"/>
                <w:sz w:val="18"/>
                <w:szCs w:val="18"/>
              </w:rPr>
            </w:pPr>
            <w:r w:rsidRPr="008A4329">
              <w:rPr>
                <w:rFonts w:ascii="Calibri" w:eastAsia="Times New Roman" w:hAnsi="Calibri" w:cs="Calibri"/>
                <w:color w:val="auto"/>
                <w:sz w:val="18"/>
                <w:szCs w:val="18"/>
                <w:lang w:eastAsia="en-AU"/>
              </w:rPr>
              <w:t>It has not been articulated who will be involved in decision making.</w:t>
            </w:r>
          </w:p>
        </w:tc>
        <w:tc>
          <w:tcPr>
            <w:tcW w:w="3402" w:type="dxa"/>
          </w:tcPr>
          <w:p w14:paraId="1C26D84C" w14:textId="1EC8FB89" w:rsidR="008A2591" w:rsidRPr="008A4329" w:rsidRDefault="008A2591" w:rsidP="008A2591">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Use of MEL information is not articulated.</w:t>
            </w:r>
          </w:p>
          <w:p w14:paraId="56D25E4C" w14:textId="1F667A82" w:rsidR="00E209A8" w:rsidRPr="00D01F44" w:rsidRDefault="008A2591" w:rsidP="008A2591">
            <w:pPr>
              <w:keepLines/>
              <w:spacing w:after="120" w:line="240" w:lineRule="auto"/>
              <w:rPr>
                <w:rFonts w:eastAsia="Calibri Light" w:cs="Times New Roman"/>
                <w:color w:val="auto"/>
                <w:sz w:val="18"/>
                <w:szCs w:val="18"/>
              </w:rPr>
            </w:pPr>
            <w:r w:rsidRPr="008A4329">
              <w:rPr>
                <w:rFonts w:ascii="Calibri" w:eastAsia="Times New Roman" w:hAnsi="Calibri" w:cs="Calibri"/>
                <w:color w:val="auto"/>
                <w:sz w:val="18"/>
                <w:szCs w:val="18"/>
                <w:lang w:eastAsia="en-AU"/>
              </w:rPr>
              <w:t>Roles and responsibilities have not been outlined. It is not clear how decision</w:t>
            </w:r>
            <w:r w:rsidR="000545BC">
              <w:rPr>
                <w:rFonts w:ascii="Calibri" w:eastAsia="Times New Roman" w:hAnsi="Calibri" w:cs="Calibri"/>
                <w:color w:val="auto"/>
                <w:sz w:val="18"/>
                <w:szCs w:val="18"/>
                <w:lang w:eastAsia="en-AU"/>
              </w:rPr>
              <w:t>s</w:t>
            </w:r>
            <w:r w:rsidRPr="008A4329">
              <w:rPr>
                <w:rFonts w:ascii="Calibri" w:eastAsia="Times New Roman" w:hAnsi="Calibri" w:cs="Calibri"/>
                <w:color w:val="auto"/>
                <w:sz w:val="18"/>
                <w:szCs w:val="18"/>
                <w:lang w:eastAsia="en-AU"/>
              </w:rPr>
              <w:t xml:space="preserve"> will be made and by whom. </w:t>
            </w:r>
          </w:p>
        </w:tc>
      </w:tr>
      <w:tr w:rsidR="00D36E96" w:rsidRPr="00D36E96" w14:paraId="4E71FA3B" w14:textId="77777777" w:rsidTr="00907982">
        <w:tc>
          <w:tcPr>
            <w:tcW w:w="3970" w:type="dxa"/>
          </w:tcPr>
          <w:p w14:paraId="67CA43CD" w14:textId="5DBDF0B4" w:rsidR="00466AEB" w:rsidRPr="00D36E96" w:rsidRDefault="4F72E2AD" w:rsidP="36C39F53">
            <w:pPr>
              <w:keepLines/>
              <w:spacing w:after="120" w:line="240" w:lineRule="auto"/>
              <w:rPr>
                <w:rFonts w:eastAsia="Calibri Light" w:cs="Times New Roman"/>
                <w:color w:val="auto"/>
                <w:sz w:val="18"/>
                <w:szCs w:val="18"/>
              </w:rPr>
            </w:pPr>
            <w:r w:rsidRPr="008A4329">
              <w:rPr>
                <w:rFonts w:ascii="Calibri" w:eastAsia="Calibri" w:hAnsi="Calibri" w:cs="Calibri"/>
                <w:color w:val="auto"/>
                <w:sz w:val="18"/>
                <w:szCs w:val="18"/>
              </w:rPr>
              <w:t xml:space="preserve"> DFAT has a strong role in monitoring (e.g. site visits, reviewing data and reporting) and this role is clearly set out</w:t>
            </w:r>
            <w:r w:rsidR="000545BC" w:rsidRPr="008A4329">
              <w:rPr>
                <w:rFonts w:ascii="Calibri" w:eastAsia="Calibri" w:hAnsi="Calibri" w:cs="Calibri"/>
                <w:color w:val="auto"/>
                <w:sz w:val="18"/>
                <w:szCs w:val="18"/>
              </w:rPr>
              <w:t>,</w:t>
            </w:r>
            <w:r w:rsidRPr="008A4329">
              <w:rPr>
                <w:rFonts w:ascii="Calibri" w:eastAsia="Calibri" w:hAnsi="Calibri" w:cs="Calibri"/>
                <w:color w:val="auto"/>
                <w:sz w:val="18"/>
                <w:szCs w:val="18"/>
              </w:rPr>
              <w:t xml:space="preserve"> and resourcing </w:t>
            </w:r>
            <w:r w:rsidR="000545BC" w:rsidRPr="008A4329">
              <w:rPr>
                <w:rFonts w:ascii="Calibri" w:eastAsia="Calibri" w:hAnsi="Calibri" w:cs="Calibri"/>
                <w:color w:val="auto"/>
                <w:sz w:val="18"/>
                <w:szCs w:val="18"/>
              </w:rPr>
              <w:t xml:space="preserve">is </w:t>
            </w:r>
            <w:r w:rsidRPr="008A4329">
              <w:rPr>
                <w:rFonts w:ascii="Calibri" w:eastAsia="Calibri" w:hAnsi="Calibri" w:cs="Calibri"/>
                <w:color w:val="auto"/>
                <w:sz w:val="18"/>
                <w:szCs w:val="18"/>
              </w:rPr>
              <w:t xml:space="preserve">understood. </w:t>
            </w:r>
          </w:p>
          <w:p w14:paraId="6B74ADA2" w14:textId="6566F434" w:rsidR="00466AEB" w:rsidRPr="008A4329" w:rsidRDefault="4F72E2AD" w:rsidP="008A4329">
            <w:pPr>
              <w:spacing w:after="120" w:line="240" w:lineRule="auto"/>
              <w:rPr>
                <w:rFonts w:ascii="Calibri" w:eastAsia="Calibri" w:hAnsi="Calibri" w:cs="Calibri"/>
                <w:color w:val="auto"/>
                <w:sz w:val="18"/>
                <w:szCs w:val="18"/>
              </w:rPr>
            </w:pPr>
            <w:r w:rsidRPr="008A4329">
              <w:rPr>
                <w:rFonts w:ascii="Calibri" w:eastAsia="Calibri" w:hAnsi="Calibri" w:cs="Calibri"/>
                <w:color w:val="auto"/>
                <w:sz w:val="18"/>
                <w:szCs w:val="18"/>
              </w:rPr>
              <w:t>The design explains when and how independent expertise and technical advisory group input will be engaged and its specific role</w:t>
            </w:r>
            <w:r w:rsidR="00D47573" w:rsidRPr="008A4329">
              <w:rPr>
                <w:rFonts w:ascii="Calibri" w:eastAsia="Calibri" w:hAnsi="Calibri" w:cs="Calibri"/>
                <w:color w:val="auto"/>
                <w:sz w:val="18"/>
                <w:szCs w:val="18"/>
              </w:rPr>
              <w:t>, i</w:t>
            </w:r>
            <w:r w:rsidRPr="008A4329">
              <w:rPr>
                <w:rFonts w:ascii="Calibri" w:eastAsia="Calibri" w:hAnsi="Calibri" w:cs="Calibri"/>
                <w:color w:val="auto"/>
                <w:sz w:val="18"/>
                <w:szCs w:val="18"/>
              </w:rPr>
              <w:t>ncluding timing and purpose of independent reviews/evaluations.</w:t>
            </w:r>
          </w:p>
        </w:tc>
        <w:tc>
          <w:tcPr>
            <w:tcW w:w="3543" w:type="dxa"/>
          </w:tcPr>
          <w:p w14:paraId="05DE667A" w14:textId="5EE9E9E3" w:rsidR="00466AEB" w:rsidRPr="008A4329" w:rsidRDefault="73D0D0DB" w:rsidP="00466AEB">
            <w:pPr>
              <w:keepLines/>
              <w:spacing w:after="120" w:line="240" w:lineRule="auto"/>
              <w:rPr>
                <w:color w:val="auto"/>
              </w:rPr>
            </w:pPr>
            <w:r w:rsidRPr="008A4329">
              <w:rPr>
                <w:rFonts w:ascii="Calibri" w:eastAsia="Calibri" w:hAnsi="Calibri" w:cs="Calibri"/>
                <w:color w:val="auto"/>
                <w:sz w:val="18"/>
                <w:szCs w:val="18"/>
              </w:rPr>
              <w:t>DFAT’s role in monitoring (e.g. site visits, reviewing data and reporting) is set out but effort</w:t>
            </w:r>
            <w:r w:rsidR="00D47573" w:rsidRPr="008A4329">
              <w:rPr>
                <w:rFonts w:ascii="Calibri" w:eastAsia="Calibri" w:hAnsi="Calibri" w:cs="Calibri"/>
                <w:color w:val="auto"/>
                <w:sz w:val="18"/>
                <w:szCs w:val="18"/>
              </w:rPr>
              <w:t xml:space="preserve"> and/or resourcing is</w:t>
            </w:r>
            <w:r w:rsidRPr="008A4329">
              <w:rPr>
                <w:rFonts w:ascii="Calibri" w:eastAsia="Calibri" w:hAnsi="Calibri" w:cs="Calibri"/>
                <w:color w:val="auto"/>
                <w:sz w:val="18"/>
                <w:szCs w:val="18"/>
              </w:rPr>
              <w:t xml:space="preserve"> unclear. </w:t>
            </w:r>
          </w:p>
          <w:p w14:paraId="15CBE703" w14:textId="4EBE882C" w:rsidR="00466AEB" w:rsidRPr="008A4329" w:rsidRDefault="73D0D0DB" w:rsidP="008A4329">
            <w:pPr>
              <w:keepLines/>
              <w:spacing w:after="120" w:line="240" w:lineRule="auto"/>
              <w:rPr>
                <w:rFonts w:ascii="Calibri" w:eastAsia="Calibri" w:hAnsi="Calibri" w:cs="Calibri"/>
                <w:color w:val="auto"/>
                <w:sz w:val="18"/>
                <w:szCs w:val="18"/>
              </w:rPr>
            </w:pPr>
            <w:r w:rsidRPr="008A4329">
              <w:rPr>
                <w:rFonts w:ascii="Calibri" w:eastAsia="Calibri" w:hAnsi="Calibri" w:cs="Calibri"/>
                <w:color w:val="auto"/>
                <w:sz w:val="18"/>
                <w:szCs w:val="18"/>
              </w:rPr>
              <w:t>The design explains when and how independent expertise and technical advisory group input will be engaged</w:t>
            </w:r>
            <w:r w:rsidR="00D47573" w:rsidRPr="008A4329">
              <w:rPr>
                <w:rFonts w:ascii="Calibri" w:eastAsia="Calibri" w:hAnsi="Calibri" w:cs="Calibri"/>
                <w:color w:val="auto"/>
                <w:sz w:val="18"/>
                <w:szCs w:val="18"/>
              </w:rPr>
              <w:t>, i</w:t>
            </w:r>
            <w:r w:rsidRPr="008A4329">
              <w:rPr>
                <w:rFonts w:ascii="Calibri" w:eastAsia="Calibri" w:hAnsi="Calibri" w:cs="Calibri"/>
                <w:color w:val="auto"/>
                <w:sz w:val="18"/>
                <w:szCs w:val="18"/>
              </w:rPr>
              <w:t>ncluding timing of independent reviews/evaluations.</w:t>
            </w:r>
          </w:p>
        </w:tc>
        <w:tc>
          <w:tcPr>
            <w:tcW w:w="3828" w:type="dxa"/>
          </w:tcPr>
          <w:p w14:paraId="2F0796B0" w14:textId="6E251973" w:rsidR="003B01CC" w:rsidRPr="008A4329" w:rsidRDefault="003B01CC" w:rsidP="003B01CC">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DFAT’s role in monitoring (e.g. site visits, reviewing data and reporting) is mentioned as an afterthought.</w:t>
            </w:r>
          </w:p>
          <w:p w14:paraId="70A8EBB7" w14:textId="255F99F3" w:rsidR="00466AEB" w:rsidRPr="00D36E96" w:rsidRDefault="003B01CC" w:rsidP="00466AEB">
            <w:pPr>
              <w:keepLines/>
              <w:spacing w:after="120" w:line="240" w:lineRule="auto"/>
              <w:rPr>
                <w:rFonts w:eastAsia="Calibri Light" w:cs="Times New Roman"/>
                <w:color w:val="auto"/>
                <w:sz w:val="18"/>
                <w:szCs w:val="18"/>
              </w:rPr>
            </w:pPr>
            <w:r w:rsidRPr="008A4329">
              <w:rPr>
                <w:rFonts w:ascii="Calibri" w:eastAsia="Times New Roman" w:hAnsi="Calibri" w:cs="Calibri"/>
                <w:color w:val="auto"/>
                <w:sz w:val="18"/>
                <w:szCs w:val="18"/>
                <w:lang w:eastAsia="en-AU"/>
              </w:rPr>
              <w:t>The design mentions independent reviews/evaluations</w:t>
            </w:r>
            <w:r w:rsidR="00D36E96" w:rsidRPr="008A4329">
              <w:rPr>
                <w:rFonts w:ascii="Calibri" w:eastAsia="Times New Roman" w:hAnsi="Calibri" w:cs="Calibri"/>
                <w:color w:val="auto"/>
                <w:sz w:val="18"/>
                <w:szCs w:val="18"/>
                <w:lang w:eastAsia="en-AU"/>
              </w:rPr>
              <w:t>,</w:t>
            </w:r>
            <w:r w:rsidRPr="008A4329">
              <w:rPr>
                <w:rFonts w:ascii="Calibri" w:eastAsia="Times New Roman" w:hAnsi="Calibri" w:cs="Calibri"/>
                <w:color w:val="auto"/>
                <w:sz w:val="18"/>
                <w:szCs w:val="18"/>
                <w:lang w:eastAsia="en-AU"/>
              </w:rPr>
              <w:t xml:space="preserve"> but no timing </w:t>
            </w:r>
            <w:r w:rsidR="00D47573" w:rsidRPr="008A4329">
              <w:rPr>
                <w:rFonts w:ascii="Calibri" w:eastAsia="Times New Roman" w:hAnsi="Calibri" w:cs="Calibri"/>
                <w:color w:val="auto"/>
                <w:sz w:val="18"/>
                <w:szCs w:val="18"/>
                <w:lang w:eastAsia="en-AU"/>
              </w:rPr>
              <w:t>is articulated</w:t>
            </w:r>
            <w:r w:rsidR="00D36E96" w:rsidRPr="008A4329">
              <w:rPr>
                <w:rFonts w:ascii="Calibri" w:eastAsia="Times New Roman" w:hAnsi="Calibri" w:cs="Calibri"/>
                <w:color w:val="auto"/>
                <w:sz w:val="18"/>
                <w:szCs w:val="18"/>
                <w:lang w:eastAsia="en-AU"/>
              </w:rPr>
              <w:t>,</w:t>
            </w:r>
            <w:r w:rsidR="00D47573" w:rsidRPr="008A4329">
              <w:rPr>
                <w:rFonts w:ascii="Calibri" w:eastAsia="Times New Roman" w:hAnsi="Calibri" w:cs="Calibri"/>
                <w:color w:val="auto"/>
                <w:sz w:val="18"/>
                <w:szCs w:val="18"/>
                <w:lang w:eastAsia="en-AU"/>
              </w:rPr>
              <w:t xml:space="preserve"> </w:t>
            </w:r>
            <w:r w:rsidRPr="008A4329">
              <w:rPr>
                <w:rFonts w:ascii="Calibri" w:eastAsia="Times New Roman" w:hAnsi="Calibri" w:cs="Calibri"/>
                <w:color w:val="auto"/>
                <w:sz w:val="18"/>
                <w:szCs w:val="18"/>
                <w:lang w:eastAsia="en-AU"/>
              </w:rPr>
              <w:t xml:space="preserve">and </w:t>
            </w:r>
            <w:r w:rsidR="00D36E96" w:rsidRPr="008A4329">
              <w:rPr>
                <w:rFonts w:ascii="Calibri" w:eastAsia="Times New Roman" w:hAnsi="Calibri" w:cs="Calibri"/>
                <w:color w:val="auto"/>
                <w:sz w:val="18"/>
                <w:szCs w:val="18"/>
                <w:lang w:eastAsia="en-AU"/>
              </w:rPr>
              <w:t xml:space="preserve">the design </w:t>
            </w:r>
            <w:r w:rsidRPr="008A4329">
              <w:rPr>
                <w:rFonts w:ascii="Calibri" w:eastAsia="Times New Roman" w:hAnsi="Calibri" w:cs="Calibri"/>
                <w:color w:val="auto"/>
                <w:sz w:val="18"/>
                <w:szCs w:val="18"/>
                <w:lang w:eastAsia="en-AU"/>
              </w:rPr>
              <w:t>does not include when and how independent expertise and technical advisory group input will be engaged.</w:t>
            </w:r>
          </w:p>
        </w:tc>
        <w:tc>
          <w:tcPr>
            <w:tcW w:w="3402" w:type="dxa"/>
          </w:tcPr>
          <w:p w14:paraId="64FC877E" w14:textId="4D86650D" w:rsidR="00B22CD6" w:rsidRPr="008A4329" w:rsidRDefault="00B22CD6" w:rsidP="00B22CD6">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No arrangements are articulated for independent MEL.</w:t>
            </w:r>
          </w:p>
          <w:p w14:paraId="216943A9" w14:textId="5948494B" w:rsidR="00B22CD6" w:rsidRPr="008A4329" w:rsidRDefault="00B22CD6" w:rsidP="00B22CD6">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DFAT’s role not mentioned.</w:t>
            </w:r>
          </w:p>
          <w:p w14:paraId="78682575" w14:textId="453097E4" w:rsidR="00466AEB" w:rsidRPr="00D36E96" w:rsidRDefault="00B22CD6" w:rsidP="00466AEB">
            <w:pPr>
              <w:keepLines/>
              <w:spacing w:after="120" w:line="240" w:lineRule="auto"/>
              <w:rPr>
                <w:rFonts w:eastAsia="Calibri Light" w:cs="Times New Roman"/>
                <w:color w:val="auto"/>
                <w:sz w:val="18"/>
                <w:szCs w:val="18"/>
              </w:rPr>
            </w:pPr>
            <w:r w:rsidRPr="008A4329">
              <w:rPr>
                <w:rFonts w:ascii="Calibri" w:eastAsia="Times New Roman" w:hAnsi="Calibri" w:cs="Calibri"/>
                <w:color w:val="auto"/>
                <w:sz w:val="18"/>
                <w:szCs w:val="18"/>
                <w:lang w:eastAsia="en-AU"/>
              </w:rPr>
              <w:t xml:space="preserve">No mention of </w:t>
            </w:r>
            <w:r w:rsidR="00D36E96" w:rsidRPr="008A4329">
              <w:rPr>
                <w:rFonts w:ascii="Calibri" w:eastAsia="Times New Roman" w:hAnsi="Calibri" w:cs="Calibri"/>
                <w:color w:val="auto"/>
                <w:sz w:val="18"/>
                <w:szCs w:val="18"/>
                <w:lang w:eastAsia="en-AU"/>
              </w:rPr>
              <w:t xml:space="preserve">either </w:t>
            </w:r>
            <w:r w:rsidRPr="008A4329">
              <w:rPr>
                <w:rFonts w:ascii="Calibri" w:eastAsia="Times New Roman" w:hAnsi="Calibri" w:cs="Calibri"/>
                <w:color w:val="auto"/>
                <w:sz w:val="18"/>
                <w:szCs w:val="18"/>
                <w:lang w:eastAsia="en-AU"/>
              </w:rPr>
              <w:t xml:space="preserve">independent expertise and technical advisory group input </w:t>
            </w:r>
            <w:r w:rsidR="00D36E96" w:rsidRPr="008A4329">
              <w:rPr>
                <w:rFonts w:ascii="Calibri" w:eastAsia="Times New Roman" w:hAnsi="Calibri" w:cs="Calibri"/>
                <w:color w:val="auto"/>
                <w:sz w:val="18"/>
                <w:szCs w:val="18"/>
                <w:lang w:eastAsia="en-AU"/>
              </w:rPr>
              <w:t>or</w:t>
            </w:r>
            <w:r w:rsidRPr="008A4329">
              <w:rPr>
                <w:rFonts w:ascii="Calibri" w:eastAsia="Times New Roman" w:hAnsi="Calibri" w:cs="Calibri"/>
                <w:color w:val="auto"/>
                <w:sz w:val="18"/>
                <w:szCs w:val="18"/>
                <w:lang w:eastAsia="en-AU"/>
              </w:rPr>
              <w:t xml:space="preserve"> independent reviews/evaluations.</w:t>
            </w:r>
          </w:p>
        </w:tc>
      </w:tr>
    </w:tbl>
    <w:p w14:paraId="6DD71487" w14:textId="77777777" w:rsidR="00B5420B" w:rsidRDefault="00B5420B">
      <w:r>
        <w:br w:type="page"/>
      </w:r>
    </w:p>
    <w:tbl>
      <w:tblPr>
        <w:tblStyle w:val="TableGrid"/>
        <w:tblW w:w="14742" w:type="dxa"/>
        <w:tblInd w:w="-147" w:type="dxa"/>
        <w:tblLook w:val="04A0" w:firstRow="1" w:lastRow="0" w:firstColumn="1" w:lastColumn="0" w:noHBand="0" w:noVBand="1"/>
      </w:tblPr>
      <w:tblGrid>
        <w:gridCol w:w="3534"/>
        <w:gridCol w:w="3958"/>
        <w:gridCol w:w="3676"/>
        <w:gridCol w:w="3402"/>
        <w:gridCol w:w="172"/>
      </w:tblGrid>
      <w:tr w:rsidR="00B5420B" w:rsidRPr="00D90E36" w14:paraId="45D96F0D" w14:textId="77777777" w:rsidTr="36C39F53">
        <w:trPr>
          <w:gridAfter w:val="1"/>
          <w:wAfter w:w="172" w:type="dxa"/>
          <w:tblHeader/>
        </w:trPr>
        <w:tc>
          <w:tcPr>
            <w:tcW w:w="3534" w:type="dxa"/>
            <w:tcBorders>
              <w:left w:val="single" w:sz="4" w:space="0" w:color="auto"/>
            </w:tcBorders>
            <w:shd w:val="clear" w:color="auto" w:fill="D4EAF3" w:themeFill="accent1" w:themeFillTint="33"/>
          </w:tcPr>
          <w:p w14:paraId="76247709" w14:textId="77777777" w:rsidR="00B5420B" w:rsidRPr="00D90E36" w:rsidRDefault="00B5420B">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lastRenderedPageBreak/>
              <w:t xml:space="preserve">Good, very good (rating 5-6) </w:t>
            </w:r>
          </w:p>
        </w:tc>
        <w:tc>
          <w:tcPr>
            <w:tcW w:w="3958" w:type="dxa"/>
            <w:shd w:val="clear" w:color="auto" w:fill="D4EAF3" w:themeFill="accent1" w:themeFillTint="33"/>
          </w:tcPr>
          <w:p w14:paraId="6FF784A9" w14:textId="77777777" w:rsidR="00B5420B" w:rsidRPr="00D90E36" w:rsidRDefault="00B5420B">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676" w:type="dxa"/>
            <w:shd w:val="clear" w:color="auto" w:fill="D4EAF3" w:themeFill="accent1" w:themeFillTint="33"/>
          </w:tcPr>
          <w:p w14:paraId="05A932EC" w14:textId="77777777" w:rsidR="00B5420B" w:rsidRPr="00D90E36" w:rsidRDefault="00B5420B">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3402" w:type="dxa"/>
            <w:shd w:val="clear" w:color="auto" w:fill="D4EAF3" w:themeFill="accent1" w:themeFillTint="33"/>
          </w:tcPr>
          <w:p w14:paraId="47132E06" w14:textId="77777777" w:rsidR="00B5420B" w:rsidRPr="00D90E36" w:rsidRDefault="00B5420B">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9C5CE8" w:rsidRPr="009C5CE8" w14:paraId="35154D39" w14:textId="77777777" w:rsidTr="36C39F53">
        <w:trPr>
          <w:trHeight w:val="1682"/>
        </w:trPr>
        <w:tc>
          <w:tcPr>
            <w:tcW w:w="3534" w:type="dxa"/>
            <w:vMerge w:val="restart"/>
          </w:tcPr>
          <w:p w14:paraId="45A8E96E" w14:textId="5EF7A064" w:rsidR="00B5420B" w:rsidRPr="009C5CE8" w:rsidRDefault="792F02FB" w:rsidP="36C39F53">
            <w:pPr>
              <w:spacing w:after="120" w:line="240" w:lineRule="auto"/>
              <w:rPr>
                <w:rFonts w:eastAsia="Calibri Light" w:cs="Times New Roman"/>
                <w:color w:val="auto"/>
                <w:sz w:val="18"/>
                <w:szCs w:val="18"/>
              </w:rPr>
            </w:pPr>
            <w:r w:rsidRPr="008A4329">
              <w:rPr>
                <w:rFonts w:ascii="Calibri" w:eastAsia="Calibri" w:hAnsi="Calibri" w:cs="Calibri"/>
                <w:color w:val="auto"/>
                <w:sz w:val="18"/>
                <w:szCs w:val="18"/>
              </w:rPr>
              <w:t>Appropriate human and financial resources are identified for developing and implement</w:t>
            </w:r>
            <w:r w:rsidR="00D36E96" w:rsidRPr="008A4329">
              <w:rPr>
                <w:rFonts w:ascii="Calibri" w:eastAsia="Calibri" w:hAnsi="Calibri" w:cs="Calibri"/>
                <w:color w:val="auto"/>
                <w:sz w:val="18"/>
                <w:szCs w:val="18"/>
              </w:rPr>
              <w:t>ing</w:t>
            </w:r>
            <w:r w:rsidRPr="008A4329">
              <w:rPr>
                <w:rFonts w:ascii="Calibri" w:eastAsia="Calibri" w:hAnsi="Calibri" w:cs="Calibri"/>
                <w:color w:val="auto"/>
                <w:sz w:val="18"/>
                <w:szCs w:val="18"/>
              </w:rPr>
              <w:t xml:space="preserve"> the MEL Plan and System. </w:t>
            </w:r>
          </w:p>
          <w:p w14:paraId="0F011922" w14:textId="5DD2F796" w:rsidR="00B5420B" w:rsidRPr="008A4329" w:rsidRDefault="792F02FB" w:rsidP="00B5420B">
            <w:pPr>
              <w:spacing w:after="120" w:line="240" w:lineRule="auto"/>
              <w:rPr>
                <w:color w:val="auto"/>
              </w:rPr>
            </w:pPr>
            <w:r w:rsidRPr="008A4329">
              <w:rPr>
                <w:rFonts w:ascii="Calibri" w:eastAsia="Calibri" w:hAnsi="Calibri" w:cs="Calibri"/>
                <w:color w:val="auto"/>
                <w:sz w:val="18"/>
                <w:szCs w:val="18"/>
              </w:rPr>
              <w:t>Budget is defined and detailed (Standard reference 4-7% of the investment budget).</w:t>
            </w:r>
          </w:p>
          <w:p w14:paraId="5FC7ABF6" w14:textId="57097C7D" w:rsidR="00B5420B" w:rsidRPr="008A4329" w:rsidRDefault="792F02FB" w:rsidP="00B5420B">
            <w:pPr>
              <w:spacing w:after="120" w:line="240" w:lineRule="auto"/>
              <w:rPr>
                <w:color w:val="auto"/>
              </w:rPr>
            </w:pPr>
            <w:r w:rsidRPr="008A4329">
              <w:rPr>
                <w:rFonts w:ascii="Calibri" w:eastAsia="Calibri" w:hAnsi="Calibri" w:cs="Calibri"/>
                <w:color w:val="auto"/>
                <w:sz w:val="18"/>
                <w:szCs w:val="18"/>
              </w:rPr>
              <w:t xml:space="preserve">If building capacity of partner systems </w:t>
            </w:r>
            <w:r w:rsidR="00D36E96" w:rsidRPr="008A4329">
              <w:rPr>
                <w:rFonts w:ascii="Calibri" w:eastAsia="Calibri" w:hAnsi="Calibri" w:cs="Calibri"/>
                <w:color w:val="auto"/>
                <w:sz w:val="18"/>
                <w:szCs w:val="18"/>
              </w:rPr>
              <w:t>has</w:t>
            </w:r>
            <w:r w:rsidRPr="008A4329">
              <w:rPr>
                <w:rFonts w:ascii="Calibri" w:eastAsia="Calibri" w:hAnsi="Calibri" w:cs="Calibri"/>
                <w:color w:val="auto"/>
                <w:sz w:val="18"/>
                <w:szCs w:val="18"/>
              </w:rPr>
              <w:t xml:space="preserve"> been identified</w:t>
            </w:r>
            <w:r w:rsidR="00AC6F1D" w:rsidRPr="008A4329">
              <w:rPr>
                <w:rFonts w:ascii="Calibri" w:eastAsia="Calibri" w:hAnsi="Calibri" w:cs="Calibri"/>
                <w:color w:val="auto"/>
                <w:sz w:val="18"/>
                <w:szCs w:val="18"/>
              </w:rPr>
              <w:t>,</w:t>
            </w:r>
            <w:r w:rsidRPr="008A4329">
              <w:rPr>
                <w:rFonts w:ascii="Calibri" w:eastAsia="Calibri" w:hAnsi="Calibri" w:cs="Calibri"/>
                <w:color w:val="auto"/>
                <w:sz w:val="18"/>
                <w:szCs w:val="18"/>
              </w:rPr>
              <w:t xml:space="preserve"> this is budgeted for beyond MEL budget. </w:t>
            </w:r>
          </w:p>
          <w:p w14:paraId="294E8956" w14:textId="21F9A0F4" w:rsidR="00B5420B" w:rsidRPr="008A4329" w:rsidRDefault="792F02FB" w:rsidP="008A4329">
            <w:pPr>
              <w:spacing w:after="120" w:line="240" w:lineRule="auto"/>
              <w:rPr>
                <w:rFonts w:ascii="Calibri" w:eastAsia="Calibri" w:hAnsi="Calibri" w:cs="Calibri"/>
                <w:color w:val="auto"/>
                <w:sz w:val="18"/>
                <w:szCs w:val="18"/>
              </w:rPr>
            </w:pPr>
            <w:r w:rsidRPr="008A4329">
              <w:rPr>
                <w:rFonts w:ascii="Calibri" w:eastAsia="Calibri" w:hAnsi="Calibri" w:cs="Calibri"/>
                <w:color w:val="auto"/>
                <w:sz w:val="18"/>
                <w:szCs w:val="18"/>
              </w:rPr>
              <w:t>The MEL Plan and baseline are built into the Statement of Requirements/grant</w:t>
            </w:r>
            <w:r w:rsidR="00AC6F1D" w:rsidRPr="008A4329">
              <w:rPr>
                <w:rFonts w:ascii="Calibri" w:eastAsia="Calibri" w:hAnsi="Calibri" w:cs="Calibri"/>
                <w:color w:val="auto"/>
                <w:sz w:val="18"/>
                <w:szCs w:val="18"/>
              </w:rPr>
              <w:t>,</w:t>
            </w:r>
            <w:r w:rsidRPr="008A4329">
              <w:rPr>
                <w:rFonts w:ascii="Calibri" w:eastAsia="Calibri" w:hAnsi="Calibri" w:cs="Calibri"/>
                <w:color w:val="auto"/>
                <w:sz w:val="18"/>
                <w:szCs w:val="18"/>
              </w:rPr>
              <w:t xml:space="preserve"> with milestones at 6 and 12 months respectively</w:t>
            </w:r>
            <w:r w:rsidR="00A241C7" w:rsidRPr="008A4329">
              <w:rPr>
                <w:rFonts w:ascii="Calibri" w:eastAsia="Calibri" w:hAnsi="Calibri" w:cs="Calibri"/>
                <w:color w:val="auto"/>
                <w:sz w:val="18"/>
                <w:szCs w:val="18"/>
              </w:rPr>
              <w:t>.</w:t>
            </w:r>
          </w:p>
        </w:tc>
        <w:tc>
          <w:tcPr>
            <w:tcW w:w="3958" w:type="dxa"/>
            <w:vMerge w:val="restart"/>
          </w:tcPr>
          <w:p w14:paraId="247D3AB7" w14:textId="6096210A" w:rsidR="00B5420B" w:rsidRPr="008A4329" w:rsidRDefault="1FC62503" w:rsidP="00B5420B">
            <w:pPr>
              <w:keepLines/>
              <w:spacing w:after="120" w:line="240" w:lineRule="auto"/>
              <w:rPr>
                <w:color w:val="auto"/>
              </w:rPr>
            </w:pPr>
            <w:r w:rsidRPr="008A4329">
              <w:rPr>
                <w:rFonts w:ascii="Calibri" w:eastAsia="Calibri" w:hAnsi="Calibri" w:cs="Calibri"/>
                <w:color w:val="auto"/>
                <w:sz w:val="18"/>
                <w:szCs w:val="18"/>
              </w:rPr>
              <w:t xml:space="preserve">Appropriate human and financial resources are identified for developing and implementing the MEL Plan and System. </w:t>
            </w:r>
          </w:p>
          <w:p w14:paraId="4ABA3CDD" w14:textId="7CE954B5" w:rsidR="00B5420B" w:rsidRPr="008A4329" w:rsidRDefault="1FC62503" w:rsidP="00B5420B">
            <w:pPr>
              <w:keepLines/>
              <w:spacing w:after="120" w:line="240" w:lineRule="auto"/>
              <w:rPr>
                <w:color w:val="auto"/>
              </w:rPr>
            </w:pPr>
            <w:r w:rsidRPr="008A4329">
              <w:rPr>
                <w:rFonts w:ascii="Calibri" w:eastAsia="Calibri" w:hAnsi="Calibri" w:cs="Calibri"/>
                <w:color w:val="auto"/>
                <w:sz w:val="18"/>
                <w:szCs w:val="18"/>
              </w:rPr>
              <w:t xml:space="preserve">4-7% of the investment budget is dedicated to MEL resources. </w:t>
            </w:r>
          </w:p>
          <w:p w14:paraId="50A70307" w14:textId="51597FC6" w:rsidR="00B5420B" w:rsidRPr="008A4329" w:rsidRDefault="1FC62503" w:rsidP="00B5420B">
            <w:pPr>
              <w:keepLines/>
              <w:spacing w:after="120" w:line="240" w:lineRule="auto"/>
              <w:rPr>
                <w:color w:val="auto"/>
              </w:rPr>
            </w:pPr>
            <w:r w:rsidRPr="008A4329">
              <w:rPr>
                <w:rFonts w:ascii="Calibri" w:eastAsia="Calibri" w:hAnsi="Calibri" w:cs="Calibri"/>
                <w:color w:val="auto"/>
                <w:sz w:val="18"/>
                <w:szCs w:val="18"/>
              </w:rPr>
              <w:t xml:space="preserve">Building capacity of partner systems </w:t>
            </w:r>
            <w:r w:rsidR="00AC6F1D" w:rsidRPr="008A4329">
              <w:rPr>
                <w:rFonts w:ascii="Calibri" w:eastAsia="Calibri" w:hAnsi="Calibri" w:cs="Calibri"/>
                <w:color w:val="auto"/>
                <w:sz w:val="18"/>
                <w:szCs w:val="18"/>
              </w:rPr>
              <w:t xml:space="preserve">is </w:t>
            </w:r>
            <w:r w:rsidRPr="008A4329">
              <w:rPr>
                <w:rFonts w:ascii="Calibri" w:eastAsia="Calibri" w:hAnsi="Calibri" w:cs="Calibri"/>
                <w:color w:val="auto"/>
                <w:sz w:val="18"/>
                <w:szCs w:val="18"/>
              </w:rPr>
              <w:t xml:space="preserve">identified but no budget has been allocated. </w:t>
            </w:r>
          </w:p>
          <w:p w14:paraId="66577086" w14:textId="7187B581" w:rsidR="00B5420B" w:rsidRPr="008A4329" w:rsidRDefault="1FC62503" w:rsidP="008A4329">
            <w:pPr>
              <w:keepLines/>
              <w:spacing w:after="120" w:line="240" w:lineRule="auto"/>
              <w:rPr>
                <w:rFonts w:ascii="Calibri" w:eastAsia="Calibri" w:hAnsi="Calibri" w:cs="Calibri"/>
                <w:color w:val="auto"/>
                <w:sz w:val="18"/>
                <w:szCs w:val="18"/>
              </w:rPr>
            </w:pPr>
            <w:r w:rsidRPr="008A4329">
              <w:rPr>
                <w:rFonts w:ascii="Calibri" w:eastAsia="Calibri" w:hAnsi="Calibri" w:cs="Calibri"/>
                <w:color w:val="auto"/>
                <w:sz w:val="18"/>
                <w:szCs w:val="18"/>
              </w:rPr>
              <w:t>The MEL Plan and baseline are built into the Statement of Requirements/grant with appropriate milestones</w:t>
            </w:r>
            <w:r w:rsidR="00A241C7" w:rsidRPr="008A4329">
              <w:rPr>
                <w:rFonts w:ascii="Calibri" w:eastAsia="Calibri" w:hAnsi="Calibri" w:cs="Calibri"/>
                <w:color w:val="auto"/>
                <w:sz w:val="18"/>
                <w:szCs w:val="18"/>
              </w:rPr>
              <w:t>.</w:t>
            </w:r>
          </w:p>
        </w:tc>
        <w:tc>
          <w:tcPr>
            <w:tcW w:w="3676" w:type="dxa"/>
            <w:vMerge w:val="restart"/>
          </w:tcPr>
          <w:p w14:paraId="1292521F" w14:textId="77777777" w:rsidR="00FD514A" w:rsidRPr="008A4329" w:rsidRDefault="00FD514A" w:rsidP="00FD514A">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Budget for MEL is included in implementation costing but not separately identified.</w:t>
            </w:r>
          </w:p>
          <w:p w14:paraId="4CAAA191" w14:textId="77777777" w:rsidR="00FD514A" w:rsidRPr="008A4329" w:rsidRDefault="00FD514A" w:rsidP="00FD514A">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Less than 4% of the investment budget is dedicated to MEL without clear justification.</w:t>
            </w:r>
          </w:p>
          <w:p w14:paraId="609DBC39" w14:textId="5AB3791C" w:rsidR="00FD514A" w:rsidRPr="008A4329" w:rsidRDefault="00FD514A" w:rsidP="00FD514A">
            <w:pPr>
              <w:spacing w:after="0" w:line="240" w:lineRule="auto"/>
              <w:textAlignment w:val="baseline"/>
              <w:rPr>
                <w:rFonts w:ascii="Calibri" w:eastAsia="Times New Roman" w:hAnsi="Calibri" w:cs="Calibri"/>
                <w:color w:val="auto"/>
                <w:sz w:val="18"/>
                <w:szCs w:val="18"/>
                <w:lang w:eastAsia="en-AU"/>
              </w:rPr>
            </w:pPr>
            <w:r w:rsidRPr="008A4329">
              <w:rPr>
                <w:rFonts w:ascii="Calibri" w:eastAsia="Times New Roman" w:hAnsi="Calibri" w:cs="Calibri"/>
                <w:color w:val="auto"/>
                <w:sz w:val="18"/>
                <w:szCs w:val="18"/>
                <w:lang w:eastAsia="en-AU"/>
              </w:rPr>
              <w:t>Need for strengthening partners</w:t>
            </w:r>
            <w:r w:rsidR="00A241C7" w:rsidRPr="008A4329">
              <w:rPr>
                <w:rFonts w:ascii="Calibri" w:eastAsia="Times New Roman" w:hAnsi="Calibri" w:cs="Calibri"/>
                <w:color w:val="auto"/>
                <w:sz w:val="18"/>
                <w:szCs w:val="18"/>
                <w:lang w:eastAsia="en-AU"/>
              </w:rPr>
              <w:t>’</w:t>
            </w:r>
            <w:r w:rsidRPr="008A4329">
              <w:rPr>
                <w:rFonts w:ascii="Calibri" w:eastAsia="Times New Roman" w:hAnsi="Calibri" w:cs="Calibri"/>
                <w:color w:val="auto"/>
                <w:sz w:val="18"/>
                <w:szCs w:val="18"/>
                <w:lang w:eastAsia="en-AU"/>
              </w:rPr>
              <w:t xml:space="preserve"> MEL systems </w:t>
            </w:r>
            <w:r w:rsidR="00781086" w:rsidRPr="008A4329">
              <w:rPr>
                <w:rFonts w:ascii="Calibri" w:eastAsia="Times New Roman" w:hAnsi="Calibri" w:cs="Calibri"/>
                <w:color w:val="auto"/>
                <w:sz w:val="18"/>
                <w:szCs w:val="18"/>
                <w:lang w:eastAsia="en-AU"/>
              </w:rPr>
              <w:t xml:space="preserve">is </w:t>
            </w:r>
            <w:r w:rsidRPr="008A4329">
              <w:rPr>
                <w:rFonts w:ascii="Calibri" w:eastAsia="Times New Roman" w:hAnsi="Calibri" w:cs="Calibri"/>
                <w:color w:val="auto"/>
                <w:sz w:val="18"/>
                <w:szCs w:val="18"/>
                <w:lang w:eastAsia="en-AU"/>
              </w:rPr>
              <w:t>referred to but not addressed.</w:t>
            </w:r>
          </w:p>
          <w:p w14:paraId="70A1010E" w14:textId="380DCE4E" w:rsidR="00B5420B" w:rsidRPr="009C5CE8" w:rsidRDefault="00FD514A" w:rsidP="008A4329">
            <w:pPr>
              <w:keepLines/>
              <w:spacing w:after="120" w:line="240" w:lineRule="auto"/>
              <w:rPr>
                <w:rFonts w:eastAsia="Calibri Light" w:cs="Times New Roman"/>
                <w:color w:val="auto"/>
                <w:sz w:val="18"/>
                <w:szCs w:val="18"/>
              </w:rPr>
            </w:pPr>
            <w:r w:rsidRPr="008A4329">
              <w:rPr>
                <w:rFonts w:ascii="Calibri" w:eastAsia="Times New Roman" w:hAnsi="Calibri" w:cs="Calibri"/>
                <w:color w:val="auto"/>
                <w:sz w:val="18"/>
                <w:szCs w:val="18"/>
                <w:lang w:eastAsia="en-AU"/>
              </w:rPr>
              <w:t>The MEL Plan and baseline are mentioned in the Statement of Requirements/grant</w:t>
            </w:r>
            <w:r w:rsidR="009C5CE8">
              <w:rPr>
                <w:rFonts w:ascii="Calibri" w:eastAsia="Times New Roman" w:hAnsi="Calibri" w:cs="Calibri"/>
                <w:color w:val="auto"/>
                <w:sz w:val="18"/>
                <w:szCs w:val="18"/>
                <w:lang w:eastAsia="en-AU"/>
              </w:rPr>
              <w:t>,</w:t>
            </w:r>
            <w:r w:rsidR="00781086" w:rsidRPr="008A4329">
              <w:rPr>
                <w:rFonts w:ascii="Calibri" w:eastAsia="Times New Roman" w:hAnsi="Calibri" w:cs="Calibri"/>
                <w:color w:val="auto"/>
                <w:sz w:val="18"/>
                <w:szCs w:val="18"/>
                <w:lang w:eastAsia="en-AU"/>
              </w:rPr>
              <w:t xml:space="preserve"> but milestones are not </w:t>
            </w:r>
            <w:r w:rsidR="009C5CE8" w:rsidRPr="008A4329">
              <w:rPr>
                <w:rFonts w:ascii="Calibri" w:eastAsia="Times New Roman" w:hAnsi="Calibri" w:cs="Calibri"/>
                <w:color w:val="auto"/>
                <w:sz w:val="18"/>
                <w:szCs w:val="18"/>
                <w:lang w:eastAsia="en-AU"/>
              </w:rPr>
              <w:t>articulated.</w:t>
            </w:r>
          </w:p>
        </w:tc>
        <w:tc>
          <w:tcPr>
            <w:tcW w:w="3574" w:type="dxa"/>
            <w:gridSpan w:val="2"/>
            <w:vMerge w:val="restart"/>
          </w:tcPr>
          <w:p w14:paraId="5065BDFE" w14:textId="4855FCDB" w:rsidR="00F75CD6" w:rsidRPr="009C5CE8" w:rsidRDefault="009C5CE8" w:rsidP="36C39F53">
            <w:pPr>
              <w:keepLines/>
              <w:spacing w:after="120" w:line="240" w:lineRule="auto"/>
              <w:rPr>
                <w:rFonts w:eastAsia="Calibri Light" w:cs="Times New Roman"/>
                <w:color w:val="auto"/>
                <w:sz w:val="18"/>
                <w:szCs w:val="18"/>
              </w:rPr>
            </w:pPr>
            <w:r w:rsidRPr="008A4329">
              <w:rPr>
                <w:rFonts w:ascii="Calibri" w:eastAsia="Calibri" w:hAnsi="Calibri" w:cs="Calibri"/>
                <w:color w:val="auto"/>
                <w:sz w:val="18"/>
                <w:szCs w:val="18"/>
              </w:rPr>
              <w:t xml:space="preserve">There is </w:t>
            </w:r>
            <w:r w:rsidR="00F75CD6" w:rsidRPr="008A4329">
              <w:rPr>
                <w:rFonts w:ascii="Calibri" w:eastAsia="Calibri" w:hAnsi="Calibri" w:cs="Calibri"/>
                <w:color w:val="auto"/>
                <w:sz w:val="18"/>
                <w:szCs w:val="18"/>
              </w:rPr>
              <w:t>n</w:t>
            </w:r>
            <w:r w:rsidRPr="008A4329">
              <w:rPr>
                <w:rFonts w:ascii="Calibri" w:eastAsia="Calibri" w:hAnsi="Calibri" w:cs="Calibri"/>
                <w:color w:val="auto"/>
                <w:sz w:val="18"/>
                <w:szCs w:val="18"/>
              </w:rPr>
              <w:t>either</w:t>
            </w:r>
            <w:r w:rsidR="00F75CD6" w:rsidRPr="008A4329">
              <w:rPr>
                <w:rFonts w:ascii="Calibri" w:eastAsia="Calibri" w:hAnsi="Calibri" w:cs="Calibri"/>
                <w:color w:val="auto"/>
                <w:sz w:val="18"/>
                <w:szCs w:val="18"/>
              </w:rPr>
              <w:t xml:space="preserve"> allocated budget nor identified expertise for MEL.</w:t>
            </w:r>
          </w:p>
          <w:p w14:paraId="1E417201" w14:textId="7F05ECB4" w:rsidR="00F75CD6" w:rsidRPr="008A4329" w:rsidRDefault="009C5CE8">
            <w:pPr>
              <w:rPr>
                <w:color w:val="auto"/>
              </w:rPr>
            </w:pPr>
            <w:r w:rsidRPr="008A4329">
              <w:rPr>
                <w:rFonts w:ascii="Calibri" w:eastAsia="Calibri" w:hAnsi="Calibri" w:cs="Calibri"/>
                <w:color w:val="auto"/>
                <w:sz w:val="18"/>
                <w:szCs w:val="18"/>
              </w:rPr>
              <w:t>There is n</w:t>
            </w:r>
            <w:r w:rsidR="00F75CD6" w:rsidRPr="008A4329">
              <w:rPr>
                <w:rFonts w:ascii="Calibri" w:eastAsia="Calibri" w:hAnsi="Calibri" w:cs="Calibri"/>
                <w:color w:val="auto"/>
                <w:sz w:val="18"/>
                <w:szCs w:val="18"/>
              </w:rPr>
              <w:t>o mention of partner systems.</w:t>
            </w:r>
          </w:p>
          <w:p w14:paraId="6BB25FE2" w14:textId="01C2D1A4" w:rsidR="00B5420B" w:rsidRPr="009C5CE8" w:rsidRDefault="009C5CE8" w:rsidP="008A4329">
            <w:pPr>
              <w:rPr>
                <w:rFonts w:eastAsia="Calibri Light" w:cs="Times New Roman"/>
                <w:color w:val="auto"/>
                <w:sz w:val="18"/>
                <w:szCs w:val="18"/>
              </w:rPr>
            </w:pPr>
            <w:r w:rsidRPr="008A4329">
              <w:rPr>
                <w:rFonts w:ascii="Calibri" w:eastAsia="Calibri" w:hAnsi="Calibri" w:cs="Calibri"/>
                <w:color w:val="auto"/>
                <w:sz w:val="18"/>
                <w:szCs w:val="18"/>
              </w:rPr>
              <w:t xml:space="preserve">There is no </w:t>
            </w:r>
            <w:r w:rsidR="00F75CD6" w:rsidRPr="008A4329">
              <w:rPr>
                <w:rFonts w:ascii="Calibri" w:eastAsia="Calibri" w:hAnsi="Calibri" w:cs="Calibri"/>
                <w:color w:val="auto"/>
                <w:sz w:val="18"/>
                <w:szCs w:val="18"/>
              </w:rPr>
              <w:t>mention of MEL Plan and baseline due in early</w:t>
            </w:r>
            <w:r w:rsidR="00AE7DE3" w:rsidRPr="008A4329">
              <w:rPr>
                <w:rFonts w:ascii="Calibri" w:eastAsia="Calibri" w:hAnsi="Calibri" w:cs="Calibri"/>
                <w:color w:val="auto"/>
                <w:sz w:val="18"/>
                <w:szCs w:val="18"/>
              </w:rPr>
              <w:t xml:space="preserve"> implementation.</w:t>
            </w:r>
          </w:p>
        </w:tc>
      </w:tr>
      <w:tr w:rsidR="0043415E" w:rsidRPr="00D90E36" w14:paraId="5CB043C5" w14:textId="77777777" w:rsidTr="36C39F53">
        <w:trPr>
          <w:trHeight w:val="460"/>
        </w:trPr>
        <w:tc>
          <w:tcPr>
            <w:tcW w:w="3534" w:type="dxa"/>
            <w:vMerge/>
          </w:tcPr>
          <w:p w14:paraId="79F28E49" w14:textId="77777777" w:rsidR="0043415E" w:rsidRPr="00D90E36" w:rsidRDefault="0043415E" w:rsidP="007C6DD8">
            <w:pPr>
              <w:keepLines/>
              <w:spacing w:after="120" w:line="240" w:lineRule="auto"/>
              <w:rPr>
                <w:rFonts w:eastAsia="Calibri Light" w:cs="Times New Roman"/>
                <w:color w:val="auto"/>
                <w:sz w:val="18"/>
                <w:szCs w:val="18"/>
              </w:rPr>
            </w:pPr>
          </w:p>
        </w:tc>
        <w:tc>
          <w:tcPr>
            <w:tcW w:w="3958" w:type="dxa"/>
            <w:vMerge/>
          </w:tcPr>
          <w:p w14:paraId="694985AC" w14:textId="77777777" w:rsidR="0043415E" w:rsidRPr="00D90E36" w:rsidRDefault="0043415E" w:rsidP="007C6DD8">
            <w:pPr>
              <w:keepLines/>
              <w:spacing w:after="120" w:line="240" w:lineRule="auto"/>
              <w:rPr>
                <w:rFonts w:eastAsia="Calibri Light" w:cs="Times New Roman"/>
                <w:color w:val="auto"/>
                <w:sz w:val="18"/>
                <w:szCs w:val="18"/>
              </w:rPr>
            </w:pPr>
          </w:p>
        </w:tc>
        <w:tc>
          <w:tcPr>
            <w:tcW w:w="3676" w:type="dxa"/>
            <w:vMerge/>
          </w:tcPr>
          <w:p w14:paraId="6235FE87" w14:textId="77777777" w:rsidR="0043415E" w:rsidRPr="00D90E36" w:rsidRDefault="0043415E" w:rsidP="007C6DD8">
            <w:pPr>
              <w:keepLines/>
              <w:spacing w:after="120" w:line="240" w:lineRule="auto"/>
              <w:rPr>
                <w:rFonts w:eastAsia="Calibri Light" w:cs="Times New Roman"/>
                <w:color w:val="auto"/>
                <w:sz w:val="18"/>
                <w:szCs w:val="18"/>
              </w:rPr>
            </w:pPr>
          </w:p>
        </w:tc>
        <w:tc>
          <w:tcPr>
            <w:tcW w:w="3574" w:type="dxa"/>
            <w:gridSpan w:val="2"/>
            <w:vMerge/>
          </w:tcPr>
          <w:p w14:paraId="4C726C44" w14:textId="77777777" w:rsidR="0043415E" w:rsidRPr="00D90E36" w:rsidRDefault="0043415E" w:rsidP="007C6DD8">
            <w:pPr>
              <w:keepLines/>
              <w:spacing w:after="120" w:line="240" w:lineRule="auto"/>
              <w:rPr>
                <w:rFonts w:eastAsia="Calibri Light" w:cs="Times New Roman"/>
                <w:color w:val="auto"/>
                <w:sz w:val="18"/>
                <w:szCs w:val="18"/>
              </w:rPr>
            </w:pPr>
          </w:p>
        </w:tc>
      </w:tr>
    </w:tbl>
    <w:p w14:paraId="208399B9" w14:textId="77777777" w:rsidR="0065677A" w:rsidRDefault="0065677A">
      <w:pPr>
        <w:suppressAutoHyphens w:val="0"/>
        <w:spacing w:before="0" w:after="120" w:line="440" w:lineRule="atLeast"/>
        <w:rPr>
          <w:caps/>
          <w:sz w:val="24"/>
          <w:highlight w:val="lightGray"/>
        </w:rPr>
      </w:pPr>
      <w:r>
        <w:rPr>
          <w:highlight w:val="lightGray"/>
        </w:rPr>
        <w:br w:type="page"/>
      </w:r>
    </w:p>
    <w:p w14:paraId="46F50DD1" w14:textId="2F5CBF34" w:rsidR="00015EA0" w:rsidRPr="00E07BFD" w:rsidRDefault="00A13CEA" w:rsidP="00E07BFD">
      <w:pPr>
        <w:pStyle w:val="Heading2"/>
      </w:pPr>
      <w:r w:rsidRPr="00E07BFD">
        <w:rPr>
          <w:caps w:val="0"/>
        </w:rPr>
        <w:lastRenderedPageBreak/>
        <w:t>5. Sustainability</w:t>
      </w:r>
    </w:p>
    <w:p w14:paraId="5C8D2900" w14:textId="77777777" w:rsidR="006A1054" w:rsidRPr="00D90E36" w:rsidRDefault="006A1054" w:rsidP="006A1054">
      <w:pPr>
        <w:spacing w:after="120" w:line="240" w:lineRule="auto"/>
        <w:rPr>
          <w:rStyle w:val="SubtleEmphasis"/>
        </w:rPr>
      </w:pPr>
      <w:r w:rsidRPr="00D90E36">
        <w:rPr>
          <w:rStyle w:val="SubtleEmphasis"/>
        </w:rPr>
        <w:t>Will the investment lead to benefits and partnerships that will last beyond the duration of the investment?</w:t>
      </w:r>
    </w:p>
    <w:p w14:paraId="2E6ABFF7" w14:textId="77777777" w:rsidR="006A1054" w:rsidRPr="00D90E36" w:rsidRDefault="006A1054" w:rsidP="006A1054">
      <w:pPr>
        <w:rPr>
          <w:b/>
          <w:bCs/>
        </w:rPr>
      </w:pPr>
      <w:r w:rsidRPr="00D90E36">
        <w:rPr>
          <w:b/>
          <w:bCs/>
        </w:rPr>
        <w:t>Focus areas:</w:t>
      </w:r>
    </w:p>
    <w:p w14:paraId="50532DD6" w14:textId="05E5D518" w:rsidR="006A1054" w:rsidRPr="00D90E36" w:rsidRDefault="006A1054" w:rsidP="006A1054">
      <w:pPr>
        <w:pStyle w:val="ListParagraph"/>
        <w:numPr>
          <w:ilvl w:val="0"/>
          <w:numId w:val="53"/>
        </w:numPr>
      </w:pPr>
      <w:r>
        <w:t>Lasting</w:t>
      </w:r>
      <w:r w:rsidR="002B1C22">
        <w:t>, climate-</w:t>
      </w:r>
      <w:r w:rsidR="001432C3">
        <w:t>resilient benefits</w:t>
      </w:r>
    </w:p>
    <w:p w14:paraId="2212530B" w14:textId="77777777" w:rsidR="006A1054" w:rsidRPr="00D90E36" w:rsidRDefault="006A1054" w:rsidP="006A1054">
      <w:pPr>
        <w:pStyle w:val="ListParagraph"/>
        <w:numPr>
          <w:ilvl w:val="0"/>
          <w:numId w:val="53"/>
        </w:numPr>
      </w:pPr>
      <w:r>
        <w:t>Local systems and localisation</w:t>
      </w:r>
    </w:p>
    <w:p w14:paraId="304C5F00" w14:textId="4060C51A" w:rsidR="00533AB7" w:rsidRPr="00D90E36" w:rsidRDefault="006A1054" w:rsidP="00C0736E">
      <w:pPr>
        <w:pStyle w:val="ListParagraph"/>
        <w:numPr>
          <w:ilvl w:val="0"/>
          <w:numId w:val="53"/>
        </w:numPr>
      </w:pPr>
      <w:r>
        <w:t>Leveraging resources</w:t>
      </w:r>
    </w:p>
    <w:tbl>
      <w:tblPr>
        <w:tblStyle w:val="TableGrid"/>
        <w:tblW w:w="14601" w:type="dxa"/>
        <w:tblInd w:w="-147" w:type="dxa"/>
        <w:tblLook w:val="04A0" w:firstRow="1" w:lastRow="0" w:firstColumn="1" w:lastColumn="0" w:noHBand="0" w:noVBand="1"/>
      </w:tblPr>
      <w:tblGrid>
        <w:gridCol w:w="3970"/>
        <w:gridCol w:w="3969"/>
        <w:gridCol w:w="3543"/>
        <w:gridCol w:w="3119"/>
      </w:tblGrid>
      <w:tr w:rsidR="00015EA0" w:rsidRPr="00D90E36" w14:paraId="32D88F25" w14:textId="77777777" w:rsidTr="008A4329">
        <w:trPr>
          <w:trHeight w:val="58"/>
          <w:tblHeader/>
        </w:trPr>
        <w:tc>
          <w:tcPr>
            <w:tcW w:w="3970" w:type="dxa"/>
            <w:tcBorders>
              <w:left w:val="single" w:sz="4" w:space="0" w:color="auto"/>
            </w:tcBorders>
            <w:shd w:val="clear" w:color="auto" w:fill="D4EAF3" w:themeFill="accent1" w:themeFillTint="33"/>
          </w:tcPr>
          <w:p w14:paraId="128F54F1" w14:textId="77777777" w:rsidR="00015EA0" w:rsidRPr="00D90E36" w:rsidRDefault="00015EA0" w:rsidP="006F58B8">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Good, very good (rating 5-6) </w:t>
            </w:r>
          </w:p>
        </w:tc>
        <w:tc>
          <w:tcPr>
            <w:tcW w:w="3969" w:type="dxa"/>
            <w:shd w:val="clear" w:color="auto" w:fill="D4EAF3" w:themeFill="accent1" w:themeFillTint="33"/>
          </w:tcPr>
          <w:p w14:paraId="1FBA61C4" w14:textId="77777777" w:rsidR="00015EA0" w:rsidRPr="00D90E36" w:rsidRDefault="00015EA0" w:rsidP="00BD2B59">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543" w:type="dxa"/>
            <w:shd w:val="clear" w:color="auto" w:fill="D4EAF3" w:themeFill="accent1" w:themeFillTint="33"/>
          </w:tcPr>
          <w:p w14:paraId="1DE2CBC9" w14:textId="77777777" w:rsidR="00015EA0" w:rsidRPr="00D90E36" w:rsidRDefault="00015EA0" w:rsidP="00BD2B59">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3119" w:type="dxa"/>
            <w:shd w:val="clear" w:color="auto" w:fill="D4EAF3" w:themeFill="accent1" w:themeFillTint="33"/>
          </w:tcPr>
          <w:p w14:paraId="20B09F36" w14:textId="77777777" w:rsidR="00015EA0" w:rsidRPr="00D90E36" w:rsidRDefault="00015EA0" w:rsidP="00BD2B59">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F06698" w:rsidRPr="00D90E36" w14:paraId="46D942E4" w14:textId="77777777" w:rsidTr="008A4329">
        <w:trPr>
          <w:trHeight w:val="818"/>
        </w:trPr>
        <w:tc>
          <w:tcPr>
            <w:tcW w:w="3970" w:type="dxa"/>
            <w:tcBorders>
              <w:left w:val="single" w:sz="4" w:space="0" w:color="auto"/>
            </w:tcBorders>
          </w:tcPr>
          <w:p w14:paraId="1A949F50" w14:textId="29F1303C" w:rsidR="00F06698" w:rsidRPr="00D90E36" w:rsidRDefault="00F06698" w:rsidP="00F06698">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The program logic includes references to the policy, institutional, behavioural, financial and/or environmental changes that are expected to last beyond the life of the investment (the end of investment outcomes and overarching development objectives).</w:t>
            </w:r>
          </w:p>
          <w:p w14:paraId="6F5F24E8" w14:textId="52B08AC4" w:rsidR="00F06698" w:rsidRPr="00D90E36" w:rsidRDefault="00F06698" w:rsidP="00F06698">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A definition and strategy for sustainability is clearly articulated in the design.</w:t>
            </w:r>
          </w:p>
        </w:tc>
        <w:tc>
          <w:tcPr>
            <w:tcW w:w="3969" w:type="dxa"/>
          </w:tcPr>
          <w:p w14:paraId="3017BF75" w14:textId="76E66054" w:rsidR="00F06698" w:rsidRPr="00D90E36" w:rsidRDefault="00F06698" w:rsidP="00F06698">
            <w:pPr>
              <w:keepLines/>
              <w:spacing w:after="120" w:line="240" w:lineRule="auto"/>
              <w:rPr>
                <w:rFonts w:eastAsia="Calibri Light" w:cs="Times New Roman"/>
                <w:b/>
                <w:color w:val="auto"/>
                <w:sz w:val="18"/>
                <w:szCs w:val="18"/>
              </w:rPr>
            </w:pPr>
            <w:r w:rsidRPr="00D90E36">
              <w:rPr>
                <w:rFonts w:eastAsia="Calibri Light" w:cs="Times New Roman"/>
                <w:color w:val="auto"/>
                <w:sz w:val="18"/>
                <w:szCs w:val="18"/>
              </w:rPr>
              <w:t>The program logic</w:t>
            </w:r>
            <w:r w:rsidRPr="00D90E36">
              <w:rPr>
                <w:rFonts w:eastAsia="Calibri Light" w:cs="Times New Roman"/>
                <w:b/>
                <w:color w:val="auto"/>
                <w:sz w:val="18"/>
                <w:szCs w:val="18"/>
              </w:rPr>
              <w:t xml:space="preserve"> </w:t>
            </w:r>
            <w:r w:rsidRPr="00D90E36">
              <w:rPr>
                <w:rFonts w:eastAsia="Calibri Light" w:cs="Times New Roman"/>
                <w:color w:val="auto"/>
                <w:sz w:val="18"/>
                <w:szCs w:val="18"/>
              </w:rPr>
              <w:t>references aspects of sustainability that may be relevant to the context and nature of the investment, and a sustainability strategy is articulated to work towards enduring and lasting benefits.</w:t>
            </w:r>
          </w:p>
        </w:tc>
        <w:tc>
          <w:tcPr>
            <w:tcW w:w="3543" w:type="dxa"/>
          </w:tcPr>
          <w:p w14:paraId="4409CA9F" w14:textId="4DE3F4E6" w:rsidR="00F06698" w:rsidRPr="00D90E36" w:rsidRDefault="00F06698" w:rsidP="00F06698">
            <w:pPr>
              <w:keepLines/>
              <w:spacing w:after="120" w:line="240" w:lineRule="auto"/>
              <w:rPr>
                <w:rFonts w:eastAsia="Calibri Light" w:cs="Times New Roman"/>
                <w:iCs/>
                <w:color w:val="auto"/>
                <w:sz w:val="18"/>
                <w:szCs w:val="18"/>
              </w:rPr>
            </w:pPr>
            <w:r w:rsidRPr="00D90E36">
              <w:rPr>
                <w:rFonts w:eastAsia="Calibri Light" w:cs="Times New Roman"/>
                <w:iCs/>
                <w:color w:val="auto"/>
                <w:sz w:val="18"/>
                <w:szCs w:val="18"/>
              </w:rPr>
              <w:t>The program logic fails to address key elements of sustainability that are critical to the context or nature of the investment, though they may be implicit or justified elsewhere in the design.</w:t>
            </w:r>
          </w:p>
        </w:tc>
        <w:tc>
          <w:tcPr>
            <w:tcW w:w="3119" w:type="dxa"/>
          </w:tcPr>
          <w:p w14:paraId="46AF1C30" w14:textId="0350D443" w:rsidR="00F06698" w:rsidRPr="00D90E36" w:rsidRDefault="00F06698" w:rsidP="00F06698">
            <w:pPr>
              <w:keepLines/>
              <w:spacing w:after="120" w:line="240" w:lineRule="auto"/>
              <w:rPr>
                <w:rFonts w:eastAsia="Calibri Light" w:cs="Times New Roman"/>
                <w:iCs/>
                <w:color w:val="auto"/>
                <w:sz w:val="18"/>
                <w:szCs w:val="18"/>
              </w:rPr>
            </w:pPr>
            <w:r w:rsidRPr="00D90E36">
              <w:rPr>
                <w:rFonts w:eastAsia="Calibri Light" w:cs="Times New Roman"/>
                <w:iCs/>
                <w:color w:val="auto"/>
                <w:sz w:val="18"/>
                <w:szCs w:val="18"/>
              </w:rPr>
              <w:t>Consideration of key sustainability issues are not reflected in the investment design.</w:t>
            </w:r>
          </w:p>
        </w:tc>
      </w:tr>
      <w:tr w:rsidR="00F06698" w:rsidRPr="00D90E36" w14:paraId="3C0AA1CA" w14:textId="77777777" w:rsidTr="008A4329">
        <w:trPr>
          <w:trHeight w:val="1372"/>
        </w:trPr>
        <w:tc>
          <w:tcPr>
            <w:tcW w:w="3970" w:type="dxa"/>
            <w:tcBorders>
              <w:left w:val="single" w:sz="4" w:space="0" w:color="auto"/>
            </w:tcBorders>
          </w:tcPr>
          <w:p w14:paraId="4286227C" w14:textId="77777777" w:rsidR="00F06698" w:rsidRPr="00D90E36" w:rsidRDefault="00F06698" w:rsidP="00F06698">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 xml:space="preserve">‘Thinking and working politically’ is integrated throughout the design, and the investment will be well placed to pursue windows of opportunity for reform. </w:t>
            </w:r>
          </w:p>
          <w:p w14:paraId="2EE5BE9F" w14:textId="77777777" w:rsidR="00F06698" w:rsidRDefault="00F06698" w:rsidP="00F06698">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The investment uses local systems and institutions appropriately and adequately, with a strong focus on policy dialogue and a clear reform agenda.</w:t>
            </w:r>
          </w:p>
          <w:p w14:paraId="2E836AB8" w14:textId="7C0FC071" w:rsidR="00F06698" w:rsidRDefault="00F06698" w:rsidP="00F06698">
            <w:pPr>
              <w:spacing w:after="120" w:line="240" w:lineRule="auto"/>
              <w:outlineLvl w:val="0"/>
              <w:rPr>
                <w:rFonts w:eastAsia="Calibri Light" w:cs="Times New Roman"/>
                <w:color w:val="auto"/>
                <w:sz w:val="18"/>
                <w:szCs w:val="18"/>
              </w:rPr>
            </w:pPr>
            <w:r>
              <w:rPr>
                <w:rFonts w:eastAsia="Calibri Light" w:cs="Times New Roman"/>
                <w:color w:val="auto"/>
                <w:sz w:val="18"/>
                <w:szCs w:val="18"/>
              </w:rPr>
              <w:t>Locally led development/localisation is explicitly considered in the design, embedded in the logic</w:t>
            </w:r>
            <w:r w:rsidR="008720F9">
              <w:rPr>
                <w:rFonts w:eastAsia="Calibri Light" w:cs="Times New Roman"/>
                <w:color w:val="auto"/>
                <w:sz w:val="18"/>
                <w:szCs w:val="18"/>
              </w:rPr>
              <w:t>,</w:t>
            </w:r>
            <w:r>
              <w:rPr>
                <w:rFonts w:eastAsia="Calibri Light" w:cs="Times New Roman"/>
                <w:color w:val="auto"/>
                <w:sz w:val="18"/>
                <w:szCs w:val="18"/>
              </w:rPr>
              <w:t xml:space="preserve"> and an initial strategy and/or plan included. A diverse range of actors </w:t>
            </w:r>
            <w:r w:rsidR="008720F9">
              <w:rPr>
                <w:rFonts w:eastAsia="Calibri Light" w:cs="Times New Roman"/>
                <w:color w:val="auto"/>
                <w:sz w:val="18"/>
                <w:szCs w:val="18"/>
              </w:rPr>
              <w:t xml:space="preserve">is </w:t>
            </w:r>
            <w:r>
              <w:rPr>
                <w:rFonts w:eastAsia="Calibri Light" w:cs="Times New Roman"/>
                <w:color w:val="auto"/>
                <w:sz w:val="18"/>
                <w:szCs w:val="18"/>
              </w:rPr>
              <w:t>considered across partner government, CSOs, SMEs</w:t>
            </w:r>
            <w:r w:rsidR="008720F9">
              <w:rPr>
                <w:rFonts w:eastAsia="Calibri Light" w:cs="Times New Roman"/>
                <w:color w:val="auto"/>
                <w:sz w:val="18"/>
                <w:szCs w:val="18"/>
              </w:rPr>
              <w:t>,</w:t>
            </w:r>
            <w:r>
              <w:rPr>
                <w:rFonts w:eastAsia="Calibri Light" w:cs="Times New Roman"/>
                <w:color w:val="auto"/>
                <w:sz w:val="18"/>
                <w:szCs w:val="18"/>
              </w:rPr>
              <w:t xml:space="preserve"> and supply chains.</w:t>
            </w:r>
          </w:p>
          <w:p w14:paraId="4E54576A" w14:textId="781F8C9C" w:rsidR="00534C27" w:rsidRPr="00D90E36" w:rsidRDefault="00534C27" w:rsidP="00F06698">
            <w:pPr>
              <w:spacing w:after="120" w:line="240" w:lineRule="auto"/>
              <w:outlineLvl w:val="0"/>
              <w:rPr>
                <w:rFonts w:eastAsia="Calibri Light" w:cs="Times New Roman"/>
                <w:color w:val="auto"/>
                <w:sz w:val="18"/>
                <w:szCs w:val="18"/>
              </w:rPr>
            </w:pPr>
          </w:p>
        </w:tc>
        <w:tc>
          <w:tcPr>
            <w:tcW w:w="3969" w:type="dxa"/>
          </w:tcPr>
          <w:p w14:paraId="38DD9441" w14:textId="77777777" w:rsidR="00F06698" w:rsidRPr="00D90E36" w:rsidRDefault="00F06698" w:rsidP="00F0669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investment’s delivery approach recognises the constraints and challenges to sustainability, and articulates an approach to policy dialogue and a reform agenda. </w:t>
            </w:r>
          </w:p>
          <w:p w14:paraId="278D6379" w14:textId="77777777" w:rsidR="00F06698" w:rsidRDefault="00F06698" w:rsidP="00F0669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is a plan to increasingly work with local systems and with local partners and institutions.</w:t>
            </w:r>
          </w:p>
          <w:p w14:paraId="3A69C12A" w14:textId="0356ADD5" w:rsidR="00F06698" w:rsidRDefault="00F06698" w:rsidP="00F06698">
            <w:pPr>
              <w:keepLines/>
              <w:spacing w:after="120" w:line="240" w:lineRule="auto"/>
              <w:rPr>
                <w:rFonts w:eastAsia="Calibri Light" w:cs="Times New Roman"/>
                <w:color w:val="auto"/>
                <w:sz w:val="18"/>
                <w:szCs w:val="18"/>
              </w:rPr>
            </w:pPr>
            <w:r>
              <w:rPr>
                <w:rFonts w:eastAsia="Calibri Light" w:cs="Times New Roman"/>
                <w:color w:val="auto"/>
                <w:sz w:val="18"/>
                <w:szCs w:val="18"/>
              </w:rPr>
              <w:t>Locally led development/localisation is considered and a strategy and/or plan is expected to be delivered during implementation. A range of local actors are considered.</w:t>
            </w:r>
          </w:p>
          <w:p w14:paraId="6838C83B" w14:textId="53172816" w:rsidR="00BF04C5" w:rsidRPr="00D90E36" w:rsidRDefault="00BF04C5" w:rsidP="005202EA">
            <w:pPr>
              <w:keepLines/>
              <w:spacing w:after="120" w:line="240" w:lineRule="auto"/>
              <w:rPr>
                <w:rFonts w:eastAsia="Calibri Light" w:cs="Times New Roman"/>
                <w:color w:val="auto"/>
                <w:sz w:val="18"/>
                <w:szCs w:val="18"/>
              </w:rPr>
            </w:pPr>
          </w:p>
        </w:tc>
        <w:tc>
          <w:tcPr>
            <w:tcW w:w="3543" w:type="dxa"/>
          </w:tcPr>
          <w:p w14:paraId="3CE42A90" w14:textId="2F5784BE" w:rsidR="00F06698" w:rsidRPr="00D90E36" w:rsidRDefault="00F06698" w:rsidP="00F0669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Approach</w:t>
            </w:r>
            <w:r w:rsidR="008720F9">
              <w:rPr>
                <w:rFonts w:eastAsia="Calibri Light" w:cs="Times New Roman"/>
                <w:color w:val="auto"/>
                <w:sz w:val="18"/>
                <w:szCs w:val="18"/>
              </w:rPr>
              <w:t>es</w:t>
            </w:r>
            <w:r w:rsidRPr="00D90E36">
              <w:rPr>
                <w:rFonts w:eastAsia="Calibri Light" w:cs="Times New Roman"/>
                <w:color w:val="auto"/>
                <w:sz w:val="18"/>
                <w:szCs w:val="18"/>
              </w:rPr>
              <w:t xml:space="preserve"> to policy dialogue and reform agenda are implicit or poorly articulated. </w:t>
            </w:r>
          </w:p>
          <w:p w14:paraId="1841A8E3" w14:textId="77777777" w:rsidR="00F06698" w:rsidRDefault="00F06698" w:rsidP="00F0669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design mentions work with local partners but key constraints to longer term benefits and change are not adequately addressed.</w:t>
            </w:r>
          </w:p>
          <w:p w14:paraId="723D2797" w14:textId="5FB27C04" w:rsidR="00F06698" w:rsidRDefault="00F06698" w:rsidP="00F06698">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Localisation is referenced but there is limited consideration, and no specific strategies or plans. Entry points for </w:t>
            </w:r>
            <w:r w:rsidR="003C238D">
              <w:rPr>
                <w:rFonts w:eastAsia="Calibri Light" w:cs="Times New Roman"/>
                <w:color w:val="auto"/>
                <w:sz w:val="18"/>
                <w:szCs w:val="18"/>
              </w:rPr>
              <w:t xml:space="preserve">strategy, </w:t>
            </w:r>
            <w:r>
              <w:rPr>
                <w:rFonts w:eastAsia="Calibri Light" w:cs="Times New Roman"/>
                <w:color w:val="auto"/>
                <w:sz w:val="18"/>
                <w:szCs w:val="18"/>
              </w:rPr>
              <w:t>participation, decision making and financing are not outlined.</w:t>
            </w:r>
          </w:p>
          <w:p w14:paraId="543892BD" w14:textId="14D95FCE" w:rsidR="00626DDE" w:rsidRPr="00D90E36" w:rsidRDefault="00626DDE" w:rsidP="00F06698">
            <w:pPr>
              <w:keepLines/>
              <w:spacing w:after="120" w:line="240" w:lineRule="auto"/>
              <w:rPr>
                <w:rFonts w:eastAsia="Calibri Light" w:cs="Times New Roman"/>
                <w:color w:val="auto"/>
                <w:sz w:val="18"/>
                <w:szCs w:val="18"/>
              </w:rPr>
            </w:pPr>
          </w:p>
        </w:tc>
        <w:tc>
          <w:tcPr>
            <w:tcW w:w="3119" w:type="dxa"/>
          </w:tcPr>
          <w:p w14:paraId="654EC0B1" w14:textId="77777777" w:rsidR="00F06698" w:rsidRPr="00D90E36" w:rsidRDefault="00F06698" w:rsidP="00F0669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Policy dialogue and reform are not mentioned. </w:t>
            </w:r>
          </w:p>
          <w:p w14:paraId="194334BF" w14:textId="6D46F118" w:rsidR="00F06698" w:rsidRDefault="00F06698" w:rsidP="00F0669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delivery approach is entirely independent of local systems and institutions</w:t>
            </w:r>
            <w:r w:rsidR="003C238D">
              <w:rPr>
                <w:rFonts w:eastAsia="Calibri Light" w:cs="Times New Roman"/>
                <w:color w:val="auto"/>
                <w:sz w:val="18"/>
                <w:szCs w:val="18"/>
              </w:rPr>
              <w:t>,</w:t>
            </w:r>
            <w:r w:rsidRPr="00D90E36">
              <w:rPr>
                <w:rFonts w:eastAsia="Calibri Light" w:cs="Times New Roman"/>
                <w:color w:val="auto"/>
                <w:sz w:val="18"/>
                <w:szCs w:val="18"/>
              </w:rPr>
              <w:t xml:space="preserve"> and sustainability is likely to be low.</w:t>
            </w:r>
          </w:p>
          <w:p w14:paraId="6A723FE8" w14:textId="573C2A13" w:rsidR="00D636A0" w:rsidRPr="00D90E36" w:rsidRDefault="00F06698" w:rsidP="00F06698">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Localisation is not considered. </w:t>
            </w:r>
          </w:p>
        </w:tc>
      </w:tr>
      <w:tr w:rsidR="005202EA" w:rsidRPr="005202EA" w14:paraId="616AB915" w14:textId="77777777" w:rsidTr="008A4329">
        <w:trPr>
          <w:trHeight w:val="460"/>
        </w:trPr>
        <w:tc>
          <w:tcPr>
            <w:tcW w:w="3970" w:type="dxa"/>
            <w:tcBorders>
              <w:left w:val="single" w:sz="4" w:space="0" w:color="auto"/>
            </w:tcBorders>
            <w:shd w:val="clear" w:color="auto" w:fill="auto"/>
          </w:tcPr>
          <w:p w14:paraId="565C2456" w14:textId="49FCDADE" w:rsidR="005202EA" w:rsidRPr="005202EA" w:rsidRDefault="005202EA" w:rsidP="00B84CFF">
            <w:pPr>
              <w:spacing w:after="120" w:line="240" w:lineRule="auto"/>
              <w:outlineLvl w:val="0"/>
              <w:rPr>
                <w:rFonts w:eastAsia="Calibri Light" w:cs="Times New Roman"/>
                <w:color w:val="auto"/>
                <w:sz w:val="18"/>
                <w:szCs w:val="18"/>
              </w:rPr>
            </w:pPr>
            <w:r w:rsidRPr="005202EA">
              <w:rPr>
                <w:rFonts w:eastAsia="Calibri Light" w:cs="Times New Roman"/>
                <w:color w:val="auto"/>
                <w:sz w:val="18"/>
                <w:szCs w:val="18"/>
              </w:rPr>
              <w:lastRenderedPageBreak/>
              <w:t>The investment considers the longer-term impacts of climate change in the relevant sector and articulates proactive steps to ensure investment benefits are climate resilient.</w:t>
            </w:r>
          </w:p>
        </w:tc>
        <w:tc>
          <w:tcPr>
            <w:tcW w:w="3969" w:type="dxa"/>
            <w:shd w:val="clear" w:color="auto" w:fill="auto"/>
          </w:tcPr>
          <w:p w14:paraId="27EAD115" w14:textId="377C3EF2" w:rsidR="005202EA" w:rsidRPr="005202EA" w:rsidRDefault="005202EA" w:rsidP="008A4329">
            <w:pPr>
              <w:spacing w:after="120" w:line="240" w:lineRule="auto"/>
              <w:outlineLvl w:val="0"/>
              <w:rPr>
                <w:rFonts w:eastAsia="Calibri Light" w:cs="Times New Roman"/>
                <w:color w:val="auto"/>
                <w:sz w:val="18"/>
                <w:szCs w:val="18"/>
              </w:rPr>
            </w:pPr>
            <w:r>
              <w:rPr>
                <w:rFonts w:eastAsia="Calibri Light" w:cs="Times New Roman"/>
                <w:color w:val="auto"/>
                <w:sz w:val="18"/>
                <w:szCs w:val="18"/>
              </w:rPr>
              <w:t>The investment considers long-term impacts of climate change, and there is a plan to ensure benefits are climate resilient.</w:t>
            </w:r>
          </w:p>
        </w:tc>
        <w:tc>
          <w:tcPr>
            <w:tcW w:w="3543" w:type="dxa"/>
            <w:shd w:val="clear" w:color="auto" w:fill="auto"/>
          </w:tcPr>
          <w:p w14:paraId="01638AE0" w14:textId="77777777" w:rsidR="005202EA" w:rsidRDefault="005202EA" w:rsidP="008A4329">
            <w:pPr>
              <w:spacing w:after="120" w:line="240" w:lineRule="auto"/>
              <w:outlineLvl w:val="0"/>
              <w:rPr>
                <w:rFonts w:eastAsia="Calibri Light" w:cs="Times New Roman"/>
                <w:color w:val="auto"/>
                <w:sz w:val="18"/>
                <w:szCs w:val="18"/>
              </w:rPr>
            </w:pPr>
            <w:r>
              <w:rPr>
                <w:rFonts w:eastAsia="Calibri Light" w:cs="Times New Roman"/>
                <w:color w:val="auto"/>
                <w:sz w:val="18"/>
                <w:szCs w:val="18"/>
              </w:rPr>
              <w:t>Climate resilience is referred to, but there is no plan or steps identified to support climate resilient outcomes.</w:t>
            </w:r>
          </w:p>
          <w:p w14:paraId="7663E44C" w14:textId="77777777" w:rsidR="005202EA" w:rsidRPr="005202EA" w:rsidRDefault="005202EA" w:rsidP="008A4329">
            <w:pPr>
              <w:spacing w:after="120" w:line="240" w:lineRule="auto"/>
              <w:outlineLvl w:val="0"/>
              <w:rPr>
                <w:rFonts w:eastAsia="Calibri Light" w:cs="Times New Roman"/>
                <w:color w:val="auto"/>
                <w:sz w:val="18"/>
                <w:szCs w:val="18"/>
              </w:rPr>
            </w:pPr>
          </w:p>
        </w:tc>
        <w:tc>
          <w:tcPr>
            <w:tcW w:w="3119" w:type="dxa"/>
            <w:shd w:val="clear" w:color="auto" w:fill="auto"/>
          </w:tcPr>
          <w:p w14:paraId="713A375C" w14:textId="0DF0D73A" w:rsidR="005202EA" w:rsidRPr="005202EA" w:rsidRDefault="005202EA" w:rsidP="008A4329">
            <w:pPr>
              <w:spacing w:after="120" w:line="240" w:lineRule="auto"/>
              <w:outlineLvl w:val="0"/>
              <w:rPr>
                <w:rFonts w:eastAsia="Calibri Light" w:cs="Times New Roman"/>
                <w:color w:val="auto"/>
                <w:sz w:val="18"/>
                <w:szCs w:val="18"/>
              </w:rPr>
            </w:pPr>
            <w:r>
              <w:rPr>
                <w:rFonts w:eastAsia="Calibri Light" w:cs="Times New Roman"/>
                <w:color w:val="auto"/>
                <w:sz w:val="18"/>
                <w:szCs w:val="18"/>
              </w:rPr>
              <w:t>Climate resilience is not considered.</w:t>
            </w:r>
          </w:p>
        </w:tc>
      </w:tr>
      <w:tr w:rsidR="00B84CFF" w:rsidRPr="005202EA" w14:paraId="6FBAD50C" w14:textId="77777777" w:rsidTr="008A4329">
        <w:trPr>
          <w:trHeight w:val="460"/>
        </w:trPr>
        <w:tc>
          <w:tcPr>
            <w:tcW w:w="3970" w:type="dxa"/>
            <w:vMerge w:val="restart"/>
            <w:tcBorders>
              <w:left w:val="single" w:sz="4" w:space="0" w:color="auto"/>
            </w:tcBorders>
          </w:tcPr>
          <w:p w14:paraId="35C791B0" w14:textId="5D8D80F0" w:rsidR="00B84CFF" w:rsidRPr="00D90E36" w:rsidRDefault="00B84CFF" w:rsidP="00B84CFF">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 xml:space="preserve">Domestic partner resources and those of other donors/sources of funding are well described and leveraged.  </w:t>
            </w:r>
          </w:p>
        </w:tc>
        <w:tc>
          <w:tcPr>
            <w:tcW w:w="3969" w:type="dxa"/>
            <w:vMerge w:val="restart"/>
          </w:tcPr>
          <w:p w14:paraId="086D7FAD" w14:textId="26216E73" w:rsidR="00B84CFF" w:rsidRPr="00D90E36" w:rsidRDefault="00B84CFF" w:rsidP="008A4329">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 xml:space="preserve">Opportunities for leveraging domestic and external resources are identified in the design, although implementation may not be dependent or reliant on them. </w:t>
            </w:r>
          </w:p>
        </w:tc>
        <w:tc>
          <w:tcPr>
            <w:tcW w:w="3543" w:type="dxa"/>
            <w:vMerge w:val="restart"/>
          </w:tcPr>
          <w:p w14:paraId="7F9D9B32" w14:textId="5D4C8DC0" w:rsidR="00B84CFF" w:rsidRPr="00D90E36" w:rsidRDefault="00B84CFF" w:rsidP="008A4329">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The design articulates linkages and dependencies with other partners and resources, but fails to adequately align Australian assistance</w:t>
            </w:r>
            <w:r w:rsidR="00816278">
              <w:rPr>
                <w:rFonts w:eastAsia="Calibri Light" w:cs="Times New Roman"/>
                <w:color w:val="auto"/>
                <w:sz w:val="18"/>
                <w:szCs w:val="18"/>
              </w:rPr>
              <w:t>,</w:t>
            </w:r>
            <w:r w:rsidRPr="00D90E36">
              <w:rPr>
                <w:rFonts w:eastAsia="Calibri Light" w:cs="Times New Roman"/>
                <w:color w:val="auto"/>
                <w:sz w:val="18"/>
                <w:szCs w:val="18"/>
              </w:rPr>
              <w:t xml:space="preserve"> explain opportunities to leverage other resources, or contribute to longer term goals.</w:t>
            </w:r>
          </w:p>
        </w:tc>
        <w:tc>
          <w:tcPr>
            <w:tcW w:w="3119" w:type="dxa"/>
            <w:vMerge w:val="restart"/>
          </w:tcPr>
          <w:p w14:paraId="4B137972" w14:textId="77777777" w:rsidR="003D0197" w:rsidRDefault="00B84CFF">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 xml:space="preserve">The program operates as a standalone investment, without buy-in from local partners or leverage opportunities. </w:t>
            </w:r>
          </w:p>
          <w:p w14:paraId="2F126509" w14:textId="555C2565" w:rsidR="00B84CFF" w:rsidRPr="00D90E36" w:rsidRDefault="00B84CFF" w:rsidP="008A4329">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All activities are entirely dependent on resources from Australia for implementation.</w:t>
            </w:r>
          </w:p>
        </w:tc>
      </w:tr>
      <w:tr w:rsidR="00015EA0" w:rsidRPr="00D90E36" w14:paraId="1A64BC4F" w14:textId="77777777" w:rsidTr="008A4329">
        <w:trPr>
          <w:trHeight w:val="460"/>
        </w:trPr>
        <w:tc>
          <w:tcPr>
            <w:tcW w:w="3970" w:type="dxa"/>
            <w:vMerge/>
            <w:tcBorders>
              <w:left w:val="single" w:sz="4" w:space="0" w:color="auto"/>
            </w:tcBorders>
          </w:tcPr>
          <w:p w14:paraId="31952EE9" w14:textId="77777777" w:rsidR="00015EA0" w:rsidRPr="00D90E36" w:rsidRDefault="00015EA0" w:rsidP="006F58B8">
            <w:pPr>
              <w:keepLines/>
              <w:spacing w:after="120" w:line="240" w:lineRule="auto"/>
              <w:rPr>
                <w:rFonts w:eastAsia="Calibri Light" w:cs="Times New Roman"/>
                <w:color w:val="auto"/>
                <w:sz w:val="18"/>
                <w:szCs w:val="18"/>
              </w:rPr>
            </w:pPr>
          </w:p>
        </w:tc>
        <w:tc>
          <w:tcPr>
            <w:tcW w:w="3969" w:type="dxa"/>
            <w:vMerge/>
          </w:tcPr>
          <w:p w14:paraId="43357756" w14:textId="77777777" w:rsidR="00015EA0" w:rsidRPr="00D90E36" w:rsidRDefault="00015EA0" w:rsidP="00BD2B59">
            <w:pPr>
              <w:keepLines/>
              <w:spacing w:after="120" w:line="240" w:lineRule="auto"/>
              <w:rPr>
                <w:rFonts w:eastAsia="Calibri Light" w:cs="Times New Roman"/>
                <w:color w:val="auto"/>
                <w:sz w:val="18"/>
                <w:szCs w:val="18"/>
              </w:rPr>
            </w:pPr>
          </w:p>
        </w:tc>
        <w:tc>
          <w:tcPr>
            <w:tcW w:w="3543" w:type="dxa"/>
            <w:vMerge/>
          </w:tcPr>
          <w:p w14:paraId="4D35E4D3" w14:textId="77777777" w:rsidR="00015EA0" w:rsidRPr="00D90E36" w:rsidRDefault="00015EA0" w:rsidP="00BD2B59">
            <w:pPr>
              <w:keepLines/>
              <w:spacing w:after="120" w:line="240" w:lineRule="auto"/>
              <w:rPr>
                <w:rFonts w:eastAsia="Calibri Light" w:cs="Times New Roman"/>
                <w:color w:val="auto"/>
                <w:sz w:val="18"/>
                <w:szCs w:val="18"/>
              </w:rPr>
            </w:pPr>
          </w:p>
        </w:tc>
        <w:tc>
          <w:tcPr>
            <w:tcW w:w="3119" w:type="dxa"/>
            <w:vMerge/>
          </w:tcPr>
          <w:p w14:paraId="27985795" w14:textId="77777777" w:rsidR="00015EA0" w:rsidRPr="00D90E36" w:rsidRDefault="00015EA0" w:rsidP="00BD2B59">
            <w:pPr>
              <w:keepLines/>
              <w:spacing w:after="120" w:line="240" w:lineRule="auto"/>
              <w:rPr>
                <w:rFonts w:eastAsia="Calibri Light" w:cs="Times New Roman"/>
                <w:color w:val="auto"/>
                <w:sz w:val="18"/>
                <w:szCs w:val="18"/>
              </w:rPr>
            </w:pPr>
          </w:p>
        </w:tc>
      </w:tr>
      <w:tr w:rsidR="00015EA0" w:rsidRPr="00D90E36" w14:paraId="482C59F3" w14:textId="77777777" w:rsidTr="008A4329">
        <w:trPr>
          <w:trHeight w:val="460"/>
        </w:trPr>
        <w:tc>
          <w:tcPr>
            <w:tcW w:w="3970" w:type="dxa"/>
            <w:vMerge/>
            <w:tcBorders>
              <w:left w:val="single" w:sz="4" w:space="0" w:color="auto"/>
            </w:tcBorders>
          </w:tcPr>
          <w:p w14:paraId="73E18811" w14:textId="77777777" w:rsidR="00015EA0" w:rsidRPr="00D90E36" w:rsidRDefault="00015EA0" w:rsidP="006F58B8">
            <w:pPr>
              <w:keepLines/>
              <w:spacing w:after="120" w:line="240" w:lineRule="auto"/>
              <w:rPr>
                <w:rFonts w:eastAsia="Calibri Light" w:cs="Times New Roman"/>
                <w:color w:val="auto"/>
                <w:sz w:val="18"/>
                <w:szCs w:val="18"/>
              </w:rPr>
            </w:pPr>
          </w:p>
        </w:tc>
        <w:tc>
          <w:tcPr>
            <w:tcW w:w="3969" w:type="dxa"/>
            <w:vMerge/>
          </w:tcPr>
          <w:p w14:paraId="2E2DF62E" w14:textId="77777777" w:rsidR="00015EA0" w:rsidRPr="00D90E36" w:rsidRDefault="00015EA0" w:rsidP="00BD2B59">
            <w:pPr>
              <w:keepLines/>
              <w:spacing w:after="120" w:line="240" w:lineRule="auto"/>
              <w:rPr>
                <w:rFonts w:eastAsia="Calibri Light" w:cs="Times New Roman"/>
                <w:color w:val="auto"/>
                <w:sz w:val="18"/>
                <w:szCs w:val="18"/>
              </w:rPr>
            </w:pPr>
          </w:p>
        </w:tc>
        <w:tc>
          <w:tcPr>
            <w:tcW w:w="3543" w:type="dxa"/>
            <w:vMerge/>
          </w:tcPr>
          <w:p w14:paraId="1550D749" w14:textId="77777777" w:rsidR="00015EA0" w:rsidRPr="00D90E36" w:rsidRDefault="00015EA0" w:rsidP="00BD2B59">
            <w:pPr>
              <w:keepLines/>
              <w:spacing w:after="120" w:line="240" w:lineRule="auto"/>
              <w:rPr>
                <w:rFonts w:eastAsia="Calibri Light" w:cs="Times New Roman"/>
                <w:color w:val="auto"/>
                <w:sz w:val="18"/>
                <w:szCs w:val="18"/>
              </w:rPr>
            </w:pPr>
          </w:p>
        </w:tc>
        <w:tc>
          <w:tcPr>
            <w:tcW w:w="3119" w:type="dxa"/>
            <w:vMerge/>
          </w:tcPr>
          <w:p w14:paraId="595FB840" w14:textId="77777777" w:rsidR="00015EA0" w:rsidRPr="00D90E36" w:rsidRDefault="00015EA0" w:rsidP="00BD2B59">
            <w:pPr>
              <w:keepLines/>
              <w:spacing w:after="120" w:line="240" w:lineRule="auto"/>
              <w:rPr>
                <w:rFonts w:eastAsia="Calibri Light" w:cs="Times New Roman"/>
                <w:color w:val="auto"/>
                <w:sz w:val="18"/>
                <w:szCs w:val="18"/>
              </w:rPr>
            </w:pPr>
          </w:p>
        </w:tc>
      </w:tr>
    </w:tbl>
    <w:p w14:paraId="602615C5" w14:textId="01BCE051" w:rsidR="000F6F98" w:rsidRPr="00E07BFD" w:rsidRDefault="00A13CEA" w:rsidP="00E07BFD">
      <w:pPr>
        <w:pStyle w:val="Heading2"/>
      </w:pPr>
      <w:r w:rsidRPr="00E07BFD">
        <w:rPr>
          <w:caps w:val="0"/>
        </w:rPr>
        <w:br w:type="page"/>
      </w:r>
      <w:r w:rsidRPr="00E07BFD">
        <w:rPr>
          <w:caps w:val="0"/>
        </w:rPr>
        <w:lastRenderedPageBreak/>
        <w:t xml:space="preserve">6. Gender Equality </w:t>
      </w:r>
    </w:p>
    <w:p w14:paraId="301E11F1" w14:textId="77777777" w:rsidR="000F6F98" w:rsidRPr="00D90E36" w:rsidRDefault="000F6F98" w:rsidP="000F6F98">
      <w:pPr>
        <w:spacing w:after="120" w:line="240" w:lineRule="auto"/>
        <w:rPr>
          <w:rStyle w:val="SubtleEmphasis"/>
        </w:rPr>
      </w:pPr>
      <w:r w:rsidRPr="00D90E36">
        <w:rPr>
          <w:rStyle w:val="SubtleEmphasis"/>
        </w:rPr>
        <w:t xml:space="preserve">Does the investment adequately address gender equality </w:t>
      </w:r>
      <w:r>
        <w:rPr>
          <w:rStyle w:val="SubtleEmphasis"/>
        </w:rPr>
        <w:t>(including intersectionality)</w:t>
      </w:r>
      <w:r w:rsidRPr="00D90E36">
        <w:rPr>
          <w:rStyle w:val="SubtleEmphasis"/>
        </w:rPr>
        <w:t>?</w:t>
      </w:r>
    </w:p>
    <w:p w14:paraId="0CA30932" w14:textId="77777777" w:rsidR="000F6F98" w:rsidRPr="00D90E36" w:rsidRDefault="000F6F98" w:rsidP="000F6F98">
      <w:pPr>
        <w:rPr>
          <w:b/>
          <w:bCs/>
        </w:rPr>
      </w:pPr>
      <w:r w:rsidRPr="00D90E36">
        <w:rPr>
          <w:b/>
          <w:bCs/>
        </w:rPr>
        <w:t>Focus areas:</w:t>
      </w:r>
    </w:p>
    <w:p w14:paraId="65A470F1" w14:textId="77777777" w:rsidR="000F6F98" w:rsidRPr="00D90E36" w:rsidRDefault="000F6F98" w:rsidP="000F6F98">
      <w:pPr>
        <w:pStyle w:val="ListParagraph"/>
        <w:numPr>
          <w:ilvl w:val="0"/>
          <w:numId w:val="53"/>
        </w:numPr>
      </w:pPr>
      <w:r>
        <w:t>Gender equality outcomes are included in the program logic</w:t>
      </w:r>
    </w:p>
    <w:p w14:paraId="5F301E76" w14:textId="27805136" w:rsidR="00533AB7" w:rsidRDefault="000F6F98" w:rsidP="005C07E8">
      <w:pPr>
        <w:pStyle w:val="ListParagraph"/>
        <w:numPr>
          <w:ilvl w:val="0"/>
          <w:numId w:val="53"/>
        </w:numPr>
      </w:pPr>
      <w:r>
        <w:t xml:space="preserve">Gender analysis </w:t>
      </w:r>
      <w:r w:rsidR="003D0197">
        <w:t xml:space="preserve">is </w:t>
      </w:r>
      <w:r>
        <w:t>mainstreamed throughout design</w:t>
      </w:r>
    </w:p>
    <w:p w14:paraId="2A18B71B" w14:textId="77777777" w:rsidR="005C07E8" w:rsidRPr="00D90E36" w:rsidRDefault="005C07E8" w:rsidP="005C07E8"/>
    <w:tbl>
      <w:tblPr>
        <w:tblStyle w:val="TableGrid"/>
        <w:tblW w:w="14601" w:type="dxa"/>
        <w:tblInd w:w="-147" w:type="dxa"/>
        <w:tblLook w:val="04A0" w:firstRow="1" w:lastRow="0" w:firstColumn="1" w:lastColumn="0" w:noHBand="0" w:noVBand="1"/>
      </w:tblPr>
      <w:tblGrid>
        <w:gridCol w:w="3261"/>
        <w:gridCol w:w="3685"/>
        <w:gridCol w:w="3828"/>
        <w:gridCol w:w="3827"/>
      </w:tblGrid>
      <w:tr w:rsidR="00533AB7" w:rsidRPr="00D90E36" w14:paraId="490BA04E" w14:textId="77777777" w:rsidTr="005C07E8">
        <w:trPr>
          <w:tblHeader/>
        </w:trPr>
        <w:tc>
          <w:tcPr>
            <w:tcW w:w="3261" w:type="dxa"/>
            <w:tcBorders>
              <w:left w:val="single" w:sz="4" w:space="0" w:color="auto"/>
            </w:tcBorders>
            <w:shd w:val="clear" w:color="auto" w:fill="D4EAF3" w:themeFill="accent1" w:themeFillTint="33"/>
          </w:tcPr>
          <w:p w14:paraId="6B7A7312" w14:textId="77777777" w:rsidR="002B5C14" w:rsidRPr="00D90E36" w:rsidRDefault="002B5C14" w:rsidP="00BD2B59">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Good, very good (rating 5-6) </w:t>
            </w:r>
          </w:p>
        </w:tc>
        <w:tc>
          <w:tcPr>
            <w:tcW w:w="3685" w:type="dxa"/>
            <w:shd w:val="clear" w:color="auto" w:fill="D4EAF3" w:themeFill="accent1" w:themeFillTint="33"/>
          </w:tcPr>
          <w:p w14:paraId="539D71A6" w14:textId="77777777" w:rsidR="002B5C14" w:rsidRPr="00D90E36" w:rsidRDefault="002B5C14" w:rsidP="00BD2B59">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828" w:type="dxa"/>
            <w:shd w:val="clear" w:color="auto" w:fill="D4EAF3" w:themeFill="accent1" w:themeFillTint="33"/>
          </w:tcPr>
          <w:p w14:paraId="5A1DCDBC" w14:textId="77777777" w:rsidR="002B5C14" w:rsidRPr="00D90E36" w:rsidRDefault="002B5C14" w:rsidP="00BD2B59">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3827" w:type="dxa"/>
            <w:shd w:val="clear" w:color="auto" w:fill="D4EAF3" w:themeFill="accent1" w:themeFillTint="33"/>
          </w:tcPr>
          <w:p w14:paraId="446A9CBC" w14:textId="77777777" w:rsidR="002B5C14" w:rsidRPr="00D90E36" w:rsidRDefault="002B5C14" w:rsidP="00BD2B59">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5C07E8" w:rsidRPr="00D90E36" w14:paraId="4491D4BB" w14:textId="77777777" w:rsidTr="005C07E8">
        <w:trPr>
          <w:trHeight w:val="818"/>
        </w:trPr>
        <w:tc>
          <w:tcPr>
            <w:tcW w:w="3261" w:type="dxa"/>
            <w:tcBorders>
              <w:left w:val="single" w:sz="4" w:space="0" w:color="auto"/>
            </w:tcBorders>
          </w:tcPr>
          <w:p w14:paraId="6274624E" w14:textId="5CE6F8F5" w:rsidR="005C07E8" w:rsidRPr="00D90E36" w:rsidRDefault="005C07E8" w:rsidP="005C07E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A high</w:t>
            </w:r>
            <w:r>
              <w:rPr>
                <w:rFonts w:eastAsia="Calibri Light" w:cs="Times New Roman"/>
                <w:color w:val="auto"/>
                <w:sz w:val="18"/>
                <w:szCs w:val="18"/>
              </w:rPr>
              <w:t>-</w:t>
            </w:r>
            <w:r w:rsidRPr="00D90E36">
              <w:rPr>
                <w:rFonts w:eastAsia="Calibri Light" w:cs="Times New Roman"/>
                <w:color w:val="auto"/>
                <w:sz w:val="18"/>
                <w:szCs w:val="18"/>
              </w:rPr>
              <w:t>quality</w:t>
            </w:r>
            <w:r>
              <w:rPr>
                <w:rFonts w:eastAsia="Calibri Light" w:cs="Times New Roman"/>
                <w:color w:val="auto"/>
                <w:sz w:val="18"/>
                <w:szCs w:val="18"/>
              </w:rPr>
              <w:t>,</w:t>
            </w:r>
            <w:r w:rsidRPr="00D90E36">
              <w:rPr>
                <w:rFonts w:eastAsia="Calibri Light" w:cs="Times New Roman"/>
                <w:color w:val="auto"/>
                <w:sz w:val="18"/>
                <w:szCs w:val="18"/>
              </w:rPr>
              <w:t xml:space="preserve"> </w:t>
            </w:r>
            <w:r>
              <w:rPr>
                <w:rFonts w:eastAsia="Calibri Light" w:cs="Times New Roman"/>
                <w:color w:val="auto"/>
                <w:sz w:val="18"/>
                <w:szCs w:val="18"/>
              </w:rPr>
              <w:t xml:space="preserve">intersectional </w:t>
            </w:r>
            <w:r w:rsidRPr="00D90E36">
              <w:rPr>
                <w:rFonts w:eastAsia="Calibri Light" w:cs="Times New Roman"/>
                <w:color w:val="auto"/>
                <w:sz w:val="18"/>
                <w:szCs w:val="18"/>
              </w:rPr>
              <w:t>gender analysis is included as a design annex. It highlights key enablers and barriers to women's participation, and these are addressed.</w:t>
            </w:r>
          </w:p>
          <w:p w14:paraId="4C797E06" w14:textId="25EC2A79" w:rsidR="005C07E8" w:rsidRPr="00D90E36" w:rsidRDefault="005C07E8" w:rsidP="005C07E8">
            <w:pPr>
              <w:keepLines/>
              <w:spacing w:after="120" w:line="240" w:lineRule="auto"/>
              <w:rPr>
                <w:rFonts w:eastAsia="Calibri Light" w:cs="Times New Roman"/>
                <w:color w:val="auto"/>
                <w:sz w:val="18"/>
                <w:szCs w:val="18"/>
              </w:rPr>
            </w:pPr>
            <w:r>
              <w:rPr>
                <w:rFonts w:eastAsia="Calibri Light" w:cs="Times New Roman"/>
                <w:color w:val="auto"/>
                <w:sz w:val="18"/>
                <w:szCs w:val="18"/>
              </w:rPr>
              <w:t>The gender analysis has been used to inform the design, and is reflected within the design narrative. It has informed specific actions which are planned to promote gender equality throughout implementation.</w:t>
            </w:r>
          </w:p>
        </w:tc>
        <w:tc>
          <w:tcPr>
            <w:tcW w:w="3685" w:type="dxa"/>
          </w:tcPr>
          <w:p w14:paraId="528AC7A1" w14:textId="77777777" w:rsidR="005C07E8" w:rsidRDefault="005C07E8" w:rsidP="005C07E8">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A gender analysis is included</w:t>
            </w:r>
            <w:r>
              <w:rPr>
                <w:rFonts w:eastAsia="Calibri Light" w:cs="Times New Roman"/>
                <w:color w:val="auto"/>
                <w:sz w:val="18"/>
                <w:szCs w:val="18"/>
              </w:rPr>
              <w:t xml:space="preserve"> as a design annex.*</w:t>
            </w:r>
            <w:r w:rsidRPr="00D90E36">
              <w:rPr>
                <w:rFonts w:eastAsia="Calibri Light" w:cs="Times New Roman"/>
                <w:color w:val="auto"/>
                <w:sz w:val="18"/>
                <w:szCs w:val="18"/>
              </w:rPr>
              <w:t xml:space="preserve"> Key enablers and barriers to gender equality and women’s </w:t>
            </w:r>
            <w:r>
              <w:rPr>
                <w:rFonts w:eastAsia="Calibri Light" w:cs="Times New Roman"/>
                <w:color w:val="auto"/>
                <w:sz w:val="18"/>
                <w:szCs w:val="18"/>
              </w:rPr>
              <w:t>participation</w:t>
            </w:r>
            <w:r w:rsidRPr="00D90E36">
              <w:rPr>
                <w:rFonts w:eastAsia="Calibri Light" w:cs="Times New Roman"/>
                <w:color w:val="auto"/>
                <w:sz w:val="18"/>
                <w:szCs w:val="18"/>
              </w:rPr>
              <w:t xml:space="preserve"> are identified, and these are addressed</w:t>
            </w:r>
            <w:r>
              <w:rPr>
                <w:rFonts w:eastAsia="Calibri Light" w:cs="Times New Roman"/>
                <w:color w:val="auto"/>
                <w:sz w:val="18"/>
                <w:szCs w:val="18"/>
              </w:rPr>
              <w:t xml:space="preserve"> in the design narrative</w:t>
            </w:r>
            <w:r w:rsidRPr="00D90E36">
              <w:rPr>
                <w:rFonts w:eastAsia="Calibri Light" w:cs="Times New Roman"/>
                <w:color w:val="auto"/>
                <w:sz w:val="18"/>
                <w:szCs w:val="18"/>
              </w:rPr>
              <w:t>.</w:t>
            </w:r>
          </w:p>
          <w:p w14:paraId="70261927" w14:textId="01F296AB" w:rsidR="005C07E8" w:rsidRDefault="005C07E8" w:rsidP="005C07E8">
            <w:pPr>
              <w:spacing w:after="120" w:line="240" w:lineRule="auto"/>
              <w:outlineLvl w:val="0"/>
              <w:rPr>
                <w:rFonts w:eastAsia="Calibri Light" w:cs="Times New Roman"/>
                <w:color w:val="auto"/>
                <w:sz w:val="18"/>
                <w:szCs w:val="18"/>
              </w:rPr>
            </w:pPr>
            <w:r>
              <w:rPr>
                <w:rFonts w:eastAsia="Calibri Light" w:cs="Times New Roman"/>
                <w:color w:val="auto"/>
                <w:sz w:val="18"/>
                <w:szCs w:val="18"/>
              </w:rPr>
              <w:t>The gender analysis has been used to inform the design including actions or further analysis throughout implementation.</w:t>
            </w:r>
          </w:p>
          <w:p w14:paraId="519838E7" w14:textId="23E9B2A9" w:rsidR="005C07E8" w:rsidRPr="00D90E36" w:rsidRDefault="00345632" w:rsidP="005C07E8">
            <w:pPr>
              <w:spacing w:after="120" w:line="240" w:lineRule="auto"/>
              <w:outlineLvl w:val="0"/>
              <w:rPr>
                <w:rFonts w:eastAsia="Calibri Light" w:cs="Times New Roman"/>
                <w:color w:val="auto"/>
                <w:sz w:val="18"/>
                <w:szCs w:val="18"/>
              </w:rPr>
            </w:pPr>
            <w:r w:rsidRPr="008833CC">
              <w:rPr>
                <w:rFonts w:eastAsia="Calibri Light" w:cs="Times New Roman"/>
                <w:b/>
                <w:bCs/>
                <w:color w:val="auto"/>
                <w:sz w:val="18"/>
                <w:szCs w:val="18"/>
              </w:rPr>
              <w:t xml:space="preserve">*Note </w:t>
            </w:r>
            <w:r>
              <w:rPr>
                <w:rFonts w:eastAsia="Calibri Light" w:cs="Times New Roman"/>
                <w:b/>
                <w:bCs/>
                <w:color w:val="auto"/>
                <w:sz w:val="18"/>
                <w:szCs w:val="18"/>
              </w:rPr>
              <w:t>a gender analysis and gender outcome are</w:t>
            </w:r>
            <w:r w:rsidRPr="008833CC">
              <w:rPr>
                <w:rFonts w:eastAsia="Calibri Light" w:cs="Times New Roman"/>
                <w:b/>
                <w:bCs/>
                <w:color w:val="auto"/>
                <w:sz w:val="18"/>
                <w:szCs w:val="18"/>
              </w:rPr>
              <w:t xml:space="preserve"> mandatory requirement</w:t>
            </w:r>
            <w:r>
              <w:rPr>
                <w:rFonts w:eastAsia="Calibri Light" w:cs="Times New Roman"/>
                <w:b/>
                <w:bCs/>
                <w:color w:val="auto"/>
                <w:sz w:val="18"/>
                <w:szCs w:val="18"/>
              </w:rPr>
              <w:t>s</w:t>
            </w:r>
            <w:r w:rsidRPr="008833CC">
              <w:rPr>
                <w:rFonts w:eastAsia="Calibri Light" w:cs="Times New Roman"/>
                <w:b/>
                <w:bCs/>
                <w:color w:val="auto"/>
                <w:sz w:val="18"/>
                <w:szCs w:val="18"/>
              </w:rPr>
              <w:t>. Overall score</w:t>
            </w:r>
            <w:r>
              <w:rPr>
                <w:rFonts w:eastAsia="Calibri Light" w:cs="Times New Roman"/>
                <w:b/>
                <w:bCs/>
                <w:color w:val="auto"/>
                <w:sz w:val="18"/>
                <w:szCs w:val="18"/>
              </w:rPr>
              <w:t xml:space="preserve"> for Gender Equality</w:t>
            </w:r>
            <w:r w:rsidRPr="008833CC">
              <w:rPr>
                <w:rFonts w:eastAsia="Calibri Light" w:cs="Times New Roman"/>
                <w:b/>
                <w:bCs/>
                <w:color w:val="auto"/>
                <w:sz w:val="18"/>
                <w:szCs w:val="18"/>
              </w:rPr>
              <w:t xml:space="preserve"> must be a 3 if </w:t>
            </w:r>
            <w:r>
              <w:rPr>
                <w:rFonts w:eastAsia="Calibri Light" w:cs="Times New Roman"/>
                <w:b/>
                <w:bCs/>
                <w:color w:val="auto"/>
                <w:sz w:val="18"/>
                <w:szCs w:val="18"/>
              </w:rPr>
              <w:t xml:space="preserve">either </w:t>
            </w:r>
            <w:r w:rsidR="008660C9">
              <w:rPr>
                <w:rFonts w:eastAsia="Calibri Light" w:cs="Times New Roman"/>
                <w:b/>
                <w:bCs/>
                <w:color w:val="auto"/>
                <w:sz w:val="18"/>
                <w:szCs w:val="18"/>
              </w:rPr>
              <w:t>is</w:t>
            </w:r>
            <w:r>
              <w:rPr>
                <w:rFonts w:eastAsia="Calibri Light" w:cs="Times New Roman"/>
                <w:b/>
                <w:bCs/>
                <w:color w:val="auto"/>
                <w:sz w:val="18"/>
                <w:szCs w:val="18"/>
              </w:rPr>
              <w:t xml:space="preserve"> absent (unless </w:t>
            </w:r>
            <w:r w:rsidR="008660C9">
              <w:rPr>
                <w:rFonts w:eastAsia="Calibri Light" w:cs="Times New Roman"/>
                <w:b/>
                <w:bCs/>
                <w:color w:val="auto"/>
                <w:sz w:val="18"/>
                <w:szCs w:val="18"/>
              </w:rPr>
              <w:t xml:space="preserve">the </w:t>
            </w:r>
            <w:r>
              <w:rPr>
                <w:rFonts w:eastAsia="Calibri Light" w:cs="Times New Roman"/>
                <w:b/>
                <w:bCs/>
                <w:color w:val="auto"/>
                <w:sz w:val="18"/>
                <w:szCs w:val="18"/>
              </w:rPr>
              <w:t>investment is exempt)</w:t>
            </w:r>
            <w:r w:rsidRPr="008833CC">
              <w:rPr>
                <w:rFonts w:eastAsia="Calibri Light" w:cs="Times New Roman"/>
                <w:b/>
                <w:bCs/>
                <w:color w:val="auto"/>
                <w:sz w:val="18"/>
                <w:szCs w:val="18"/>
              </w:rPr>
              <w:t>.</w:t>
            </w:r>
          </w:p>
        </w:tc>
        <w:tc>
          <w:tcPr>
            <w:tcW w:w="3828" w:type="dxa"/>
          </w:tcPr>
          <w:p w14:paraId="122E6997" w14:textId="77777777" w:rsidR="005C07E8" w:rsidRPr="00D90E36" w:rsidRDefault="005C07E8" w:rsidP="005C07E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is no gender analysis annex. References to gender analysis or key enablers and barriers related to gender are few and/or cursory, and any strategies to enhance gender equality are implicit rather than clearly articulated.</w:t>
            </w:r>
          </w:p>
          <w:p w14:paraId="4180B08E" w14:textId="19957D4E" w:rsidR="005C07E8" w:rsidRPr="00D90E36" w:rsidRDefault="005C07E8" w:rsidP="005C07E8">
            <w:pPr>
              <w:spacing w:after="120" w:line="240" w:lineRule="auto"/>
              <w:outlineLvl w:val="0"/>
              <w:rPr>
                <w:rFonts w:eastAsia="Calibri Light" w:cs="Times New Roman"/>
                <w:color w:val="auto"/>
                <w:sz w:val="18"/>
                <w:szCs w:val="18"/>
              </w:rPr>
            </w:pPr>
            <w:r w:rsidRPr="00D90E36">
              <w:rPr>
                <w:rFonts w:eastAsia="Calibri Light" w:cs="Times New Roman"/>
                <w:color w:val="auto"/>
                <w:sz w:val="18"/>
                <w:szCs w:val="18"/>
              </w:rPr>
              <w:t>Plans for further analysis are set out, and a strategy to integrate gender equality throughout implementation is described.</w:t>
            </w:r>
          </w:p>
        </w:tc>
        <w:tc>
          <w:tcPr>
            <w:tcW w:w="3827" w:type="dxa"/>
          </w:tcPr>
          <w:p w14:paraId="4C7CB9F7" w14:textId="77777777" w:rsidR="005C07E8" w:rsidRPr="00D90E36" w:rsidRDefault="005C07E8" w:rsidP="005C07E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is no gender analysis annex. There are no references to gender in the design, or there is a poor understanding of opportunities to address gender equality and women’s empowerment through this investment.</w:t>
            </w:r>
          </w:p>
          <w:p w14:paraId="0101FE9F" w14:textId="67F71B39" w:rsidR="005C07E8" w:rsidRPr="00D90E36" w:rsidRDefault="005C07E8" w:rsidP="005C07E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There are no specific plans for further analysis or actions to promote gender equality throughout implementation.  </w:t>
            </w:r>
          </w:p>
        </w:tc>
      </w:tr>
    </w:tbl>
    <w:p w14:paraId="21978CF8" w14:textId="77777777" w:rsidR="005C07E8" w:rsidRDefault="005C07E8">
      <w:r>
        <w:br w:type="page"/>
      </w:r>
    </w:p>
    <w:tbl>
      <w:tblPr>
        <w:tblStyle w:val="TableGrid"/>
        <w:tblW w:w="14601" w:type="dxa"/>
        <w:tblInd w:w="-147" w:type="dxa"/>
        <w:tblLook w:val="04A0" w:firstRow="1" w:lastRow="0" w:firstColumn="1" w:lastColumn="0" w:noHBand="0" w:noVBand="1"/>
      </w:tblPr>
      <w:tblGrid>
        <w:gridCol w:w="2977"/>
        <w:gridCol w:w="3969"/>
        <w:gridCol w:w="3828"/>
        <w:gridCol w:w="3827"/>
      </w:tblGrid>
      <w:tr w:rsidR="005C07E8" w:rsidRPr="00D90E36" w14:paraId="6DC4FC3C" w14:textId="77777777" w:rsidTr="005C07E8">
        <w:trPr>
          <w:trHeight w:val="460"/>
        </w:trPr>
        <w:tc>
          <w:tcPr>
            <w:tcW w:w="2977" w:type="dxa"/>
            <w:vMerge w:val="restart"/>
          </w:tcPr>
          <w:p w14:paraId="553C21D0" w14:textId="2842B146" w:rsidR="005C07E8" w:rsidRPr="00963FA7" w:rsidRDefault="005C07E8" w:rsidP="005C07E8">
            <w:pPr>
              <w:suppressAutoHyphens w:val="0"/>
              <w:spacing w:before="0" w:after="0" w:line="240" w:lineRule="auto"/>
              <w:rPr>
                <w:rFonts w:ascii="Times New Roman" w:hAnsi="Times New Roman" w:cs="Times New Roman"/>
                <w:color w:val="auto"/>
                <w:sz w:val="24"/>
                <w:szCs w:val="24"/>
                <w:lang w:val="en-AU" w:eastAsia="en-AU"/>
              </w:rPr>
            </w:pPr>
            <w:r w:rsidRPr="00D90E36">
              <w:rPr>
                <w:rFonts w:eastAsia="Calibri Light" w:cs="Times New Roman"/>
                <w:color w:val="auto"/>
                <w:sz w:val="18"/>
                <w:szCs w:val="18"/>
              </w:rPr>
              <w:lastRenderedPageBreak/>
              <w:t xml:space="preserve">The design includes </w:t>
            </w:r>
            <w:r>
              <w:rPr>
                <w:rFonts w:eastAsia="Calibri Light" w:cs="Times New Roman"/>
                <w:color w:val="auto"/>
                <w:sz w:val="18"/>
                <w:szCs w:val="18"/>
              </w:rPr>
              <w:t>one or more</w:t>
            </w:r>
            <w:r w:rsidRPr="00D90E36">
              <w:rPr>
                <w:rFonts w:eastAsia="Calibri Light" w:cs="Times New Roman"/>
                <w:color w:val="auto"/>
                <w:sz w:val="18"/>
                <w:szCs w:val="18"/>
              </w:rPr>
              <w:t xml:space="preserve"> gender equality outcomes (End of Program Outcome or Intermediate Outcome), which are logically integrated into the overall program logic / theory of change.</w:t>
            </w:r>
            <w:r>
              <w:rPr>
                <w:rFonts w:eastAsia="Calibri Light" w:cs="Times New Roman"/>
                <w:color w:val="auto"/>
                <w:sz w:val="18"/>
                <w:szCs w:val="18"/>
              </w:rPr>
              <w:t xml:space="preserve"> These outcomes describe an intent to achieve gender transformative change.</w:t>
            </w:r>
            <w:r>
              <w:rPr>
                <w:rFonts w:ascii="Times New Roman" w:hAnsi="Times New Roman" w:cs="Times New Roman"/>
                <w:color w:val="auto"/>
                <w:sz w:val="24"/>
                <w:szCs w:val="24"/>
                <w:lang w:val="en-AU" w:eastAsia="en-AU"/>
              </w:rPr>
              <w:t xml:space="preserve"> </w:t>
            </w:r>
          </w:p>
          <w:p w14:paraId="662C0648" w14:textId="5777C733" w:rsidR="005C07E8" w:rsidRPr="00D90E36" w:rsidRDefault="005C07E8" w:rsidP="005C07E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Governance and </w:t>
            </w:r>
            <w:r w:rsidR="002102F5">
              <w:rPr>
                <w:rFonts w:eastAsia="Calibri Light" w:cs="Times New Roman"/>
                <w:color w:val="auto"/>
                <w:sz w:val="18"/>
                <w:szCs w:val="18"/>
              </w:rPr>
              <w:t>MEL</w:t>
            </w:r>
            <w:r w:rsidRPr="00D90E36">
              <w:rPr>
                <w:rFonts w:eastAsia="Calibri Light" w:cs="Times New Roman"/>
                <w:color w:val="auto"/>
                <w:sz w:val="18"/>
                <w:szCs w:val="18"/>
              </w:rPr>
              <w:t xml:space="preserve"> arrangements (including collection of sex-disaggregated data) will ensure that gender equality is addressed throughout implementation. </w:t>
            </w:r>
          </w:p>
        </w:tc>
        <w:tc>
          <w:tcPr>
            <w:tcW w:w="3969" w:type="dxa"/>
            <w:vMerge w:val="restart"/>
          </w:tcPr>
          <w:p w14:paraId="6D6AF99F" w14:textId="77777777" w:rsidR="005C07E8" w:rsidRDefault="005C07E8" w:rsidP="005C07E8">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The program logic includes at least one gender equality outcome (End of Program Outcome or Intermediate Outcome)</w:t>
            </w:r>
            <w:r>
              <w:rPr>
                <w:rFonts w:eastAsia="Calibri Light" w:cs="Times New Roman"/>
                <w:color w:val="auto"/>
                <w:sz w:val="18"/>
                <w:szCs w:val="18"/>
              </w:rPr>
              <w:t>.* The outcome describes an intent to proactively address power imbalances and/or harmful social norms to advance gender equality.</w:t>
            </w:r>
          </w:p>
          <w:p w14:paraId="3BF72BBE" w14:textId="2921C625" w:rsidR="005C07E8" w:rsidRDefault="005C07E8" w:rsidP="005C07E8">
            <w:pPr>
              <w:keepLines/>
              <w:spacing w:before="0" w:after="120" w:line="240" w:lineRule="auto"/>
              <w:rPr>
                <w:rFonts w:eastAsia="Calibri Light" w:cs="Times New Roman"/>
                <w:b/>
                <w:bCs/>
                <w:color w:val="auto"/>
                <w:sz w:val="18"/>
                <w:szCs w:val="18"/>
              </w:rPr>
            </w:pPr>
            <w:r w:rsidRPr="00D90E36">
              <w:rPr>
                <w:rFonts w:eastAsia="Calibri Light" w:cs="Times New Roman"/>
                <w:color w:val="auto"/>
                <w:sz w:val="18"/>
                <w:szCs w:val="18"/>
              </w:rPr>
              <w:t xml:space="preserve">A strategy for enhancing women’s participation in governance and management of the program over time is described. </w:t>
            </w:r>
            <w:r w:rsidR="002102F5">
              <w:rPr>
                <w:rFonts w:eastAsia="Calibri Light" w:cs="Times New Roman"/>
                <w:color w:val="auto"/>
                <w:sz w:val="18"/>
                <w:szCs w:val="18"/>
              </w:rPr>
              <w:t>MEL</w:t>
            </w:r>
            <w:r w:rsidRPr="00D90E36">
              <w:rPr>
                <w:rFonts w:eastAsia="Calibri Light" w:cs="Times New Roman"/>
                <w:color w:val="auto"/>
                <w:sz w:val="18"/>
                <w:szCs w:val="18"/>
              </w:rPr>
              <w:t xml:space="preserve"> arrangements will ensure collection of sex-disaggregated data.</w:t>
            </w:r>
          </w:p>
          <w:p w14:paraId="2813D425" w14:textId="0FBB5262" w:rsidR="005C07E8" w:rsidRPr="00D90E36" w:rsidRDefault="005C07E8" w:rsidP="005C07E8">
            <w:pPr>
              <w:keepLines/>
              <w:spacing w:after="120" w:line="240" w:lineRule="auto"/>
              <w:rPr>
                <w:rFonts w:eastAsia="Calibri Light" w:cs="Times New Roman"/>
                <w:color w:val="auto"/>
                <w:sz w:val="18"/>
                <w:szCs w:val="18"/>
              </w:rPr>
            </w:pPr>
            <w:r w:rsidRPr="008833CC">
              <w:rPr>
                <w:rFonts w:eastAsia="Calibri Light" w:cs="Times New Roman"/>
                <w:b/>
                <w:bCs/>
                <w:color w:val="auto"/>
                <w:sz w:val="18"/>
                <w:szCs w:val="18"/>
              </w:rPr>
              <w:t xml:space="preserve">*Note </w:t>
            </w:r>
            <w:r>
              <w:rPr>
                <w:rFonts w:eastAsia="Calibri Light" w:cs="Times New Roman"/>
                <w:b/>
                <w:bCs/>
                <w:color w:val="auto"/>
                <w:sz w:val="18"/>
                <w:szCs w:val="18"/>
              </w:rPr>
              <w:t>a gender analysis and gender outcome are</w:t>
            </w:r>
            <w:r w:rsidRPr="008833CC">
              <w:rPr>
                <w:rFonts w:eastAsia="Calibri Light" w:cs="Times New Roman"/>
                <w:b/>
                <w:bCs/>
                <w:color w:val="auto"/>
                <w:sz w:val="18"/>
                <w:szCs w:val="18"/>
              </w:rPr>
              <w:t xml:space="preserve"> mandatory requirement</w:t>
            </w:r>
            <w:r>
              <w:rPr>
                <w:rFonts w:eastAsia="Calibri Light" w:cs="Times New Roman"/>
                <w:b/>
                <w:bCs/>
                <w:color w:val="auto"/>
                <w:sz w:val="18"/>
                <w:szCs w:val="18"/>
              </w:rPr>
              <w:t>s</w:t>
            </w:r>
            <w:r w:rsidRPr="008833CC">
              <w:rPr>
                <w:rFonts w:eastAsia="Calibri Light" w:cs="Times New Roman"/>
                <w:b/>
                <w:bCs/>
                <w:color w:val="auto"/>
                <w:sz w:val="18"/>
                <w:szCs w:val="18"/>
              </w:rPr>
              <w:t>. Overall score</w:t>
            </w:r>
            <w:r>
              <w:rPr>
                <w:rFonts w:eastAsia="Calibri Light" w:cs="Times New Roman"/>
                <w:b/>
                <w:bCs/>
                <w:color w:val="auto"/>
                <w:sz w:val="18"/>
                <w:szCs w:val="18"/>
              </w:rPr>
              <w:t xml:space="preserve"> for Gender Equality</w:t>
            </w:r>
            <w:r w:rsidRPr="008833CC">
              <w:rPr>
                <w:rFonts w:eastAsia="Calibri Light" w:cs="Times New Roman"/>
                <w:b/>
                <w:bCs/>
                <w:color w:val="auto"/>
                <w:sz w:val="18"/>
                <w:szCs w:val="18"/>
              </w:rPr>
              <w:t xml:space="preserve"> must be a 3 if </w:t>
            </w:r>
            <w:r>
              <w:rPr>
                <w:rFonts w:eastAsia="Calibri Light" w:cs="Times New Roman"/>
                <w:b/>
                <w:bCs/>
                <w:color w:val="auto"/>
                <w:sz w:val="18"/>
                <w:szCs w:val="18"/>
              </w:rPr>
              <w:t xml:space="preserve">either </w:t>
            </w:r>
            <w:r w:rsidR="008660C9">
              <w:rPr>
                <w:rFonts w:eastAsia="Calibri Light" w:cs="Times New Roman"/>
                <w:b/>
                <w:bCs/>
                <w:color w:val="auto"/>
                <w:sz w:val="18"/>
                <w:szCs w:val="18"/>
              </w:rPr>
              <w:t xml:space="preserve">is </w:t>
            </w:r>
            <w:r>
              <w:rPr>
                <w:rFonts w:eastAsia="Calibri Light" w:cs="Times New Roman"/>
                <w:b/>
                <w:bCs/>
                <w:color w:val="auto"/>
                <w:sz w:val="18"/>
                <w:szCs w:val="18"/>
              </w:rPr>
              <w:t xml:space="preserve">absent (unless </w:t>
            </w:r>
            <w:r w:rsidR="008660C9">
              <w:rPr>
                <w:rFonts w:eastAsia="Calibri Light" w:cs="Times New Roman"/>
                <w:b/>
                <w:bCs/>
                <w:color w:val="auto"/>
                <w:sz w:val="18"/>
                <w:szCs w:val="18"/>
              </w:rPr>
              <w:t xml:space="preserve">the </w:t>
            </w:r>
            <w:r>
              <w:rPr>
                <w:rFonts w:eastAsia="Calibri Light" w:cs="Times New Roman"/>
                <w:b/>
                <w:bCs/>
                <w:color w:val="auto"/>
                <w:sz w:val="18"/>
                <w:szCs w:val="18"/>
              </w:rPr>
              <w:t>investment is exempt)</w:t>
            </w:r>
            <w:r w:rsidRPr="008833CC">
              <w:rPr>
                <w:rFonts w:eastAsia="Calibri Light" w:cs="Times New Roman"/>
                <w:b/>
                <w:bCs/>
                <w:color w:val="auto"/>
                <w:sz w:val="18"/>
                <w:szCs w:val="18"/>
              </w:rPr>
              <w:t>.</w:t>
            </w:r>
          </w:p>
        </w:tc>
        <w:tc>
          <w:tcPr>
            <w:tcW w:w="3828" w:type="dxa"/>
            <w:vMerge w:val="restart"/>
          </w:tcPr>
          <w:p w14:paraId="529BDB3C" w14:textId="20544462" w:rsidR="005C07E8" w:rsidRDefault="005C07E8" w:rsidP="005C07E8">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Gender equality outcomes are treated as an ‘</w:t>
            </w:r>
            <w:r w:rsidR="008660C9" w:rsidRPr="00D90E36">
              <w:rPr>
                <w:rFonts w:eastAsia="Calibri Light" w:cs="Times New Roman"/>
                <w:color w:val="auto"/>
                <w:sz w:val="18"/>
                <w:szCs w:val="18"/>
              </w:rPr>
              <w:t>add</w:t>
            </w:r>
            <w:r w:rsidR="008660C9">
              <w:rPr>
                <w:rFonts w:eastAsia="Calibri Light" w:cs="Times New Roman"/>
                <w:color w:val="auto"/>
                <w:sz w:val="18"/>
                <w:szCs w:val="18"/>
              </w:rPr>
              <w:t>-</w:t>
            </w:r>
            <w:r w:rsidRPr="00D90E36">
              <w:rPr>
                <w:rFonts w:eastAsia="Calibri Light" w:cs="Times New Roman"/>
                <w:color w:val="auto"/>
                <w:sz w:val="18"/>
                <w:szCs w:val="18"/>
              </w:rPr>
              <w:t>on’ and are not logically integrated into the program logic / theory of change.</w:t>
            </w:r>
          </w:p>
          <w:p w14:paraId="403677A5" w14:textId="77777777" w:rsidR="005C07E8" w:rsidRPr="00D90E36" w:rsidRDefault="005C07E8" w:rsidP="005C07E8">
            <w:pPr>
              <w:keepLines/>
              <w:spacing w:before="0" w:after="120" w:line="240" w:lineRule="auto"/>
              <w:rPr>
                <w:rFonts w:eastAsia="Calibri Light" w:cs="Times New Roman"/>
                <w:color w:val="auto"/>
                <w:sz w:val="18"/>
                <w:szCs w:val="18"/>
              </w:rPr>
            </w:pPr>
            <w:r>
              <w:rPr>
                <w:rFonts w:eastAsia="Calibri Light" w:cs="Times New Roman"/>
                <w:color w:val="auto"/>
                <w:sz w:val="18"/>
                <w:szCs w:val="18"/>
              </w:rPr>
              <w:t>The program logic includes outcomes that employ gender-related terminology, but doesn’t describe an intent to proactively address power imbalances and/or harmful social norms to advance gender equality.</w:t>
            </w:r>
          </w:p>
          <w:p w14:paraId="0498CF89" w14:textId="5BD021B7" w:rsidR="005C07E8" w:rsidRPr="00D90E36" w:rsidRDefault="005C07E8" w:rsidP="005C07E8">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 xml:space="preserve">Governance, </w:t>
            </w:r>
            <w:proofErr w:type="gramStart"/>
            <w:r w:rsidR="002102F5">
              <w:rPr>
                <w:rFonts w:eastAsia="Calibri Light" w:cs="Times New Roman"/>
                <w:color w:val="auto"/>
                <w:sz w:val="18"/>
                <w:szCs w:val="18"/>
              </w:rPr>
              <w:t>MEL</w:t>
            </w:r>
            <w:proofErr w:type="gramEnd"/>
            <w:r w:rsidRPr="00D90E36">
              <w:rPr>
                <w:rFonts w:eastAsia="Calibri Light" w:cs="Times New Roman"/>
                <w:color w:val="auto"/>
                <w:sz w:val="18"/>
                <w:szCs w:val="18"/>
              </w:rPr>
              <w:t xml:space="preserve"> and implementation arrangements refer to gender or women’s participation, but do not set out clear plans or strategies to improve gender equality and women’s empowerment.</w:t>
            </w:r>
          </w:p>
          <w:p w14:paraId="72F95F67" w14:textId="5AAA5992" w:rsidR="005C07E8" w:rsidRPr="00D90E36" w:rsidRDefault="002102F5" w:rsidP="005C07E8">
            <w:pPr>
              <w:keepLines/>
              <w:spacing w:after="120" w:line="240" w:lineRule="auto"/>
              <w:rPr>
                <w:rFonts w:eastAsia="Calibri Light" w:cs="Times New Roman"/>
                <w:color w:val="auto"/>
                <w:sz w:val="18"/>
                <w:szCs w:val="18"/>
              </w:rPr>
            </w:pPr>
            <w:r>
              <w:rPr>
                <w:rFonts w:eastAsia="Calibri Light" w:cs="Times New Roman"/>
                <w:color w:val="auto"/>
                <w:sz w:val="18"/>
                <w:szCs w:val="18"/>
              </w:rPr>
              <w:t>MEL</w:t>
            </w:r>
            <w:r w:rsidR="005C07E8" w:rsidRPr="00D90E36">
              <w:rPr>
                <w:rFonts w:eastAsia="Calibri Light" w:cs="Times New Roman"/>
                <w:color w:val="auto"/>
                <w:sz w:val="18"/>
                <w:szCs w:val="18"/>
              </w:rPr>
              <w:t xml:space="preserve"> arrangements make cursory or vague mentions of gender. </w:t>
            </w:r>
          </w:p>
        </w:tc>
        <w:tc>
          <w:tcPr>
            <w:tcW w:w="3827" w:type="dxa"/>
            <w:vMerge w:val="restart"/>
          </w:tcPr>
          <w:p w14:paraId="3E88A79C" w14:textId="77777777" w:rsidR="005C07E8" w:rsidRPr="00D90E36" w:rsidRDefault="005C07E8" w:rsidP="005C07E8">
            <w:pPr>
              <w:keepLines/>
              <w:spacing w:before="0" w:after="120" w:line="240" w:lineRule="auto"/>
              <w:rPr>
                <w:rFonts w:eastAsia="Calibri Light" w:cs="Times New Roman"/>
                <w:color w:val="auto"/>
                <w:sz w:val="18"/>
                <w:szCs w:val="18"/>
              </w:rPr>
            </w:pPr>
            <w:r w:rsidRPr="00D90E36">
              <w:rPr>
                <w:rFonts w:eastAsia="Calibri Light" w:cs="Times New Roman"/>
                <w:color w:val="auto"/>
                <w:sz w:val="18"/>
                <w:szCs w:val="18"/>
              </w:rPr>
              <w:t>Gender equality outcomes are missing from the design.</w:t>
            </w:r>
          </w:p>
          <w:p w14:paraId="63CDEB33" w14:textId="543B2C0D" w:rsidR="005C07E8" w:rsidRPr="00D90E36" w:rsidRDefault="005C07E8" w:rsidP="005C07E8">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are cursory, if any, references to gender in the investment’s governance, management</w:t>
            </w:r>
            <w:r w:rsidR="002102F5">
              <w:rPr>
                <w:rFonts w:eastAsia="Calibri Light" w:cs="Times New Roman"/>
                <w:color w:val="auto"/>
                <w:sz w:val="18"/>
                <w:szCs w:val="18"/>
              </w:rPr>
              <w:t>,</w:t>
            </w:r>
            <w:r w:rsidRPr="00D90E36">
              <w:rPr>
                <w:rFonts w:eastAsia="Calibri Light" w:cs="Times New Roman"/>
                <w:color w:val="auto"/>
                <w:sz w:val="18"/>
                <w:szCs w:val="18"/>
              </w:rPr>
              <w:t xml:space="preserve"> and </w:t>
            </w:r>
            <w:r w:rsidR="002102F5">
              <w:rPr>
                <w:rFonts w:eastAsia="Calibri Light" w:cs="Times New Roman"/>
                <w:color w:val="auto"/>
                <w:sz w:val="18"/>
                <w:szCs w:val="18"/>
              </w:rPr>
              <w:t>MEL</w:t>
            </w:r>
            <w:r w:rsidRPr="00D90E36">
              <w:rPr>
                <w:rFonts w:eastAsia="Calibri Light" w:cs="Times New Roman"/>
                <w:color w:val="auto"/>
                <w:sz w:val="18"/>
                <w:szCs w:val="18"/>
              </w:rPr>
              <w:t xml:space="preserve"> arrangements.</w:t>
            </w:r>
            <w:r>
              <w:rPr>
                <w:rFonts w:eastAsia="Calibri Light" w:cs="Times New Roman"/>
                <w:color w:val="auto"/>
                <w:sz w:val="18"/>
                <w:szCs w:val="18"/>
              </w:rPr>
              <w:t xml:space="preserve"> There is no mention of sex-disaggregated data.</w:t>
            </w:r>
          </w:p>
        </w:tc>
      </w:tr>
      <w:tr w:rsidR="00533AB7" w:rsidRPr="00D90E36" w14:paraId="6468D4AB" w14:textId="77777777" w:rsidTr="005C07E8">
        <w:trPr>
          <w:trHeight w:val="460"/>
        </w:trPr>
        <w:tc>
          <w:tcPr>
            <w:tcW w:w="2977" w:type="dxa"/>
            <w:vMerge/>
          </w:tcPr>
          <w:p w14:paraId="55492CC8" w14:textId="77777777" w:rsidR="002B5C14" w:rsidRPr="00D90E36" w:rsidRDefault="002B5C14" w:rsidP="00BD2B59">
            <w:pPr>
              <w:keepLines/>
              <w:spacing w:after="120" w:line="240" w:lineRule="auto"/>
              <w:rPr>
                <w:rFonts w:eastAsia="Calibri Light" w:cs="Times New Roman"/>
                <w:color w:val="auto"/>
                <w:sz w:val="18"/>
                <w:szCs w:val="18"/>
              </w:rPr>
            </w:pPr>
          </w:p>
        </w:tc>
        <w:tc>
          <w:tcPr>
            <w:tcW w:w="3969" w:type="dxa"/>
            <w:vMerge/>
          </w:tcPr>
          <w:p w14:paraId="7347D1B7" w14:textId="77777777" w:rsidR="002B5C14" w:rsidRPr="00D90E36" w:rsidRDefault="002B5C14" w:rsidP="00BD2B59">
            <w:pPr>
              <w:keepLines/>
              <w:spacing w:after="120" w:line="240" w:lineRule="auto"/>
              <w:rPr>
                <w:rFonts w:eastAsia="Calibri Light" w:cs="Times New Roman"/>
                <w:color w:val="auto"/>
                <w:sz w:val="18"/>
                <w:szCs w:val="18"/>
              </w:rPr>
            </w:pPr>
          </w:p>
        </w:tc>
        <w:tc>
          <w:tcPr>
            <w:tcW w:w="3828" w:type="dxa"/>
            <w:vMerge/>
          </w:tcPr>
          <w:p w14:paraId="25454A40" w14:textId="77777777" w:rsidR="002B5C14" w:rsidRPr="00D90E36" w:rsidRDefault="002B5C14" w:rsidP="00BD2B59">
            <w:pPr>
              <w:keepLines/>
              <w:spacing w:after="120" w:line="240" w:lineRule="auto"/>
              <w:rPr>
                <w:rFonts w:eastAsia="Calibri Light" w:cs="Times New Roman"/>
                <w:color w:val="auto"/>
                <w:sz w:val="18"/>
                <w:szCs w:val="18"/>
              </w:rPr>
            </w:pPr>
          </w:p>
        </w:tc>
        <w:tc>
          <w:tcPr>
            <w:tcW w:w="3827" w:type="dxa"/>
            <w:vMerge/>
          </w:tcPr>
          <w:p w14:paraId="6E3E3AF6" w14:textId="77777777" w:rsidR="002B5C14" w:rsidRPr="00D90E36" w:rsidRDefault="002B5C14" w:rsidP="00BD2B59">
            <w:pPr>
              <w:keepLines/>
              <w:spacing w:after="120" w:line="240" w:lineRule="auto"/>
              <w:rPr>
                <w:rFonts w:eastAsia="Calibri Light" w:cs="Times New Roman"/>
                <w:color w:val="auto"/>
                <w:sz w:val="18"/>
                <w:szCs w:val="18"/>
              </w:rPr>
            </w:pPr>
          </w:p>
        </w:tc>
      </w:tr>
      <w:tr w:rsidR="00533AB7" w:rsidRPr="00D90E36" w14:paraId="71799620" w14:textId="77777777" w:rsidTr="005C07E8">
        <w:trPr>
          <w:trHeight w:val="460"/>
        </w:trPr>
        <w:tc>
          <w:tcPr>
            <w:tcW w:w="2977" w:type="dxa"/>
            <w:vMerge/>
          </w:tcPr>
          <w:p w14:paraId="1846F1C3" w14:textId="77777777" w:rsidR="002B5C14" w:rsidRPr="00D90E36" w:rsidRDefault="002B5C14" w:rsidP="00BD2B59">
            <w:pPr>
              <w:keepLines/>
              <w:spacing w:after="120" w:line="240" w:lineRule="auto"/>
              <w:rPr>
                <w:rFonts w:eastAsia="Calibri Light" w:cs="Times New Roman"/>
                <w:color w:val="auto"/>
                <w:sz w:val="18"/>
                <w:szCs w:val="18"/>
              </w:rPr>
            </w:pPr>
          </w:p>
        </w:tc>
        <w:tc>
          <w:tcPr>
            <w:tcW w:w="3969" w:type="dxa"/>
            <w:vMerge/>
          </w:tcPr>
          <w:p w14:paraId="74B580A8" w14:textId="77777777" w:rsidR="002B5C14" w:rsidRPr="00D90E36" w:rsidRDefault="002B5C14" w:rsidP="00BD2B59">
            <w:pPr>
              <w:keepLines/>
              <w:spacing w:after="120" w:line="240" w:lineRule="auto"/>
              <w:rPr>
                <w:rFonts w:eastAsia="Calibri Light" w:cs="Times New Roman"/>
                <w:color w:val="auto"/>
                <w:sz w:val="18"/>
                <w:szCs w:val="18"/>
              </w:rPr>
            </w:pPr>
          </w:p>
        </w:tc>
        <w:tc>
          <w:tcPr>
            <w:tcW w:w="3828" w:type="dxa"/>
            <w:vMerge/>
          </w:tcPr>
          <w:p w14:paraId="72159D6C" w14:textId="77777777" w:rsidR="002B5C14" w:rsidRPr="00D90E36" w:rsidRDefault="002B5C14" w:rsidP="00BD2B59">
            <w:pPr>
              <w:keepLines/>
              <w:spacing w:after="120" w:line="240" w:lineRule="auto"/>
              <w:rPr>
                <w:rFonts w:eastAsia="Calibri Light" w:cs="Times New Roman"/>
                <w:color w:val="auto"/>
                <w:sz w:val="18"/>
                <w:szCs w:val="18"/>
              </w:rPr>
            </w:pPr>
          </w:p>
        </w:tc>
        <w:tc>
          <w:tcPr>
            <w:tcW w:w="3827" w:type="dxa"/>
            <w:vMerge/>
          </w:tcPr>
          <w:p w14:paraId="424523C2" w14:textId="77777777" w:rsidR="002B5C14" w:rsidRPr="00D90E36" w:rsidRDefault="002B5C14" w:rsidP="00BD2B59">
            <w:pPr>
              <w:keepLines/>
              <w:spacing w:after="120" w:line="240" w:lineRule="auto"/>
              <w:rPr>
                <w:rFonts w:eastAsia="Calibri Light" w:cs="Times New Roman"/>
                <w:color w:val="auto"/>
                <w:sz w:val="18"/>
                <w:szCs w:val="18"/>
              </w:rPr>
            </w:pPr>
          </w:p>
        </w:tc>
      </w:tr>
      <w:tr w:rsidR="00533AB7" w:rsidRPr="00D90E36" w14:paraId="69785EB5" w14:textId="77777777" w:rsidTr="005C07E8">
        <w:trPr>
          <w:trHeight w:val="460"/>
        </w:trPr>
        <w:tc>
          <w:tcPr>
            <w:tcW w:w="2977" w:type="dxa"/>
            <w:vMerge/>
          </w:tcPr>
          <w:p w14:paraId="59EEC7DD" w14:textId="77777777" w:rsidR="002B5C14" w:rsidRPr="00D90E36" w:rsidRDefault="002B5C14" w:rsidP="00BD2B59">
            <w:pPr>
              <w:keepLines/>
              <w:spacing w:after="120" w:line="240" w:lineRule="auto"/>
              <w:rPr>
                <w:rFonts w:eastAsia="Calibri Light" w:cs="Times New Roman"/>
                <w:color w:val="auto"/>
                <w:sz w:val="18"/>
                <w:szCs w:val="18"/>
              </w:rPr>
            </w:pPr>
          </w:p>
        </w:tc>
        <w:tc>
          <w:tcPr>
            <w:tcW w:w="3969" w:type="dxa"/>
            <w:vMerge/>
          </w:tcPr>
          <w:p w14:paraId="3876503D" w14:textId="77777777" w:rsidR="002B5C14" w:rsidRPr="00D90E36" w:rsidRDefault="002B5C14" w:rsidP="00BD2B59">
            <w:pPr>
              <w:keepLines/>
              <w:spacing w:after="120" w:line="240" w:lineRule="auto"/>
              <w:rPr>
                <w:rFonts w:eastAsia="Calibri Light" w:cs="Times New Roman"/>
                <w:color w:val="auto"/>
                <w:sz w:val="18"/>
                <w:szCs w:val="18"/>
              </w:rPr>
            </w:pPr>
          </w:p>
        </w:tc>
        <w:tc>
          <w:tcPr>
            <w:tcW w:w="3828" w:type="dxa"/>
            <w:vMerge/>
          </w:tcPr>
          <w:p w14:paraId="2DF0FDAB" w14:textId="77777777" w:rsidR="002B5C14" w:rsidRPr="00D90E36" w:rsidRDefault="002B5C14" w:rsidP="00BD2B59">
            <w:pPr>
              <w:keepLines/>
              <w:spacing w:after="120" w:line="240" w:lineRule="auto"/>
              <w:rPr>
                <w:rFonts w:eastAsia="Calibri Light" w:cs="Times New Roman"/>
                <w:color w:val="auto"/>
                <w:sz w:val="18"/>
                <w:szCs w:val="18"/>
              </w:rPr>
            </w:pPr>
          </w:p>
        </w:tc>
        <w:tc>
          <w:tcPr>
            <w:tcW w:w="3827" w:type="dxa"/>
            <w:vMerge/>
          </w:tcPr>
          <w:p w14:paraId="114043DE" w14:textId="77777777" w:rsidR="002B5C14" w:rsidRPr="00D90E36" w:rsidRDefault="002B5C14" w:rsidP="00BD2B59">
            <w:pPr>
              <w:keepLines/>
              <w:spacing w:after="120" w:line="240" w:lineRule="auto"/>
              <w:rPr>
                <w:rFonts w:eastAsia="Calibri Light" w:cs="Times New Roman"/>
                <w:color w:val="auto"/>
                <w:sz w:val="18"/>
                <w:szCs w:val="18"/>
              </w:rPr>
            </w:pPr>
          </w:p>
        </w:tc>
      </w:tr>
    </w:tbl>
    <w:p w14:paraId="4625B30C" w14:textId="319D7DFD" w:rsidR="00FA36ED" w:rsidRPr="00E07BFD" w:rsidRDefault="00A13CEA" w:rsidP="00E07BFD">
      <w:pPr>
        <w:pStyle w:val="Heading2"/>
      </w:pPr>
      <w:r w:rsidRPr="00E07BFD">
        <w:rPr>
          <w:caps w:val="0"/>
        </w:rPr>
        <w:br w:type="page"/>
      </w:r>
      <w:r w:rsidRPr="00E07BFD">
        <w:rPr>
          <w:caps w:val="0"/>
        </w:rPr>
        <w:lastRenderedPageBreak/>
        <w:t>7. Cross-Cutting Issues (Including Disability Inclusion, Social Inclusion, Climate Change, Innovation, Private Sector)</w:t>
      </w:r>
    </w:p>
    <w:p w14:paraId="2F52A508" w14:textId="5567D0D6" w:rsidR="00FA36ED" w:rsidRPr="00D90E36" w:rsidRDefault="00FA36ED" w:rsidP="00FA36ED">
      <w:pPr>
        <w:spacing w:after="120" w:line="240" w:lineRule="auto"/>
        <w:rPr>
          <w:rStyle w:val="SubtleEmphasis"/>
        </w:rPr>
      </w:pPr>
      <w:r w:rsidRPr="00D90E36">
        <w:rPr>
          <w:rStyle w:val="SubtleEmphasis"/>
        </w:rPr>
        <w:t xml:space="preserve">Does the investment adequately address </w:t>
      </w:r>
      <w:r>
        <w:rPr>
          <w:rStyle w:val="SubtleEmphasis"/>
        </w:rPr>
        <w:t>disability inclusive development, broader social inclusion, climate change, innovation</w:t>
      </w:r>
      <w:r w:rsidR="008A4329">
        <w:rPr>
          <w:rStyle w:val="SubtleEmphasis"/>
        </w:rPr>
        <w:t>,</w:t>
      </w:r>
      <w:r>
        <w:rPr>
          <w:rStyle w:val="SubtleEmphasis"/>
        </w:rPr>
        <w:t xml:space="preserve"> and private sector engagement</w:t>
      </w:r>
      <w:r w:rsidRPr="00D90E36">
        <w:rPr>
          <w:rStyle w:val="SubtleEmphasis"/>
        </w:rPr>
        <w:t>?</w:t>
      </w:r>
    </w:p>
    <w:p w14:paraId="1091FD4D" w14:textId="77777777" w:rsidR="00FA36ED" w:rsidRPr="00D90E36" w:rsidRDefault="00FA36ED" w:rsidP="00FA36ED">
      <w:pPr>
        <w:rPr>
          <w:b/>
          <w:bCs/>
        </w:rPr>
      </w:pPr>
      <w:r w:rsidRPr="00D90E36">
        <w:rPr>
          <w:b/>
          <w:bCs/>
        </w:rPr>
        <w:t>Focus areas:</w:t>
      </w:r>
    </w:p>
    <w:p w14:paraId="4BAF1AD6" w14:textId="77777777" w:rsidR="00FA36ED" w:rsidRDefault="00FA36ED" w:rsidP="00FA36ED">
      <w:pPr>
        <w:pStyle w:val="ListParagraph"/>
        <w:numPr>
          <w:ilvl w:val="0"/>
          <w:numId w:val="53"/>
        </w:numPr>
      </w:pPr>
      <w:r>
        <w:t>Were people with disabilities and/or or organisations of people with disabilities (OPDs) consulted in the design process and benefit from the investment on an equal basis with others?</w:t>
      </w:r>
    </w:p>
    <w:p w14:paraId="17A54F7F" w14:textId="77777777" w:rsidR="00FA36ED" w:rsidRDefault="00FA36ED" w:rsidP="00FA36ED">
      <w:pPr>
        <w:pStyle w:val="ListParagraph"/>
        <w:numPr>
          <w:ilvl w:val="0"/>
          <w:numId w:val="53"/>
        </w:numPr>
      </w:pPr>
      <w:r>
        <w:t>Does the investment adequately integrate climate change and disaster risk reduction?</w:t>
      </w:r>
    </w:p>
    <w:p w14:paraId="3BE7871D" w14:textId="77777777" w:rsidR="00FA36ED" w:rsidRDefault="00FA36ED" w:rsidP="00FA36ED">
      <w:pPr>
        <w:pStyle w:val="ListParagraph"/>
        <w:numPr>
          <w:ilvl w:val="0"/>
          <w:numId w:val="53"/>
        </w:numPr>
      </w:pPr>
      <w:r>
        <w:t>Consideration of innovation and private sector engagement</w:t>
      </w:r>
    </w:p>
    <w:p w14:paraId="3C37446B" w14:textId="77777777" w:rsidR="00FA36ED" w:rsidRPr="00D90E36" w:rsidRDefault="00FA36ED" w:rsidP="00FA36ED"/>
    <w:tbl>
      <w:tblPr>
        <w:tblStyle w:val="TableGrid"/>
        <w:tblW w:w="14601" w:type="dxa"/>
        <w:tblInd w:w="-147" w:type="dxa"/>
        <w:tblLook w:val="04A0" w:firstRow="1" w:lastRow="0" w:firstColumn="1" w:lastColumn="0" w:noHBand="0" w:noVBand="1"/>
      </w:tblPr>
      <w:tblGrid>
        <w:gridCol w:w="4678"/>
        <w:gridCol w:w="4111"/>
        <w:gridCol w:w="3119"/>
        <w:gridCol w:w="2693"/>
      </w:tblGrid>
      <w:tr w:rsidR="00FA36ED" w:rsidRPr="00D90E36" w14:paraId="5A5ED829" w14:textId="77777777" w:rsidTr="008A4329">
        <w:trPr>
          <w:tblHeader/>
        </w:trPr>
        <w:tc>
          <w:tcPr>
            <w:tcW w:w="4678" w:type="dxa"/>
            <w:tcBorders>
              <w:left w:val="single" w:sz="4" w:space="0" w:color="auto"/>
            </w:tcBorders>
            <w:shd w:val="clear" w:color="auto" w:fill="D4EAF3" w:themeFill="accent1" w:themeFillTint="33"/>
          </w:tcPr>
          <w:p w14:paraId="2F489164" w14:textId="77777777" w:rsidR="00FA36ED" w:rsidRPr="00D90E36" w:rsidRDefault="00FA36ED">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Good, very good (rating 5-6) </w:t>
            </w:r>
          </w:p>
        </w:tc>
        <w:tc>
          <w:tcPr>
            <w:tcW w:w="4111" w:type="dxa"/>
            <w:shd w:val="clear" w:color="auto" w:fill="D4EAF3" w:themeFill="accent1" w:themeFillTint="33"/>
          </w:tcPr>
          <w:p w14:paraId="0DFE7EF9" w14:textId="77777777" w:rsidR="00FA36ED" w:rsidRPr="00D90E36" w:rsidRDefault="00FA36ED">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119" w:type="dxa"/>
            <w:shd w:val="clear" w:color="auto" w:fill="D4EAF3" w:themeFill="accent1" w:themeFillTint="33"/>
          </w:tcPr>
          <w:p w14:paraId="7759E188" w14:textId="77777777" w:rsidR="00FA36ED" w:rsidRPr="00D90E36" w:rsidRDefault="00FA36ED">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2693" w:type="dxa"/>
            <w:shd w:val="clear" w:color="auto" w:fill="D4EAF3" w:themeFill="accent1" w:themeFillTint="33"/>
          </w:tcPr>
          <w:p w14:paraId="4E2E1EC2" w14:textId="77777777" w:rsidR="00FA36ED" w:rsidRPr="00D90E36" w:rsidRDefault="00FA36ED">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C60AED" w:rsidRPr="00D90E36" w14:paraId="440E7CED" w14:textId="77777777" w:rsidTr="008A4329">
        <w:trPr>
          <w:trHeight w:val="818"/>
        </w:trPr>
        <w:tc>
          <w:tcPr>
            <w:tcW w:w="4678" w:type="dxa"/>
            <w:tcBorders>
              <w:left w:val="single" w:sz="4" w:space="0" w:color="auto"/>
            </w:tcBorders>
          </w:tcPr>
          <w:p w14:paraId="536742C0" w14:textId="68CEFF00" w:rsidR="00C60AED" w:rsidRPr="00D90E36" w:rsidRDefault="00C60AED" w:rsidP="00C60AED">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program logic and implementation arrangements reflect detailed analysis of opportunities and issues related to the cross-cutting policy priorities of </w:t>
            </w:r>
            <w:r w:rsidR="00744818" w:rsidRPr="00D90E36">
              <w:rPr>
                <w:rFonts w:eastAsia="Calibri Light" w:cs="Times New Roman"/>
                <w:color w:val="auto"/>
                <w:sz w:val="18"/>
                <w:szCs w:val="18"/>
              </w:rPr>
              <w:t>disability</w:t>
            </w:r>
            <w:r w:rsidR="00744818">
              <w:rPr>
                <w:rFonts w:eastAsia="Calibri Light" w:cs="Times New Roman"/>
                <w:color w:val="auto"/>
                <w:sz w:val="18"/>
                <w:szCs w:val="18"/>
              </w:rPr>
              <w:t>-</w:t>
            </w:r>
            <w:r w:rsidRPr="00D90E36">
              <w:rPr>
                <w:rFonts w:eastAsia="Calibri Light" w:cs="Times New Roman"/>
                <w:color w:val="auto"/>
                <w:sz w:val="18"/>
                <w:szCs w:val="18"/>
              </w:rPr>
              <w:t>inclusive development</w:t>
            </w:r>
            <w:r>
              <w:rPr>
                <w:rFonts w:eastAsia="Calibri Light" w:cs="Times New Roman"/>
                <w:color w:val="auto"/>
                <w:sz w:val="18"/>
                <w:szCs w:val="18"/>
              </w:rPr>
              <w:t xml:space="preserve">, broader social inclusion, </w:t>
            </w:r>
            <w:r w:rsidRPr="00D90E36">
              <w:rPr>
                <w:rFonts w:eastAsia="Calibri Light" w:cs="Times New Roman"/>
                <w:color w:val="auto"/>
                <w:sz w:val="18"/>
                <w:szCs w:val="18"/>
              </w:rPr>
              <w:t>climate change</w:t>
            </w:r>
            <w:r w:rsidR="001E3599">
              <w:rPr>
                <w:rFonts w:eastAsia="Calibri Light" w:cs="Times New Roman"/>
                <w:color w:val="auto"/>
                <w:sz w:val="18"/>
                <w:szCs w:val="18"/>
              </w:rPr>
              <w:t xml:space="preserve"> and disaster resilience</w:t>
            </w:r>
            <w:r>
              <w:rPr>
                <w:rFonts w:eastAsia="Calibri Light" w:cs="Times New Roman"/>
                <w:color w:val="auto"/>
                <w:sz w:val="18"/>
                <w:szCs w:val="18"/>
              </w:rPr>
              <w:t xml:space="preserve">, innovation and </w:t>
            </w:r>
            <w:r w:rsidR="006D7301">
              <w:rPr>
                <w:rFonts w:eastAsia="Calibri Light" w:cs="Times New Roman"/>
                <w:color w:val="auto"/>
                <w:sz w:val="18"/>
                <w:szCs w:val="18"/>
              </w:rPr>
              <w:t xml:space="preserve">engaging </w:t>
            </w:r>
            <w:r>
              <w:rPr>
                <w:rFonts w:eastAsia="Calibri Light" w:cs="Times New Roman"/>
                <w:color w:val="auto"/>
                <w:sz w:val="18"/>
                <w:szCs w:val="18"/>
              </w:rPr>
              <w:t>the private sector</w:t>
            </w:r>
            <w:r w:rsidRPr="00D90E36">
              <w:rPr>
                <w:rFonts w:eastAsia="Calibri Light" w:cs="Times New Roman"/>
                <w:color w:val="auto"/>
                <w:sz w:val="18"/>
                <w:szCs w:val="18"/>
              </w:rPr>
              <w:t>.</w:t>
            </w:r>
          </w:p>
          <w:p w14:paraId="3B789432" w14:textId="084EF5F8" w:rsidR="00C60AED" w:rsidRPr="00D90E36" w:rsidRDefault="00F61499"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t>T</w:t>
            </w:r>
            <w:r w:rsidRPr="00D90E36">
              <w:rPr>
                <w:rFonts w:eastAsia="Calibri Light" w:cs="Times New Roman"/>
                <w:color w:val="auto"/>
                <w:sz w:val="18"/>
                <w:szCs w:val="18"/>
              </w:rPr>
              <w:t xml:space="preserve">he </w:t>
            </w:r>
            <w:r w:rsidR="00C60AED" w:rsidRPr="00D90E36">
              <w:rPr>
                <w:rFonts w:eastAsia="Calibri Light" w:cs="Times New Roman"/>
                <w:color w:val="auto"/>
                <w:sz w:val="18"/>
                <w:szCs w:val="18"/>
              </w:rPr>
              <w:t>design document articulate</w:t>
            </w:r>
            <w:r>
              <w:rPr>
                <w:rFonts w:eastAsia="Calibri Light" w:cs="Times New Roman"/>
                <w:color w:val="auto"/>
                <w:sz w:val="18"/>
                <w:szCs w:val="18"/>
              </w:rPr>
              <w:t xml:space="preserve">s relevant development </w:t>
            </w:r>
            <w:r w:rsidR="0044591B">
              <w:rPr>
                <w:rFonts w:eastAsia="Calibri Light" w:cs="Times New Roman"/>
                <w:color w:val="auto"/>
                <w:sz w:val="18"/>
                <w:szCs w:val="18"/>
              </w:rPr>
              <w:t>context and problem definition related to climate and disaster impacts,</w:t>
            </w:r>
            <w:r w:rsidR="00C60AED" w:rsidRPr="00D90E36">
              <w:rPr>
                <w:rFonts w:eastAsia="Calibri Light" w:cs="Times New Roman"/>
                <w:color w:val="auto"/>
                <w:sz w:val="18"/>
                <w:szCs w:val="18"/>
              </w:rPr>
              <w:t xml:space="preserve"> based on analysis and evidence</w:t>
            </w:r>
            <w:r w:rsidR="006D7301">
              <w:rPr>
                <w:rFonts w:eastAsia="Calibri Light" w:cs="Times New Roman"/>
                <w:color w:val="auto"/>
                <w:sz w:val="18"/>
                <w:szCs w:val="18"/>
              </w:rPr>
              <w:t>,</w:t>
            </w:r>
            <w:r w:rsidR="00C60AED" w:rsidRPr="00D90E36">
              <w:rPr>
                <w:rFonts w:eastAsia="Calibri Light" w:cs="Times New Roman"/>
                <w:color w:val="auto"/>
                <w:sz w:val="18"/>
                <w:szCs w:val="18"/>
              </w:rPr>
              <w:t xml:space="preserve"> and </w:t>
            </w:r>
            <w:r w:rsidR="006D7301" w:rsidRPr="00D90E36">
              <w:rPr>
                <w:rFonts w:eastAsia="Calibri Light" w:cs="Times New Roman"/>
                <w:color w:val="auto"/>
                <w:sz w:val="18"/>
                <w:szCs w:val="18"/>
              </w:rPr>
              <w:t>identif</w:t>
            </w:r>
            <w:r w:rsidR="006D7301">
              <w:rPr>
                <w:rFonts w:eastAsia="Calibri Light" w:cs="Times New Roman"/>
                <w:color w:val="auto"/>
                <w:sz w:val="18"/>
                <w:szCs w:val="18"/>
              </w:rPr>
              <w:t>ies</w:t>
            </w:r>
            <w:r w:rsidR="006D7301" w:rsidRPr="00D90E36">
              <w:rPr>
                <w:rFonts w:eastAsia="Calibri Light" w:cs="Times New Roman"/>
                <w:color w:val="auto"/>
                <w:sz w:val="18"/>
                <w:szCs w:val="18"/>
              </w:rPr>
              <w:t xml:space="preserve"> </w:t>
            </w:r>
            <w:r w:rsidR="00C60AED" w:rsidRPr="00D90E36">
              <w:rPr>
                <w:rFonts w:eastAsia="Calibri Light" w:cs="Times New Roman"/>
                <w:color w:val="auto"/>
                <w:sz w:val="18"/>
                <w:szCs w:val="18"/>
              </w:rPr>
              <w:t xml:space="preserve">ways to address these issues throughout implementation, as appropriate for the context and nature of the investment. </w:t>
            </w:r>
          </w:p>
          <w:p w14:paraId="1BDA10D7" w14:textId="649E7DD7" w:rsidR="00C60AED" w:rsidRDefault="000E72DE" w:rsidP="00C60AED">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Cross</w:t>
            </w:r>
            <w:r>
              <w:rPr>
                <w:rFonts w:eastAsia="Calibri Light" w:cs="Times New Roman"/>
                <w:color w:val="auto"/>
                <w:sz w:val="18"/>
                <w:szCs w:val="18"/>
              </w:rPr>
              <w:t>-</w:t>
            </w:r>
            <w:r w:rsidR="00C60AED" w:rsidRPr="00D90E36">
              <w:rPr>
                <w:rFonts w:eastAsia="Calibri Light" w:cs="Times New Roman"/>
                <w:color w:val="auto"/>
                <w:sz w:val="18"/>
                <w:szCs w:val="18"/>
              </w:rPr>
              <w:t xml:space="preserve">cutting issues are integrated into  </w:t>
            </w:r>
            <w:r w:rsidR="00C60AED">
              <w:rPr>
                <w:rFonts w:eastAsia="Calibri Light" w:cs="Times New Roman"/>
                <w:color w:val="auto"/>
                <w:sz w:val="18"/>
                <w:szCs w:val="18"/>
              </w:rPr>
              <w:t>ME</w:t>
            </w:r>
            <w:r w:rsidR="00281CAF">
              <w:rPr>
                <w:rFonts w:eastAsia="Calibri Light" w:cs="Times New Roman"/>
                <w:color w:val="auto"/>
                <w:sz w:val="18"/>
                <w:szCs w:val="18"/>
              </w:rPr>
              <w:t>L</w:t>
            </w:r>
            <w:r w:rsidR="00C60AED" w:rsidRPr="00D90E36">
              <w:rPr>
                <w:rFonts w:eastAsia="Calibri Light" w:cs="Times New Roman"/>
                <w:color w:val="auto"/>
                <w:sz w:val="18"/>
                <w:szCs w:val="18"/>
              </w:rPr>
              <w:t xml:space="preserve">, </w:t>
            </w:r>
            <w:r w:rsidR="00C60AED">
              <w:rPr>
                <w:rFonts w:eastAsia="Calibri Light" w:cs="Times New Roman"/>
                <w:color w:val="auto"/>
                <w:sz w:val="18"/>
                <w:szCs w:val="18"/>
              </w:rPr>
              <w:t>including disability-disaggregated data</w:t>
            </w:r>
            <w:r w:rsidR="002F6C53">
              <w:rPr>
                <w:rFonts w:eastAsia="Calibri Light" w:cs="Times New Roman"/>
                <w:color w:val="auto"/>
                <w:sz w:val="18"/>
                <w:szCs w:val="18"/>
              </w:rPr>
              <w:t xml:space="preserve"> and relevant climate-related indicators, </w:t>
            </w:r>
            <w:r w:rsidR="00C60AED" w:rsidRPr="00D90E36">
              <w:rPr>
                <w:rFonts w:eastAsia="Calibri Light" w:cs="Times New Roman"/>
                <w:color w:val="auto"/>
                <w:sz w:val="18"/>
                <w:szCs w:val="18"/>
              </w:rPr>
              <w:t>and the implementation plan includes specific plans for further analysis and independent reviews of progress and opportunities.</w:t>
            </w:r>
          </w:p>
          <w:p w14:paraId="17C4D74F" w14:textId="2F4E8057" w:rsidR="00C60AED" w:rsidRDefault="00C60AED"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t>The design integrates people with disabilities and OPDs into the program logic, ME</w:t>
            </w:r>
            <w:r w:rsidR="00457BEE">
              <w:rPr>
                <w:rFonts w:eastAsia="Calibri Light" w:cs="Times New Roman"/>
                <w:color w:val="auto"/>
                <w:sz w:val="18"/>
                <w:szCs w:val="18"/>
              </w:rPr>
              <w:t>L</w:t>
            </w:r>
            <w:r>
              <w:rPr>
                <w:rFonts w:eastAsia="Calibri Light" w:cs="Times New Roman"/>
                <w:color w:val="auto"/>
                <w:sz w:val="18"/>
                <w:szCs w:val="18"/>
              </w:rPr>
              <w:t xml:space="preserve">, and governance structures. </w:t>
            </w:r>
          </w:p>
          <w:p w14:paraId="60352DE6" w14:textId="77777777" w:rsidR="00C60AED" w:rsidRDefault="00C60AED"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lastRenderedPageBreak/>
              <w:t>The program displays a commitment to driving reform (policy reform, new forms of financing, technological or data innovation and/or innovative partnerships)</w:t>
            </w:r>
          </w:p>
          <w:p w14:paraId="3CCE88B2" w14:textId="11AE7290" w:rsidR="00A57A39" w:rsidRPr="00D90E36" w:rsidRDefault="00A57A39"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Note: a climate change outcome (either EOPO or IO) </w:t>
            </w:r>
            <w:r w:rsidR="00B41A10">
              <w:rPr>
                <w:rFonts w:eastAsia="Calibri Light" w:cs="Times New Roman"/>
                <w:color w:val="auto"/>
                <w:sz w:val="18"/>
                <w:szCs w:val="18"/>
              </w:rPr>
              <w:t>is</w:t>
            </w:r>
            <w:r>
              <w:rPr>
                <w:rFonts w:eastAsia="Calibri Light" w:cs="Times New Roman"/>
                <w:color w:val="auto"/>
                <w:sz w:val="18"/>
                <w:szCs w:val="18"/>
              </w:rPr>
              <w:t xml:space="preserve"> strongly encouraged to support climate resilience. </w:t>
            </w:r>
            <w:r w:rsidRPr="00B33A44">
              <w:rPr>
                <w:rFonts w:eastAsia="Calibri Light" w:cs="Times New Roman"/>
                <w:color w:val="auto"/>
                <w:sz w:val="18"/>
                <w:szCs w:val="18"/>
              </w:rPr>
              <w:t>Investments that do not have a climate change outcome should provide an explanation.</w:t>
            </w:r>
          </w:p>
        </w:tc>
        <w:tc>
          <w:tcPr>
            <w:tcW w:w="4111" w:type="dxa"/>
          </w:tcPr>
          <w:p w14:paraId="5BAC389C" w14:textId="77777777" w:rsidR="00C60AED" w:rsidRPr="00D90E36" w:rsidRDefault="00C60AED" w:rsidP="00C60AED">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lastRenderedPageBreak/>
              <w:t>Key opportunities and barriers are included in the design’s program logic and implementation arrangements.</w:t>
            </w:r>
          </w:p>
          <w:p w14:paraId="79048CD0" w14:textId="0AC37AE9" w:rsidR="00C60AED" w:rsidRPr="00D90E36" w:rsidRDefault="00C60AED" w:rsidP="00C60AED">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 xml:space="preserve">The investment design acknowledges the challenges of </w:t>
            </w:r>
            <w:r w:rsidR="000E72DE" w:rsidRPr="00D90E36">
              <w:rPr>
                <w:rFonts w:eastAsia="Calibri Light" w:cs="Times New Roman"/>
                <w:color w:val="auto"/>
                <w:sz w:val="18"/>
                <w:szCs w:val="18"/>
              </w:rPr>
              <w:t>disability</w:t>
            </w:r>
            <w:r w:rsidR="000E72DE">
              <w:rPr>
                <w:rFonts w:eastAsia="Calibri Light" w:cs="Times New Roman"/>
                <w:color w:val="auto"/>
                <w:sz w:val="18"/>
                <w:szCs w:val="18"/>
              </w:rPr>
              <w:t>-</w:t>
            </w:r>
            <w:r w:rsidRPr="00D90E36">
              <w:rPr>
                <w:rFonts w:eastAsia="Calibri Light" w:cs="Times New Roman"/>
                <w:color w:val="auto"/>
                <w:sz w:val="18"/>
                <w:szCs w:val="18"/>
              </w:rPr>
              <w:t>inclusive development</w:t>
            </w:r>
            <w:r>
              <w:rPr>
                <w:rFonts w:eastAsia="Calibri Light" w:cs="Times New Roman"/>
                <w:color w:val="auto"/>
                <w:sz w:val="18"/>
                <w:szCs w:val="18"/>
              </w:rPr>
              <w:t xml:space="preserve">, </w:t>
            </w:r>
            <w:r w:rsidRPr="00D90E36">
              <w:rPr>
                <w:rFonts w:eastAsia="Calibri Light" w:cs="Times New Roman"/>
                <w:color w:val="auto"/>
                <w:sz w:val="18"/>
                <w:szCs w:val="18"/>
              </w:rPr>
              <w:t xml:space="preserve">climate change, </w:t>
            </w:r>
            <w:r>
              <w:rPr>
                <w:rFonts w:eastAsia="Calibri Light" w:cs="Times New Roman"/>
                <w:color w:val="auto"/>
                <w:sz w:val="18"/>
                <w:szCs w:val="18"/>
              </w:rPr>
              <w:t>innovation</w:t>
            </w:r>
            <w:r w:rsidR="008A4329">
              <w:rPr>
                <w:rFonts w:eastAsia="Calibri Light" w:cs="Times New Roman"/>
                <w:color w:val="auto"/>
                <w:sz w:val="18"/>
                <w:szCs w:val="18"/>
              </w:rPr>
              <w:t>,</w:t>
            </w:r>
            <w:r>
              <w:rPr>
                <w:rFonts w:eastAsia="Calibri Light" w:cs="Times New Roman"/>
                <w:color w:val="auto"/>
                <w:sz w:val="18"/>
                <w:szCs w:val="18"/>
              </w:rPr>
              <w:t xml:space="preserve"> and private sector </w:t>
            </w:r>
            <w:r w:rsidR="000E72DE">
              <w:rPr>
                <w:rFonts w:eastAsia="Calibri Light" w:cs="Times New Roman"/>
                <w:color w:val="auto"/>
                <w:sz w:val="18"/>
                <w:szCs w:val="18"/>
              </w:rPr>
              <w:t xml:space="preserve">engagement </w:t>
            </w:r>
            <w:r w:rsidRPr="00D90E36">
              <w:rPr>
                <w:rFonts w:eastAsia="Calibri Light" w:cs="Times New Roman"/>
                <w:color w:val="auto"/>
                <w:sz w:val="18"/>
                <w:szCs w:val="18"/>
              </w:rPr>
              <w:t>as relevant to the context and nature of the investment.</w:t>
            </w:r>
          </w:p>
          <w:p w14:paraId="3E9B0717" w14:textId="63938702" w:rsidR="00C60AED" w:rsidRDefault="00C60AED" w:rsidP="00C60AED">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 M</w:t>
            </w:r>
            <w:r>
              <w:rPr>
                <w:rFonts w:eastAsia="Calibri Light" w:cs="Times New Roman"/>
                <w:color w:val="auto"/>
                <w:sz w:val="18"/>
                <w:szCs w:val="18"/>
              </w:rPr>
              <w:t>E</w:t>
            </w:r>
            <w:r w:rsidR="00E82990">
              <w:rPr>
                <w:rFonts w:eastAsia="Calibri Light" w:cs="Times New Roman"/>
                <w:color w:val="auto"/>
                <w:sz w:val="18"/>
                <w:szCs w:val="18"/>
              </w:rPr>
              <w:t>L</w:t>
            </w:r>
            <w:r w:rsidRPr="00D90E36">
              <w:rPr>
                <w:rFonts w:eastAsia="Calibri Light" w:cs="Times New Roman"/>
                <w:color w:val="auto"/>
                <w:sz w:val="18"/>
                <w:szCs w:val="18"/>
              </w:rPr>
              <w:t xml:space="preserve"> and implementation plan</w:t>
            </w:r>
            <w:r w:rsidR="000E72DE">
              <w:rPr>
                <w:rFonts w:eastAsia="Calibri Light" w:cs="Times New Roman"/>
                <w:color w:val="auto"/>
                <w:sz w:val="18"/>
                <w:szCs w:val="18"/>
              </w:rPr>
              <w:t>s</w:t>
            </w:r>
            <w:r w:rsidRPr="00D90E36">
              <w:rPr>
                <w:rFonts w:eastAsia="Calibri Light" w:cs="Times New Roman"/>
                <w:color w:val="auto"/>
                <w:sz w:val="18"/>
                <w:szCs w:val="18"/>
              </w:rPr>
              <w:t xml:space="preserve"> include plans for further analysis of cross-cutting issues, and independent review of progress and opportunities.</w:t>
            </w:r>
          </w:p>
          <w:p w14:paraId="5C6BDD30" w14:textId="77777777" w:rsidR="00C60AED" w:rsidRDefault="00C60AED"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t>The design integrates people with disabilities and/or OPDs into either the program logic, MEF, and/or governance structures</w:t>
            </w:r>
          </w:p>
          <w:p w14:paraId="1974110A" w14:textId="18D2BA33" w:rsidR="00B41A10" w:rsidRDefault="00C60AED"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t>The program encourages innovation through either policy reform, data, new forms of financing, technological transfer and/or innovative partnerships)</w:t>
            </w:r>
          </w:p>
          <w:p w14:paraId="27E78F8A" w14:textId="3A15FCC4" w:rsidR="00B41A10" w:rsidRPr="00D90E36" w:rsidRDefault="00B41A10"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lastRenderedPageBreak/>
              <w:t xml:space="preserve">Note: a climate change outcome (either EOPO or IO) is strongly encouraged to support climate resilience and contribute to the climate goal. </w:t>
            </w:r>
            <w:r w:rsidRPr="00B33A44">
              <w:rPr>
                <w:rFonts w:eastAsia="Calibri Light" w:cs="Times New Roman"/>
                <w:color w:val="auto"/>
                <w:sz w:val="18"/>
                <w:szCs w:val="18"/>
              </w:rPr>
              <w:t>Investments that do not have a climate change outcome should provide an explanation.</w:t>
            </w:r>
          </w:p>
        </w:tc>
        <w:tc>
          <w:tcPr>
            <w:tcW w:w="3119" w:type="dxa"/>
          </w:tcPr>
          <w:p w14:paraId="22768FCD" w14:textId="673E0533" w:rsidR="00C60AED" w:rsidRPr="00D90E36" w:rsidRDefault="00C60AED" w:rsidP="00C60AED">
            <w:pPr>
              <w:keepLines/>
              <w:spacing w:after="120" w:line="240" w:lineRule="auto"/>
              <w:rPr>
                <w:rFonts w:eastAsia="Calibri Light" w:cs="Times New Roman"/>
                <w:color w:val="auto"/>
                <w:sz w:val="18"/>
                <w:szCs w:val="18"/>
              </w:rPr>
            </w:pPr>
            <w:r w:rsidRPr="00D90E36">
              <w:rPr>
                <w:rFonts w:eastAsia="Calibri Light" w:cs="Times New Roman"/>
                <w:b/>
                <w:i/>
                <w:iCs/>
                <w:color w:val="auto"/>
                <w:sz w:val="18"/>
                <w:szCs w:val="18"/>
              </w:rPr>
              <w:lastRenderedPageBreak/>
              <w:t xml:space="preserve"> </w:t>
            </w:r>
            <w:r w:rsidRPr="00D90E36">
              <w:rPr>
                <w:rFonts w:eastAsia="Calibri Light" w:cs="Times New Roman"/>
                <w:color w:val="auto"/>
                <w:sz w:val="18"/>
                <w:szCs w:val="18"/>
              </w:rPr>
              <w:t xml:space="preserve">The relevance and importance of cross-cutting issues of </w:t>
            </w:r>
            <w:r w:rsidR="00AA47EA" w:rsidRPr="00D90E36">
              <w:rPr>
                <w:rFonts w:eastAsia="Calibri Light" w:cs="Times New Roman"/>
                <w:color w:val="auto"/>
                <w:sz w:val="18"/>
                <w:szCs w:val="18"/>
              </w:rPr>
              <w:t>disability</w:t>
            </w:r>
            <w:r w:rsidR="00AA47EA">
              <w:rPr>
                <w:rFonts w:eastAsia="Calibri Light" w:cs="Times New Roman"/>
                <w:color w:val="auto"/>
                <w:sz w:val="18"/>
                <w:szCs w:val="18"/>
              </w:rPr>
              <w:t>-</w:t>
            </w:r>
            <w:r w:rsidRPr="00D90E36">
              <w:rPr>
                <w:rFonts w:eastAsia="Calibri Light" w:cs="Times New Roman"/>
                <w:color w:val="auto"/>
                <w:sz w:val="18"/>
                <w:szCs w:val="18"/>
              </w:rPr>
              <w:t>inclusive development</w:t>
            </w:r>
            <w:r>
              <w:rPr>
                <w:rFonts w:eastAsia="Calibri Light" w:cs="Times New Roman"/>
                <w:color w:val="auto"/>
                <w:sz w:val="18"/>
                <w:szCs w:val="18"/>
              </w:rPr>
              <w:t xml:space="preserve">, </w:t>
            </w:r>
            <w:r w:rsidRPr="00D90E36">
              <w:rPr>
                <w:rFonts w:eastAsia="Calibri Light" w:cs="Times New Roman"/>
                <w:color w:val="auto"/>
                <w:sz w:val="18"/>
                <w:szCs w:val="18"/>
              </w:rPr>
              <w:t xml:space="preserve">climate change, </w:t>
            </w:r>
            <w:r>
              <w:rPr>
                <w:rFonts w:eastAsia="Calibri Light" w:cs="Times New Roman"/>
                <w:color w:val="auto"/>
                <w:sz w:val="18"/>
                <w:szCs w:val="18"/>
              </w:rPr>
              <w:t xml:space="preserve">innovation and private sector engagement </w:t>
            </w:r>
            <w:r w:rsidRPr="00D90E36">
              <w:rPr>
                <w:rFonts w:eastAsia="Calibri Light" w:cs="Times New Roman"/>
                <w:color w:val="auto"/>
                <w:sz w:val="18"/>
                <w:szCs w:val="18"/>
              </w:rPr>
              <w:t>are implicit in the design, rather than specifically addressed.</w:t>
            </w:r>
          </w:p>
          <w:p w14:paraId="5950C1C7" w14:textId="77777777" w:rsidR="00813E12" w:rsidRPr="00D90E36" w:rsidRDefault="00813E12" w:rsidP="00813E12">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There is no climate change outcome or explanation. </w:t>
            </w:r>
          </w:p>
          <w:p w14:paraId="39776A0A" w14:textId="515A6B17" w:rsidR="00C60AED" w:rsidRDefault="00C60AED" w:rsidP="00C60AED">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There are few if any references to relevant cross-cutting issues in the governance, implementation</w:t>
            </w:r>
            <w:r>
              <w:rPr>
                <w:rFonts w:eastAsia="Calibri Light" w:cs="Times New Roman"/>
                <w:color w:val="auto"/>
                <w:sz w:val="18"/>
                <w:szCs w:val="18"/>
              </w:rPr>
              <w:t>,</w:t>
            </w:r>
            <w:r w:rsidRPr="00D90E36">
              <w:rPr>
                <w:rFonts w:eastAsia="Calibri Light" w:cs="Times New Roman"/>
                <w:color w:val="auto"/>
                <w:sz w:val="18"/>
                <w:szCs w:val="18"/>
              </w:rPr>
              <w:t xml:space="preserve"> and </w:t>
            </w:r>
            <w:r w:rsidR="005B1390">
              <w:rPr>
                <w:rFonts w:eastAsia="Calibri Light" w:cs="Times New Roman"/>
                <w:color w:val="auto"/>
                <w:sz w:val="18"/>
                <w:szCs w:val="18"/>
              </w:rPr>
              <w:t>MEL</w:t>
            </w:r>
            <w:r w:rsidRPr="00D90E36">
              <w:rPr>
                <w:rFonts w:eastAsia="Calibri Light" w:cs="Times New Roman"/>
                <w:color w:val="auto"/>
                <w:sz w:val="18"/>
                <w:szCs w:val="18"/>
              </w:rPr>
              <w:t xml:space="preserve"> arrangements of the investment.</w:t>
            </w:r>
          </w:p>
          <w:p w14:paraId="4C94D95F" w14:textId="352BE5D0" w:rsidR="00C60AED" w:rsidRPr="00D90E36" w:rsidRDefault="00C60AED"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t xml:space="preserve">Entry points for private sector/SMEs, churches, and CSOs are not clear. </w:t>
            </w:r>
          </w:p>
        </w:tc>
        <w:tc>
          <w:tcPr>
            <w:tcW w:w="2693" w:type="dxa"/>
          </w:tcPr>
          <w:p w14:paraId="048848CB" w14:textId="14CB2AF9" w:rsidR="00C60AED" w:rsidRDefault="00C60AED" w:rsidP="00C60AED">
            <w:pPr>
              <w:keepLines/>
              <w:spacing w:after="120" w:line="240" w:lineRule="auto"/>
              <w:rPr>
                <w:rFonts w:eastAsia="Calibri Light" w:cs="Times New Roman"/>
                <w:color w:val="auto"/>
                <w:sz w:val="18"/>
                <w:szCs w:val="18"/>
              </w:rPr>
            </w:pPr>
            <w:r w:rsidRPr="00D90E36">
              <w:rPr>
                <w:rFonts w:eastAsia="Calibri Light" w:cs="Times New Roman"/>
                <w:color w:val="auto"/>
                <w:sz w:val="18"/>
                <w:szCs w:val="18"/>
              </w:rPr>
              <w:t>Significant aspects of the context or nature of the design related to disability</w:t>
            </w:r>
            <w:r w:rsidR="00AA47EA">
              <w:rPr>
                <w:rFonts w:eastAsia="Calibri Light" w:cs="Times New Roman"/>
                <w:color w:val="auto"/>
                <w:sz w:val="18"/>
                <w:szCs w:val="18"/>
              </w:rPr>
              <w:t>-</w:t>
            </w:r>
            <w:r w:rsidRPr="00D90E36">
              <w:rPr>
                <w:rFonts w:eastAsia="Calibri Light" w:cs="Times New Roman"/>
                <w:color w:val="auto"/>
                <w:sz w:val="18"/>
                <w:szCs w:val="18"/>
              </w:rPr>
              <w:t>inclusive development, innovation, private sector engagement and climate change, are missing or ignored in the investment design.</w:t>
            </w:r>
          </w:p>
          <w:p w14:paraId="21207E4E" w14:textId="77777777" w:rsidR="006D5031" w:rsidRDefault="00C60AED"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t>Entry points for private sector/SMEs, churches, and</w:t>
            </w:r>
            <w:r>
              <w:rPr>
                <w:rFonts w:eastAsia="Calibri Light" w:cs="Times New Roman"/>
                <w:color w:val="auto"/>
                <w:sz w:val="18"/>
                <w:szCs w:val="18"/>
              </w:rPr>
              <w:br/>
              <w:t>CSOs are not outlined.</w:t>
            </w:r>
          </w:p>
          <w:p w14:paraId="643799A7" w14:textId="513C4F39" w:rsidR="00C60AED" w:rsidRPr="00D90E36" w:rsidRDefault="006D5031" w:rsidP="00C60AED">
            <w:pPr>
              <w:keepLines/>
              <w:spacing w:after="120" w:line="240" w:lineRule="auto"/>
              <w:rPr>
                <w:rFonts w:eastAsia="Calibri Light" w:cs="Times New Roman"/>
                <w:color w:val="auto"/>
                <w:sz w:val="18"/>
                <w:szCs w:val="18"/>
              </w:rPr>
            </w:pPr>
            <w:r>
              <w:rPr>
                <w:rFonts w:eastAsia="Calibri Light" w:cs="Times New Roman"/>
                <w:color w:val="auto"/>
                <w:sz w:val="18"/>
                <w:szCs w:val="18"/>
              </w:rPr>
              <w:t>There is no climate change outcome or explanation.</w:t>
            </w:r>
          </w:p>
        </w:tc>
      </w:tr>
    </w:tbl>
    <w:p w14:paraId="19FEC069" w14:textId="77777777" w:rsidR="00B41A10" w:rsidRDefault="00B41A10">
      <w:pPr>
        <w:suppressAutoHyphens w:val="0"/>
        <w:spacing w:before="0" w:after="120" w:line="440" w:lineRule="atLeast"/>
        <w:rPr>
          <w:rFonts w:asciiTheme="majorHAnsi" w:eastAsiaTheme="majorEastAsia" w:hAnsiTheme="majorHAnsi" w:cstheme="majorBidi"/>
          <w:caps/>
          <w:sz w:val="38"/>
          <w:szCs w:val="26"/>
        </w:rPr>
      </w:pPr>
      <w:r>
        <w:br w:type="page"/>
      </w:r>
    </w:p>
    <w:p w14:paraId="54BD483C" w14:textId="722AF4C5" w:rsidR="003440D7" w:rsidRPr="00E07BFD" w:rsidRDefault="00A13CEA" w:rsidP="00E07BFD">
      <w:pPr>
        <w:pStyle w:val="Heading2"/>
      </w:pPr>
      <w:r w:rsidRPr="00E07BFD">
        <w:rPr>
          <w:caps w:val="0"/>
        </w:rPr>
        <w:lastRenderedPageBreak/>
        <w:t xml:space="preserve">8. Risk Management </w:t>
      </w:r>
      <w:r>
        <w:rPr>
          <w:caps w:val="0"/>
        </w:rPr>
        <w:t>a</w:t>
      </w:r>
      <w:r w:rsidRPr="00E07BFD">
        <w:rPr>
          <w:caps w:val="0"/>
        </w:rPr>
        <w:t>nd Safeguards</w:t>
      </w:r>
    </w:p>
    <w:p w14:paraId="19DEA9A8" w14:textId="77777777" w:rsidR="00680E9A" w:rsidRPr="00D90E36" w:rsidRDefault="00680E9A" w:rsidP="00680E9A">
      <w:pPr>
        <w:spacing w:after="120" w:line="240" w:lineRule="auto"/>
        <w:rPr>
          <w:rStyle w:val="SubtleEmphasis"/>
        </w:rPr>
      </w:pPr>
      <w:r w:rsidRPr="00D90E36">
        <w:rPr>
          <w:rStyle w:val="SubtleEmphasis"/>
        </w:rPr>
        <w:t>Does the design identify all relevant risks in detail, and set out plans to mitigate their effects?</w:t>
      </w:r>
    </w:p>
    <w:p w14:paraId="0E1F64C1" w14:textId="77777777" w:rsidR="00680E9A" w:rsidRPr="00D90E36" w:rsidRDefault="00680E9A" w:rsidP="00680E9A">
      <w:pPr>
        <w:rPr>
          <w:b/>
          <w:bCs/>
        </w:rPr>
      </w:pPr>
      <w:r w:rsidRPr="00D90E36">
        <w:rPr>
          <w:b/>
          <w:bCs/>
        </w:rPr>
        <w:t>Focus areas:</w:t>
      </w:r>
    </w:p>
    <w:p w14:paraId="656907F8" w14:textId="77777777" w:rsidR="00680E9A" w:rsidRPr="00D90E36" w:rsidRDefault="00680E9A" w:rsidP="00680E9A">
      <w:pPr>
        <w:pStyle w:val="ListParagraph"/>
        <w:numPr>
          <w:ilvl w:val="0"/>
          <w:numId w:val="53"/>
        </w:numPr>
      </w:pPr>
      <w:r>
        <w:t xml:space="preserve">Risk </w:t>
      </w:r>
    </w:p>
    <w:p w14:paraId="3374C882" w14:textId="5D482370" w:rsidR="00831DAD" w:rsidRPr="00A71D49" w:rsidRDefault="00680E9A" w:rsidP="00831DAD">
      <w:pPr>
        <w:pStyle w:val="ListParagraph"/>
        <w:numPr>
          <w:ilvl w:val="0"/>
          <w:numId w:val="53"/>
        </w:numPr>
        <w:rPr>
          <w:color w:val="auto"/>
        </w:rPr>
      </w:pPr>
      <w:r>
        <w:t>Safeguards</w:t>
      </w:r>
    </w:p>
    <w:tbl>
      <w:tblPr>
        <w:tblStyle w:val="TableGrid"/>
        <w:tblW w:w="14459" w:type="dxa"/>
        <w:tblInd w:w="-5" w:type="dxa"/>
        <w:tblLook w:val="04A0" w:firstRow="1" w:lastRow="0" w:firstColumn="1" w:lastColumn="0" w:noHBand="0" w:noVBand="1"/>
      </w:tblPr>
      <w:tblGrid>
        <w:gridCol w:w="4253"/>
        <w:gridCol w:w="3827"/>
        <w:gridCol w:w="3402"/>
        <w:gridCol w:w="2977"/>
      </w:tblGrid>
      <w:tr w:rsidR="001908EF" w:rsidRPr="00D90E36" w14:paraId="636E8046" w14:textId="77777777" w:rsidTr="00DE183F">
        <w:trPr>
          <w:tblHeader/>
        </w:trPr>
        <w:tc>
          <w:tcPr>
            <w:tcW w:w="4253" w:type="dxa"/>
            <w:tcBorders>
              <w:left w:val="single" w:sz="4" w:space="0" w:color="auto"/>
            </w:tcBorders>
            <w:shd w:val="clear" w:color="auto" w:fill="D4EAF3" w:themeFill="accent1" w:themeFillTint="33"/>
          </w:tcPr>
          <w:p w14:paraId="53A0F3DE" w14:textId="77777777" w:rsidR="001908EF" w:rsidRPr="00D90E36" w:rsidRDefault="001908EF">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Good, very good (rating 5-6) </w:t>
            </w:r>
          </w:p>
        </w:tc>
        <w:tc>
          <w:tcPr>
            <w:tcW w:w="3827" w:type="dxa"/>
            <w:shd w:val="clear" w:color="auto" w:fill="D4EAF3" w:themeFill="accent1" w:themeFillTint="33"/>
          </w:tcPr>
          <w:p w14:paraId="60B86BDB" w14:textId="77777777" w:rsidR="001908EF" w:rsidRPr="00D90E36" w:rsidRDefault="001908EF">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Adequate (rating 4)</w:t>
            </w:r>
          </w:p>
        </w:tc>
        <w:tc>
          <w:tcPr>
            <w:tcW w:w="3402" w:type="dxa"/>
            <w:shd w:val="clear" w:color="auto" w:fill="D4EAF3" w:themeFill="accent1" w:themeFillTint="33"/>
          </w:tcPr>
          <w:p w14:paraId="1E0E9317" w14:textId="77777777" w:rsidR="001908EF" w:rsidRPr="00D90E36" w:rsidRDefault="001908EF">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Less than adequate (rating 3) </w:t>
            </w:r>
          </w:p>
        </w:tc>
        <w:tc>
          <w:tcPr>
            <w:tcW w:w="2977" w:type="dxa"/>
            <w:shd w:val="clear" w:color="auto" w:fill="D4EAF3" w:themeFill="accent1" w:themeFillTint="33"/>
          </w:tcPr>
          <w:p w14:paraId="302DADBA" w14:textId="77777777" w:rsidR="001908EF" w:rsidRPr="00D90E36" w:rsidRDefault="001908EF">
            <w:pPr>
              <w:keepLines/>
              <w:spacing w:after="120" w:line="240" w:lineRule="auto"/>
              <w:jc w:val="center"/>
              <w:rPr>
                <w:rFonts w:eastAsia="Calibri Light" w:cs="Times New Roman"/>
                <w:b/>
                <w:i/>
                <w:iCs/>
                <w:color w:val="auto"/>
                <w:sz w:val="18"/>
                <w:szCs w:val="18"/>
              </w:rPr>
            </w:pPr>
            <w:r w:rsidRPr="00D90E36">
              <w:rPr>
                <w:rFonts w:eastAsia="Calibri Light" w:cs="Times New Roman"/>
                <w:b/>
                <w:i/>
                <w:iCs/>
                <w:color w:val="auto"/>
                <w:sz w:val="18"/>
                <w:szCs w:val="18"/>
              </w:rPr>
              <w:t xml:space="preserve">Poor, very poor (rating 1-2) </w:t>
            </w:r>
          </w:p>
        </w:tc>
      </w:tr>
      <w:tr w:rsidR="00831DAD" w:rsidRPr="00D90E36" w14:paraId="131F0698" w14:textId="77777777" w:rsidTr="00DE183F">
        <w:trPr>
          <w:trHeight w:val="818"/>
        </w:trPr>
        <w:tc>
          <w:tcPr>
            <w:tcW w:w="4253" w:type="dxa"/>
            <w:tcBorders>
              <w:left w:val="single" w:sz="4" w:space="0" w:color="auto"/>
            </w:tcBorders>
          </w:tcPr>
          <w:p w14:paraId="0B982D6F" w14:textId="77777777" w:rsidR="00831DAD" w:rsidRPr="00963FA7" w:rsidRDefault="00831DAD" w:rsidP="00831DAD">
            <w:pPr>
              <w:keepLines/>
              <w:spacing w:after="120" w:line="240" w:lineRule="auto"/>
              <w:rPr>
                <w:rFonts w:eastAsia="Calibri Light" w:cstheme="minorHAnsi"/>
                <w:i/>
                <w:iCs/>
                <w:color w:val="auto"/>
                <w:sz w:val="18"/>
                <w:szCs w:val="18"/>
              </w:rPr>
            </w:pPr>
            <w:r w:rsidRPr="00963FA7">
              <w:rPr>
                <w:rFonts w:eastAsia="Calibri Light" w:cstheme="minorHAnsi"/>
                <w:i/>
                <w:iCs/>
                <w:color w:val="auto"/>
                <w:sz w:val="18"/>
                <w:szCs w:val="18"/>
              </w:rPr>
              <w:t>Design document</w:t>
            </w:r>
          </w:p>
          <w:p w14:paraId="6813C44D" w14:textId="1E7E9FBE"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discusses the risk context</w:t>
            </w:r>
            <w:r w:rsidR="00B41A10">
              <w:rPr>
                <w:rFonts w:eastAsia="Calibri Light" w:cstheme="minorHAnsi"/>
                <w:color w:val="auto"/>
                <w:sz w:val="18"/>
                <w:szCs w:val="18"/>
              </w:rPr>
              <w:t>, incl</w:t>
            </w:r>
            <w:r w:rsidR="000123CE">
              <w:rPr>
                <w:rFonts w:eastAsia="Calibri Light" w:cstheme="minorHAnsi"/>
                <w:color w:val="auto"/>
                <w:sz w:val="18"/>
                <w:szCs w:val="18"/>
              </w:rPr>
              <w:t>uding climate risk</w:t>
            </w:r>
            <w:r w:rsidRPr="00963FA7">
              <w:rPr>
                <w:rFonts w:eastAsia="Calibri Light" w:cstheme="minorHAnsi"/>
                <w:color w:val="auto"/>
                <w:sz w:val="18"/>
                <w:szCs w:val="18"/>
              </w:rPr>
              <w:t>. It discusses the key risks and proposes effective mitigations.</w:t>
            </w:r>
            <w:r>
              <w:rPr>
                <w:rFonts w:eastAsia="Calibri Light" w:cstheme="minorHAnsi"/>
                <w:color w:val="auto"/>
                <w:sz w:val="18"/>
                <w:szCs w:val="18"/>
              </w:rPr>
              <w:t xml:space="preserve"> Risks linked to a range of key assumptions from the program logic are outlined with risk treatments and DFAT risk owners.</w:t>
            </w:r>
          </w:p>
          <w:p w14:paraId="595EBB07" w14:textId="7FAB8DD3"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discusses governance arrangements, including internal DFAT risk oversight responsibilities</w:t>
            </w:r>
            <w:r>
              <w:rPr>
                <w:rFonts w:eastAsia="Calibri Light" w:cstheme="minorHAnsi"/>
                <w:color w:val="auto"/>
                <w:sz w:val="18"/>
                <w:szCs w:val="18"/>
              </w:rPr>
              <w:t xml:space="preserve">, </w:t>
            </w:r>
            <w:r w:rsidR="00C53AA2">
              <w:rPr>
                <w:rFonts w:eastAsia="Calibri Light" w:cstheme="minorHAnsi"/>
                <w:color w:val="auto"/>
                <w:sz w:val="18"/>
                <w:szCs w:val="18"/>
              </w:rPr>
              <w:t>an</w:t>
            </w:r>
            <w:r w:rsidRPr="00963FA7">
              <w:rPr>
                <w:rFonts w:eastAsia="Calibri Light" w:cstheme="minorHAnsi"/>
                <w:color w:val="auto"/>
                <w:sz w:val="18"/>
                <w:szCs w:val="18"/>
              </w:rPr>
              <w:t>d how delivery partners and stakeholders will be involved in the ongoing management of risks.</w:t>
            </w:r>
          </w:p>
          <w:p w14:paraId="2239DB74" w14:textId="77777777"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presents a considered and proportionate response to managing safeguard risks relating to people and the environment through the life of the investment.</w:t>
            </w:r>
          </w:p>
          <w:p w14:paraId="20A4B7CD" w14:textId="77777777" w:rsidR="00831DAD"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includes a good environment and social impact assessment, management plan and/or framework, as required.</w:t>
            </w:r>
          </w:p>
          <w:p w14:paraId="6A2BF1F6" w14:textId="25D4D75E" w:rsidR="00831DAD" w:rsidRPr="00963FA7" w:rsidRDefault="00831DAD" w:rsidP="00831DAD">
            <w:pPr>
              <w:keepLines/>
              <w:spacing w:after="120" w:line="240" w:lineRule="auto"/>
              <w:rPr>
                <w:rFonts w:eastAsia="Calibri Light" w:cstheme="minorHAnsi"/>
                <w:color w:val="auto"/>
                <w:sz w:val="18"/>
                <w:szCs w:val="18"/>
              </w:rPr>
            </w:pPr>
            <w:r>
              <w:rPr>
                <w:rFonts w:eastAsia="Calibri Light" w:cstheme="minorHAnsi"/>
                <w:color w:val="auto"/>
                <w:sz w:val="18"/>
                <w:szCs w:val="18"/>
              </w:rPr>
              <w:t>Due diligence of lead partners and subcontracted partners is considered</w:t>
            </w:r>
            <w:r w:rsidR="004D0229">
              <w:rPr>
                <w:rFonts w:eastAsia="Calibri Light" w:cstheme="minorHAnsi"/>
                <w:color w:val="auto"/>
                <w:sz w:val="18"/>
                <w:szCs w:val="18"/>
              </w:rPr>
              <w:t>, and assessment findings built into the design.</w:t>
            </w:r>
            <w:r>
              <w:rPr>
                <w:rFonts w:eastAsia="Calibri Light" w:cstheme="minorHAnsi"/>
                <w:color w:val="auto"/>
                <w:sz w:val="18"/>
                <w:szCs w:val="18"/>
              </w:rPr>
              <w:t xml:space="preserve"> </w:t>
            </w:r>
          </w:p>
          <w:p w14:paraId="1B83FF20" w14:textId="715706F0" w:rsidR="00831DAD" w:rsidRPr="00D90E36" w:rsidRDefault="00831DAD" w:rsidP="00831DAD">
            <w:pPr>
              <w:keepLines/>
              <w:spacing w:after="120" w:line="240" w:lineRule="auto"/>
              <w:rPr>
                <w:rFonts w:ascii="Calibri Light" w:eastAsia="Calibri Light" w:hAnsi="Calibri Light" w:cs="Calibri Light"/>
                <w:color w:val="auto"/>
                <w:sz w:val="18"/>
                <w:szCs w:val="18"/>
              </w:rPr>
            </w:pPr>
            <w:r w:rsidRPr="00963FA7">
              <w:rPr>
                <w:rFonts w:eastAsia="Calibri Light" w:cstheme="minorHAnsi"/>
                <w:color w:val="auto"/>
                <w:sz w:val="18"/>
                <w:szCs w:val="18"/>
              </w:rPr>
              <w:t>The design discusses the fraud risk context and draws on lessons learnt in developing effective controls and treatments to manage key fraud risks. Governance arrangements to oversight fraud risks are discussed.</w:t>
            </w:r>
          </w:p>
        </w:tc>
        <w:tc>
          <w:tcPr>
            <w:tcW w:w="3827" w:type="dxa"/>
          </w:tcPr>
          <w:p w14:paraId="5891A427" w14:textId="77777777" w:rsidR="00831DAD" w:rsidRPr="00963FA7" w:rsidRDefault="00831DAD" w:rsidP="00831DAD">
            <w:pPr>
              <w:keepLines/>
              <w:spacing w:after="120" w:line="240" w:lineRule="auto"/>
              <w:rPr>
                <w:rFonts w:eastAsia="Calibri Light" w:cstheme="minorHAnsi"/>
                <w:i/>
                <w:iCs/>
                <w:color w:val="auto"/>
                <w:sz w:val="18"/>
                <w:szCs w:val="18"/>
              </w:rPr>
            </w:pPr>
            <w:r w:rsidRPr="00963FA7">
              <w:rPr>
                <w:rFonts w:eastAsia="Calibri Light" w:cstheme="minorHAnsi"/>
                <w:i/>
                <w:iCs/>
                <w:color w:val="auto"/>
                <w:sz w:val="18"/>
                <w:szCs w:val="18"/>
              </w:rPr>
              <w:t>Design document</w:t>
            </w:r>
          </w:p>
          <w:p w14:paraId="66534B66" w14:textId="32B22491"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does not fully discuss the risk context. It discusses most of the key risks</w:t>
            </w:r>
            <w:r w:rsidR="000123CE">
              <w:rPr>
                <w:rFonts w:eastAsia="Calibri Light" w:cstheme="minorHAnsi"/>
                <w:color w:val="auto"/>
                <w:sz w:val="18"/>
                <w:szCs w:val="18"/>
              </w:rPr>
              <w:t>, including climate</w:t>
            </w:r>
            <w:r w:rsidR="003F4DCD">
              <w:rPr>
                <w:rFonts w:eastAsia="Calibri Light" w:cstheme="minorHAnsi"/>
                <w:color w:val="auto"/>
                <w:sz w:val="18"/>
                <w:szCs w:val="18"/>
              </w:rPr>
              <w:t xml:space="preserve"> risks, identifies</w:t>
            </w:r>
            <w:r>
              <w:rPr>
                <w:rFonts w:eastAsia="Calibri Light" w:cstheme="minorHAnsi"/>
                <w:color w:val="auto"/>
                <w:sz w:val="18"/>
                <w:szCs w:val="18"/>
              </w:rPr>
              <w:t xml:space="preserve"> key assumptions and a range of fiduciary and safeguard risks,</w:t>
            </w:r>
            <w:r w:rsidRPr="00963FA7">
              <w:rPr>
                <w:rFonts w:eastAsia="Calibri Light" w:cstheme="minorHAnsi"/>
                <w:color w:val="auto"/>
                <w:sz w:val="18"/>
                <w:szCs w:val="18"/>
              </w:rPr>
              <w:t xml:space="preserve"> and mostly proposes effective mitigations.</w:t>
            </w:r>
          </w:p>
          <w:p w14:paraId="24808317" w14:textId="623C1E55"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discusses governance arrangements, including internal DFAT risk oversight responsibilities</w:t>
            </w:r>
            <w:r>
              <w:rPr>
                <w:rFonts w:eastAsia="Calibri Light" w:cstheme="minorHAnsi"/>
                <w:color w:val="auto"/>
                <w:sz w:val="18"/>
                <w:szCs w:val="18"/>
              </w:rPr>
              <w:t>, DFAT risk owners</w:t>
            </w:r>
            <w:r w:rsidR="002F5E55">
              <w:rPr>
                <w:rFonts w:eastAsia="Calibri Light" w:cstheme="minorHAnsi"/>
                <w:color w:val="auto"/>
                <w:sz w:val="18"/>
                <w:szCs w:val="18"/>
              </w:rPr>
              <w:t>,</w:t>
            </w:r>
            <w:r w:rsidRPr="00963FA7">
              <w:rPr>
                <w:rFonts w:eastAsia="Calibri Light" w:cstheme="minorHAnsi"/>
                <w:color w:val="auto"/>
                <w:sz w:val="18"/>
                <w:szCs w:val="18"/>
              </w:rPr>
              <w:t xml:space="preserve"> and how delivery partners and stakeholders will be involved in the ongoing management of risks.</w:t>
            </w:r>
          </w:p>
          <w:p w14:paraId="7131C692" w14:textId="77777777"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generally presents a considered and proportionate response to managing safeguard risks relating to people and the environment.</w:t>
            </w:r>
          </w:p>
          <w:p w14:paraId="1D9BB83E" w14:textId="77777777"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includes an adequate environment and social impact assessment, management plan and/or framework, as required.</w:t>
            </w:r>
          </w:p>
          <w:p w14:paraId="79F7D6E5" w14:textId="7731A06B" w:rsidR="00831DAD"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does not fully discuss the fraud risk context. The design discusses most key fraud risks and mostly includes effective controls and treatments. Governance arrangements to oversight fraud risks are discussed.</w:t>
            </w:r>
          </w:p>
          <w:p w14:paraId="5879DF08" w14:textId="33FC0E1F" w:rsidR="00831DAD" w:rsidRPr="00D90E36" w:rsidRDefault="00831DAD" w:rsidP="00831DAD">
            <w:pPr>
              <w:keepLines/>
              <w:spacing w:after="120" w:line="240" w:lineRule="auto"/>
              <w:rPr>
                <w:rFonts w:ascii="Calibri Light" w:eastAsia="Calibri Light" w:hAnsi="Calibri Light" w:cs="Calibri Light"/>
                <w:color w:val="auto"/>
                <w:sz w:val="18"/>
                <w:szCs w:val="18"/>
              </w:rPr>
            </w:pPr>
            <w:r>
              <w:rPr>
                <w:rFonts w:eastAsia="Calibri Light" w:cstheme="minorHAnsi"/>
                <w:color w:val="auto"/>
                <w:sz w:val="18"/>
                <w:szCs w:val="18"/>
              </w:rPr>
              <w:t xml:space="preserve">Due diligence is considered, and assessment findings built into the design.  </w:t>
            </w:r>
          </w:p>
        </w:tc>
        <w:tc>
          <w:tcPr>
            <w:tcW w:w="3402" w:type="dxa"/>
          </w:tcPr>
          <w:p w14:paraId="60CDEBC6" w14:textId="77777777" w:rsidR="00831DAD" w:rsidRPr="00963FA7" w:rsidRDefault="00831DAD" w:rsidP="00831DAD">
            <w:pPr>
              <w:keepLines/>
              <w:spacing w:after="120" w:line="240" w:lineRule="auto"/>
              <w:rPr>
                <w:rFonts w:eastAsia="Calibri Light" w:cstheme="minorHAnsi"/>
                <w:i/>
                <w:iCs/>
                <w:color w:val="auto"/>
                <w:sz w:val="18"/>
                <w:szCs w:val="18"/>
              </w:rPr>
            </w:pPr>
            <w:r w:rsidRPr="00963FA7">
              <w:rPr>
                <w:rFonts w:eastAsia="Calibri Light" w:cstheme="minorHAnsi"/>
                <w:i/>
                <w:iCs/>
                <w:color w:val="auto"/>
                <w:sz w:val="18"/>
                <w:szCs w:val="18"/>
              </w:rPr>
              <w:t>Design document</w:t>
            </w:r>
          </w:p>
          <w:p w14:paraId="499BA7EF" w14:textId="45E42F98" w:rsidR="003F4DC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risk context has not been considered in a substantive way. The design only discusses some key risks and/or does not propose effective mitigations.</w:t>
            </w:r>
            <w:r w:rsidR="00BC3F3C">
              <w:rPr>
                <w:rFonts w:eastAsia="Calibri Light" w:cstheme="minorHAnsi"/>
                <w:color w:val="auto"/>
                <w:sz w:val="18"/>
                <w:szCs w:val="18"/>
              </w:rPr>
              <w:t xml:space="preserve"> </w:t>
            </w:r>
            <w:r w:rsidR="003F4DCD">
              <w:rPr>
                <w:rFonts w:eastAsia="Calibri Light" w:cstheme="minorHAnsi"/>
                <w:color w:val="auto"/>
                <w:sz w:val="18"/>
                <w:szCs w:val="18"/>
              </w:rPr>
              <w:t>The design does not consider climate risk.</w:t>
            </w:r>
          </w:p>
          <w:p w14:paraId="2858D64A" w14:textId="77777777"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does not adequately discuss governance arrangements, including internal DFAT risk oversight responsibilities and how delivery partners and stakeholders will be involved in the ongoing management of risks.</w:t>
            </w:r>
          </w:p>
          <w:p w14:paraId="73219ED6" w14:textId="77777777"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briefly refers to safeguarding but does not detail how the investment will manage safeguard risks relating to people and the environment.</w:t>
            </w:r>
          </w:p>
          <w:p w14:paraId="6BD75C4B" w14:textId="77777777"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does not include an adequate environment and social impact assessment, management plan and/or framework, as required.</w:t>
            </w:r>
          </w:p>
          <w:p w14:paraId="36BAC04E" w14:textId="5E02A479" w:rsidR="00831DAD" w:rsidRPr="00D90E36" w:rsidRDefault="00831DAD" w:rsidP="00831DAD">
            <w:pPr>
              <w:keepLines/>
              <w:spacing w:after="120" w:line="240" w:lineRule="auto"/>
              <w:rPr>
                <w:rFonts w:eastAsia="Calibri Light" w:cs="Times New Roman"/>
                <w:color w:val="auto"/>
                <w:sz w:val="18"/>
                <w:szCs w:val="18"/>
              </w:rPr>
            </w:pPr>
            <w:r w:rsidRPr="00963FA7">
              <w:rPr>
                <w:rFonts w:eastAsia="Calibri Light" w:cstheme="minorHAnsi"/>
                <w:color w:val="auto"/>
                <w:sz w:val="18"/>
                <w:szCs w:val="18"/>
              </w:rPr>
              <w:t>The fraud risk context has not been considered in a substantive way. Design discusses some key fraud risks and/or does not include effective mitigations. Governance arrangements to overs</w:t>
            </w:r>
            <w:r w:rsidR="007673FA">
              <w:rPr>
                <w:rFonts w:eastAsia="Calibri Light" w:cstheme="minorHAnsi"/>
                <w:color w:val="auto"/>
                <w:sz w:val="18"/>
                <w:szCs w:val="18"/>
              </w:rPr>
              <w:t>ee</w:t>
            </w:r>
            <w:r w:rsidRPr="00963FA7">
              <w:rPr>
                <w:rFonts w:eastAsia="Calibri Light" w:cstheme="minorHAnsi"/>
                <w:color w:val="auto"/>
                <w:sz w:val="18"/>
                <w:szCs w:val="18"/>
              </w:rPr>
              <w:t xml:space="preserve"> fraud risks are not discussed sufficiently.</w:t>
            </w:r>
          </w:p>
        </w:tc>
        <w:tc>
          <w:tcPr>
            <w:tcW w:w="2977" w:type="dxa"/>
          </w:tcPr>
          <w:p w14:paraId="171DBC29" w14:textId="77777777" w:rsidR="00831DAD" w:rsidRPr="00963FA7" w:rsidRDefault="00831DAD" w:rsidP="00831DAD">
            <w:pPr>
              <w:keepLines/>
              <w:spacing w:after="120" w:line="240" w:lineRule="auto"/>
              <w:rPr>
                <w:rFonts w:eastAsia="Calibri Light" w:cstheme="minorHAnsi"/>
                <w:i/>
                <w:iCs/>
                <w:color w:val="auto"/>
                <w:sz w:val="18"/>
                <w:szCs w:val="18"/>
              </w:rPr>
            </w:pPr>
            <w:r w:rsidRPr="00963FA7">
              <w:rPr>
                <w:rFonts w:eastAsia="Calibri Light" w:cstheme="minorHAnsi"/>
                <w:i/>
                <w:iCs/>
                <w:color w:val="auto"/>
                <w:sz w:val="18"/>
                <w:szCs w:val="18"/>
              </w:rPr>
              <w:t>Design document</w:t>
            </w:r>
          </w:p>
          <w:p w14:paraId="6AC83467" w14:textId="37424DB8"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risk context has not been considered. The design discusses a limited number of key risks and/or does not propose effective mitigations.</w:t>
            </w:r>
            <w:r w:rsidR="007673FA">
              <w:rPr>
                <w:rFonts w:eastAsia="Calibri Light" w:cstheme="minorHAnsi"/>
                <w:color w:val="auto"/>
                <w:sz w:val="18"/>
                <w:szCs w:val="18"/>
              </w:rPr>
              <w:t xml:space="preserve"> </w:t>
            </w:r>
            <w:r w:rsidR="00BC3F3C">
              <w:rPr>
                <w:rFonts w:eastAsia="Calibri Light" w:cstheme="minorHAnsi"/>
                <w:color w:val="auto"/>
                <w:sz w:val="18"/>
                <w:szCs w:val="18"/>
              </w:rPr>
              <w:t>The design does not consider climate risk.</w:t>
            </w:r>
          </w:p>
          <w:p w14:paraId="1D8F4683" w14:textId="77777777"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does not discuss governance arrangements, including internal DFAT risk oversight responsibilities and how delivery partners and stakeholders will be involved in the ongoing management of risks.</w:t>
            </w:r>
          </w:p>
          <w:p w14:paraId="1C90C311" w14:textId="77777777" w:rsidR="00831DAD" w:rsidRPr="00963FA7" w:rsidRDefault="00831DAD" w:rsidP="00831DAD">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The design does not mention safeguards risks or environment and social impact assessment, management plan and/or framework, as required.</w:t>
            </w:r>
          </w:p>
          <w:p w14:paraId="05EA933C" w14:textId="05AC5B32" w:rsidR="00831DAD" w:rsidRPr="00D90E36" w:rsidRDefault="00831DAD" w:rsidP="00831DAD">
            <w:pPr>
              <w:keepLines/>
              <w:spacing w:after="120" w:line="240" w:lineRule="auto"/>
              <w:rPr>
                <w:rFonts w:eastAsia="Calibri Light" w:cs="Times New Roman"/>
                <w:color w:val="auto"/>
                <w:sz w:val="18"/>
                <w:szCs w:val="18"/>
              </w:rPr>
            </w:pPr>
            <w:r w:rsidRPr="00963FA7">
              <w:rPr>
                <w:rFonts w:eastAsia="Calibri Light" w:cstheme="minorHAnsi"/>
                <w:color w:val="auto"/>
                <w:sz w:val="18"/>
                <w:szCs w:val="18"/>
              </w:rPr>
              <w:t>The design has not considered the fraud risk context, key fraud risks, nor proposed effective mitigations. Governance arrangements to overs</w:t>
            </w:r>
            <w:r w:rsidR="007673FA">
              <w:rPr>
                <w:rFonts w:eastAsia="Calibri Light" w:cstheme="minorHAnsi"/>
                <w:color w:val="auto"/>
                <w:sz w:val="18"/>
                <w:szCs w:val="18"/>
              </w:rPr>
              <w:t>ee</w:t>
            </w:r>
            <w:r w:rsidRPr="00963FA7">
              <w:rPr>
                <w:rFonts w:eastAsia="Calibri Light" w:cstheme="minorHAnsi"/>
                <w:color w:val="auto"/>
                <w:sz w:val="18"/>
                <w:szCs w:val="18"/>
              </w:rPr>
              <w:t xml:space="preserve"> fraud risks are not discussed.</w:t>
            </w:r>
          </w:p>
        </w:tc>
      </w:tr>
      <w:tr w:rsidR="00A71D49" w:rsidRPr="00D90E36" w14:paraId="3634C00E" w14:textId="77777777" w:rsidTr="00DE183F">
        <w:trPr>
          <w:trHeight w:val="818"/>
        </w:trPr>
        <w:tc>
          <w:tcPr>
            <w:tcW w:w="4253" w:type="dxa"/>
            <w:tcBorders>
              <w:left w:val="single" w:sz="4" w:space="0" w:color="auto"/>
            </w:tcBorders>
          </w:tcPr>
          <w:p w14:paraId="4292D23F" w14:textId="77777777" w:rsidR="00A71D49" w:rsidRPr="00963FA7" w:rsidRDefault="00A71D49" w:rsidP="00A71D49">
            <w:pPr>
              <w:keepLines/>
              <w:spacing w:after="120" w:line="240" w:lineRule="auto"/>
              <w:rPr>
                <w:rFonts w:eastAsia="Calibri Light" w:cstheme="minorHAnsi"/>
                <w:i/>
                <w:iCs/>
                <w:color w:val="auto"/>
                <w:sz w:val="18"/>
                <w:szCs w:val="18"/>
              </w:rPr>
            </w:pPr>
            <w:r w:rsidRPr="00963FA7">
              <w:rPr>
                <w:rFonts w:eastAsia="Calibri Light" w:cstheme="minorHAnsi"/>
                <w:i/>
                <w:iCs/>
                <w:color w:val="auto"/>
                <w:sz w:val="18"/>
                <w:szCs w:val="18"/>
              </w:rPr>
              <w:lastRenderedPageBreak/>
              <w:t>Risk Register</w:t>
            </w:r>
          </w:p>
          <w:p w14:paraId="15988033" w14:textId="77777777" w:rsidR="00A71D49" w:rsidRPr="00963FA7" w:rsidRDefault="00A71D49" w:rsidP="00A71D49">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 xml:space="preserve">The risk register has been fully completed in accordance with DFAT’s Development Risk Management Policy and Practice Notes and takes into account as relevant: </w:t>
            </w:r>
          </w:p>
          <w:p w14:paraId="167AD8AE" w14:textId="77777777" w:rsidR="00A71D49" w:rsidRPr="00963FA7" w:rsidRDefault="00A71D49" w:rsidP="00A71D49">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 xml:space="preserve">(a) general risks that hinder DFAT’s ability to achieve end of investment outcomes; and </w:t>
            </w:r>
          </w:p>
          <w:p w14:paraId="01D74EE0" w14:textId="77777777" w:rsidR="00A71D49" w:rsidRPr="00963FA7" w:rsidRDefault="00A71D49" w:rsidP="00A71D49">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 xml:space="preserve">(b) five (5) specialised risk domains that have independent policies: </w:t>
            </w:r>
          </w:p>
          <w:p w14:paraId="3BF99BAD" w14:textId="77777777" w:rsidR="00A71D49" w:rsidRPr="00963FA7" w:rsidRDefault="00A71D49" w:rsidP="00A71D49">
            <w:pPr>
              <w:pStyle w:val="ListParagraph"/>
              <w:keepLines/>
              <w:numPr>
                <w:ilvl w:val="0"/>
                <w:numId w:val="65"/>
              </w:numPr>
              <w:rPr>
                <w:rStyle w:val="Hyperlink"/>
                <w:rFonts w:cstheme="minorHAnsi"/>
                <w:color w:val="0070C0"/>
                <w:sz w:val="18"/>
                <w:szCs w:val="18"/>
              </w:rPr>
            </w:pPr>
            <w:r w:rsidRPr="00963FA7">
              <w:rPr>
                <w:rStyle w:val="Hyperlink"/>
                <w:rFonts w:eastAsia="Calibri Light" w:cstheme="minorHAnsi"/>
                <w:color w:val="0070C0"/>
                <w:sz w:val="18"/>
                <w:szCs w:val="18"/>
              </w:rPr>
              <w:t>Child Protection</w:t>
            </w:r>
            <w:r w:rsidRPr="00963FA7">
              <w:rPr>
                <w:rStyle w:val="Hyperlink"/>
                <w:rFonts w:cstheme="minorHAnsi"/>
                <w:color w:val="0070C0"/>
                <w:sz w:val="18"/>
                <w:szCs w:val="18"/>
              </w:rPr>
              <w:t xml:space="preserve"> </w:t>
            </w:r>
          </w:p>
          <w:p w14:paraId="71D60D72" w14:textId="77777777" w:rsidR="00A71D49" w:rsidRPr="00963FA7" w:rsidRDefault="00A71D49" w:rsidP="00A71D49">
            <w:pPr>
              <w:pStyle w:val="ListParagraph"/>
              <w:keepLines/>
              <w:numPr>
                <w:ilvl w:val="0"/>
                <w:numId w:val="65"/>
              </w:numPr>
              <w:rPr>
                <w:rStyle w:val="Hyperlink"/>
                <w:rFonts w:cstheme="minorHAnsi"/>
                <w:color w:val="0070C0"/>
                <w:sz w:val="18"/>
                <w:szCs w:val="18"/>
              </w:rPr>
            </w:pPr>
            <w:r w:rsidRPr="00963FA7">
              <w:rPr>
                <w:rStyle w:val="Hyperlink"/>
                <w:rFonts w:eastAsia="Calibri Light" w:cstheme="minorHAnsi"/>
                <w:color w:val="0070C0"/>
                <w:sz w:val="18"/>
                <w:szCs w:val="18"/>
              </w:rPr>
              <w:t>Counter-Terrorism Resourcing</w:t>
            </w:r>
          </w:p>
          <w:p w14:paraId="3BCEB7D7" w14:textId="77777777" w:rsidR="00A71D49" w:rsidRPr="00963FA7" w:rsidRDefault="00A71D49" w:rsidP="00A71D49">
            <w:pPr>
              <w:pStyle w:val="ListParagraph"/>
              <w:keepLines/>
              <w:numPr>
                <w:ilvl w:val="0"/>
                <w:numId w:val="65"/>
              </w:numPr>
              <w:rPr>
                <w:rStyle w:val="Hyperlink"/>
                <w:rFonts w:cstheme="minorHAnsi"/>
                <w:color w:val="0070C0"/>
                <w:sz w:val="18"/>
                <w:szCs w:val="18"/>
              </w:rPr>
            </w:pPr>
            <w:r w:rsidRPr="00963FA7">
              <w:rPr>
                <w:rStyle w:val="Hyperlink"/>
                <w:rFonts w:eastAsia="Calibri Light" w:cstheme="minorHAnsi"/>
                <w:color w:val="0070C0"/>
                <w:sz w:val="18"/>
                <w:szCs w:val="18"/>
              </w:rPr>
              <w:t>Environment and Social Safeguards</w:t>
            </w:r>
          </w:p>
          <w:p w14:paraId="046F7C77" w14:textId="77777777" w:rsidR="00A71D49" w:rsidRPr="00963FA7" w:rsidRDefault="00A71D49" w:rsidP="00A71D49">
            <w:pPr>
              <w:pStyle w:val="ListParagraph"/>
              <w:keepLines/>
              <w:numPr>
                <w:ilvl w:val="0"/>
                <w:numId w:val="65"/>
              </w:numPr>
              <w:rPr>
                <w:rStyle w:val="Hyperlink"/>
                <w:rFonts w:cstheme="minorHAnsi"/>
                <w:color w:val="0070C0"/>
                <w:sz w:val="18"/>
                <w:szCs w:val="18"/>
              </w:rPr>
            </w:pPr>
            <w:r w:rsidRPr="00963FA7">
              <w:rPr>
                <w:rStyle w:val="Hyperlink"/>
                <w:rFonts w:eastAsia="Calibri Light" w:cstheme="minorHAnsi"/>
                <w:color w:val="0070C0"/>
                <w:sz w:val="18"/>
                <w:szCs w:val="18"/>
              </w:rPr>
              <w:t>Fraud Control</w:t>
            </w:r>
          </w:p>
          <w:p w14:paraId="2FDEA88D" w14:textId="44068E0A" w:rsidR="00A71D49" w:rsidRPr="00D90E36" w:rsidRDefault="00A71D49" w:rsidP="00A71D49">
            <w:pPr>
              <w:pStyle w:val="ListParagraph"/>
              <w:keepLines/>
              <w:numPr>
                <w:ilvl w:val="0"/>
                <w:numId w:val="65"/>
              </w:numPr>
              <w:rPr>
                <w:rFonts w:ascii="Calibri Light" w:eastAsia="Calibri Light" w:hAnsi="Calibri Light" w:cs="Calibri Light"/>
                <w:i/>
                <w:iCs/>
                <w:color w:val="auto"/>
                <w:sz w:val="20"/>
                <w:szCs w:val="20"/>
              </w:rPr>
            </w:pPr>
            <w:r w:rsidRPr="00963FA7">
              <w:rPr>
                <w:rStyle w:val="Hyperlink"/>
                <w:rFonts w:eastAsia="Calibri Light" w:cstheme="minorHAnsi"/>
                <w:color w:val="0070C0"/>
                <w:sz w:val="18"/>
                <w:szCs w:val="18"/>
              </w:rPr>
              <w:t>Preventing Sexual Exploitation, Abuse and Harassment (PSEAH)</w:t>
            </w:r>
            <w:r w:rsidRPr="00963FA7">
              <w:rPr>
                <w:rStyle w:val="Hyperlink"/>
                <w:rFonts w:cstheme="minorHAnsi"/>
                <w:color w:val="0070C0"/>
                <w:sz w:val="18"/>
                <w:szCs w:val="18"/>
              </w:rPr>
              <w:t>.</w:t>
            </w:r>
          </w:p>
        </w:tc>
        <w:tc>
          <w:tcPr>
            <w:tcW w:w="3827" w:type="dxa"/>
          </w:tcPr>
          <w:p w14:paraId="40591FB8" w14:textId="77777777" w:rsidR="00A71D49" w:rsidRPr="00963FA7" w:rsidRDefault="00A71D49" w:rsidP="00A71D49">
            <w:pPr>
              <w:keepLines/>
              <w:spacing w:after="120" w:line="240" w:lineRule="auto"/>
              <w:rPr>
                <w:rFonts w:eastAsia="Calibri Light" w:cstheme="minorHAnsi"/>
                <w:i/>
                <w:iCs/>
                <w:color w:val="auto"/>
                <w:sz w:val="18"/>
                <w:szCs w:val="18"/>
              </w:rPr>
            </w:pPr>
            <w:r w:rsidRPr="00963FA7">
              <w:rPr>
                <w:rFonts w:eastAsia="Calibri Light" w:cstheme="minorHAnsi"/>
                <w:i/>
                <w:iCs/>
                <w:color w:val="auto"/>
                <w:sz w:val="18"/>
                <w:szCs w:val="18"/>
              </w:rPr>
              <w:t>Risk Register</w:t>
            </w:r>
          </w:p>
          <w:p w14:paraId="3622A917" w14:textId="77777777" w:rsidR="00A71D49" w:rsidRPr="00963FA7" w:rsidRDefault="00A71D49" w:rsidP="00A71D49">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 xml:space="preserve">The risk register has generally been completed in accordance with DFAT’s Development Risk Management Policy and Practice Notes and takes into account as relevant: </w:t>
            </w:r>
          </w:p>
          <w:p w14:paraId="6ABDA9A0" w14:textId="77777777" w:rsidR="00A71D49" w:rsidRPr="00963FA7" w:rsidRDefault="00A71D49" w:rsidP="00A71D49">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 xml:space="preserve">(a) general risks that hinder DFAT’s ability to achieve end of investment outcomes; and </w:t>
            </w:r>
          </w:p>
          <w:p w14:paraId="092149E7" w14:textId="77777777" w:rsidR="00A71D49" w:rsidRPr="00963FA7" w:rsidRDefault="00A71D49" w:rsidP="00A71D49">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(b) five (5) specialised risk domains that have independent policies:</w:t>
            </w:r>
          </w:p>
          <w:p w14:paraId="5D1CD02C" w14:textId="77777777" w:rsidR="00A71D49" w:rsidRPr="00963FA7" w:rsidRDefault="00A71D49" w:rsidP="00A71D49">
            <w:pPr>
              <w:pStyle w:val="ListParagraph"/>
              <w:keepLines/>
              <w:numPr>
                <w:ilvl w:val="0"/>
                <w:numId w:val="67"/>
              </w:numPr>
              <w:rPr>
                <w:rStyle w:val="Hyperlink"/>
                <w:rFonts w:cstheme="minorHAnsi"/>
                <w:color w:val="0070C0"/>
                <w:sz w:val="18"/>
                <w:szCs w:val="18"/>
              </w:rPr>
            </w:pPr>
            <w:r w:rsidRPr="00963FA7">
              <w:rPr>
                <w:rStyle w:val="Hyperlink"/>
                <w:rFonts w:eastAsia="Calibri Light" w:cstheme="minorHAnsi"/>
                <w:color w:val="0070C0"/>
                <w:sz w:val="18"/>
                <w:szCs w:val="18"/>
              </w:rPr>
              <w:t>Child Protection</w:t>
            </w:r>
            <w:r w:rsidRPr="00963FA7">
              <w:rPr>
                <w:rStyle w:val="Hyperlink"/>
                <w:rFonts w:cstheme="minorHAnsi"/>
                <w:color w:val="0070C0"/>
                <w:sz w:val="18"/>
                <w:szCs w:val="18"/>
              </w:rPr>
              <w:t xml:space="preserve"> </w:t>
            </w:r>
          </w:p>
          <w:p w14:paraId="356B1D19" w14:textId="77777777" w:rsidR="00A71D49" w:rsidRPr="00963FA7" w:rsidRDefault="00A71D49" w:rsidP="00A71D49">
            <w:pPr>
              <w:pStyle w:val="ListParagraph"/>
              <w:keepLines/>
              <w:numPr>
                <w:ilvl w:val="0"/>
                <w:numId w:val="67"/>
              </w:numPr>
              <w:rPr>
                <w:rStyle w:val="Hyperlink"/>
                <w:rFonts w:cstheme="minorHAnsi"/>
                <w:color w:val="0070C0"/>
                <w:sz w:val="18"/>
                <w:szCs w:val="18"/>
              </w:rPr>
            </w:pPr>
            <w:r w:rsidRPr="00963FA7">
              <w:rPr>
                <w:rStyle w:val="Hyperlink"/>
                <w:rFonts w:eastAsia="Calibri Light" w:cstheme="minorHAnsi"/>
                <w:color w:val="0070C0"/>
                <w:sz w:val="18"/>
                <w:szCs w:val="18"/>
              </w:rPr>
              <w:t>Counter-Terrorism Resourcing</w:t>
            </w:r>
          </w:p>
          <w:p w14:paraId="69481E3F" w14:textId="77777777" w:rsidR="00A71D49" w:rsidRPr="00963FA7" w:rsidRDefault="00A71D49" w:rsidP="00A71D49">
            <w:pPr>
              <w:pStyle w:val="ListParagraph"/>
              <w:keepLines/>
              <w:numPr>
                <w:ilvl w:val="0"/>
                <w:numId w:val="67"/>
              </w:numPr>
              <w:rPr>
                <w:rStyle w:val="Hyperlink"/>
                <w:rFonts w:cstheme="minorHAnsi"/>
                <w:color w:val="0070C0"/>
                <w:sz w:val="18"/>
                <w:szCs w:val="18"/>
              </w:rPr>
            </w:pPr>
            <w:r w:rsidRPr="00963FA7">
              <w:rPr>
                <w:rStyle w:val="Hyperlink"/>
                <w:rFonts w:eastAsia="Calibri Light" w:cstheme="minorHAnsi"/>
                <w:color w:val="0070C0"/>
                <w:sz w:val="18"/>
                <w:szCs w:val="18"/>
              </w:rPr>
              <w:t>Environment and Social Safeguards</w:t>
            </w:r>
          </w:p>
          <w:p w14:paraId="0EBD52BF" w14:textId="77777777" w:rsidR="00A71D49" w:rsidRPr="00963FA7" w:rsidRDefault="00A71D49" w:rsidP="00A71D49">
            <w:pPr>
              <w:pStyle w:val="ListParagraph"/>
              <w:keepLines/>
              <w:numPr>
                <w:ilvl w:val="0"/>
                <w:numId w:val="67"/>
              </w:numPr>
              <w:rPr>
                <w:rStyle w:val="Hyperlink"/>
                <w:rFonts w:cstheme="minorHAnsi"/>
                <w:color w:val="0070C0"/>
                <w:sz w:val="18"/>
                <w:szCs w:val="18"/>
              </w:rPr>
            </w:pPr>
            <w:r w:rsidRPr="00963FA7">
              <w:rPr>
                <w:rStyle w:val="Hyperlink"/>
                <w:rFonts w:eastAsia="Calibri Light" w:cstheme="minorHAnsi"/>
                <w:color w:val="0070C0"/>
                <w:sz w:val="18"/>
                <w:szCs w:val="18"/>
              </w:rPr>
              <w:t>Fraud Control</w:t>
            </w:r>
          </w:p>
          <w:p w14:paraId="6ECA5B50" w14:textId="101C2688" w:rsidR="00A71D49" w:rsidRPr="00D90E36" w:rsidRDefault="00A71D49" w:rsidP="00A71D49">
            <w:pPr>
              <w:pStyle w:val="ListParagraph"/>
              <w:keepLines/>
              <w:numPr>
                <w:ilvl w:val="0"/>
                <w:numId w:val="67"/>
              </w:numPr>
              <w:rPr>
                <w:rFonts w:ascii="Calibri Light" w:eastAsia="Calibri Light" w:hAnsi="Calibri Light" w:cs="Calibri Light"/>
                <w:i/>
                <w:iCs/>
                <w:color w:val="auto"/>
                <w:sz w:val="20"/>
                <w:szCs w:val="20"/>
              </w:rPr>
            </w:pPr>
            <w:r w:rsidRPr="00963FA7">
              <w:rPr>
                <w:rStyle w:val="Hyperlink"/>
                <w:rFonts w:eastAsia="Calibri Light" w:cstheme="minorHAnsi"/>
                <w:color w:val="0070C0"/>
                <w:sz w:val="18"/>
                <w:szCs w:val="18"/>
              </w:rPr>
              <w:t>Preventing Sexual Exploitation, Abuse and Harassment (PSEAH)</w:t>
            </w:r>
            <w:r w:rsidRPr="00963FA7">
              <w:rPr>
                <w:rStyle w:val="Hyperlink"/>
                <w:rFonts w:cstheme="minorHAnsi"/>
                <w:color w:val="0070C0"/>
                <w:sz w:val="18"/>
                <w:szCs w:val="18"/>
              </w:rPr>
              <w:t>.</w:t>
            </w:r>
          </w:p>
        </w:tc>
        <w:tc>
          <w:tcPr>
            <w:tcW w:w="3402" w:type="dxa"/>
          </w:tcPr>
          <w:p w14:paraId="22FEEB47" w14:textId="77777777" w:rsidR="00A71D49" w:rsidRPr="00963FA7" w:rsidRDefault="00A71D49" w:rsidP="00A71D49">
            <w:pPr>
              <w:keepLines/>
              <w:spacing w:after="120" w:line="240" w:lineRule="auto"/>
              <w:rPr>
                <w:rFonts w:eastAsia="Calibri Light" w:cstheme="minorHAnsi"/>
                <w:i/>
                <w:iCs/>
                <w:color w:val="auto"/>
                <w:sz w:val="18"/>
                <w:szCs w:val="18"/>
              </w:rPr>
            </w:pPr>
            <w:r w:rsidRPr="00963FA7">
              <w:rPr>
                <w:rFonts w:eastAsia="Calibri Light" w:cstheme="minorHAnsi"/>
                <w:i/>
                <w:iCs/>
                <w:color w:val="auto"/>
                <w:sz w:val="18"/>
                <w:szCs w:val="18"/>
              </w:rPr>
              <w:t>Risk Register</w:t>
            </w:r>
          </w:p>
          <w:p w14:paraId="2894BB4A" w14:textId="40334E5A" w:rsidR="00A71D49" w:rsidRPr="00963FA7" w:rsidRDefault="00A71D49" w:rsidP="00A71D49">
            <w:pPr>
              <w:keepLines/>
              <w:spacing w:after="120" w:line="240" w:lineRule="auto"/>
              <w:rPr>
                <w:rFonts w:eastAsia="Calibri Light" w:cstheme="minorHAnsi"/>
                <w:i/>
                <w:iCs/>
                <w:color w:val="auto"/>
                <w:sz w:val="18"/>
                <w:szCs w:val="18"/>
              </w:rPr>
            </w:pPr>
            <w:r w:rsidRPr="00963FA7">
              <w:rPr>
                <w:rFonts w:eastAsia="Calibri Light" w:cstheme="minorHAnsi"/>
                <w:color w:val="auto"/>
                <w:sz w:val="18"/>
                <w:szCs w:val="18"/>
              </w:rPr>
              <w:t>The risk register has not been fully completed in accordance with DFAT’s Development Risk Management Policy and Practice Notes.</w:t>
            </w:r>
          </w:p>
          <w:p w14:paraId="6CE1DE12" w14:textId="77777777" w:rsidR="00A71D49" w:rsidRPr="00963FA7" w:rsidRDefault="00A71D49" w:rsidP="00A71D49">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Some of the specialised risk domains have been considered, but it is evident that one, which is relevant, has not been considered.</w:t>
            </w:r>
          </w:p>
          <w:p w14:paraId="5355F0F0" w14:textId="77777777" w:rsidR="00A71D49" w:rsidRPr="00D90E36" w:rsidRDefault="00A71D49" w:rsidP="00A71D49">
            <w:pPr>
              <w:keepLines/>
              <w:spacing w:after="120" w:line="240" w:lineRule="auto"/>
              <w:rPr>
                <w:rFonts w:ascii="Calibri Light" w:eastAsia="Calibri Light" w:hAnsi="Calibri Light" w:cs="Calibri Light"/>
                <w:i/>
                <w:iCs/>
                <w:color w:val="auto"/>
                <w:sz w:val="20"/>
                <w:szCs w:val="20"/>
              </w:rPr>
            </w:pPr>
          </w:p>
        </w:tc>
        <w:tc>
          <w:tcPr>
            <w:tcW w:w="2977" w:type="dxa"/>
          </w:tcPr>
          <w:p w14:paraId="2352B089" w14:textId="77777777" w:rsidR="00A71D49" w:rsidRPr="00963FA7" w:rsidRDefault="00A71D49" w:rsidP="00A71D49">
            <w:pPr>
              <w:keepLines/>
              <w:spacing w:after="120" w:line="240" w:lineRule="auto"/>
              <w:rPr>
                <w:rFonts w:eastAsia="Calibri Light" w:cstheme="minorHAnsi"/>
                <w:i/>
                <w:iCs/>
                <w:color w:val="auto"/>
                <w:sz w:val="18"/>
                <w:szCs w:val="18"/>
              </w:rPr>
            </w:pPr>
            <w:r w:rsidRPr="00963FA7">
              <w:rPr>
                <w:rFonts w:eastAsia="Calibri Light" w:cstheme="minorHAnsi"/>
                <w:i/>
                <w:iCs/>
                <w:color w:val="auto"/>
                <w:sz w:val="18"/>
                <w:szCs w:val="18"/>
              </w:rPr>
              <w:t>Risk Register</w:t>
            </w:r>
          </w:p>
          <w:p w14:paraId="364B3DC1" w14:textId="77777777" w:rsidR="00A71D49" w:rsidRPr="00963FA7" w:rsidRDefault="00A71D49" w:rsidP="00A71D49">
            <w:pPr>
              <w:keepLines/>
              <w:spacing w:after="120" w:line="240" w:lineRule="auto"/>
              <w:rPr>
                <w:rFonts w:eastAsia="Calibri Light" w:cstheme="minorHAnsi"/>
                <w:color w:val="auto"/>
                <w:sz w:val="18"/>
                <w:szCs w:val="18"/>
              </w:rPr>
            </w:pPr>
            <w:r w:rsidRPr="00963FA7">
              <w:rPr>
                <w:rFonts w:eastAsia="Calibri Light" w:cstheme="minorHAnsi"/>
                <w:color w:val="auto"/>
                <w:sz w:val="18"/>
                <w:szCs w:val="18"/>
              </w:rPr>
              <w:t xml:space="preserve">The risk register has not been provided or it is missing much of the information required.  </w:t>
            </w:r>
          </w:p>
          <w:p w14:paraId="6E8317CB" w14:textId="1A32EEE8" w:rsidR="00A71D49" w:rsidRPr="00D90E36" w:rsidRDefault="00A71D49" w:rsidP="00A71D49">
            <w:pPr>
              <w:keepLines/>
              <w:spacing w:after="120" w:line="240" w:lineRule="auto"/>
              <w:rPr>
                <w:rFonts w:ascii="Calibri Light" w:eastAsia="Calibri Light" w:hAnsi="Calibri Light" w:cs="Calibri Light"/>
                <w:i/>
                <w:iCs/>
                <w:color w:val="auto"/>
                <w:sz w:val="20"/>
                <w:szCs w:val="20"/>
              </w:rPr>
            </w:pPr>
            <w:r w:rsidRPr="00963FA7">
              <w:rPr>
                <w:rFonts w:eastAsia="Calibri Light" w:cstheme="minorHAnsi"/>
                <w:color w:val="auto"/>
                <w:sz w:val="18"/>
                <w:szCs w:val="18"/>
              </w:rPr>
              <w:t>Some of the specialised risk domains have been considered, but it is evident that more than one</w:t>
            </w:r>
            <w:r w:rsidR="00C6226B">
              <w:rPr>
                <w:rFonts w:eastAsia="Calibri Light" w:cstheme="minorHAnsi"/>
                <w:color w:val="auto"/>
                <w:sz w:val="18"/>
                <w:szCs w:val="18"/>
              </w:rPr>
              <w:t xml:space="preserve"> </w:t>
            </w:r>
            <w:r w:rsidRPr="00963FA7">
              <w:rPr>
                <w:rFonts w:eastAsia="Calibri Light" w:cstheme="minorHAnsi"/>
                <w:color w:val="auto"/>
                <w:sz w:val="18"/>
                <w:szCs w:val="18"/>
              </w:rPr>
              <w:t>relevant</w:t>
            </w:r>
            <w:r w:rsidR="00CA3314">
              <w:rPr>
                <w:rFonts w:eastAsia="Calibri Light" w:cstheme="minorHAnsi"/>
                <w:color w:val="auto"/>
                <w:sz w:val="18"/>
                <w:szCs w:val="18"/>
              </w:rPr>
              <w:t xml:space="preserve"> risk domain</w:t>
            </w:r>
            <w:r w:rsidR="00CA3314" w:rsidRPr="00963FA7">
              <w:rPr>
                <w:rFonts w:eastAsia="Calibri Light" w:cstheme="minorHAnsi"/>
                <w:color w:val="auto"/>
                <w:sz w:val="18"/>
                <w:szCs w:val="18"/>
              </w:rPr>
              <w:t xml:space="preserve"> </w:t>
            </w:r>
            <w:r w:rsidRPr="00963FA7">
              <w:rPr>
                <w:rFonts w:eastAsia="Calibri Light" w:cstheme="minorHAnsi"/>
                <w:color w:val="auto"/>
                <w:sz w:val="18"/>
                <w:szCs w:val="18"/>
              </w:rPr>
              <w:t>has not been considered.</w:t>
            </w:r>
          </w:p>
        </w:tc>
      </w:tr>
    </w:tbl>
    <w:p w14:paraId="3CAAE23F" w14:textId="77777777" w:rsidR="00A01C0A" w:rsidRPr="006B2F01" w:rsidRDefault="00A01C0A" w:rsidP="00997E44">
      <w:pPr>
        <w:rPr>
          <w:color w:val="auto"/>
          <w:lang w:val="en-AU"/>
        </w:rPr>
      </w:pPr>
    </w:p>
    <w:sectPr w:rsidR="00A01C0A" w:rsidRPr="006B2F01" w:rsidSect="00AE5191">
      <w:pgSz w:w="16838" w:h="11906" w:orient="landscape" w:code="9"/>
      <w:pgMar w:top="1440" w:right="1440" w:bottom="1440" w:left="1440" w:header="567" w:footer="5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1">
      <wne:acd wne:acdName="acd1"/>
    </wne:keymap>
    <wne:keymap wne:kcmPrimary="0262">
      <wne:acd wne:acdName="acd2"/>
    </wne:keymap>
    <wne:keymap wne:kcmPrimary="0263">
      <wne:acd wne:acdName="acd0"/>
    </wne:keymap>
    <wne:keymap wne:kcmPrimary="0264">
      <wne:acd wne:acdName="acd6"/>
    </wne:keymap>
    <wne:keymap wne:kcmPrimary="0265">
      <wne:acd wne:acdName="acd7"/>
    </wne:keymap>
    <wne:keymap wne:kcmPrimary="0266">
      <wne:acd wne:acdName="acd4"/>
    </wne:keymap>
    <wne:keymap wne:kcmPrimary="0267">
      <wne:acd wne:acdName="acd9"/>
    </wne:keymap>
    <wne:keymap wne:kcmPrimary="0662">
      <wne:acd wne:acdName="acd3"/>
    </wne:keymap>
    <wne:keymap wne:kcmPrimary="0665">
      <wne:acd wne:acdName="acd8"/>
    </wne:keymap>
    <wne:keymap wne:kcmPrimary="0666">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gBIAGUAYQBkAGkAbgBnACAAMQAgAHMAbQBhAGwAbAAgAHMAcABhAGMAZQAgAGEAZgB0AGUAcgA=" wne:acdName="acd1" wne:fciIndexBasedOn="0065"/>
    <wne:acd wne:argValue="AQAAAAIA" wne:acdName="acd2" wne:fciIndexBasedOn="0065"/>
    <wne:acd wne:argValue="AQAAAAMA" wne:acdName="acd3" wne:fciIndexBasedOn="0065"/>
    <wne:acd wne:argValue="AgBCAHUAbABsAGUAdAAgADEA" wne:acdName="acd4" wne:fciIndexBasedOn="0065"/>
    <wne:acd wne:argValue="AgBCAHUAbABsAGUAdAAgADIA" wne:acdName="acd5" wne:fciIndexBasedOn="0065"/>
    <wne:acd wne:argValue="AQAAAFgA" wne:acdName="acd6" wne:fciIndexBasedOn="0065"/>
    <wne:acd wne:argValue="AQAAAFcA" wne:acdName="acd7" wne:fciIndexBasedOn="0065"/>
    <wne:acd wne:argValue="AQABAAUA" wne:acdName="acd8" wne:fciIndexBasedOn="0065"/>
    <wne:acd wne:argValue="AgBGAGkAZwB1AHI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4D2F" w14:textId="77777777" w:rsidR="007923F8" w:rsidRDefault="007923F8" w:rsidP="003A5358">
      <w:r>
        <w:separator/>
      </w:r>
    </w:p>
  </w:endnote>
  <w:endnote w:type="continuationSeparator" w:id="0">
    <w:p w14:paraId="7ED40DAC" w14:textId="77777777" w:rsidR="007923F8" w:rsidRDefault="007923F8" w:rsidP="003A5358">
      <w:r>
        <w:continuationSeparator/>
      </w:r>
    </w:p>
  </w:endnote>
  <w:endnote w:type="continuationNotice" w:id="1">
    <w:p w14:paraId="0F1A104A" w14:textId="77777777" w:rsidR="007923F8" w:rsidRDefault="007923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E64" w14:textId="68D235DA" w:rsidR="006B2F01" w:rsidRPr="001C07AD" w:rsidRDefault="00BB4D7F" w:rsidP="00810F80">
    <w:pPr>
      <w:pStyle w:val="Footer"/>
      <w:jc w:val="center"/>
      <w:rPr>
        <w:rFonts w:asciiTheme="majorHAnsi" w:hAnsiTheme="majorHAnsi"/>
        <w:sz w:val="20"/>
      </w:rPr>
    </w:pPr>
    <w:r>
      <w:rPr>
        <w:noProof/>
      </w:rPr>
      <mc:AlternateContent>
        <mc:Choice Requires="wps">
          <w:drawing>
            <wp:anchor distT="0" distB="0" distL="114300" distR="114300" simplePos="0" relativeHeight="251658243" behindDoc="0" locked="1" layoutInCell="0" allowOverlap="1" wp14:anchorId="6368D265" wp14:editId="2A1E4266">
              <wp:simplePos x="0" y="0"/>
              <wp:positionH relativeFrom="margin">
                <wp:align>center</wp:align>
              </wp:positionH>
              <wp:positionV relativeFrom="bottomMargin">
                <wp:posOffset>440690</wp:posOffset>
              </wp:positionV>
              <wp:extent cx="892175" cy="387350"/>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892175" cy="387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66AEE" w14:textId="0790D2F4" w:rsidR="00BB4D7F" w:rsidRPr="00EB0DC0" w:rsidRDefault="00EB0DC0" w:rsidP="0047288A">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8E21B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68D265" id="_x0000_t202" coordsize="21600,21600" o:spt="202" path="m,l,21600r21600,l21600,xe">
              <v:stroke joinstyle="miter"/>
              <v:path gradientshapeok="t" o:connecttype="rect"/>
            </v:shapetype>
            <v:shape id="Text Box 5" o:spid="_x0000_s1026" type="#_x0000_t202" style="position:absolute;left:0;text-align:left;margin-left:0;margin-top:34.7pt;width:70.25pt;height:30.5pt;z-index:251658243;visibility:visible;mso-wrap-style:none;mso-wrap-distance-left:9pt;mso-wrap-distance-top:0;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" o:allowincell="f" filled="f" stroked="f" strokeweight=".5pt">
              <v:textbox style="mso-fit-shape-to-text:t">
                <w:txbxContent>
                  <w:p w14:paraId="53D66AEE" w14:textId="0790D2F4" w:rsidR="00BB4D7F" w:rsidRPr="00EB0DC0" w:rsidRDefault="00EB0DC0" w:rsidP="0047288A">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8E21B1">
                      <w:rPr>
                        <w:rFonts w:ascii="Arial" w:hAnsi="Arial" w:cs="Arial"/>
                        <w:b/>
                        <w:color w:val="FF0000"/>
                        <w:sz w:val="24"/>
                      </w:rPr>
                      <w:t>OFFICIAL</w:t>
                    </w:r>
                    <w:r>
                      <w:rPr>
                        <w:rFonts w:ascii="Arial" w:hAnsi="Arial" w:cs="Arial"/>
                        <w:b/>
                        <w:color w:val="FF0000"/>
                        <w:sz w:val="24"/>
                      </w:rPr>
                      <w:fldChar w:fldCharType="end"/>
                    </w:r>
                  </w:p>
                </w:txbxContent>
              </v:textbox>
              <w10:wrap type="topAndBottom" anchorx="margin" anchory="margin"/>
              <w10:anchorlock/>
            </v:shape>
          </w:pict>
        </mc:Fallback>
      </mc:AlternateContent>
    </w:r>
    <w:sdt>
      <w:sdtPr>
        <w:id w:val="864870491"/>
        <w:docPartObj>
          <w:docPartGallery w:val="Page Numbers (Bottom of Page)"/>
          <w:docPartUnique/>
        </w:docPartObj>
      </w:sdtPr>
      <w:sdtEndPr>
        <w:rPr>
          <w:rFonts w:asciiTheme="majorHAnsi" w:hAnsiTheme="majorHAnsi"/>
          <w:noProof/>
          <w:sz w:val="20"/>
        </w:rPr>
      </w:sdtEndPr>
      <w:sdtContent>
        <w:r w:rsidR="006B2F01">
          <w:t xml:space="preserve">                                                                                                                                                                                                                                               </w:t>
        </w:r>
        <w:r w:rsidR="006B2F01" w:rsidRPr="001C07AD">
          <w:rPr>
            <w:rFonts w:asciiTheme="majorHAnsi" w:hAnsiTheme="majorHAnsi"/>
            <w:sz w:val="20"/>
          </w:rPr>
          <w:fldChar w:fldCharType="begin"/>
        </w:r>
        <w:r w:rsidR="006B2F01" w:rsidRPr="001C07AD">
          <w:rPr>
            <w:rFonts w:asciiTheme="majorHAnsi" w:hAnsiTheme="majorHAnsi"/>
            <w:sz w:val="20"/>
          </w:rPr>
          <w:instrText xml:space="preserve"> PAGE   \* MERGEFORMAT </w:instrText>
        </w:r>
        <w:r w:rsidR="006B2F01" w:rsidRPr="001C07AD">
          <w:rPr>
            <w:rFonts w:asciiTheme="majorHAnsi" w:hAnsiTheme="majorHAnsi"/>
            <w:sz w:val="20"/>
          </w:rPr>
          <w:fldChar w:fldCharType="separate"/>
        </w:r>
        <w:r w:rsidR="009750CB">
          <w:rPr>
            <w:rFonts w:asciiTheme="majorHAnsi" w:hAnsiTheme="majorHAnsi"/>
            <w:noProof/>
            <w:sz w:val="20"/>
          </w:rPr>
          <w:t>2</w:t>
        </w:r>
        <w:r w:rsidR="006B2F01" w:rsidRPr="001C07AD">
          <w:rPr>
            <w:rFonts w:asciiTheme="majorHAnsi" w:hAnsiTheme="majorHAnsi"/>
            <w:noProof/>
            <w:sz w:val="20"/>
          </w:rPr>
          <w:fldChar w:fldCharType="end"/>
        </w:r>
      </w:sdtContent>
    </w:sdt>
  </w:p>
  <w:p w14:paraId="50ED477F" w14:textId="77777777" w:rsidR="006B2F01" w:rsidRDefault="006B2F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14CD" w14:textId="77777777" w:rsidR="006B2F01" w:rsidRDefault="006B2F01" w:rsidP="00D203EB">
    <w:pPr>
      <w:pStyle w:val="Classification"/>
    </w:pPr>
    <w:r>
      <w:rPr>
        <w:noProof/>
        <w:lang w:val="en-AU" w:eastAsia="en-AU"/>
      </w:rPr>
      <w:drawing>
        <wp:anchor distT="0" distB="0" distL="114300" distR="114300" simplePos="0" relativeHeight="251658240" behindDoc="1" locked="0" layoutInCell="1" allowOverlap="1" wp14:anchorId="3CA49483" wp14:editId="10E24919">
          <wp:simplePos x="0" y="0"/>
          <wp:positionH relativeFrom="page">
            <wp:posOffset>723900</wp:posOffset>
          </wp:positionH>
          <wp:positionV relativeFrom="page">
            <wp:posOffset>10156190</wp:posOffset>
          </wp:positionV>
          <wp:extent cx="6119495" cy="38227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00CBE35A" w14:textId="66039817" w:rsidR="006B2F01" w:rsidRDefault="006B2F01" w:rsidP="003A5358">
    <w:pPr>
      <w:pStyle w:val="Footer"/>
    </w:pPr>
    <w:r>
      <w:tab/>
    </w:r>
    <w:r w:rsidRPr="005B583F">
      <w:fldChar w:fldCharType="begin"/>
    </w:r>
    <w:r>
      <w:instrText xml:space="preserve"> STYLEREF  Title  \* MERGEFORMAT </w:instrText>
    </w:r>
    <w:r w:rsidRPr="005B583F">
      <w:fldChar w:fldCharType="separate"/>
    </w:r>
    <w:r w:rsidR="008E21B1">
      <w:rPr>
        <w:b/>
        <w:bCs/>
        <w:noProof/>
        <w:lang w:val="en-US"/>
      </w:rPr>
      <w:t>Error! No text of specified style in document.</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Pr>
        <w:rStyle w:val="PageNumber"/>
        <w:noProof/>
      </w:rPr>
      <w:t>3</w:t>
    </w:r>
    <w:r w:rsidRPr="005B583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AA9" w14:textId="34A9E830" w:rsidR="006B2F01" w:rsidRPr="00F7693F" w:rsidRDefault="00BB4D7F">
    <w:pPr>
      <w:pStyle w:val="Footer"/>
      <w:jc w:val="right"/>
      <w:rPr>
        <w:color w:val="auto"/>
      </w:rPr>
    </w:pPr>
    <w:r>
      <w:rPr>
        <w:noProof/>
        <w:color w:val="auto"/>
      </w:rPr>
      <mc:AlternateContent>
        <mc:Choice Requires="wps">
          <w:drawing>
            <wp:anchor distT="0" distB="0" distL="114300" distR="114300" simplePos="0" relativeHeight="251658244" behindDoc="0" locked="1" layoutInCell="0" allowOverlap="1" wp14:anchorId="753D4C01" wp14:editId="6F72B521">
              <wp:simplePos x="0" y="0"/>
              <wp:positionH relativeFrom="margin">
                <wp:align>center</wp:align>
              </wp:positionH>
              <wp:positionV relativeFrom="bottomMargin">
                <wp:align>center</wp:align>
              </wp:positionV>
              <wp:extent cx="892175" cy="387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3873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0CD030" w14:textId="58014D39" w:rsidR="00BB4D7F" w:rsidRPr="00EB0DC0" w:rsidRDefault="00EB0DC0" w:rsidP="0047288A">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8E21B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3D4C01" id="_x0000_t202" coordsize="21600,21600" o:spt="202" path="m,l,21600r21600,l21600,xe">
              <v:stroke joinstyle="miter"/>
              <v:path gradientshapeok="t" o:connecttype="rect"/>
            </v:shapetype>
            <v:shape id="Text Box 7" o:spid="_x0000_s1027" type="#_x0000_t202" style="position:absolute;left:0;text-align:left;margin-left:0;margin-top:0;width:70.25pt;height:30.5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" o:allowincell="f" filled="f" stroked="f" strokeweight=".5pt">
              <v:textbox style="mso-fit-shape-to-text:t">
                <w:txbxContent>
                  <w:p w14:paraId="410CD030" w14:textId="58014D39" w:rsidR="00BB4D7F" w:rsidRPr="00EB0DC0" w:rsidRDefault="00EB0DC0" w:rsidP="0047288A">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sidR="008E21B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sdt>
      <w:sdtPr>
        <w:rPr>
          <w:color w:val="auto"/>
        </w:rPr>
        <w:id w:val="-1355111467"/>
        <w:docPartObj>
          <w:docPartGallery w:val="Page Numbers (Bottom of Page)"/>
          <w:docPartUnique/>
        </w:docPartObj>
      </w:sdtPr>
      <w:sdtEndPr>
        <w:rPr>
          <w:noProof/>
        </w:rPr>
      </w:sdtEndPr>
      <w:sdtContent>
        <w:r w:rsidR="006B2F01" w:rsidRPr="00F7693F">
          <w:rPr>
            <w:color w:val="auto"/>
          </w:rPr>
          <w:fldChar w:fldCharType="begin"/>
        </w:r>
        <w:r w:rsidR="006B2F01" w:rsidRPr="00F7693F">
          <w:rPr>
            <w:color w:val="auto"/>
          </w:rPr>
          <w:instrText xml:space="preserve"> PAGE   \* MERGEFORMAT </w:instrText>
        </w:r>
        <w:r w:rsidR="006B2F01" w:rsidRPr="00F7693F">
          <w:rPr>
            <w:color w:val="auto"/>
          </w:rPr>
          <w:fldChar w:fldCharType="separate"/>
        </w:r>
        <w:r w:rsidR="009750CB">
          <w:rPr>
            <w:noProof/>
            <w:color w:val="auto"/>
          </w:rPr>
          <w:t>20</w:t>
        </w:r>
        <w:r w:rsidR="006B2F01" w:rsidRPr="00F7693F">
          <w:rPr>
            <w:noProof/>
            <w:color w:val="auto"/>
          </w:rPr>
          <w:fldChar w:fldCharType="end"/>
        </w:r>
      </w:sdtContent>
    </w:sdt>
  </w:p>
  <w:p w14:paraId="3B6579F2" w14:textId="77777777" w:rsidR="006B2F01" w:rsidRPr="00F7693F" w:rsidRDefault="006B2F01">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BDED" w14:textId="77777777" w:rsidR="007923F8" w:rsidRPr="008C5A0E" w:rsidRDefault="007923F8" w:rsidP="003A5358">
      <w:pPr>
        <w:pStyle w:val="FootnoteSeparator"/>
      </w:pPr>
    </w:p>
  </w:footnote>
  <w:footnote w:type="continuationSeparator" w:id="0">
    <w:p w14:paraId="266A255D" w14:textId="77777777" w:rsidR="007923F8" w:rsidRDefault="007923F8" w:rsidP="003A5358">
      <w:r>
        <w:continuationSeparator/>
      </w:r>
    </w:p>
  </w:footnote>
  <w:footnote w:type="continuationNotice" w:id="1">
    <w:p w14:paraId="0ABD9315" w14:textId="77777777" w:rsidR="007923F8" w:rsidRDefault="007923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066F" w14:textId="0E7C6B23" w:rsidR="006B2F01" w:rsidRPr="00806503" w:rsidRDefault="006B2F01" w:rsidP="00F2788A">
    <w:pPr>
      <w:pStyle w:val="Classification"/>
      <w:tabs>
        <w:tab w:val="clear" w:pos="9026"/>
        <w:tab w:val="left" w:pos="1682"/>
        <w:tab w:val="left" w:pos="5355"/>
      </w:tabs>
      <w:jc w:val="left"/>
    </w:pPr>
    <w:r w:rsidRPr="00943730">
      <w:rPr>
        <w:noProof/>
        <w:lang w:val="en-AU" w:eastAsia="en-AU"/>
      </w:rPr>
      <w:drawing>
        <wp:anchor distT="0" distB="0" distL="114300" distR="114300" simplePos="0" relativeHeight="251658242" behindDoc="1" locked="1" layoutInCell="1" allowOverlap="1" wp14:anchorId="5EF017A1" wp14:editId="6321E90C">
          <wp:simplePos x="0" y="0"/>
          <wp:positionH relativeFrom="page">
            <wp:posOffset>-31750</wp:posOffset>
          </wp:positionH>
          <wp:positionV relativeFrom="page">
            <wp:posOffset>76835</wp:posOffset>
          </wp:positionV>
          <wp:extent cx="7559040" cy="10692130"/>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0993" w14:textId="77777777" w:rsidR="006B2F01" w:rsidRPr="00806503" w:rsidRDefault="006B2F01" w:rsidP="00D203EB">
    <w:pPr>
      <w:pStyle w:val="Classification"/>
    </w:pPr>
    <w:r>
      <w:rPr>
        <w:noProof/>
        <w:lang w:val="en-AU" w:eastAsia="en-AU"/>
      </w:rPr>
      <w:drawing>
        <wp:anchor distT="0" distB="0" distL="114300" distR="114300" simplePos="0" relativeHeight="251658241" behindDoc="1" locked="0" layoutInCell="1" allowOverlap="1" wp14:anchorId="695CCF35" wp14:editId="288620C9">
          <wp:simplePos x="0" y="0"/>
          <wp:positionH relativeFrom="page">
            <wp:posOffset>180340</wp:posOffset>
          </wp:positionH>
          <wp:positionV relativeFrom="page">
            <wp:posOffset>180340</wp:posOffset>
          </wp:positionV>
          <wp:extent cx="7200000" cy="2521440"/>
          <wp:effectExtent l="0" t="0" r="1270" b="0"/>
          <wp:wrapNone/>
          <wp:docPr id="9" name="Picture 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Aqua-H1-1stPageHeader.png"/>
                  <pic:cNvPicPr/>
                </pic:nvPicPr>
                <pic:blipFill>
                  <a:blip r:embed="rId1">
                    <a:extLst>
                      <a:ext uri="{28A0092B-C50C-407E-A947-70E740481C1C}">
                        <a14:useLocalDpi xmlns:a14="http://schemas.microsoft.com/office/drawing/2010/main" val="0"/>
                      </a:ext>
                    </a:extLst>
                  </a:blip>
                  <a:stretch>
                    <a:fillRect/>
                  </a:stretch>
                </pic:blipFill>
                <pic:spPr>
                  <a:xfrm>
                    <a:off x="0" y="0"/>
                    <a:ext cx="7200000" cy="2521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141"/>
    <w:multiLevelType w:val="hybridMultilevel"/>
    <w:tmpl w:val="86FCE49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E31F8"/>
    <w:multiLevelType w:val="hybridMultilevel"/>
    <w:tmpl w:val="4D808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839C9"/>
    <w:multiLevelType w:val="hybridMultilevel"/>
    <w:tmpl w:val="126C0392"/>
    <w:lvl w:ilvl="0" w:tplc="0C090019">
      <w:start w:val="1"/>
      <w:numFmt w:val="low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3" w15:restartNumberingAfterBreak="0">
    <w:nsid w:val="02E2580F"/>
    <w:multiLevelType w:val="hybridMultilevel"/>
    <w:tmpl w:val="23CCD046"/>
    <w:lvl w:ilvl="0" w:tplc="9E9E8CC0">
      <w:start w:val="1"/>
      <w:numFmt w:val="bullet"/>
      <w:lvlText w:val=""/>
      <w:lvlJc w:val="left"/>
      <w:pPr>
        <w:ind w:left="284" w:hanging="22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CF54387"/>
    <w:multiLevelType w:val="hybridMultilevel"/>
    <w:tmpl w:val="BF00F324"/>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10"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11" w15:restartNumberingAfterBreak="0">
    <w:nsid w:val="1A060F9C"/>
    <w:multiLevelType w:val="hybridMultilevel"/>
    <w:tmpl w:val="8C6A5AFA"/>
    <w:lvl w:ilvl="0" w:tplc="83EEC928">
      <w:start w:val="1"/>
      <w:numFmt w:val="decimal"/>
      <w:lvlText w:val="%1."/>
      <w:lvlJc w:val="left"/>
      <w:pPr>
        <w:ind w:left="720" w:hanging="360"/>
      </w:pPr>
      <w:rPr>
        <w:rFonts w:asciiTheme="minorHAnsi" w:hAnsiTheme="minorHAnsi"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AC38FA"/>
    <w:multiLevelType w:val="hybridMultilevel"/>
    <w:tmpl w:val="092C2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0A142B"/>
    <w:multiLevelType w:val="hybridMultilevel"/>
    <w:tmpl w:val="B6E4CDBA"/>
    <w:lvl w:ilvl="0" w:tplc="F6A6E83E">
      <w:start w:val="1"/>
      <w:numFmt w:val="bullet"/>
      <w:lvlText w:val="-"/>
      <w:lvlJc w:val="left"/>
      <w:pPr>
        <w:ind w:left="720" w:hanging="360"/>
      </w:pPr>
      <w:rPr>
        <w:rFonts w:ascii="Calibri" w:hAnsi="Calibri" w:hint="default"/>
      </w:rPr>
    </w:lvl>
    <w:lvl w:ilvl="1" w:tplc="3A927CEA">
      <w:start w:val="1"/>
      <w:numFmt w:val="bullet"/>
      <w:lvlText w:val="o"/>
      <w:lvlJc w:val="left"/>
      <w:pPr>
        <w:ind w:left="1440" w:hanging="360"/>
      </w:pPr>
      <w:rPr>
        <w:rFonts w:ascii="Courier New" w:hAnsi="Courier New" w:hint="default"/>
      </w:rPr>
    </w:lvl>
    <w:lvl w:ilvl="2" w:tplc="80220828">
      <w:start w:val="1"/>
      <w:numFmt w:val="bullet"/>
      <w:lvlText w:val=""/>
      <w:lvlJc w:val="left"/>
      <w:pPr>
        <w:ind w:left="2160" w:hanging="360"/>
      </w:pPr>
      <w:rPr>
        <w:rFonts w:ascii="Wingdings" w:hAnsi="Wingdings" w:hint="default"/>
      </w:rPr>
    </w:lvl>
    <w:lvl w:ilvl="3" w:tplc="6B8C7A4C">
      <w:start w:val="1"/>
      <w:numFmt w:val="bullet"/>
      <w:lvlText w:val=""/>
      <w:lvlJc w:val="left"/>
      <w:pPr>
        <w:ind w:left="2880" w:hanging="360"/>
      </w:pPr>
      <w:rPr>
        <w:rFonts w:ascii="Symbol" w:hAnsi="Symbol" w:hint="default"/>
      </w:rPr>
    </w:lvl>
    <w:lvl w:ilvl="4" w:tplc="50C02438">
      <w:start w:val="1"/>
      <w:numFmt w:val="bullet"/>
      <w:lvlText w:val="o"/>
      <w:lvlJc w:val="left"/>
      <w:pPr>
        <w:ind w:left="3600" w:hanging="360"/>
      </w:pPr>
      <w:rPr>
        <w:rFonts w:ascii="Courier New" w:hAnsi="Courier New" w:hint="default"/>
      </w:rPr>
    </w:lvl>
    <w:lvl w:ilvl="5" w:tplc="F2E29352">
      <w:start w:val="1"/>
      <w:numFmt w:val="bullet"/>
      <w:lvlText w:val=""/>
      <w:lvlJc w:val="left"/>
      <w:pPr>
        <w:ind w:left="4320" w:hanging="360"/>
      </w:pPr>
      <w:rPr>
        <w:rFonts w:ascii="Wingdings" w:hAnsi="Wingdings" w:hint="default"/>
      </w:rPr>
    </w:lvl>
    <w:lvl w:ilvl="6" w:tplc="5364ADCA">
      <w:start w:val="1"/>
      <w:numFmt w:val="bullet"/>
      <w:lvlText w:val=""/>
      <w:lvlJc w:val="left"/>
      <w:pPr>
        <w:ind w:left="5040" w:hanging="360"/>
      </w:pPr>
      <w:rPr>
        <w:rFonts w:ascii="Symbol" w:hAnsi="Symbol" w:hint="default"/>
      </w:rPr>
    </w:lvl>
    <w:lvl w:ilvl="7" w:tplc="CE9E3B60">
      <w:start w:val="1"/>
      <w:numFmt w:val="bullet"/>
      <w:lvlText w:val="o"/>
      <w:lvlJc w:val="left"/>
      <w:pPr>
        <w:ind w:left="5760" w:hanging="360"/>
      </w:pPr>
      <w:rPr>
        <w:rFonts w:ascii="Courier New" w:hAnsi="Courier New" w:hint="default"/>
      </w:rPr>
    </w:lvl>
    <w:lvl w:ilvl="8" w:tplc="2AFEC236">
      <w:start w:val="1"/>
      <w:numFmt w:val="bullet"/>
      <w:lvlText w:val=""/>
      <w:lvlJc w:val="left"/>
      <w:pPr>
        <w:ind w:left="6480" w:hanging="360"/>
      </w:pPr>
      <w:rPr>
        <w:rFonts w:ascii="Wingdings" w:hAnsi="Wingdings" w:hint="default"/>
      </w:rPr>
    </w:lvl>
  </w:abstractNum>
  <w:abstractNum w:abstractNumId="14" w15:restartNumberingAfterBreak="0">
    <w:nsid w:val="27DE2AF3"/>
    <w:multiLevelType w:val="hybridMultilevel"/>
    <w:tmpl w:val="22F6B54E"/>
    <w:lvl w:ilvl="0" w:tplc="40C2C87A">
      <w:start w:val="1"/>
      <w:numFmt w:val="decimal"/>
      <w:lvlText w:val="%1."/>
      <w:lvlJc w:val="left"/>
      <w:pPr>
        <w:ind w:left="720" w:hanging="360"/>
      </w:pPr>
      <w:rPr>
        <w:rFonts w:asciiTheme="majorHAnsi" w:hAnsiTheme="majorHAnsi" w:hint="default"/>
        <w:b/>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87DCE"/>
    <w:multiLevelType w:val="hybridMultilevel"/>
    <w:tmpl w:val="E5C09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9B159F"/>
    <w:multiLevelType w:val="multilevel"/>
    <w:tmpl w:val="327AC97A"/>
    <w:styleLink w:val="HeadingsList"/>
    <w:lvl w:ilvl="0">
      <w:start w:val="1"/>
      <w:numFmt w:val="decimal"/>
      <w:suff w:val="space"/>
      <w:lvlText w:val="Chapter %1"/>
      <w:lvlJc w:val="left"/>
      <w:pPr>
        <w:ind w:left="3828"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3687"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19B48C3"/>
    <w:multiLevelType w:val="hybridMultilevel"/>
    <w:tmpl w:val="44642050"/>
    <w:lvl w:ilvl="0" w:tplc="938CF4BE">
      <w:start w:val="1"/>
      <w:numFmt w:val="bullet"/>
      <w:lvlText w:val=""/>
      <w:lvlJc w:val="left"/>
      <w:pPr>
        <w:ind w:left="4046" w:hanging="360"/>
      </w:pPr>
      <w:rPr>
        <w:rFonts w:ascii="Symbol" w:hAnsi="Symbol" w:hint="default"/>
        <w:sz w:val="16"/>
      </w:rPr>
    </w:lvl>
    <w:lvl w:ilvl="1" w:tplc="0C090019" w:tentative="1">
      <w:start w:val="1"/>
      <w:numFmt w:val="lowerLetter"/>
      <w:lvlText w:val="%2."/>
      <w:lvlJc w:val="left"/>
      <w:pPr>
        <w:ind w:left="4766" w:hanging="360"/>
      </w:pPr>
    </w:lvl>
    <w:lvl w:ilvl="2" w:tplc="0C09001B">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19" w15:restartNumberingAfterBreak="0">
    <w:nsid w:val="325AEDD5"/>
    <w:multiLevelType w:val="hybridMultilevel"/>
    <w:tmpl w:val="ECDC4160"/>
    <w:lvl w:ilvl="0" w:tplc="85F2F7F4">
      <w:start w:val="1"/>
      <w:numFmt w:val="bullet"/>
      <w:lvlText w:val="-"/>
      <w:lvlJc w:val="left"/>
      <w:pPr>
        <w:ind w:left="360" w:hanging="360"/>
      </w:pPr>
      <w:rPr>
        <w:rFonts w:ascii="Calibri" w:hAnsi="Calibri" w:hint="default"/>
      </w:rPr>
    </w:lvl>
    <w:lvl w:ilvl="1" w:tplc="E68875B6">
      <w:start w:val="1"/>
      <w:numFmt w:val="bullet"/>
      <w:lvlText w:val="o"/>
      <w:lvlJc w:val="left"/>
      <w:pPr>
        <w:ind w:left="1080" w:hanging="360"/>
      </w:pPr>
      <w:rPr>
        <w:rFonts w:ascii="Courier New" w:hAnsi="Courier New" w:hint="default"/>
      </w:rPr>
    </w:lvl>
    <w:lvl w:ilvl="2" w:tplc="23109B52">
      <w:start w:val="1"/>
      <w:numFmt w:val="bullet"/>
      <w:lvlText w:val=""/>
      <w:lvlJc w:val="left"/>
      <w:pPr>
        <w:ind w:left="1800" w:hanging="360"/>
      </w:pPr>
      <w:rPr>
        <w:rFonts w:ascii="Wingdings" w:hAnsi="Wingdings" w:hint="default"/>
      </w:rPr>
    </w:lvl>
    <w:lvl w:ilvl="3" w:tplc="1C94C6C2">
      <w:start w:val="1"/>
      <w:numFmt w:val="bullet"/>
      <w:lvlText w:val=""/>
      <w:lvlJc w:val="left"/>
      <w:pPr>
        <w:ind w:left="2520" w:hanging="360"/>
      </w:pPr>
      <w:rPr>
        <w:rFonts w:ascii="Symbol" w:hAnsi="Symbol" w:hint="default"/>
      </w:rPr>
    </w:lvl>
    <w:lvl w:ilvl="4" w:tplc="AFD4E7A6">
      <w:start w:val="1"/>
      <w:numFmt w:val="bullet"/>
      <w:lvlText w:val="o"/>
      <w:lvlJc w:val="left"/>
      <w:pPr>
        <w:ind w:left="3240" w:hanging="360"/>
      </w:pPr>
      <w:rPr>
        <w:rFonts w:ascii="Courier New" w:hAnsi="Courier New" w:hint="default"/>
      </w:rPr>
    </w:lvl>
    <w:lvl w:ilvl="5" w:tplc="6CEADC54">
      <w:start w:val="1"/>
      <w:numFmt w:val="bullet"/>
      <w:lvlText w:val=""/>
      <w:lvlJc w:val="left"/>
      <w:pPr>
        <w:ind w:left="3960" w:hanging="360"/>
      </w:pPr>
      <w:rPr>
        <w:rFonts w:ascii="Wingdings" w:hAnsi="Wingdings" w:hint="default"/>
      </w:rPr>
    </w:lvl>
    <w:lvl w:ilvl="6" w:tplc="137E0E60">
      <w:start w:val="1"/>
      <w:numFmt w:val="bullet"/>
      <w:lvlText w:val=""/>
      <w:lvlJc w:val="left"/>
      <w:pPr>
        <w:ind w:left="4680" w:hanging="360"/>
      </w:pPr>
      <w:rPr>
        <w:rFonts w:ascii="Symbol" w:hAnsi="Symbol" w:hint="default"/>
      </w:rPr>
    </w:lvl>
    <w:lvl w:ilvl="7" w:tplc="DDF0D0F0">
      <w:start w:val="1"/>
      <w:numFmt w:val="bullet"/>
      <w:lvlText w:val="o"/>
      <w:lvlJc w:val="left"/>
      <w:pPr>
        <w:ind w:left="5400" w:hanging="360"/>
      </w:pPr>
      <w:rPr>
        <w:rFonts w:ascii="Courier New" w:hAnsi="Courier New" w:hint="default"/>
      </w:rPr>
    </w:lvl>
    <w:lvl w:ilvl="8" w:tplc="1C7AD0A2">
      <w:start w:val="1"/>
      <w:numFmt w:val="bullet"/>
      <w:lvlText w:val=""/>
      <w:lvlJc w:val="left"/>
      <w:pPr>
        <w:ind w:left="6120" w:hanging="360"/>
      </w:pPr>
      <w:rPr>
        <w:rFonts w:ascii="Wingdings" w:hAnsi="Wingdings" w:hint="default"/>
      </w:rPr>
    </w:lvl>
  </w:abstractNum>
  <w:abstractNum w:abstractNumId="20" w15:restartNumberingAfterBreak="0">
    <w:nsid w:val="374936A6"/>
    <w:multiLevelType w:val="hybridMultilevel"/>
    <w:tmpl w:val="B37C3E1A"/>
    <w:lvl w:ilvl="0" w:tplc="CA860410">
      <w:start w:val="1"/>
      <w:numFmt w:val="decimal"/>
      <w:lvlText w:val="%1."/>
      <w:lvlJc w:val="left"/>
      <w:pPr>
        <w:ind w:left="720" w:hanging="360"/>
      </w:pPr>
      <w:rPr>
        <w:rFonts w:asciiTheme="minorHAnsi" w:hAnsiTheme="minorHAnsi"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360D80"/>
    <w:multiLevelType w:val="hybridMultilevel"/>
    <w:tmpl w:val="A278633E"/>
    <w:lvl w:ilvl="0" w:tplc="AC7C9754">
      <w:start w:val="1"/>
      <w:numFmt w:val="bullet"/>
      <w:lvlText w:val="-"/>
      <w:lvlJc w:val="left"/>
      <w:pPr>
        <w:ind w:left="720" w:hanging="360"/>
      </w:pPr>
      <w:rPr>
        <w:rFonts w:ascii="Calibri" w:hAnsi="Calibri" w:hint="default"/>
      </w:rPr>
    </w:lvl>
    <w:lvl w:ilvl="1" w:tplc="F264AF66">
      <w:start w:val="1"/>
      <w:numFmt w:val="bullet"/>
      <w:lvlText w:val="o"/>
      <w:lvlJc w:val="left"/>
      <w:pPr>
        <w:ind w:left="1440" w:hanging="360"/>
      </w:pPr>
      <w:rPr>
        <w:rFonts w:ascii="Courier New" w:hAnsi="Courier New" w:hint="default"/>
      </w:rPr>
    </w:lvl>
    <w:lvl w:ilvl="2" w:tplc="4FF49A4C">
      <w:start w:val="1"/>
      <w:numFmt w:val="bullet"/>
      <w:lvlText w:val=""/>
      <w:lvlJc w:val="left"/>
      <w:pPr>
        <w:ind w:left="2160" w:hanging="360"/>
      </w:pPr>
      <w:rPr>
        <w:rFonts w:ascii="Wingdings" w:hAnsi="Wingdings" w:hint="default"/>
      </w:rPr>
    </w:lvl>
    <w:lvl w:ilvl="3" w:tplc="C5D29C12">
      <w:start w:val="1"/>
      <w:numFmt w:val="bullet"/>
      <w:lvlText w:val=""/>
      <w:lvlJc w:val="left"/>
      <w:pPr>
        <w:ind w:left="2880" w:hanging="360"/>
      </w:pPr>
      <w:rPr>
        <w:rFonts w:ascii="Symbol" w:hAnsi="Symbol" w:hint="default"/>
      </w:rPr>
    </w:lvl>
    <w:lvl w:ilvl="4" w:tplc="D3E81AC2">
      <w:start w:val="1"/>
      <w:numFmt w:val="bullet"/>
      <w:lvlText w:val="o"/>
      <w:lvlJc w:val="left"/>
      <w:pPr>
        <w:ind w:left="3600" w:hanging="360"/>
      </w:pPr>
      <w:rPr>
        <w:rFonts w:ascii="Courier New" w:hAnsi="Courier New" w:hint="default"/>
      </w:rPr>
    </w:lvl>
    <w:lvl w:ilvl="5" w:tplc="F5D23CB0">
      <w:start w:val="1"/>
      <w:numFmt w:val="bullet"/>
      <w:lvlText w:val=""/>
      <w:lvlJc w:val="left"/>
      <w:pPr>
        <w:ind w:left="4320" w:hanging="360"/>
      </w:pPr>
      <w:rPr>
        <w:rFonts w:ascii="Wingdings" w:hAnsi="Wingdings" w:hint="default"/>
      </w:rPr>
    </w:lvl>
    <w:lvl w:ilvl="6" w:tplc="ABD21854">
      <w:start w:val="1"/>
      <w:numFmt w:val="bullet"/>
      <w:lvlText w:val=""/>
      <w:lvlJc w:val="left"/>
      <w:pPr>
        <w:ind w:left="5040" w:hanging="360"/>
      </w:pPr>
      <w:rPr>
        <w:rFonts w:ascii="Symbol" w:hAnsi="Symbol" w:hint="default"/>
      </w:rPr>
    </w:lvl>
    <w:lvl w:ilvl="7" w:tplc="8E62B6DA">
      <w:start w:val="1"/>
      <w:numFmt w:val="bullet"/>
      <w:lvlText w:val="o"/>
      <w:lvlJc w:val="left"/>
      <w:pPr>
        <w:ind w:left="5760" w:hanging="360"/>
      </w:pPr>
      <w:rPr>
        <w:rFonts w:ascii="Courier New" w:hAnsi="Courier New" w:hint="default"/>
      </w:rPr>
    </w:lvl>
    <w:lvl w:ilvl="8" w:tplc="4EEE9188">
      <w:start w:val="1"/>
      <w:numFmt w:val="bullet"/>
      <w:lvlText w:val=""/>
      <w:lvlJc w:val="left"/>
      <w:pPr>
        <w:ind w:left="6480" w:hanging="360"/>
      </w:pPr>
      <w:rPr>
        <w:rFonts w:ascii="Wingdings" w:hAnsi="Wingdings" w:hint="default"/>
      </w:rPr>
    </w:lvl>
  </w:abstractNum>
  <w:abstractNum w:abstractNumId="22" w15:restartNumberingAfterBreak="0">
    <w:nsid w:val="46171E0E"/>
    <w:multiLevelType w:val="hybridMultilevel"/>
    <w:tmpl w:val="67A6CAAA"/>
    <w:lvl w:ilvl="0" w:tplc="4D4A8EEC">
      <w:start w:val="1"/>
      <w:numFmt w:val="bullet"/>
      <w:lvlText w:val=""/>
      <w:lvlJc w:val="left"/>
      <w:pPr>
        <w:ind w:left="720" w:hanging="360"/>
      </w:pPr>
      <w:rPr>
        <w:rFonts w:ascii="Wingdings" w:eastAsia="Calibri Light"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6973DC"/>
    <w:multiLevelType w:val="hybridMultilevel"/>
    <w:tmpl w:val="FBEC3676"/>
    <w:lvl w:ilvl="0" w:tplc="CBFADE3A">
      <w:start w:val="1"/>
      <w:numFmt w:val="bullet"/>
      <w:lvlText w:val="-"/>
      <w:lvlJc w:val="left"/>
      <w:pPr>
        <w:ind w:left="720" w:hanging="360"/>
      </w:pPr>
      <w:rPr>
        <w:rFonts w:ascii="Calibri" w:hAnsi="Calibri" w:hint="default"/>
      </w:rPr>
    </w:lvl>
    <w:lvl w:ilvl="1" w:tplc="F5E628FA">
      <w:start w:val="1"/>
      <w:numFmt w:val="bullet"/>
      <w:lvlText w:val="o"/>
      <w:lvlJc w:val="left"/>
      <w:pPr>
        <w:ind w:left="1440" w:hanging="360"/>
      </w:pPr>
      <w:rPr>
        <w:rFonts w:ascii="Courier New" w:hAnsi="Courier New" w:hint="default"/>
      </w:rPr>
    </w:lvl>
    <w:lvl w:ilvl="2" w:tplc="532AF6EC">
      <w:start w:val="1"/>
      <w:numFmt w:val="bullet"/>
      <w:lvlText w:val=""/>
      <w:lvlJc w:val="left"/>
      <w:pPr>
        <w:ind w:left="2160" w:hanging="360"/>
      </w:pPr>
      <w:rPr>
        <w:rFonts w:ascii="Wingdings" w:hAnsi="Wingdings" w:hint="default"/>
      </w:rPr>
    </w:lvl>
    <w:lvl w:ilvl="3" w:tplc="3FE8F9F8">
      <w:start w:val="1"/>
      <w:numFmt w:val="bullet"/>
      <w:lvlText w:val=""/>
      <w:lvlJc w:val="left"/>
      <w:pPr>
        <w:ind w:left="2880" w:hanging="360"/>
      </w:pPr>
      <w:rPr>
        <w:rFonts w:ascii="Symbol" w:hAnsi="Symbol" w:hint="default"/>
      </w:rPr>
    </w:lvl>
    <w:lvl w:ilvl="4" w:tplc="3CACF802">
      <w:start w:val="1"/>
      <w:numFmt w:val="bullet"/>
      <w:lvlText w:val="o"/>
      <w:lvlJc w:val="left"/>
      <w:pPr>
        <w:ind w:left="3600" w:hanging="360"/>
      </w:pPr>
      <w:rPr>
        <w:rFonts w:ascii="Courier New" w:hAnsi="Courier New" w:hint="default"/>
      </w:rPr>
    </w:lvl>
    <w:lvl w:ilvl="5" w:tplc="F036E928">
      <w:start w:val="1"/>
      <w:numFmt w:val="bullet"/>
      <w:lvlText w:val=""/>
      <w:lvlJc w:val="left"/>
      <w:pPr>
        <w:ind w:left="4320" w:hanging="360"/>
      </w:pPr>
      <w:rPr>
        <w:rFonts w:ascii="Wingdings" w:hAnsi="Wingdings" w:hint="default"/>
      </w:rPr>
    </w:lvl>
    <w:lvl w:ilvl="6" w:tplc="201E5FBC">
      <w:start w:val="1"/>
      <w:numFmt w:val="bullet"/>
      <w:lvlText w:val=""/>
      <w:lvlJc w:val="left"/>
      <w:pPr>
        <w:ind w:left="5040" w:hanging="360"/>
      </w:pPr>
      <w:rPr>
        <w:rFonts w:ascii="Symbol" w:hAnsi="Symbol" w:hint="default"/>
      </w:rPr>
    </w:lvl>
    <w:lvl w:ilvl="7" w:tplc="2DA8E02A">
      <w:start w:val="1"/>
      <w:numFmt w:val="bullet"/>
      <w:lvlText w:val="o"/>
      <w:lvlJc w:val="left"/>
      <w:pPr>
        <w:ind w:left="5760" w:hanging="360"/>
      </w:pPr>
      <w:rPr>
        <w:rFonts w:ascii="Courier New" w:hAnsi="Courier New" w:hint="default"/>
      </w:rPr>
    </w:lvl>
    <w:lvl w:ilvl="8" w:tplc="63820024">
      <w:start w:val="1"/>
      <w:numFmt w:val="bullet"/>
      <w:lvlText w:val=""/>
      <w:lvlJc w:val="left"/>
      <w:pPr>
        <w:ind w:left="6480" w:hanging="360"/>
      </w:pPr>
      <w:rPr>
        <w:rFonts w:ascii="Wingdings" w:hAnsi="Wingdings" w:hint="default"/>
      </w:rPr>
    </w:lvl>
  </w:abstractNum>
  <w:abstractNum w:abstractNumId="24" w15:restartNumberingAfterBreak="0">
    <w:nsid w:val="512957D5"/>
    <w:multiLevelType w:val="hybridMultilevel"/>
    <w:tmpl w:val="D81ADBCE"/>
    <w:lvl w:ilvl="0" w:tplc="061826F2">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3A536E"/>
    <w:multiLevelType w:val="multilevel"/>
    <w:tmpl w:val="D7D0DF2C"/>
    <w:lvl w:ilvl="0">
      <w:start w:val="1"/>
      <w:numFmt w:val="bullet"/>
      <w:lvlText w:val="›"/>
      <w:lvlJc w:val="left"/>
      <w:pPr>
        <w:tabs>
          <w:tab w:val="num" w:pos="284"/>
        </w:tabs>
        <w:ind w:left="284" w:hanging="284"/>
      </w:pPr>
      <w:rPr>
        <w:rFonts w:ascii="Times New Roman" w:hAnsi="Times New Roman" w:cs="Times New Roman" w:hint="default"/>
        <w:color w:val="auto"/>
      </w:rPr>
    </w:lvl>
    <w:lvl w:ilvl="1">
      <w:start w:val="1"/>
      <w:numFmt w:val="bullet"/>
      <w:lvlText w:val="–"/>
      <w:lvlJc w:val="left"/>
      <w:pPr>
        <w:tabs>
          <w:tab w:val="num" w:pos="568"/>
        </w:tabs>
        <w:ind w:left="568" w:hanging="284"/>
      </w:pPr>
      <w:rPr>
        <w:rFonts w:ascii="Arial" w:hAnsi="Arial" w:hint="default"/>
        <w:color w:val="3494BA" w:themeColor="accent1"/>
      </w:rPr>
    </w:lvl>
    <w:lvl w:ilvl="2">
      <w:start w:val="1"/>
      <w:numFmt w:val="bullet"/>
      <w:lvlText w:val="»"/>
      <w:lvlJc w:val="left"/>
      <w:pPr>
        <w:tabs>
          <w:tab w:val="num" w:pos="852"/>
        </w:tabs>
        <w:ind w:left="852" w:hanging="285"/>
      </w:pPr>
      <w:rPr>
        <w:rFonts w:ascii="Arial" w:hAnsi="Arial" w:hint="default"/>
        <w:color w:val="3494BA"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6" w15:restartNumberingAfterBreak="0">
    <w:nsid w:val="55C34F26"/>
    <w:multiLevelType w:val="hybridMultilevel"/>
    <w:tmpl w:val="604C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A5D6586"/>
    <w:multiLevelType w:val="hybridMultilevel"/>
    <w:tmpl w:val="E5C09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56043A"/>
    <w:multiLevelType w:val="multilevel"/>
    <w:tmpl w:val="69AEB596"/>
    <w:numStyleLink w:val="BulletsList"/>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EEE0DF8"/>
    <w:multiLevelType w:val="hybridMultilevel"/>
    <w:tmpl w:val="0A0EF4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B551DD"/>
    <w:multiLevelType w:val="hybridMultilevel"/>
    <w:tmpl w:val="90E29F3E"/>
    <w:lvl w:ilvl="0" w:tplc="AEFA542C">
      <w:start w:val="1"/>
      <w:numFmt w:val="decimal"/>
      <w:lvlText w:val="%1."/>
      <w:lvlJc w:val="left"/>
      <w:pPr>
        <w:ind w:left="360" w:hanging="360"/>
      </w:pPr>
      <w:rPr>
        <w:rFonts w:ascii="Calibri Light" w:hAnsi="Calibri Light" w:cs="Calibri Light" w:hint="default"/>
        <w:color w:val="000000" w:themeColor="text1"/>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4362F4E"/>
    <w:multiLevelType w:val="multilevel"/>
    <w:tmpl w:val="183048C2"/>
    <w:lvl w:ilvl="0">
      <w:start w:val="1"/>
      <w:numFmt w:val="bullet"/>
      <w:lvlText w:val=""/>
      <w:lvlJc w:val="left"/>
      <w:pPr>
        <w:tabs>
          <w:tab w:val="num" w:pos="284"/>
        </w:tabs>
        <w:ind w:left="284" w:hanging="284"/>
      </w:pPr>
      <w:rPr>
        <w:rFonts w:ascii="Symbol" w:hAnsi="Symbol" w:hint="default"/>
        <w:color w:val="3494BA" w:themeColor="accent1"/>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5"/>
      </w:pPr>
      <w:rPr>
        <w:rFonts w:ascii="Arial" w:hAnsi="Arial" w:hint="default"/>
        <w:color w:val="3494BA"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5" w15:restartNumberingAfterBreak="0">
    <w:nsid w:val="64555B50"/>
    <w:multiLevelType w:val="hybridMultilevel"/>
    <w:tmpl w:val="4E069DFA"/>
    <w:lvl w:ilvl="0" w:tplc="D5722A26">
      <w:numFmt w:val="bullet"/>
      <w:lvlText w:val="-"/>
      <w:lvlJc w:val="left"/>
      <w:pPr>
        <w:ind w:left="360" w:hanging="360"/>
      </w:pPr>
      <w:rPr>
        <w:rFonts w:ascii="Calibri" w:eastAsia="Calibri Light"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3E0603"/>
    <w:multiLevelType w:val="hybridMultilevel"/>
    <w:tmpl w:val="BA34F3F2"/>
    <w:lvl w:ilvl="0" w:tplc="4D4A8EEC">
      <w:start w:val="1"/>
      <w:numFmt w:val="bullet"/>
      <w:lvlText w:val=""/>
      <w:lvlJc w:val="left"/>
      <w:pPr>
        <w:ind w:left="720" w:hanging="360"/>
      </w:pPr>
      <w:rPr>
        <w:rFonts w:ascii="Wingdings" w:eastAsia="Calibri Light"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6FDB1B"/>
    <w:multiLevelType w:val="hybridMultilevel"/>
    <w:tmpl w:val="38AC9968"/>
    <w:lvl w:ilvl="0" w:tplc="B016B828">
      <w:start w:val="1"/>
      <w:numFmt w:val="bullet"/>
      <w:lvlText w:val="-"/>
      <w:lvlJc w:val="left"/>
      <w:pPr>
        <w:ind w:left="720" w:hanging="360"/>
      </w:pPr>
      <w:rPr>
        <w:rFonts w:ascii="Calibri" w:hAnsi="Calibri" w:hint="default"/>
      </w:rPr>
    </w:lvl>
    <w:lvl w:ilvl="1" w:tplc="77BE1856">
      <w:start w:val="1"/>
      <w:numFmt w:val="bullet"/>
      <w:lvlText w:val="o"/>
      <w:lvlJc w:val="left"/>
      <w:pPr>
        <w:ind w:left="1440" w:hanging="360"/>
      </w:pPr>
      <w:rPr>
        <w:rFonts w:ascii="Courier New" w:hAnsi="Courier New" w:hint="default"/>
      </w:rPr>
    </w:lvl>
    <w:lvl w:ilvl="2" w:tplc="F222AA98">
      <w:start w:val="1"/>
      <w:numFmt w:val="bullet"/>
      <w:lvlText w:val=""/>
      <w:lvlJc w:val="left"/>
      <w:pPr>
        <w:ind w:left="2160" w:hanging="360"/>
      </w:pPr>
      <w:rPr>
        <w:rFonts w:ascii="Wingdings" w:hAnsi="Wingdings" w:hint="default"/>
      </w:rPr>
    </w:lvl>
    <w:lvl w:ilvl="3" w:tplc="0F52248A">
      <w:start w:val="1"/>
      <w:numFmt w:val="bullet"/>
      <w:lvlText w:val=""/>
      <w:lvlJc w:val="left"/>
      <w:pPr>
        <w:ind w:left="2880" w:hanging="360"/>
      </w:pPr>
      <w:rPr>
        <w:rFonts w:ascii="Symbol" w:hAnsi="Symbol" w:hint="default"/>
      </w:rPr>
    </w:lvl>
    <w:lvl w:ilvl="4" w:tplc="35E86D44">
      <w:start w:val="1"/>
      <w:numFmt w:val="bullet"/>
      <w:lvlText w:val="o"/>
      <w:lvlJc w:val="left"/>
      <w:pPr>
        <w:ind w:left="3600" w:hanging="360"/>
      </w:pPr>
      <w:rPr>
        <w:rFonts w:ascii="Courier New" w:hAnsi="Courier New" w:hint="default"/>
      </w:rPr>
    </w:lvl>
    <w:lvl w:ilvl="5" w:tplc="381612FE">
      <w:start w:val="1"/>
      <w:numFmt w:val="bullet"/>
      <w:lvlText w:val=""/>
      <w:lvlJc w:val="left"/>
      <w:pPr>
        <w:ind w:left="4320" w:hanging="360"/>
      </w:pPr>
      <w:rPr>
        <w:rFonts w:ascii="Wingdings" w:hAnsi="Wingdings" w:hint="default"/>
      </w:rPr>
    </w:lvl>
    <w:lvl w:ilvl="6" w:tplc="E4843A74">
      <w:start w:val="1"/>
      <w:numFmt w:val="bullet"/>
      <w:lvlText w:val=""/>
      <w:lvlJc w:val="left"/>
      <w:pPr>
        <w:ind w:left="5040" w:hanging="360"/>
      </w:pPr>
      <w:rPr>
        <w:rFonts w:ascii="Symbol" w:hAnsi="Symbol" w:hint="default"/>
      </w:rPr>
    </w:lvl>
    <w:lvl w:ilvl="7" w:tplc="C8CEFC36">
      <w:start w:val="1"/>
      <w:numFmt w:val="bullet"/>
      <w:lvlText w:val="o"/>
      <w:lvlJc w:val="left"/>
      <w:pPr>
        <w:ind w:left="5760" w:hanging="360"/>
      </w:pPr>
      <w:rPr>
        <w:rFonts w:ascii="Courier New" w:hAnsi="Courier New" w:hint="default"/>
      </w:rPr>
    </w:lvl>
    <w:lvl w:ilvl="8" w:tplc="54222A86">
      <w:start w:val="1"/>
      <w:numFmt w:val="bullet"/>
      <w:lvlText w:val=""/>
      <w:lvlJc w:val="left"/>
      <w:pPr>
        <w:ind w:left="6480" w:hanging="360"/>
      </w:pPr>
      <w:rPr>
        <w:rFonts w:ascii="Wingdings" w:hAnsi="Wingdings" w:hint="default"/>
      </w:rPr>
    </w:lvl>
  </w:abstractNum>
  <w:abstractNum w:abstractNumId="39" w15:restartNumberingAfterBreak="0">
    <w:nsid w:val="68B11A1B"/>
    <w:multiLevelType w:val="hybridMultilevel"/>
    <w:tmpl w:val="6544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13520B"/>
    <w:multiLevelType w:val="hybridMultilevel"/>
    <w:tmpl w:val="1FFA26A4"/>
    <w:lvl w:ilvl="0" w:tplc="40C2C87A">
      <w:start w:val="1"/>
      <w:numFmt w:val="decimal"/>
      <w:lvlText w:val="%1."/>
      <w:lvlJc w:val="left"/>
      <w:pPr>
        <w:ind w:left="720" w:hanging="360"/>
      </w:pPr>
      <w:rPr>
        <w:rFonts w:asciiTheme="majorHAnsi" w:hAnsiTheme="majorHAnsi" w:hint="default"/>
        <w:b/>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057941"/>
    <w:multiLevelType w:val="hybridMultilevel"/>
    <w:tmpl w:val="170218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3494BA" w:themeColor="accent1"/>
      </w:rPr>
    </w:lvl>
    <w:lvl w:ilvl="1">
      <w:start w:val="1"/>
      <w:numFmt w:val="bullet"/>
      <w:pStyle w:val="Bullet2"/>
      <w:lvlText w:val="–"/>
      <w:lvlJc w:val="left"/>
      <w:pPr>
        <w:tabs>
          <w:tab w:val="num" w:pos="568"/>
        </w:tabs>
        <w:ind w:left="568" w:hanging="284"/>
      </w:pPr>
      <w:rPr>
        <w:rFonts w:ascii="Arial" w:hAnsi="Arial" w:hint="default"/>
        <w:color w:val="3494BA" w:themeColor="accent1"/>
      </w:rPr>
    </w:lvl>
    <w:lvl w:ilvl="2">
      <w:start w:val="1"/>
      <w:numFmt w:val="bullet"/>
      <w:pStyle w:val="Bullet3"/>
      <w:lvlText w:val="»"/>
      <w:lvlJc w:val="left"/>
      <w:pPr>
        <w:tabs>
          <w:tab w:val="num" w:pos="852"/>
        </w:tabs>
        <w:ind w:left="852" w:hanging="285"/>
      </w:pPr>
      <w:rPr>
        <w:rFonts w:ascii="Arial" w:hAnsi="Arial" w:hint="default"/>
        <w:color w:val="3494BA"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3" w15:restartNumberingAfterBreak="0">
    <w:nsid w:val="744A7AEF"/>
    <w:multiLevelType w:val="multilevel"/>
    <w:tmpl w:val="327AC97A"/>
    <w:numStyleLink w:val="HeadingsList"/>
  </w:abstractNum>
  <w:abstractNum w:abstractNumId="44" w15:restartNumberingAfterBreak="0">
    <w:nsid w:val="7473415D"/>
    <w:multiLevelType w:val="hybridMultilevel"/>
    <w:tmpl w:val="BA8AD8EA"/>
    <w:lvl w:ilvl="0" w:tplc="17768A98">
      <w:start w:val="1"/>
      <w:numFmt w:val="bullet"/>
      <w:lvlText w:val="›"/>
      <w:lvlJc w:val="left"/>
      <w:pPr>
        <w:ind w:left="644" w:hanging="360"/>
      </w:pPr>
      <w:rPr>
        <w:rFonts w:ascii="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5" w15:restartNumberingAfterBreak="0">
    <w:nsid w:val="77303432"/>
    <w:multiLevelType w:val="hybridMultilevel"/>
    <w:tmpl w:val="B0D4319A"/>
    <w:lvl w:ilvl="0" w:tplc="DC44C70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2E3E94"/>
    <w:multiLevelType w:val="hybridMultilevel"/>
    <w:tmpl w:val="5E10DF26"/>
    <w:lvl w:ilvl="0" w:tplc="9BB017C6">
      <w:start w:val="1"/>
      <w:numFmt w:val="bullet"/>
      <w:pStyle w:val="Box2Bullet"/>
      <w:lvlText w:val=""/>
      <w:lvlJc w:val="left"/>
      <w:pPr>
        <w:ind w:left="644" w:hanging="360"/>
      </w:pPr>
      <w:rPr>
        <w:rFonts w:ascii="Symbol" w:hAnsi="Symbol" w:hint="default"/>
        <w:color w:val="ECEDED"/>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7" w15:restartNumberingAfterBreak="0">
    <w:nsid w:val="7D630E29"/>
    <w:multiLevelType w:val="hybridMultilevel"/>
    <w:tmpl w:val="90E29F3E"/>
    <w:lvl w:ilvl="0" w:tplc="FFFFFFFF">
      <w:start w:val="1"/>
      <w:numFmt w:val="decimal"/>
      <w:lvlText w:val="%1."/>
      <w:lvlJc w:val="left"/>
      <w:pPr>
        <w:ind w:left="360" w:hanging="360"/>
      </w:pPr>
      <w:rPr>
        <w:rFonts w:ascii="Calibri Light" w:hAnsi="Calibri Light" w:cs="Calibri Light" w:hint="default"/>
        <w:color w:val="000000" w:themeColor="text1"/>
        <w:sz w:val="18"/>
        <w:szCs w:val="1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8" w15:restartNumberingAfterBreak="0">
    <w:nsid w:val="7F05D248"/>
    <w:multiLevelType w:val="hybridMultilevel"/>
    <w:tmpl w:val="D61462C2"/>
    <w:lvl w:ilvl="0" w:tplc="12BE626E">
      <w:start w:val="1"/>
      <w:numFmt w:val="bullet"/>
      <w:lvlText w:val="-"/>
      <w:lvlJc w:val="left"/>
      <w:pPr>
        <w:ind w:left="360" w:hanging="360"/>
      </w:pPr>
      <w:rPr>
        <w:rFonts w:ascii="Calibri" w:hAnsi="Calibri" w:hint="default"/>
      </w:rPr>
    </w:lvl>
    <w:lvl w:ilvl="1" w:tplc="7FA6ABB8">
      <w:start w:val="1"/>
      <w:numFmt w:val="bullet"/>
      <w:lvlText w:val="o"/>
      <w:lvlJc w:val="left"/>
      <w:pPr>
        <w:ind w:left="1080" w:hanging="360"/>
      </w:pPr>
      <w:rPr>
        <w:rFonts w:ascii="Courier New" w:hAnsi="Courier New" w:hint="default"/>
      </w:rPr>
    </w:lvl>
    <w:lvl w:ilvl="2" w:tplc="24E009CA">
      <w:start w:val="1"/>
      <w:numFmt w:val="bullet"/>
      <w:lvlText w:val=""/>
      <w:lvlJc w:val="left"/>
      <w:pPr>
        <w:ind w:left="1800" w:hanging="360"/>
      </w:pPr>
      <w:rPr>
        <w:rFonts w:ascii="Wingdings" w:hAnsi="Wingdings" w:hint="default"/>
      </w:rPr>
    </w:lvl>
    <w:lvl w:ilvl="3" w:tplc="FC96AAB8">
      <w:start w:val="1"/>
      <w:numFmt w:val="bullet"/>
      <w:lvlText w:val=""/>
      <w:lvlJc w:val="left"/>
      <w:pPr>
        <w:ind w:left="2520" w:hanging="360"/>
      </w:pPr>
      <w:rPr>
        <w:rFonts w:ascii="Symbol" w:hAnsi="Symbol" w:hint="default"/>
      </w:rPr>
    </w:lvl>
    <w:lvl w:ilvl="4" w:tplc="DBC260EE">
      <w:start w:val="1"/>
      <w:numFmt w:val="bullet"/>
      <w:lvlText w:val="o"/>
      <w:lvlJc w:val="left"/>
      <w:pPr>
        <w:ind w:left="3240" w:hanging="360"/>
      </w:pPr>
      <w:rPr>
        <w:rFonts w:ascii="Courier New" w:hAnsi="Courier New" w:hint="default"/>
      </w:rPr>
    </w:lvl>
    <w:lvl w:ilvl="5" w:tplc="266684B0">
      <w:start w:val="1"/>
      <w:numFmt w:val="bullet"/>
      <w:lvlText w:val=""/>
      <w:lvlJc w:val="left"/>
      <w:pPr>
        <w:ind w:left="3960" w:hanging="360"/>
      </w:pPr>
      <w:rPr>
        <w:rFonts w:ascii="Wingdings" w:hAnsi="Wingdings" w:hint="default"/>
      </w:rPr>
    </w:lvl>
    <w:lvl w:ilvl="6" w:tplc="D7E037CC">
      <w:start w:val="1"/>
      <w:numFmt w:val="bullet"/>
      <w:lvlText w:val=""/>
      <w:lvlJc w:val="left"/>
      <w:pPr>
        <w:ind w:left="4680" w:hanging="360"/>
      </w:pPr>
      <w:rPr>
        <w:rFonts w:ascii="Symbol" w:hAnsi="Symbol" w:hint="default"/>
      </w:rPr>
    </w:lvl>
    <w:lvl w:ilvl="7" w:tplc="DE38C968">
      <w:start w:val="1"/>
      <w:numFmt w:val="bullet"/>
      <w:lvlText w:val="o"/>
      <w:lvlJc w:val="left"/>
      <w:pPr>
        <w:ind w:left="5400" w:hanging="360"/>
      </w:pPr>
      <w:rPr>
        <w:rFonts w:ascii="Courier New" w:hAnsi="Courier New" w:hint="default"/>
      </w:rPr>
    </w:lvl>
    <w:lvl w:ilvl="8" w:tplc="3200B6C6">
      <w:start w:val="1"/>
      <w:numFmt w:val="bullet"/>
      <w:lvlText w:val=""/>
      <w:lvlJc w:val="left"/>
      <w:pPr>
        <w:ind w:left="6120" w:hanging="360"/>
      </w:pPr>
      <w:rPr>
        <w:rFonts w:ascii="Wingdings" w:hAnsi="Wingdings" w:hint="default"/>
      </w:rPr>
    </w:lvl>
  </w:abstractNum>
  <w:abstractNum w:abstractNumId="49" w15:restartNumberingAfterBreak="0">
    <w:nsid w:val="7F7A528B"/>
    <w:multiLevelType w:val="hybridMultilevel"/>
    <w:tmpl w:val="A4421A98"/>
    <w:lvl w:ilvl="0" w:tplc="7B640FF6">
      <w:start w:val="1"/>
      <w:numFmt w:val="bullet"/>
      <w:lvlText w:val="›"/>
      <w:lvlJc w:val="left"/>
      <w:pPr>
        <w:ind w:left="-1298" w:hanging="360"/>
      </w:pPr>
      <w:rPr>
        <w:rFonts w:ascii="Times New Roman" w:hAnsi="Times New Roman" w:cs="Times New Roman" w:hint="default"/>
        <w:color w:val="auto"/>
        <w:position w:val="3"/>
      </w:rPr>
    </w:lvl>
    <w:lvl w:ilvl="1" w:tplc="FFFFFFFF" w:tentative="1">
      <w:start w:val="1"/>
      <w:numFmt w:val="bullet"/>
      <w:lvlText w:val="o"/>
      <w:lvlJc w:val="left"/>
      <w:pPr>
        <w:tabs>
          <w:tab w:val="num" w:pos="-218"/>
        </w:tabs>
        <w:ind w:left="-218" w:hanging="360"/>
      </w:pPr>
      <w:rPr>
        <w:rFonts w:ascii="Courier New" w:hAnsi="Courier New" w:cs="Courier New" w:hint="default"/>
      </w:rPr>
    </w:lvl>
    <w:lvl w:ilvl="2" w:tplc="FFFFFFFF">
      <w:start w:val="1"/>
      <w:numFmt w:val="bullet"/>
      <w:lvlText w:val=""/>
      <w:lvlJc w:val="left"/>
      <w:pPr>
        <w:tabs>
          <w:tab w:val="num" w:pos="502"/>
        </w:tabs>
        <w:ind w:left="502" w:hanging="360"/>
      </w:pPr>
      <w:rPr>
        <w:rFonts w:ascii="Wingdings" w:hAnsi="Wingdings" w:hint="default"/>
      </w:rPr>
    </w:lvl>
    <w:lvl w:ilvl="3" w:tplc="FFFFFFFF" w:tentative="1">
      <w:start w:val="1"/>
      <w:numFmt w:val="bullet"/>
      <w:lvlText w:val=""/>
      <w:lvlJc w:val="left"/>
      <w:pPr>
        <w:tabs>
          <w:tab w:val="num" w:pos="1222"/>
        </w:tabs>
        <w:ind w:left="1222" w:hanging="360"/>
      </w:pPr>
      <w:rPr>
        <w:rFonts w:ascii="Symbol" w:hAnsi="Symbol" w:hint="default"/>
      </w:rPr>
    </w:lvl>
    <w:lvl w:ilvl="4" w:tplc="FFFFFFFF" w:tentative="1">
      <w:start w:val="1"/>
      <w:numFmt w:val="bullet"/>
      <w:lvlText w:val="o"/>
      <w:lvlJc w:val="left"/>
      <w:pPr>
        <w:tabs>
          <w:tab w:val="num" w:pos="1942"/>
        </w:tabs>
        <w:ind w:left="1942" w:hanging="360"/>
      </w:pPr>
      <w:rPr>
        <w:rFonts w:ascii="Courier New" w:hAnsi="Courier New" w:cs="Courier New" w:hint="default"/>
      </w:rPr>
    </w:lvl>
    <w:lvl w:ilvl="5" w:tplc="FFFFFFFF" w:tentative="1">
      <w:start w:val="1"/>
      <w:numFmt w:val="bullet"/>
      <w:lvlText w:val=""/>
      <w:lvlJc w:val="left"/>
      <w:pPr>
        <w:tabs>
          <w:tab w:val="num" w:pos="2662"/>
        </w:tabs>
        <w:ind w:left="2662" w:hanging="360"/>
      </w:pPr>
      <w:rPr>
        <w:rFonts w:ascii="Wingdings" w:hAnsi="Wingdings" w:hint="default"/>
      </w:rPr>
    </w:lvl>
    <w:lvl w:ilvl="6" w:tplc="FFFFFFFF" w:tentative="1">
      <w:start w:val="1"/>
      <w:numFmt w:val="bullet"/>
      <w:lvlText w:val=""/>
      <w:lvlJc w:val="left"/>
      <w:pPr>
        <w:tabs>
          <w:tab w:val="num" w:pos="3382"/>
        </w:tabs>
        <w:ind w:left="3382" w:hanging="360"/>
      </w:pPr>
      <w:rPr>
        <w:rFonts w:ascii="Symbol" w:hAnsi="Symbol" w:hint="default"/>
      </w:rPr>
    </w:lvl>
    <w:lvl w:ilvl="7" w:tplc="FFFFFFFF" w:tentative="1">
      <w:start w:val="1"/>
      <w:numFmt w:val="bullet"/>
      <w:lvlText w:val="o"/>
      <w:lvlJc w:val="left"/>
      <w:pPr>
        <w:tabs>
          <w:tab w:val="num" w:pos="4102"/>
        </w:tabs>
        <w:ind w:left="4102" w:hanging="360"/>
      </w:pPr>
      <w:rPr>
        <w:rFonts w:ascii="Courier New" w:hAnsi="Courier New" w:cs="Courier New" w:hint="default"/>
      </w:rPr>
    </w:lvl>
    <w:lvl w:ilvl="8" w:tplc="FFFFFFFF" w:tentative="1">
      <w:start w:val="1"/>
      <w:numFmt w:val="bullet"/>
      <w:lvlText w:val=""/>
      <w:lvlJc w:val="left"/>
      <w:pPr>
        <w:tabs>
          <w:tab w:val="num" w:pos="4822"/>
        </w:tabs>
        <w:ind w:left="4822" w:hanging="360"/>
      </w:pPr>
      <w:rPr>
        <w:rFonts w:ascii="Wingdings" w:hAnsi="Wingdings" w:hint="default"/>
      </w:rPr>
    </w:lvl>
  </w:abstractNum>
  <w:num w:numId="1" w16cid:durableId="736441053">
    <w:abstractNumId w:val="13"/>
  </w:num>
  <w:num w:numId="2" w16cid:durableId="1427263411">
    <w:abstractNumId w:val="21"/>
  </w:num>
  <w:num w:numId="3" w16cid:durableId="2045055113">
    <w:abstractNumId w:val="19"/>
  </w:num>
  <w:num w:numId="4" w16cid:durableId="1188833946">
    <w:abstractNumId w:val="38"/>
  </w:num>
  <w:num w:numId="5" w16cid:durableId="1106775797">
    <w:abstractNumId w:val="23"/>
  </w:num>
  <w:num w:numId="6" w16cid:durableId="579220965">
    <w:abstractNumId w:val="48"/>
  </w:num>
  <w:num w:numId="7" w16cid:durableId="1564608985">
    <w:abstractNumId w:val="42"/>
  </w:num>
  <w:num w:numId="8" w16cid:durableId="890577523">
    <w:abstractNumId w:val="5"/>
  </w:num>
  <w:num w:numId="9" w16cid:durableId="864708223">
    <w:abstractNumId w:val="16"/>
  </w:num>
  <w:num w:numId="10" w16cid:durableId="1922828892">
    <w:abstractNumId w:val="27"/>
  </w:num>
  <w:num w:numId="11" w16cid:durableId="233467014">
    <w:abstractNumId w:val="31"/>
  </w:num>
  <w:num w:numId="12" w16cid:durableId="1427799873">
    <w:abstractNumId w:val="5"/>
  </w:num>
  <w:num w:numId="13" w16cid:durableId="628437386">
    <w:abstractNumId w:val="8"/>
  </w:num>
  <w:num w:numId="14" w16cid:durableId="2018574458">
    <w:abstractNumId w:val="46"/>
  </w:num>
  <w:num w:numId="15" w16cid:durableId="13921478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8964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7492820">
    <w:abstractNumId w:val="36"/>
  </w:num>
  <w:num w:numId="18" w16cid:durableId="466824263">
    <w:abstractNumId w:val="7"/>
  </w:num>
  <w:num w:numId="19" w16cid:durableId="14894006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0740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7223146">
    <w:abstractNumId w:val="30"/>
  </w:num>
  <w:num w:numId="22" w16cid:durableId="2095320860">
    <w:abstractNumId w:val="43"/>
  </w:num>
  <w:num w:numId="23" w16cid:durableId="369452387">
    <w:abstractNumId w:val="17"/>
  </w:num>
  <w:num w:numId="24" w16cid:durableId="2004972674">
    <w:abstractNumId w:val="0"/>
  </w:num>
  <w:num w:numId="25" w16cid:durableId="59906379">
    <w:abstractNumId w:val="49"/>
  </w:num>
  <w:num w:numId="26" w16cid:durableId="1598058825">
    <w:abstractNumId w:val="2"/>
  </w:num>
  <w:num w:numId="27" w16cid:durableId="726224029">
    <w:abstractNumId w:val="18"/>
  </w:num>
  <w:num w:numId="28" w16cid:durableId="985933568">
    <w:abstractNumId w:val="39"/>
  </w:num>
  <w:num w:numId="29" w16cid:durableId="1013532886">
    <w:abstractNumId w:val="41"/>
  </w:num>
  <w:num w:numId="30" w16cid:durableId="746195363">
    <w:abstractNumId w:val="15"/>
  </w:num>
  <w:num w:numId="31" w16cid:durableId="1685672552">
    <w:abstractNumId w:val="29"/>
  </w:num>
  <w:num w:numId="32" w16cid:durableId="163935705">
    <w:abstractNumId w:val="20"/>
  </w:num>
  <w:num w:numId="33" w16cid:durableId="560139678">
    <w:abstractNumId w:val="11"/>
  </w:num>
  <w:num w:numId="34" w16cid:durableId="844973983">
    <w:abstractNumId w:val="40"/>
  </w:num>
  <w:num w:numId="35" w16cid:durableId="1954437500">
    <w:abstractNumId w:val="14"/>
  </w:num>
  <w:num w:numId="36" w16cid:durableId="535773085">
    <w:abstractNumId w:val="44"/>
  </w:num>
  <w:num w:numId="37" w16cid:durableId="618267238">
    <w:abstractNumId w:val="8"/>
  </w:num>
  <w:num w:numId="38" w16cid:durableId="2089225229">
    <w:abstractNumId w:val="25"/>
  </w:num>
  <w:num w:numId="39" w16cid:durableId="868569395">
    <w:abstractNumId w:val="34"/>
  </w:num>
  <w:num w:numId="40" w16cid:durableId="746610700">
    <w:abstractNumId w:val="30"/>
  </w:num>
  <w:num w:numId="41" w16cid:durableId="1331327523">
    <w:abstractNumId w:val="30"/>
  </w:num>
  <w:num w:numId="42" w16cid:durableId="340158600">
    <w:abstractNumId w:val="6"/>
  </w:num>
  <w:num w:numId="43" w16cid:durableId="761800888">
    <w:abstractNumId w:val="22"/>
  </w:num>
  <w:num w:numId="44" w16cid:durableId="1642349845">
    <w:abstractNumId w:val="32"/>
  </w:num>
  <w:num w:numId="45" w16cid:durableId="1608079471">
    <w:abstractNumId w:val="3"/>
  </w:num>
  <w:num w:numId="46" w16cid:durableId="1379357501">
    <w:abstractNumId w:val="5"/>
  </w:num>
  <w:num w:numId="47" w16cid:durableId="1121411924">
    <w:abstractNumId w:val="5"/>
  </w:num>
  <w:num w:numId="48" w16cid:durableId="1704283639">
    <w:abstractNumId w:val="5"/>
  </w:num>
  <w:num w:numId="49" w16cid:durableId="1541169528">
    <w:abstractNumId w:val="5"/>
  </w:num>
  <w:num w:numId="50" w16cid:durableId="969285736">
    <w:abstractNumId w:val="5"/>
  </w:num>
  <w:num w:numId="51" w16cid:durableId="9911458">
    <w:abstractNumId w:val="5"/>
  </w:num>
  <w:num w:numId="52" w16cid:durableId="1849251465">
    <w:abstractNumId w:val="5"/>
  </w:num>
  <w:num w:numId="53" w16cid:durableId="363333065">
    <w:abstractNumId w:val="37"/>
  </w:num>
  <w:num w:numId="54" w16cid:durableId="1960604744">
    <w:abstractNumId w:val="5"/>
  </w:num>
  <w:num w:numId="55" w16cid:durableId="297956318">
    <w:abstractNumId w:val="5"/>
  </w:num>
  <w:num w:numId="56" w16cid:durableId="492962211">
    <w:abstractNumId w:val="5"/>
  </w:num>
  <w:num w:numId="57" w16cid:durableId="1368483279">
    <w:abstractNumId w:val="5"/>
  </w:num>
  <w:num w:numId="58" w16cid:durableId="1697924522">
    <w:abstractNumId w:val="5"/>
  </w:num>
  <w:num w:numId="59" w16cid:durableId="1713338755">
    <w:abstractNumId w:val="5"/>
  </w:num>
  <w:num w:numId="60" w16cid:durableId="338780807">
    <w:abstractNumId w:val="5"/>
  </w:num>
  <w:num w:numId="61" w16cid:durableId="1444617343">
    <w:abstractNumId w:val="5"/>
  </w:num>
  <w:num w:numId="62" w16cid:durableId="603265584">
    <w:abstractNumId w:val="5"/>
  </w:num>
  <w:num w:numId="63" w16cid:durableId="613752976">
    <w:abstractNumId w:val="5"/>
  </w:num>
  <w:num w:numId="64" w16cid:durableId="208615946">
    <w:abstractNumId w:val="26"/>
  </w:num>
  <w:num w:numId="65" w16cid:durableId="1201942897">
    <w:abstractNumId w:val="33"/>
    <w:lvlOverride w:ilvl="0">
      <w:startOverride w:val="1"/>
    </w:lvlOverride>
    <w:lvlOverride w:ilvl="1"/>
    <w:lvlOverride w:ilvl="2"/>
    <w:lvlOverride w:ilvl="3"/>
    <w:lvlOverride w:ilvl="4"/>
    <w:lvlOverride w:ilvl="5"/>
    <w:lvlOverride w:ilvl="6"/>
    <w:lvlOverride w:ilvl="7"/>
    <w:lvlOverride w:ilvl="8"/>
  </w:num>
  <w:num w:numId="66" w16cid:durableId="1809780029">
    <w:abstractNumId w:val="33"/>
  </w:num>
  <w:num w:numId="67" w16cid:durableId="1398674996">
    <w:abstractNumId w:val="47"/>
  </w:num>
  <w:num w:numId="68" w16cid:durableId="1879581864">
    <w:abstractNumId w:val="24"/>
  </w:num>
  <w:num w:numId="69" w16cid:durableId="1486625228">
    <w:abstractNumId w:val="12"/>
  </w:num>
  <w:num w:numId="70" w16cid:durableId="1383478143">
    <w:abstractNumId w:val="5"/>
  </w:num>
  <w:num w:numId="71" w16cid:durableId="242420656">
    <w:abstractNumId w:val="5"/>
  </w:num>
  <w:num w:numId="72" w16cid:durableId="1417676968">
    <w:abstractNumId w:val="5"/>
  </w:num>
  <w:num w:numId="73" w16cid:durableId="403383913">
    <w:abstractNumId w:val="45"/>
  </w:num>
  <w:num w:numId="74" w16cid:durableId="1383602490">
    <w:abstractNumId w:val="1"/>
  </w:num>
  <w:num w:numId="75" w16cid:durableId="792987093">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B0"/>
    <w:rsid w:val="00001E00"/>
    <w:rsid w:val="00002AA5"/>
    <w:rsid w:val="0000473B"/>
    <w:rsid w:val="00005F6A"/>
    <w:rsid w:val="00006D69"/>
    <w:rsid w:val="00007195"/>
    <w:rsid w:val="000078E4"/>
    <w:rsid w:val="000123CE"/>
    <w:rsid w:val="0001395F"/>
    <w:rsid w:val="00013B24"/>
    <w:rsid w:val="00013C6D"/>
    <w:rsid w:val="00013F0E"/>
    <w:rsid w:val="000140DB"/>
    <w:rsid w:val="00014111"/>
    <w:rsid w:val="00015EA0"/>
    <w:rsid w:val="0001666A"/>
    <w:rsid w:val="00016B6C"/>
    <w:rsid w:val="0002080A"/>
    <w:rsid w:val="0002336C"/>
    <w:rsid w:val="00025B50"/>
    <w:rsid w:val="000261A3"/>
    <w:rsid w:val="0002715E"/>
    <w:rsid w:val="00027287"/>
    <w:rsid w:val="0002782F"/>
    <w:rsid w:val="00030BD0"/>
    <w:rsid w:val="00032482"/>
    <w:rsid w:val="000350A5"/>
    <w:rsid w:val="000356C3"/>
    <w:rsid w:val="000358F7"/>
    <w:rsid w:val="00037FDE"/>
    <w:rsid w:val="00041101"/>
    <w:rsid w:val="00042D50"/>
    <w:rsid w:val="00043E46"/>
    <w:rsid w:val="00044455"/>
    <w:rsid w:val="000455B2"/>
    <w:rsid w:val="000478B3"/>
    <w:rsid w:val="0005105E"/>
    <w:rsid w:val="000524C5"/>
    <w:rsid w:val="00053BEF"/>
    <w:rsid w:val="000545BC"/>
    <w:rsid w:val="00054B30"/>
    <w:rsid w:val="00054D77"/>
    <w:rsid w:val="00054E4D"/>
    <w:rsid w:val="000572F8"/>
    <w:rsid w:val="00057479"/>
    <w:rsid w:val="00057AE7"/>
    <w:rsid w:val="00060073"/>
    <w:rsid w:val="0006085D"/>
    <w:rsid w:val="00060A1D"/>
    <w:rsid w:val="00060F4E"/>
    <w:rsid w:val="000611E0"/>
    <w:rsid w:val="00061316"/>
    <w:rsid w:val="00064004"/>
    <w:rsid w:val="00065D8D"/>
    <w:rsid w:val="0006602F"/>
    <w:rsid w:val="000708A3"/>
    <w:rsid w:val="00072088"/>
    <w:rsid w:val="00074CE1"/>
    <w:rsid w:val="00074F48"/>
    <w:rsid w:val="000750F6"/>
    <w:rsid w:val="00077B6E"/>
    <w:rsid w:val="0008015D"/>
    <w:rsid w:val="000807BF"/>
    <w:rsid w:val="000812A9"/>
    <w:rsid w:val="000822D6"/>
    <w:rsid w:val="00083932"/>
    <w:rsid w:val="00083960"/>
    <w:rsid w:val="000852BA"/>
    <w:rsid w:val="00085E1C"/>
    <w:rsid w:val="00095682"/>
    <w:rsid w:val="000972FD"/>
    <w:rsid w:val="0009796F"/>
    <w:rsid w:val="000A0B99"/>
    <w:rsid w:val="000A17C8"/>
    <w:rsid w:val="000A2DF4"/>
    <w:rsid w:val="000A48E6"/>
    <w:rsid w:val="000A4968"/>
    <w:rsid w:val="000A68EC"/>
    <w:rsid w:val="000A7EFA"/>
    <w:rsid w:val="000B10EA"/>
    <w:rsid w:val="000B3155"/>
    <w:rsid w:val="000B321A"/>
    <w:rsid w:val="000B34F2"/>
    <w:rsid w:val="000B3C39"/>
    <w:rsid w:val="000B4C9B"/>
    <w:rsid w:val="000B4F13"/>
    <w:rsid w:val="000B5035"/>
    <w:rsid w:val="000B5255"/>
    <w:rsid w:val="000C1751"/>
    <w:rsid w:val="000C3241"/>
    <w:rsid w:val="000C3638"/>
    <w:rsid w:val="000C402A"/>
    <w:rsid w:val="000C64EA"/>
    <w:rsid w:val="000D1F9F"/>
    <w:rsid w:val="000D2F15"/>
    <w:rsid w:val="000D3688"/>
    <w:rsid w:val="000D3F7B"/>
    <w:rsid w:val="000D53CF"/>
    <w:rsid w:val="000D54CB"/>
    <w:rsid w:val="000D5B6E"/>
    <w:rsid w:val="000D6FBF"/>
    <w:rsid w:val="000D707F"/>
    <w:rsid w:val="000D72ED"/>
    <w:rsid w:val="000E1333"/>
    <w:rsid w:val="000E2550"/>
    <w:rsid w:val="000E27F1"/>
    <w:rsid w:val="000E35F8"/>
    <w:rsid w:val="000E3ACE"/>
    <w:rsid w:val="000E435E"/>
    <w:rsid w:val="000E45BC"/>
    <w:rsid w:val="000E654C"/>
    <w:rsid w:val="000E72DE"/>
    <w:rsid w:val="000E79F6"/>
    <w:rsid w:val="000F1A27"/>
    <w:rsid w:val="000F2248"/>
    <w:rsid w:val="000F2A97"/>
    <w:rsid w:val="000F37CE"/>
    <w:rsid w:val="000F4203"/>
    <w:rsid w:val="000F65C4"/>
    <w:rsid w:val="000F6F98"/>
    <w:rsid w:val="001004BE"/>
    <w:rsid w:val="001014C6"/>
    <w:rsid w:val="00101A68"/>
    <w:rsid w:val="00101C0F"/>
    <w:rsid w:val="001026AB"/>
    <w:rsid w:val="001043B3"/>
    <w:rsid w:val="001047F7"/>
    <w:rsid w:val="00105094"/>
    <w:rsid w:val="001055F8"/>
    <w:rsid w:val="00106E76"/>
    <w:rsid w:val="001078B2"/>
    <w:rsid w:val="001078B5"/>
    <w:rsid w:val="00110ADB"/>
    <w:rsid w:val="00111528"/>
    <w:rsid w:val="00112A36"/>
    <w:rsid w:val="00113B69"/>
    <w:rsid w:val="00115C47"/>
    <w:rsid w:val="00122C68"/>
    <w:rsid w:val="0012453C"/>
    <w:rsid w:val="001250CF"/>
    <w:rsid w:val="0013028D"/>
    <w:rsid w:val="00132A95"/>
    <w:rsid w:val="00140912"/>
    <w:rsid w:val="00141E3E"/>
    <w:rsid w:val="001432C3"/>
    <w:rsid w:val="00146395"/>
    <w:rsid w:val="00147C11"/>
    <w:rsid w:val="00152CE0"/>
    <w:rsid w:val="00153A63"/>
    <w:rsid w:val="001541EA"/>
    <w:rsid w:val="001551E3"/>
    <w:rsid w:val="00156A3D"/>
    <w:rsid w:val="0015765E"/>
    <w:rsid w:val="00157C34"/>
    <w:rsid w:val="00164229"/>
    <w:rsid w:val="0016539E"/>
    <w:rsid w:val="00165400"/>
    <w:rsid w:val="00165A70"/>
    <w:rsid w:val="00170945"/>
    <w:rsid w:val="0017114C"/>
    <w:rsid w:val="0017185A"/>
    <w:rsid w:val="00174360"/>
    <w:rsid w:val="00176E78"/>
    <w:rsid w:val="001776A7"/>
    <w:rsid w:val="00177828"/>
    <w:rsid w:val="0018002E"/>
    <w:rsid w:val="0018027C"/>
    <w:rsid w:val="00180285"/>
    <w:rsid w:val="00180A8F"/>
    <w:rsid w:val="00184FC0"/>
    <w:rsid w:val="0018536B"/>
    <w:rsid w:val="00185924"/>
    <w:rsid w:val="00185DA1"/>
    <w:rsid w:val="00187170"/>
    <w:rsid w:val="001902E8"/>
    <w:rsid w:val="001908EF"/>
    <w:rsid w:val="00193D37"/>
    <w:rsid w:val="00194724"/>
    <w:rsid w:val="00194CC4"/>
    <w:rsid w:val="00195D90"/>
    <w:rsid w:val="00196069"/>
    <w:rsid w:val="001963D6"/>
    <w:rsid w:val="00196DE3"/>
    <w:rsid w:val="001A08CA"/>
    <w:rsid w:val="001A14BB"/>
    <w:rsid w:val="001A2067"/>
    <w:rsid w:val="001A243F"/>
    <w:rsid w:val="001A312B"/>
    <w:rsid w:val="001A49A8"/>
    <w:rsid w:val="001A56AF"/>
    <w:rsid w:val="001A79DE"/>
    <w:rsid w:val="001B0BCF"/>
    <w:rsid w:val="001B19B5"/>
    <w:rsid w:val="001B3E97"/>
    <w:rsid w:val="001B4DEE"/>
    <w:rsid w:val="001B52CB"/>
    <w:rsid w:val="001B702C"/>
    <w:rsid w:val="001B768A"/>
    <w:rsid w:val="001C013B"/>
    <w:rsid w:val="001C07AD"/>
    <w:rsid w:val="001C4DEF"/>
    <w:rsid w:val="001C5CA1"/>
    <w:rsid w:val="001C6327"/>
    <w:rsid w:val="001C7935"/>
    <w:rsid w:val="001D145C"/>
    <w:rsid w:val="001D160B"/>
    <w:rsid w:val="001D5A1B"/>
    <w:rsid w:val="001D5FD3"/>
    <w:rsid w:val="001D663E"/>
    <w:rsid w:val="001D6A66"/>
    <w:rsid w:val="001E0D37"/>
    <w:rsid w:val="001E1DC0"/>
    <w:rsid w:val="001E34A1"/>
    <w:rsid w:val="001E3599"/>
    <w:rsid w:val="001E6372"/>
    <w:rsid w:val="001E69C9"/>
    <w:rsid w:val="001E78EC"/>
    <w:rsid w:val="001F166F"/>
    <w:rsid w:val="001F2B30"/>
    <w:rsid w:val="001F3548"/>
    <w:rsid w:val="001F5D80"/>
    <w:rsid w:val="001F5EE0"/>
    <w:rsid w:val="001F64B0"/>
    <w:rsid w:val="001F7688"/>
    <w:rsid w:val="0020048F"/>
    <w:rsid w:val="00200DF3"/>
    <w:rsid w:val="00201B9A"/>
    <w:rsid w:val="002028C7"/>
    <w:rsid w:val="00202D30"/>
    <w:rsid w:val="00203164"/>
    <w:rsid w:val="00203BF7"/>
    <w:rsid w:val="00205D58"/>
    <w:rsid w:val="00206CF0"/>
    <w:rsid w:val="00207231"/>
    <w:rsid w:val="002102CD"/>
    <w:rsid w:val="002102F5"/>
    <w:rsid w:val="002127EA"/>
    <w:rsid w:val="00214BA9"/>
    <w:rsid w:val="00214BD0"/>
    <w:rsid w:val="00217076"/>
    <w:rsid w:val="00220345"/>
    <w:rsid w:val="0022167B"/>
    <w:rsid w:val="0022186C"/>
    <w:rsid w:val="00221E7E"/>
    <w:rsid w:val="0022270A"/>
    <w:rsid w:val="00223C25"/>
    <w:rsid w:val="0022472F"/>
    <w:rsid w:val="00226185"/>
    <w:rsid w:val="002261F9"/>
    <w:rsid w:val="00227549"/>
    <w:rsid w:val="00231828"/>
    <w:rsid w:val="002336DC"/>
    <w:rsid w:val="0023481D"/>
    <w:rsid w:val="0023485D"/>
    <w:rsid w:val="00234A59"/>
    <w:rsid w:val="002353DD"/>
    <w:rsid w:val="00235580"/>
    <w:rsid w:val="00236047"/>
    <w:rsid w:val="00240236"/>
    <w:rsid w:val="00240892"/>
    <w:rsid w:val="00241B9D"/>
    <w:rsid w:val="00244B9F"/>
    <w:rsid w:val="00244F6D"/>
    <w:rsid w:val="00244F9A"/>
    <w:rsid w:val="00245D05"/>
    <w:rsid w:val="00245E59"/>
    <w:rsid w:val="0024653B"/>
    <w:rsid w:val="00250A36"/>
    <w:rsid w:val="00250E9A"/>
    <w:rsid w:val="00252490"/>
    <w:rsid w:val="00253308"/>
    <w:rsid w:val="00253405"/>
    <w:rsid w:val="00255B93"/>
    <w:rsid w:val="002573DB"/>
    <w:rsid w:val="002607B0"/>
    <w:rsid w:val="00261244"/>
    <w:rsid w:val="002619FD"/>
    <w:rsid w:val="00265B06"/>
    <w:rsid w:val="0026628B"/>
    <w:rsid w:val="00266BE3"/>
    <w:rsid w:val="00271503"/>
    <w:rsid w:val="00272B56"/>
    <w:rsid w:val="00273641"/>
    <w:rsid w:val="00275280"/>
    <w:rsid w:val="00275E04"/>
    <w:rsid w:val="0027645E"/>
    <w:rsid w:val="0027675A"/>
    <w:rsid w:val="00276B76"/>
    <w:rsid w:val="00281041"/>
    <w:rsid w:val="00281CAF"/>
    <w:rsid w:val="002834E4"/>
    <w:rsid w:val="00283A82"/>
    <w:rsid w:val="00283EFE"/>
    <w:rsid w:val="00283F68"/>
    <w:rsid w:val="0028602A"/>
    <w:rsid w:val="00286EDD"/>
    <w:rsid w:val="00287160"/>
    <w:rsid w:val="002908DE"/>
    <w:rsid w:val="002921CE"/>
    <w:rsid w:val="00292E66"/>
    <w:rsid w:val="0029311D"/>
    <w:rsid w:val="00293666"/>
    <w:rsid w:val="00293D6A"/>
    <w:rsid w:val="00294C15"/>
    <w:rsid w:val="00294FBA"/>
    <w:rsid w:val="0029542A"/>
    <w:rsid w:val="002957F0"/>
    <w:rsid w:val="00295862"/>
    <w:rsid w:val="00296DE9"/>
    <w:rsid w:val="00297285"/>
    <w:rsid w:val="0029733B"/>
    <w:rsid w:val="002A122D"/>
    <w:rsid w:val="002A1DBF"/>
    <w:rsid w:val="002A5765"/>
    <w:rsid w:val="002A6536"/>
    <w:rsid w:val="002A6F66"/>
    <w:rsid w:val="002A70C9"/>
    <w:rsid w:val="002A7761"/>
    <w:rsid w:val="002B0FE8"/>
    <w:rsid w:val="002B1393"/>
    <w:rsid w:val="002B1C22"/>
    <w:rsid w:val="002B2805"/>
    <w:rsid w:val="002B2A63"/>
    <w:rsid w:val="002B3141"/>
    <w:rsid w:val="002B32D5"/>
    <w:rsid w:val="002B33D7"/>
    <w:rsid w:val="002B4D95"/>
    <w:rsid w:val="002B5BE7"/>
    <w:rsid w:val="002B5C14"/>
    <w:rsid w:val="002C0C6F"/>
    <w:rsid w:val="002C1CF3"/>
    <w:rsid w:val="002C1D56"/>
    <w:rsid w:val="002C1EB6"/>
    <w:rsid w:val="002D0D39"/>
    <w:rsid w:val="002D153A"/>
    <w:rsid w:val="002D22F8"/>
    <w:rsid w:val="002D43C3"/>
    <w:rsid w:val="002D475A"/>
    <w:rsid w:val="002D484F"/>
    <w:rsid w:val="002E050D"/>
    <w:rsid w:val="002E27C3"/>
    <w:rsid w:val="002E34D5"/>
    <w:rsid w:val="002E41A4"/>
    <w:rsid w:val="002E518F"/>
    <w:rsid w:val="002E5F77"/>
    <w:rsid w:val="002F10DD"/>
    <w:rsid w:val="002F15FA"/>
    <w:rsid w:val="002F1BDC"/>
    <w:rsid w:val="002F2339"/>
    <w:rsid w:val="002F2A19"/>
    <w:rsid w:val="002F2F16"/>
    <w:rsid w:val="002F5E55"/>
    <w:rsid w:val="002F6C53"/>
    <w:rsid w:val="002F7667"/>
    <w:rsid w:val="002F795B"/>
    <w:rsid w:val="003002C0"/>
    <w:rsid w:val="00301144"/>
    <w:rsid w:val="00301318"/>
    <w:rsid w:val="00301A30"/>
    <w:rsid w:val="003027E0"/>
    <w:rsid w:val="00306094"/>
    <w:rsid w:val="00306DD0"/>
    <w:rsid w:val="0031097F"/>
    <w:rsid w:val="00312045"/>
    <w:rsid w:val="003148B7"/>
    <w:rsid w:val="00314D0B"/>
    <w:rsid w:val="003158C3"/>
    <w:rsid w:val="00317015"/>
    <w:rsid w:val="0031789C"/>
    <w:rsid w:val="00317F52"/>
    <w:rsid w:val="00320300"/>
    <w:rsid w:val="00320907"/>
    <w:rsid w:val="00322D6D"/>
    <w:rsid w:val="00322F19"/>
    <w:rsid w:val="00322FB6"/>
    <w:rsid w:val="00324251"/>
    <w:rsid w:val="00325710"/>
    <w:rsid w:val="0032586C"/>
    <w:rsid w:val="003265CD"/>
    <w:rsid w:val="003268D7"/>
    <w:rsid w:val="00326F81"/>
    <w:rsid w:val="003274CD"/>
    <w:rsid w:val="00327CFE"/>
    <w:rsid w:val="00327DBC"/>
    <w:rsid w:val="00330302"/>
    <w:rsid w:val="00330F04"/>
    <w:rsid w:val="00332F29"/>
    <w:rsid w:val="00333501"/>
    <w:rsid w:val="00334973"/>
    <w:rsid w:val="00335738"/>
    <w:rsid w:val="0033771D"/>
    <w:rsid w:val="00337B31"/>
    <w:rsid w:val="00337D35"/>
    <w:rsid w:val="003407D4"/>
    <w:rsid w:val="00341427"/>
    <w:rsid w:val="003422B5"/>
    <w:rsid w:val="003440D7"/>
    <w:rsid w:val="003449AE"/>
    <w:rsid w:val="00345632"/>
    <w:rsid w:val="003457C4"/>
    <w:rsid w:val="00346E12"/>
    <w:rsid w:val="003502AD"/>
    <w:rsid w:val="003509BF"/>
    <w:rsid w:val="0035119D"/>
    <w:rsid w:val="00354054"/>
    <w:rsid w:val="003546CF"/>
    <w:rsid w:val="00354737"/>
    <w:rsid w:val="0035513B"/>
    <w:rsid w:val="0035532C"/>
    <w:rsid w:val="003554E2"/>
    <w:rsid w:val="00355AEF"/>
    <w:rsid w:val="00355C0E"/>
    <w:rsid w:val="00356005"/>
    <w:rsid w:val="003567C7"/>
    <w:rsid w:val="00360866"/>
    <w:rsid w:val="003618EC"/>
    <w:rsid w:val="00363B3C"/>
    <w:rsid w:val="00364C24"/>
    <w:rsid w:val="00365C20"/>
    <w:rsid w:val="00365D75"/>
    <w:rsid w:val="00367856"/>
    <w:rsid w:val="00367EDD"/>
    <w:rsid w:val="00370723"/>
    <w:rsid w:val="00372659"/>
    <w:rsid w:val="0037683D"/>
    <w:rsid w:val="003776B0"/>
    <w:rsid w:val="003801A4"/>
    <w:rsid w:val="00383B26"/>
    <w:rsid w:val="003851B4"/>
    <w:rsid w:val="003929BB"/>
    <w:rsid w:val="00394867"/>
    <w:rsid w:val="0039671F"/>
    <w:rsid w:val="003A1587"/>
    <w:rsid w:val="003A4F78"/>
    <w:rsid w:val="003A5358"/>
    <w:rsid w:val="003A5CD1"/>
    <w:rsid w:val="003A6EF3"/>
    <w:rsid w:val="003A7A3A"/>
    <w:rsid w:val="003A7B6A"/>
    <w:rsid w:val="003B01CC"/>
    <w:rsid w:val="003B316C"/>
    <w:rsid w:val="003B4F12"/>
    <w:rsid w:val="003B5765"/>
    <w:rsid w:val="003B58A6"/>
    <w:rsid w:val="003B7805"/>
    <w:rsid w:val="003B7C23"/>
    <w:rsid w:val="003C032F"/>
    <w:rsid w:val="003C238D"/>
    <w:rsid w:val="003C286D"/>
    <w:rsid w:val="003C72E9"/>
    <w:rsid w:val="003C7463"/>
    <w:rsid w:val="003D0197"/>
    <w:rsid w:val="003D0BD4"/>
    <w:rsid w:val="003D0DCA"/>
    <w:rsid w:val="003D2B0D"/>
    <w:rsid w:val="003D3CE2"/>
    <w:rsid w:val="003D3D7B"/>
    <w:rsid w:val="003D4B63"/>
    <w:rsid w:val="003D4F79"/>
    <w:rsid w:val="003D5A65"/>
    <w:rsid w:val="003D7D8B"/>
    <w:rsid w:val="003D7F56"/>
    <w:rsid w:val="003E038E"/>
    <w:rsid w:val="003E0442"/>
    <w:rsid w:val="003E32FA"/>
    <w:rsid w:val="003E5836"/>
    <w:rsid w:val="003E7E31"/>
    <w:rsid w:val="003F0421"/>
    <w:rsid w:val="003F1FBC"/>
    <w:rsid w:val="003F299E"/>
    <w:rsid w:val="003F3DE0"/>
    <w:rsid w:val="003F4DCD"/>
    <w:rsid w:val="003F525E"/>
    <w:rsid w:val="003F755B"/>
    <w:rsid w:val="003F7BE0"/>
    <w:rsid w:val="00400250"/>
    <w:rsid w:val="00400D0D"/>
    <w:rsid w:val="004057CC"/>
    <w:rsid w:val="00405CC0"/>
    <w:rsid w:val="0040646F"/>
    <w:rsid w:val="004115DC"/>
    <w:rsid w:val="00413F78"/>
    <w:rsid w:val="004141DC"/>
    <w:rsid w:val="0041430C"/>
    <w:rsid w:val="004144E9"/>
    <w:rsid w:val="004215E7"/>
    <w:rsid w:val="0042230F"/>
    <w:rsid w:val="004230ED"/>
    <w:rsid w:val="00423F31"/>
    <w:rsid w:val="0042455D"/>
    <w:rsid w:val="004249B1"/>
    <w:rsid w:val="00425109"/>
    <w:rsid w:val="0042514A"/>
    <w:rsid w:val="00425CB9"/>
    <w:rsid w:val="00426C51"/>
    <w:rsid w:val="00427B4D"/>
    <w:rsid w:val="00427D2E"/>
    <w:rsid w:val="004313AB"/>
    <w:rsid w:val="00431899"/>
    <w:rsid w:val="00431DA8"/>
    <w:rsid w:val="00432C3F"/>
    <w:rsid w:val="00432F80"/>
    <w:rsid w:val="00433406"/>
    <w:rsid w:val="004338A0"/>
    <w:rsid w:val="0043415E"/>
    <w:rsid w:val="00434740"/>
    <w:rsid w:val="0043490B"/>
    <w:rsid w:val="004375D8"/>
    <w:rsid w:val="00437A5A"/>
    <w:rsid w:val="00437D4C"/>
    <w:rsid w:val="00441DF0"/>
    <w:rsid w:val="0044284B"/>
    <w:rsid w:val="00442863"/>
    <w:rsid w:val="00442F83"/>
    <w:rsid w:val="00443996"/>
    <w:rsid w:val="0044591B"/>
    <w:rsid w:val="00446C69"/>
    <w:rsid w:val="00451F31"/>
    <w:rsid w:val="00454C8F"/>
    <w:rsid w:val="00454E4D"/>
    <w:rsid w:val="00457BEE"/>
    <w:rsid w:val="00457C99"/>
    <w:rsid w:val="00457E74"/>
    <w:rsid w:val="00460D02"/>
    <w:rsid w:val="004612B5"/>
    <w:rsid w:val="00462E3F"/>
    <w:rsid w:val="00465892"/>
    <w:rsid w:val="00466AEB"/>
    <w:rsid w:val="00466C81"/>
    <w:rsid w:val="00466CCD"/>
    <w:rsid w:val="00467695"/>
    <w:rsid w:val="004678DE"/>
    <w:rsid w:val="00470A22"/>
    <w:rsid w:val="004725B8"/>
    <w:rsid w:val="0047288A"/>
    <w:rsid w:val="00472C12"/>
    <w:rsid w:val="0047491E"/>
    <w:rsid w:val="004755E9"/>
    <w:rsid w:val="00477965"/>
    <w:rsid w:val="00480A54"/>
    <w:rsid w:val="00481CA0"/>
    <w:rsid w:val="0048224A"/>
    <w:rsid w:val="00482ABC"/>
    <w:rsid w:val="004866A7"/>
    <w:rsid w:val="00486804"/>
    <w:rsid w:val="0049255E"/>
    <w:rsid w:val="00493AA5"/>
    <w:rsid w:val="00493AE4"/>
    <w:rsid w:val="00494666"/>
    <w:rsid w:val="00495A7A"/>
    <w:rsid w:val="00495F8E"/>
    <w:rsid w:val="004965DF"/>
    <w:rsid w:val="004971E7"/>
    <w:rsid w:val="004A2340"/>
    <w:rsid w:val="004A2A24"/>
    <w:rsid w:val="004A371A"/>
    <w:rsid w:val="004A3947"/>
    <w:rsid w:val="004A486D"/>
    <w:rsid w:val="004A6266"/>
    <w:rsid w:val="004A6369"/>
    <w:rsid w:val="004A65C2"/>
    <w:rsid w:val="004A6CBA"/>
    <w:rsid w:val="004B2346"/>
    <w:rsid w:val="004B3110"/>
    <w:rsid w:val="004B3775"/>
    <w:rsid w:val="004B5B4E"/>
    <w:rsid w:val="004B6181"/>
    <w:rsid w:val="004C01D1"/>
    <w:rsid w:val="004C28D2"/>
    <w:rsid w:val="004C3616"/>
    <w:rsid w:val="004C4A6B"/>
    <w:rsid w:val="004C76C0"/>
    <w:rsid w:val="004D0229"/>
    <w:rsid w:val="004D0AEE"/>
    <w:rsid w:val="004D336E"/>
    <w:rsid w:val="004D5A6F"/>
    <w:rsid w:val="004D633C"/>
    <w:rsid w:val="004E058F"/>
    <w:rsid w:val="004E161E"/>
    <w:rsid w:val="004E2D37"/>
    <w:rsid w:val="004E3B87"/>
    <w:rsid w:val="004E5AAA"/>
    <w:rsid w:val="004E691C"/>
    <w:rsid w:val="004E6D78"/>
    <w:rsid w:val="004E7E9F"/>
    <w:rsid w:val="004F2A58"/>
    <w:rsid w:val="004F4F96"/>
    <w:rsid w:val="004F78F9"/>
    <w:rsid w:val="00501EA3"/>
    <w:rsid w:val="0050405D"/>
    <w:rsid w:val="0050423D"/>
    <w:rsid w:val="005051F8"/>
    <w:rsid w:val="0050586B"/>
    <w:rsid w:val="00510382"/>
    <w:rsid w:val="00510921"/>
    <w:rsid w:val="00510AD3"/>
    <w:rsid w:val="005114D9"/>
    <w:rsid w:val="0051203E"/>
    <w:rsid w:val="00513348"/>
    <w:rsid w:val="0051473F"/>
    <w:rsid w:val="00515A59"/>
    <w:rsid w:val="00515D7B"/>
    <w:rsid w:val="005163E9"/>
    <w:rsid w:val="00516462"/>
    <w:rsid w:val="005202EA"/>
    <w:rsid w:val="0052042F"/>
    <w:rsid w:val="00521046"/>
    <w:rsid w:val="00521B2A"/>
    <w:rsid w:val="00524715"/>
    <w:rsid w:val="00527AF2"/>
    <w:rsid w:val="00531C49"/>
    <w:rsid w:val="00533AB7"/>
    <w:rsid w:val="00533B5D"/>
    <w:rsid w:val="00534B70"/>
    <w:rsid w:val="00534C27"/>
    <w:rsid w:val="00535208"/>
    <w:rsid w:val="00536F42"/>
    <w:rsid w:val="00537510"/>
    <w:rsid w:val="00537DD7"/>
    <w:rsid w:val="00537FA4"/>
    <w:rsid w:val="0054094F"/>
    <w:rsid w:val="00545E15"/>
    <w:rsid w:val="0055091A"/>
    <w:rsid w:val="00552BFE"/>
    <w:rsid w:val="005536C4"/>
    <w:rsid w:val="005539E8"/>
    <w:rsid w:val="00553F01"/>
    <w:rsid w:val="00554AEA"/>
    <w:rsid w:val="00555AD3"/>
    <w:rsid w:val="00556A7A"/>
    <w:rsid w:val="00556D31"/>
    <w:rsid w:val="0056134F"/>
    <w:rsid w:val="0056172E"/>
    <w:rsid w:val="00561F59"/>
    <w:rsid w:val="00562255"/>
    <w:rsid w:val="00562455"/>
    <w:rsid w:val="00563E74"/>
    <w:rsid w:val="0056434C"/>
    <w:rsid w:val="00564568"/>
    <w:rsid w:val="00564B8C"/>
    <w:rsid w:val="00566089"/>
    <w:rsid w:val="005665A0"/>
    <w:rsid w:val="00567C81"/>
    <w:rsid w:val="00567D15"/>
    <w:rsid w:val="00571B58"/>
    <w:rsid w:val="0057225D"/>
    <w:rsid w:val="00573FE9"/>
    <w:rsid w:val="0058384C"/>
    <w:rsid w:val="0058458D"/>
    <w:rsid w:val="0058530D"/>
    <w:rsid w:val="00586502"/>
    <w:rsid w:val="00587AF3"/>
    <w:rsid w:val="00587F79"/>
    <w:rsid w:val="00591CDA"/>
    <w:rsid w:val="00592CA0"/>
    <w:rsid w:val="00593C78"/>
    <w:rsid w:val="005945FE"/>
    <w:rsid w:val="00596DED"/>
    <w:rsid w:val="00597249"/>
    <w:rsid w:val="005A0DFD"/>
    <w:rsid w:val="005A0E40"/>
    <w:rsid w:val="005A13DE"/>
    <w:rsid w:val="005A2025"/>
    <w:rsid w:val="005A2885"/>
    <w:rsid w:val="005A3526"/>
    <w:rsid w:val="005A4A2B"/>
    <w:rsid w:val="005A776B"/>
    <w:rsid w:val="005B1390"/>
    <w:rsid w:val="005B1871"/>
    <w:rsid w:val="005B2024"/>
    <w:rsid w:val="005B3794"/>
    <w:rsid w:val="005B4AB6"/>
    <w:rsid w:val="005B583F"/>
    <w:rsid w:val="005B6435"/>
    <w:rsid w:val="005B7EBF"/>
    <w:rsid w:val="005C07E8"/>
    <w:rsid w:val="005C18AC"/>
    <w:rsid w:val="005C2530"/>
    <w:rsid w:val="005C29F7"/>
    <w:rsid w:val="005C3D49"/>
    <w:rsid w:val="005C3F81"/>
    <w:rsid w:val="005C4FA9"/>
    <w:rsid w:val="005C674F"/>
    <w:rsid w:val="005C70FA"/>
    <w:rsid w:val="005C771F"/>
    <w:rsid w:val="005D10B6"/>
    <w:rsid w:val="005D1E4D"/>
    <w:rsid w:val="005D65C1"/>
    <w:rsid w:val="005D66D9"/>
    <w:rsid w:val="005E2983"/>
    <w:rsid w:val="005E3658"/>
    <w:rsid w:val="005F01D0"/>
    <w:rsid w:val="005F0701"/>
    <w:rsid w:val="005F08EF"/>
    <w:rsid w:val="005F0DB3"/>
    <w:rsid w:val="005F306F"/>
    <w:rsid w:val="005F53A9"/>
    <w:rsid w:val="005F6B87"/>
    <w:rsid w:val="005F6F70"/>
    <w:rsid w:val="005F7572"/>
    <w:rsid w:val="00600C80"/>
    <w:rsid w:val="00601294"/>
    <w:rsid w:val="0060161B"/>
    <w:rsid w:val="00602A5B"/>
    <w:rsid w:val="00602DC5"/>
    <w:rsid w:val="0060673B"/>
    <w:rsid w:val="0061211F"/>
    <w:rsid w:val="006145F2"/>
    <w:rsid w:val="00614808"/>
    <w:rsid w:val="00615A2B"/>
    <w:rsid w:val="006164ED"/>
    <w:rsid w:val="00616ECA"/>
    <w:rsid w:val="006177E8"/>
    <w:rsid w:val="00617926"/>
    <w:rsid w:val="006222A8"/>
    <w:rsid w:val="0062269C"/>
    <w:rsid w:val="00623274"/>
    <w:rsid w:val="00623529"/>
    <w:rsid w:val="00623BA1"/>
    <w:rsid w:val="00624168"/>
    <w:rsid w:val="00624BA1"/>
    <w:rsid w:val="00625A5B"/>
    <w:rsid w:val="0062669F"/>
    <w:rsid w:val="0062672C"/>
    <w:rsid w:val="00626DDE"/>
    <w:rsid w:val="00627558"/>
    <w:rsid w:val="006309F8"/>
    <w:rsid w:val="00631F8A"/>
    <w:rsid w:val="006337A0"/>
    <w:rsid w:val="006346BC"/>
    <w:rsid w:val="00634745"/>
    <w:rsid w:val="00635822"/>
    <w:rsid w:val="00636A49"/>
    <w:rsid w:val="0063790E"/>
    <w:rsid w:val="00641312"/>
    <w:rsid w:val="006421EA"/>
    <w:rsid w:val="0064665B"/>
    <w:rsid w:val="00646754"/>
    <w:rsid w:val="00646C5E"/>
    <w:rsid w:val="00646C82"/>
    <w:rsid w:val="006470D3"/>
    <w:rsid w:val="00647BD8"/>
    <w:rsid w:val="006506AF"/>
    <w:rsid w:val="00653AE2"/>
    <w:rsid w:val="00655169"/>
    <w:rsid w:val="006564F0"/>
    <w:rsid w:val="0065677A"/>
    <w:rsid w:val="0065749D"/>
    <w:rsid w:val="00657B74"/>
    <w:rsid w:val="00660AF5"/>
    <w:rsid w:val="00661564"/>
    <w:rsid w:val="0066251A"/>
    <w:rsid w:val="006636BE"/>
    <w:rsid w:val="00663CB5"/>
    <w:rsid w:val="0066652A"/>
    <w:rsid w:val="00667EF0"/>
    <w:rsid w:val="00672415"/>
    <w:rsid w:val="006728D3"/>
    <w:rsid w:val="00673049"/>
    <w:rsid w:val="00676113"/>
    <w:rsid w:val="00677402"/>
    <w:rsid w:val="00680667"/>
    <w:rsid w:val="00680E9A"/>
    <w:rsid w:val="00682167"/>
    <w:rsid w:val="0068425A"/>
    <w:rsid w:val="006847E9"/>
    <w:rsid w:val="0068516C"/>
    <w:rsid w:val="006857AD"/>
    <w:rsid w:val="00685AAF"/>
    <w:rsid w:val="00686E76"/>
    <w:rsid w:val="00687983"/>
    <w:rsid w:val="00687B3B"/>
    <w:rsid w:val="00690565"/>
    <w:rsid w:val="0069113C"/>
    <w:rsid w:val="00691B4F"/>
    <w:rsid w:val="00691C0E"/>
    <w:rsid w:val="006922D7"/>
    <w:rsid w:val="00693614"/>
    <w:rsid w:val="006955FB"/>
    <w:rsid w:val="00696F57"/>
    <w:rsid w:val="00697499"/>
    <w:rsid w:val="006A1054"/>
    <w:rsid w:val="006A17BA"/>
    <w:rsid w:val="006A2101"/>
    <w:rsid w:val="006A35C6"/>
    <w:rsid w:val="006A36F6"/>
    <w:rsid w:val="006A3835"/>
    <w:rsid w:val="006A41E8"/>
    <w:rsid w:val="006A6DD3"/>
    <w:rsid w:val="006B0019"/>
    <w:rsid w:val="006B08CC"/>
    <w:rsid w:val="006B0E2A"/>
    <w:rsid w:val="006B104A"/>
    <w:rsid w:val="006B27EA"/>
    <w:rsid w:val="006B2F01"/>
    <w:rsid w:val="006B45BC"/>
    <w:rsid w:val="006B4829"/>
    <w:rsid w:val="006B583C"/>
    <w:rsid w:val="006B6C48"/>
    <w:rsid w:val="006B6CE7"/>
    <w:rsid w:val="006B7342"/>
    <w:rsid w:val="006B7DD8"/>
    <w:rsid w:val="006B7DE5"/>
    <w:rsid w:val="006C0512"/>
    <w:rsid w:val="006C0F4F"/>
    <w:rsid w:val="006C1B9A"/>
    <w:rsid w:val="006C23BB"/>
    <w:rsid w:val="006C3463"/>
    <w:rsid w:val="006C42AF"/>
    <w:rsid w:val="006C43C7"/>
    <w:rsid w:val="006C483E"/>
    <w:rsid w:val="006C4D64"/>
    <w:rsid w:val="006C5043"/>
    <w:rsid w:val="006C5438"/>
    <w:rsid w:val="006C6E26"/>
    <w:rsid w:val="006D1A96"/>
    <w:rsid w:val="006D3537"/>
    <w:rsid w:val="006D5031"/>
    <w:rsid w:val="006D7301"/>
    <w:rsid w:val="006E06E6"/>
    <w:rsid w:val="006E2148"/>
    <w:rsid w:val="006E2A12"/>
    <w:rsid w:val="006E347D"/>
    <w:rsid w:val="006E534D"/>
    <w:rsid w:val="006E5921"/>
    <w:rsid w:val="006E6C1D"/>
    <w:rsid w:val="006F0606"/>
    <w:rsid w:val="006F1205"/>
    <w:rsid w:val="006F145A"/>
    <w:rsid w:val="006F3B09"/>
    <w:rsid w:val="006F58B8"/>
    <w:rsid w:val="006F682D"/>
    <w:rsid w:val="007003F1"/>
    <w:rsid w:val="00700B3A"/>
    <w:rsid w:val="0070151A"/>
    <w:rsid w:val="00706547"/>
    <w:rsid w:val="00706FDE"/>
    <w:rsid w:val="007071FB"/>
    <w:rsid w:val="00707D5F"/>
    <w:rsid w:val="00707E25"/>
    <w:rsid w:val="0071086E"/>
    <w:rsid w:val="00710AC4"/>
    <w:rsid w:val="007110A8"/>
    <w:rsid w:val="00711D8E"/>
    <w:rsid w:val="0071235D"/>
    <w:rsid w:val="0071256F"/>
    <w:rsid w:val="00712672"/>
    <w:rsid w:val="007128B2"/>
    <w:rsid w:val="007129DB"/>
    <w:rsid w:val="00713ACB"/>
    <w:rsid w:val="00715F75"/>
    <w:rsid w:val="0071711C"/>
    <w:rsid w:val="007209B1"/>
    <w:rsid w:val="00720C7F"/>
    <w:rsid w:val="007217FC"/>
    <w:rsid w:val="0072343F"/>
    <w:rsid w:val="00724570"/>
    <w:rsid w:val="0072665B"/>
    <w:rsid w:val="00726A05"/>
    <w:rsid w:val="00726BAD"/>
    <w:rsid w:val="0072706C"/>
    <w:rsid w:val="00727138"/>
    <w:rsid w:val="00731A39"/>
    <w:rsid w:val="00732CA1"/>
    <w:rsid w:val="00734E3F"/>
    <w:rsid w:val="00736985"/>
    <w:rsid w:val="00737C86"/>
    <w:rsid w:val="00737E37"/>
    <w:rsid w:val="00740F82"/>
    <w:rsid w:val="0074140E"/>
    <w:rsid w:val="00743A26"/>
    <w:rsid w:val="00744271"/>
    <w:rsid w:val="00744818"/>
    <w:rsid w:val="00745DF5"/>
    <w:rsid w:val="00745E59"/>
    <w:rsid w:val="0074767B"/>
    <w:rsid w:val="0075085E"/>
    <w:rsid w:val="00750DBA"/>
    <w:rsid w:val="00752EEE"/>
    <w:rsid w:val="007538A5"/>
    <w:rsid w:val="00753E6E"/>
    <w:rsid w:val="00756044"/>
    <w:rsid w:val="0075794C"/>
    <w:rsid w:val="00757B86"/>
    <w:rsid w:val="00760163"/>
    <w:rsid w:val="00761FBB"/>
    <w:rsid w:val="0076325E"/>
    <w:rsid w:val="00764AB9"/>
    <w:rsid w:val="007673FA"/>
    <w:rsid w:val="00771B2B"/>
    <w:rsid w:val="00774489"/>
    <w:rsid w:val="0077715C"/>
    <w:rsid w:val="007806BC"/>
    <w:rsid w:val="00780B91"/>
    <w:rsid w:val="00781086"/>
    <w:rsid w:val="007826D0"/>
    <w:rsid w:val="007837E6"/>
    <w:rsid w:val="00784E0B"/>
    <w:rsid w:val="0078522A"/>
    <w:rsid w:val="00785854"/>
    <w:rsid w:val="007860A9"/>
    <w:rsid w:val="007903D7"/>
    <w:rsid w:val="00790B24"/>
    <w:rsid w:val="007921B0"/>
    <w:rsid w:val="007923F8"/>
    <w:rsid w:val="00794E78"/>
    <w:rsid w:val="007951E8"/>
    <w:rsid w:val="00796E93"/>
    <w:rsid w:val="0079738A"/>
    <w:rsid w:val="007A1047"/>
    <w:rsid w:val="007A34B5"/>
    <w:rsid w:val="007A49F5"/>
    <w:rsid w:val="007A4AD3"/>
    <w:rsid w:val="007A4EBB"/>
    <w:rsid w:val="007A5E4F"/>
    <w:rsid w:val="007A663A"/>
    <w:rsid w:val="007A6B27"/>
    <w:rsid w:val="007A6FAA"/>
    <w:rsid w:val="007A70E0"/>
    <w:rsid w:val="007B0E2B"/>
    <w:rsid w:val="007B18CF"/>
    <w:rsid w:val="007B42BF"/>
    <w:rsid w:val="007B6200"/>
    <w:rsid w:val="007B634D"/>
    <w:rsid w:val="007B6845"/>
    <w:rsid w:val="007C043D"/>
    <w:rsid w:val="007C1DD9"/>
    <w:rsid w:val="007C2068"/>
    <w:rsid w:val="007C284A"/>
    <w:rsid w:val="007C362B"/>
    <w:rsid w:val="007C42D8"/>
    <w:rsid w:val="007C4E7A"/>
    <w:rsid w:val="007C640F"/>
    <w:rsid w:val="007C6DD8"/>
    <w:rsid w:val="007C751E"/>
    <w:rsid w:val="007C7F46"/>
    <w:rsid w:val="007D12E6"/>
    <w:rsid w:val="007D174F"/>
    <w:rsid w:val="007D1AD5"/>
    <w:rsid w:val="007D3717"/>
    <w:rsid w:val="007D3718"/>
    <w:rsid w:val="007D39AC"/>
    <w:rsid w:val="007D412D"/>
    <w:rsid w:val="007D422F"/>
    <w:rsid w:val="007D55EF"/>
    <w:rsid w:val="007D5DCF"/>
    <w:rsid w:val="007D60CC"/>
    <w:rsid w:val="007D6DB3"/>
    <w:rsid w:val="007E0333"/>
    <w:rsid w:val="007E0368"/>
    <w:rsid w:val="007E2535"/>
    <w:rsid w:val="007E3380"/>
    <w:rsid w:val="007E364D"/>
    <w:rsid w:val="007E3BC6"/>
    <w:rsid w:val="007E424F"/>
    <w:rsid w:val="007E4D37"/>
    <w:rsid w:val="007E4EB5"/>
    <w:rsid w:val="007E4FFE"/>
    <w:rsid w:val="007E646E"/>
    <w:rsid w:val="007F05DE"/>
    <w:rsid w:val="007F08D5"/>
    <w:rsid w:val="007F1C1F"/>
    <w:rsid w:val="007F2056"/>
    <w:rsid w:val="007F2768"/>
    <w:rsid w:val="007F3395"/>
    <w:rsid w:val="007F36AB"/>
    <w:rsid w:val="007F3A38"/>
    <w:rsid w:val="007F3B81"/>
    <w:rsid w:val="007F6A29"/>
    <w:rsid w:val="007F6D1E"/>
    <w:rsid w:val="007F7437"/>
    <w:rsid w:val="007F7514"/>
    <w:rsid w:val="0080137A"/>
    <w:rsid w:val="00801B9F"/>
    <w:rsid w:val="008025AD"/>
    <w:rsid w:val="0080440A"/>
    <w:rsid w:val="00804889"/>
    <w:rsid w:val="008050EF"/>
    <w:rsid w:val="00805797"/>
    <w:rsid w:val="00806503"/>
    <w:rsid w:val="00806757"/>
    <w:rsid w:val="008069B9"/>
    <w:rsid w:val="00806D54"/>
    <w:rsid w:val="00807E13"/>
    <w:rsid w:val="00807E4B"/>
    <w:rsid w:val="00810F80"/>
    <w:rsid w:val="0081137A"/>
    <w:rsid w:val="00812D05"/>
    <w:rsid w:val="00813E12"/>
    <w:rsid w:val="00814296"/>
    <w:rsid w:val="00815706"/>
    <w:rsid w:val="00815FF0"/>
    <w:rsid w:val="00816278"/>
    <w:rsid w:val="00816441"/>
    <w:rsid w:val="00822E89"/>
    <w:rsid w:val="0082386C"/>
    <w:rsid w:val="00823FC8"/>
    <w:rsid w:val="00826DD6"/>
    <w:rsid w:val="00826F77"/>
    <w:rsid w:val="0082741E"/>
    <w:rsid w:val="0083159F"/>
    <w:rsid w:val="00831DAD"/>
    <w:rsid w:val="00834091"/>
    <w:rsid w:val="008342FF"/>
    <w:rsid w:val="00834336"/>
    <w:rsid w:val="00834A9A"/>
    <w:rsid w:val="0083601D"/>
    <w:rsid w:val="00836B4A"/>
    <w:rsid w:val="008376B2"/>
    <w:rsid w:val="00837BC7"/>
    <w:rsid w:val="00840942"/>
    <w:rsid w:val="00842CE8"/>
    <w:rsid w:val="0084443B"/>
    <w:rsid w:val="00847C15"/>
    <w:rsid w:val="00847F50"/>
    <w:rsid w:val="0085011E"/>
    <w:rsid w:val="0085352A"/>
    <w:rsid w:val="00853D85"/>
    <w:rsid w:val="00854603"/>
    <w:rsid w:val="00854ACC"/>
    <w:rsid w:val="008550C9"/>
    <w:rsid w:val="008558DF"/>
    <w:rsid w:val="00855AC6"/>
    <w:rsid w:val="0085668D"/>
    <w:rsid w:val="00856CE8"/>
    <w:rsid w:val="0085713F"/>
    <w:rsid w:val="00857B9C"/>
    <w:rsid w:val="00863E91"/>
    <w:rsid w:val="00864077"/>
    <w:rsid w:val="00864465"/>
    <w:rsid w:val="0086462D"/>
    <w:rsid w:val="008652AF"/>
    <w:rsid w:val="008660C9"/>
    <w:rsid w:val="008664F0"/>
    <w:rsid w:val="00866D60"/>
    <w:rsid w:val="00870A2D"/>
    <w:rsid w:val="008720F9"/>
    <w:rsid w:val="00872529"/>
    <w:rsid w:val="00872E47"/>
    <w:rsid w:val="0087546D"/>
    <w:rsid w:val="008754A4"/>
    <w:rsid w:val="00875F79"/>
    <w:rsid w:val="00876D0C"/>
    <w:rsid w:val="008820F2"/>
    <w:rsid w:val="008830D2"/>
    <w:rsid w:val="008837A1"/>
    <w:rsid w:val="00883CA4"/>
    <w:rsid w:val="00883EB2"/>
    <w:rsid w:val="00885267"/>
    <w:rsid w:val="008857E1"/>
    <w:rsid w:val="00887333"/>
    <w:rsid w:val="008874A4"/>
    <w:rsid w:val="00887752"/>
    <w:rsid w:val="00891751"/>
    <w:rsid w:val="0089243F"/>
    <w:rsid w:val="00892441"/>
    <w:rsid w:val="00893DF9"/>
    <w:rsid w:val="00894052"/>
    <w:rsid w:val="0089453A"/>
    <w:rsid w:val="0089468D"/>
    <w:rsid w:val="00895427"/>
    <w:rsid w:val="00895A93"/>
    <w:rsid w:val="008960AB"/>
    <w:rsid w:val="008961E1"/>
    <w:rsid w:val="00896B6E"/>
    <w:rsid w:val="00897123"/>
    <w:rsid w:val="00897506"/>
    <w:rsid w:val="008A2139"/>
    <w:rsid w:val="008A2591"/>
    <w:rsid w:val="008A2D70"/>
    <w:rsid w:val="008A4329"/>
    <w:rsid w:val="008A4969"/>
    <w:rsid w:val="008A6A8C"/>
    <w:rsid w:val="008A7052"/>
    <w:rsid w:val="008A77E3"/>
    <w:rsid w:val="008A79AF"/>
    <w:rsid w:val="008A7ABA"/>
    <w:rsid w:val="008B0A28"/>
    <w:rsid w:val="008B0D04"/>
    <w:rsid w:val="008B4ECE"/>
    <w:rsid w:val="008B4F7E"/>
    <w:rsid w:val="008B64C8"/>
    <w:rsid w:val="008C0A3F"/>
    <w:rsid w:val="008C16E7"/>
    <w:rsid w:val="008C412C"/>
    <w:rsid w:val="008C455D"/>
    <w:rsid w:val="008C4DE0"/>
    <w:rsid w:val="008C5A0E"/>
    <w:rsid w:val="008C7754"/>
    <w:rsid w:val="008D1975"/>
    <w:rsid w:val="008D4A31"/>
    <w:rsid w:val="008D51BF"/>
    <w:rsid w:val="008E0080"/>
    <w:rsid w:val="008E032F"/>
    <w:rsid w:val="008E067B"/>
    <w:rsid w:val="008E153F"/>
    <w:rsid w:val="008E21B1"/>
    <w:rsid w:val="008E522B"/>
    <w:rsid w:val="008E5F0B"/>
    <w:rsid w:val="008E70A5"/>
    <w:rsid w:val="008E7E97"/>
    <w:rsid w:val="008F13D5"/>
    <w:rsid w:val="008F162C"/>
    <w:rsid w:val="008F1654"/>
    <w:rsid w:val="008F4066"/>
    <w:rsid w:val="008F516A"/>
    <w:rsid w:val="008F6B45"/>
    <w:rsid w:val="008F7563"/>
    <w:rsid w:val="0090337F"/>
    <w:rsid w:val="00904D8A"/>
    <w:rsid w:val="00904FDB"/>
    <w:rsid w:val="009057EA"/>
    <w:rsid w:val="00907982"/>
    <w:rsid w:val="009126D1"/>
    <w:rsid w:val="00921A64"/>
    <w:rsid w:val="009220D3"/>
    <w:rsid w:val="0092282C"/>
    <w:rsid w:val="00923172"/>
    <w:rsid w:val="009240AB"/>
    <w:rsid w:val="00924EB1"/>
    <w:rsid w:val="00925710"/>
    <w:rsid w:val="0092759F"/>
    <w:rsid w:val="00927E27"/>
    <w:rsid w:val="00927FDE"/>
    <w:rsid w:val="00930321"/>
    <w:rsid w:val="009335F5"/>
    <w:rsid w:val="00933807"/>
    <w:rsid w:val="00937EE3"/>
    <w:rsid w:val="00941038"/>
    <w:rsid w:val="00941AF2"/>
    <w:rsid w:val="00942CF9"/>
    <w:rsid w:val="00944C00"/>
    <w:rsid w:val="00945FC7"/>
    <w:rsid w:val="00950B21"/>
    <w:rsid w:val="00951970"/>
    <w:rsid w:val="00953433"/>
    <w:rsid w:val="00953A2E"/>
    <w:rsid w:val="00960FF6"/>
    <w:rsid w:val="00961895"/>
    <w:rsid w:val="009629F0"/>
    <w:rsid w:val="00962B03"/>
    <w:rsid w:val="00963C77"/>
    <w:rsid w:val="0096408E"/>
    <w:rsid w:val="00965150"/>
    <w:rsid w:val="00966257"/>
    <w:rsid w:val="00967668"/>
    <w:rsid w:val="00970670"/>
    <w:rsid w:val="00971905"/>
    <w:rsid w:val="00972F95"/>
    <w:rsid w:val="00973E8E"/>
    <w:rsid w:val="009750CB"/>
    <w:rsid w:val="00975A01"/>
    <w:rsid w:val="00975F9E"/>
    <w:rsid w:val="00976377"/>
    <w:rsid w:val="009774CB"/>
    <w:rsid w:val="0098016F"/>
    <w:rsid w:val="00982A5F"/>
    <w:rsid w:val="0098570C"/>
    <w:rsid w:val="00990925"/>
    <w:rsid w:val="009946C6"/>
    <w:rsid w:val="00997645"/>
    <w:rsid w:val="00997E44"/>
    <w:rsid w:val="009A078C"/>
    <w:rsid w:val="009A4087"/>
    <w:rsid w:val="009A4CDE"/>
    <w:rsid w:val="009A5E26"/>
    <w:rsid w:val="009A60A0"/>
    <w:rsid w:val="009A60A2"/>
    <w:rsid w:val="009A77F0"/>
    <w:rsid w:val="009B12CA"/>
    <w:rsid w:val="009B1843"/>
    <w:rsid w:val="009B1E9E"/>
    <w:rsid w:val="009B36DB"/>
    <w:rsid w:val="009B40C4"/>
    <w:rsid w:val="009B43BE"/>
    <w:rsid w:val="009B4D3B"/>
    <w:rsid w:val="009B5C76"/>
    <w:rsid w:val="009C101A"/>
    <w:rsid w:val="009C295A"/>
    <w:rsid w:val="009C4606"/>
    <w:rsid w:val="009C5CE8"/>
    <w:rsid w:val="009C6BCD"/>
    <w:rsid w:val="009C7B8A"/>
    <w:rsid w:val="009D2EC4"/>
    <w:rsid w:val="009D3402"/>
    <w:rsid w:val="009D39D2"/>
    <w:rsid w:val="009D6C69"/>
    <w:rsid w:val="009D7407"/>
    <w:rsid w:val="009D7841"/>
    <w:rsid w:val="009E05C0"/>
    <w:rsid w:val="009E0866"/>
    <w:rsid w:val="009E25BF"/>
    <w:rsid w:val="009E27FA"/>
    <w:rsid w:val="009E2DCB"/>
    <w:rsid w:val="009E3AD1"/>
    <w:rsid w:val="009E48B0"/>
    <w:rsid w:val="009E4A9F"/>
    <w:rsid w:val="009E5440"/>
    <w:rsid w:val="009E5E7F"/>
    <w:rsid w:val="009F3841"/>
    <w:rsid w:val="009F386E"/>
    <w:rsid w:val="009F4038"/>
    <w:rsid w:val="009F403F"/>
    <w:rsid w:val="009F5B41"/>
    <w:rsid w:val="009F6423"/>
    <w:rsid w:val="009F71D7"/>
    <w:rsid w:val="009F75FC"/>
    <w:rsid w:val="009F7917"/>
    <w:rsid w:val="00A01B9B"/>
    <w:rsid w:val="00A01C0A"/>
    <w:rsid w:val="00A026FE"/>
    <w:rsid w:val="00A03B1B"/>
    <w:rsid w:val="00A03DE7"/>
    <w:rsid w:val="00A04166"/>
    <w:rsid w:val="00A04DE5"/>
    <w:rsid w:val="00A05A87"/>
    <w:rsid w:val="00A135A5"/>
    <w:rsid w:val="00A13CEA"/>
    <w:rsid w:val="00A13DFB"/>
    <w:rsid w:val="00A13E4D"/>
    <w:rsid w:val="00A140C8"/>
    <w:rsid w:val="00A1561E"/>
    <w:rsid w:val="00A15818"/>
    <w:rsid w:val="00A15906"/>
    <w:rsid w:val="00A15979"/>
    <w:rsid w:val="00A15B70"/>
    <w:rsid w:val="00A22E9C"/>
    <w:rsid w:val="00A24100"/>
    <w:rsid w:val="00A241C7"/>
    <w:rsid w:val="00A2486C"/>
    <w:rsid w:val="00A24A62"/>
    <w:rsid w:val="00A263F9"/>
    <w:rsid w:val="00A3066D"/>
    <w:rsid w:val="00A31C9F"/>
    <w:rsid w:val="00A3365F"/>
    <w:rsid w:val="00A3553E"/>
    <w:rsid w:val="00A3610A"/>
    <w:rsid w:val="00A371B6"/>
    <w:rsid w:val="00A376D2"/>
    <w:rsid w:val="00A376FC"/>
    <w:rsid w:val="00A40B79"/>
    <w:rsid w:val="00A4144F"/>
    <w:rsid w:val="00A42357"/>
    <w:rsid w:val="00A44AC6"/>
    <w:rsid w:val="00A46701"/>
    <w:rsid w:val="00A50F66"/>
    <w:rsid w:val="00A51B3E"/>
    <w:rsid w:val="00A51B45"/>
    <w:rsid w:val="00A526CD"/>
    <w:rsid w:val="00A5447A"/>
    <w:rsid w:val="00A55198"/>
    <w:rsid w:val="00A5530E"/>
    <w:rsid w:val="00A55378"/>
    <w:rsid w:val="00A5609A"/>
    <w:rsid w:val="00A57237"/>
    <w:rsid w:val="00A57A39"/>
    <w:rsid w:val="00A607F1"/>
    <w:rsid w:val="00A61D28"/>
    <w:rsid w:val="00A6241D"/>
    <w:rsid w:val="00A62CC4"/>
    <w:rsid w:val="00A63303"/>
    <w:rsid w:val="00A64EEC"/>
    <w:rsid w:val="00A65F96"/>
    <w:rsid w:val="00A66DBB"/>
    <w:rsid w:val="00A71420"/>
    <w:rsid w:val="00A71870"/>
    <w:rsid w:val="00A71D49"/>
    <w:rsid w:val="00A727BE"/>
    <w:rsid w:val="00A745FC"/>
    <w:rsid w:val="00A75A27"/>
    <w:rsid w:val="00A76B52"/>
    <w:rsid w:val="00A77B0A"/>
    <w:rsid w:val="00A77E75"/>
    <w:rsid w:val="00A8305A"/>
    <w:rsid w:val="00A83FFB"/>
    <w:rsid w:val="00A85525"/>
    <w:rsid w:val="00A85EA8"/>
    <w:rsid w:val="00A86158"/>
    <w:rsid w:val="00A87474"/>
    <w:rsid w:val="00A87AD9"/>
    <w:rsid w:val="00A90510"/>
    <w:rsid w:val="00A923E9"/>
    <w:rsid w:val="00A92B40"/>
    <w:rsid w:val="00A94D68"/>
    <w:rsid w:val="00A9501E"/>
    <w:rsid w:val="00A951C5"/>
    <w:rsid w:val="00AA1A56"/>
    <w:rsid w:val="00AA287B"/>
    <w:rsid w:val="00AA2F41"/>
    <w:rsid w:val="00AA36D3"/>
    <w:rsid w:val="00AA4091"/>
    <w:rsid w:val="00AA47EA"/>
    <w:rsid w:val="00AA4D3C"/>
    <w:rsid w:val="00AA53A2"/>
    <w:rsid w:val="00AA7096"/>
    <w:rsid w:val="00AB0CE3"/>
    <w:rsid w:val="00AB214D"/>
    <w:rsid w:val="00AB2CEE"/>
    <w:rsid w:val="00AB388E"/>
    <w:rsid w:val="00AB3C85"/>
    <w:rsid w:val="00AB598C"/>
    <w:rsid w:val="00AB6461"/>
    <w:rsid w:val="00AC164A"/>
    <w:rsid w:val="00AC2864"/>
    <w:rsid w:val="00AC2A59"/>
    <w:rsid w:val="00AC4479"/>
    <w:rsid w:val="00AC4620"/>
    <w:rsid w:val="00AC4F94"/>
    <w:rsid w:val="00AC4FF3"/>
    <w:rsid w:val="00AC5C34"/>
    <w:rsid w:val="00AC5D52"/>
    <w:rsid w:val="00AC6F1D"/>
    <w:rsid w:val="00AC7A80"/>
    <w:rsid w:val="00AC7CA4"/>
    <w:rsid w:val="00AD50E3"/>
    <w:rsid w:val="00AD7597"/>
    <w:rsid w:val="00AD7626"/>
    <w:rsid w:val="00AD7F1D"/>
    <w:rsid w:val="00AE0BA1"/>
    <w:rsid w:val="00AE1744"/>
    <w:rsid w:val="00AE1C27"/>
    <w:rsid w:val="00AE4199"/>
    <w:rsid w:val="00AE41D8"/>
    <w:rsid w:val="00AE45B1"/>
    <w:rsid w:val="00AE4D8B"/>
    <w:rsid w:val="00AE5191"/>
    <w:rsid w:val="00AE5528"/>
    <w:rsid w:val="00AE66FF"/>
    <w:rsid w:val="00AE7DE3"/>
    <w:rsid w:val="00AF0CBA"/>
    <w:rsid w:val="00AF15BB"/>
    <w:rsid w:val="00AF18B5"/>
    <w:rsid w:val="00AF1AFA"/>
    <w:rsid w:val="00AF1BCE"/>
    <w:rsid w:val="00AF2050"/>
    <w:rsid w:val="00AF5996"/>
    <w:rsid w:val="00AF5A6B"/>
    <w:rsid w:val="00AF66F8"/>
    <w:rsid w:val="00AF6731"/>
    <w:rsid w:val="00AF6D5E"/>
    <w:rsid w:val="00B02380"/>
    <w:rsid w:val="00B02ABD"/>
    <w:rsid w:val="00B03682"/>
    <w:rsid w:val="00B03928"/>
    <w:rsid w:val="00B03CA8"/>
    <w:rsid w:val="00B04146"/>
    <w:rsid w:val="00B119A2"/>
    <w:rsid w:val="00B12E7B"/>
    <w:rsid w:val="00B13FF3"/>
    <w:rsid w:val="00B14566"/>
    <w:rsid w:val="00B155EF"/>
    <w:rsid w:val="00B15FC6"/>
    <w:rsid w:val="00B161AF"/>
    <w:rsid w:val="00B16542"/>
    <w:rsid w:val="00B203FA"/>
    <w:rsid w:val="00B204CC"/>
    <w:rsid w:val="00B205EA"/>
    <w:rsid w:val="00B21CED"/>
    <w:rsid w:val="00B22CD6"/>
    <w:rsid w:val="00B23BFC"/>
    <w:rsid w:val="00B25808"/>
    <w:rsid w:val="00B25817"/>
    <w:rsid w:val="00B25AD9"/>
    <w:rsid w:val="00B26137"/>
    <w:rsid w:val="00B26BB3"/>
    <w:rsid w:val="00B31EB4"/>
    <w:rsid w:val="00B329EA"/>
    <w:rsid w:val="00B34059"/>
    <w:rsid w:val="00B35911"/>
    <w:rsid w:val="00B361CD"/>
    <w:rsid w:val="00B41A10"/>
    <w:rsid w:val="00B426FA"/>
    <w:rsid w:val="00B42D8D"/>
    <w:rsid w:val="00B43D72"/>
    <w:rsid w:val="00B46663"/>
    <w:rsid w:val="00B521CE"/>
    <w:rsid w:val="00B52730"/>
    <w:rsid w:val="00B534AE"/>
    <w:rsid w:val="00B53D15"/>
    <w:rsid w:val="00B5420B"/>
    <w:rsid w:val="00B54D6A"/>
    <w:rsid w:val="00B55E19"/>
    <w:rsid w:val="00B56EF1"/>
    <w:rsid w:val="00B572AC"/>
    <w:rsid w:val="00B57622"/>
    <w:rsid w:val="00B606B9"/>
    <w:rsid w:val="00B6075D"/>
    <w:rsid w:val="00B623BB"/>
    <w:rsid w:val="00B65DE5"/>
    <w:rsid w:val="00B66BDC"/>
    <w:rsid w:val="00B71158"/>
    <w:rsid w:val="00B71B99"/>
    <w:rsid w:val="00B73FEA"/>
    <w:rsid w:val="00B80186"/>
    <w:rsid w:val="00B806BD"/>
    <w:rsid w:val="00B81C38"/>
    <w:rsid w:val="00B82ABB"/>
    <w:rsid w:val="00B83C71"/>
    <w:rsid w:val="00B83C7D"/>
    <w:rsid w:val="00B84685"/>
    <w:rsid w:val="00B84CFF"/>
    <w:rsid w:val="00B851FD"/>
    <w:rsid w:val="00B859E2"/>
    <w:rsid w:val="00B85BE7"/>
    <w:rsid w:val="00B85E18"/>
    <w:rsid w:val="00B87E1B"/>
    <w:rsid w:val="00B9133B"/>
    <w:rsid w:val="00B92BEA"/>
    <w:rsid w:val="00B92E1E"/>
    <w:rsid w:val="00B936DE"/>
    <w:rsid w:val="00B945EB"/>
    <w:rsid w:val="00B94862"/>
    <w:rsid w:val="00B94DE1"/>
    <w:rsid w:val="00B94FA7"/>
    <w:rsid w:val="00BA046F"/>
    <w:rsid w:val="00BA09E7"/>
    <w:rsid w:val="00BA0C41"/>
    <w:rsid w:val="00BA14D4"/>
    <w:rsid w:val="00BA1966"/>
    <w:rsid w:val="00BA31A7"/>
    <w:rsid w:val="00BA406F"/>
    <w:rsid w:val="00BA421F"/>
    <w:rsid w:val="00BA4B6D"/>
    <w:rsid w:val="00BA4E3B"/>
    <w:rsid w:val="00BA5D1A"/>
    <w:rsid w:val="00BA72E6"/>
    <w:rsid w:val="00BA7724"/>
    <w:rsid w:val="00BB19CD"/>
    <w:rsid w:val="00BB26C5"/>
    <w:rsid w:val="00BB38E2"/>
    <w:rsid w:val="00BB4078"/>
    <w:rsid w:val="00BB4D7F"/>
    <w:rsid w:val="00BB551C"/>
    <w:rsid w:val="00BB59D3"/>
    <w:rsid w:val="00BB5ECF"/>
    <w:rsid w:val="00BB6DF1"/>
    <w:rsid w:val="00BC227D"/>
    <w:rsid w:val="00BC25E7"/>
    <w:rsid w:val="00BC27CF"/>
    <w:rsid w:val="00BC31C0"/>
    <w:rsid w:val="00BC38A0"/>
    <w:rsid w:val="00BC3F3C"/>
    <w:rsid w:val="00BC5026"/>
    <w:rsid w:val="00BC53D8"/>
    <w:rsid w:val="00BC5AEB"/>
    <w:rsid w:val="00BC6F6A"/>
    <w:rsid w:val="00BD06ED"/>
    <w:rsid w:val="00BD0B8D"/>
    <w:rsid w:val="00BD2A98"/>
    <w:rsid w:val="00BD2B59"/>
    <w:rsid w:val="00BD5315"/>
    <w:rsid w:val="00BD6A15"/>
    <w:rsid w:val="00BE0891"/>
    <w:rsid w:val="00BE0AA5"/>
    <w:rsid w:val="00BE0DE5"/>
    <w:rsid w:val="00BE1FFF"/>
    <w:rsid w:val="00BE21D1"/>
    <w:rsid w:val="00BE6FA2"/>
    <w:rsid w:val="00BE7C47"/>
    <w:rsid w:val="00BF04C5"/>
    <w:rsid w:val="00BF05E9"/>
    <w:rsid w:val="00BF14D0"/>
    <w:rsid w:val="00BF1CEF"/>
    <w:rsid w:val="00BF27EF"/>
    <w:rsid w:val="00BF29D2"/>
    <w:rsid w:val="00BF2BE2"/>
    <w:rsid w:val="00BF3A17"/>
    <w:rsid w:val="00BF4DE6"/>
    <w:rsid w:val="00BF57D1"/>
    <w:rsid w:val="00BF5815"/>
    <w:rsid w:val="00BF61B2"/>
    <w:rsid w:val="00BF6890"/>
    <w:rsid w:val="00C00C98"/>
    <w:rsid w:val="00C045DA"/>
    <w:rsid w:val="00C04CAA"/>
    <w:rsid w:val="00C050AB"/>
    <w:rsid w:val="00C0613F"/>
    <w:rsid w:val="00C0629C"/>
    <w:rsid w:val="00C07269"/>
    <w:rsid w:val="00C0736E"/>
    <w:rsid w:val="00C135EF"/>
    <w:rsid w:val="00C14D34"/>
    <w:rsid w:val="00C15987"/>
    <w:rsid w:val="00C16478"/>
    <w:rsid w:val="00C206C1"/>
    <w:rsid w:val="00C222BB"/>
    <w:rsid w:val="00C2231D"/>
    <w:rsid w:val="00C24890"/>
    <w:rsid w:val="00C24A1B"/>
    <w:rsid w:val="00C24AD9"/>
    <w:rsid w:val="00C25A2E"/>
    <w:rsid w:val="00C25E2F"/>
    <w:rsid w:val="00C27283"/>
    <w:rsid w:val="00C315A3"/>
    <w:rsid w:val="00C327C0"/>
    <w:rsid w:val="00C32C09"/>
    <w:rsid w:val="00C35EC9"/>
    <w:rsid w:val="00C3731C"/>
    <w:rsid w:val="00C37AA8"/>
    <w:rsid w:val="00C40091"/>
    <w:rsid w:val="00C41392"/>
    <w:rsid w:val="00C414B9"/>
    <w:rsid w:val="00C42CDE"/>
    <w:rsid w:val="00C46F55"/>
    <w:rsid w:val="00C47738"/>
    <w:rsid w:val="00C51EDA"/>
    <w:rsid w:val="00C53AA2"/>
    <w:rsid w:val="00C55CD4"/>
    <w:rsid w:val="00C5618D"/>
    <w:rsid w:val="00C60697"/>
    <w:rsid w:val="00C60AED"/>
    <w:rsid w:val="00C6226B"/>
    <w:rsid w:val="00C62E26"/>
    <w:rsid w:val="00C63A1F"/>
    <w:rsid w:val="00C63EE9"/>
    <w:rsid w:val="00C6433F"/>
    <w:rsid w:val="00C650BB"/>
    <w:rsid w:val="00C658C3"/>
    <w:rsid w:val="00C65C11"/>
    <w:rsid w:val="00C702D0"/>
    <w:rsid w:val="00C72F5F"/>
    <w:rsid w:val="00C7320F"/>
    <w:rsid w:val="00C74227"/>
    <w:rsid w:val="00C762BF"/>
    <w:rsid w:val="00C8102F"/>
    <w:rsid w:val="00C844B2"/>
    <w:rsid w:val="00C85612"/>
    <w:rsid w:val="00C86007"/>
    <w:rsid w:val="00C860F9"/>
    <w:rsid w:val="00C863DD"/>
    <w:rsid w:val="00C86C70"/>
    <w:rsid w:val="00C86F3E"/>
    <w:rsid w:val="00C87B06"/>
    <w:rsid w:val="00C92258"/>
    <w:rsid w:val="00C9554A"/>
    <w:rsid w:val="00CA1886"/>
    <w:rsid w:val="00CA1D77"/>
    <w:rsid w:val="00CA3314"/>
    <w:rsid w:val="00CA3535"/>
    <w:rsid w:val="00CA37B1"/>
    <w:rsid w:val="00CA6715"/>
    <w:rsid w:val="00CA6BFA"/>
    <w:rsid w:val="00CA6EC9"/>
    <w:rsid w:val="00CB1022"/>
    <w:rsid w:val="00CB1053"/>
    <w:rsid w:val="00CB1959"/>
    <w:rsid w:val="00CB1EF8"/>
    <w:rsid w:val="00CB2BD1"/>
    <w:rsid w:val="00CB486C"/>
    <w:rsid w:val="00CB514F"/>
    <w:rsid w:val="00CB6674"/>
    <w:rsid w:val="00CB70E7"/>
    <w:rsid w:val="00CB7780"/>
    <w:rsid w:val="00CC0ED5"/>
    <w:rsid w:val="00CC13CA"/>
    <w:rsid w:val="00CC1CA1"/>
    <w:rsid w:val="00CC24A1"/>
    <w:rsid w:val="00CC431B"/>
    <w:rsid w:val="00CC50DB"/>
    <w:rsid w:val="00CC531A"/>
    <w:rsid w:val="00CC54F2"/>
    <w:rsid w:val="00CC6405"/>
    <w:rsid w:val="00CC78EC"/>
    <w:rsid w:val="00CD1501"/>
    <w:rsid w:val="00CD1FA8"/>
    <w:rsid w:val="00CD2318"/>
    <w:rsid w:val="00CD2F34"/>
    <w:rsid w:val="00CD45CB"/>
    <w:rsid w:val="00CD5C1F"/>
    <w:rsid w:val="00CD5F9F"/>
    <w:rsid w:val="00CD60B1"/>
    <w:rsid w:val="00CD6DBA"/>
    <w:rsid w:val="00CD7B27"/>
    <w:rsid w:val="00CE0A44"/>
    <w:rsid w:val="00CE0EC8"/>
    <w:rsid w:val="00CE2F1B"/>
    <w:rsid w:val="00CE5FD3"/>
    <w:rsid w:val="00CE7235"/>
    <w:rsid w:val="00CE7C1B"/>
    <w:rsid w:val="00CF07FA"/>
    <w:rsid w:val="00CF1516"/>
    <w:rsid w:val="00CF2E6B"/>
    <w:rsid w:val="00CF353C"/>
    <w:rsid w:val="00CF39D2"/>
    <w:rsid w:val="00CF4BEF"/>
    <w:rsid w:val="00CF7A7A"/>
    <w:rsid w:val="00D018D0"/>
    <w:rsid w:val="00D01F44"/>
    <w:rsid w:val="00D02427"/>
    <w:rsid w:val="00D0296C"/>
    <w:rsid w:val="00D042D3"/>
    <w:rsid w:val="00D06F48"/>
    <w:rsid w:val="00D077C0"/>
    <w:rsid w:val="00D10E47"/>
    <w:rsid w:val="00D12225"/>
    <w:rsid w:val="00D12D89"/>
    <w:rsid w:val="00D170FE"/>
    <w:rsid w:val="00D17E7D"/>
    <w:rsid w:val="00D17F87"/>
    <w:rsid w:val="00D203EB"/>
    <w:rsid w:val="00D2248F"/>
    <w:rsid w:val="00D26165"/>
    <w:rsid w:val="00D315D1"/>
    <w:rsid w:val="00D31D4C"/>
    <w:rsid w:val="00D34012"/>
    <w:rsid w:val="00D34860"/>
    <w:rsid w:val="00D3583B"/>
    <w:rsid w:val="00D35E63"/>
    <w:rsid w:val="00D36D27"/>
    <w:rsid w:val="00D36E96"/>
    <w:rsid w:val="00D40C15"/>
    <w:rsid w:val="00D41266"/>
    <w:rsid w:val="00D4162F"/>
    <w:rsid w:val="00D42927"/>
    <w:rsid w:val="00D44758"/>
    <w:rsid w:val="00D44F25"/>
    <w:rsid w:val="00D47573"/>
    <w:rsid w:val="00D500E9"/>
    <w:rsid w:val="00D509F3"/>
    <w:rsid w:val="00D5288D"/>
    <w:rsid w:val="00D54595"/>
    <w:rsid w:val="00D54D8E"/>
    <w:rsid w:val="00D55143"/>
    <w:rsid w:val="00D57268"/>
    <w:rsid w:val="00D57616"/>
    <w:rsid w:val="00D57679"/>
    <w:rsid w:val="00D57B5C"/>
    <w:rsid w:val="00D57D74"/>
    <w:rsid w:val="00D60496"/>
    <w:rsid w:val="00D61144"/>
    <w:rsid w:val="00D611C0"/>
    <w:rsid w:val="00D61576"/>
    <w:rsid w:val="00D61874"/>
    <w:rsid w:val="00D6221D"/>
    <w:rsid w:val="00D6284F"/>
    <w:rsid w:val="00D62976"/>
    <w:rsid w:val="00D636A0"/>
    <w:rsid w:val="00D6503E"/>
    <w:rsid w:val="00D66646"/>
    <w:rsid w:val="00D70B8E"/>
    <w:rsid w:val="00D70F15"/>
    <w:rsid w:val="00D7137B"/>
    <w:rsid w:val="00D7168A"/>
    <w:rsid w:val="00D73385"/>
    <w:rsid w:val="00D74939"/>
    <w:rsid w:val="00D74F8C"/>
    <w:rsid w:val="00D7775D"/>
    <w:rsid w:val="00D77760"/>
    <w:rsid w:val="00D77A6C"/>
    <w:rsid w:val="00D80AA9"/>
    <w:rsid w:val="00D81165"/>
    <w:rsid w:val="00D82766"/>
    <w:rsid w:val="00D83D8D"/>
    <w:rsid w:val="00D84550"/>
    <w:rsid w:val="00D84986"/>
    <w:rsid w:val="00D86336"/>
    <w:rsid w:val="00D8798B"/>
    <w:rsid w:val="00D90D93"/>
    <w:rsid w:val="00D90E36"/>
    <w:rsid w:val="00D918B2"/>
    <w:rsid w:val="00D9353F"/>
    <w:rsid w:val="00D94C05"/>
    <w:rsid w:val="00D95B20"/>
    <w:rsid w:val="00D96349"/>
    <w:rsid w:val="00D97094"/>
    <w:rsid w:val="00DA04CE"/>
    <w:rsid w:val="00DA0BA1"/>
    <w:rsid w:val="00DA3427"/>
    <w:rsid w:val="00DA4174"/>
    <w:rsid w:val="00DA4D4B"/>
    <w:rsid w:val="00DA5DC1"/>
    <w:rsid w:val="00DA5F1F"/>
    <w:rsid w:val="00DB0239"/>
    <w:rsid w:val="00DB2487"/>
    <w:rsid w:val="00DB36AE"/>
    <w:rsid w:val="00DB6402"/>
    <w:rsid w:val="00DB693A"/>
    <w:rsid w:val="00DB74E4"/>
    <w:rsid w:val="00DB792F"/>
    <w:rsid w:val="00DC1383"/>
    <w:rsid w:val="00DC30B0"/>
    <w:rsid w:val="00DC5265"/>
    <w:rsid w:val="00DC5376"/>
    <w:rsid w:val="00DC5FC9"/>
    <w:rsid w:val="00DC7B58"/>
    <w:rsid w:val="00DD070E"/>
    <w:rsid w:val="00DD1233"/>
    <w:rsid w:val="00DD3BE0"/>
    <w:rsid w:val="00DD420C"/>
    <w:rsid w:val="00DD78E9"/>
    <w:rsid w:val="00DE183F"/>
    <w:rsid w:val="00DE1944"/>
    <w:rsid w:val="00DE2037"/>
    <w:rsid w:val="00DE315F"/>
    <w:rsid w:val="00DE5DC9"/>
    <w:rsid w:val="00DE69F4"/>
    <w:rsid w:val="00DF089E"/>
    <w:rsid w:val="00DF2DD8"/>
    <w:rsid w:val="00DF4AEE"/>
    <w:rsid w:val="00DF659E"/>
    <w:rsid w:val="00DF7AE3"/>
    <w:rsid w:val="00E00B70"/>
    <w:rsid w:val="00E01F88"/>
    <w:rsid w:val="00E03461"/>
    <w:rsid w:val="00E04AC1"/>
    <w:rsid w:val="00E078C3"/>
    <w:rsid w:val="00E07BFD"/>
    <w:rsid w:val="00E10987"/>
    <w:rsid w:val="00E12CE2"/>
    <w:rsid w:val="00E13804"/>
    <w:rsid w:val="00E13E4D"/>
    <w:rsid w:val="00E143EE"/>
    <w:rsid w:val="00E1655B"/>
    <w:rsid w:val="00E16855"/>
    <w:rsid w:val="00E209A8"/>
    <w:rsid w:val="00E213B6"/>
    <w:rsid w:val="00E21E9A"/>
    <w:rsid w:val="00E21F40"/>
    <w:rsid w:val="00E222C7"/>
    <w:rsid w:val="00E22E66"/>
    <w:rsid w:val="00E26E94"/>
    <w:rsid w:val="00E30F9E"/>
    <w:rsid w:val="00E31188"/>
    <w:rsid w:val="00E3330E"/>
    <w:rsid w:val="00E333A7"/>
    <w:rsid w:val="00E3368B"/>
    <w:rsid w:val="00E34F2B"/>
    <w:rsid w:val="00E357B7"/>
    <w:rsid w:val="00E35918"/>
    <w:rsid w:val="00E35E19"/>
    <w:rsid w:val="00E366F1"/>
    <w:rsid w:val="00E377D5"/>
    <w:rsid w:val="00E37B70"/>
    <w:rsid w:val="00E37E9B"/>
    <w:rsid w:val="00E40DF6"/>
    <w:rsid w:val="00E41B0A"/>
    <w:rsid w:val="00E43055"/>
    <w:rsid w:val="00E45D1F"/>
    <w:rsid w:val="00E462E7"/>
    <w:rsid w:val="00E466DF"/>
    <w:rsid w:val="00E46919"/>
    <w:rsid w:val="00E46AE2"/>
    <w:rsid w:val="00E478CE"/>
    <w:rsid w:val="00E508C6"/>
    <w:rsid w:val="00E53800"/>
    <w:rsid w:val="00E5446F"/>
    <w:rsid w:val="00E54D8D"/>
    <w:rsid w:val="00E55AF3"/>
    <w:rsid w:val="00E60759"/>
    <w:rsid w:val="00E6081F"/>
    <w:rsid w:val="00E609F5"/>
    <w:rsid w:val="00E60B19"/>
    <w:rsid w:val="00E6179E"/>
    <w:rsid w:val="00E62377"/>
    <w:rsid w:val="00E62925"/>
    <w:rsid w:val="00E64D0D"/>
    <w:rsid w:val="00E6753E"/>
    <w:rsid w:val="00E7063D"/>
    <w:rsid w:val="00E734CE"/>
    <w:rsid w:val="00E73964"/>
    <w:rsid w:val="00E74F38"/>
    <w:rsid w:val="00E8024D"/>
    <w:rsid w:val="00E8116E"/>
    <w:rsid w:val="00E81E14"/>
    <w:rsid w:val="00E82491"/>
    <w:rsid w:val="00E827CC"/>
    <w:rsid w:val="00E82990"/>
    <w:rsid w:val="00E82F47"/>
    <w:rsid w:val="00E839A4"/>
    <w:rsid w:val="00E85219"/>
    <w:rsid w:val="00E858AD"/>
    <w:rsid w:val="00E86AE5"/>
    <w:rsid w:val="00E929DC"/>
    <w:rsid w:val="00E92E22"/>
    <w:rsid w:val="00E9392A"/>
    <w:rsid w:val="00E939B2"/>
    <w:rsid w:val="00E9406F"/>
    <w:rsid w:val="00E94A57"/>
    <w:rsid w:val="00E97DA3"/>
    <w:rsid w:val="00EA04B2"/>
    <w:rsid w:val="00EA0BCE"/>
    <w:rsid w:val="00EA20F3"/>
    <w:rsid w:val="00EA31D4"/>
    <w:rsid w:val="00EA3A56"/>
    <w:rsid w:val="00EA3CFE"/>
    <w:rsid w:val="00EA54CA"/>
    <w:rsid w:val="00EA5E0E"/>
    <w:rsid w:val="00EA5EDD"/>
    <w:rsid w:val="00EA6265"/>
    <w:rsid w:val="00EA64D7"/>
    <w:rsid w:val="00EB00FF"/>
    <w:rsid w:val="00EB04BC"/>
    <w:rsid w:val="00EB0DC0"/>
    <w:rsid w:val="00EB6875"/>
    <w:rsid w:val="00EB7EA4"/>
    <w:rsid w:val="00EC0388"/>
    <w:rsid w:val="00EC2336"/>
    <w:rsid w:val="00EC3500"/>
    <w:rsid w:val="00EC51C7"/>
    <w:rsid w:val="00ED1549"/>
    <w:rsid w:val="00ED1F17"/>
    <w:rsid w:val="00ED43D1"/>
    <w:rsid w:val="00ED5200"/>
    <w:rsid w:val="00ED7C49"/>
    <w:rsid w:val="00EE076E"/>
    <w:rsid w:val="00EE0D33"/>
    <w:rsid w:val="00EE39CF"/>
    <w:rsid w:val="00EE3A58"/>
    <w:rsid w:val="00EE4915"/>
    <w:rsid w:val="00EE4EE1"/>
    <w:rsid w:val="00EE50C8"/>
    <w:rsid w:val="00EE54C7"/>
    <w:rsid w:val="00EE5632"/>
    <w:rsid w:val="00EE61FC"/>
    <w:rsid w:val="00EE7039"/>
    <w:rsid w:val="00EE749F"/>
    <w:rsid w:val="00EF0E8C"/>
    <w:rsid w:val="00EF19C7"/>
    <w:rsid w:val="00EF1B9D"/>
    <w:rsid w:val="00EF23EA"/>
    <w:rsid w:val="00EF2503"/>
    <w:rsid w:val="00EF4495"/>
    <w:rsid w:val="00EF4574"/>
    <w:rsid w:val="00EF4BBC"/>
    <w:rsid w:val="00EF5035"/>
    <w:rsid w:val="00EF56FB"/>
    <w:rsid w:val="00EF6F21"/>
    <w:rsid w:val="00EF75BF"/>
    <w:rsid w:val="00F04960"/>
    <w:rsid w:val="00F05260"/>
    <w:rsid w:val="00F05CCA"/>
    <w:rsid w:val="00F06698"/>
    <w:rsid w:val="00F07E6C"/>
    <w:rsid w:val="00F10961"/>
    <w:rsid w:val="00F131D7"/>
    <w:rsid w:val="00F1419E"/>
    <w:rsid w:val="00F147F3"/>
    <w:rsid w:val="00F14C4A"/>
    <w:rsid w:val="00F15D4D"/>
    <w:rsid w:val="00F1611E"/>
    <w:rsid w:val="00F168A1"/>
    <w:rsid w:val="00F20BEA"/>
    <w:rsid w:val="00F20E5E"/>
    <w:rsid w:val="00F2257B"/>
    <w:rsid w:val="00F22D5F"/>
    <w:rsid w:val="00F22F47"/>
    <w:rsid w:val="00F2684E"/>
    <w:rsid w:val="00F275FE"/>
    <w:rsid w:val="00F2788A"/>
    <w:rsid w:val="00F27C49"/>
    <w:rsid w:val="00F30B34"/>
    <w:rsid w:val="00F31EC2"/>
    <w:rsid w:val="00F34525"/>
    <w:rsid w:val="00F35182"/>
    <w:rsid w:val="00F3763C"/>
    <w:rsid w:val="00F3776D"/>
    <w:rsid w:val="00F37BA9"/>
    <w:rsid w:val="00F422F4"/>
    <w:rsid w:val="00F43832"/>
    <w:rsid w:val="00F4590E"/>
    <w:rsid w:val="00F472F4"/>
    <w:rsid w:val="00F4791C"/>
    <w:rsid w:val="00F50744"/>
    <w:rsid w:val="00F50998"/>
    <w:rsid w:val="00F5108E"/>
    <w:rsid w:val="00F513F6"/>
    <w:rsid w:val="00F53BC8"/>
    <w:rsid w:val="00F5404C"/>
    <w:rsid w:val="00F55697"/>
    <w:rsid w:val="00F5619C"/>
    <w:rsid w:val="00F57074"/>
    <w:rsid w:val="00F57977"/>
    <w:rsid w:val="00F6098C"/>
    <w:rsid w:val="00F60B21"/>
    <w:rsid w:val="00F61499"/>
    <w:rsid w:val="00F624D4"/>
    <w:rsid w:val="00F62CCE"/>
    <w:rsid w:val="00F62E33"/>
    <w:rsid w:val="00F63911"/>
    <w:rsid w:val="00F659B6"/>
    <w:rsid w:val="00F71533"/>
    <w:rsid w:val="00F729EF"/>
    <w:rsid w:val="00F75595"/>
    <w:rsid w:val="00F75CD6"/>
    <w:rsid w:val="00F75E17"/>
    <w:rsid w:val="00F7693F"/>
    <w:rsid w:val="00F7740D"/>
    <w:rsid w:val="00F776A7"/>
    <w:rsid w:val="00F77CAE"/>
    <w:rsid w:val="00F810E5"/>
    <w:rsid w:val="00F81432"/>
    <w:rsid w:val="00F832F5"/>
    <w:rsid w:val="00F84184"/>
    <w:rsid w:val="00F8555B"/>
    <w:rsid w:val="00F85F1B"/>
    <w:rsid w:val="00F8651C"/>
    <w:rsid w:val="00F879CD"/>
    <w:rsid w:val="00F9314C"/>
    <w:rsid w:val="00F9356C"/>
    <w:rsid w:val="00F94EBD"/>
    <w:rsid w:val="00F958AE"/>
    <w:rsid w:val="00F96BB9"/>
    <w:rsid w:val="00FA09A7"/>
    <w:rsid w:val="00FA0FBE"/>
    <w:rsid w:val="00FA2113"/>
    <w:rsid w:val="00FA29D4"/>
    <w:rsid w:val="00FA36ED"/>
    <w:rsid w:val="00FA4475"/>
    <w:rsid w:val="00FA4CBA"/>
    <w:rsid w:val="00FA4CBF"/>
    <w:rsid w:val="00FA52F8"/>
    <w:rsid w:val="00FA6261"/>
    <w:rsid w:val="00FA6B4E"/>
    <w:rsid w:val="00FA72E2"/>
    <w:rsid w:val="00FA7757"/>
    <w:rsid w:val="00FB1C2E"/>
    <w:rsid w:val="00FB399E"/>
    <w:rsid w:val="00FC010D"/>
    <w:rsid w:val="00FC1DEF"/>
    <w:rsid w:val="00FC3379"/>
    <w:rsid w:val="00FC4268"/>
    <w:rsid w:val="00FC52CE"/>
    <w:rsid w:val="00FC6CF5"/>
    <w:rsid w:val="00FC6D59"/>
    <w:rsid w:val="00FC750D"/>
    <w:rsid w:val="00FC7A5B"/>
    <w:rsid w:val="00FD0B3C"/>
    <w:rsid w:val="00FD133F"/>
    <w:rsid w:val="00FD18FE"/>
    <w:rsid w:val="00FD1DF4"/>
    <w:rsid w:val="00FD22B7"/>
    <w:rsid w:val="00FD2E9A"/>
    <w:rsid w:val="00FD337E"/>
    <w:rsid w:val="00FD514A"/>
    <w:rsid w:val="00FD563B"/>
    <w:rsid w:val="00FD5C14"/>
    <w:rsid w:val="00FD7B7D"/>
    <w:rsid w:val="00FE1147"/>
    <w:rsid w:val="00FE4C8C"/>
    <w:rsid w:val="00FE5F71"/>
    <w:rsid w:val="00FE68A5"/>
    <w:rsid w:val="00FE6D51"/>
    <w:rsid w:val="00FE7052"/>
    <w:rsid w:val="00FE7DC9"/>
    <w:rsid w:val="00FF2424"/>
    <w:rsid w:val="00FF2AE5"/>
    <w:rsid w:val="00FF3626"/>
    <w:rsid w:val="00FF4BB2"/>
    <w:rsid w:val="00FF6F73"/>
    <w:rsid w:val="0580756D"/>
    <w:rsid w:val="08E7F8DD"/>
    <w:rsid w:val="09D469D3"/>
    <w:rsid w:val="0E17C7DF"/>
    <w:rsid w:val="0F2491C0"/>
    <w:rsid w:val="102EF7FB"/>
    <w:rsid w:val="11DF7BB8"/>
    <w:rsid w:val="1828FDBB"/>
    <w:rsid w:val="1856AAC2"/>
    <w:rsid w:val="1A5B0136"/>
    <w:rsid w:val="1D90754C"/>
    <w:rsid w:val="1FC62503"/>
    <w:rsid w:val="1FFC2088"/>
    <w:rsid w:val="2061BCA7"/>
    <w:rsid w:val="2822F5DC"/>
    <w:rsid w:val="2F43C619"/>
    <w:rsid w:val="32EE4B68"/>
    <w:rsid w:val="36C39F53"/>
    <w:rsid w:val="38505FEC"/>
    <w:rsid w:val="394C842A"/>
    <w:rsid w:val="3D6FC844"/>
    <w:rsid w:val="3E42F65C"/>
    <w:rsid w:val="43046F32"/>
    <w:rsid w:val="44D8FA00"/>
    <w:rsid w:val="4515BA97"/>
    <w:rsid w:val="457ADA29"/>
    <w:rsid w:val="486F20D2"/>
    <w:rsid w:val="4A89E415"/>
    <w:rsid w:val="4D2FF1F5"/>
    <w:rsid w:val="4F72E2AD"/>
    <w:rsid w:val="5235B3E4"/>
    <w:rsid w:val="529F1152"/>
    <w:rsid w:val="531D8225"/>
    <w:rsid w:val="5A14D452"/>
    <w:rsid w:val="5A646F16"/>
    <w:rsid w:val="5BA30D6B"/>
    <w:rsid w:val="5C10CD84"/>
    <w:rsid w:val="5C7F5B2E"/>
    <w:rsid w:val="5D9C0FD8"/>
    <w:rsid w:val="5EF083C3"/>
    <w:rsid w:val="60FF3C14"/>
    <w:rsid w:val="621CB268"/>
    <w:rsid w:val="678214E6"/>
    <w:rsid w:val="679537B5"/>
    <w:rsid w:val="68CD87A8"/>
    <w:rsid w:val="6C8A855D"/>
    <w:rsid w:val="6C93CBCB"/>
    <w:rsid w:val="6FCB6C8D"/>
    <w:rsid w:val="70A55563"/>
    <w:rsid w:val="721737E2"/>
    <w:rsid w:val="7259A3ED"/>
    <w:rsid w:val="73D0D0DB"/>
    <w:rsid w:val="74C53AB6"/>
    <w:rsid w:val="7503FD42"/>
    <w:rsid w:val="77F1695B"/>
    <w:rsid w:val="782275A7"/>
    <w:rsid w:val="792F02FB"/>
    <w:rsid w:val="79BE4608"/>
    <w:rsid w:val="7B5A1669"/>
    <w:rsid w:val="7C01E2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4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D6DB3"/>
    <w:pPr>
      <w:suppressAutoHyphens/>
      <w:spacing w:before="120" w:after="60" w:line="260" w:lineRule="atLeast"/>
    </w:pPr>
    <w:rPr>
      <w:color w:val="37354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07BFD"/>
    <w:pPr>
      <w:spacing w:before="240" w:after="120"/>
      <w:outlineLvl w:val="1"/>
    </w:pPr>
    <w:rPr>
      <w:color w:val="373545" w:themeColor="text2"/>
      <w:szCs w:val="26"/>
    </w:rPr>
  </w:style>
  <w:style w:type="paragraph" w:styleId="Heading3">
    <w:name w:val="heading 3"/>
    <w:basedOn w:val="Heading2"/>
    <w:next w:val="Normal"/>
    <w:link w:val="Heading3Char"/>
    <w:uiPriority w:val="9"/>
    <w:unhideWhenUsed/>
    <w:qFormat/>
    <w:rsid w:val="0054094F"/>
    <w:pPr>
      <w:spacing w:before="120" w:line="360" w:lineRule="atLeast"/>
      <w:outlineLvl w:val="2"/>
    </w:pPr>
    <w:rPr>
      <w:bCs w:val="0"/>
      <w:caps w:val="0"/>
      <w:sz w:val="30"/>
      <w:lang w:val="en-AU"/>
    </w:rPr>
  </w:style>
  <w:style w:type="paragraph" w:styleId="Heading4">
    <w:name w:val="heading 4"/>
    <w:basedOn w:val="Heading3"/>
    <w:next w:val="Normal"/>
    <w:link w:val="Heading4Char"/>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val="0"/>
      <w:sz w:val="16"/>
    </w:rPr>
  </w:style>
  <w:style w:type="paragraph" w:styleId="Heading6">
    <w:name w:val="heading 6"/>
    <w:basedOn w:val="Heading5"/>
    <w:next w:val="Normal"/>
    <w:link w:val="Heading6Char"/>
    <w:unhideWhenUsed/>
    <w:qFormat/>
    <w:rsid w:val="00501EA3"/>
    <w:pPr>
      <w:spacing w:before="40"/>
      <w:outlineLvl w:val="5"/>
    </w:pPr>
    <w:rPr>
      <w:b/>
      <w:color w:val="1A495C"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07BFD"/>
    <w:rPr>
      <w:rFonts w:asciiTheme="majorHAnsi" w:eastAsiaTheme="majorEastAsia" w:hAnsiTheme="majorHAnsi" w:cstheme="majorBidi"/>
      <w:b/>
      <w:bCs/>
      <w:caps/>
      <w:color w:val="373545" w:themeColor="text2"/>
      <w:sz w:val="38"/>
      <w:szCs w:val="26"/>
      <w:lang w:val="en-GB"/>
    </w:rPr>
  </w:style>
  <w:style w:type="character" w:customStyle="1" w:styleId="Heading3Char">
    <w:name w:val="Heading 3 Char"/>
    <w:basedOn w:val="DefaultParagraphFont"/>
    <w:link w:val="Heading3"/>
    <w:uiPriority w:val="9"/>
    <w:rsid w:val="0054094F"/>
    <w:rPr>
      <w:rFonts w:asciiTheme="majorHAnsi" w:eastAsiaTheme="majorEastAsia" w:hAnsiTheme="majorHAnsi" w:cstheme="majorBidi"/>
      <w:bCs/>
      <w:color w:val="37354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rsid w:val="00501EA3"/>
    <w:rPr>
      <w:rFonts w:asciiTheme="majorHAnsi" w:eastAsiaTheme="majorEastAsia" w:hAnsiTheme="majorHAnsi" w:cstheme="majorBidi"/>
      <w:b/>
      <w:bCs/>
      <w:caps/>
      <w:color w:val="37354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21"/>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22270A"/>
    <w:pPr>
      <w:numPr>
        <w:numId w:val="12"/>
      </w:numPr>
    </w:pPr>
    <w:rPr>
      <w:caps/>
      <w:sz w:val="24"/>
    </w:r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D12D89"/>
    <w:pPr>
      <w:spacing w:after="3000" w:line="240" w:lineRule="auto"/>
    </w:pPr>
  </w:style>
  <w:style w:type="paragraph" w:customStyle="1" w:styleId="Heading2Numbered">
    <w:name w:val="Heading 2 Numbered"/>
    <w:basedOn w:val="Heading2"/>
    <w:next w:val="Normal"/>
    <w:qFormat/>
    <w:rsid w:val="00BA5D1A"/>
    <w:pPr>
      <w:spacing w:after="60"/>
    </w:pPr>
    <w:rPr>
      <w:bCs w:val="0"/>
    </w:rPr>
  </w:style>
  <w:style w:type="paragraph" w:customStyle="1" w:styleId="Heading3Numbered">
    <w:name w:val="Heading 3 Numbered"/>
    <w:basedOn w:val="Heading3"/>
    <w:next w:val="Normal"/>
    <w:qFormat/>
    <w:rsid w:val="00BA5D1A"/>
    <w:pPr>
      <w:spacing w:before="300" w:after="60"/>
    </w:pPr>
    <w:rPr>
      <w:szCs w:val="22"/>
      <w:lang w:val="en-GB"/>
    </w:rPr>
  </w:style>
  <w:style w:type="numbering" w:customStyle="1" w:styleId="BulletsList">
    <w:name w:val="Bullets List"/>
    <w:uiPriority w:val="99"/>
    <w:rsid w:val="00D44758"/>
    <w:pPr>
      <w:numPr>
        <w:numId w:val="7"/>
      </w:numPr>
    </w:pPr>
  </w:style>
  <w:style w:type="numbering" w:customStyle="1" w:styleId="Numberedlist">
    <w:name w:val="Numbered list"/>
    <w:uiPriority w:val="99"/>
    <w:rsid w:val="00F2684E"/>
    <w:pPr>
      <w:numPr>
        <w:numId w:val="8"/>
      </w:numPr>
    </w:pPr>
  </w:style>
  <w:style w:type="numbering" w:customStyle="1" w:styleId="HeadingsList">
    <w:name w:val="Headings List"/>
    <w:uiPriority w:val="99"/>
    <w:rsid w:val="00BA5D1A"/>
    <w:pPr>
      <w:numPr>
        <w:numId w:val="9"/>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rsid w:val="00501EA3"/>
    <w:rPr>
      <w:rFonts w:asciiTheme="majorHAnsi" w:eastAsiaTheme="majorEastAsia" w:hAnsiTheme="majorHAnsi" w:cstheme="majorBidi"/>
      <w:bCs/>
      <w:iCs/>
      <w:color w:val="373545" w:themeColor="text2"/>
      <w:sz w:val="24"/>
      <w:szCs w:val="26"/>
    </w:rPr>
  </w:style>
  <w:style w:type="paragraph" w:styleId="TOC1">
    <w:name w:val="toc 1"/>
    <w:basedOn w:val="Normal"/>
    <w:next w:val="Normal"/>
    <w:autoRedefine/>
    <w:uiPriority w:val="39"/>
    <w:unhideWhenUsed/>
    <w:rsid w:val="00875F79"/>
    <w:pPr>
      <w:pBdr>
        <w:top w:val="single" w:sz="4" w:space="6" w:color="3494BA" w:themeColor="accent1"/>
        <w:between w:val="single" w:sz="4" w:space="6" w:color="3494BA" w:themeColor="accent1"/>
      </w:pBdr>
      <w:tabs>
        <w:tab w:val="left" w:pos="680"/>
        <w:tab w:val="right" w:pos="9639"/>
      </w:tabs>
      <w:spacing w:after="100" w:line="320" w:lineRule="atLeast"/>
    </w:pPr>
    <w:rPr>
      <w:b/>
      <w:caps/>
      <w:color w:val="3494BA"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10"/>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3494BA" w:themeColor="accent1"/>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1"/>
      </w:numPr>
    </w:pPr>
  </w:style>
  <w:style w:type="character" w:styleId="Hyperlink">
    <w:name w:val="Hyperlink"/>
    <w:basedOn w:val="DefaultParagraphFont"/>
    <w:uiPriority w:val="99"/>
    <w:rsid w:val="003A5CD1"/>
    <w:rPr>
      <w:rFonts w:asciiTheme="minorHAnsi" w:hAnsiTheme="minorHAnsi" w:cs="MuseoSans-500"/>
      <w:color w:val="373545" w:themeColor="text2"/>
      <w:u w:val="single" w:color="373545" w:themeColor="text2"/>
    </w:rPr>
  </w:style>
  <w:style w:type="character" w:styleId="IntenseEmphasis">
    <w:name w:val="Intense Emphasis"/>
    <w:basedOn w:val="DefaultParagraphFont"/>
    <w:uiPriority w:val="21"/>
    <w:qFormat/>
    <w:rsid w:val="00A2486C"/>
    <w:rPr>
      <w:b/>
      <w:i/>
      <w:iCs/>
      <w:color w:val="373545" w:themeColor="text2"/>
    </w:rPr>
  </w:style>
  <w:style w:type="character" w:styleId="Strong">
    <w:name w:val="Strong"/>
    <w:basedOn w:val="DefaultParagraphFont"/>
    <w:uiPriority w:val="22"/>
    <w:qFormat/>
    <w:rsid w:val="00D9353F"/>
    <w:rPr>
      <w:b/>
      <w:bCs/>
      <w:color w:val="37354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37354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1A495C"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1A495C"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37354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37354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373545" w:themeColor="text2"/>
      <w:sz w:val="16"/>
      <w:szCs w:val="20"/>
      <w:lang w:val="en-GB"/>
    </w:rPr>
  </w:style>
  <w:style w:type="character" w:styleId="FootnoteReference">
    <w:name w:val="footnote reference"/>
    <w:basedOn w:val="DefaultParagraphFont"/>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E10987"/>
    <w:pPr>
      <w:framePr w:hSpace="180" w:wrap="around" w:vAnchor="page" w:hAnchor="margin" w:y="5061"/>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373545" w:themeColor="text2"/>
    </w:rPr>
    <w:tblPr>
      <w:tblStyleRowBandSize w:val="1"/>
      <w:tblStyleColBandSize w:val="1"/>
      <w:tblBorders>
        <w:top w:val="single" w:sz="4" w:space="0" w:color="373545" w:themeColor="text2"/>
        <w:bottom w:val="single" w:sz="4" w:space="0" w:color="373545" w:themeColor="text2"/>
        <w:insideH w:val="single" w:sz="4" w:space="0" w:color="373545" w:themeColor="text2"/>
      </w:tblBorders>
      <w:tblCellMar>
        <w:top w:w="57" w:type="dxa"/>
        <w:bottom w:w="57" w:type="dxa"/>
      </w:tblCellMar>
    </w:tblPr>
    <w:tblStylePr w:type="firstRow">
      <w:rPr>
        <w:b w:val="0"/>
      </w:rPr>
      <w:tblPr/>
      <w:trPr>
        <w:tblHeader/>
      </w:trPr>
      <w:tcPr>
        <w:tcBorders>
          <w:top w:val="single" w:sz="4" w:space="0" w:color="3494BA" w:themeColor="accent1"/>
          <w:bottom w:val="single" w:sz="4" w:space="0" w:color="3494BA" w:themeColor="accent1"/>
          <w:insideH w:val="single" w:sz="4" w:space="0" w:color="3494BA" w:themeColor="accent1"/>
        </w:tcBorders>
        <w:shd w:val="clear" w:color="auto" w:fill="3494BA" w:themeFill="accent1"/>
      </w:tcPr>
    </w:tblStylePr>
    <w:tblStylePr w:type="lastRow">
      <w:rPr>
        <w:b/>
        <w:color w:val="FFFFFF" w:themeColor="background1"/>
      </w:rPr>
      <w:tblPr/>
      <w:tcPr>
        <w:shd w:val="clear" w:color="auto" w:fill="373545" w:themeFill="text2"/>
      </w:tcPr>
    </w:tblStylePr>
    <w:tblStylePr w:type="firstCol">
      <w:tblPr/>
      <w:tcPr>
        <w:shd w:val="clear" w:color="auto" w:fill="CEDBE6" w:themeFill="background2"/>
      </w:tcPr>
    </w:tblStylePr>
    <w:tblStylePr w:type="lastCol">
      <w:tblPr/>
      <w:tcPr>
        <w:shd w:val="clear" w:color="auto" w:fill="CEDBE6" w:themeFill="background2"/>
      </w:tcPr>
    </w:tblStylePr>
    <w:tblStylePr w:type="band1Vert">
      <w:tblPr/>
      <w:tcPr>
        <w:shd w:val="clear" w:color="auto" w:fill="D4EAF3" w:themeFill="accent1" w:themeFillTint="33"/>
      </w:tcPr>
    </w:tblStylePr>
    <w:tblStylePr w:type="band2Vert">
      <w:tblPr/>
      <w:tcPr>
        <w:shd w:val="clear" w:color="auto" w:fill="A9D5E7" w:themeFill="accent1" w:themeFillTint="66"/>
      </w:tcPr>
    </w:tblStylePr>
    <w:tblStylePr w:type="band1Horz">
      <w:tblPr/>
      <w:tcPr>
        <w:shd w:val="clear" w:color="auto" w:fill="D4EAF3" w:themeFill="accent1" w:themeFillTint="33"/>
      </w:tcPr>
    </w:tblStylePr>
    <w:tblStylePr w:type="band2Horz">
      <w:tblPr/>
      <w:tcPr>
        <w:shd w:val="clear" w:color="auto" w:fill="A9D5E7" w:themeFill="accent1" w:themeFillTint="66"/>
      </w:tcPr>
    </w:tblStylePr>
  </w:style>
  <w:style w:type="paragraph" w:customStyle="1" w:styleId="Heading1smallspaceafter">
    <w:name w:val="Heading 1 small space after"/>
    <w:basedOn w:val="Heading1"/>
    <w:qFormat/>
    <w:rsid w:val="00E10987"/>
    <w:pPr>
      <w:spacing w:after="600"/>
    </w:pPr>
    <w:rPr>
      <w:color w:val="37354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373545" w:themeColor="text2"/>
      <w:sz w:val="16"/>
      <w:szCs w:val="16"/>
      <w:lang w:val="en-GB"/>
    </w:rPr>
  </w:style>
  <w:style w:type="paragraph" w:styleId="NoSpacing">
    <w:name w:val="No Spacing"/>
    <w:uiPriority w:val="1"/>
    <w:qFormat/>
    <w:rsid w:val="00013F0E"/>
    <w:pPr>
      <w:suppressAutoHyphens/>
      <w:spacing w:after="0" w:line="240" w:lineRule="auto"/>
    </w:pPr>
    <w:rPr>
      <w:color w:val="37354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37354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37354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37354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autoRedefine/>
    <w:qFormat/>
    <w:rsid w:val="002A5765"/>
    <w:pPr>
      <w:pBdr>
        <w:top w:val="single" w:sz="4" w:space="14" w:color="D4EAF3" w:themeColor="accent1" w:themeTint="33"/>
        <w:left w:val="single" w:sz="4" w:space="14" w:color="D4EAF3" w:themeColor="accent1" w:themeTint="33"/>
        <w:bottom w:val="single" w:sz="4" w:space="14" w:color="D4EAF3" w:themeColor="accent1" w:themeTint="33"/>
        <w:right w:val="single" w:sz="4" w:space="14" w:color="D4EAF3" w:themeColor="accent1" w:themeTint="33"/>
      </w:pBdr>
      <w:shd w:val="clear" w:color="auto" w:fill="D4EAF3"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13"/>
      </w:numPr>
    </w:pPr>
  </w:style>
  <w:style w:type="paragraph" w:customStyle="1" w:styleId="Box2Bullet">
    <w:name w:val="Box 2 Bullet"/>
    <w:basedOn w:val="Box2Text"/>
    <w:qFormat/>
    <w:rsid w:val="006F682D"/>
    <w:pPr>
      <w:numPr>
        <w:numId w:val="14"/>
      </w:numPr>
      <w:tabs>
        <w:tab w:val="left" w:pos="1247"/>
        <w:tab w:val="left" w:pos="1531"/>
      </w:tabs>
      <w:spacing w:before="60" w:after="60"/>
      <w:ind w:left="1531" w:hanging="1247"/>
    </w:pPr>
  </w:style>
  <w:style w:type="paragraph" w:styleId="ListParagraph">
    <w:name w:val="List Paragraph"/>
    <w:aliases w:val="Recommendation,List Paragraph1,List Paragraph11,L,List Paragraph2,Main numbered paragraph,Numbered List Paragraph,Bullets,F5 List Paragraph,Dot pt,CV text,Table text,List Paragraph111,Medium Grid 1 - Accent 21,Numbered Paragraph,FooterTex"/>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E35918"/>
    <w:pPr>
      <w:spacing w:after="600"/>
    </w:pPr>
    <w:rPr>
      <w:color w:val="373545" w:themeColor="text2"/>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37354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373545" w:themeColor="text2"/>
      <w:sz w:val="20"/>
      <w:szCs w:val="20"/>
      <w:lang w:val="en-GB"/>
    </w:rPr>
  </w:style>
  <w:style w:type="character" w:customStyle="1" w:styleId="ColourAccent1">
    <w:name w:val="Colour Accent 1"/>
    <w:basedOn w:val="DefaultParagraphFont"/>
    <w:uiPriority w:val="1"/>
    <w:qFormat/>
    <w:locked/>
    <w:rsid w:val="00D40C15"/>
    <w:rPr>
      <w:color w:val="3494BA"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semiHidden/>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15"/>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6"/>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aliases w:val="Recommendation Char,List Paragraph1 Char,List Paragraph11 Char,L Char,List Paragraph2 Char,Main numbered paragraph Char,Numbered List Paragraph Char,Bullets Char,F5 List Paragraph Char,Dot pt Char,CV text Char,Table text Char"/>
    <w:basedOn w:val="DefaultParagraphFont"/>
    <w:link w:val="ListParagraph"/>
    <w:uiPriority w:val="34"/>
    <w:qFormat/>
    <w:locked/>
    <w:rsid w:val="00D44758"/>
    <w:rPr>
      <w:color w:val="37354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7"/>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8"/>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9"/>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20"/>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val="0"/>
      <w:bCs/>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3494BA" w:themeColor="accent1"/>
      </w:pBdr>
      <w:spacing w:before="320" w:line="320" w:lineRule="atLeast"/>
    </w:pPr>
    <w:rPr>
      <w:b w:val="0"/>
      <w:color w:val="3494BA"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373545" w:themeColor="text2"/>
      <w:sz w:val="24"/>
      <w:szCs w:val="24"/>
      <w:lang w:val="en-GB"/>
    </w:rPr>
  </w:style>
  <w:style w:type="character" w:customStyle="1" w:styleId="apple-converted-space">
    <w:name w:val="apple-converted-space"/>
    <w:basedOn w:val="DefaultParagraphFont"/>
    <w:rsid w:val="00294FBA"/>
  </w:style>
  <w:style w:type="paragraph" w:customStyle="1" w:styleId="List-number-2">
    <w:name w:val="List-number-2"/>
    <w:basedOn w:val="Normal"/>
    <w:rsid w:val="00E94A57"/>
    <w:pPr>
      <w:numPr>
        <w:ilvl w:val="1"/>
        <w:numId w:val="23"/>
      </w:numPr>
      <w:suppressAutoHyphens w:val="0"/>
      <w:spacing w:after="0" w:line="240" w:lineRule="auto"/>
    </w:pPr>
    <w:rPr>
      <w:rFonts w:ascii="Arial" w:eastAsia="Times New Roman" w:hAnsi="Arial" w:cs="Times New Roman"/>
      <w:color w:val="auto"/>
      <w:sz w:val="20"/>
      <w:szCs w:val="24"/>
      <w:lang w:val="en-AU"/>
    </w:rPr>
  </w:style>
  <w:style w:type="paragraph" w:customStyle="1" w:styleId="TableHeader">
    <w:name w:val="TableHeader"/>
    <w:basedOn w:val="Normal"/>
    <w:rsid w:val="00E94A57"/>
    <w:pPr>
      <w:keepNext/>
      <w:suppressAutoHyphens w:val="0"/>
      <w:spacing w:before="60" w:after="40" w:line="240" w:lineRule="auto"/>
      <w:jc w:val="center"/>
    </w:pPr>
    <w:rPr>
      <w:rFonts w:ascii="Arial" w:eastAsia="Times New Roman" w:hAnsi="Arial" w:cs="Arial"/>
      <w:b/>
      <w:color w:val="auto"/>
      <w:sz w:val="20"/>
      <w:szCs w:val="24"/>
      <w:lang w:val="en-AU"/>
    </w:rPr>
  </w:style>
  <w:style w:type="paragraph" w:customStyle="1" w:styleId="Table-normal-text">
    <w:name w:val="Table-normal-text"/>
    <w:basedOn w:val="Normal"/>
    <w:rsid w:val="00E94A57"/>
    <w:pPr>
      <w:suppressAutoHyphens w:val="0"/>
      <w:spacing w:before="60" w:after="0" w:line="240" w:lineRule="auto"/>
    </w:pPr>
    <w:rPr>
      <w:rFonts w:ascii="Arial" w:eastAsia="Times New Roman" w:hAnsi="Arial" w:cs="Times New Roman"/>
      <w:color w:val="auto"/>
      <w:sz w:val="20"/>
      <w:szCs w:val="24"/>
      <w:lang w:val="en-AU"/>
    </w:rPr>
  </w:style>
  <w:style w:type="paragraph" w:customStyle="1" w:styleId="List-number-1">
    <w:name w:val="List-number-1"/>
    <w:basedOn w:val="Normal"/>
    <w:rsid w:val="00E94A57"/>
    <w:pPr>
      <w:numPr>
        <w:numId w:val="23"/>
      </w:numPr>
      <w:suppressAutoHyphens w:val="0"/>
      <w:spacing w:after="0" w:line="240" w:lineRule="auto"/>
    </w:pPr>
    <w:rPr>
      <w:rFonts w:ascii="Arial" w:eastAsia="Times New Roman" w:hAnsi="Arial" w:cs="Times New Roman"/>
      <w:color w:val="auto"/>
      <w:sz w:val="20"/>
      <w:szCs w:val="24"/>
      <w:lang w:val="en-AU"/>
    </w:rPr>
  </w:style>
  <w:style w:type="table" w:styleId="PlainTable1">
    <w:name w:val="Plain Table 1"/>
    <w:basedOn w:val="TableNormal"/>
    <w:uiPriority w:val="41"/>
    <w:rsid w:val="001302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locked/>
    <w:rsid w:val="0022270A"/>
    <w:rPr>
      <w:i/>
      <w:iCs/>
      <w:color w:val="404040" w:themeColor="text1" w:themeTint="BF"/>
    </w:rPr>
  </w:style>
  <w:style w:type="character" w:styleId="UnresolvedMention">
    <w:name w:val="Unresolved Mention"/>
    <w:basedOn w:val="DefaultParagraphFont"/>
    <w:uiPriority w:val="99"/>
    <w:semiHidden/>
    <w:unhideWhenUsed/>
    <w:rsid w:val="0089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338">
      <w:bodyDiv w:val="1"/>
      <w:marLeft w:val="0"/>
      <w:marRight w:val="0"/>
      <w:marTop w:val="0"/>
      <w:marBottom w:val="0"/>
      <w:divBdr>
        <w:top w:val="none" w:sz="0" w:space="0" w:color="auto"/>
        <w:left w:val="none" w:sz="0" w:space="0" w:color="auto"/>
        <w:bottom w:val="none" w:sz="0" w:space="0" w:color="auto"/>
        <w:right w:val="none" w:sz="0" w:space="0" w:color="auto"/>
      </w:divBdr>
    </w:div>
    <w:div w:id="375862020">
      <w:bodyDiv w:val="1"/>
      <w:marLeft w:val="0"/>
      <w:marRight w:val="0"/>
      <w:marTop w:val="0"/>
      <w:marBottom w:val="0"/>
      <w:divBdr>
        <w:top w:val="none" w:sz="0" w:space="0" w:color="auto"/>
        <w:left w:val="none" w:sz="0" w:space="0" w:color="auto"/>
        <w:bottom w:val="none" w:sz="0" w:space="0" w:color="auto"/>
        <w:right w:val="none" w:sz="0" w:space="0" w:color="auto"/>
      </w:divBdr>
    </w:div>
    <w:div w:id="401945768">
      <w:bodyDiv w:val="1"/>
      <w:marLeft w:val="0"/>
      <w:marRight w:val="0"/>
      <w:marTop w:val="0"/>
      <w:marBottom w:val="0"/>
      <w:divBdr>
        <w:top w:val="none" w:sz="0" w:space="0" w:color="auto"/>
        <w:left w:val="none" w:sz="0" w:space="0" w:color="auto"/>
        <w:bottom w:val="none" w:sz="0" w:space="0" w:color="auto"/>
        <w:right w:val="none" w:sz="0" w:space="0" w:color="auto"/>
      </w:divBdr>
    </w:div>
    <w:div w:id="484006746">
      <w:bodyDiv w:val="1"/>
      <w:marLeft w:val="0"/>
      <w:marRight w:val="0"/>
      <w:marTop w:val="0"/>
      <w:marBottom w:val="0"/>
      <w:divBdr>
        <w:top w:val="none" w:sz="0" w:space="0" w:color="auto"/>
        <w:left w:val="none" w:sz="0" w:space="0" w:color="auto"/>
        <w:bottom w:val="none" w:sz="0" w:space="0" w:color="auto"/>
        <w:right w:val="none" w:sz="0" w:space="0" w:color="auto"/>
      </w:divBdr>
    </w:div>
    <w:div w:id="665982628">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13969756">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749305674">
      <w:bodyDiv w:val="1"/>
      <w:marLeft w:val="0"/>
      <w:marRight w:val="0"/>
      <w:marTop w:val="0"/>
      <w:marBottom w:val="0"/>
      <w:divBdr>
        <w:top w:val="none" w:sz="0" w:space="0" w:color="auto"/>
        <w:left w:val="none" w:sz="0" w:space="0" w:color="auto"/>
        <w:bottom w:val="none" w:sz="0" w:space="0" w:color="auto"/>
        <w:right w:val="none" w:sz="0" w:space="0" w:color="auto"/>
      </w:divBdr>
    </w:div>
    <w:div w:id="757098624">
      <w:bodyDiv w:val="1"/>
      <w:marLeft w:val="0"/>
      <w:marRight w:val="0"/>
      <w:marTop w:val="0"/>
      <w:marBottom w:val="0"/>
      <w:divBdr>
        <w:top w:val="none" w:sz="0" w:space="0" w:color="auto"/>
        <w:left w:val="none" w:sz="0" w:space="0" w:color="auto"/>
        <w:bottom w:val="none" w:sz="0" w:space="0" w:color="auto"/>
        <w:right w:val="none" w:sz="0" w:space="0" w:color="auto"/>
      </w:divBdr>
    </w:div>
    <w:div w:id="775834532">
      <w:bodyDiv w:val="1"/>
      <w:marLeft w:val="0"/>
      <w:marRight w:val="0"/>
      <w:marTop w:val="0"/>
      <w:marBottom w:val="0"/>
      <w:divBdr>
        <w:top w:val="none" w:sz="0" w:space="0" w:color="auto"/>
        <w:left w:val="none" w:sz="0" w:space="0" w:color="auto"/>
        <w:bottom w:val="none" w:sz="0" w:space="0" w:color="auto"/>
        <w:right w:val="none" w:sz="0" w:space="0" w:color="auto"/>
      </w:divBdr>
    </w:div>
    <w:div w:id="810752082">
      <w:bodyDiv w:val="1"/>
      <w:marLeft w:val="0"/>
      <w:marRight w:val="0"/>
      <w:marTop w:val="0"/>
      <w:marBottom w:val="0"/>
      <w:divBdr>
        <w:top w:val="none" w:sz="0" w:space="0" w:color="auto"/>
        <w:left w:val="none" w:sz="0" w:space="0" w:color="auto"/>
        <w:bottom w:val="none" w:sz="0" w:space="0" w:color="auto"/>
        <w:right w:val="none" w:sz="0" w:space="0" w:color="auto"/>
      </w:divBdr>
    </w:div>
    <w:div w:id="869878032">
      <w:bodyDiv w:val="1"/>
      <w:marLeft w:val="0"/>
      <w:marRight w:val="0"/>
      <w:marTop w:val="0"/>
      <w:marBottom w:val="0"/>
      <w:divBdr>
        <w:top w:val="none" w:sz="0" w:space="0" w:color="auto"/>
        <w:left w:val="none" w:sz="0" w:space="0" w:color="auto"/>
        <w:bottom w:val="none" w:sz="0" w:space="0" w:color="auto"/>
        <w:right w:val="none" w:sz="0" w:space="0" w:color="auto"/>
      </w:divBdr>
    </w:div>
    <w:div w:id="872110476">
      <w:bodyDiv w:val="1"/>
      <w:marLeft w:val="0"/>
      <w:marRight w:val="0"/>
      <w:marTop w:val="0"/>
      <w:marBottom w:val="0"/>
      <w:divBdr>
        <w:top w:val="none" w:sz="0" w:space="0" w:color="auto"/>
        <w:left w:val="none" w:sz="0" w:space="0" w:color="auto"/>
        <w:bottom w:val="none" w:sz="0" w:space="0" w:color="auto"/>
        <w:right w:val="none" w:sz="0" w:space="0" w:color="auto"/>
      </w:divBdr>
    </w:div>
    <w:div w:id="923609434">
      <w:bodyDiv w:val="1"/>
      <w:marLeft w:val="0"/>
      <w:marRight w:val="0"/>
      <w:marTop w:val="0"/>
      <w:marBottom w:val="0"/>
      <w:divBdr>
        <w:top w:val="none" w:sz="0" w:space="0" w:color="auto"/>
        <w:left w:val="none" w:sz="0" w:space="0" w:color="auto"/>
        <w:bottom w:val="none" w:sz="0" w:space="0" w:color="auto"/>
        <w:right w:val="none" w:sz="0" w:space="0" w:color="auto"/>
      </w:divBdr>
    </w:div>
    <w:div w:id="969171378">
      <w:bodyDiv w:val="1"/>
      <w:marLeft w:val="0"/>
      <w:marRight w:val="0"/>
      <w:marTop w:val="0"/>
      <w:marBottom w:val="0"/>
      <w:divBdr>
        <w:top w:val="none" w:sz="0" w:space="0" w:color="auto"/>
        <w:left w:val="none" w:sz="0" w:space="0" w:color="auto"/>
        <w:bottom w:val="none" w:sz="0" w:space="0" w:color="auto"/>
        <w:right w:val="none" w:sz="0" w:space="0" w:color="auto"/>
      </w:divBdr>
    </w:div>
    <w:div w:id="1062828955">
      <w:bodyDiv w:val="1"/>
      <w:marLeft w:val="0"/>
      <w:marRight w:val="0"/>
      <w:marTop w:val="0"/>
      <w:marBottom w:val="0"/>
      <w:divBdr>
        <w:top w:val="none" w:sz="0" w:space="0" w:color="auto"/>
        <w:left w:val="none" w:sz="0" w:space="0" w:color="auto"/>
        <w:bottom w:val="none" w:sz="0" w:space="0" w:color="auto"/>
        <w:right w:val="none" w:sz="0" w:space="0" w:color="auto"/>
      </w:divBdr>
    </w:div>
    <w:div w:id="1262569745">
      <w:bodyDiv w:val="1"/>
      <w:marLeft w:val="0"/>
      <w:marRight w:val="0"/>
      <w:marTop w:val="0"/>
      <w:marBottom w:val="0"/>
      <w:divBdr>
        <w:top w:val="none" w:sz="0" w:space="0" w:color="auto"/>
        <w:left w:val="none" w:sz="0" w:space="0" w:color="auto"/>
        <w:bottom w:val="none" w:sz="0" w:space="0" w:color="auto"/>
        <w:right w:val="none" w:sz="0" w:space="0" w:color="auto"/>
      </w:divBdr>
    </w:div>
    <w:div w:id="1334988644">
      <w:bodyDiv w:val="1"/>
      <w:marLeft w:val="0"/>
      <w:marRight w:val="0"/>
      <w:marTop w:val="0"/>
      <w:marBottom w:val="0"/>
      <w:divBdr>
        <w:top w:val="none" w:sz="0" w:space="0" w:color="auto"/>
        <w:left w:val="none" w:sz="0" w:space="0" w:color="auto"/>
        <w:bottom w:val="none" w:sz="0" w:space="0" w:color="auto"/>
        <w:right w:val="none" w:sz="0" w:space="0" w:color="auto"/>
      </w:divBdr>
    </w:div>
    <w:div w:id="1363556726">
      <w:bodyDiv w:val="1"/>
      <w:marLeft w:val="0"/>
      <w:marRight w:val="0"/>
      <w:marTop w:val="0"/>
      <w:marBottom w:val="0"/>
      <w:divBdr>
        <w:top w:val="none" w:sz="0" w:space="0" w:color="auto"/>
        <w:left w:val="none" w:sz="0" w:space="0" w:color="auto"/>
        <w:bottom w:val="none" w:sz="0" w:space="0" w:color="auto"/>
        <w:right w:val="none" w:sz="0" w:space="0" w:color="auto"/>
      </w:divBdr>
    </w:div>
    <w:div w:id="1433164386">
      <w:bodyDiv w:val="1"/>
      <w:marLeft w:val="0"/>
      <w:marRight w:val="0"/>
      <w:marTop w:val="0"/>
      <w:marBottom w:val="0"/>
      <w:divBdr>
        <w:top w:val="none" w:sz="0" w:space="0" w:color="auto"/>
        <w:left w:val="none" w:sz="0" w:space="0" w:color="auto"/>
        <w:bottom w:val="none" w:sz="0" w:space="0" w:color="auto"/>
        <w:right w:val="none" w:sz="0" w:space="0" w:color="auto"/>
      </w:divBdr>
    </w:div>
    <w:div w:id="1467115841">
      <w:bodyDiv w:val="1"/>
      <w:marLeft w:val="0"/>
      <w:marRight w:val="0"/>
      <w:marTop w:val="0"/>
      <w:marBottom w:val="0"/>
      <w:divBdr>
        <w:top w:val="none" w:sz="0" w:space="0" w:color="auto"/>
        <w:left w:val="none" w:sz="0" w:space="0" w:color="auto"/>
        <w:bottom w:val="none" w:sz="0" w:space="0" w:color="auto"/>
        <w:right w:val="none" w:sz="0" w:space="0" w:color="auto"/>
      </w:divBdr>
    </w:div>
    <w:div w:id="1674332258">
      <w:bodyDiv w:val="1"/>
      <w:marLeft w:val="0"/>
      <w:marRight w:val="0"/>
      <w:marTop w:val="0"/>
      <w:marBottom w:val="0"/>
      <w:divBdr>
        <w:top w:val="none" w:sz="0" w:space="0" w:color="auto"/>
        <w:left w:val="none" w:sz="0" w:space="0" w:color="auto"/>
        <w:bottom w:val="none" w:sz="0" w:space="0" w:color="auto"/>
        <w:right w:val="none" w:sz="0" w:space="0" w:color="auto"/>
      </w:divBdr>
    </w:div>
    <w:div w:id="1677881483">
      <w:bodyDiv w:val="1"/>
      <w:marLeft w:val="0"/>
      <w:marRight w:val="0"/>
      <w:marTop w:val="0"/>
      <w:marBottom w:val="0"/>
      <w:divBdr>
        <w:top w:val="none" w:sz="0" w:space="0" w:color="auto"/>
        <w:left w:val="none" w:sz="0" w:space="0" w:color="auto"/>
        <w:bottom w:val="none" w:sz="0" w:space="0" w:color="auto"/>
        <w:right w:val="none" w:sz="0" w:space="0" w:color="auto"/>
      </w:divBdr>
    </w:div>
    <w:div w:id="1715424589">
      <w:bodyDiv w:val="1"/>
      <w:marLeft w:val="0"/>
      <w:marRight w:val="0"/>
      <w:marTop w:val="0"/>
      <w:marBottom w:val="0"/>
      <w:divBdr>
        <w:top w:val="none" w:sz="0" w:space="0" w:color="auto"/>
        <w:left w:val="none" w:sz="0" w:space="0" w:color="auto"/>
        <w:bottom w:val="none" w:sz="0" w:space="0" w:color="auto"/>
        <w:right w:val="none" w:sz="0" w:space="0" w:color="auto"/>
      </w:divBdr>
    </w:div>
    <w:div w:id="1725325512">
      <w:bodyDiv w:val="1"/>
      <w:marLeft w:val="0"/>
      <w:marRight w:val="0"/>
      <w:marTop w:val="0"/>
      <w:marBottom w:val="0"/>
      <w:divBdr>
        <w:top w:val="none" w:sz="0" w:space="0" w:color="auto"/>
        <w:left w:val="none" w:sz="0" w:space="0" w:color="auto"/>
        <w:bottom w:val="none" w:sz="0" w:space="0" w:color="auto"/>
        <w:right w:val="none" w:sz="0" w:space="0" w:color="auto"/>
      </w:divBdr>
    </w:div>
    <w:div w:id="1785222114">
      <w:bodyDiv w:val="1"/>
      <w:marLeft w:val="0"/>
      <w:marRight w:val="0"/>
      <w:marTop w:val="0"/>
      <w:marBottom w:val="0"/>
      <w:divBdr>
        <w:top w:val="none" w:sz="0" w:space="0" w:color="auto"/>
        <w:left w:val="none" w:sz="0" w:space="0" w:color="auto"/>
        <w:bottom w:val="none" w:sz="0" w:space="0" w:color="auto"/>
        <w:right w:val="none" w:sz="0" w:space="0" w:color="auto"/>
      </w:divBdr>
    </w:div>
    <w:div w:id="1792556378">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798259568">
      <w:bodyDiv w:val="1"/>
      <w:marLeft w:val="0"/>
      <w:marRight w:val="0"/>
      <w:marTop w:val="0"/>
      <w:marBottom w:val="0"/>
      <w:divBdr>
        <w:top w:val="none" w:sz="0" w:space="0" w:color="auto"/>
        <w:left w:val="none" w:sz="0" w:space="0" w:color="auto"/>
        <w:bottom w:val="none" w:sz="0" w:space="0" w:color="auto"/>
        <w:right w:val="none" w:sz="0" w:space="0" w:color="auto"/>
      </w:divBdr>
    </w:div>
    <w:div w:id="1906336081">
      <w:bodyDiv w:val="1"/>
      <w:marLeft w:val="0"/>
      <w:marRight w:val="0"/>
      <w:marTop w:val="0"/>
      <w:marBottom w:val="0"/>
      <w:divBdr>
        <w:top w:val="none" w:sz="0" w:space="0" w:color="auto"/>
        <w:left w:val="none" w:sz="0" w:space="0" w:color="auto"/>
        <w:bottom w:val="none" w:sz="0" w:space="0" w:color="auto"/>
        <w:right w:val="none" w:sz="0" w:space="0" w:color="auto"/>
      </w:divBdr>
    </w:div>
    <w:div w:id="1925609438">
      <w:bodyDiv w:val="1"/>
      <w:marLeft w:val="0"/>
      <w:marRight w:val="0"/>
      <w:marTop w:val="0"/>
      <w:marBottom w:val="0"/>
      <w:divBdr>
        <w:top w:val="none" w:sz="0" w:space="0" w:color="auto"/>
        <w:left w:val="none" w:sz="0" w:space="0" w:color="auto"/>
        <w:bottom w:val="none" w:sz="0" w:space="0" w:color="auto"/>
        <w:right w:val="none" w:sz="0" w:space="0" w:color="auto"/>
      </w:divBdr>
    </w:div>
    <w:div w:id="1945728127">
      <w:bodyDiv w:val="1"/>
      <w:marLeft w:val="0"/>
      <w:marRight w:val="0"/>
      <w:marTop w:val="0"/>
      <w:marBottom w:val="0"/>
      <w:divBdr>
        <w:top w:val="none" w:sz="0" w:space="0" w:color="auto"/>
        <w:left w:val="none" w:sz="0" w:space="0" w:color="auto"/>
        <w:bottom w:val="none" w:sz="0" w:space="0" w:color="auto"/>
        <w:right w:val="none" w:sz="0" w:space="0" w:color="auto"/>
      </w:divBdr>
    </w:div>
    <w:div w:id="1971086416">
      <w:bodyDiv w:val="1"/>
      <w:marLeft w:val="0"/>
      <w:marRight w:val="0"/>
      <w:marTop w:val="0"/>
      <w:marBottom w:val="0"/>
      <w:divBdr>
        <w:top w:val="none" w:sz="0" w:space="0" w:color="auto"/>
        <w:left w:val="none" w:sz="0" w:space="0" w:color="auto"/>
        <w:bottom w:val="none" w:sz="0" w:space="0" w:color="auto"/>
        <w:right w:val="none" w:sz="0" w:space="0" w:color="auto"/>
      </w:divBdr>
    </w:div>
    <w:div w:id="20194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about:blank"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fat.gov.au/about-us/publications/investment-design-quality-assurance-guidance" TargetMode="External"/><Relationship Id="rId14" Type="http://schemas.openxmlformats.org/officeDocument/2006/relationships/hyperlink" Target="https://www.dfat.gov.au/about-us/publications/Pages/dfat-monitoring-and-evaluation-standard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7D75-C160-43B8-9A3E-88479C1C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6699</Words>
  <Characters>39580</Characters>
  <Application>Microsoft Office Word</Application>
  <DocSecurity>0</DocSecurity>
  <Lines>1255</Lines>
  <Paragraphs>467</Paragraphs>
  <ScaleCrop>false</ScaleCrop>
  <HeadingPairs>
    <vt:vector size="2" baseType="variant">
      <vt:variant>
        <vt:lpstr>Title</vt:lpstr>
      </vt:variant>
      <vt:variant>
        <vt:i4>1</vt:i4>
      </vt:variant>
    </vt:vector>
  </HeadingPairs>
  <TitlesOfParts>
    <vt:vector size="1" baseType="lpstr">
      <vt:lpstr>Investment Design Quality Assessment Tool and Scoring Matrix</vt:lpstr>
    </vt:vector>
  </TitlesOfParts>
  <Company/>
  <LinksUpToDate>false</LinksUpToDate>
  <CharactersWithSpaces>46031</CharactersWithSpaces>
  <SharedDoc>false</SharedDoc>
  <HLinks>
    <vt:vector size="18" baseType="variant">
      <vt:variant>
        <vt:i4>3080313</vt:i4>
      </vt:variant>
      <vt:variant>
        <vt:i4>6</vt:i4>
      </vt:variant>
      <vt:variant>
        <vt:i4>0</vt:i4>
      </vt:variant>
      <vt:variant>
        <vt:i4>5</vt:i4>
      </vt:variant>
      <vt:variant>
        <vt:lpwstr>about:blank</vt:lpwstr>
      </vt:variant>
      <vt:variant>
        <vt:lpwstr/>
      </vt:variant>
      <vt:variant>
        <vt:i4>4784155</vt:i4>
      </vt:variant>
      <vt:variant>
        <vt:i4>3</vt:i4>
      </vt:variant>
      <vt:variant>
        <vt:i4>0</vt:i4>
      </vt:variant>
      <vt:variant>
        <vt:i4>5</vt:i4>
      </vt:variant>
      <vt:variant>
        <vt:lpwstr>https://www.dfat.gov.au/about-us/publications/Pages/dfat-monitoring-and-evaluation-standards</vt:lpwstr>
      </vt:variant>
      <vt:variant>
        <vt:lpwstr/>
      </vt:variant>
      <vt:variant>
        <vt:i4>4063274</vt:i4>
      </vt:variant>
      <vt:variant>
        <vt:i4>0</vt:i4>
      </vt:variant>
      <vt:variant>
        <vt:i4>0</vt:i4>
      </vt:variant>
      <vt:variant>
        <vt:i4>5</vt:i4>
      </vt:variant>
      <vt:variant>
        <vt:lpwstr>https://www.dfat.gov.au/about-us/publications/investment-design-quality-assurance-guidance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Design Quality Assessment Tool and Scoring Matrix</dc:title>
  <dc:subject/>
  <dc:creator/>
  <cp:keywords>[SEC=OFFICIAL]</cp:keywords>
  <dc:description/>
  <cp:lastModifiedBy/>
  <cp:revision>1</cp:revision>
  <dcterms:created xsi:type="dcterms:W3CDTF">2023-09-06T00:23:00Z</dcterms:created>
  <dcterms:modified xsi:type="dcterms:W3CDTF">2023-09-06T00:25:00Z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v=2022.1;a=SHA256;h=35061E8DCBDB51C321BA8D196F8F544EBC0612C46FADF552E2044EB831A02298</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1CAA2E9EB2E54DF1AA3FA5AA3D1614EE</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2023-02-16T01:15:27Z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252769E86481C49779B7E1232EEC55C1</vt:lpwstr>
  </property>
  <property fmtid="{D5CDD505-2E9C-101B-9397-08002B2CF9AE}" pid="21" name="PM_Hash_Salt">
    <vt:lpwstr>E60858D3842ED75FEC98301FA989BAE0</vt:lpwstr>
  </property>
  <property fmtid="{D5CDD505-2E9C-101B-9397-08002B2CF9AE}" pid="22" name="PM_Hash_SHA1">
    <vt:lpwstr>ADD3076963EF7C9630E465118FAB2F622F99DB0A</vt:lpwstr>
  </property>
  <property fmtid="{D5CDD505-2E9C-101B-9397-08002B2CF9AE}" pid="23" name="PM_OriginatorUserAccountName_SHA256">
    <vt:lpwstr>290C9CFCFE70E139C4500567FB5830ACF9049F26A1998DDACA65669D45D5D2AD</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Uuid">
    <vt:lpwstr>v=2022.2;d=gov.au;g=46DD6D7C-8107-577B-BC6E-F348953B2E44</vt:lpwstr>
  </property>
  <property fmtid="{D5CDD505-2E9C-101B-9397-08002B2CF9AE}" pid="28" name="PM_Caveats_Count">
    <vt:lpwstr>0</vt:lpwstr>
  </property>
</Properties>
</file>