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076" w:rsidRPr="002B1D63" w:rsidRDefault="00772076" w:rsidP="00772076">
      <w:pPr>
        <w:tabs>
          <w:tab w:val="clear" w:pos="720"/>
          <w:tab w:val="left" w:pos="567"/>
        </w:tabs>
        <w:autoSpaceDE w:val="0"/>
        <w:autoSpaceDN w:val="0"/>
        <w:adjustRightInd w:val="0"/>
        <w:jc w:val="center"/>
        <w:rPr>
          <w:lang w:val="en-AU" w:eastAsia="zh-CN"/>
        </w:rPr>
      </w:pPr>
      <w:bookmarkStart w:id="0" w:name="_GoBack"/>
      <w:bookmarkEnd w:id="0"/>
      <w:r w:rsidRPr="002B1D63">
        <w:rPr>
          <w:lang w:val="en-AU" w:eastAsia="zh-CN"/>
        </w:rPr>
        <w:t>A</w:t>
      </w:r>
      <w:r w:rsidR="00353305" w:rsidRPr="002B1D63">
        <w:rPr>
          <w:lang w:val="en-AU" w:eastAsia="ja-JP"/>
        </w:rPr>
        <w:t>nnex</w:t>
      </w:r>
      <w:r w:rsidRPr="002B1D63">
        <w:rPr>
          <w:lang w:val="en-AU" w:eastAsia="zh-CN"/>
        </w:rPr>
        <w:t xml:space="preserve"> 8</w:t>
      </w:r>
    </w:p>
    <w:p w:rsidR="00772076" w:rsidRPr="002B1D63" w:rsidRDefault="00772076" w:rsidP="00772076">
      <w:pPr>
        <w:tabs>
          <w:tab w:val="clear" w:pos="720"/>
          <w:tab w:val="left" w:pos="567"/>
        </w:tabs>
        <w:autoSpaceDE w:val="0"/>
        <w:autoSpaceDN w:val="0"/>
        <w:adjustRightInd w:val="0"/>
        <w:jc w:val="center"/>
        <w:rPr>
          <w:lang w:val="en-AU" w:eastAsia="ja-JP"/>
        </w:rPr>
      </w:pPr>
      <w:r w:rsidRPr="002B1D63">
        <w:rPr>
          <w:lang w:val="en-AU" w:eastAsia="ja-JP"/>
        </w:rPr>
        <w:t>R</w:t>
      </w:r>
      <w:r w:rsidRPr="002B1D63">
        <w:rPr>
          <w:lang w:val="en-AU" w:eastAsia="zh-CN"/>
        </w:rPr>
        <w:t>eferred to in Chapter 9</w:t>
      </w:r>
      <w:r w:rsidRPr="002B1D63">
        <w:rPr>
          <w:lang w:val="en-AU" w:eastAsia="ja-JP"/>
        </w:rPr>
        <w:t xml:space="preserve"> (Trade in Services)</w:t>
      </w:r>
    </w:p>
    <w:p w:rsidR="00772076" w:rsidRPr="002B1D63" w:rsidRDefault="00772076" w:rsidP="00772076">
      <w:pPr>
        <w:tabs>
          <w:tab w:val="clear" w:pos="720"/>
          <w:tab w:val="left" w:pos="567"/>
        </w:tabs>
        <w:autoSpaceDE w:val="0"/>
        <w:autoSpaceDN w:val="0"/>
        <w:adjustRightInd w:val="0"/>
        <w:jc w:val="center"/>
        <w:rPr>
          <w:lang w:val="en-AU" w:eastAsia="zh-CN"/>
        </w:rPr>
      </w:pPr>
    </w:p>
    <w:p w:rsidR="00772076" w:rsidRPr="002B1D63" w:rsidRDefault="00772076" w:rsidP="00772076">
      <w:pPr>
        <w:tabs>
          <w:tab w:val="clear" w:pos="720"/>
          <w:tab w:val="left" w:pos="567"/>
        </w:tabs>
        <w:autoSpaceDE w:val="0"/>
        <w:autoSpaceDN w:val="0"/>
        <w:adjustRightInd w:val="0"/>
        <w:jc w:val="center"/>
        <w:rPr>
          <w:lang w:val="en-AU" w:eastAsia="zh-CN"/>
        </w:rPr>
      </w:pPr>
      <w:r w:rsidRPr="002B1D63">
        <w:rPr>
          <w:lang w:val="en-AU" w:eastAsia="zh-CN"/>
        </w:rPr>
        <w:t>R</w:t>
      </w:r>
      <w:r w:rsidRPr="002B1D63">
        <w:rPr>
          <w:lang w:val="en-AU" w:eastAsia="ja-JP"/>
        </w:rPr>
        <w:t>ECOGNITION</w:t>
      </w:r>
      <w:r w:rsidRPr="002B1D63">
        <w:rPr>
          <w:lang w:val="en-AU" w:eastAsia="zh-CN"/>
        </w:rPr>
        <w:t xml:space="preserve"> </w:t>
      </w:r>
      <w:r w:rsidRPr="002B1D63">
        <w:rPr>
          <w:lang w:val="en-AU" w:eastAsia="ja-JP"/>
        </w:rPr>
        <w:t>OF</w:t>
      </w:r>
      <w:r w:rsidRPr="002B1D63">
        <w:rPr>
          <w:lang w:val="en-AU" w:eastAsia="zh-CN"/>
        </w:rPr>
        <w:t xml:space="preserve"> Q</w:t>
      </w:r>
      <w:r w:rsidRPr="002B1D63">
        <w:rPr>
          <w:lang w:val="en-AU" w:eastAsia="ja-JP"/>
        </w:rPr>
        <w:t>UALIFICATIONS</w:t>
      </w:r>
      <w:r w:rsidRPr="002B1D63">
        <w:rPr>
          <w:lang w:val="en-AU" w:eastAsia="zh-CN"/>
        </w:rPr>
        <w:t xml:space="preserve"> </w:t>
      </w:r>
      <w:r w:rsidRPr="002B1D63">
        <w:rPr>
          <w:lang w:val="en-AU" w:eastAsia="ja-JP"/>
        </w:rPr>
        <w:t>OF</w:t>
      </w:r>
      <w:r w:rsidRPr="002B1D63">
        <w:rPr>
          <w:lang w:val="en-AU" w:eastAsia="zh-CN"/>
        </w:rPr>
        <w:t xml:space="preserve"> S</w:t>
      </w:r>
      <w:r w:rsidRPr="002B1D63">
        <w:rPr>
          <w:lang w:val="en-AU" w:eastAsia="ja-JP"/>
        </w:rPr>
        <w:t>ERVICE</w:t>
      </w:r>
      <w:r w:rsidRPr="002B1D63">
        <w:rPr>
          <w:lang w:val="en-AU" w:eastAsia="zh-CN"/>
        </w:rPr>
        <w:t xml:space="preserve"> S</w:t>
      </w:r>
      <w:r w:rsidRPr="002B1D63">
        <w:rPr>
          <w:lang w:val="en-AU" w:eastAsia="ja-JP"/>
        </w:rPr>
        <w:t>UPPLIERS</w:t>
      </w:r>
    </w:p>
    <w:p w:rsidR="00772076" w:rsidRPr="002B1D63" w:rsidRDefault="00772076" w:rsidP="00772076">
      <w:pPr>
        <w:tabs>
          <w:tab w:val="clear" w:pos="720"/>
          <w:tab w:val="left" w:pos="567"/>
        </w:tabs>
        <w:autoSpaceDE w:val="0"/>
        <w:autoSpaceDN w:val="0"/>
        <w:adjustRightInd w:val="0"/>
        <w:jc w:val="left"/>
        <w:rPr>
          <w:iCs/>
          <w:lang w:val="en-AU" w:eastAsia="zh-CN"/>
        </w:rPr>
      </w:pPr>
    </w:p>
    <w:p w:rsidR="00772076" w:rsidRPr="002B1D63" w:rsidRDefault="00772076" w:rsidP="00772076">
      <w:pPr>
        <w:tabs>
          <w:tab w:val="clear" w:pos="720"/>
          <w:tab w:val="left" w:pos="567"/>
        </w:tabs>
        <w:jc w:val="left"/>
        <w:rPr>
          <w:iCs/>
          <w:lang w:val="en-AU"/>
        </w:rPr>
      </w:pPr>
    </w:p>
    <w:p w:rsidR="00772076" w:rsidRPr="002B1D63" w:rsidRDefault="00772076" w:rsidP="00772076">
      <w:pPr>
        <w:tabs>
          <w:tab w:val="clear" w:pos="720"/>
          <w:tab w:val="left" w:pos="567"/>
        </w:tabs>
        <w:jc w:val="center"/>
        <w:rPr>
          <w:lang w:val="en-AU"/>
        </w:rPr>
      </w:pPr>
      <w:r w:rsidRPr="002B1D63">
        <w:rPr>
          <w:lang w:val="en-AU"/>
        </w:rPr>
        <w:t>Article 1</w:t>
      </w:r>
    </w:p>
    <w:p w:rsidR="00772076" w:rsidRPr="002B1D63" w:rsidRDefault="00772076" w:rsidP="00772076">
      <w:pPr>
        <w:tabs>
          <w:tab w:val="clear" w:pos="720"/>
          <w:tab w:val="left" w:pos="567"/>
        </w:tabs>
        <w:jc w:val="center"/>
        <w:rPr>
          <w:lang w:val="en-AU"/>
        </w:rPr>
      </w:pPr>
      <w:r w:rsidRPr="002B1D63">
        <w:rPr>
          <w:lang w:val="en-AU"/>
        </w:rPr>
        <w:t>Scope</w:t>
      </w:r>
    </w:p>
    <w:p w:rsidR="00772076" w:rsidRPr="002B1D63" w:rsidRDefault="00772076" w:rsidP="00772076">
      <w:pPr>
        <w:tabs>
          <w:tab w:val="clear" w:pos="720"/>
          <w:tab w:val="left" w:pos="567"/>
        </w:tabs>
        <w:jc w:val="left"/>
        <w:rPr>
          <w:lang w:val="en-AU"/>
        </w:rPr>
      </w:pPr>
    </w:p>
    <w:p w:rsidR="00772076" w:rsidRPr="002B1D63" w:rsidRDefault="00772076" w:rsidP="00772076">
      <w:pPr>
        <w:tabs>
          <w:tab w:val="clear" w:pos="720"/>
          <w:tab w:val="left" w:pos="567"/>
        </w:tabs>
        <w:jc w:val="left"/>
        <w:rPr>
          <w:lang w:val="en-AU"/>
        </w:rPr>
      </w:pPr>
      <w:r w:rsidRPr="002B1D63">
        <w:rPr>
          <w:lang w:val="en-AU"/>
        </w:rPr>
        <w:tab/>
        <w:t>Further to Articles 9.8 (Trade in Services –</w:t>
      </w:r>
      <w:r w:rsidRPr="002B1D63">
        <w:rPr>
          <w:lang w:val="en-AU" w:eastAsia="ja-JP"/>
        </w:rPr>
        <w:t xml:space="preserve"> </w:t>
      </w:r>
      <w:r w:rsidRPr="002B1D63">
        <w:rPr>
          <w:lang w:val="en-AU"/>
        </w:rPr>
        <w:t>Domestic Regulation) and 9.9 (Trade in Services –</w:t>
      </w:r>
      <w:r w:rsidRPr="002B1D63">
        <w:rPr>
          <w:lang w:val="en-AU" w:eastAsia="ja-JP"/>
        </w:rPr>
        <w:t xml:space="preserve"> </w:t>
      </w:r>
      <w:r w:rsidRPr="002B1D63">
        <w:rPr>
          <w:lang w:val="en-AU"/>
        </w:rPr>
        <w:t>Recognition), this Annex shall apply to measures by a Party relating to recognition of qualifications of service suppliers obtained in the other Party by natural persons of either Party.</w:t>
      </w:r>
    </w:p>
    <w:p w:rsidR="00772076" w:rsidRPr="002B1D63" w:rsidRDefault="00772076" w:rsidP="00772076">
      <w:pPr>
        <w:tabs>
          <w:tab w:val="clear" w:pos="720"/>
          <w:tab w:val="left" w:pos="567"/>
        </w:tabs>
        <w:jc w:val="left"/>
        <w:rPr>
          <w:lang w:val="en-AU"/>
        </w:rPr>
      </w:pPr>
    </w:p>
    <w:p w:rsidR="00772076" w:rsidRPr="002B1D63" w:rsidRDefault="00772076" w:rsidP="00772076">
      <w:pPr>
        <w:tabs>
          <w:tab w:val="clear" w:pos="720"/>
          <w:tab w:val="left" w:pos="567"/>
        </w:tabs>
        <w:jc w:val="left"/>
        <w:rPr>
          <w:lang w:val="en-AU"/>
        </w:rPr>
      </w:pPr>
    </w:p>
    <w:p w:rsidR="00772076" w:rsidRPr="002B1D63" w:rsidRDefault="00772076" w:rsidP="00772076">
      <w:pPr>
        <w:tabs>
          <w:tab w:val="clear" w:pos="720"/>
          <w:tab w:val="left" w:pos="567"/>
        </w:tabs>
        <w:jc w:val="center"/>
        <w:rPr>
          <w:lang w:val="en-AU"/>
        </w:rPr>
      </w:pPr>
      <w:r w:rsidRPr="002B1D63">
        <w:rPr>
          <w:lang w:val="en-AU"/>
        </w:rPr>
        <w:t>Article 2</w:t>
      </w:r>
    </w:p>
    <w:p w:rsidR="00772076" w:rsidRPr="002B1D63" w:rsidRDefault="00772076" w:rsidP="00772076">
      <w:pPr>
        <w:tabs>
          <w:tab w:val="clear" w:pos="720"/>
          <w:tab w:val="left" w:pos="567"/>
        </w:tabs>
        <w:jc w:val="center"/>
        <w:rPr>
          <w:lang w:val="en-AU"/>
        </w:rPr>
      </w:pPr>
      <w:r w:rsidRPr="002B1D63">
        <w:rPr>
          <w:lang w:val="en-AU"/>
        </w:rPr>
        <w:t>Provision of Information</w:t>
      </w:r>
    </w:p>
    <w:p w:rsidR="00772076" w:rsidRPr="002B1D63" w:rsidRDefault="00772076" w:rsidP="00772076">
      <w:pPr>
        <w:tabs>
          <w:tab w:val="clear" w:pos="720"/>
          <w:tab w:val="left" w:pos="567"/>
        </w:tabs>
        <w:jc w:val="left"/>
        <w:rPr>
          <w:lang w:val="en-AU"/>
        </w:rPr>
      </w:pPr>
    </w:p>
    <w:p w:rsidR="00772076" w:rsidRPr="002B1D63" w:rsidRDefault="00772076" w:rsidP="00772076">
      <w:pPr>
        <w:tabs>
          <w:tab w:val="clear" w:pos="720"/>
          <w:tab w:val="left" w:pos="567"/>
        </w:tabs>
        <w:jc w:val="left"/>
        <w:rPr>
          <w:lang w:val="en-AU"/>
        </w:rPr>
      </w:pPr>
      <w:r w:rsidRPr="002B1D63">
        <w:rPr>
          <w:lang w:val="en-AU"/>
        </w:rPr>
        <w:t>1.</w:t>
      </w:r>
      <w:r w:rsidRPr="002B1D63">
        <w:rPr>
          <w:lang w:val="en-AU"/>
        </w:rPr>
        <w:tab/>
        <w:t xml:space="preserve">Each Party shall designate one or more enquiry points that provide, on request </w:t>
      </w:r>
      <w:r w:rsidRPr="002B1D63">
        <w:rPr>
          <w:lang w:val="en-AU" w:eastAsia="ja-JP"/>
        </w:rPr>
        <w:t>of</w:t>
      </w:r>
      <w:r w:rsidRPr="002B1D63">
        <w:rPr>
          <w:lang w:val="en-AU"/>
        </w:rPr>
        <w:t xml:space="preserve"> a service supplier of the other Party, information, including reference to the applicable legal basis, on:</w:t>
      </w:r>
    </w:p>
    <w:p w:rsidR="00772076" w:rsidRPr="002B1D63" w:rsidRDefault="00772076" w:rsidP="00772076">
      <w:pPr>
        <w:tabs>
          <w:tab w:val="clear" w:pos="720"/>
          <w:tab w:val="left" w:pos="567"/>
        </w:tabs>
        <w:jc w:val="left"/>
        <w:rPr>
          <w:lang w:val="en-AU"/>
        </w:rPr>
      </w:pPr>
    </w:p>
    <w:p w:rsidR="00772076" w:rsidRPr="002B1D63" w:rsidRDefault="00772076" w:rsidP="00772076">
      <w:pPr>
        <w:tabs>
          <w:tab w:val="clear" w:pos="720"/>
          <w:tab w:val="left" w:pos="567"/>
        </w:tabs>
        <w:ind w:left="1418" w:hanging="851"/>
        <w:jc w:val="left"/>
        <w:rPr>
          <w:lang w:val="en-AU"/>
        </w:rPr>
      </w:pPr>
      <w:r w:rsidRPr="002B1D63">
        <w:rPr>
          <w:lang w:val="en-AU"/>
        </w:rPr>
        <w:t>(a)</w:t>
      </w:r>
      <w:r w:rsidRPr="002B1D63">
        <w:rPr>
          <w:lang w:val="en-AU"/>
        </w:rPr>
        <w:tab/>
        <w:t>standards and criteria for the licensing and certification of professionals, which may include requirements regarding education, examinations, experience, conduct and ethics, professional development and re</w:t>
      </w:r>
      <w:r w:rsidRPr="002B1D63">
        <w:rPr>
          <w:lang w:val="en-AU"/>
        </w:rPr>
        <w:noBreakHyphen/>
        <w:t>certification, scope of practice, local knowledge, and consumer protection;</w:t>
      </w:r>
    </w:p>
    <w:p w:rsidR="00772076" w:rsidRPr="002B1D63" w:rsidRDefault="00772076" w:rsidP="00772076">
      <w:pPr>
        <w:tabs>
          <w:tab w:val="clear" w:pos="720"/>
          <w:tab w:val="left" w:pos="567"/>
        </w:tabs>
        <w:ind w:left="1418" w:hanging="851"/>
        <w:jc w:val="left"/>
        <w:rPr>
          <w:lang w:val="en-AU"/>
        </w:rPr>
      </w:pPr>
    </w:p>
    <w:p w:rsidR="00772076" w:rsidRPr="002B1D63" w:rsidRDefault="00772076" w:rsidP="00772076">
      <w:pPr>
        <w:tabs>
          <w:tab w:val="clear" w:pos="720"/>
          <w:tab w:val="left" w:pos="567"/>
        </w:tabs>
        <w:ind w:left="1418" w:hanging="851"/>
        <w:jc w:val="left"/>
        <w:rPr>
          <w:lang w:val="en-AU"/>
        </w:rPr>
      </w:pPr>
      <w:r w:rsidRPr="002B1D63">
        <w:rPr>
          <w:lang w:val="en-AU"/>
        </w:rPr>
        <w:t>(b)</w:t>
      </w:r>
      <w:r w:rsidRPr="002B1D63">
        <w:rPr>
          <w:lang w:val="en-AU"/>
        </w:rPr>
        <w:tab/>
      </w:r>
      <w:proofErr w:type="gramStart"/>
      <w:r w:rsidRPr="002B1D63">
        <w:rPr>
          <w:lang w:val="en-AU"/>
        </w:rPr>
        <w:t>the</w:t>
      </w:r>
      <w:proofErr w:type="gramEnd"/>
      <w:r w:rsidRPr="002B1D63">
        <w:rPr>
          <w:lang w:val="en-AU"/>
        </w:rPr>
        <w:t xml:space="preserve"> appropriate competent authority or other body to consult regarding the standards and criteria referred to in subparagraph (a); and</w:t>
      </w:r>
    </w:p>
    <w:p w:rsidR="00772076" w:rsidRPr="002B1D63" w:rsidRDefault="00772076" w:rsidP="00772076">
      <w:pPr>
        <w:tabs>
          <w:tab w:val="clear" w:pos="720"/>
          <w:tab w:val="left" w:pos="567"/>
        </w:tabs>
        <w:ind w:left="1418" w:hanging="851"/>
        <w:jc w:val="left"/>
        <w:rPr>
          <w:lang w:val="en-AU"/>
        </w:rPr>
      </w:pPr>
    </w:p>
    <w:p w:rsidR="00772076" w:rsidRPr="002B1D63" w:rsidRDefault="00772076" w:rsidP="00772076">
      <w:pPr>
        <w:tabs>
          <w:tab w:val="clear" w:pos="720"/>
          <w:tab w:val="left" w:pos="567"/>
        </w:tabs>
        <w:ind w:left="1418" w:hanging="851"/>
        <w:jc w:val="left"/>
        <w:rPr>
          <w:lang w:val="en-AU"/>
        </w:rPr>
      </w:pPr>
      <w:r w:rsidRPr="002B1D63">
        <w:rPr>
          <w:lang w:val="en-AU"/>
        </w:rPr>
        <w:t>(c)</w:t>
      </w:r>
      <w:r w:rsidRPr="002B1D63">
        <w:rPr>
          <w:lang w:val="en-AU"/>
        </w:rPr>
        <w:tab/>
      </w:r>
      <w:proofErr w:type="gramStart"/>
      <w:r w:rsidRPr="002B1D63">
        <w:rPr>
          <w:lang w:val="en-AU"/>
        </w:rPr>
        <w:t>requirements</w:t>
      </w:r>
      <w:proofErr w:type="gramEnd"/>
      <w:r w:rsidRPr="002B1D63">
        <w:rPr>
          <w:lang w:val="en-AU"/>
        </w:rPr>
        <w:t xml:space="preserve"> and procedures to obtain, renew or retain any licence or qualification requirements, at least for regulated services.</w:t>
      </w:r>
    </w:p>
    <w:p w:rsidR="00772076" w:rsidRPr="002B1D63" w:rsidRDefault="00772076" w:rsidP="00772076">
      <w:pPr>
        <w:tabs>
          <w:tab w:val="clear" w:pos="720"/>
          <w:tab w:val="left" w:pos="567"/>
        </w:tabs>
        <w:jc w:val="left"/>
        <w:rPr>
          <w:lang w:val="en-AU"/>
        </w:rPr>
      </w:pPr>
    </w:p>
    <w:p w:rsidR="00772076" w:rsidRPr="002B1D63" w:rsidRDefault="00772076" w:rsidP="00772076">
      <w:pPr>
        <w:tabs>
          <w:tab w:val="clear" w:pos="720"/>
          <w:tab w:val="left" w:pos="567"/>
        </w:tabs>
        <w:jc w:val="left"/>
        <w:rPr>
          <w:lang w:val="en-AU"/>
        </w:rPr>
      </w:pPr>
      <w:r w:rsidRPr="002B1D63">
        <w:rPr>
          <w:lang w:val="en-AU"/>
        </w:rPr>
        <w:t>2.</w:t>
      </w:r>
      <w:r w:rsidRPr="002B1D63">
        <w:rPr>
          <w:lang w:val="en-AU"/>
        </w:rPr>
        <w:tab/>
        <w:t>Each Party shall provide the other Party with the contact details of such enquiry points.</w:t>
      </w:r>
    </w:p>
    <w:p w:rsidR="00772076" w:rsidRPr="002B1D63" w:rsidRDefault="00772076" w:rsidP="00772076">
      <w:pPr>
        <w:tabs>
          <w:tab w:val="clear" w:pos="720"/>
          <w:tab w:val="left" w:pos="567"/>
        </w:tabs>
        <w:jc w:val="left"/>
        <w:rPr>
          <w:lang w:val="en-AU"/>
        </w:rPr>
      </w:pPr>
    </w:p>
    <w:p w:rsidR="00772076" w:rsidRPr="002B1D63" w:rsidRDefault="00772076" w:rsidP="00772076">
      <w:pPr>
        <w:tabs>
          <w:tab w:val="clear" w:pos="720"/>
          <w:tab w:val="left" w:pos="567"/>
        </w:tabs>
        <w:jc w:val="left"/>
        <w:rPr>
          <w:lang w:val="en-AU"/>
        </w:rPr>
      </w:pPr>
      <w:r w:rsidRPr="002B1D63">
        <w:rPr>
          <w:lang w:val="en-AU"/>
        </w:rPr>
        <w:t>3.</w:t>
      </w:r>
      <w:r w:rsidRPr="002B1D63">
        <w:rPr>
          <w:lang w:val="en-AU"/>
        </w:rPr>
        <w:tab/>
        <w:t xml:space="preserve">On request </w:t>
      </w:r>
      <w:r w:rsidRPr="002B1D63">
        <w:rPr>
          <w:lang w:val="en-AU" w:eastAsia="ja-JP"/>
        </w:rPr>
        <w:t>of</w:t>
      </w:r>
      <w:r w:rsidRPr="002B1D63">
        <w:rPr>
          <w:lang w:val="en-AU"/>
        </w:rPr>
        <w:t xml:space="preserve"> the other Party, a Party shall hold consultations regarding its procedures for recognising qualifications and provide any relevant information regarding recognition to the other Party.</w:t>
      </w:r>
    </w:p>
    <w:p w:rsidR="00772076" w:rsidRPr="002B1D63" w:rsidRDefault="00772076" w:rsidP="00772076">
      <w:pPr>
        <w:tabs>
          <w:tab w:val="clear" w:pos="720"/>
          <w:tab w:val="left" w:pos="567"/>
        </w:tabs>
        <w:jc w:val="left"/>
        <w:rPr>
          <w:lang w:val="en-AU"/>
        </w:rPr>
      </w:pPr>
    </w:p>
    <w:p w:rsidR="00772076" w:rsidRPr="002B1D63" w:rsidRDefault="00772076" w:rsidP="00772076">
      <w:pPr>
        <w:tabs>
          <w:tab w:val="clear" w:pos="720"/>
          <w:tab w:val="left" w:pos="567"/>
        </w:tabs>
        <w:jc w:val="left"/>
        <w:rPr>
          <w:lang w:val="en-AU"/>
        </w:rPr>
      </w:pPr>
    </w:p>
    <w:p w:rsidR="002B1D63" w:rsidRDefault="002B1D63">
      <w:pPr>
        <w:tabs>
          <w:tab w:val="clear" w:pos="720"/>
        </w:tabs>
        <w:jc w:val="left"/>
        <w:rPr>
          <w:lang w:val="en-AU"/>
        </w:rPr>
      </w:pPr>
      <w:r>
        <w:rPr>
          <w:lang w:val="en-AU"/>
        </w:rPr>
        <w:br w:type="page"/>
      </w:r>
    </w:p>
    <w:p w:rsidR="00772076" w:rsidRPr="002B1D63" w:rsidRDefault="00772076" w:rsidP="00772076">
      <w:pPr>
        <w:tabs>
          <w:tab w:val="clear" w:pos="720"/>
          <w:tab w:val="left" w:pos="567"/>
        </w:tabs>
        <w:jc w:val="center"/>
        <w:rPr>
          <w:lang w:val="en-AU"/>
        </w:rPr>
      </w:pPr>
      <w:r w:rsidRPr="002B1D63">
        <w:rPr>
          <w:lang w:val="en-AU"/>
        </w:rPr>
        <w:lastRenderedPageBreak/>
        <w:t>Article 3</w:t>
      </w:r>
    </w:p>
    <w:p w:rsidR="00772076" w:rsidRPr="002B1D63" w:rsidRDefault="00772076" w:rsidP="00772076">
      <w:pPr>
        <w:tabs>
          <w:tab w:val="clear" w:pos="720"/>
          <w:tab w:val="left" w:pos="567"/>
        </w:tabs>
        <w:jc w:val="center"/>
        <w:rPr>
          <w:lang w:val="en-AU"/>
        </w:rPr>
      </w:pPr>
      <w:r w:rsidRPr="002B1D63">
        <w:rPr>
          <w:lang w:val="en-AU"/>
        </w:rPr>
        <w:t>Recognition of Qualifications</w:t>
      </w:r>
    </w:p>
    <w:p w:rsidR="00772076" w:rsidRPr="002B1D63" w:rsidRDefault="00772076" w:rsidP="00772076">
      <w:pPr>
        <w:tabs>
          <w:tab w:val="clear" w:pos="720"/>
          <w:tab w:val="left" w:pos="567"/>
        </w:tabs>
        <w:jc w:val="left"/>
        <w:rPr>
          <w:lang w:val="en-AU"/>
        </w:rPr>
      </w:pPr>
    </w:p>
    <w:p w:rsidR="00772076" w:rsidRPr="002B1D63" w:rsidRDefault="00772076" w:rsidP="00772076">
      <w:pPr>
        <w:tabs>
          <w:tab w:val="clear" w:pos="720"/>
          <w:tab w:val="left" w:pos="567"/>
        </w:tabs>
        <w:jc w:val="left"/>
        <w:rPr>
          <w:lang w:val="en-AU"/>
        </w:rPr>
      </w:pPr>
      <w:r w:rsidRPr="002B1D63">
        <w:rPr>
          <w:lang w:val="en-AU"/>
        </w:rPr>
        <w:t>1.</w:t>
      </w:r>
      <w:r w:rsidRPr="002B1D63">
        <w:rPr>
          <w:lang w:val="en-AU"/>
        </w:rPr>
        <w:tab/>
        <w:t xml:space="preserve">Each Party shall encourage the competent authorities and the professional bodies in its Area to recognise qualifications of services suppliers obtained in the other Party, based </w:t>
      </w:r>
      <w:r w:rsidRPr="002B1D63">
        <w:rPr>
          <w:i/>
          <w:iCs/>
          <w:lang w:val="en-AU"/>
        </w:rPr>
        <w:t>inter alia</w:t>
      </w:r>
      <w:r w:rsidRPr="002B1D63">
        <w:rPr>
          <w:lang w:val="en-AU"/>
        </w:rPr>
        <w:t xml:space="preserve"> upon equivalence, for the purposes of the fulfilment, in whole or in part, of its relevant standards or criteria for the authorisation, licensing or certification of service suppliers, in particular in the sector of professional services. Such recognition could be accorded unilaterally, or through bilateral or multilateral recognition agreements or arrangements.</w:t>
      </w:r>
    </w:p>
    <w:p w:rsidR="00772076" w:rsidRPr="002B1D63" w:rsidRDefault="00772076" w:rsidP="00772076">
      <w:pPr>
        <w:tabs>
          <w:tab w:val="clear" w:pos="720"/>
          <w:tab w:val="left" w:pos="567"/>
        </w:tabs>
        <w:jc w:val="left"/>
        <w:rPr>
          <w:lang w:val="en-AU"/>
        </w:rPr>
      </w:pPr>
    </w:p>
    <w:p w:rsidR="00772076" w:rsidRPr="002B1D63" w:rsidRDefault="00772076" w:rsidP="00772076">
      <w:pPr>
        <w:tabs>
          <w:tab w:val="clear" w:pos="720"/>
          <w:tab w:val="left" w:pos="567"/>
        </w:tabs>
        <w:jc w:val="left"/>
        <w:rPr>
          <w:lang w:val="en-AU" w:eastAsia="ja-JP"/>
        </w:rPr>
      </w:pPr>
      <w:r w:rsidRPr="002B1D63">
        <w:rPr>
          <w:lang w:val="en-AU"/>
        </w:rPr>
        <w:t>2.</w:t>
      </w:r>
      <w:r w:rsidRPr="002B1D63">
        <w:rPr>
          <w:lang w:val="en-AU"/>
        </w:rPr>
        <w:tab/>
        <w:t xml:space="preserve">Each Party shall support mutual recognition initiatives led by professional bodies of the Party </w:t>
      </w:r>
      <w:r w:rsidRPr="002B1D63">
        <w:rPr>
          <w:lang w:val="en-AU" w:eastAsia="ja-JP"/>
        </w:rPr>
        <w:t xml:space="preserve">subject to its available </w:t>
      </w:r>
      <w:r w:rsidRPr="002B1D63">
        <w:rPr>
          <w:lang w:val="en-AU"/>
        </w:rPr>
        <w:t>resources.</w:t>
      </w:r>
    </w:p>
    <w:p w:rsidR="00913F38" w:rsidRPr="002B1D63" w:rsidRDefault="00913F38"/>
    <w:sectPr w:rsidR="00913F38" w:rsidRPr="002B1D63" w:rsidSect="000A320E">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1701" w:header="709" w:footer="709" w:gutter="0"/>
      <w:pgNumType w:start="10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8A9" w:rsidRDefault="000108A9" w:rsidP="000108A9">
      <w:r>
        <w:separator/>
      </w:r>
    </w:p>
  </w:endnote>
  <w:endnote w:type="continuationSeparator" w:id="0">
    <w:p w:rsidR="000108A9" w:rsidRDefault="000108A9" w:rsidP="0001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D79" w:rsidRDefault="009D2D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060628"/>
      <w:docPartObj>
        <w:docPartGallery w:val="Page Numbers (Bottom of Page)"/>
        <w:docPartUnique/>
      </w:docPartObj>
    </w:sdtPr>
    <w:sdtEndPr>
      <w:rPr>
        <w:rFonts w:ascii="Courier New" w:hAnsi="Courier New" w:cs="Courier New"/>
        <w:noProof/>
      </w:rPr>
    </w:sdtEndPr>
    <w:sdtContent>
      <w:p w:rsidR="000108A9" w:rsidRPr="000108A9" w:rsidRDefault="000108A9">
        <w:pPr>
          <w:pStyle w:val="Footer"/>
          <w:jc w:val="center"/>
          <w:rPr>
            <w:rFonts w:ascii="Courier New" w:hAnsi="Courier New" w:cs="Courier New"/>
          </w:rPr>
        </w:pPr>
        <w:r w:rsidRPr="002B1D63">
          <w:fldChar w:fldCharType="begin"/>
        </w:r>
        <w:r w:rsidRPr="002B1D63">
          <w:instrText xml:space="preserve"> PAGE   \* MERGEFORMAT </w:instrText>
        </w:r>
        <w:r w:rsidRPr="002B1D63">
          <w:fldChar w:fldCharType="separate"/>
        </w:r>
        <w:r w:rsidR="000A320E">
          <w:rPr>
            <w:noProof/>
          </w:rPr>
          <w:t>1084</w:t>
        </w:r>
        <w:r w:rsidRPr="002B1D63">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D79" w:rsidRDefault="009D2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8A9" w:rsidRDefault="000108A9" w:rsidP="000108A9">
      <w:r>
        <w:separator/>
      </w:r>
    </w:p>
  </w:footnote>
  <w:footnote w:type="continuationSeparator" w:id="0">
    <w:p w:rsidR="000108A9" w:rsidRDefault="000108A9" w:rsidP="00010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D79" w:rsidRDefault="009D2D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D79" w:rsidRDefault="009D2D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D79" w:rsidRDefault="009D2D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076"/>
    <w:rsid w:val="00004878"/>
    <w:rsid w:val="000108A9"/>
    <w:rsid w:val="0006767D"/>
    <w:rsid w:val="000A320E"/>
    <w:rsid w:val="000E7AD0"/>
    <w:rsid w:val="00143A3D"/>
    <w:rsid w:val="002A3E01"/>
    <w:rsid w:val="002B1D63"/>
    <w:rsid w:val="00344A74"/>
    <w:rsid w:val="00353305"/>
    <w:rsid w:val="004213DA"/>
    <w:rsid w:val="004F121D"/>
    <w:rsid w:val="00536998"/>
    <w:rsid w:val="005C3D38"/>
    <w:rsid w:val="00614E2E"/>
    <w:rsid w:val="00772076"/>
    <w:rsid w:val="007F5ADA"/>
    <w:rsid w:val="00824BFB"/>
    <w:rsid w:val="00867168"/>
    <w:rsid w:val="00911D03"/>
    <w:rsid w:val="00913F38"/>
    <w:rsid w:val="00952ED4"/>
    <w:rsid w:val="00983E53"/>
    <w:rsid w:val="009D2D79"/>
    <w:rsid w:val="00A14383"/>
    <w:rsid w:val="00A63BFB"/>
    <w:rsid w:val="00A97EE1"/>
    <w:rsid w:val="00B62778"/>
    <w:rsid w:val="00C17DEB"/>
    <w:rsid w:val="00C5592D"/>
    <w:rsid w:val="00C63A5F"/>
    <w:rsid w:val="00D03DA8"/>
    <w:rsid w:val="00D64185"/>
    <w:rsid w:val="00DF3C3D"/>
    <w:rsid w:val="00EC7B79"/>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076"/>
    <w:pPr>
      <w:tabs>
        <w:tab w:val="left" w:pos="720"/>
      </w:tabs>
      <w:jc w:val="both"/>
    </w:pPr>
    <w:rPr>
      <w:rFonts w:eastAsiaTheme="minorEastAsia"/>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8A9"/>
    <w:pPr>
      <w:tabs>
        <w:tab w:val="clear" w:pos="720"/>
        <w:tab w:val="center" w:pos="4513"/>
        <w:tab w:val="right" w:pos="9026"/>
      </w:tabs>
    </w:pPr>
  </w:style>
  <w:style w:type="character" w:customStyle="1" w:styleId="HeaderChar">
    <w:name w:val="Header Char"/>
    <w:basedOn w:val="DefaultParagraphFont"/>
    <w:link w:val="Header"/>
    <w:rsid w:val="000108A9"/>
    <w:rPr>
      <w:rFonts w:eastAsiaTheme="minorEastAsia"/>
      <w:sz w:val="24"/>
      <w:szCs w:val="24"/>
      <w:lang w:val="en-GB" w:eastAsia="en-US"/>
    </w:rPr>
  </w:style>
  <w:style w:type="paragraph" w:styleId="Footer">
    <w:name w:val="footer"/>
    <w:basedOn w:val="Normal"/>
    <w:link w:val="FooterChar"/>
    <w:uiPriority w:val="99"/>
    <w:rsid w:val="000108A9"/>
    <w:pPr>
      <w:tabs>
        <w:tab w:val="clear" w:pos="720"/>
        <w:tab w:val="center" w:pos="4513"/>
        <w:tab w:val="right" w:pos="9026"/>
      </w:tabs>
    </w:pPr>
  </w:style>
  <w:style w:type="character" w:customStyle="1" w:styleId="FooterChar">
    <w:name w:val="Footer Char"/>
    <w:basedOn w:val="DefaultParagraphFont"/>
    <w:link w:val="Footer"/>
    <w:uiPriority w:val="99"/>
    <w:rsid w:val="000108A9"/>
    <w:rPr>
      <w:rFonts w:eastAsiaTheme="minorEastAsia"/>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076"/>
    <w:pPr>
      <w:tabs>
        <w:tab w:val="left" w:pos="720"/>
      </w:tabs>
      <w:jc w:val="both"/>
    </w:pPr>
    <w:rPr>
      <w:rFonts w:eastAsiaTheme="minorEastAsia"/>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8A9"/>
    <w:pPr>
      <w:tabs>
        <w:tab w:val="clear" w:pos="720"/>
        <w:tab w:val="center" w:pos="4513"/>
        <w:tab w:val="right" w:pos="9026"/>
      </w:tabs>
    </w:pPr>
  </w:style>
  <w:style w:type="character" w:customStyle="1" w:styleId="HeaderChar">
    <w:name w:val="Header Char"/>
    <w:basedOn w:val="DefaultParagraphFont"/>
    <w:link w:val="Header"/>
    <w:rsid w:val="000108A9"/>
    <w:rPr>
      <w:rFonts w:eastAsiaTheme="minorEastAsia"/>
      <w:sz w:val="24"/>
      <w:szCs w:val="24"/>
      <w:lang w:val="en-GB" w:eastAsia="en-US"/>
    </w:rPr>
  </w:style>
  <w:style w:type="paragraph" w:styleId="Footer">
    <w:name w:val="footer"/>
    <w:basedOn w:val="Normal"/>
    <w:link w:val="FooterChar"/>
    <w:uiPriority w:val="99"/>
    <w:rsid w:val="000108A9"/>
    <w:pPr>
      <w:tabs>
        <w:tab w:val="clear" w:pos="720"/>
        <w:tab w:val="center" w:pos="4513"/>
        <w:tab w:val="right" w:pos="9026"/>
      </w:tabs>
    </w:pPr>
  </w:style>
  <w:style w:type="character" w:customStyle="1" w:styleId="FooterChar">
    <w:name w:val="Footer Char"/>
    <w:basedOn w:val="DefaultParagraphFont"/>
    <w:link w:val="Footer"/>
    <w:uiPriority w:val="99"/>
    <w:rsid w:val="000108A9"/>
    <w:rPr>
      <w:rFonts w:eastAsiaTheme="minorEastAsia"/>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5857669A53844A9EF3AF2F64556CD2" ma:contentTypeVersion="1" ma:contentTypeDescription="Create a new document." ma:contentTypeScope="" ma:versionID="d44869f35cd5719eee5fc4b77f4ed6d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F45271-9313-4600-97C1-CDA04ECBE270}"/>
</file>

<file path=customXml/itemProps2.xml><?xml version="1.0" encoding="utf-8"?>
<ds:datastoreItem xmlns:ds="http://schemas.openxmlformats.org/officeDocument/2006/customXml" ds:itemID="{5C3A24DB-6A06-42D9-80F2-72ABB2F83FDB}"/>
</file>

<file path=customXml/itemProps3.xml><?xml version="1.0" encoding="utf-8"?>
<ds:datastoreItem xmlns:ds="http://schemas.openxmlformats.org/officeDocument/2006/customXml" ds:itemID="{FC4F5BA2-F1DF-4B8C-A86C-E6591593588F}"/>
</file>

<file path=docProps/app.xml><?xml version="1.0" encoding="utf-8"?>
<Properties xmlns="http://schemas.openxmlformats.org/officeDocument/2006/extended-properties" xmlns:vt="http://schemas.openxmlformats.org/officeDocument/2006/docPropsVTypes">
  <Template>28083EA7</Template>
  <TotalTime>0</TotalTime>
  <Pages>2</Pages>
  <Words>322</Words>
  <Characters>1915</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2014-07-01T00:35:00Z</dcterms:created>
  <dcterms:modified xsi:type="dcterms:W3CDTF">2014-07-02T01:20:00Z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0x0101003A5857669A53844A9EF3AF2F64556CD2</vt:lpwstr>
  </property>
  <property fmtid="{D5CDD505-2E9C-101B-9397-08002B2CF9AE}" pid="3" name="Order">
    <vt:r8>4500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