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807A8" w14:textId="77777777" w:rsidR="00A40C84" w:rsidRPr="00F969BF" w:rsidRDefault="00A40C84" w:rsidP="003334F7">
      <w:pPr>
        <w:pStyle w:val="Heading1"/>
        <w:rPr>
          <w:b w:val="0"/>
        </w:rPr>
      </w:pPr>
      <w:r w:rsidRPr="00F969BF">
        <w:t>MANAGEMENT RESPONSE</w:t>
      </w:r>
    </w:p>
    <w:p w14:paraId="2851BB02" w14:textId="3B54C089" w:rsidR="00CC1B69" w:rsidRPr="009B7ACC" w:rsidRDefault="00CC1B69" w:rsidP="009B7ACC">
      <w:pPr>
        <w:autoSpaceDE w:val="0"/>
        <w:autoSpaceDN w:val="0"/>
        <w:adjustRightInd w:val="0"/>
        <w:spacing w:after="240" w:line="240" w:lineRule="auto"/>
        <w:rPr>
          <w:rFonts w:asciiTheme="majorHAnsi" w:hAnsiTheme="majorHAnsi" w:cstheme="majorHAnsi"/>
          <w:b/>
          <w:bCs/>
          <w:sz w:val="28"/>
          <w:szCs w:val="28"/>
        </w:rPr>
      </w:pPr>
      <w:r w:rsidRPr="00F969BF">
        <w:rPr>
          <w:rFonts w:asciiTheme="majorHAnsi" w:hAnsiTheme="majorHAnsi" w:cstheme="majorHAnsi"/>
          <w:b/>
          <w:bCs/>
          <w:sz w:val="28"/>
          <w:szCs w:val="28"/>
        </w:rPr>
        <w:t>Mid-term Review of the Marawi Recovery Project</w:t>
      </w:r>
    </w:p>
    <w:p w14:paraId="06637A8E" w14:textId="01F4DD94" w:rsidR="00514B32" w:rsidRPr="00F969BF" w:rsidRDefault="00514B32" w:rsidP="009B7ACC">
      <w:pPr>
        <w:pStyle w:val="Heading2"/>
        <w:spacing w:before="240" w:after="240"/>
        <w:rPr>
          <w:b w:val="0"/>
        </w:rPr>
      </w:pPr>
      <w:r w:rsidRPr="00F969BF">
        <w:t>Overview</w:t>
      </w:r>
    </w:p>
    <w:p w14:paraId="19F02822" w14:textId="5818D081" w:rsidR="00720D9A" w:rsidRPr="007B0C0E" w:rsidRDefault="00514B32" w:rsidP="007B0C0E">
      <w:pPr>
        <w:autoSpaceDE w:val="0"/>
        <w:autoSpaceDN w:val="0"/>
        <w:adjustRightInd w:val="0"/>
        <w:spacing w:after="240" w:line="240" w:lineRule="auto"/>
        <w:rPr>
          <w:rFonts w:cstheme="minorHAnsi"/>
        </w:rPr>
      </w:pPr>
      <w:r w:rsidRPr="007B0C0E">
        <w:rPr>
          <w:rFonts w:cstheme="minorHAnsi"/>
        </w:rPr>
        <w:t>The Marawi Recovery Project (MRP)</w:t>
      </w:r>
      <w:r w:rsidR="009E1975" w:rsidRPr="007B0C0E">
        <w:rPr>
          <w:rFonts w:cstheme="minorHAnsi"/>
        </w:rPr>
        <w:t xml:space="preserve"> is a four-year project </w:t>
      </w:r>
      <w:r w:rsidR="00720D9A" w:rsidRPr="007B0C0E">
        <w:rPr>
          <w:rFonts w:cstheme="minorHAnsi"/>
        </w:rPr>
        <w:t>(</w:t>
      </w:r>
      <w:r w:rsidR="009E1975" w:rsidRPr="007B0C0E">
        <w:rPr>
          <w:rFonts w:cstheme="minorHAnsi"/>
        </w:rPr>
        <w:t>2017</w:t>
      </w:r>
      <w:r w:rsidR="00720D9A" w:rsidRPr="007B0C0E">
        <w:rPr>
          <w:rFonts w:cstheme="minorHAnsi"/>
        </w:rPr>
        <w:t>-</w:t>
      </w:r>
      <w:r w:rsidR="009E1975" w:rsidRPr="007B0C0E">
        <w:rPr>
          <w:rFonts w:cstheme="minorHAnsi"/>
        </w:rPr>
        <w:t>2021</w:t>
      </w:r>
      <w:r w:rsidR="00720D9A" w:rsidRPr="007B0C0E">
        <w:rPr>
          <w:rFonts w:cstheme="minorHAnsi"/>
        </w:rPr>
        <w:t>)</w:t>
      </w:r>
      <w:r w:rsidR="009E1975" w:rsidRPr="007B0C0E">
        <w:rPr>
          <w:rFonts w:cstheme="minorHAnsi"/>
        </w:rPr>
        <w:t xml:space="preserve"> </w:t>
      </w:r>
      <w:r w:rsidR="00720D9A" w:rsidRPr="007B0C0E">
        <w:rPr>
          <w:rFonts w:cstheme="minorHAnsi"/>
        </w:rPr>
        <w:t xml:space="preserve">that supports </w:t>
      </w:r>
      <w:r w:rsidR="00B560F3" w:rsidRPr="007B0C0E">
        <w:rPr>
          <w:rFonts w:cstheme="minorHAnsi"/>
        </w:rPr>
        <w:t xml:space="preserve">the </w:t>
      </w:r>
      <w:r w:rsidR="00720D9A" w:rsidRPr="007B0C0E">
        <w:rPr>
          <w:rFonts w:cstheme="minorHAnsi"/>
        </w:rPr>
        <w:t>protection</w:t>
      </w:r>
      <w:r w:rsidR="00B560F3" w:rsidRPr="007B0C0E">
        <w:rPr>
          <w:rFonts w:cstheme="minorHAnsi"/>
        </w:rPr>
        <w:t>,</w:t>
      </w:r>
      <w:r w:rsidR="00720D9A" w:rsidRPr="007B0C0E">
        <w:rPr>
          <w:rFonts w:cstheme="minorHAnsi"/>
        </w:rPr>
        <w:t xml:space="preserve"> psychosocial </w:t>
      </w:r>
      <w:r w:rsidR="00B560F3" w:rsidRPr="007B0C0E">
        <w:rPr>
          <w:rFonts w:cstheme="minorHAnsi"/>
        </w:rPr>
        <w:t xml:space="preserve">needs, </w:t>
      </w:r>
      <w:r w:rsidR="00720D9A" w:rsidRPr="007B0C0E">
        <w:rPr>
          <w:rFonts w:cstheme="minorHAnsi"/>
        </w:rPr>
        <w:t xml:space="preserve">and economic recovery </w:t>
      </w:r>
      <w:r w:rsidR="009E1975" w:rsidRPr="007B0C0E">
        <w:rPr>
          <w:rFonts w:cstheme="minorHAnsi"/>
        </w:rPr>
        <w:t>of 6,500 families (32,500 persons) affected and displaced by the Marawi c</w:t>
      </w:r>
      <w:r w:rsidR="00720D9A" w:rsidRPr="007B0C0E">
        <w:rPr>
          <w:rFonts w:cstheme="minorHAnsi"/>
        </w:rPr>
        <w:t>risis</w:t>
      </w:r>
      <w:r w:rsidR="009E1975" w:rsidRPr="007B0C0E">
        <w:rPr>
          <w:rFonts w:cstheme="minorHAnsi"/>
        </w:rPr>
        <w:t xml:space="preserve">. </w:t>
      </w:r>
      <w:r w:rsidR="00720D9A" w:rsidRPr="007B0C0E">
        <w:rPr>
          <w:rFonts w:cstheme="minorHAnsi"/>
        </w:rPr>
        <w:t>The project is implemented in Marawi City and six neighbouring municipalities in Lanao del Sur</w:t>
      </w:r>
      <w:r w:rsidR="00680249" w:rsidRPr="007B0C0E">
        <w:rPr>
          <w:rFonts w:cstheme="minorHAnsi"/>
        </w:rPr>
        <w:t xml:space="preserve"> (LDS)</w:t>
      </w:r>
      <w:r w:rsidR="00B560F3" w:rsidRPr="007B0C0E">
        <w:rPr>
          <w:rFonts w:cstheme="minorHAnsi"/>
        </w:rPr>
        <w:t>,</w:t>
      </w:r>
      <w:r w:rsidR="00720D9A" w:rsidRPr="007B0C0E">
        <w:rPr>
          <w:rFonts w:cstheme="minorHAnsi"/>
        </w:rPr>
        <w:t xml:space="preserve"> through Community and Family Services International</w:t>
      </w:r>
      <w:r w:rsidR="00047FA4" w:rsidRPr="007B0C0E">
        <w:rPr>
          <w:rFonts w:cstheme="minorHAnsi"/>
        </w:rPr>
        <w:t xml:space="preserve"> (CFSI)</w:t>
      </w:r>
      <w:r w:rsidR="00720D9A" w:rsidRPr="007B0C0E">
        <w:rPr>
          <w:rFonts w:cstheme="minorHAnsi"/>
        </w:rPr>
        <w:t xml:space="preserve">, with support from the Australian </w:t>
      </w:r>
      <w:r w:rsidR="00062A2D" w:rsidRPr="007B0C0E">
        <w:rPr>
          <w:rFonts w:cstheme="minorHAnsi"/>
        </w:rPr>
        <w:t xml:space="preserve">Government - </w:t>
      </w:r>
      <w:r w:rsidR="00720D9A" w:rsidRPr="007B0C0E">
        <w:rPr>
          <w:rFonts w:cstheme="minorHAnsi"/>
        </w:rPr>
        <w:t>Department of Foreign Affairs and Trade (DFAT).</w:t>
      </w:r>
    </w:p>
    <w:p w14:paraId="16A92746" w14:textId="4B03C705" w:rsidR="00720D9A" w:rsidRPr="007B0C0E" w:rsidRDefault="00720D9A" w:rsidP="007B0C0E">
      <w:pPr>
        <w:autoSpaceDE w:val="0"/>
        <w:autoSpaceDN w:val="0"/>
        <w:adjustRightInd w:val="0"/>
        <w:spacing w:after="240" w:line="240" w:lineRule="auto"/>
        <w:rPr>
          <w:rFonts w:cstheme="minorHAnsi"/>
        </w:rPr>
      </w:pPr>
      <w:r w:rsidRPr="007B0C0E">
        <w:rPr>
          <w:rFonts w:cstheme="minorHAnsi"/>
        </w:rPr>
        <w:t xml:space="preserve">DFAT commissioned an independent mid-term review </w:t>
      </w:r>
      <w:r w:rsidR="000B3F04" w:rsidRPr="007B0C0E">
        <w:rPr>
          <w:rFonts w:cstheme="minorHAnsi"/>
        </w:rPr>
        <w:t xml:space="preserve">(MTR) </w:t>
      </w:r>
      <w:r w:rsidRPr="007B0C0E">
        <w:rPr>
          <w:rFonts w:cstheme="minorHAnsi"/>
        </w:rPr>
        <w:t>of the project</w:t>
      </w:r>
      <w:r w:rsidR="000B3F04" w:rsidRPr="007B0C0E">
        <w:rPr>
          <w:rFonts w:cstheme="minorHAnsi"/>
        </w:rPr>
        <w:t xml:space="preserve"> in 2020</w:t>
      </w:r>
      <w:r w:rsidR="00047FA4" w:rsidRPr="007B0C0E">
        <w:rPr>
          <w:rFonts w:cstheme="minorHAnsi"/>
        </w:rPr>
        <w:t xml:space="preserve">, covering the period of October 2017 to September 2020, </w:t>
      </w:r>
      <w:r w:rsidR="000B3F04" w:rsidRPr="007B0C0E">
        <w:rPr>
          <w:rFonts w:cstheme="minorHAnsi"/>
        </w:rPr>
        <w:t xml:space="preserve">to assess the achievements, progress, key </w:t>
      </w:r>
      <w:proofErr w:type="gramStart"/>
      <w:r w:rsidR="000B3F04" w:rsidRPr="007B0C0E">
        <w:rPr>
          <w:rFonts w:cstheme="minorHAnsi"/>
        </w:rPr>
        <w:t>challenges</w:t>
      </w:r>
      <w:proofErr w:type="gramEnd"/>
      <w:r w:rsidR="000B3F04" w:rsidRPr="007B0C0E">
        <w:rPr>
          <w:rFonts w:cstheme="minorHAnsi"/>
        </w:rPr>
        <w:t xml:space="preserve"> and opportunities of the MRP towards the set goal and outcomes. The MTR consulted key stakeholders, including government partners (e.g., Task Force </w:t>
      </w:r>
      <w:proofErr w:type="spellStart"/>
      <w:r w:rsidR="000B3F04" w:rsidRPr="007B0C0E">
        <w:rPr>
          <w:rFonts w:cstheme="minorHAnsi"/>
        </w:rPr>
        <w:t>Bangon</w:t>
      </w:r>
      <w:proofErr w:type="spellEnd"/>
      <w:r w:rsidR="000B3F04" w:rsidRPr="007B0C0E">
        <w:rPr>
          <w:rFonts w:cstheme="minorHAnsi"/>
        </w:rPr>
        <w:t xml:space="preserve"> Marawi</w:t>
      </w:r>
      <w:r w:rsidR="00680249" w:rsidRPr="007B0C0E">
        <w:rPr>
          <w:rFonts w:cstheme="minorHAnsi"/>
        </w:rPr>
        <w:t xml:space="preserve"> (TFBM)</w:t>
      </w:r>
      <w:r w:rsidR="000B3F04" w:rsidRPr="007B0C0E">
        <w:rPr>
          <w:rFonts w:cstheme="minorHAnsi"/>
        </w:rPr>
        <w:t>, Philippine Statistics Authority</w:t>
      </w:r>
      <w:r w:rsidR="00680249" w:rsidRPr="007B0C0E">
        <w:rPr>
          <w:rFonts w:cstheme="minorHAnsi"/>
        </w:rPr>
        <w:t xml:space="preserve"> (PSA)</w:t>
      </w:r>
      <w:r w:rsidR="000B3F04" w:rsidRPr="007B0C0E">
        <w:rPr>
          <w:rFonts w:cstheme="minorHAnsi"/>
        </w:rPr>
        <w:t xml:space="preserve"> and local government units), </w:t>
      </w:r>
      <w:r w:rsidR="004850D3" w:rsidRPr="007B0C0E">
        <w:rPr>
          <w:rFonts w:cstheme="minorHAnsi"/>
        </w:rPr>
        <w:t>families supported by the project</w:t>
      </w:r>
      <w:r w:rsidR="00476450" w:rsidRPr="007B0C0E">
        <w:rPr>
          <w:rFonts w:cstheme="minorHAnsi"/>
        </w:rPr>
        <w:t>,</w:t>
      </w:r>
      <w:r w:rsidR="000B3F04" w:rsidRPr="007B0C0E">
        <w:rPr>
          <w:rFonts w:cstheme="minorHAnsi"/>
        </w:rPr>
        <w:t xml:space="preserve"> and other organisations implementing similar programs in the area</w:t>
      </w:r>
      <w:r w:rsidR="00047FA4" w:rsidRPr="007B0C0E">
        <w:rPr>
          <w:rFonts w:cstheme="minorHAnsi"/>
        </w:rPr>
        <w:t xml:space="preserve">. </w:t>
      </w:r>
      <w:r w:rsidR="000B3F04" w:rsidRPr="007B0C0E">
        <w:rPr>
          <w:rFonts w:cstheme="minorHAnsi"/>
        </w:rPr>
        <w:t>The final report was completed in March 2021.</w:t>
      </w:r>
    </w:p>
    <w:p w14:paraId="07380E72" w14:textId="7DF40D24" w:rsidR="00A40C84" w:rsidRPr="00F969BF" w:rsidRDefault="00A40C84" w:rsidP="007B0C0E">
      <w:pPr>
        <w:pStyle w:val="Heading2"/>
        <w:spacing w:after="240"/>
      </w:pPr>
      <w:r w:rsidRPr="00F969BF">
        <w:t>Summary of Management Response</w:t>
      </w:r>
    </w:p>
    <w:p w14:paraId="02084C72" w14:textId="6705342D" w:rsidR="00A40C84" w:rsidRDefault="00025484" w:rsidP="007B0C0E">
      <w:pPr>
        <w:autoSpaceDE w:val="0"/>
        <w:autoSpaceDN w:val="0"/>
        <w:adjustRightInd w:val="0"/>
        <w:spacing w:after="240" w:line="240" w:lineRule="auto"/>
        <w:rPr>
          <w:rFonts w:cstheme="minorHAnsi"/>
        </w:rPr>
      </w:pPr>
      <w:r w:rsidRPr="007B0C0E">
        <w:rPr>
          <w:rFonts w:cstheme="minorHAnsi"/>
        </w:rPr>
        <w:t xml:space="preserve">The review identified key achievements of the </w:t>
      </w:r>
      <w:r w:rsidR="004850D3" w:rsidRPr="007B0C0E">
        <w:rPr>
          <w:rFonts w:cstheme="minorHAnsi"/>
        </w:rPr>
        <w:t>MRP and</w:t>
      </w:r>
      <w:r w:rsidR="00514B32" w:rsidRPr="007B0C0E">
        <w:rPr>
          <w:rFonts w:cstheme="minorHAnsi"/>
        </w:rPr>
        <w:t xml:space="preserve"> provide</w:t>
      </w:r>
      <w:r w:rsidR="004850D3" w:rsidRPr="007B0C0E">
        <w:rPr>
          <w:rFonts w:cstheme="minorHAnsi"/>
        </w:rPr>
        <w:t>d</w:t>
      </w:r>
      <w:r w:rsidR="00514B32" w:rsidRPr="007B0C0E">
        <w:rPr>
          <w:rFonts w:cstheme="minorHAnsi"/>
        </w:rPr>
        <w:t xml:space="preserve"> valuable recommendations to help inform </w:t>
      </w:r>
      <w:r w:rsidR="004850D3" w:rsidRPr="007B0C0E">
        <w:rPr>
          <w:rFonts w:cstheme="minorHAnsi"/>
        </w:rPr>
        <w:t xml:space="preserve">the implementation of the project towards its closure in December 2021. DFAT Manila Post has discussed the review and its recommendations with CFSI and agreed to issue a joint management response. DFAT and CFSI agree with </w:t>
      </w:r>
      <w:r w:rsidR="003B1776" w:rsidRPr="007B0C0E">
        <w:rPr>
          <w:rFonts w:cstheme="minorHAnsi"/>
        </w:rPr>
        <w:t xml:space="preserve">eight </w:t>
      </w:r>
      <w:r w:rsidR="00DA0032" w:rsidRPr="007B0C0E">
        <w:rPr>
          <w:rFonts w:cstheme="minorHAnsi"/>
        </w:rPr>
        <w:t xml:space="preserve">of the recommendations and partially agree with </w:t>
      </w:r>
      <w:r w:rsidR="003B1776" w:rsidRPr="007B0C0E">
        <w:rPr>
          <w:rFonts w:cstheme="minorHAnsi"/>
        </w:rPr>
        <w:t xml:space="preserve">five </w:t>
      </w:r>
      <w:r w:rsidR="00DA0032" w:rsidRPr="007B0C0E">
        <w:rPr>
          <w:rFonts w:cstheme="minorHAnsi"/>
        </w:rPr>
        <w:t>recommendations, which are detailed in the sections below:</w:t>
      </w:r>
    </w:p>
    <w:p w14:paraId="4DAF7D29" w14:textId="11470133" w:rsidR="0071778F" w:rsidRPr="007B0C0E" w:rsidRDefault="0071778F" w:rsidP="0071778F">
      <w:pPr>
        <w:pStyle w:val="Heading3"/>
      </w:pPr>
      <w:r>
        <w:t>Recommendations for CFSI</w:t>
      </w:r>
    </w:p>
    <w:tbl>
      <w:tblPr>
        <w:tblStyle w:val="TableGrid"/>
        <w:tblW w:w="0" w:type="auto"/>
        <w:tblLook w:val="04A0" w:firstRow="1" w:lastRow="0" w:firstColumn="1" w:lastColumn="0" w:noHBand="0" w:noVBand="1"/>
      </w:tblPr>
      <w:tblGrid>
        <w:gridCol w:w="4675"/>
        <w:gridCol w:w="4341"/>
      </w:tblGrid>
      <w:tr w:rsidR="00F969BF" w:rsidRPr="007B0C0E" w14:paraId="17C8094E" w14:textId="77777777" w:rsidTr="007B0C0E">
        <w:trPr>
          <w:tblHeader/>
        </w:trPr>
        <w:tc>
          <w:tcPr>
            <w:tcW w:w="4675" w:type="dxa"/>
          </w:tcPr>
          <w:p w14:paraId="0DF86519" w14:textId="5EAFE7F2" w:rsidR="00DA0032" w:rsidRPr="007B0C0E" w:rsidRDefault="00171DB1" w:rsidP="00EE4A51">
            <w:pPr>
              <w:jc w:val="center"/>
              <w:rPr>
                <w:rFonts w:asciiTheme="majorHAnsi" w:hAnsiTheme="majorHAnsi" w:cstheme="majorHAnsi"/>
                <w:b/>
                <w:bCs/>
              </w:rPr>
            </w:pPr>
            <w:r w:rsidRPr="007B0C0E">
              <w:rPr>
                <w:rFonts w:asciiTheme="majorHAnsi" w:hAnsiTheme="majorHAnsi" w:cstheme="majorHAnsi"/>
                <w:b/>
                <w:bCs/>
              </w:rPr>
              <w:t>RECOMMENDATIONS</w:t>
            </w:r>
          </w:p>
        </w:tc>
        <w:tc>
          <w:tcPr>
            <w:tcW w:w="4341" w:type="dxa"/>
          </w:tcPr>
          <w:p w14:paraId="0D4B2B47" w14:textId="57EAA3C5" w:rsidR="00DA0032" w:rsidRPr="007B0C0E" w:rsidRDefault="00171DB1" w:rsidP="00EE4A51">
            <w:pPr>
              <w:jc w:val="center"/>
              <w:rPr>
                <w:rFonts w:asciiTheme="majorHAnsi" w:hAnsiTheme="majorHAnsi" w:cstheme="majorHAnsi"/>
                <w:b/>
                <w:bCs/>
              </w:rPr>
            </w:pPr>
            <w:r w:rsidRPr="007B0C0E">
              <w:rPr>
                <w:rFonts w:asciiTheme="majorHAnsi" w:hAnsiTheme="majorHAnsi" w:cstheme="majorHAnsi"/>
                <w:b/>
                <w:bCs/>
              </w:rPr>
              <w:t>RESPONSE</w:t>
            </w:r>
            <w:r w:rsidR="00B4069F" w:rsidRPr="007B0C0E">
              <w:rPr>
                <w:rFonts w:asciiTheme="majorHAnsi" w:hAnsiTheme="majorHAnsi" w:cstheme="majorHAnsi"/>
                <w:b/>
                <w:bCs/>
              </w:rPr>
              <w:br/>
            </w:r>
            <w:r w:rsidR="00DA0032" w:rsidRPr="007B0C0E">
              <w:rPr>
                <w:rFonts w:asciiTheme="majorHAnsi" w:hAnsiTheme="majorHAnsi" w:cstheme="majorHAnsi"/>
                <w:b/>
                <w:bCs/>
              </w:rPr>
              <w:t>(Agree/Partially Agree/Disagree)</w:t>
            </w:r>
          </w:p>
        </w:tc>
      </w:tr>
      <w:tr w:rsidR="00F969BF" w:rsidRPr="007B0C0E" w14:paraId="02118688" w14:textId="77777777" w:rsidTr="003334F7">
        <w:tc>
          <w:tcPr>
            <w:tcW w:w="4675" w:type="dxa"/>
          </w:tcPr>
          <w:p w14:paraId="7B947B37" w14:textId="7489DA6A" w:rsidR="00A57E54" w:rsidRPr="007B0C0E" w:rsidRDefault="00A57E54" w:rsidP="00171DB1">
            <w:pPr>
              <w:pStyle w:val="ListParagraph"/>
              <w:numPr>
                <w:ilvl w:val="0"/>
                <w:numId w:val="4"/>
              </w:numPr>
            </w:pPr>
            <w:r w:rsidRPr="007B0C0E">
              <w:t xml:space="preserve">As the project is ending, the MRP needs to promote the sustainability of the project gains by embedding vital processes in civil registration, </w:t>
            </w:r>
            <w:r w:rsidR="00650FB1" w:rsidRPr="007B0C0E">
              <w:t xml:space="preserve">psychosocial </w:t>
            </w:r>
            <w:proofErr w:type="gramStart"/>
            <w:r w:rsidR="00650FB1" w:rsidRPr="007B0C0E">
              <w:t>support</w:t>
            </w:r>
            <w:proofErr w:type="gramEnd"/>
            <w:r w:rsidR="00650FB1" w:rsidRPr="007B0C0E">
              <w:t xml:space="preserve"> </w:t>
            </w:r>
            <w:r w:rsidRPr="007B0C0E">
              <w:t xml:space="preserve">and livelihoods to the appropriate </w:t>
            </w:r>
            <w:r w:rsidR="00650FB1" w:rsidRPr="007B0C0E">
              <w:t>local government unit (</w:t>
            </w:r>
            <w:r w:rsidRPr="007B0C0E">
              <w:t>LGU</w:t>
            </w:r>
            <w:r w:rsidR="00650FB1" w:rsidRPr="007B0C0E">
              <w:t>)</w:t>
            </w:r>
            <w:r w:rsidRPr="007B0C0E">
              <w:t xml:space="preserve"> and </w:t>
            </w:r>
            <w:r w:rsidR="00D81AAB" w:rsidRPr="007B0C0E">
              <w:t>Barangay LGU (</w:t>
            </w:r>
            <w:r w:rsidRPr="007B0C0E">
              <w:t>BLGU</w:t>
            </w:r>
            <w:r w:rsidR="00D81AAB" w:rsidRPr="007B0C0E">
              <w:t>)</w:t>
            </w:r>
            <w:r w:rsidRPr="007B0C0E">
              <w:t xml:space="preserve">.  </w:t>
            </w:r>
          </w:p>
          <w:p w14:paraId="7019A5E3" w14:textId="51A203B0" w:rsidR="00DA0032" w:rsidRPr="007B0C0E" w:rsidRDefault="00DA0032" w:rsidP="00171DB1">
            <w:pPr>
              <w:rPr>
                <w:rFonts w:cstheme="minorHAnsi"/>
              </w:rPr>
            </w:pPr>
          </w:p>
        </w:tc>
        <w:tc>
          <w:tcPr>
            <w:tcW w:w="4341" w:type="dxa"/>
          </w:tcPr>
          <w:p w14:paraId="22FDEA48" w14:textId="55C91253" w:rsidR="00DA0032" w:rsidRPr="007B0C0E" w:rsidRDefault="00F969BF" w:rsidP="00171DB1">
            <w:pPr>
              <w:rPr>
                <w:rFonts w:cstheme="minorHAnsi"/>
              </w:rPr>
            </w:pPr>
            <w:r w:rsidRPr="007B0C0E">
              <w:rPr>
                <w:rFonts w:cstheme="minorHAnsi"/>
                <w:b/>
                <w:bCs/>
                <w:i/>
                <w:iCs/>
              </w:rPr>
              <w:t>Agree</w:t>
            </w:r>
            <w:r w:rsidRPr="007B0C0E">
              <w:rPr>
                <w:rFonts w:cstheme="minorHAnsi"/>
                <w:b/>
                <w:bCs/>
              </w:rPr>
              <w:t>.</w:t>
            </w:r>
            <w:r w:rsidRPr="007B0C0E">
              <w:rPr>
                <w:rFonts w:cstheme="minorHAnsi"/>
              </w:rPr>
              <w:t xml:space="preserve"> CFSI will continue to work with its partners to ensure </w:t>
            </w:r>
            <w:r w:rsidR="006F3471" w:rsidRPr="007B0C0E">
              <w:rPr>
                <w:rFonts w:cstheme="minorHAnsi"/>
              </w:rPr>
              <w:t xml:space="preserve">sustained </w:t>
            </w:r>
            <w:r w:rsidRPr="007B0C0E">
              <w:rPr>
                <w:rFonts w:cstheme="minorHAnsi"/>
              </w:rPr>
              <w:t>assistance</w:t>
            </w:r>
            <w:r w:rsidR="006F3471" w:rsidRPr="007B0C0E">
              <w:rPr>
                <w:rFonts w:cstheme="minorHAnsi"/>
              </w:rPr>
              <w:t xml:space="preserve"> and gains</w:t>
            </w:r>
            <w:r w:rsidRPr="007B0C0E">
              <w:rPr>
                <w:rFonts w:cstheme="minorHAnsi"/>
              </w:rPr>
              <w:t>. Vital processes currently being mainstreamed to LGU and BLGU are informed by the agreements made during governance and coordination meetings as well as the MRP Sustainability Plan.</w:t>
            </w:r>
            <w:r w:rsidR="00353D47" w:rsidRPr="007B0C0E">
              <w:rPr>
                <w:rFonts w:cstheme="minorHAnsi"/>
              </w:rPr>
              <w:t xml:space="preserve"> These include, but not limited to, piloting of BLGU-led civil registration</w:t>
            </w:r>
            <w:r w:rsidR="001668EF" w:rsidRPr="007B0C0E">
              <w:rPr>
                <w:rFonts w:cstheme="minorHAnsi"/>
              </w:rPr>
              <w:t>;</w:t>
            </w:r>
            <w:r w:rsidR="00353D47" w:rsidRPr="007B0C0E">
              <w:rPr>
                <w:rFonts w:cstheme="minorHAnsi"/>
              </w:rPr>
              <w:t xml:space="preserve"> </w:t>
            </w:r>
            <w:r w:rsidR="001668EF" w:rsidRPr="007B0C0E">
              <w:rPr>
                <w:rFonts w:cstheme="minorHAnsi"/>
              </w:rPr>
              <w:t>inclusion of persons with special needs</w:t>
            </w:r>
            <w:r w:rsidR="00171DB1" w:rsidRPr="007B0C0E">
              <w:rPr>
                <w:rFonts w:cstheme="minorHAnsi"/>
              </w:rPr>
              <w:t xml:space="preserve"> (</w:t>
            </w:r>
            <w:r w:rsidR="001668EF" w:rsidRPr="007B0C0E">
              <w:rPr>
                <w:rFonts w:cstheme="minorHAnsi"/>
                <w:i/>
                <w:iCs/>
              </w:rPr>
              <w:t>e.g., senior citizens and persons with disabilities</w:t>
            </w:r>
            <w:r w:rsidR="00171DB1" w:rsidRPr="007B0C0E">
              <w:rPr>
                <w:rFonts w:cstheme="minorHAnsi"/>
              </w:rPr>
              <w:t>)</w:t>
            </w:r>
            <w:r w:rsidR="001668EF" w:rsidRPr="007B0C0E">
              <w:rPr>
                <w:rFonts w:cstheme="minorHAnsi"/>
              </w:rPr>
              <w:t xml:space="preserve"> to </w:t>
            </w:r>
            <w:r w:rsidR="00C066DC" w:rsidRPr="007B0C0E">
              <w:rPr>
                <w:rFonts w:cstheme="minorHAnsi"/>
              </w:rPr>
              <w:t xml:space="preserve">LGU’s </w:t>
            </w:r>
            <w:r w:rsidR="001668EF" w:rsidRPr="007B0C0E">
              <w:rPr>
                <w:rFonts w:cstheme="minorHAnsi"/>
              </w:rPr>
              <w:t>social welfare programs; and linking of select livelihood beneficiaries to appropriate government offices</w:t>
            </w:r>
            <w:r w:rsidR="00171DB1" w:rsidRPr="007B0C0E">
              <w:rPr>
                <w:rFonts w:cstheme="minorHAnsi"/>
              </w:rPr>
              <w:t xml:space="preserve"> (</w:t>
            </w:r>
            <w:r w:rsidR="001668EF" w:rsidRPr="007B0C0E">
              <w:rPr>
                <w:rFonts w:cstheme="minorHAnsi"/>
                <w:i/>
                <w:iCs/>
              </w:rPr>
              <w:t xml:space="preserve">e.g., tricycle driver associations </w:t>
            </w:r>
            <w:r w:rsidR="00D81AAB" w:rsidRPr="007B0C0E">
              <w:rPr>
                <w:rFonts w:cstheme="minorHAnsi"/>
                <w:i/>
                <w:iCs/>
              </w:rPr>
              <w:t>to</w:t>
            </w:r>
            <w:r w:rsidR="001668EF" w:rsidRPr="007B0C0E">
              <w:rPr>
                <w:rFonts w:cstheme="minorHAnsi"/>
                <w:i/>
                <w:iCs/>
              </w:rPr>
              <w:t xml:space="preserve"> LGU’s Traffic Management Group, farmers</w:t>
            </w:r>
            <w:r w:rsidR="00D81AAB" w:rsidRPr="007B0C0E">
              <w:rPr>
                <w:rFonts w:cstheme="minorHAnsi"/>
                <w:i/>
                <w:iCs/>
              </w:rPr>
              <w:t xml:space="preserve"> to</w:t>
            </w:r>
            <w:r w:rsidR="001668EF" w:rsidRPr="007B0C0E">
              <w:rPr>
                <w:rFonts w:cstheme="minorHAnsi"/>
                <w:i/>
                <w:iCs/>
              </w:rPr>
              <w:t xml:space="preserve"> </w:t>
            </w:r>
            <w:r w:rsidR="00D81AAB" w:rsidRPr="007B0C0E">
              <w:rPr>
                <w:rFonts w:cstheme="minorHAnsi"/>
                <w:i/>
                <w:iCs/>
              </w:rPr>
              <w:t xml:space="preserve">Office of the </w:t>
            </w:r>
            <w:r w:rsidR="008165C1" w:rsidRPr="007B0C0E">
              <w:rPr>
                <w:rFonts w:cstheme="minorHAnsi"/>
                <w:i/>
                <w:iCs/>
              </w:rPr>
              <w:t>Provincial Agriculture, maintenance of small socio-economic infrastructures with LGUs</w:t>
            </w:r>
            <w:r w:rsidR="00C066DC" w:rsidRPr="007B0C0E">
              <w:rPr>
                <w:rFonts w:cstheme="minorHAnsi"/>
                <w:i/>
                <w:iCs/>
              </w:rPr>
              <w:t xml:space="preserve"> and BLGUs</w:t>
            </w:r>
            <w:r w:rsidR="00D81AAB" w:rsidRPr="007B0C0E">
              <w:rPr>
                <w:rFonts w:cstheme="minorHAnsi"/>
                <w:i/>
                <w:iCs/>
              </w:rPr>
              <w:t>, among others</w:t>
            </w:r>
            <w:r w:rsidR="00171DB1" w:rsidRPr="007B0C0E">
              <w:rPr>
                <w:rFonts w:cstheme="minorHAnsi"/>
              </w:rPr>
              <w:t>)</w:t>
            </w:r>
            <w:r w:rsidR="00D81AAB" w:rsidRPr="007B0C0E">
              <w:rPr>
                <w:rFonts w:cstheme="minorHAnsi"/>
              </w:rPr>
              <w:t>.</w:t>
            </w:r>
          </w:p>
        </w:tc>
      </w:tr>
      <w:tr w:rsidR="00F969BF" w:rsidRPr="007B0C0E" w14:paraId="062E336D" w14:textId="77777777" w:rsidTr="003334F7">
        <w:tc>
          <w:tcPr>
            <w:tcW w:w="4675" w:type="dxa"/>
          </w:tcPr>
          <w:p w14:paraId="7562AF9F" w14:textId="7609F011" w:rsidR="00DA0032" w:rsidRPr="007B0C0E" w:rsidRDefault="00A57E54" w:rsidP="00171DB1">
            <w:pPr>
              <w:pStyle w:val="ListParagraph"/>
              <w:numPr>
                <w:ilvl w:val="0"/>
                <w:numId w:val="4"/>
              </w:numPr>
            </w:pPr>
            <w:r w:rsidRPr="007B0C0E">
              <w:lastRenderedPageBreak/>
              <w:t xml:space="preserve">In consultation with </w:t>
            </w:r>
            <w:r w:rsidR="00650FB1" w:rsidRPr="007B0C0E">
              <w:t>Bangsamoro Autonomous Region in Muslim Mindanao (</w:t>
            </w:r>
            <w:r w:rsidRPr="007B0C0E">
              <w:t>BARMM</w:t>
            </w:r>
            <w:r w:rsidR="00650FB1" w:rsidRPr="007B0C0E">
              <w:t>) Ministry of the Interior and Local Government</w:t>
            </w:r>
            <w:r w:rsidRPr="007B0C0E">
              <w:t xml:space="preserve"> </w:t>
            </w:r>
            <w:r w:rsidR="00650FB1" w:rsidRPr="007B0C0E">
              <w:t>(</w:t>
            </w:r>
            <w:r w:rsidRPr="007B0C0E">
              <w:t>MILG</w:t>
            </w:r>
            <w:r w:rsidR="00650FB1" w:rsidRPr="007B0C0E">
              <w:t>)</w:t>
            </w:r>
            <w:r w:rsidRPr="007B0C0E">
              <w:t xml:space="preserve">, work out the adoption by MRP LGU partners the Barangay </w:t>
            </w:r>
            <w:r w:rsidR="00860A38" w:rsidRPr="007B0C0E">
              <w:t xml:space="preserve">Civil </w:t>
            </w:r>
            <w:r w:rsidRPr="007B0C0E">
              <w:t xml:space="preserve">Registration System </w:t>
            </w:r>
            <w:r w:rsidR="00860A38" w:rsidRPr="007B0C0E">
              <w:t>(BCRS)</w:t>
            </w:r>
            <w:r w:rsidR="009C57F9">
              <w:t xml:space="preserve"> </w:t>
            </w:r>
            <w:r w:rsidRPr="007B0C0E">
              <w:t>on a piloting basis. The MRP may also lobby with the BARMM Parliament and/or congressional representatives for appropriate policy support.</w:t>
            </w:r>
          </w:p>
        </w:tc>
        <w:tc>
          <w:tcPr>
            <w:tcW w:w="4341" w:type="dxa"/>
          </w:tcPr>
          <w:p w14:paraId="65F86B03" w14:textId="07239920" w:rsidR="00DA0032" w:rsidRPr="007B0C0E" w:rsidRDefault="00F969BF" w:rsidP="00171DB1">
            <w:pPr>
              <w:rPr>
                <w:rFonts w:cstheme="minorHAnsi"/>
              </w:rPr>
            </w:pPr>
            <w:r w:rsidRPr="007B0C0E">
              <w:rPr>
                <w:rFonts w:cstheme="minorHAnsi"/>
                <w:b/>
                <w:bCs/>
                <w:i/>
                <w:iCs/>
              </w:rPr>
              <w:t>Partially Agree</w:t>
            </w:r>
            <w:r w:rsidRPr="007B0C0E">
              <w:rPr>
                <w:rFonts w:cstheme="minorHAnsi"/>
                <w:b/>
                <w:bCs/>
              </w:rPr>
              <w:t>.</w:t>
            </w:r>
            <w:r w:rsidRPr="007B0C0E">
              <w:rPr>
                <w:rFonts w:cstheme="minorHAnsi"/>
              </w:rPr>
              <w:t xml:space="preserve"> CFSI will complete its initiative with the </w:t>
            </w:r>
            <w:r w:rsidR="00860A38" w:rsidRPr="007B0C0E">
              <w:rPr>
                <w:rFonts w:cstheme="minorHAnsi"/>
              </w:rPr>
              <w:t>Philippine Statistics Authority (</w:t>
            </w:r>
            <w:r w:rsidRPr="007B0C0E">
              <w:rPr>
                <w:rFonts w:cstheme="minorHAnsi"/>
              </w:rPr>
              <w:t>PSA</w:t>
            </w:r>
            <w:r w:rsidR="00860A38" w:rsidRPr="007B0C0E">
              <w:rPr>
                <w:rFonts w:cstheme="minorHAnsi"/>
              </w:rPr>
              <w:t>)</w:t>
            </w:r>
            <w:r w:rsidRPr="007B0C0E">
              <w:rPr>
                <w:rFonts w:cstheme="minorHAnsi"/>
              </w:rPr>
              <w:t xml:space="preserve"> and LGUs of </w:t>
            </w:r>
            <w:proofErr w:type="spellStart"/>
            <w:r w:rsidRPr="007B0C0E">
              <w:rPr>
                <w:rFonts w:cstheme="minorHAnsi"/>
              </w:rPr>
              <w:t>Butig</w:t>
            </w:r>
            <w:proofErr w:type="spellEnd"/>
            <w:r w:rsidRPr="007B0C0E">
              <w:rPr>
                <w:rFonts w:cstheme="minorHAnsi"/>
              </w:rPr>
              <w:t xml:space="preserve">, </w:t>
            </w:r>
            <w:proofErr w:type="spellStart"/>
            <w:r w:rsidRPr="007B0C0E">
              <w:rPr>
                <w:rFonts w:cstheme="minorHAnsi"/>
              </w:rPr>
              <w:t>Lumbayanague</w:t>
            </w:r>
            <w:proofErr w:type="spellEnd"/>
            <w:r w:rsidRPr="007B0C0E">
              <w:rPr>
                <w:rFonts w:cstheme="minorHAnsi"/>
              </w:rPr>
              <w:t xml:space="preserve">, and </w:t>
            </w:r>
            <w:proofErr w:type="spellStart"/>
            <w:r w:rsidRPr="007B0C0E">
              <w:rPr>
                <w:rFonts w:cstheme="minorHAnsi"/>
              </w:rPr>
              <w:t>Masiu</w:t>
            </w:r>
            <w:proofErr w:type="spellEnd"/>
            <w:r w:rsidRPr="007B0C0E">
              <w:rPr>
                <w:rFonts w:cstheme="minorHAnsi"/>
              </w:rPr>
              <w:t xml:space="preserve"> </w:t>
            </w:r>
            <w:r w:rsidR="000B64D9" w:rsidRPr="007B0C0E">
              <w:rPr>
                <w:rFonts w:cstheme="minorHAnsi"/>
              </w:rPr>
              <w:t xml:space="preserve">(BLM) </w:t>
            </w:r>
            <w:r w:rsidRPr="007B0C0E">
              <w:rPr>
                <w:rFonts w:cstheme="minorHAnsi"/>
              </w:rPr>
              <w:t>in piloting the BCRS by September 2021</w:t>
            </w:r>
            <w:r w:rsidR="00860A38" w:rsidRPr="007B0C0E">
              <w:rPr>
                <w:rFonts w:cstheme="minorHAnsi"/>
              </w:rPr>
              <w:t>. LGUs will be trained by PSA and will be responsible for the adoption of the BCRS</w:t>
            </w:r>
            <w:r w:rsidRPr="007B0C0E">
              <w:rPr>
                <w:rFonts w:cstheme="minorHAnsi"/>
              </w:rPr>
              <w:t xml:space="preserve">. Results of the pilot implementation will be shared with the </w:t>
            </w:r>
            <w:r w:rsidR="00860A38" w:rsidRPr="007B0C0E">
              <w:rPr>
                <w:rFonts w:cstheme="minorHAnsi"/>
              </w:rPr>
              <w:t>Project Steering Committee (</w:t>
            </w:r>
            <w:r w:rsidRPr="007B0C0E">
              <w:rPr>
                <w:rFonts w:cstheme="minorHAnsi"/>
              </w:rPr>
              <w:t>PSC</w:t>
            </w:r>
            <w:r w:rsidR="00860A38" w:rsidRPr="007B0C0E">
              <w:rPr>
                <w:rFonts w:cstheme="minorHAnsi"/>
              </w:rPr>
              <w:t>)</w:t>
            </w:r>
            <w:r w:rsidRPr="007B0C0E">
              <w:rPr>
                <w:rFonts w:cstheme="minorHAnsi"/>
              </w:rPr>
              <w:t>, where the BARMM Government is represented.</w:t>
            </w:r>
          </w:p>
        </w:tc>
      </w:tr>
      <w:tr w:rsidR="00F969BF" w:rsidRPr="007B0C0E" w14:paraId="30DE576A" w14:textId="77777777" w:rsidTr="003334F7">
        <w:tc>
          <w:tcPr>
            <w:tcW w:w="4675" w:type="dxa"/>
          </w:tcPr>
          <w:p w14:paraId="7832B437" w14:textId="3F0BC34C" w:rsidR="00DA0032" w:rsidRPr="007B0C0E" w:rsidRDefault="00A57E54" w:rsidP="00171DB1">
            <w:pPr>
              <w:pStyle w:val="ListParagraph"/>
              <w:numPr>
                <w:ilvl w:val="0"/>
                <w:numId w:val="4"/>
              </w:numPr>
            </w:pPr>
            <w:r w:rsidRPr="007B0C0E">
              <w:t xml:space="preserve">CFSI to assist the farmers of </w:t>
            </w:r>
            <w:proofErr w:type="spellStart"/>
            <w:r w:rsidRPr="007B0C0E">
              <w:t>Piagapo</w:t>
            </w:r>
            <w:proofErr w:type="spellEnd"/>
            <w:r w:rsidRPr="007B0C0E">
              <w:t xml:space="preserve"> to forge a marketing agreement with the LGU </w:t>
            </w:r>
            <w:proofErr w:type="spellStart"/>
            <w:r w:rsidRPr="007B0C0E">
              <w:t>Matanog</w:t>
            </w:r>
            <w:proofErr w:type="spellEnd"/>
            <w:r w:rsidRPr="007B0C0E">
              <w:t>, Maguindanao for the supply of white scallion. This can be worked out in coordination with the M</w:t>
            </w:r>
            <w:r w:rsidR="009C57F9">
              <w:t>unicipal Agriculture Office (MAO)</w:t>
            </w:r>
            <w:r w:rsidRPr="007B0C0E">
              <w:t xml:space="preserve"> of </w:t>
            </w:r>
            <w:proofErr w:type="spellStart"/>
            <w:r w:rsidRPr="007B0C0E">
              <w:t>Piagapo</w:t>
            </w:r>
            <w:proofErr w:type="spellEnd"/>
            <w:r w:rsidRPr="007B0C0E">
              <w:t>.</w:t>
            </w:r>
          </w:p>
        </w:tc>
        <w:tc>
          <w:tcPr>
            <w:tcW w:w="4341" w:type="dxa"/>
          </w:tcPr>
          <w:p w14:paraId="4C388F4D" w14:textId="5A48B5EB" w:rsidR="00DA0032" w:rsidRPr="007B0C0E" w:rsidRDefault="00F969BF" w:rsidP="00171DB1">
            <w:pPr>
              <w:rPr>
                <w:rFonts w:cstheme="minorHAnsi"/>
              </w:rPr>
            </w:pPr>
            <w:r w:rsidRPr="007B0C0E">
              <w:rPr>
                <w:rFonts w:cstheme="minorHAnsi"/>
                <w:b/>
                <w:bCs/>
                <w:i/>
                <w:iCs/>
              </w:rPr>
              <w:t>Partially Agree</w:t>
            </w:r>
            <w:r w:rsidRPr="007B0C0E">
              <w:rPr>
                <w:rFonts w:cstheme="minorHAnsi"/>
                <w:b/>
                <w:bCs/>
              </w:rPr>
              <w:t>.</w:t>
            </w:r>
            <w:r w:rsidRPr="007B0C0E">
              <w:rPr>
                <w:rFonts w:cstheme="minorHAnsi"/>
              </w:rPr>
              <w:t xml:space="preserve"> </w:t>
            </w:r>
            <w:r w:rsidR="00860A38" w:rsidRPr="007B0C0E">
              <w:rPr>
                <w:rFonts w:cstheme="minorHAnsi"/>
              </w:rPr>
              <w:t xml:space="preserve">The Food and Agriculture Organization (FAO) has already assigned the market linkages as part of their transition plan. </w:t>
            </w:r>
            <w:r w:rsidRPr="007B0C0E">
              <w:rPr>
                <w:rFonts w:cstheme="minorHAnsi"/>
              </w:rPr>
              <w:t xml:space="preserve">CFSI will </w:t>
            </w:r>
            <w:r w:rsidR="006F3471" w:rsidRPr="007B0C0E">
              <w:rPr>
                <w:rFonts w:cstheme="minorHAnsi"/>
              </w:rPr>
              <w:t>allow</w:t>
            </w:r>
            <w:r w:rsidRPr="007B0C0E">
              <w:rPr>
                <w:rFonts w:cstheme="minorHAnsi"/>
              </w:rPr>
              <w:t xml:space="preserve"> the mechanism </w:t>
            </w:r>
            <w:proofErr w:type="gramStart"/>
            <w:r w:rsidRPr="007B0C0E">
              <w:rPr>
                <w:rFonts w:cstheme="minorHAnsi"/>
              </w:rPr>
              <w:t>put</w:t>
            </w:r>
            <w:proofErr w:type="gramEnd"/>
            <w:r w:rsidRPr="007B0C0E">
              <w:rPr>
                <w:rFonts w:cstheme="minorHAnsi"/>
              </w:rPr>
              <w:t xml:space="preserve"> in place by FAO, i.e., linkage between FAO-organized </w:t>
            </w:r>
            <w:r w:rsidR="000B64D9" w:rsidRPr="007B0C0E">
              <w:rPr>
                <w:rFonts w:cstheme="minorHAnsi"/>
              </w:rPr>
              <w:t>people’s organizations (</w:t>
            </w:r>
            <w:r w:rsidRPr="007B0C0E">
              <w:rPr>
                <w:rFonts w:cstheme="minorHAnsi"/>
              </w:rPr>
              <w:t>POs</w:t>
            </w:r>
            <w:r w:rsidR="000B64D9" w:rsidRPr="007B0C0E">
              <w:rPr>
                <w:rFonts w:cstheme="minorHAnsi"/>
              </w:rPr>
              <w:t>)</w:t>
            </w:r>
            <w:r w:rsidRPr="007B0C0E">
              <w:rPr>
                <w:rFonts w:cstheme="minorHAnsi"/>
              </w:rPr>
              <w:t xml:space="preserve"> and LGU MAOs, to run as it was designed.</w:t>
            </w:r>
          </w:p>
        </w:tc>
      </w:tr>
      <w:tr w:rsidR="00F969BF" w:rsidRPr="007B0C0E" w14:paraId="7EAAC5B5" w14:textId="77777777" w:rsidTr="003334F7">
        <w:tc>
          <w:tcPr>
            <w:tcW w:w="4675" w:type="dxa"/>
          </w:tcPr>
          <w:p w14:paraId="718D560B" w14:textId="13287D85" w:rsidR="00A57E54" w:rsidRPr="007B0C0E" w:rsidRDefault="00A57E54" w:rsidP="00171DB1">
            <w:pPr>
              <w:pStyle w:val="ListParagraph"/>
              <w:numPr>
                <w:ilvl w:val="0"/>
                <w:numId w:val="4"/>
              </w:numPr>
            </w:pPr>
            <w:r w:rsidRPr="007B0C0E">
              <w:t>To explain to the</w:t>
            </w:r>
            <w:r w:rsidR="000E1925">
              <w:t xml:space="preserve"> community-based support to livelihood (</w:t>
            </w:r>
            <w:r w:rsidRPr="007B0C0E">
              <w:t>CBSL</w:t>
            </w:r>
            <w:r w:rsidR="000E1925">
              <w:t>)</w:t>
            </w:r>
            <w:r w:rsidRPr="007B0C0E">
              <w:t xml:space="preserve"> beneficiaries and concerned LGUs why </w:t>
            </w:r>
            <w:proofErr w:type="gramStart"/>
            <w:r w:rsidRPr="007B0C0E">
              <w:t>a number of</w:t>
            </w:r>
            <w:proofErr w:type="gramEnd"/>
            <w:r w:rsidRPr="007B0C0E">
              <w:t xml:space="preserve"> MRP participants in BLM areas received UBL type of assistance from CFSI.  </w:t>
            </w:r>
          </w:p>
          <w:p w14:paraId="7C8DBBBA" w14:textId="160AAA12" w:rsidR="00DA0032" w:rsidRPr="007B0C0E" w:rsidRDefault="00DA0032" w:rsidP="00171DB1">
            <w:pPr>
              <w:rPr>
                <w:rFonts w:cstheme="minorHAnsi"/>
              </w:rPr>
            </w:pPr>
          </w:p>
        </w:tc>
        <w:tc>
          <w:tcPr>
            <w:tcW w:w="4341" w:type="dxa"/>
          </w:tcPr>
          <w:p w14:paraId="6467D6DD" w14:textId="20200291" w:rsidR="00DA0032" w:rsidRPr="007B0C0E" w:rsidRDefault="00F969BF" w:rsidP="00171DB1">
            <w:pPr>
              <w:rPr>
                <w:rFonts w:cstheme="minorHAnsi"/>
              </w:rPr>
            </w:pPr>
            <w:r w:rsidRPr="007B0C0E">
              <w:rPr>
                <w:rFonts w:cstheme="minorHAnsi"/>
                <w:b/>
                <w:bCs/>
                <w:i/>
                <w:iCs/>
              </w:rPr>
              <w:t>Agree</w:t>
            </w:r>
            <w:r w:rsidRPr="007B0C0E">
              <w:rPr>
                <w:rFonts w:cstheme="minorHAnsi"/>
                <w:b/>
                <w:bCs/>
              </w:rPr>
              <w:t>.</w:t>
            </w:r>
            <w:r w:rsidRPr="007B0C0E">
              <w:rPr>
                <w:rFonts w:cstheme="minorHAnsi"/>
              </w:rPr>
              <w:t xml:space="preserve"> CFSI will continue to integrate key messages regarding livelihood support packages in community orientations</w:t>
            </w:r>
            <w:r w:rsidR="006F3471" w:rsidRPr="007B0C0E">
              <w:rPr>
                <w:rFonts w:cstheme="minorHAnsi"/>
              </w:rPr>
              <w:t xml:space="preserve"> as well as act quickly on queries regarding assistance, if any</w:t>
            </w:r>
            <w:r w:rsidRPr="007B0C0E">
              <w:rPr>
                <w:rFonts w:cstheme="minorHAnsi"/>
              </w:rPr>
              <w:t>.</w:t>
            </w:r>
          </w:p>
        </w:tc>
      </w:tr>
      <w:tr w:rsidR="00F969BF" w:rsidRPr="007B0C0E" w14:paraId="79ECF344" w14:textId="77777777" w:rsidTr="003334F7">
        <w:tc>
          <w:tcPr>
            <w:tcW w:w="4675" w:type="dxa"/>
          </w:tcPr>
          <w:p w14:paraId="00A24FF0" w14:textId="3D98C799" w:rsidR="00DA0032" w:rsidRPr="007B0C0E" w:rsidRDefault="00A57E54" w:rsidP="00171DB1">
            <w:pPr>
              <w:pStyle w:val="ListParagraph"/>
              <w:numPr>
                <w:ilvl w:val="0"/>
                <w:numId w:val="4"/>
              </w:numPr>
            </w:pPr>
            <w:r w:rsidRPr="007B0C0E">
              <w:t>With the lessons learned from the COVID-19, the MTR recommends integrating</w:t>
            </w:r>
            <w:r w:rsidRPr="007B0C0E">
              <w:rPr>
                <w:iCs/>
              </w:rPr>
              <w:t xml:space="preserve"> epidemics, and infectious diseases</w:t>
            </w:r>
            <w:r w:rsidRPr="007B0C0E">
              <w:rPr>
                <w:i/>
                <w:iCs/>
              </w:rPr>
              <w:t xml:space="preserve"> </w:t>
            </w:r>
            <w:r w:rsidRPr="007B0C0E">
              <w:t>and</w:t>
            </w:r>
            <w:r w:rsidRPr="007B0C0E">
              <w:rPr>
                <w:i/>
                <w:iCs/>
              </w:rPr>
              <w:t xml:space="preserve"> </w:t>
            </w:r>
            <w:r w:rsidRPr="007B0C0E">
              <w:t xml:space="preserve">communication risk </w:t>
            </w:r>
            <w:r w:rsidRPr="007B0C0E">
              <w:rPr>
                <w:shd w:val="clear" w:color="auto" w:fill="FFFFFF"/>
              </w:rPr>
              <w:t xml:space="preserve">in the regular risk register.  It is important to note how misinformation can affect the vulnerable population in the community.  </w:t>
            </w:r>
            <w:r w:rsidRPr="007B0C0E">
              <w:t xml:space="preserve">This is along the lines of identifying and mitigating the flow of misleading, inaccurate, and harmful information to vulnerable groups, the community, project partners and CFSI. This refers to any false and adverse information that are circulating through word of mouth or social media. </w:t>
            </w:r>
          </w:p>
        </w:tc>
        <w:tc>
          <w:tcPr>
            <w:tcW w:w="4341" w:type="dxa"/>
          </w:tcPr>
          <w:p w14:paraId="6DE15E56" w14:textId="7100447A" w:rsidR="00DA0032" w:rsidRPr="007B0C0E" w:rsidRDefault="00F969BF" w:rsidP="00171DB1">
            <w:pPr>
              <w:rPr>
                <w:rFonts w:cstheme="minorHAnsi"/>
              </w:rPr>
            </w:pPr>
            <w:r w:rsidRPr="007B0C0E">
              <w:rPr>
                <w:rFonts w:cstheme="minorHAnsi"/>
                <w:b/>
                <w:bCs/>
                <w:i/>
                <w:iCs/>
              </w:rPr>
              <w:t>Agree</w:t>
            </w:r>
            <w:r w:rsidRPr="007B0C0E">
              <w:rPr>
                <w:rFonts w:cstheme="minorHAnsi"/>
                <w:b/>
                <w:bCs/>
              </w:rPr>
              <w:t>.</w:t>
            </w:r>
            <w:r w:rsidRPr="007B0C0E">
              <w:rPr>
                <w:rFonts w:cstheme="minorHAnsi"/>
              </w:rPr>
              <w:t xml:space="preserve"> CFSI will include mitigating</w:t>
            </w:r>
            <w:r w:rsidR="006F3471" w:rsidRPr="007B0C0E">
              <w:rPr>
                <w:rFonts w:cstheme="minorHAnsi"/>
              </w:rPr>
              <w:t xml:space="preserve"> the risk of</w:t>
            </w:r>
            <w:r w:rsidRPr="007B0C0E">
              <w:rPr>
                <w:rFonts w:cstheme="minorHAnsi"/>
              </w:rPr>
              <w:t xml:space="preserve"> misinformation related to infectious diseases, epidemics, and pandemics to its risk register starting April 2021.</w:t>
            </w:r>
          </w:p>
        </w:tc>
      </w:tr>
      <w:tr w:rsidR="00F969BF" w:rsidRPr="007B0C0E" w14:paraId="4126AA4A" w14:textId="77777777" w:rsidTr="003334F7">
        <w:tc>
          <w:tcPr>
            <w:tcW w:w="4675" w:type="dxa"/>
          </w:tcPr>
          <w:p w14:paraId="18B1ACCA" w14:textId="25A18D96" w:rsidR="00DA0032" w:rsidRPr="007B0C0E" w:rsidRDefault="00A57E54" w:rsidP="00171DB1">
            <w:pPr>
              <w:pStyle w:val="ListParagraph"/>
              <w:numPr>
                <w:ilvl w:val="0"/>
                <w:numId w:val="4"/>
              </w:numPr>
            </w:pPr>
            <w:r w:rsidRPr="007B0C0E">
              <w:t>In the delivery of the livelihood projects, CFSI should integrate the value and concept of ‘</w:t>
            </w:r>
            <w:proofErr w:type="spellStart"/>
            <w:r w:rsidRPr="007B0C0E">
              <w:rPr>
                <w:i/>
                <w:iCs/>
              </w:rPr>
              <w:t>counterparting</w:t>
            </w:r>
            <w:proofErr w:type="spellEnd"/>
            <w:r w:rsidRPr="007B0C0E">
              <w:t xml:space="preserve">’, cost-sharing, leveraging and/or equity participation to the beneficiaries. These measures will help beneficiaries move away from donor dependence and appreciate the value of partnership. </w:t>
            </w:r>
          </w:p>
        </w:tc>
        <w:tc>
          <w:tcPr>
            <w:tcW w:w="4341" w:type="dxa"/>
          </w:tcPr>
          <w:p w14:paraId="733E8950" w14:textId="4C2413AB" w:rsidR="00DA0032" w:rsidRPr="007B0C0E" w:rsidRDefault="00F969BF" w:rsidP="00171DB1">
            <w:pPr>
              <w:rPr>
                <w:rFonts w:cstheme="minorHAnsi"/>
              </w:rPr>
            </w:pPr>
            <w:r w:rsidRPr="007B0C0E">
              <w:rPr>
                <w:rFonts w:cstheme="minorHAnsi"/>
                <w:b/>
                <w:bCs/>
                <w:i/>
                <w:iCs/>
              </w:rPr>
              <w:t>Partially Agree</w:t>
            </w:r>
            <w:r w:rsidRPr="007B0C0E">
              <w:rPr>
                <w:rFonts w:cstheme="minorHAnsi"/>
                <w:b/>
                <w:bCs/>
              </w:rPr>
              <w:t>.</w:t>
            </w:r>
            <w:r w:rsidRPr="007B0C0E">
              <w:rPr>
                <w:rFonts w:cstheme="minorHAnsi"/>
              </w:rPr>
              <w:t xml:space="preserve"> </w:t>
            </w:r>
            <w:r w:rsidR="00860A38" w:rsidRPr="007B0C0E">
              <w:rPr>
                <w:rFonts w:cstheme="minorHAnsi"/>
              </w:rPr>
              <w:t xml:space="preserve">The concept of </w:t>
            </w:r>
            <w:r w:rsidR="00842D2F" w:rsidRPr="007B0C0E">
              <w:rPr>
                <w:rFonts w:cstheme="minorHAnsi"/>
              </w:rPr>
              <w:t>beneficiary c</w:t>
            </w:r>
            <w:r w:rsidR="00860A38" w:rsidRPr="007B0C0E">
              <w:rPr>
                <w:rFonts w:cstheme="minorHAnsi"/>
              </w:rPr>
              <w:t>ounterpar</w:t>
            </w:r>
            <w:r w:rsidR="00842D2F" w:rsidRPr="007B0C0E">
              <w:rPr>
                <w:rFonts w:cstheme="minorHAnsi"/>
              </w:rPr>
              <w:t>t</w:t>
            </w:r>
            <w:r w:rsidR="00860A38" w:rsidRPr="007B0C0E">
              <w:rPr>
                <w:rFonts w:cstheme="minorHAnsi"/>
              </w:rPr>
              <w:t xml:space="preserve"> is already </w:t>
            </w:r>
            <w:r w:rsidR="00842D2F" w:rsidRPr="007B0C0E">
              <w:rPr>
                <w:rFonts w:cstheme="minorHAnsi"/>
              </w:rPr>
              <w:t>incorporated</w:t>
            </w:r>
            <w:r w:rsidR="00860A38" w:rsidRPr="007B0C0E">
              <w:rPr>
                <w:rFonts w:cstheme="minorHAnsi"/>
              </w:rPr>
              <w:t xml:space="preserve"> in the implementation of the livelihood projects. </w:t>
            </w:r>
            <w:r w:rsidRPr="007B0C0E">
              <w:rPr>
                <w:rFonts w:cstheme="minorHAnsi"/>
              </w:rPr>
              <w:t xml:space="preserve">CFSI asked project participants to include in their livelihood proposals their counterpart for the livelihood assistance. CFSI will </w:t>
            </w:r>
            <w:r w:rsidR="006F3471" w:rsidRPr="007B0C0E">
              <w:rPr>
                <w:rFonts w:cstheme="minorHAnsi"/>
              </w:rPr>
              <w:t>include in</w:t>
            </w:r>
            <w:r w:rsidRPr="007B0C0E">
              <w:rPr>
                <w:rFonts w:cstheme="minorHAnsi"/>
              </w:rPr>
              <w:t xml:space="preserve"> its final report some examples, evidence, and results.</w:t>
            </w:r>
          </w:p>
        </w:tc>
      </w:tr>
      <w:tr w:rsidR="00F969BF" w:rsidRPr="007B0C0E" w14:paraId="1176D656" w14:textId="77777777" w:rsidTr="003334F7">
        <w:tc>
          <w:tcPr>
            <w:tcW w:w="4675" w:type="dxa"/>
          </w:tcPr>
          <w:p w14:paraId="61B11DB7" w14:textId="6AA4BED0" w:rsidR="00DA0032" w:rsidRPr="007B0C0E" w:rsidRDefault="00A57E54" w:rsidP="00171DB1">
            <w:pPr>
              <w:pStyle w:val="ListParagraph"/>
              <w:numPr>
                <w:ilvl w:val="0"/>
                <w:numId w:val="4"/>
              </w:numPr>
            </w:pPr>
            <w:r w:rsidRPr="007B0C0E">
              <w:t xml:space="preserve">While general registration for PhilHealth is not viable at this stage due to constraints of funding support for the payment of premium, MRP may instead push for the registration of </w:t>
            </w:r>
            <w:r w:rsidR="009C57F9">
              <w:t>persons with disabilities (PWDs)</w:t>
            </w:r>
            <w:r w:rsidRPr="007B0C0E">
              <w:t xml:space="preserve">, indigents, </w:t>
            </w:r>
            <w:r w:rsidRPr="007B0C0E">
              <w:lastRenderedPageBreak/>
              <w:t xml:space="preserve">and senior citizens. The MRP may start in the BLM areas. This is a reiteration of the recommendation of CFSI’s project coordinator and assistant coordinator.  </w:t>
            </w:r>
          </w:p>
        </w:tc>
        <w:tc>
          <w:tcPr>
            <w:tcW w:w="4341" w:type="dxa"/>
          </w:tcPr>
          <w:p w14:paraId="62CDEFD6" w14:textId="72F637D0" w:rsidR="00DA0032" w:rsidRPr="007B0C0E" w:rsidRDefault="00F969BF" w:rsidP="00171DB1">
            <w:pPr>
              <w:rPr>
                <w:rFonts w:cstheme="minorHAnsi"/>
              </w:rPr>
            </w:pPr>
            <w:r w:rsidRPr="007B0C0E">
              <w:rPr>
                <w:rFonts w:cstheme="minorHAnsi"/>
                <w:b/>
                <w:bCs/>
                <w:i/>
                <w:iCs/>
              </w:rPr>
              <w:lastRenderedPageBreak/>
              <w:t>Agree</w:t>
            </w:r>
            <w:r w:rsidRPr="007B0C0E">
              <w:rPr>
                <w:rFonts w:cstheme="minorHAnsi"/>
                <w:b/>
                <w:bCs/>
              </w:rPr>
              <w:t>.</w:t>
            </w:r>
            <w:r w:rsidRPr="007B0C0E">
              <w:rPr>
                <w:rFonts w:cstheme="minorHAnsi"/>
              </w:rPr>
              <w:t xml:space="preserve"> CFSI will prioritize indigents, PWDs, and senior citizens for PhilHealth registration.</w:t>
            </w:r>
          </w:p>
        </w:tc>
      </w:tr>
      <w:tr w:rsidR="00F969BF" w:rsidRPr="007B0C0E" w14:paraId="7FAB2B4D" w14:textId="77777777" w:rsidTr="003334F7">
        <w:tc>
          <w:tcPr>
            <w:tcW w:w="4675" w:type="dxa"/>
          </w:tcPr>
          <w:p w14:paraId="341BDD66" w14:textId="5B26FB5B" w:rsidR="00DA0032" w:rsidRPr="007B0C0E" w:rsidRDefault="00A57E54" w:rsidP="00171DB1">
            <w:pPr>
              <w:pStyle w:val="ListParagraph"/>
              <w:numPr>
                <w:ilvl w:val="0"/>
                <w:numId w:val="4"/>
              </w:numPr>
            </w:pPr>
            <w:r w:rsidRPr="007B0C0E">
              <w:rPr>
                <w:lang w:val="en-US"/>
              </w:rPr>
              <w:t xml:space="preserve">Training for CBSL will have to include maintenance of equipment and infrastructure. The planned training on financial management may not be appropriate unless the CBSL is intended to be income-generating. </w:t>
            </w:r>
          </w:p>
        </w:tc>
        <w:tc>
          <w:tcPr>
            <w:tcW w:w="4341" w:type="dxa"/>
          </w:tcPr>
          <w:p w14:paraId="2C09666D" w14:textId="5D4F18BA" w:rsidR="00DA0032" w:rsidRPr="007B0C0E" w:rsidRDefault="00F969BF" w:rsidP="00171DB1">
            <w:pPr>
              <w:rPr>
                <w:rFonts w:cstheme="minorHAnsi"/>
              </w:rPr>
            </w:pPr>
            <w:r w:rsidRPr="007B0C0E">
              <w:rPr>
                <w:rFonts w:cstheme="minorHAnsi"/>
                <w:b/>
                <w:bCs/>
                <w:i/>
                <w:iCs/>
              </w:rPr>
              <w:t>Agree</w:t>
            </w:r>
            <w:r w:rsidRPr="007B0C0E">
              <w:rPr>
                <w:rFonts w:cstheme="minorHAnsi"/>
                <w:b/>
                <w:bCs/>
              </w:rPr>
              <w:t>.</w:t>
            </w:r>
            <w:r w:rsidRPr="007B0C0E">
              <w:rPr>
                <w:rFonts w:cstheme="minorHAnsi"/>
              </w:rPr>
              <w:t xml:space="preserve"> CFSI will monitor the implementation of Operations and Maintenance mechanisms established by CBSL recipients, following the related training facilitated by CFSI in late 2020 and early 2021.</w:t>
            </w:r>
          </w:p>
        </w:tc>
      </w:tr>
      <w:tr w:rsidR="00F969BF" w:rsidRPr="007B0C0E" w14:paraId="62BC860F" w14:textId="77777777" w:rsidTr="003334F7">
        <w:tc>
          <w:tcPr>
            <w:tcW w:w="4675" w:type="dxa"/>
          </w:tcPr>
          <w:p w14:paraId="4982DAD7" w14:textId="72F0146C" w:rsidR="00A57E54" w:rsidRPr="007B0C0E" w:rsidRDefault="00A57E54" w:rsidP="00171DB1">
            <w:pPr>
              <w:pStyle w:val="ListParagraph"/>
              <w:numPr>
                <w:ilvl w:val="0"/>
                <w:numId w:val="4"/>
              </w:numPr>
            </w:pPr>
            <w:r w:rsidRPr="007B0C0E">
              <w:rPr>
                <w:lang w:val="en-US"/>
              </w:rPr>
              <w:t xml:space="preserve">Pursue the planned changes and enhancement of the </w:t>
            </w:r>
            <w:r w:rsidR="00CF48E9">
              <w:rPr>
                <w:lang w:val="en-US"/>
              </w:rPr>
              <w:t>monitoring and evaluation (</w:t>
            </w:r>
            <w:r w:rsidRPr="007B0C0E">
              <w:rPr>
                <w:lang w:val="en-US"/>
              </w:rPr>
              <w:t>M&amp;E</w:t>
            </w:r>
            <w:r w:rsidR="00CF48E9">
              <w:rPr>
                <w:lang w:val="en-US"/>
              </w:rPr>
              <w:t>)</w:t>
            </w:r>
            <w:r w:rsidRPr="007B0C0E">
              <w:rPr>
                <w:lang w:val="en-US"/>
              </w:rPr>
              <w:t xml:space="preserve"> system and framework, including setting up of the database system and the capturing of project outcomes.</w:t>
            </w:r>
          </w:p>
          <w:p w14:paraId="2512288F" w14:textId="36DD1159" w:rsidR="00DA0032" w:rsidRPr="007B0C0E" w:rsidRDefault="00DA0032" w:rsidP="00171DB1">
            <w:pPr>
              <w:rPr>
                <w:rFonts w:cstheme="minorHAnsi"/>
              </w:rPr>
            </w:pPr>
          </w:p>
        </w:tc>
        <w:tc>
          <w:tcPr>
            <w:tcW w:w="4341" w:type="dxa"/>
          </w:tcPr>
          <w:p w14:paraId="44AAAD06" w14:textId="6DE7B8AB" w:rsidR="00DA0032" w:rsidRPr="007B0C0E" w:rsidRDefault="00F969BF" w:rsidP="00171DB1">
            <w:pPr>
              <w:rPr>
                <w:rFonts w:cstheme="minorHAnsi"/>
              </w:rPr>
            </w:pPr>
            <w:r w:rsidRPr="007B0C0E">
              <w:rPr>
                <w:rFonts w:cstheme="minorHAnsi"/>
                <w:b/>
                <w:bCs/>
                <w:i/>
                <w:iCs/>
              </w:rPr>
              <w:t>Agree</w:t>
            </w:r>
            <w:r w:rsidRPr="007B0C0E">
              <w:rPr>
                <w:rFonts w:cstheme="minorHAnsi"/>
                <w:b/>
                <w:bCs/>
              </w:rPr>
              <w:t>.</w:t>
            </w:r>
            <w:r w:rsidRPr="007B0C0E">
              <w:rPr>
                <w:rFonts w:cstheme="minorHAnsi"/>
              </w:rPr>
              <w:t xml:space="preserve"> The current version</w:t>
            </w:r>
            <w:r w:rsidR="006F3471" w:rsidRPr="007B0C0E">
              <w:rPr>
                <w:rFonts w:cstheme="minorHAnsi"/>
              </w:rPr>
              <w:t>s</w:t>
            </w:r>
            <w:r w:rsidRPr="007B0C0E">
              <w:rPr>
                <w:rFonts w:cstheme="minorHAnsi"/>
              </w:rPr>
              <w:t xml:space="preserve"> of </w:t>
            </w:r>
            <w:r w:rsidR="006F3471" w:rsidRPr="007B0C0E">
              <w:rPr>
                <w:rFonts w:cstheme="minorHAnsi"/>
              </w:rPr>
              <w:t xml:space="preserve">the </w:t>
            </w:r>
            <w:r w:rsidRPr="007B0C0E">
              <w:rPr>
                <w:rFonts w:cstheme="minorHAnsi"/>
              </w:rPr>
              <w:t>M&amp;E Framework</w:t>
            </w:r>
            <w:r w:rsidR="006F3471" w:rsidRPr="007B0C0E">
              <w:rPr>
                <w:rFonts w:cstheme="minorHAnsi"/>
              </w:rPr>
              <w:t xml:space="preserve"> as well as the</w:t>
            </w:r>
            <w:r w:rsidRPr="007B0C0E">
              <w:rPr>
                <w:rFonts w:cstheme="minorHAnsi"/>
              </w:rPr>
              <w:t xml:space="preserve"> database </w:t>
            </w:r>
            <w:r w:rsidR="006F3471" w:rsidRPr="007B0C0E">
              <w:rPr>
                <w:rFonts w:cstheme="minorHAnsi"/>
              </w:rPr>
              <w:t>were established</w:t>
            </w:r>
            <w:r w:rsidRPr="007B0C0E">
              <w:rPr>
                <w:rFonts w:cstheme="minorHAnsi"/>
              </w:rPr>
              <w:t xml:space="preserve"> in early 2019. Project outcome will be measured using outcome indicators per component through surveys and </w:t>
            </w:r>
            <w:r w:rsidR="009F0C0F" w:rsidRPr="007B0C0E">
              <w:rPr>
                <w:rFonts w:cstheme="minorHAnsi"/>
              </w:rPr>
              <w:t>focus group discussions (</w:t>
            </w:r>
            <w:r w:rsidRPr="007B0C0E">
              <w:rPr>
                <w:rFonts w:cstheme="minorHAnsi"/>
              </w:rPr>
              <w:t>FGDs</w:t>
            </w:r>
            <w:r w:rsidR="009F0C0F" w:rsidRPr="007B0C0E">
              <w:rPr>
                <w:rFonts w:cstheme="minorHAnsi"/>
              </w:rPr>
              <w:t>)</w:t>
            </w:r>
            <w:r w:rsidRPr="007B0C0E">
              <w:rPr>
                <w:rFonts w:cstheme="minorHAnsi"/>
              </w:rPr>
              <w:t>.</w:t>
            </w:r>
          </w:p>
        </w:tc>
      </w:tr>
      <w:tr w:rsidR="00F969BF" w:rsidRPr="007B0C0E" w14:paraId="6436E01A" w14:textId="77777777" w:rsidTr="003334F7">
        <w:tc>
          <w:tcPr>
            <w:tcW w:w="4675" w:type="dxa"/>
          </w:tcPr>
          <w:p w14:paraId="5EF97A0C" w14:textId="17A5981F" w:rsidR="00DA0032" w:rsidRPr="007B0C0E" w:rsidRDefault="00A57E54" w:rsidP="00171DB1">
            <w:pPr>
              <w:pStyle w:val="ListParagraph"/>
              <w:numPr>
                <w:ilvl w:val="0"/>
                <w:numId w:val="4"/>
              </w:numPr>
            </w:pPr>
            <w:r w:rsidRPr="007B0C0E">
              <w:t xml:space="preserve">Under the referral pathways, members of the community are encouraged to report violence against women and children. The MTR reiterates the need to flag possible risks to referral pathway processes and protocols to protect the referees from possible retaliation by the suspect. </w:t>
            </w:r>
          </w:p>
        </w:tc>
        <w:tc>
          <w:tcPr>
            <w:tcW w:w="4341" w:type="dxa"/>
          </w:tcPr>
          <w:p w14:paraId="23CC005E" w14:textId="395B1D9F" w:rsidR="00DA0032" w:rsidRPr="007B0C0E" w:rsidRDefault="00F969BF" w:rsidP="00171DB1">
            <w:pPr>
              <w:rPr>
                <w:rFonts w:cstheme="minorHAnsi"/>
              </w:rPr>
            </w:pPr>
            <w:r w:rsidRPr="007B0C0E">
              <w:rPr>
                <w:rFonts w:cstheme="minorHAnsi"/>
                <w:b/>
                <w:bCs/>
                <w:i/>
                <w:iCs/>
              </w:rPr>
              <w:t>Partially Agree</w:t>
            </w:r>
            <w:r w:rsidRPr="007B0C0E">
              <w:rPr>
                <w:rFonts w:cstheme="minorHAnsi"/>
                <w:b/>
                <w:bCs/>
              </w:rPr>
              <w:t>.</w:t>
            </w:r>
            <w:r w:rsidRPr="007B0C0E">
              <w:rPr>
                <w:rFonts w:cstheme="minorHAnsi"/>
              </w:rPr>
              <w:t xml:space="preserve"> Operational implementation of referral pathways is shared among service providers from the government and other humanitarian organizations. CFSI will assess the risks, identify protocols to protect referees, and raise the issue to coordination platforms.</w:t>
            </w:r>
          </w:p>
        </w:tc>
      </w:tr>
      <w:tr w:rsidR="00F969BF" w:rsidRPr="007B0C0E" w14:paraId="57936FF2" w14:textId="77777777" w:rsidTr="003334F7">
        <w:tc>
          <w:tcPr>
            <w:tcW w:w="4675" w:type="dxa"/>
            <w:tcBorders>
              <w:bottom w:val="single" w:sz="4" w:space="0" w:color="auto"/>
            </w:tcBorders>
          </w:tcPr>
          <w:p w14:paraId="39E06571" w14:textId="27F425D4" w:rsidR="00DA0032" w:rsidRPr="007B0C0E" w:rsidRDefault="00A57E54" w:rsidP="00171DB1">
            <w:pPr>
              <w:pStyle w:val="ListParagraph"/>
              <w:numPr>
                <w:ilvl w:val="0"/>
                <w:numId w:val="4"/>
              </w:numPr>
            </w:pPr>
            <w:r w:rsidRPr="007B0C0E">
              <w:t xml:space="preserve">Because 2021 marks the start of the 2022 election season, CFSI may want to embark on a regular political and security analysis per municipality as part of its risk management. It is important that the locals are informed of the regional political dynamics. This way, CFSI will be able to insulate the project from partisan politics.  It is </w:t>
            </w:r>
            <w:r w:rsidRPr="007B0C0E">
              <w:rPr>
                <w:noProof/>
              </w:rPr>
              <w:t>worth noting that during the campaign period, politicians tend to piggyback on community activities to increase their community exposure and visibility.</w:t>
            </w:r>
          </w:p>
        </w:tc>
        <w:tc>
          <w:tcPr>
            <w:tcW w:w="4341" w:type="dxa"/>
            <w:tcBorders>
              <w:bottom w:val="single" w:sz="4" w:space="0" w:color="auto"/>
            </w:tcBorders>
          </w:tcPr>
          <w:p w14:paraId="70A07AC9" w14:textId="1CE9A4CA" w:rsidR="00DA0032" w:rsidRPr="007B0C0E" w:rsidRDefault="00F969BF" w:rsidP="00171DB1">
            <w:pPr>
              <w:rPr>
                <w:rFonts w:cstheme="minorHAnsi"/>
              </w:rPr>
            </w:pPr>
            <w:r w:rsidRPr="007B0C0E">
              <w:rPr>
                <w:rFonts w:cstheme="minorHAnsi"/>
                <w:b/>
                <w:bCs/>
                <w:i/>
                <w:iCs/>
              </w:rPr>
              <w:t>Agree</w:t>
            </w:r>
            <w:r w:rsidRPr="007B0C0E">
              <w:rPr>
                <w:rFonts w:cstheme="minorHAnsi"/>
                <w:b/>
                <w:bCs/>
              </w:rPr>
              <w:t>.</w:t>
            </w:r>
            <w:r w:rsidRPr="007B0C0E">
              <w:rPr>
                <w:rFonts w:cstheme="minorHAnsi"/>
              </w:rPr>
              <w:t xml:space="preserve"> CFSI will continue to monitor key developments in the operating environment and regularly update the risk register.</w:t>
            </w:r>
          </w:p>
        </w:tc>
      </w:tr>
    </w:tbl>
    <w:p w14:paraId="72E4DBDF" w14:textId="18E2756D" w:rsidR="0071778F" w:rsidRDefault="00176629" w:rsidP="00176629">
      <w:pPr>
        <w:pStyle w:val="Heading3"/>
        <w:spacing w:before="240"/>
      </w:pPr>
      <w:r>
        <w:t>Recommendations for DFAT</w:t>
      </w:r>
    </w:p>
    <w:tbl>
      <w:tblPr>
        <w:tblStyle w:val="TableGrid"/>
        <w:tblW w:w="0" w:type="auto"/>
        <w:tblLook w:val="04A0" w:firstRow="1" w:lastRow="0" w:firstColumn="1" w:lastColumn="0" w:noHBand="0" w:noVBand="1"/>
      </w:tblPr>
      <w:tblGrid>
        <w:gridCol w:w="4675"/>
        <w:gridCol w:w="4341"/>
      </w:tblGrid>
      <w:tr w:rsidR="0071778F" w:rsidRPr="007B0C0E" w14:paraId="003A8803" w14:textId="77777777" w:rsidTr="00176629">
        <w:trPr>
          <w:tblHeader/>
        </w:trPr>
        <w:tc>
          <w:tcPr>
            <w:tcW w:w="4675" w:type="dxa"/>
          </w:tcPr>
          <w:p w14:paraId="7AC75A13" w14:textId="0B106EAC" w:rsidR="0071778F" w:rsidRPr="0071778F" w:rsidRDefault="0071778F" w:rsidP="0071778F">
            <w:pPr>
              <w:jc w:val="center"/>
              <w:rPr>
                <w:rFonts w:cstheme="minorHAnsi"/>
              </w:rPr>
            </w:pPr>
            <w:r w:rsidRPr="0071778F">
              <w:rPr>
                <w:rFonts w:asciiTheme="majorHAnsi" w:hAnsiTheme="majorHAnsi" w:cstheme="majorHAnsi"/>
                <w:b/>
                <w:bCs/>
              </w:rPr>
              <w:t>RECOMMENDATIONS</w:t>
            </w:r>
          </w:p>
        </w:tc>
        <w:tc>
          <w:tcPr>
            <w:tcW w:w="4341" w:type="dxa"/>
          </w:tcPr>
          <w:p w14:paraId="4CD771EE" w14:textId="13759E89" w:rsidR="0071778F" w:rsidRPr="0071778F" w:rsidRDefault="0071778F" w:rsidP="00176629">
            <w:pPr>
              <w:jc w:val="center"/>
              <w:rPr>
                <w:rFonts w:cstheme="minorHAnsi"/>
                <w:b/>
                <w:bCs/>
              </w:rPr>
            </w:pPr>
            <w:r w:rsidRPr="007B0C0E">
              <w:rPr>
                <w:rFonts w:asciiTheme="majorHAnsi" w:hAnsiTheme="majorHAnsi" w:cstheme="majorHAnsi"/>
                <w:b/>
                <w:bCs/>
              </w:rPr>
              <w:t>RESPONSE</w:t>
            </w:r>
            <w:r w:rsidRPr="007B0C0E">
              <w:rPr>
                <w:rFonts w:asciiTheme="majorHAnsi" w:hAnsiTheme="majorHAnsi" w:cstheme="majorHAnsi"/>
                <w:b/>
                <w:bCs/>
              </w:rPr>
              <w:br/>
              <w:t>(Agree/Partially Agree/Disagree)</w:t>
            </w:r>
          </w:p>
        </w:tc>
      </w:tr>
      <w:tr w:rsidR="007B0C0E" w:rsidRPr="007B0C0E" w14:paraId="40493D5B" w14:textId="77777777" w:rsidTr="003334F7">
        <w:tc>
          <w:tcPr>
            <w:tcW w:w="4675" w:type="dxa"/>
          </w:tcPr>
          <w:p w14:paraId="7B52E3F5" w14:textId="5F2511FA" w:rsidR="007B0C0E" w:rsidRPr="0071778F" w:rsidRDefault="007B0C0E" w:rsidP="0071778F">
            <w:pPr>
              <w:pStyle w:val="ListParagraph"/>
              <w:numPr>
                <w:ilvl w:val="0"/>
                <w:numId w:val="13"/>
              </w:numPr>
              <w:ind w:left="306"/>
              <w:rPr>
                <w:rFonts w:cstheme="minorHAnsi"/>
              </w:rPr>
            </w:pPr>
            <w:r w:rsidRPr="0071778F">
              <w:rPr>
                <w:rFonts w:cstheme="minorHAnsi"/>
              </w:rPr>
              <w:t>Initiate the setting up of a mechanism for coordination, sharing of experiences, and pooling of resources among all DFAT-supported projects in the area. This can initially be introduced by DFAT through the development of the terms of reference for coordination to be replicated at the level of project operations.</w:t>
            </w:r>
          </w:p>
        </w:tc>
        <w:tc>
          <w:tcPr>
            <w:tcW w:w="4341" w:type="dxa"/>
          </w:tcPr>
          <w:p w14:paraId="36003049" w14:textId="35399E91" w:rsidR="007B0C0E" w:rsidRPr="007B0C0E" w:rsidRDefault="007B0C0E" w:rsidP="00171DB1">
            <w:pPr>
              <w:rPr>
                <w:rFonts w:cstheme="minorHAnsi"/>
                <w:b/>
                <w:bCs/>
                <w:i/>
                <w:iCs/>
              </w:rPr>
            </w:pPr>
            <w:r w:rsidRPr="007B0C0E">
              <w:rPr>
                <w:rFonts w:cstheme="minorHAnsi"/>
                <w:b/>
                <w:bCs/>
                <w:i/>
                <w:iCs/>
              </w:rPr>
              <w:t>Partially Agree</w:t>
            </w:r>
            <w:r w:rsidRPr="007B0C0E">
              <w:rPr>
                <w:rFonts w:cstheme="minorHAnsi"/>
                <w:b/>
                <w:bCs/>
              </w:rPr>
              <w:t>.</w:t>
            </w:r>
            <w:r w:rsidRPr="007B0C0E">
              <w:rPr>
                <w:rFonts w:cstheme="minorHAnsi"/>
              </w:rPr>
              <w:t xml:space="preserve"> While DFAT has been encouraging its partners working in Marawi to coordinate their activities, no formal coordination mechanism has been set up. Prior to the pandemic, DFAT initiated a joint monitoring among partners in Marawi, which DFAT intends to hold more consistently along with regular coordination meetings.</w:t>
            </w:r>
          </w:p>
        </w:tc>
      </w:tr>
      <w:tr w:rsidR="00F969BF" w:rsidRPr="007B0C0E" w14:paraId="1176804C" w14:textId="77777777" w:rsidTr="003334F7">
        <w:tc>
          <w:tcPr>
            <w:tcW w:w="4675" w:type="dxa"/>
          </w:tcPr>
          <w:p w14:paraId="654F6241" w14:textId="2A2EB7E1" w:rsidR="00F969BF" w:rsidRPr="007B0C0E" w:rsidRDefault="00F969BF" w:rsidP="0071778F">
            <w:pPr>
              <w:pStyle w:val="ListParagraph"/>
              <w:numPr>
                <w:ilvl w:val="0"/>
                <w:numId w:val="13"/>
              </w:numPr>
              <w:ind w:left="306"/>
              <w:rPr>
                <w:rFonts w:cstheme="minorHAnsi"/>
              </w:rPr>
            </w:pPr>
            <w:r w:rsidRPr="007B0C0E">
              <w:rPr>
                <w:rFonts w:cstheme="minorHAnsi"/>
              </w:rPr>
              <w:t xml:space="preserve">With CFSI and or through the PSC, to modify/recalibrate targets on PhilHealth </w:t>
            </w:r>
            <w:r w:rsidRPr="007B0C0E">
              <w:rPr>
                <w:rFonts w:cstheme="minorHAnsi"/>
              </w:rPr>
              <w:lastRenderedPageBreak/>
              <w:t>related deliverables. This is important for CFSI for the remaining months of the project, so they can make the necessary work planning based on the new official targets that will be agreed upon.</w:t>
            </w:r>
          </w:p>
        </w:tc>
        <w:tc>
          <w:tcPr>
            <w:tcW w:w="4341" w:type="dxa"/>
          </w:tcPr>
          <w:p w14:paraId="317931C1" w14:textId="3167390B" w:rsidR="00F969BF" w:rsidRPr="007B0C0E" w:rsidRDefault="00F969BF" w:rsidP="00171DB1">
            <w:pPr>
              <w:rPr>
                <w:rFonts w:cstheme="minorHAnsi"/>
              </w:rPr>
            </w:pPr>
            <w:r w:rsidRPr="007B0C0E">
              <w:rPr>
                <w:rFonts w:cstheme="minorHAnsi"/>
                <w:b/>
                <w:bCs/>
                <w:i/>
                <w:iCs/>
              </w:rPr>
              <w:lastRenderedPageBreak/>
              <w:t>Agree</w:t>
            </w:r>
            <w:r w:rsidRPr="007B0C0E">
              <w:rPr>
                <w:rFonts w:cstheme="minorHAnsi"/>
                <w:b/>
                <w:bCs/>
              </w:rPr>
              <w:t>.</w:t>
            </w:r>
            <w:r w:rsidRPr="007B0C0E">
              <w:rPr>
                <w:rFonts w:cstheme="minorHAnsi"/>
              </w:rPr>
              <w:t xml:space="preserve"> DFAT has discussed this with CFSI, </w:t>
            </w:r>
            <w:r w:rsidR="00B70722" w:rsidRPr="007B0C0E">
              <w:rPr>
                <w:rFonts w:cstheme="minorHAnsi"/>
              </w:rPr>
              <w:t>which is</w:t>
            </w:r>
            <w:r w:rsidRPr="007B0C0E">
              <w:rPr>
                <w:rFonts w:cstheme="minorHAnsi"/>
              </w:rPr>
              <w:t xml:space="preserve"> now prioritising PhilHealth </w:t>
            </w:r>
            <w:r w:rsidRPr="007B0C0E">
              <w:rPr>
                <w:rFonts w:cstheme="minorHAnsi"/>
              </w:rPr>
              <w:lastRenderedPageBreak/>
              <w:t xml:space="preserve">registration of indigents, PWDs, and senior citizens to help meet the MRP’s targets. </w:t>
            </w:r>
            <w:r w:rsidR="0002751E" w:rsidRPr="007B0C0E">
              <w:rPr>
                <w:rFonts w:cstheme="minorHAnsi"/>
              </w:rPr>
              <w:t>R</w:t>
            </w:r>
            <w:r w:rsidR="00B70722" w:rsidRPr="007B0C0E">
              <w:rPr>
                <w:rFonts w:cstheme="minorHAnsi"/>
              </w:rPr>
              <w:t>e</w:t>
            </w:r>
            <w:r w:rsidR="0002751E" w:rsidRPr="007B0C0E">
              <w:rPr>
                <w:rFonts w:cstheme="minorHAnsi"/>
              </w:rPr>
              <w:t>vised</w:t>
            </w:r>
            <w:r w:rsidR="00B70722" w:rsidRPr="007B0C0E">
              <w:rPr>
                <w:rFonts w:cstheme="minorHAnsi"/>
              </w:rPr>
              <w:t xml:space="preserve"> indicator</w:t>
            </w:r>
            <w:r w:rsidR="0002751E" w:rsidRPr="007B0C0E">
              <w:rPr>
                <w:rFonts w:cstheme="minorHAnsi"/>
              </w:rPr>
              <w:t xml:space="preserve"> and corresponding target</w:t>
            </w:r>
            <w:r w:rsidR="00B70722" w:rsidRPr="007B0C0E">
              <w:rPr>
                <w:rFonts w:cstheme="minorHAnsi"/>
              </w:rPr>
              <w:t xml:space="preserve"> </w:t>
            </w:r>
            <w:r w:rsidR="00682CCF" w:rsidRPr="007B0C0E">
              <w:rPr>
                <w:rFonts w:cstheme="minorHAnsi"/>
              </w:rPr>
              <w:t xml:space="preserve">on PhilHealth registration </w:t>
            </w:r>
            <w:r w:rsidR="0002751E" w:rsidRPr="007B0C0E">
              <w:rPr>
                <w:rFonts w:cstheme="minorHAnsi"/>
              </w:rPr>
              <w:t>have</w:t>
            </w:r>
            <w:r w:rsidR="00B70722" w:rsidRPr="007B0C0E">
              <w:rPr>
                <w:rFonts w:cstheme="minorHAnsi"/>
              </w:rPr>
              <w:t xml:space="preserve"> also been proposed</w:t>
            </w:r>
            <w:r w:rsidR="0002751E" w:rsidRPr="007B0C0E">
              <w:rPr>
                <w:rFonts w:cstheme="minorHAnsi"/>
              </w:rPr>
              <w:t xml:space="preserve"> by CFSI to DFAT.</w:t>
            </w:r>
            <w:r w:rsidR="00B70722" w:rsidRPr="007B0C0E">
              <w:rPr>
                <w:rFonts w:cstheme="minorHAnsi"/>
              </w:rPr>
              <w:t xml:space="preserve"> </w:t>
            </w:r>
            <w:r w:rsidRPr="007B0C0E">
              <w:rPr>
                <w:rFonts w:cstheme="minorHAnsi"/>
              </w:rPr>
              <w:t>DFAT</w:t>
            </w:r>
            <w:r w:rsidR="00535240" w:rsidRPr="007B0C0E">
              <w:rPr>
                <w:rFonts w:cstheme="minorHAnsi"/>
              </w:rPr>
              <w:t xml:space="preserve"> and CFSI</w:t>
            </w:r>
            <w:r w:rsidRPr="007B0C0E">
              <w:rPr>
                <w:rFonts w:cstheme="minorHAnsi"/>
              </w:rPr>
              <w:t xml:space="preserve"> will </w:t>
            </w:r>
            <w:r w:rsidR="00535240" w:rsidRPr="007B0C0E">
              <w:rPr>
                <w:rFonts w:cstheme="minorHAnsi"/>
              </w:rPr>
              <w:t>inform the PSC of the recalibrat</w:t>
            </w:r>
            <w:r w:rsidR="00A02151" w:rsidRPr="007B0C0E">
              <w:rPr>
                <w:rFonts w:cstheme="minorHAnsi"/>
              </w:rPr>
              <w:t>ed indicator and target</w:t>
            </w:r>
            <w:r w:rsidR="00535240" w:rsidRPr="007B0C0E">
              <w:rPr>
                <w:rFonts w:cstheme="minorHAnsi"/>
              </w:rPr>
              <w:t xml:space="preserve"> during the PSC meeting in June 2021</w:t>
            </w:r>
            <w:r w:rsidRPr="007B0C0E">
              <w:rPr>
                <w:rFonts w:cstheme="minorHAnsi"/>
              </w:rPr>
              <w:t>.</w:t>
            </w:r>
          </w:p>
        </w:tc>
      </w:tr>
    </w:tbl>
    <w:p w14:paraId="325D9AE5" w14:textId="77777777" w:rsidR="00CC2BCE" w:rsidRPr="00F969BF" w:rsidRDefault="00CC2BCE" w:rsidP="00171DB1">
      <w:pPr>
        <w:rPr>
          <w:rFonts w:cstheme="minorHAnsi"/>
        </w:rPr>
      </w:pPr>
    </w:p>
    <w:sectPr w:rsidR="00CC2BCE" w:rsidRPr="00F969BF" w:rsidSect="008849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9282C" w14:textId="77777777" w:rsidR="00472C76" w:rsidRDefault="00472C76" w:rsidP="007B4B4D">
      <w:pPr>
        <w:spacing w:after="0" w:line="240" w:lineRule="auto"/>
      </w:pPr>
      <w:r>
        <w:separator/>
      </w:r>
    </w:p>
  </w:endnote>
  <w:endnote w:type="continuationSeparator" w:id="0">
    <w:p w14:paraId="670F850C" w14:textId="77777777" w:rsidR="00472C76" w:rsidRDefault="00472C76" w:rsidP="007B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1544F" w14:textId="77777777" w:rsidR="00472C76" w:rsidRDefault="00472C76" w:rsidP="007B4B4D">
      <w:pPr>
        <w:spacing w:after="0" w:line="240" w:lineRule="auto"/>
      </w:pPr>
      <w:r>
        <w:separator/>
      </w:r>
    </w:p>
  </w:footnote>
  <w:footnote w:type="continuationSeparator" w:id="0">
    <w:p w14:paraId="490BC00E" w14:textId="77777777" w:rsidR="00472C76" w:rsidRDefault="00472C76" w:rsidP="007B4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F0B94"/>
    <w:multiLevelType w:val="hybridMultilevel"/>
    <w:tmpl w:val="A0682A3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19A158D4"/>
    <w:multiLevelType w:val="hybridMultilevel"/>
    <w:tmpl w:val="A0682A3A"/>
    <w:lvl w:ilvl="0" w:tplc="6102E1B8">
      <w:start w:val="1"/>
      <w:numFmt w:val="decimal"/>
      <w:lvlText w:val="%1)"/>
      <w:lvlJc w:val="left"/>
      <w:pPr>
        <w:tabs>
          <w:tab w:val="num" w:pos="720"/>
        </w:tabs>
        <w:ind w:left="720" w:hanging="360"/>
      </w:pPr>
    </w:lvl>
    <w:lvl w:ilvl="1" w:tplc="F69C6222" w:tentative="1">
      <w:start w:val="1"/>
      <w:numFmt w:val="decimal"/>
      <w:lvlText w:val="%2)"/>
      <w:lvlJc w:val="left"/>
      <w:pPr>
        <w:tabs>
          <w:tab w:val="num" w:pos="1440"/>
        </w:tabs>
        <w:ind w:left="1440" w:hanging="360"/>
      </w:pPr>
    </w:lvl>
    <w:lvl w:ilvl="2" w:tplc="3146CCAC" w:tentative="1">
      <w:start w:val="1"/>
      <w:numFmt w:val="decimal"/>
      <w:lvlText w:val="%3)"/>
      <w:lvlJc w:val="left"/>
      <w:pPr>
        <w:tabs>
          <w:tab w:val="num" w:pos="2160"/>
        </w:tabs>
        <w:ind w:left="2160" w:hanging="360"/>
      </w:pPr>
    </w:lvl>
    <w:lvl w:ilvl="3" w:tplc="5D726BDA" w:tentative="1">
      <w:start w:val="1"/>
      <w:numFmt w:val="decimal"/>
      <w:lvlText w:val="%4)"/>
      <w:lvlJc w:val="left"/>
      <w:pPr>
        <w:tabs>
          <w:tab w:val="num" w:pos="2880"/>
        </w:tabs>
        <w:ind w:left="2880" w:hanging="360"/>
      </w:pPr>
    </w:lvl>
    <w:lvl w:ilvl="4" w:tplc="E4C4CA68" w:tentative="1">
      <w:start w:val="1"/>
      <w:numFmt w:val="decimal"/>
      <w:lvlText w:val="%5)"/>
      <w:lvlJc w:val="left"/>
      <w:pPr>
        <w:tabs>
          <w:tab w:val="num" w:pos="3600"/>
        </w:tabs>
        <w:ind w:left="3600" w:hanging="360"/>
      </w:pPr>
    </w:lvl>
    <w:lvl w:ilvl="5" w:tplc="793EA748" w:tentative="1">
      <w:start w:val="1"/>
      <w:numFmt w:val="decimal"/>
      <w:lvlText w:val="%6)"/>
      <w:lvlJc w:val="left"/>
      <w:pPr>
        <w:tabs>
          <w:tab w:val="num" w:pos="4320"/>
        </w:tabs>
        <w:ind w:left="4320" w:hanging="360"/>
      </w:pPr>
    </w:lvl>
    <w:lvl w:ilvl="6" w:tplc="21C836E8" w:tentative="1">
      <w:start w:val="1"/>
      <w:numFmt w:val="decimal"/>
      <w:lvlText w:val="%7)"/>
      <w:lvlJc w:val="left"/>
      <w:pPr>
        <w:tabs>
          <w:tab w:val="num" w:pos="5040"/>
        </w:tabs>
        <w:ind w:left="5040" w:hanging="360"/>
      </w:pPr>
    </w:lvl>
    <w:lvl w:ilvl="7" w:tplc="E7F07490" w:tentative="1">
      <w:start w:val="1"/>
      <w:numFmt w:val="decimal"/>
      <w:lvlText w:val="%8)"/>
      <w:lvlJc w:val="left"/>
      <w:pPr>
        <w:tabs>
          <w:tab w:val="num" w:pos="5760"/>
        </w:tabs>
        <w:ind w:left="5760" w:hanging="360"/>
      </w:pPr>
    </w:lvl>
    <w:lvl w:ilvl="8" w:tplc="4C862B1C" w:tentative="1">
      <w:start w:val="1"/>
      <w:numFmt w:val="decimal"/>
      <w:lvlText w:val="%9)"/>
      <w:lvlJc w:val="left"/>
      <w:pPr>
        <w:tabs>
          <w:tab w:val="num" w:pos="6480"/>
        </w:tabs>
        <w:ind w:left="6480" w:hanging="360"/>
      </w:pPr>
    </w:lvl>
  </w:abstractNum>
  <w:abstractNum w:abstractNumId="2" w15:restartNumberingAfterBreak="0">
    <w:nsid w:val="2C2F3789"/>
    <w:multiLevelType w:val="hybridMultilevel"/>
    <w:tmpl w:val="499406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BD54F6"/>
    <w:multiLevelType w:val="hybridMultilevel"/>
    <w:tmpl w:val="7340EB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2B5B92"/>
    <w:multiLevelType w:val="hybridMultilevel"/>
    <w:tmpl w:val="A0682A3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 w15:restartNumberingAfterBreak="0">
    <w:nsid w:val="42A57F4E"/>
    <w:multiLevelType w:val="hybridMultilevel"/>
    <w:tmpl w:val="5292F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90C1F"/>
    <w:multiLevelType w:val="hybridMultilevel"/>
    <w:tmpl w:val="A0682A3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 w15:restartNumberingAfterBreak="0">
    <w:nsid w:val="48911A5C"/>
    <w:multiLevelType w:val="hybridMultilevel"/>
    <w:tmpl w:val="ADEA5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37063E"/>
    <w:multiLevelType w:val="hybridMultilevel"/>
    <w:tmpl w:val="A0682A3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9" w15:restartNumberingAfterBreak="0">
    <w:nsid w:val="5C5B51E4"/>
    <w:multiLevelType w:val="hybridMultilevel"/>
    <w:tmpl w:val="9FA89B0C"/>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1517A6"/>
    <w:multiLevelType w:val="hybridMultilevel"/>
    <w:tmpl w:val="8D7E86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E9552B"/>
    <w:multiLevelType w:val="hybridMultilevel"/>
    <w:tmpl w:val="A0682A3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2" w15:restartNumberingAfterBreak="0">
    <w:nsid w:val="7DE630BC"/>
    <w:multiLevelType w:val="hybridMultilevel"/>
    <w:tmpl w:val="A0682A3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abstractNumId w:val="10"/>
  </w:num>
  <w:num w:numId="2">
    <w:abstractNumId w:val="3"/>
  </w:num>
  <w:num w:numId="3">
    <w:abstractNumId w:val="1"/>
  </w:num>
  <w:num w:numId="4">
    <w:abstractNumId w:val="7"/>
  </w:num>
  <w:num w:numId="5">
    <w:abstractNumId w:val="0"/>
  </w:num>
  <w:num w:numId="6">
    <w:abstractNumId w:val="8"/>
  </w:num>
  <w:num w:numId="7">
    <w:abstractNumId w:val="6"/>
  </w:num>
  <w:num w:numId="8">
    <w:abstractNumId w:val="12"/>
  </w:num>
  <w:num w:numId="9">
    <w:abstractNumId w:val="11"/>
  </w:num>
  <w:num w:numId="10">
    <w:abstractNumId w:val="4"/>
  </w:num>
  <w:num w:numId="11">
    <w:abstractNumId w:val="9"/>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CE"/>
    <w:rsid w:val="00025484"/>
    <w:rsid w:val="0002751E"/>
    <w:rsid w:val="00047FA4"/>
    <w:rsid w:val="00062A2D"/>
    <w:rsid w:val="00094DA3"/>
    <w:rsid w:val="000B3F04"/>
    <w:rsid w:val="000B64D9"/>
    <w:rsid w:val="000E1925"/>
    <w:rsid w:val="000F12B6"/>
    <w:rsid w:val="000F6618"/>
    <w:rsid w:val="001668EF"/>
    <w:rsid w:val="00171DB1"/>
    <w:rsid w:val="00176629"/>
    <w:rsid w:val="001825F1"/>
    <w:rsid w:val="00306B7E"/>
    <w:rsid w:val="003179D9"/>
    <w:rsid w:val="003334F7"/>
    <w:rsid w:val="003409F1"/>
    <w:rsid w:val="00347A5F"/>
    <w:rsid w:val="00353D47"/>
    <w:rsid w:val="003A55E7"/>
    <w:rsid w:val="003A60F4"/>
    <w:rsid w:val="003B1776"/>
    <w:rsid w:val="003F44BB"/>
    <w:rsid w:val="0041412E"/>
    <w:rsid w:val="004719E3"/>
    <w:rsid w:val="00472C76"/>
    <w:rsid w:val="00476450"/>
    <w:rsid w:val="004850D3"/>
    <w:rsid w:val="00490DBD"/>
    <w:rsid w:val="00514B32"/>
    <w:rsid w:val="00514DA1"/>
    <w:rsid w:val="00535240"/>
    <w:rsid w:val="005458E4"/>
    <w:rsid w:val="005858D7"/>
    <w:rsid w:val="005A5543"/>
    <w:rsid w:val="0063110E"/>
    <w:rsid w:val="00650FB1"/>
    <w:rsid w:val="00655AE1"/>
    <w:rsid w:val="00670813"/>
    <w:rsid w:val="00680249"/>
    <w:rsid w:val="00682CCF"/>
    <w:rsid w:val="006F3471"/>
    <w:rsid w:val="007139A0"/>
    <w:rsid w:val="0071778F"/>
    <w:rsid w:val="00720D9A"/>
    <w:rsid w:val="00760547"/>
    <w:rsid w:val="007B0C0E"/>
    <w:rsid w:val="007B4B4D"/>
    <w:rsid w:val="007C272B"/>
    <w:rsid w:val="007F69F4"/>
    <w:rsid w:val="008165C1"/>
    <w:rsid w:val="00822401"/>
    <w:rsid w:val="00842D2F"/>
    <w:rsid w:val="00860A38"/>
    <w:rsid w:val="00863844"/>
    <w:rsid w:val="00884938"/>
    <w:rsid w:val="008A2CE5"/>
    <w:rsid w:val="008C31DF"/>
    <w:rsid w:val="00921E52"/>
    <w:rsid w:val="009A0767"/>
    <w:rsid w:val="009B7ACC"/>
    <w:rsid w:val="009C43FB"/>
    <w:rsid w:val="009C57F9"/>
    <w:rsid w:val="009E1975"/>
    <w:rsid w:val="009F0C0F"/>
    <w:rsid w:val="00A02151"/>
    <w:rsid w:val="00A40C84"/>
    <w:rsid w:val="00A57E54"/>
    <w:rsid w:val="00A870BC"/>
    <w:rsid w:val="00AB49C4"/>
    <w:rsid w:val="00B12977"/>
    <w:rsid w:val="00B4069F"/>
    <w:rsid w:val="00B43B08"/>
    <w:rsid w:val="00B47E3D"/>
    <w:rsid w:val="00B560F3"/>
    <w:rsid w:val="00B70722"/>
    <w:rsid w:val="00B90473"/>
    <w:rsid w:val="00C066DC"/>
    <w:rsid w:val="00C31935"/>
    <w:rsid w:val="00C51CA0"/>
    <w:rsid w:val="00C6684A"/>
    <w:rsid w:val="00CA4998"/>
    <w:rsid w:val="00CC1B69"/>
    <w:rsid w:val="00CC2BCE"/>
    <w:rsid w:val="00CE0E17"/>
    <w:rsid w:val="00CE6432"/>
    <w:rsid w:val="00CF48E9"/>
    <w:rsid w:val="00D41756"/>
    <w:rsid w:val="00D54DCF"/>
    <w:rsid w:val="00D77985"/>
    <w:rsid w:val="00D81AAB"/>
    <w:rsid w:val="00DA0032"/>
    <w:rsid w:val="00DD3992"/>
    <w:rsid w:val="00E222E9"/>
    <w:rsid w:val="00E41FFF"/>
    <w:rsid w:val="00EA3CDE"/>
    <w:rsid w:val="00EE39C3"/>
    <w:rsid w:val="00F32778"/>
    <w:rsid w:val="00F95C62"/>
    <w:rsid w:val="00F96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B63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4F7"/>
    <w:pPr>
      <w:keepNext/>
      <w:keepLines/>
      <w:spacing w:before="240" w:after="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3334F7"/>
    <w:pPr>
      <w:keepNext/>
      <w:keepLines/>
      <w:spacing w:before="40" w:after="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71778F"/>
    <w:pPr>
      <w:keepNext/>
      <w:keepLines/>
      <w:spacing w:before="40" w:after="0"/>
      <w:outlineLvl w:val="2"/>
    </w:pPr>
    <w:rPr>
      <w:rFonts w:asciiTheme="majorHAnsi" w:eastAsiaTheme="majorEastAsia" w:hAnsiTheme="majorHAnsi"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BCE"/>
    <w:pPr>
      <w:ind w:left="720"/>
      <w:contextualSpacing/>
    </w:pPr>
  </w:style>
  <w:style w:type="paragraph" w:styleId="BalloonText">
    <w:name w:val="Balloon Text"/>
    <w:basedOn w:val="Normal"/>
    <w:link w:val="BalloonTextChar"/>
    <w:uiPriority w:val="99"/>
    <w:semiHidden/>
    <w:unhideWhenUsed/>
    <w:rsid w:val="007B4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B4D"/>
    <w:rPr>
      <w:rFonts w:ascii="Segoe UI" w:hAnsi="Segoe UI" w:cs="Segoe UI"/>
      <w:sz w:val="18"/>
      <w:szCs w:val="18"/>
    </w:rPr>
  </w:style>
  <w:style w:type="character" w:styleId="CommentReference">
    <w:name w:val="annotation reference"/>
    <w:basedOn w:val="DefaultParagraphFont"/>
    <w:uiPriority w:val="99"/>
    <w:semiHidden/>
    <w:unhideWhenUsed/>
    <w:rsid w:val="00062A2D"/>
    <w:rPr>
      <w:sz w:val="16"/>
      <w:szCs w:val="16"/>
    </w:rPr>
  </w:style>
  <w:style w:type="paragraph" w:styleId="CommentText">
    <w:name w:val="annotation text"/>
    <w:basedOn w:val="Normal"/>
    <w:link w:val="CommentTextChar"/>
    <w:uiPriority w:val="99"/>
    <w:semiHidden/>
    <w:unhideWhenUsed/>
    <w:rsid w:val="00062A2D"/>
    <w:pPr>
      <w:spacing w:line="240" w:lineRule="auto"/>
    </w:pPr>
    <w:rPr>
      <w:sz w:val="20"/>
      <w:szCs w:val="20"/>
    </w:rPr>
  </w:style>
  <w:style w:type="character" w:customStyle="1" w:styleId="CommentTextChar">
    <w:name w:val="Comment Text Char"/>
    <w:basedOn w:val="DefaultParagraphFont"/>
    <w:link w:val="CommentText"/>
    <w:uiPriority w:val="99"/>
    <w:semiHidden/>
    <w:rsid w:val="00062A2D"/>
    <w:rPr>
      <w:sz w:val="20"/>
      <w:szCs w:val="20"/>
    </w:rPr>
  </w:style>
  <w:style w:type="paragraph" w:styleId="CommentSubject">
    <w:name w:val="annotation subject"/>
    <w:basedOn w:val="CommentText"/>
    <w:next w:val="CommentText"/>
    <w:link w:val="CommentSubjectChar"/>
    <w:uiPriority w:val="99"/>
    <w:semiHidden/>
    <w:unhideWhenUsed/>
    <w:rsid w:val="00062A2D"/>
    <w:rPr>
      <w:b/>
      <w:bCs/>
    </w:rPr>
  </w:style>
  <w:style w:type="character" w:customStyle="1" w:styleId="CommentSubjectChar">
    <w:name w:val="Comment Subject Char"/>
    <w:basedOn w:val="CommentTextChar"/>
    <w:link w:val="CommentSubject"/>
    <w:uiPriority w:val="99"/>
    <w:semiHidden/>
    <w:rsid w:val="00062A2D"/>
    <w:rPr>
      <w:b/>
      <w:bCs/>
      <w:sz w:val="20"/>
      <w:szCs w:val="20"/>
    </w:rPr>
  </w:style>
  <w:style w:type="paragraph" w:styleId="Revision">
    <w:name w:val="Revision"/>
    <w:hidden/>
    <w:uiPriority w:val="99"/>
    <w:semiHidden/>
    <w:rsid w:val="00AB49C4"/>
    <w:pPr>
      <w:spacing w:after="0" w:line="240" w:lineRule="auto"/>
    </w:pPr>
  </w:style>
  <w:style w:type="character" w:customStyle="1" w:styleId="Heading1Char">
    <w:name w:val="Heading 1 Char"/>
    <w:basedOn w:val="DefaultParagraphFont"/>
    <w:link w:val="Heading1"/>
    <w:uiPriority w:val="9"/>
    <w:rsid w:val="003334F7"/>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3334F7"/>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71778F"/>
    <w:rPr>
      <w:rFonts w:asciiTheme="majorHAnsi" w:eastAsiaTheme="majorEastAsia" w:hAnsiTheme="majorHAnsi" w:cstheme="majorBidi"/>
      <w:b/>
      <w:i/>
      <w:sz w:val="24"/>
      <w:szCs w:val="24"/>
    </w:rPr>
  </w:style>
  <w:style w:type="paragraph" w:styleId="Header">
    <w:name w:val="header"/>
    <w:basedOn w:val="Normal"/>
    <w:link w:val="HeaderChar"/>
    <w:uiPriority w:val="99"/>
    <w:unhideWhenUsed/>
    <w:rsid w:val="00490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DBD"/>
  </w:style>
  <w:style w:type="paragraph" w:styleId="Footer">
    <w:name w:val="footer"/>
    <w:basedOn w:val="Normal"/>
    <w:link w:val="FooterChar"/>
    <w:uiPriority w:val="99"/>
    <w:unhideWhenUsed/>
    <w:rsid w:val="00490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006BE-2BAE-465C-BD8C-D48C4C16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1399</Words>
  <Characters>8172</Characters>
  <Application>Microsoft Office Word</Application>
  <DocSecurity>0</DocSecurity>
  <Lines>154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 Mid-term Review of the Marawi Recovery Project</dc:title>
  <dc:subject/>
  <dc:creator/>
  <cp:keywords/>
  <dc:description/>
  <cp:lastModifiedBy/>
  <cp:revision>1</cp:revision>
  <dcterms:created xsi:type="dcterms:W3CDTF">2022-02-27T22:06:00Z</dcterms:created>
  <dcterms:modified xsi:type="dcterms:W3CDTF">2022-02-27T22:07:00Z</dcterms:modified>
  <cp:category/>
</cp:coreProperties>
</file>