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52D69" w14:textId="77777777" w:rsidR="00B97810" w:rsidRPr="009201BE" w:rsidRDefault="000B75B5" w:rsidP="002F18A6">
      <w:pPr>
        <w:pStyle w:val="Title"/>
        <w:ind w:right="-702"/>
        <w:rPr>
          <w:color w:val="AD495D"/>
        </w:rPr>
      </w:pPr>
      <w:r>
        <w:rPr>
          <w:noProof/>
          <w:lang w:val="en-US" w:eastAsia="en-US"/>
        </w:rPr>
        <w:drawing>
          <wp:anchor distT="0" distB="0" distL="114300" distR="114300" simplePos="0" relativeHeight="251657728" behindDoc="1" locked="0" layoutInCell="1" allowOverlap="1" wp14:anchorId="5048846A" wp14:editId="30BA41A7">
            <wp:simplePos x="0" y="0"/>
            <wp:positionH relativeFrom="page">
              <wp:posOffset>0</wp:posOffset>
            </wp:positionH>
            <wp:positionV relativeFrom="page">
              <wp:posOffset>0</wp:posOffset>
            </wp:positionV>
            <wp:extent cx="7560310" cy="3024505"/>
            <wp:effectExtent l="0" t="0" r="2540" b="4445"/>
            <wp:wrapNone/>
            <wp:docPr id="5" name="Picture 1" descr="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AID_facsheet_A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pic:spPr>
                </pic:pic>
              </a:graphicData>
            </a:graphic>
            <wp14:sizeRelH relativeFrom="page">
              <wp14:pctWidth>0</wp14:pctWidth>
            </wp14:sizeRelH>
            <wp14:sizeRelV relativeFrom="page">
              <wp14:pctHeight>0</wp14:pctHeight>
            </wp14:sizeRelV>
          </wp:anchor>
        </w:drawing>
      </w:r>
      <w:r w:rsidR="00B97810" w:rsidRPr="007A0B76">
        <w:rPr>
          <w:color w:val="AD495D"/>
        </w:rPr>
        <w:t>Kiribati</w:t>
      </w:r>
      <w:r w:rsidR="00B97810">
        <w:rPr>
          <w:color w:val="AD495D"/>
        </w:rPr>
        <w:t xml:space="preserve"> Annual Program Performance Report 2011</w:t>
      </w:r>
    </w:p>
    <w:p w14:paraId="6DEC0B27" w14:textId="09BE3A9A" w:rsidR="00B97810" w:rsidRPr="009201BE" w:rsidRDefault="00AD7CED" w:rsidP="002F18A6">
      <w:pPr>
        <w:pStyle w:val="Date"/>
        <w:rPr>
          <w:color w:val="AD495D"/>
        </w:rPr>
      </w:pPr>
      <w:r>
        <w:t>September</w:t>
      </w:r>
      <w:r w:rsidR="00B97810">
        <w:t xml:space="preserve"> 2012</w:t>
      </w:r>
    </w:p>
    <w:sdt>
      <w:sdtPr>
        <w:rPr>
          <w:rFonts w:ascii="Times New Roman" w:eastAsia="Times New Roman" w:hAnsi="Times New Roman" w:cs="Times New Roman"/>
          <w:b w:val="0"/>
          <w:bCs w:val="0"/>
          <w:color w:val="auto"/>
          <w:sz w:val="20"/>
          <w:szCs w:val="24"/>
          <w:lang w:val="en-AU" w:eastAsia="en-AU"/>
        </w:rPr>
        <w:id w:val="-229619555"/>
        <w:docPartObj>
          <w:docPartGallery w:val="Table of Contents"/>
          <w:docPartUnique/>
        </w:docPartObj>
      </w:sdtPr>
      <w:sdtEndPr>
        <w:rPr>
          <w:noProof/>
        </w:rPr>
      </w:sdtEndPr>
      <w:sdtContent>
        <w:p w14:paraId="07C5506F" w14:textId="33DCB8BB" w:rsidR="00254B91" w:rsidRPr="00254B91" w:rsidRDefault="00254B91" w:rsidP="00254B91">
          <w:pPr>
            <w:pStyle w:val="H1B"/>
          </w:pPr>
          <w:r w:rsidRPr="00254B91">
            <w:t>Contents</w:t>
          </w:r>
        </w:p>
        <w:p w14:paraId="79525E22" w14:textId="77777777" w:rsidR="00AB71D0" w:rsidRDefault="00254B91">
          <w:pPr>
            <w:pStyle w:val="TOC2"/>
            <w:tabs>
              <w:tab w:val="right" w:leader="dot" w:pos="7928"/>
            </w:tabs>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360732542" w:history="1">
            <w:r w:rsidR="00AB71D0" w:rsidRPr="007F2CB1">
              <w:rPr>
                <w:rStyle w:val="Hyperlink"/>
                <w:noProof/>
              </w:rPr>
              <w:t>Summary</w:t>
            </w:r>
            <w:r w:rsidR="00AB71D0">
              <w:rPr>
                <w:noProof/>
                <w:webHidden/>
              </w:rPr>
              <w:tab/>
            </w:r>
            <w:r w:rsidR="00AB71D0">
              <w:rPr>
                <w:noProof/>
                <w:webHidden/>
              </w:rPr>
              <w:fldChar w:fldCharType="begin"/>
            </w:r>
            <w:r w:rsidR="00AB71D0">
              <w:rPr>
                <w:noProof/>
                <w:webHidden/>
              </w:rPr>
              <w:instrText xml:space="preserve"> PAGEREF _Toc360732542 \h </w:instrText>
            </w:r>
            <w:r w:rsidR="00AB71D0">
              <w:rPr>
                <w:noProof/>
                <w:webHidden/>
              </w:rPr>
            </w:r>
            <w:r w:rsidR="00AB71D0">
              <w:rPr>
                <w:noProof/>
                <w:webHidden/>
              </w:rPr>
              <w:fldChar w:fldCharType="separate"/>
            </w:r>
            <w:r w:rsidR="00AB71D0">
              <w:rPr>
                <w:noProof/>
                <w:webHidden/>
              </w:rPr>
              <w:t>1</w:t>
            </w:r>
            <w:r w:rsidR="00AB71D0">
              <w:rPr>
                <w:noProof/>
                <w:webHidden/>
              </w:rPr>
              <w:fldChar w:fldCharType="end"/>
            </w:r>
          </w:hyperlink>
        </w:p>
        <w:p w14:paraId="67F24825" w14:textId="77777777" w:rsidR="00AB71D0" w:rsidRDefault="00AB71D0">
          <w:pPr>
            <w:pStyle w:val="TOC1"/>
            <w:tabs>
              <w:tab w:val="right" w:leader="dot" w:pos="7928"/>
            </w:tabs>
            <w:rPr>
              <w:rFonts w:asciiTheme="minorHAnsi" w:eastAsiaTheme="minorEastAsia" w:hAnsiTheme="minorHAnsi" w:cstheme="minorBidi"/>
              <w:noProof/>
              <w:sz w:val="22"/>
              <w:szCs w:val="22"/>
              <w:lang w:val="en-US" w:eastAsia="en-US"/>
            </w:rPr>
          </w:pPr>
          <w:hyperlink w:anchor="_Toc360732543" w:history="1">
            <w:r w:rsidRPr="007F2CB1">
              <w:rPr>
                <w:rStyle w:val="Hyperlink"/>
                <w:noProof/>
              </w:rPr>
              <w:t>Context</w:t>
            </w:r>
            <w:r>
              <w:rPr>
                <w:noProof/>
                <w:webHidden/>
              </w:rPr>
              <w:tab/>
            </w:r>
            <w:r>
              <w:rPr>
                <w:noProof/>
                <w:webHidden/>
              </w:rPr>
              <w:fldChar w:fldCharType="begin"/>
            </w:r>
            <w:r>
              <w:rPr>
                <w:noProof/>
                <w:webHidden/>
              </w:rPr>
              <w:instrText xml:space="preserve"> PAGEREF _Toc360732543 \h </w:instrText>
            </w:r>
            <w:r>
              <w:rPr>
                <w:noProof/>
                <w:webHidden/>
              </w:rPr>
            </w:r>
            <w:r>
              <w:rPr>
                <w:noProof/>
                <w:webHidden/>
              </w:rPr>
              <w:fldChar w:fldCharType="separate"/>
            </w:r>
            <w:r>
              <w:rPr>
                <w:noProof/>
                <w:webHidden/>
              </w:rPr>
              <w:t>2</w:t>
            </w:r>
            <w:r>
              <w:rPr>
                <w:noProof/>
                <w:webHidden/>
              </w:rPr>
              <w:fldChar w:fldCharType="end"/>
            </w:r>
          </w:hyperlink>
        </w:p>
        <w:p w14:paraId="54C68EC7" w14:textId="77777777" w:rsidR="00AB71D0" w:rsidRDefault="00AB71D0">
          <w:pPr>
            <w:pStyle w:val="TOC1"/>
            <w:tabs>
              <w:tab w:val="right" w:leader="dot" w:pos="7928"/>
            </w:tabs>
            <w:rPr>
              <w:rFonts w:asciiTheme="minorHAnsi" w:eastAsiaTheme="minorEastAsia" w:hAnsiTheme="minorHAnsi" w:cstheme="minorBidi"/>
              <w:noProof/>
              <w:sz w:val="22"/>
              <w:szCs w:val="22"/>
              <w:lang w:val="en-US" w:eastAsia="en-US"/>
            </w:rPr>
          </w:pPr>
          <w:hyperlink w:anchor="_Toc360732544" w:history="1">
            <w:r w:rsidRPr="007F2CB1">
              <w:rPr>
                <w:rStyle w:val="Hyperlink"/>
                <w:noProof/>
              </w:rPr>
              <w:t>Program objectives and strategy</w:t>
            </w:r>
            <w:r>
              <w:rPr>
                <w:noProof/>
                <w:webHidden/>
              </w:rPr>
              <w:tab/>
            </w:r>
            <w:r>
              <w:rPr>
                <w:noProof/>
                <w:webHidden/>
              </w:rPr>
              <w:fldChar w:fldCharType="begin"/>
            </w:r>
            <w:r>
              <w:rPr>
                <w:noProof/>
                <w:webHidden/>
              </w:rPr>
              <w:instrText xml:space="preserve"> PAGEREF _Toc360732544 \h </w:instrText>
            </w:r>
            <w:r>
              <w:rPr>
                <w:noProof/>
                <w:webHidden/>
              </w:rPr>
            </w:r>
            <w:r>
              <w:rPr>
                <w:noProof/>
                <w:webHidden/>
              </w:rPr>
              <w:fldChar w:fldCharType="separate"/>
            </w:r>
            <w:r>
              <w:rPr>
                <w:noProof/>
                <w:webHidden/>
              </w:rPr>
              <w:t>3</w:t>
            </w:r>
            <w:r>
              <w:rPr>
                <w:noProof/>
                <w:webHidden/>
              </w:rPr>
              <w:fldChar w:fldCharType="end"/>
            </w:r>
          </w:hyperlink>
        </w:p>
        <w:p w14:paraId="6060523D" w14:textId="77777777" w:rsidR="00AB71D0" w:rsidRDefault="00AB71D0">
          <w:pPr>
            <w:pStyle w:val="TOC2"/>
            <w:tabs>
              <w:tab w:val="right" w:leader="dot" w:pos="7928"/>
            </w:tabs>
            <w:rPr>
              <w:rFonts w:asciiTheme="minorHAnsi" w:eastAsiaTheme="minorEastAsia" w:hAnsiTheme="minorHAnsi" w:cstheme="minorBidi"/>
              <w:noProof/>
              <w:sz w:val="22"/>
              <w:szCs w:val="22"/>
              <w:lang w:val="en-US" w:eastAsia="en-US"/>
            </w:rPr>
          </w:pPr>
          <w:hyperlink w:anchor="_Toc360732545" w:history="1">
            <w:r w:rsidRPr="007F2CB1">
              <w:rPr>
                <w:rStyle w:val="Hyperlink"/>
                <w:noProof/>
              </w:rPr>
              <w:t>Expenditure</w:t>
            </w:r>
            <w:r>
              <w:rPr>
                <w:noProof/>
                <w:webHidden/>
              </w:rPr>
              <w:tab/>
            </w:r>
            <w:r>
              <w:rPr>
                <w:noProof/>
                <w:webHidden/>
              </w:rPr>
              <w:fldChar w:fldCharType="begin"/>
            </w:r>
            <w:r>
              <w:rPr>
                <w:noProof/>
                <w:webHidden/>
              </w:rPr>
              <w:instrText xml:space="preserve"> PAGEREF _Toc360732545 \h </w:instrText>
            </w:r>
            <w:r>
              <w:rPr>
                <w:noProof/>
                <w:webHidden/>
              </w:rPr>
            </w:r>
            <w:r>
              <w:rPr>
                <w:noProof/>
                <w:webHidden/>
              </w:rPr>
              <w:fldChar w:fldCharType="separate"/>
            </w:r>
            <w:r>
              <w:rPr>
                <w:noProof/>
                <w:webHidden/>
              </w:rPr>
              <w:t>4</w:t>
            </w:r>
            <w:r>
              <w:rPr>
                <w:noProof/>
                <w:webHidden/>
              </w:rPr>
              <w:fldChar w:fldCharType="end"/>
            </w:r>
          </w:hyperlink>
        </w:p>
        <w:p w14:paraId="6A3FE837" w14:textId="77777777" w:rsidR="00AB71D0" w:rsidRDefault="00AB71D0">
          <w:pPr>
            <w:pStyle w:val="TOC1"/>
            <w:tabs>
              <w:tab w:val="right" w:leader="dot" w:pos="7928"/>
            </w:tabs>
            <w:rPr>
              <w:rFonts w:asciiTheme="minorHAnsi" w:eastAsiaTheme="minorEastAsia" w:hAnsiTheme="minorHAnsi" w:cstheme="minorBidi"/>
              <w:noProof/>
              <w:sz w:val="22"/>
              <w:szCs w:val="22"/>
              <w:lang w:val="en-US" w:eastAsia="en-US"/>
            </w:rPr>
          </w:pPr>
          <w:hyperlink w:anchor="_Toc360732546" w:history="1">
            <w:r w:rsidRPr="007F2CB1">
              <w:rPr>
                <w:rStyle w:val="Hyperlink"/>
                <w:noProof/>
              </w:rPr>
              <w:t>Progress against objectives</w:t>
            </w:r>
            <w:r>
              <w:rPr>
                <w:noProof/>
                <w:webHidden/>
              </w:rPr>
              <w:tab/>
            </w:r>
            <w:r>
              <w:rPr>
                <w:noProof/>
                <w:webHidden/>
              </w:rPr>
              <w:fldChar w:fldCharType="begin"/>
            </w:r>
            <w:r>
              <w:rPr>
                <w:noProof/>
                <w:webHidden/>
              </w:rPr>
              <w:instrText xml:space="preserve"> PAGEREF _Toc360732546 \h </w:instrText>
            </w:r>
            <w:r>
              <w:rPr>
                <w:noProof/>
                <w:webHidden/>
              </w:rPr>
            </w:r>
            <w:r>
              <w:rPr>
                <w:noProof/>
                <w:webHidden/>
              </w:rPr>
              <w:fldChar w:fldCharType="separate"/>
            </w:r>
            <w:r>
              <w:rPr>
                <w:noProof/>
                <w:webHidden/>
              </w:rPr>
              <w:t>5</w:t>
            </w:r>
            <w:r>
              <w:rPr>
                <w:noProof/>
                <w:webHidden/>
              </w:rPr>
              <w:fldChar w:fldCharType="end"/>
            </w:r>
          </w:hyperlink>
        </w:p>
        <w:p w14:paraId="30BC8210" w14:textId="77777777" w:rsidR="00AB71D0" w:rsidRDefault="00AB71D0">
          <w:pPr>
            <w:pStyle w:val="TOC2"/>
            <w:tabs>
              <w:tab w:val="right" w:leader="dot" w:pos="7928"/>
            </w:tabs>
            <w:rPr>
              <w:rFonts w:asciiTheme="minorHAnsi" w:eastAsiaTheme="minorEastAsia" w:hAnsiTheme="minorHAnsi" w:cstheme="minorBidi"/>
              <w:noProof/>
              <w:sz w:val="22"/>
              <w:szCs w:val="22"/>
              <w:lang w:val="en-US" w:eastAsia="en-US"/>
            </w:rPr>
          </w:pPr>
          <w:hyperlink w:anchor="_Toc360732547" w:history="1">
            <w:r w:rsidRPr="007F2CB1">
              <w:rPr>
                <w:rStyle w:val="Hyperlink"/>
                <w:noProof/>
              </w:rPr>
              <w:t>Outcome 1: Improved basic education</w:t>
            </w:r>
            <w:r>
              <w:rPr>
                <w:noProof/>
                <w:webHidden/>
              </w:rPr>
              <w:tab/>
            </w:r>
            <w:r>
              <w:rPr>
                <w:noProof/>
                <w:webHidden/>
              </w:rPr>
              <w:fldChar w:fldCharType="begin"/>
            </w:r>
            <w:r>
              <w:rPr>
                <w:noProof/>
                <w:webHidden/>
              </w:rPr>
              <w:instrText xml:space="preserve"> PAGEREF _Toc360732547 \h </w:instrText>
            </w:r>
            <w:r>
              <w:rPr>
                <w:noProof/>
                <w:webHidden/>
              </w:rPr>
            </w:r>
            <w:r>
              <w:rPr>
                <w:noProof/>
                <w:webHidden/>
              </w:rPr>
              <w:fldChar w:fldCharType="separate"/>
            </w:r>
            <w:r>
              <w:rPr>
                <w:noProof/>
                <w:webHidden/>
              </w:rPr>
              <w:t>5</w:t>
            </w:r>
            <w:r>
              <w:rPr>
                <w:noProof/>
                <w:webHidden/>
              </w:rPr>
              <w:fldChar w:fldCharType="end"/>
            </w:r>
          </w:hyperlink>
        </w:p>
        <w:p w14:paraId="4AD671DC" w14:textId="77777777" w:rsidR="00AB71D0" w:rsidRDefault="00AB71D0">
          <w:pPr>
            <w:pStyle w:val="TOC2"/>
            <w:tabs>
              <w:tab w:val="right" w:leader="dot" w:pos="7928"/>
            </w:tabs>
            <w:rPr>
              <w:rFonts w:asciiTheme="minorHAnsi" w:eastAsiaTheme="minorEastAsia" w:hAnsiTheme="minorHAnsi" w:cstheme="minorBidi"/>
              <w:noProof/>
              <w:sz w:val="22"/>
              <w:szCs w:val="22"/>
              <w:lang w:val="en-US" w:eastAsia="en-US"/>
            </w:rPr>
          </w:pPr>
          <w:hyperlink w:anchor="_Toc360732548" w:history="1">
            <w:r w:rsidRPr="007F2CB1">
              <w:rPr>
                <w:rStyle w:val="Hyperlink"/>
                <w:noProof/>
              </w:rPr>
              <w:t>Outcome 2: Workforce skills development</w:t>
            </w:r>
            <w:r>
              <w:rPr>
                <w:noProof/>
                <w:webHidden/>
              </w:rPr>
              <w:tab/>
            </w:r>
            <w:r>
              <w:rPr>
                <w:noProof/>
                <w:webHidden/>
              </w:rPr>
              <w:fldChar w:fldCharType="begin"/>
            </w:r>
            <w:r>
              <w:rPr>
                <w:noProof/>
                <w:webHidden/>
              </w:rPr>
              <w:instrText xml:space="preserve"> PAGEREF _Toc360732548 \h </w:instrText>
            </w:r>
            <w:r>
              <w:rPr>
                <w:noProof/>
                <w:webHidden/>
              </w:rPr>
            </w:r>
            <w:r>
              <w:rPr>
                <w:noProof/>
                <w:webHidden/>
              </w:rPr>
              <w:fldChar w:fldCharType="separate"/>
            </w:r>
            <w:r>
              <w:rPr>
                <w:noProof/>
                <w:webHidden/>
              </w:rPr>
              <w:t>8</w:t>
            </w:r>
            <w:r>
              <w:rPr>
                <w:noProof/>
                <w:webHidden/>
              </w:rPr>
              <w:fldChar w:fldCharType="end"/>
            </w:r>
          </w:hyperlink>
        </w:p>
        <w:p w14:paraId="1FDADACB" w14:textId="77777777" w:rsidR="00AB71D0" w:rsidRDefault="00AB71D0">
          <w:pPr>
            <w:pStyle w:val="TOC2"/>
            <w:tabs>
              <w:tab w:val="right" w:leader="dot" w:pos="7928"/>
            </w:tabs>
            <w:rPr>
              <w:rFonts w:asciiTheme="minorHAnsi" w:eastAsiaTheme="minorEastAsia" w:hAnsiTheme="minorHAnsi" w:cstheme="minorBidi"/>
              <w:noProof/>
              <w:sz w:val="22"/>
              <w:szCs w:val="22"/>
              <w:lang w:val="en-US" w:eastAsia="en-US"/>
            </w:rPr>
          </w:pPr>
          <w:hyperlink w:anchor="_Toc360732549" w:history="1">
            <w:r w:rsidRPr="007F2CB1">
              <w:rPr>
                <w:rStyle w:val="Hyperlink"/>
                <w:noProof/>
              </w:rPr>
              <w:t>Outcome 3: Improved growth and economic management</w:t>
            </w:r>
            <w:r>
              <w:rPr>
                <w:noProof/>
                <w:webHidden/>
              </w:rPr>
              <w:tab/>
            </w:r>
            <w:r>
              <w:rPr>
                <w:noProof/>
                <w:webHidden/>
              </w:rPr>
              <w:fldChar w:fldCharType="begin"/>
            </w:r>
            <w:r>
              <w:rPr>
                <w:noProof/>
                <w:webHidden/>
              </w:rPr>
              <w:instrText xml:space="preserve"> PAGEREF _Toc360732549 \h </w:instrText>
            </w:r>
            <w:r>
              <w:rPr>
                <w:noProof/>
                <w:webHidden/>
              </w:rPr>
            </w:r>
            <w:r>
              <w:rPr>
                <w:noProof/>
                <w:webHidden/>
              </w:rPr>
              <w:fldChar w:fldCharType="separate"/>
            </w:r>
            <w:r>
              <w:rPr>
                <w:noProof/>
                <w:webHidden/>
              </w:rPr>
              <w:t>11</w:t>
            </w:r>
            <w:r>
              <w:rPr>
                <w:noProof/>
                <w:webHidden/>
              </w:rPr>
              <w:fldChar w:fldCharType="end"/>
            </w:r>
          </w:hyperlink>
        </w:p>
        <w:p w14:paraId="2A08575E" w14:textId="77777777" w:rsidR="00AB71D0" w:rsidRDefault="00AB71D0">
          <w:pPr>
            <w:pStyle w:val="TOC2"/>
            <w:tabs>
              <w:tab w:val="right" w:leader="dot" w:pos="7928"/>
            </w:tabs>
            <w:rPr>
              <w:rFonts w:asciiTheme="minorHAnsi" w:eastAsiaTheme="minorEastAsia" w:hAnsiTheme="minorHAnsi" w:cstheme="minorBidi"/>
              <w:noProof/>
              <w:sz w:val="22"/>
              <w:szCs w:val="22"/>
              <w:lang w:val="en-US" w:eastAsia="en-US"/>
            </w:rPr>
          </w:pPr>
          <w:hyperlink w:anchor="_Toc360732550" w:history="1">
            <w:r w:rsidRPr="007F2CB1">
              <w:rPr>
                <w:rStyle w:val="Hyperlink"/>
                <w:noProof/>
              </w:rPr>
              <w:t>Support for other sectors</w:t>
            </w:r>
            <w:r>
              <w:rPr>
                <w:noProof/>
                <w:webHidden/>
              </w:rPr>
              <w:tab/>
            </w:r>
            <w:r>
              <w:rPr>
                <w:noProof/>
                <w:webHidden/>
              </w:rPr>
              <w:fldChar w:fldCharType="begin"/>
            </w:r>
            <w:r>
              <w:rPr>
                <w:noProof/>
                <w:webHidden/>
              </w:rPr>
              <w:instrText xml:space="preserve"> PAGEREF _Toc360732550 \h </w:instrText>
            </w:r>
            <w:r>
              <w:rPr>
                <w:noProof/>
                <w:webHidden/>
              </w:rPr>
            </w:r>
            <w:r>
              <w:rPr>
                <w:noProof/>
                <w:webHidden/>
              </w:rPr>
              <w:fldChar w:fldCharType="separate"/>
            </w:r>
            <w:r>
              <w:rPr>
                <w:noProof/>
                <w:webHidden/>
              </w:rPr>
              <w:t>13</w:t>
            </w:r>
            <w:r>
              <w:rPr>
                <w:noProof/>
                <w:webHidden/>
              </w:rPr>
              <w:fldChar w:fldCharType="end"/>
            </w:r>
          </w:hyperlink>
        </w:p>
        <w:p w14:paraId="1D0C7EC7" w14:textId="77777777" w:rsidR="00AB71D0" w:rsidRDefault="00AB71D0">
          <w:pPr>
            <w:pStyle w:val="TOC1"/>
            <w:tabs>
              <w:tab w:val="right" w:leader="dot" w:pos="7928"/>
            </w:tabs>
            <w:rPr>
              <w:rFonts w:asciiTheme="minorHAnsi" w:eastAsiaTheme="minorEastAsia" w:hAnsiTheme="minorHAnsi" w:cstheme="minorBidi"/>
              <w:noProof/>
              <w:sz w:val="22"/>
              <w:szCs w:val="22"/>
              <w:lang w:val="en-US" w:eastAsia="en-US"/>
            </w:rPr>
          </w:pPr>
          <w:hyperlink w:anchor="_Toc360732551" w:history="1">
            <w:r w:rsidRPr="007F2CB1">
              <w:rPr>
                <w:rStyle w:val="Hyperlink"/>
                <w:noProof/>
              </w:rPr>
              <w:t>Program quality</w:t>
            </w:r>
            <w:r>
              <w:rPr>
                <w:noProof/>
                <w:webHidden/>
              </w:rPr>
              <w:tab/>
            </w:r>
            <w:r>
              <w:rPr>
                <w:noProof/>
                <w:webHidden/>
              </w:rPr>
              <w:fldChar w:fldCharType="begin"/>
            </w:r>
            <w:r>
              <w:rPr>
                <w:noProof/>
                <w:webHidden/>
              </w:rPr>
              <w:instrText xml:space="preserve"> PAGEREF _Toc360732551 \h </w:instrText>
            </w:r>
            <w:r>
              <w:rPr>
                <w:noProof/>
                <w:webHidden/>
              </w:rPr>
            </w:r>
            <w:r>
              <w:rPr>
                <w:noProof/>
                <w:webHidden/>
              </w:rPr>
              <w:fldChar w:fldCharType="separate"/>
            </w:r>
            <w:r>
              <w:rPr>
                <w:noProof/>
                <w:webHidden/>
              </w:rPr>
              <w:t>16</w:t>
            </w:r>
            <w:r>
              <w:rPr>
                <w:noProof/>
                <w:webHidden/>
              </w:rPr>
              <w:fldChar w:fldCharType="end"/>
            </w:r>
          </w:hyperlink>
        </w:p>
        <w:p w14:paraId="036852AB" w14:textId="77777777" w:rsidR="00AB71D0" w:rsidRDefault="00AB71D0">
          <w:pPr>
            <w:pStyle w:val="TOC1"/>
            <w:tabs>
              <w:tab w:val="right" w:leader="dot" w:pos="7928"/>
            </w:tabs>
            <w:rPr>
              <w:rFonts w:asciiTheme="minorHAnsi" w:eastAsiaTheme="minorEastAsia" w:hAnsiTheme="minorHAnsi" w:cstheme="minorBidi"/>
              <w:noProof/>
              <w:sz w:val="22"/>
              <w:szCs w:val="22"/>
              <w:lang w:val="en-US" w:eastAsia="en-US"/>
            </w:rPr>
          </w:pPr>
          <w:hyperlink w:anchor="_Toc360732552" w:history="1">
            <w:r w:rsidRPr="007F2CB1">
              <w:rPr>
                <w:rStyle w:val="Hyperlink"/>
                <w:noProof/>
              </w:rPr>
              <w:t>Management consequences</w:t>
            </w:r>
            <w:r>
              <w:rPr>
                <w:noProof/>
                <w:webHidden/>
              </w:rPr>
              <w:tab/>
            </w:r>
            <w:r>
              <w:rPr>
                <w:noProof/>
                <w:webHidden/>
              </w:rPr>
              <w:fldChar w:fldCharType="begin"/>
            </w:r>
            <w:r>
              <w:rPr>
                <w:noProof/>
                <w:webHidden/>
              </w:rPr>
              <w:instrText xml:space="preserve"> PAGEREF _Toc360732552 \h </w:instrText>
            </w:r>
            <w:r>
              <w:rPr>
                <w:noProof/>
                <w:webHidden/>
              </w:rPr>
            </w:r>
            <w:r>
              <w:rPr>
                <w:noProof/>
                <w:webHidden/>
              </w:rPr>
              <w:fldChar w:fldCharType="separate"/>
            </w:r>
            <w:r>
              <w:rPr>
                <w:noProof/>
                <w:webHidden/>
              </w:rPr>
              <w:t>19</w:t>
            </w:r>
            <w:r>
              <w:rPr>
                <w:noProof/>
                <w:webHidden/>
              </w:rPr>
              <w:fldChar w:fldCharType="end"/>
            </w:r>
          </w:hyperlink>
        </w:p>
        <w:p w14:paraId="54380A57" w14:textId="77777777" w:rsidR="00AB71D0" w:rsidRDefault="00AB71D0">
          <w:pPr>
            <w:pStyle w:val="TOC1"/>
            <w:tabs>
              <w:tab w:val="right" w:leader="dot" w:pos="7928"/>
            </w:tabs>
            <w:rPr>
              <w:rFonts w:asciiTheme="minorHAnsi" w:eastAsiaTheme="minorEastAsia" w:hAnsiTheme="minorHAnsi" w:cstheme="minorBidi"/>
              <w:noProof/>
              <w:sz w:val="22"/>
              <w:szCs w:val="22"/>
              <w:lang w:val="en-US" w:eastAsia="en-US"/>
            </w:rPr>
          </w:pPr>
          <w:hyperlink w:anchor="_Toc360732553" w:history="1">
            <w:r w:rsidRPr="007F2CB1">
              <w:rPr>
                <w:rStyle w:val="Hyperlink"/>
                <w:noProof/>
              </w:rPr>
              <w:t>Annex A:</w:t>
            </w:r>
            <w:r>
              <w:rPr>
                <w:noProof/>
                <w:webHidden/>
              </w:rPr>
              <w:tab/>
            </w:r>
            <w:r>
              <w:rPr>
                <w:noProof/>
                <w:webHidden/>
              </w:rPr>
              <w:fldChar w:fldCharType="begin"/>
            </w:r>
            <w:r>
              <w:rPr>
                <w:noProof/>
                <w:webHidden/>
              </w:rPr>
              <w:instrText xml:space="preserve"> PAGEREF _Toc360732553 \h </w:instrText>
            </w:r>
            <w:r>
              <w:rPr>
                <w:noProof/>
                <w:webHidden/>
              </w:rPr>
            </w:r>
            <w:r>
              <w:rPr>
                <w:noProof/>
                <w:webHidden/>
              </w:rPr>
              <w:fldChar w:fldCharType="separate"/>
            </w:r>
            <w:r>
              <w:rPr>
                <w:noProof/>
                <w:webHidden/>
              </w:rPr>
              <w:t>20</w:t>
            </w:r>
            <w:r>
              <w:rPr>
                <w:noProof/>
                <w:webHidden/>
              </w:rPr>
              <w:fldChar w:fldCharType="end"/>
            </w:r>
          </w:hyperlink>
        </w:p>
        <w:p w14:paraId="04F1897F" w14:textId="77777777" w:rsidR="00AB71D0" w:rsidRDefault="00AB71D0">
          <w:pPr>
            <w:pStyle w:val="TOC1"/>
            <w:tabs>
              <w:tab w:val="right" w:leader="dot" w:pos="7928"/>
            </w:tabs>
            <w:rPr>
              <w:rFonts w:asciiTheme="minorHAnsi" w:eastAsiaTheme="minorEastAsia" w:hAnsiTheme="minorHAnsi" w:cstheme="minorBidi"/>
              <w:noProof/>
              <w:sz w:val="22"/>
              <w:szCs w:val="22"/>
              <w:lang w:val="en-US" w:eastAsia="en-US"/>
            </w:rPr>
          </w:pPr>
          <w:hyperlink w:anchor="_Toc360732554" w:history="1">
            <w:r w:rsidRPr="007F2CB1">
              <w:rPr>
                <w:rStyle w:val="Hyperlink"/>
                <w:rFonts w:ascii="Franklin Gothic Demi" w:hAnsi="Franklin Gothic Demi"/>
                <w:noProof/>
                <w:kern w:val="28"/>
              </w:rPr>
              <w:t>Annex B:</w:t>
            </w:r>
            <w:r>
              <w:rPr>
                <w:noProof/>
                <w:webHidden/>
              </w:rPr>
              <w:tab/>
            </w:r>
            <w:r>
              <w:rPr>
                <w:noProof/>
                <w:webHidden/>
              </w:rPr>
              <w:fldChar w:fldCharType="begin"/>
            </w:r>
            <w:r>
              <w:rPr>
                <w:noProof/>
                <w:webHidden/>
              </w:rPr>
              <w:instrText xml:space="preserve"> PAGEREF _Toc360732554 \h </w:instrText>
            </w:r>
            <w:r>
              <w:rPr>
                <w:noProof/>
                <w:webHidden/>
              </w:rPr>
            </w:r>
            <w:r>
              <w:rPr>
                <w:noProof/>
                <w:webHidden/>
              </w:rPr>
              <w:fldChar w:fldCharType="separate"/>
            </w:r>
            <w:r>
              <w:rPr>
                <w:noProof/>
                <w:webHidden/>
              </w:rPr>
              <w:t>22</w:t>
            </w:r>
            <w:r>
              <w:rPr>
                <w:noProof/>
                <w:webHidden/>
              </w:rPr>
              <w:fldChar w:fldCharType="end"/>
            </w:r>
          </w:hyperlink>
        </w:p>
        <w:p w14:paraId="6349F567" w14:textId="02E9C7D8" w:rsidR="00254B91" w:rsidRDefault="00254B91">
          <w:r>
            <w:rPr>
              <w:b/>
              <w:bCs/>
              <w:noProof/>
            </w:rPr>
            <w:fldChar w:fldCharType="end"/>
          </w:r>
        </w:p>
      </w:sdtContent>
    </w:sdt>
    <w:p w14:paraId="35A7BB85" w14:textId="77777777" w:rsidR="00254B91" w:rsidRDefault="00254B91" w:rsidP="0053432A">
      <w:pPr>
        <w:pStyle w:val="H1"/>
      </w:pPr>
    </w:p>
    <w:p w14:paraId="7ED1B222" w14:textId="77777777" w:rsidR="00254B91" w:rsidRDefault="00254B91" w:rsidP="0053432A">
      <w:pPr>
        <w:pStyle w:val="H1"/>
      </w:pPr>
    </w:p>
    <w:p w14:paraId="4DABB3DE" w14:textId="77777777" w:rsidR="00254B91" w:rsidRDefault="00254B91" w:rsidP="0053432A">
      <w:pPr>
        <w:pStyle w:val="H1"/>
      </w:pPr>
    </w:p>
    <w:p w14:paraId="4F202CAE" w14:textId="77777777" w:rsidR="00254B91" w:rsidRDefault="00254B91" w:rsidP="0053432A">
      <w:pPr>
        <w:pStyle w:val="H1"/>
      </w:pPr>
    </w:p>
    <w:p w14:paraId="205EF1AB" w14:textId="77777777" w:rsidR="00254B91" w:rsidRDefault="00254B91" w:rsidP="0053432A">
      <w:pPr>
        <w:pStyle w:val="H1"/>
      </w:pPr>
    </w:p>
    <w:p w14:paraId="14DB0D96" w14:textId="0385C4BA" w:rsidR="0053432A" w:rsidRPr="0053432A" w:rsidRDefault="00B97810" w:rsidP="0053432A">
      <w:pPr>
        <w:pStyle w:val="H1"/>
      </w:pPr>
      <w:bookmarkStart w:id="0" w:name="_Toc360732542"/>
      <w:r w:rsidRPr="0053432A">
        <w:t>Summary</w:t>
      </w:r>
      <w:bookmarkEnd w:id="0"/>
    </w:p>
    <w:p w14:paraId="5E90DC86" w14:textId="09598208" w:rsidR="00B97810" w:rsidRPr="0021007E" w:rsidRDefault="00B97810" w:rsidP="0088795A">
      <w:pPr>
        <w:pStyle w:val="BodyText"/>
      </w:pPr>
      <w:r w:rsidRPr="0021007E">
        <w:t xml:space="preserve">This report provides </w:t>
      </w:r>
      <w:r>
        <w:t xml:space="preserve">an </w:t>
      </w:r>
      <w:r w:rsidRPr="0021007E">
        <w:t>overview of Australia’s development assistance to</w:t>
      </w:r>
      <w:r>
        <w:t xml:space="preserve"> Kiribati</w:t>
      </w:r>
      <w:r w:rsidRPr="0021007E">
        <w:t xml:space="preserve"> in 2011. It updates the progress of </w:t>
      </w:r>
      <w:r>
        <w:t>the Kiribati</w:t>
      </w:r>
      <w:r w:rsidR="0079750C">
        <w:t>–</w:t>
      </w:r>
      <w:r w:rsidRPr="0021007E">
        <w:t xml:space="preserve">Australia Partnership for Development towards its targets and outlines opportunities and challenges for the coming year. </w:t>
      </w:r>
      <w:r>
        <w:t>In the next Annual Program Performance Report (2012)</w:t>
      </w:r>
      <w:r w:rsidR="00271E69">
        <w:t>,</w:t>
      </w:r>
      <w:r>
        <w:t xml:space="preserve"> </w:t>
      </w:r>
      <w:proofErr w:type="spellStart"/>
      <w:r>
        <w:t>AusAID</w:t>
      </w:r>
      <w:proofErr w:type="spellEnd"/>
      <w:r>
        <w:t xml:space="preserve"> will i</w:t>
      </w:r>
      <w:r w:rsidR="00AD7CED">
        <w:t>nclude</w:t>
      </w:r>
      <w:r>
        <w:t xml:space="preserve"> reporting of results </w:t>
      </w:r>
      <w:r w:rsidR="0079750C">
        <w:t>on</w:t>
      </w:r>
      <w:r>
        <w:t xml:space="preserve"> regional and global programs operating in Kiribati.</w:t>
      </w:r>
    </w:p>
    <w:p w14:paraId="4BB07D9E" w14:textId="319D70DB" w:rsidR="0053432A" w:rsidRDefault="00B97810" w:rsidP="0053432A">
      <w:pPr>
        <w:pStyle w:val="H1A"/>
      </w:pPr>
      <w:bookmarkStart w:id="1" w:name="_Toc360732543"/>
      <w:r w:rsidRPr="0053432A">
        <w:lastRenderedPageBreak/>
        <w:t>Context</w:t>
      </w:r>
      <w:bookmarkEnd w:id="1"/>
      <w:r w:rsidRPr="0053432A">
        <w:t xml:space="preserve"> </w:t>
      </w:r>
    </w:p>
    <w:p w14:paraId="7FFF5E04" w14:textId="55F068A9" w:rsidR="0053432A" w:rsidRPr="0008569F" w:rsidRDefault="00CE02C9" w:rsidP="0053432A">
      <w:pPr>
        <w:pStyle w:val="H2"/>
      </w:pPr>
      <w:r w:rsidRPr="0053432A">
        <w:t xml:space="preserve">Economic </w:t>
      </w:r>
    </w:p>
    <w:p w14:paraId="4942A1F8" w14:textId="34385BD1" w:rsidR="007C5D12" w:rsidRDefault="00CE71F6" w:rsidP="001231B0">
      <w:pPr>
        <w:pStyle w:val="gray"/>
        <w:spacing w:before="240" w:after="0" w:line="280" w:lineRule="atLeast"/>
        <w:ind w:left="0" w:right="272"/>
        <w:rPr>
          <w:rFonts w:ascii="Georgia" w:hAnsi="Georgia"/>
          <w:sz w:val="19"/>
          <w:szCs w:val="19"/>
        </w:rPr>
      </w:pPr>
      <w:r>
        <w:rPr>
          <w:rFonts w:ascii="Georgia" w:hAnsi="Georgia"/>
          <w:sz w:val="19"/>
          <w:szCs w:val="19"/>
        </w:rPr>
        <w:t>Kiriba</w:t>
      </w:r>
      <w:bookmarkStart w:id="2" w:name="_GoBack"/>
      <w:bookmarkEnd w:id="2"/>
      <w:r>
        <w:rPr>
          <w:rFonts w:ascii="Georgia" w:hAnsi="Georgia"/>
          <w:sz w:val="19"/>
          <w:szCs w:val="19"/>
        </w:rPr>
        <w:t xml:space="preserve">ti’s economy </w:t>
      </w:r>
      <w:r w:rsidR="00F63A7B">
        <w:rPr>
          <w:rFonts w:ascii="Georgia" w:hAnsi="Georgia"/>
          <w:sz w:val="19"/>
          <w:szCs w:val="19"/>
        </w:rPr>
        <w:t xml:space="preserve">grew </w:t>
      </w:r>
      <w:r w:rsidR="000B75B5">
        <w:rPr>
          <w:rFonts w:ascii="Georgia" w:hAnsi="Georgia"/>
          <w:sz w:val="19"/>
          <w:szCs w:val="19"/>
        </w:rPr>
        <w:t>during 2011</w:t>
      </w:r>
      <w:r w:rsidR="00CE5C01">
        <w:rPr>
          <w:rFonts w:ascii="Georgia" w:hAnsi="Georgia"/>
          <w:sz w:val="19"/>
          <w:szCs w:val="19"/>
        </w:rPr>
        <w:t xml:space="preserve"> at 3</w:t>
      </w:r>
      <w:r w:rsidR="0079750C">
        <w:rPr>
          <w:rFonts w:ascii="Georgia" w:hAnsi="Georgia"/>
          <w:sz w:val="19"/>
          <w:szCs w:val="19"/>
        </w:rPr>
        <w:t xml:space="preserve"> per cent, </w:t>
      </w:r>
      <w:r w:rsidR="00CE5C01">
        <w:rPr>
          <w:rFonts w:ascii="Georgia" w:hAnsi="Georgia"/>
          <w:sz w:val="19"/>
          <w:szCs w:val="19"/>
        </w:rPr>
        <w:t>compared to 2</w:t>
      </w:r>
      <w:r w:rsidR="0079750C">
        <w:rPr>
          <w:rFonts w:ascii="Georgia" w:hAnsi="Georgia"/>
          <w:sz w:val="19"/>
          <w:szCs w:val="19"/>
        </w:rPr>
        <w:t xml:space="preserve"> per cent </w:t>
      </w:r>
      <w:r w:rsidR="000B75B5">
        <w:rPr>
          <w:rFonts w:ascii="Georgia" w:hAnsi="Georgia"/>
          <w:sz w:val="19"/>
          <w:szCs w:val="19"/>
        </w:rPr>
        <w:t>in 2010 and</w:t>
      </w:r>
      <w:r w:rsidR="0079750C">
        <w:rPr>
          <w:rFonts w:ascii="Georgia" w:hAnsi="Georgia"/>
          <w:sz w:val="19"/>
          <w:szCs w:val="19"/>
        </w:rPr>
        <w:t xml:space="preserve"> </w:t>
      </w:r>
      <w:r w:rsidR="00E92460">
        <w:rPr>
          <w:rFonts w:ascii="Georgia" w:hAnsi="Georgia"/>
          <w:sz w:val="19"/>
          <w:szCs w:val="19"/>
        </w:rPr>
        <w:t>following</w:t>
      </w:r>
      <w:r w:rsidR="000B75B5">
        <w:rPr>
          <w:rFonts w:ascii="Georgia" w:hAnsi="Georgia"/>
          <w:sz w:val="19"/>
          <w:szCs w:val="19"/>
        </w:rPr>
        <w:t xml:space="preserve"> two years of contraction in 2008 and 2009</w:t>
      </w:r>
      <w:r w:rsidR="00CE02C9">
        <w:rPr>
          <w:rFonts w:ascii="Georgia" w:hAnsi="Georgia"/>
          <w:sz w:val="19"/>
          <w:szCs w:val="19"/>
        </w:rPr>
        <w:t xml:space="preserve"> (A</w:t>
      </w:r>
      <w:r w:rsidR="0079750C">
        <w:rPr>
          <w:rFonts w:ascii="Georgia" w:hAnsi="Georgia"/>
          <w:sz w:val="19"/>
          <w:szCs w:val="19"/>
        </w:rPr>
        <w:t xml:space="preserve">sian </w:t>
      </w:r>
      <w:r w:rsidR="00CE02C9">
        <w:rPr>
          <w:rFonts w:ascii="Georgia" w:hAnsi="Georgia"/>
          <w:sz w:val="19"/>
          <w:szCs w:val="19"/>
        </w:rPr>
        <w:t>D</w:t>
      </w:r>
      <w:r w:rsidR="0079750C">
        <w:rPr>
          <w:rFonts w:ascii="Georgia" w:hAnsi="Georgia"/>
          <w:sz w:val="19"/>
          <w:szCs w:val="19"/>
        </w:rPr>
        <w:t xml:space="preserve">evelopment </w:t>
      </w:r>
      <w:r w:rsidR="00CE02C9">
        <w:rPr>
          <w:rFonts w:ascii="Georgia" w:hAnsi="Georgia"/>
          <w:sz w:val="19"/>
          <w:szCs w:val="19"/>
        </w:rPr>
        <w:t>B</w:t>
      </w:r>
      <w:r w:rsidR="0079750C">
        <w:rPr>
          <w:rFonts w:ascii="Georgia" w:hAnsi="Georgia"/>
          <w:sz w:val="19"/>
          <w:szCs w:val="19"/>
        </w:rPr>
        <w:t>ank</w:t>
      </w:r>
      <w:r w:rsidR="00CE5C01">
        <w:rPr>
          <w:rFonts w:ascii="Georgia" w:hAnsi="Georgia"/>
          <w:sz w:val="19"/>
          <w:szCs w:val="19"/>
        </w:rPr>
        <w:t xml:space="preserve"> Pacific Economic Monitor</w:t>
      </w:r>
      <w:r w:rsidR="00CE02C9">
        <w:rPr>
          <w:rFonts w:ascii="Georgia" w:hAnsi="Georgia"/>
          <w:sz w:val="19"/>
          <w:szCs w:val="19"/>
        </w:rPr>
        <w:t xml:space="preserve">, </w:t>
      </w:r>
      <w:r w:rsidR="00CE5C01">
        <w:rPr>
          <w:rFonts w:ascii="Georgia" w:hAnsi="Georgia"/>
          <w:sz w:val="19"/>
          <w:szCs w:val="19"/>
        </w:rPr>
        <w:t xml:space="preserve">December </w:t>
      </w:r>
      <w:r w:rsidR="00CE02C9">
        <w:rPr>
          <w:rFonts w:ascii="Georgia" w:hAnsi="Georgia"/>
          <w:sz w:val="19"/>
          <w:szCs w:val="19"/>
        </w:rPr>
        <w:t>2011)</w:t>
      </w:r>
      <w:r w:rsidR="00F63A7B">
        <w:rPr>
          <w:rFonts w:ascii="Georgia" w:hAnsi="Georgia"/>
          <w:sz w:val="19"/>
          <w:szCs w:val="19"/>
        </w:rPr>
        <w:t>. The public sector was the main driver</w:t>
      </w:r>
      <w:r w:rsidR="000B75B5">
        <w:rPr>
          <w:rFonts w:ascii="Georgia" w:hAnsi="Georgia"/>
          <w:sz w:val="19"/>
          <w:szCs w:val="19"/>
        </w:rPr>
        <w:t xml:space="preserve"> with a number of public investment projects commencing</w:t>
      </w:r>
      <w:r w:rsidR="00F63A7B">
        <w:rPr>
          <w:rFonts w:ascii="Georgia" w:hAnsi="Georgia"/>
          <w:sz w:val="19"/>
          <w:szCs w:val="19"/>
        </w:rPr>
        <w:t xml:space="preserve">, but private sector activity </w:t>
      </w:r>
      <w:r w:rsidR="00CE02C9">
        <w:rPr>
          <w:rFonts w:ascii="Georgia" w:hAnsi="Georgia"/>
          <w:sz w:val="19"/>
          <w:szCs w:val="19"/>
        </w:rPr>
        <w:t>also increased</w:t>
      </w:r>
      <w:r w:rsidR="00F63A7B">
        <w:rPr>
          <w:rFonts w:ascii="Georgia" w:hAnsi="Georgia"/>
          <w:sz w:val="19"/>
          <w:szCs w:val="19"/>
        </w:rPr>
        <w:t xml:space="preserve">, especially in retail. </w:t>
      </w:r>
      <w:r>
        <w:rPr>
          <w:rFonts w:ascii="Georgia" w:hAnsi="Georgia"/>
          <w:sz w:val="19"/>
          <w:szCs w:val="19"/>
        </w:rPr>
        <w:t xml:space="preserve">Demand for I-Kiribati seafarers </w:t>
      </w:r>
      <w:r w:rsidR="00F63A7B">
        <w:rPr>
          <w:rFonts w:ascii="Georgia" w:hAnsi="Georgia"/>
          <w:sz w:val="19"/>
          <w:szCs w:val="19"/>
        </w:rPr>
        <w:t xml:space="preserve">picked up following a slump during the global downturn. With only 6000 regular wage jobs </w:t>
      </w:r>
      <w:r w:rsidR="0079750C">
        <w:rPr>
          <w:rFonts w:ascii="Georgia" w:hAnsi="Georgia"/>
          <w:sz w:val="19"/>
          <w:szCs w:val="19"/>
        </w:rPr>
        <w:t>‘</w:t>
      </w:r>
      <w:r w:rsidR="00F63A7B">
        <w:rPr>
          <w:rFonts w:ascii="Georgia" w:hAnsi="Georgia"/>
          <w:sz w:val="19"/>
          <w:szCs w:val="19"/>
        </w:rPr>
        <w:t>on shore</w:t>
      </w:r>
      <w:r w:rsidR="0079750C">
        <w:rPr>
          <w:rFonts w:ascii="Georgia" w:hAnsi="Georgia"/>
          <w:sz w:val="19"/>
          <w:szCs w:val="19"/>
        </w:rPr>
        <w:t xml:space="preserve">’, </w:t>
      </w:r>
      <w:r w:rsidR="00F63A7B">
        <w:rPr>
          <w:rFonts w:ascii="Georgia" w:hAnsi="Georgia"/>
          <w:sz w:val="19"/>
          <w:szCs w:val="19"/>
        </w:rPr>
        <w:t xml:space="preserve">offshore employment provides a critical source of income for many households: in 2011, the number of employed seafarers reached </w:t>
      </w:r>
      <w:r w:rsidR="00265831">
        <w:rPr>
          <w:rFonts w:ascii="Georgia" w:hAnsi="Georgia"/>
          <w:sz w:val="19"/>
          <w:szCs w:val="19"/>
        </w:rPr>
        <w:t>911</w:t>
      </w:r>
      <w:r>
        <w:rPr>
          <w:rFonts w:ascii="Georgia" w:hAnsi="Georgia"/>
          <w:sz w:val="19"/>
          <w:szCs w:val="19"/>
        </w:rPr>
        <w:t xml:space="preserve">, </w:t>
      </w:r>
      <w:r w:rsidR="00F63A7B">
        <w:rPr>
          <w:rFonts w:ascii="Georgia" w:hAnsi="Georgia"/>
          <w:sz w:val="19"/>
          <w:szCs w:val="19"/>
        </w:rPr>
        <w:t xml:space="preserve">up from the low of </w:t>
      </w:r>
      <w:r w:rsidR="00265831">
        <w:rPr>
          <w:rFonts w:ascii="Georgia" w:hAnsi="Georgia"/>
          <w:sz w:val="19"/>
          <w:szCs w:val="19"/>
        </w:rPr>
        <w:t xml:space="preserve">848 </w:t>
      </w:r>
      <w:r w:rsidR="00F63A7B">
        <w:rPr>
          <w:rFonts w:ascii="Georgia" w:hAnsi="Georgia"/>
          <w:sz w:val="19"/>
          <w:szCs w:val="19"/>
        </w:rPr>
        <w:t xml:space="preserve">in </w:t>
      </w:r>
      <w:r w:rsidR="00265831">
        <w:rPr>
          <w:rFonts w:ascii="Georgia" w:hAnsi="Georgia"/>
          <w:sz w:val="19"/>
          <w:szCs w:val="19"/>
        </w:rPr>
        <w:t>2010</w:t>
      </w:r>
      <w:r w:rsidR="00F63A7B">
        <w:rPr>
          <w:rFonts w:ascii="Georgia" w:hAnsi="Georgia"/>
          <w:sz w:val="19"/>
          <w:szCs w:val="19"/>
        </w:rPr>
        <w:t>.</w:t>
      </w:r>
      <w:r w:rsidR="00E92460">
        <w:rPr>
          <w:rFonts w:ascii="Georgia" w:hAnsi="Georgia"/>
          <w:sz w:val="19"/>
          <w:szCs w:val="19"/>
        </w:rPr>
        <w:t xml:space="preserve"> </w:t>
      </w:r>
      <w:r w:rsidR="00F63A7B">
        <w:rPr>
          <w:rFonts w:ascii="Georgia" w:hAnsi="Georgia"/>
          <w:sz w:val="19"/>
          <w:szCs w:val="19"/>
        </w:rPr>
        <w:t>Their remittances (which average around $12</w:t>
      </w:r>
      <w:r w:rsidR="0079750C">
        <w:rPr>
          <w:rFonts w:ascii="Georgia" w:hAnsi="Georgia"/>
          <w:sz w:val="19"/>
          <w:szCs w:val="19"/>
        </w:rPr>
        <w:t xml:space="preserve"> </w:t>
      </w:r>
      <w:r w:rsidR="00F63A7B">
        <w:rPr>
          <w:rFonts w:ascii="Georgia" w:hAnsi="Georgia"/>
          <w:sz w:val="19"/>
          <w:szCs w:val="19"/>
        </w:rPr>
        <w:t xml:space="preserve">000 </w:t>
      </w:r>
      <w:r w:rsidR="0079750C">
        <w:rPr>
          <w:rFonts w:ascii="Georgia" w:hAnsi="Georgia"/>
          <w:sz w:val="19"/>
          <w:szCs w:val="19"/>
        </w:rPr>
        <w:t xml:space="preserve">for each </w:t>
      </w:r>
      <w:r w:rsidR="00F63A7B">
        <w:rPr>
          <w:rFonts w:ascii="Georgia" w:hAnsi="Georgia"/>
          <w:sz w:val="19"/>
          <w:szCs w:val="19"/>
        </w:rPr>
        <w:t xml:space="preserve">seafarer </w:t>
      </w:r>
      <w:r w:rsidR="0079750C">
        <w:rPr>
          <w:rFonts w:ascii="Georgia" w:hAnsi="Georgia"/>
          <w:sz w:val="19"/>
          <w:szCs w:val="19"/>
        </w:rPr>
        <w:t>a year</w:t>
      </w:r>
      <w:r w:rsidR="00F63A7B">
        <w:rPr>
          <w:rFonts w:ascii="Georgia" w:hAnsi="Georgia"/>
          <w:sz w:val="19"/>
          <w:szCs w:val="19"/>
        </w:rPr>
        <w:t xml:space="preserve">) </w:t>
      </w:r>
      <w:r w:rsidR="0079750C">
        <w:rPr>
          <w:rFonts w:ascii="Georgia" w:hAnsi="Georgia"/>
          <w:sz w:val="19"/>
          <w:szCs w:val="19"/>
        </w:rPr>
        <w:t xml:space="preserve">are </w:t>
      </w:r>
      <w:r w:rsidR="000B75B5">
        <w:rPr>
          <w:rFonts w:ascii="Georgia" w:hAnsi="Georgia"/>
          <w:sz w:val="19"/>
          <w:szCs w:val="19"/>
        </w:rPr>
        <w:t>likely to be one of the reasons behind the growth in the retail sector.</w:t>
      </w:r>
      <w:r w:rsidR="00E92460">
        <w:rPr>
          <w:rFonts w:ascii="Georgia" w:hAnsi="Georgia"/>
          <w:sz w:val="19"/>
          <w:szCs w:val="19"/>
        </w:rPr>
        <w:t xml:space="preserve"> </w:t>
      </w:r>
    </w:p>
    <w:p w14:paraId="1C4C8B33" w14:textId="108684C2" w:rsidR="00F63A7B" w:rsidRPr="0008569F" w:rsidRDefault="00917DC7" w:rsidP="001231B0">
      <w:pPr>
        <w:pStyle w:val="gray"/>
        <w:spacing w:before="240" w:after="0" w:line="280" w:lineRule="atLeast"/>
        <w:ind w:left="0" w:right="272"/>
        <w:rPr>
          <w:rFonts w:ascii="Georgia" w:hAnsi="Georgia"/>
          <w:sz w:val="19"/>
          <w:szCs w:val="19"/>
        </w:rPr>
      </w:pPr>
      <w:r>
        <w:rPr>
          <w:rFonts w:ascii="Georgia" w:hAnsi="Georgia"/>
          <w:sz w:val="19"/>
          <w:szCs w:val="19"/>
        </w:rPr>
        <w:t>The International Monetary F</w:t>
      </w:r>
      <w:r w:rsidR="00745D89">
        <w:rPr>
          <w:rFonts w:ascii="Georgia" w:hAnsi="Georgia"/>
          <w:sz w:val="19"/>
          <w:szCs w:val="19"/>
        </w:rPr>
        <w:t>u</w:t>
      </w:r>
      <w:r>
        <w:rPr>
          <w:rFonts w:ascii="Georgia" w:hAnsi="Georgia"/>
          <w:sz w:val="19"/>
          <w:szCs w:val="19"/>
        </w:rPr>
        <w:t xml:space="preserve">nd </w:t>
      </w:r>
      <w:r w:rsidR="00F63A7B" w:rsidRPr="0008569F">
        <w:rPr>
          <w:rFonts w:ascii="Georgia" w:hAnsi="Georgia"/>
          <w:sz w:val="19"/>
          <w:szCs w:val="19"/>
        </w:rPr>
        <w:t>expects Kiribati’s growth momentum to strengthen</w:t>
      </w:r>
      <w:r w:rsidR="000B75B5" w:rsidRPr="0008569F">
        <w:rPr>
          <w:rFonts w:ascii="Georgia" w:hAnsi="Georgia"/>
          <w:sz w:val="19"/>
          <w:szCs w:val="19"/>
        </w:rPr>
        <w:t xml:space="preserve"> over the medium term</w:t>
      </w:r>
      <w:r w:rsidR="00F63A7B" w:rsidRPr="0008569F">
        <w:rPr>
          <w:rFonts w:ascii="Georgia" w:hAnsi="Georgia"/>
          <w:sz w:val="19"/>
          <w:szCs w:val="19"/>
        </w:rPr>
        <w:t xml:space="preserve">. </w:t>
      </w:r>
      <w:r w:rsidR="000B75B5" w:rsidRPr="0008569F">
        <w:rPr>
          <w:rFonts w:ascii="Georgia" w:hAnsi="Georgia"/>
          <w:sz w:val="19"/>
          <w:szCs w:val="19"/>
        </w:rPr>
        <w:t>This is driven to a large extent by</w:t>
      </w:r>
      <w:r w:rsidR="000B75B5">
        <w:rPr>
          <w:rFonts w:ascii="Georgia" w:hAnsi="Georgia"/>
          <w:sz w:val="19"/>
          <w:szCs w:val="19"/>
        </w:rPr>
        <w:t xml:space="preserve"> a number of large public infrastructure projects financed with external assistance</w:t>
      </w:r>
      <w:r>
        <w:rPr>
          <w:rFonts w:ascii="Georgia" w:hAnsi="Georgia"/>
          <w:sz w:val="19"/>
          <w:szCs w:val="19"/>
        </w:rPr>
        <w:t xml:space="preserve">, including </w:t>
      </w:r>
      <w:r w:rsidR="000B75B5">
        <w:rPr>
          <w:rFonts w:ascii="Georgia" w:hAnsi="Georgia"/>
          <w:sz w:val="19"/>
          <w:szCs w:val="19"/>
        </w:rPr>
        <w:t>South Tarawa Road, airport upgrades in South Tarawa and Christmas Island, water and sanitation projects</w:t>
      </w:r>
      <w:r w:rsidR="00745D89">
        <w:rPr>
          <w:rFonts w:ascii="Georgia" w:hAnsi="Georgia"/>
          <w:sz w:val="19"/>
          <w:szCs w:val="19"/>
        </w:rPr>
        <w:t>,</w:t>
      </w:r>
      <w:r>
        <w:rPr>
          <w:rFonts w:ascii="Georgia" w:hAnsi="Georgia"/>
          <w:sz w:val="19"/>
          <w:szCs w:val="19"/>
        </w:rPr>
        <w:t xml:space="preserve"> and </w:t>
      </w:r>
      <w:r w:rsidR="000B75B5">
        <w:rPr>
          <w:rFonts w:ascii="Georgia" w:hAnsi="Georgia"/>
          <w:sz w:val="19"/>
          <w:szCs w:val="19"/>
        </w:rPr>
        <w:t xml:space="preserve">port rehabilitation. </w:t>
      </w:r>
      <w:r w:rsidR="00F63A7B" w:rsidRPr="0008569F">
        <w:rPr>
          <w:rFonts w:ascii="Georgia" w:hAnsi="Georgia"/>
          <w:sz w:val="19"/>
          <w:szCs w:val="19"/>
        </w:rPr>
        <w:t>However, a durable shift to higher growth hinges on deeper</w:t>
      </w:r>
      <w:r w:rsidR="000B75B5" w:rsidRPr="000B75B5">
        <w:rPr>
          <w:rFonts w:ascii="Georgia" w:hAnsi="Georgia"/>
          <w:sz w:val="19"/>
          <w:szCs w:val="19"/>
        </w:rPr>
        <w:t xml:space="preserve"> and broader structural reforms</w:t>
      </w:r>
      <w:r w:rsidR="00CE02C9">
        <w:rPr>
          <w:rFonts w:ascii="Georgia" w:hAnsi="Georgia"/>
          <w:sz w:val="19"/>
          <w:szCs w:val="19"/>
        </w:rPr>
        <w:t>, including</w:t>
      </w:r>
      <w:r w:rsidR="00F63A7B" w:rsidRPr="0008569F">
        <w:rPr>
          <w:rFonts w:ascii="Georgia" w:hAnsi="Georgia"/>
          <w:sz w:val="19"/>
          <w:szCs w:val="19"/>
        </w:rPr>
        <w:t xml:space="preserve"> </w:t>
      </w:r>
      <w:r w:rsidR="00CE02C9">
        <w:rPr>
          <w:rFonts w:ascii="Georgia" w:hAnsi="Georgia"/>
          <w:sz w:val="19"/>
          <w:szCs w:val="19"/>
        </w:rPr>
        <w:t>continu</w:t>
      </w:r>
      <w:r w:rsidR="00CE5C01">
        <w:rPr>
          <w:rFonts w:ascii="Georgia" w:hAnsi="Georgia"/>
          <w:sz w:val="19"/>
          <w:szCs w:val="19"/>
        </w:rPr>
        <w:t>ing the government’s commendable</w:t>
      </w:r>
      <w:r w:rsidR="00CE02C9">
        <w:rPr>
          <w:rFonts w:ascii="Georgia" w:hAnsi="Georgia"/>
          <w:sz w:val="19"/>
          <w:szCs w:val="19"/>
        </w:rPr>
        <w:t xml:space="preserve"> efforts in reforming state-owned enterprises and liberalising key markets (</w:t>
      </w:r>
      <w:r>
        <w:rPr>
          <w:rFonts w:ascii="Georgia" w:hAnsi="Georgia"/>
          <w:sz w:val="19"/>
          <w:szCs w:val="19"/>
        </w:rPr>
        <w:t>including</w:t>
      </w:r>
      <w:r w:rsidR="00CE02C9">
        <w:rPr>
          <w:rFonts w:ascii="Georgia" w:hAnsi="Georgia"/>
          <w:sz w:val="19"/>
          <w:szCs w:val="19"/>
        </w:rPr>
        <w:t xml:space="preserve"> telecommunications) to drive competition and investment.</w:t>
      </w:r>
      <w:r w:rsidR="00E92460">
        <w:rPr>
          <w:rFonts w:ascii="Georgia" w:hAnsi="Georgia"/>
          <w:sz w:val="19"/>
          <w:szCs w:val="19"/>
        </w:rPr>
        <w:t xml:space="preserve"> </w:t>
      </w:r>
    </w:p>
    <w:p w14:paraId="3F84F0C7" w14:textId="74379448" w:rsidR="000B75B5" w:rsidRPr="0008569F" w:rsidRDefault="000B75B5" w:rsidP="001231B0">
      <w:pPr>
        <w:pStyle w:val="gray"/>
        <w:spacing w:before="240" w:after="0" w:line="280" w:lineRule="atLeast"/>
        <w:ind w:left="0" w:right="272"/>
        <w:rPr>
          <w:rFonts w:ascii="Georgia" w:hAnsi="Georgia"/>
          <w:sz w:val="19"/>
          <w:szCs w:val="19"/>
        </w:rPr>
      </w:pPr>
      <w:r w:rsidRPr="0008569F">
        <w:rPr>
          <w:rFonts w:ascii="Georgia" w:hAnsi="Georgia"/>
          <w:sz w:val="19"/>
          <w:szCs w:val="19"/>
        </w:rPr>
        <w:t xml:space="preserve">While </w:t>
      </w:r>
      <w:r w:rsidRPr="000B75B5">
        <w:rPr>
          <w:rFonts w:ascii="Georgia" w:hAnsi="Georgia"/>
          <w:sz w:val="19"/>
          <w:szCs w:val="19"/>
        </w:rPr>
        <w:t>Kiribati</w:t>
      </w:r>
      <w:r>
        <w:rPr>
          <w:rFonts w:ascii="Georgia" w:hAnsi="Georgia"/>
          <w:sz w:val="19"/>
          <w:szCs w:val="19"/>
        </w:rPr>
        <w:t xml:space="preserve">’s economic performance </w:t>
      </w:r>
      <w:r w:rsidR="00917DC7">
        <w:rPr>
          <w:rFonts w:ascii="Georgia" w:hAnsi="Georgia"/>
          <w:sz w:val="19"/>
          <w:szCs w:val="19"/>
        </w:rPr>
        <w:t xml:space="preserve">was </w:t>
      </w:r>
      <w:r>
        <w:rPr>
          <w:rFonts w:ascii="Georgia" w:hAnsi="Georgia"/>
          <w:sz w:val="19"/>
          <w:szCs w:val="19"/>
        </w:rPr>
        <w:t xml:space="preserve">on </w:t>
      </w:r>
      <w:r w:rsidR="00917DC7">
        <w:rPr>
          <w:rFonts w:ascii="Georgia" w:hAnsi="Georgia"/>
          <w:sz w:val="19"/>
          <w:szCs w:val="19"/>
        </w:rPr>
        <w:t xml:space="preserve">a </w:t>
      </w:r>
      <w:r>
        <w:rPr>
          <w:rFonts w:ascii="Georgia" w:hAnsi="Georgia"/>
          <w:sz w:val="19"/>
          <w:szCs w:val="19"/>
        </w:rPr>
        <w:t>more solid footing in 2011 compared to previous years,</w:t>
      </w:r>
      <w:r w:rsidRPr="0008569F">
        <w:rPr>
          <w:rFonts w:ascii="Georgia" w:hAnsi="Georgia"/>
          <w:sz w:val="19"/>
          <w:szCs w:val="19"/>
        </w:rPr>
        <w:t xml:space="preserve"> the government’s fiscal positio</w:t>
      </w:r>
      <w:r w:rsidR="00CE5C01">
        <w:rPr>
          <w:rFonts w:ascii="Georgia" w:hAnsi="Georgia"/>
          <w:sz w:val="19"/>
          <w:szCs w:val="19"/>
        </w:rPr>
        <w:t>n deteriorated</w:t>
      </w:r>
      <w:r w:rsidR="00745D89">
        <w:rPr>
          <w:rFonts w:ascii="Georgia" w:hAnsi="Georgia"/>
          <w:sz w:val="19"/>
          <w:szCs w:val="19"/>
        </w:rPr>
        <w:t>,</w:t>
      </w:r>
      <w:r w:rsidR="001E2A79">
        <w:rPr>
          <w:rFonts w:ascii="Georgia" w:hAnsi="Georgia"/>
          <w:sz w:val="19"/>
          <w:szCs w:val="19"/>
        </w:rPr>
        <w:t xml:space="preserve"> largely due to revenue not materialising rather than increases in budget expenditure.</w:t>
      </w:r>
      <w:r w:rsidRPr="0008569F">
        <w:rPr>
          <w:rFonts w:ascii="Georgia" w:hAnsi="Georgia"/>
          <w:sz w:val="19"/>
          <w:szCs w:val="19"/>
        </w:rPr>
        <w:t xml:space="preserve"> </w:t>
      </w:r>
      <w:r w:rsidR="00CE02C9">
        <w:rPr>
          <w:rFonts w:ascii="Georgia" w:hAnsi="Georgia"/>
          <w:sz w:val="19"/>
          <w:szCs w:val="19"/>
        </w:rPr>
        <w:t xml:space="preserve">Revenues </w:t>
      </w:r>
      <w:r w:rsidR="00CE5C01">
        <w:rPr>
          <w:rFonts w:ascii="Georgia" w:hAnsi="Georgia"/>
          <w:sz w:val="19"/>
          <w:szCs w:val="19"/>
        </w:rPr>
        <w:t>were 20</w:t>
      </w:r>
      <w:r w:rsidR="00917DC7">
        <w:rPr>
          <w:rFonts w:ascii="Georgia" w:hAnsi="Georgia"/>
          <w:sz w:val="19"/>
          <w:szCs w:val="19"/>
        </w:rPr>
        <w:t xml:space="preserve"> per cent </w:t>
      </w:r>
      <w:r w:rsidR="00CE5C01">
        <w:rPr>
          <w:rFonts w:ascii="Georgia" w:hAnsi="Georgia"/>
          <w:sz w:val="19"/>
          <w:szCs w:val="19"/>
        </w:rPr>
        <w:t>less than the previous year and 10</w:t>
      </w:r>
      <w:r w:rsidR="00917DC7">
        <w:rPr>
          <w:rFonts w:ascii="Georgia" w:hAnsi="Georgia"/>
          <w:sz w:val="19"/>
          <w:szCs w:val="19"/>
        </w:rPr>
        <w:t xml:space="preserve"> per cent </w:t>
      </w:r>
      <w:r w:rsidR="00CE5C01">
        <w:rPr>
          <w:rFonts w:ascii="Georgia" w:hAnsi="Georgia"/>
          <w:sz w:val="19"/>
          <w:szCs w:val="19"/>
        </w:rPr>
        <w:t>below budget estimates</w:t>
      </w:r>
      <w:r w:rsidR="00917DC7">
        <w:rPr>
          <w:rFonts w:ascii="Georgia" w:hAnsi="Georgia"/>
          <w:sz w:val="19"/>
          <w:szCs w:val="19"/>
        </w:rPr>
        <w:t xml:space="preserve">, mostly because of </w:t>
      </w:r>
      <w:r w:rsidR="00CE5C01">
        <w:rPr>
          <w:rFonts w:ascii="Georgia" w:hAnsi="Georgia"/>
          <w:sz w:val="19"/>
          <w:szCs w:val="19"/>
        </w:rPr>
        <w:t xml:space="preserve">declines in fishing revenue </w:t>
      </w:r>
      <w:r w:rsidR="00CE02C9">
        <w:rPr>
          <w:rFonts w:ascii="Georgia" w:hAnsi="Georgia"/>
          <w:sz w:val="19"/>
          <w:szCs w:val="19"/>
        </w:rPr>
        <w:t xml:space="preserve">due to appreciation of the Australian dollar (fishing revenues are negotiated in </w:t>
      </w:r>
      <w:r w:rsidR="00917DC7">
        <w:rPr>
          <w:rFonts w:ascii="Georgia" w:hAnsi="Georgia"/>
          <w:sz w:val="19"/>
          <w:szCs w:val="19"/>
        </w:rPr>
        <w:t>US dollars</w:t>
      </w:r>
      <w:r w:rsidR="00CE02C9">
        <w:rPr>
          <w:rFonts w:ascii="Georgia" w:hAnsi="Georgia"/>
          <w:sz w:val="19"/>
          <w:szCs w:val="19"/>
        </w:rPr>
        <w:t>)</w:t>
      </w:r>
      <w:r w:rsidR="00CE5C01">
        <w:rPr>
          <w:rFonts w:ascii="Georgia" w:hAnsi="Georgia"/>
          <w:sz w:val="19"/>
          <w:szCs w:val="19"/>
        </w:rPr>
        <w:t xml:space="preserve"> and </w:t>
      </w:r>
      <w:r w:rsidR="001E2A79">
        <w:rPr>
          <w:rFonts w:ascii="Georgia" w:hAnsi="Georgia"/>
          <w:sz w:val="19"/>
          <w:szCs w:val="19"/>
        </w:rPr>
        <w:t xml:space="preserve">a poor fishing season </w:t>
      </w:r>
      <w:r w:rsidR="00CE5C01">
        <w:rPr>
          <w:rFonts w:ascii="Georgia" w:hAnsi="Georgia"/>
          <w:sz w:val="19"/>
          <w:szCs w:val="19"/>
        </w:rPr>
        <w:t>which reduced the demand for the number of vessel days that fishing companies wanted to buy. A</w:t>
      </w:r>
      <w:r w:rsidR="00CE02C9">
        <w:rPr>
          <w:rFonts w:ascii="Georgia" w:hAnsi="Georgia"/>
          <w:sz w:val="19"/>
          <w:szCs w:val="19"/>
        </w:rPr>
        <w:t>lthough economic activity picked up, this was not captured in increased taxes due to continued weaknesses in tax administration and compliance.</w:t>
      </w:r>
      <w:r w:rsidR="00E92460">
        <w:rPr>
          <w:rFonts w:ascii="Georgia" w:hAnsi="Georgia"/>
          <w:sz w:val="19"/>
          <w:szCs w:val="19"/>
        </w:rPr>
        <w:t xml:space="preserve"> </w:t>
      </w:r>
      <w:r w:rsidR="001E2A79">
        <w:rPr>
          <w:rFonts w:ascii="Georgia" w:hAnsi="Georgia"/>
          <w:sz w:val="19"/>
          <w:szCs w:val="19"/>
        </w:rPr>
        <w:t>By end of 2011</w:t>
      </w:r>
      <w:r w:rsidR="00917DC7">
        <w:rPr>
          <w:rFonts w:ascii="Georgia" w:hAnsi="Georgia"/>
          <w:sz w:val="19"/>
          <w:szCs w:val="19"/>
        </w:rPr>
        <w:t>,</w:t>
      </w:r>
      <w:r w:rsidR="001E2A79">
        <w:rPr>
          <w:rFonts w:ascii="Georgia" w:hAnsi="Georgia"/>
          <w:sz w:val="19"/>
          <w:szCs w:val="19"/>
        </w:rPr>
        <w:t xml:space="preserve"> the government’s budget deficit had </w:t>
      </w:r>
      <w:r w:rsidR="00917DC7">
        <w:rPr>
          <w:rFonts w:ascii="Georgia" w:hAnsi="Georgia"/>
          <w:sz w:val="19"/>
          <w:szCs w:val="19"/>
        </w:rPr>
        <w:t xml:space="preserve">grown </w:t>
      </w:r>
      <w:r w:rsidR="001E2A79">
        <w:rPr>
          <w:rFonts w:ascii="Georgia" w:hAnsi="Georgia"/>
          <w:sz w:val="19"/>
          <w:szCs w:val="19"/>
        </w:rPr>
        <w:t>to $25</w:t>
      </w:r>
      <w:r w:rsidR="00917DC7">
        <w:rPr>
          <w:rFonts w:ascii="Georgia" w:hAnsi="Georgia"/>
          <w:sz w:val="19"/>
          <w:szCs w:val="19"/>
        </w:rPr>
        <w:t xml:space="preserve"> </w:t>
      </w:r>
      <w:r w:rsidR="001E2A79">
        <w:rPr>
          <w:rFonts w:ascii="Georgia" w:hAnsi="Georgia"/>
          <w:sz w:val="19"/>
          <w:szCs w:val="19"/>
        </w:rPr>
        <w:t>million, significantly more than the previous year</w:t>
      </w:r>
      <w:r w:rsidR="00917DC7">
        <w:rPr>
          <w:rFonts w:ascii="Georgia" w:hAnsi="Georgia"/>
          <w:sz w:val="19"/>
          <w:szCs w:val="19"/>
        </w:rPr>
        <w:t>’s</w:t>
      </w:r>
      <w:r w:rsidR="001E2A79">
        <w:rPr>
          <w:rFonts w:ascii="Georgia" w:hAnsi="Georgia"/>
          <w:sz w:val="19"/>
          <w:szCs w:val="19"/>
        </w:rPr>
        <w:t xml:space="preserve"> $6</w:t>
      </w:r>
      <w:r w:rsidR="00917DC7">
        <w:rPr>
          <w:rFonts w:ascii="Georgia" w:hAnsi="Georgia"/>
          <w:sz w:val="19"/>
          <w:szCs w:val="19"/>
        </w:rPr>
        <w:t xml:space="preserve"> </w:t>
      </w:r>
      <w:r w:rsidR="001E2A79">
        <w:rPr>
          <w:rFonts w:ascii="Georgia" w:hAnsi="Georgia"/>
          <w:sz w:val="19"/>
          <w:szCs w:val="19"/>
        </w:rPr>
        <w:t xml:space="preserve">million. </w:t>
      </w:r>
      <w:r w:rsidR="00CE5C01">
        <w:rPr>
          <w:rFonts w:ascii="Georgia" w:hAnsi="Georgia"/>
          <w:sz w:val="19"/>
          <w:szCs w:val="19"/>
        </w:rPr>
        <w:t xml:space="preserve">Public concern over the </w:t>
      </w:r>
      <w:r w:rsidR="00917DC7">
        <w:rPr>
          <w:rFonts w:ascii="Georgia" w:hAnsi="Georgia"/>
          <w:sz w:val="19"/>
          <w:szCs w:val="19"/>
        </w:rPr>
        <w:t xml:space="preserve">government </w:t>
      </w:r>
      <w:r w:rsidR="00CE5C01">
        <w:rPr>
          <w:rFonts w:ascii="Georgia" w:hAnsi="Georgia"/>
          <w:sz w:val="19"/>
          <w:szCs w:val="19"/>
        </w:rPr>
        <w:t xml:space="preserve">drawing down from the Revenue Equalisation Reserve Fund </w:t>
      </w:r>
      <w:r w:rsidR="0008569F">
        <w:rPr>
          <w:rFonts w:ascii="Georgia" w:hAnsi="Georgia"/>
          <w:sz w:val="19"/>
          <w:szCs w:val="19"/>
        </w:rPr>
        <w:t>became</w:t>
      </w:r>
      <w:r w:rsidR="00CE5C01">
        <w:rPr>
          <w:rFonts w:ascii="Georgia" w:hAnsi="Georgia"/>
          <w:sz w:val="19"/>
          <w:szCs w:val="19"/>
        </w:rPr>
        <w:t xml:space="preserve"> an election issue</w:t>
      </w:r>
      <w:r w:rsidR="001E2A79">
        <w:rPr>
          <w:rFonts w:ascii="Georgia" w:hAnsi="Georgia"/>
          <w:sz w:val="19"/>
          <w:szCs w:val="19"/>
        </w:rPr>
        <w:t>, along with state-owned enterprise reform.</w:t>
      </w:r>
      <w:r w:rsidR="00E92460">
        <w:rPr>
          <w:rFonts w:ascii="Georgia" w:hAnsi="Georgia"/>
          <w:sz w:val="19"/>
          <w:szCs w:val="19"/>
        </w:rPr>
        <w:t xml:space="preserve"> </w:t>
      </w:r>
    </w:p>
    <w:p w14:paraId="6A15E68B" w14:textId="77777777" w:rsidR="00CE02C9" w:rsidRPr="0008569F" w:rsidRDefault="00CE02C9" w:rsidP="0053432A">
      <w:pPr>
        <w:pStyle w:val="H2"/>
      </w:pPr>
      <w:r>
        <w:t>Social</w:t>
      </w:r>
    </w:p>
    <w:p w14:paraId="653A640C" w14:textId="12AA1975" w:rsidR="00B97810" w:rsidRPr="004D0A80" w:rsidRDefault="00B97810" w:rsidP="001231B0">
      <w:pPr>
        <w:pStyle w:val="gray"/>
        <w:spacing w:before="240" w:after="0" w:line="280" w:lineRule="atLeast"/>
        <w:ind w:left="0" w:right="272"/>
        <w:rPr>
          <w:rFonts w:ascii="Georgia" w:hAnsi="Georgia"/>
          <w:sz w:val="19"/>
          <w:szCs w:val="19"/>
        </w:rPr>
      </w:pPr>
      <w:r w:rsidRPr="004D0A80">
        <w:rPr>
          <w:rFonts w:ascii="Georgia" w:hAnsi="Georgia"/>
          <w:sz w:val="19"/>
          <w:szCs w:val="19"/>
        </w:rPr>
        <w:t xml:space="preserve">Kiribati </w:t>
      </w:r>
      <w:r>
        <w:rPr>
          <w:rFonts w:ascii="Georgia" w:hAnsi="Georgia"/>
          <w:sz w:val="19"/>
          <w:szCs w:val="19"/>
        </w:rPr>
        <w:t>continue</w:t>
      </w:r>
      <w:r w:rsidR="00CE71F6">
        <w:rPr>
          <w:rFonts w:ascii="Georgia" w:hAnsi="Georgia"/>
          <w:sz w:val="19"/>
          <w:szCs w:val="19"/>
        </w:rPr>
        <w:t>d</w:t>
      </w:r>
      <w:r>
        <w:rPr>
          <w:rFonts w:ascii="Georgia" w:hAnsi="Georgia"/>
          <w:sz w:val="19"/>
          <w:szCs w:val="19"/>
        </w:rPr>
        <w:t xml:space="preserve"> to </w:t>
      </w:r>
      <w:r w:rsidRPr="004D0A80">
        <w:rPr>
          <w:rFonts w:ascii="Georgia" w:hAnsi="Georgia"/>
          <w:sz w:val="19"/>
          <w:szCs w:val="19"/>
        </w:rPr>
        <w:t>face d</w:t>
      </w:r>
      <w:r>
        <w:rPr>
          <w:rFonts w:ascii="Georgia" w:hAnsi="Georgia"/>
          <w:sz w:val="19"/>
          <w:szCs w:val="19"/>
        </w:rPr>
        <w:t>ifficult development challenges</w:t>
      </w:r>
      <w:r w:rsidR="00CE71F6">
        <w:rPr>
          <w:rFonts w:ascii="Georgia" w:hAnsi="Georgia"/>
          <w:sz w:val="19"/>
          <w:szCs w:val="19"/>
        </w:rPr>
        <w:t xml:space="preserve"> during 2011</w:t>
      </w:r>
      <w:r w:rsidRPr="004D0A80">
        <w:rPr>
          <w:rFonts w:ascii="Georgia" w:hAnsi="Georgia"/>
          <w:sz w:val="19"/>
          <w:szCs w:val="19"/>
        </w:rPr>
        <w:t>.</w:t>
      </w:r>
      <w:r w:rsidR="00E92460">
        <w:rPr>
          <w:rFonts w:ascii="Georgia" w:hAnsi="Georgia"/>
          <w:sz w:val="19"/>
          <w:szCs w:val="19"/>
        </w:rPr>
        <w:t xml:space="preserve"> </w:t>
      </w:r>
      <w:r w:rsidRPr="004D0A80">
        <w:rPr>
          <w:rFonts w:ascii="Georgia" w:hAnsi="Georgia"/>
          <w:sz w:val="19"/>
          <w:szCs w:val="19"/>
        </w:rPr>
        <w:t xml:space="preserve">Progress against the MDGs is mixed and currently Kiribati is not on track to meet any of the </w:t>
      </w:r>
      <w:r w:rsidR="00E92460">
        <w:rPr>
          <w:rFonts w:ascii="Georgia" w:hAnsi="Georgia"/>
          <w:sz w:val="19"/>
          <w:szCs w:val="19"/>
        </w:rPr>
        <w:t>goals</w:t>
      </w:r>
      <w:r w:rsidRPr="004D0A80">
        <w:rPr>
          <w:rFonts w:ascii="Georgia" w:hAnsi="Georgia"/>
          <w:sz w:val="19"/>
          <w:szCs w:val="19"/>
        </w:rPr>
        <w:t>.</w:t>
      </w:r>
      <w:r w:rsidR="00E92460">
        <w:rPr>
          <w:rFonts w:ascii="Georgia" w:hAnsi="Georgia"/>
          <w:sz w:val="19"/>
          <w:szCs w:val="19"/>
        </w:rPr>
        <w:t xml:space="preserve"> </w:t>
      </w:r>
      <w:r w:rsidRPr="004D0A80">
        <w:rPr>
          <w:rFonts w:ascii="Georgia" w:hAnsi="Georgia"/>
          <w:sz w:val="19"/>
          <w:szCs w:val="19"/>
        </w:rPr>
        <w:t>While there have been some positive development outcomes in past years</w:t>
      </w:r>
      <w:r w:rsidR="00917DC7">
        <w:rPr>
          <w:rFonts w:ascii="Georgia" w:hAnsi="Georgia"/>
          <w:sz w:val="19"/>
          <w:szCs w:val="19"/>
        </w:rPr>
        <w:t>,</w:t>
      </w:r>
      <w:r w:rsidRPr="004D0A80">
        <w:rPr>
          <w:rFonts w:ascii="Georgia" w:hAnsi="Georgia"/>
          <w:sz w:val="19"/>
          <w:szCs w:val="19"/>
        </w:rPr>
        <w:t xml:space="preserve"> such as a significant reduction in </w:t>
      </w:r>
      <w:r w:rsidR="00917DC7">
        <w:rPr>
          <w:rFonts w:ascii="Georgia" w:hAnsi="Georgia"/>
          <w:sz w:val="19"/>
          <w:szCs w:val="19"/>
        </w:rPr>
        <w:t>tuberculosis</w:t>
      </w:r>
      <w:r w:rsidRPr="004D0A80">
        <w:rPr>
          <w:rFonts w:ascii="Georgia" w:hAnsi="Georgia"/>
          <w:sz w:val="19"/>
          <w:szCs w:val="19"/>
        </w:rPr>
        <w:t>, there are limited opportunities for economic growth and development</w:t>
      </w:r>
      <w:r>
        <w:rPr>
          <w:rFonts w:ascii="Georgia" w:hAnsi="Georgia"/>
          <w:sz w:val="19"/>
          <w:szCs w:val="19"/>
        </w:rPr>
        <w:t>, and consequently job creation and government revenue</w:t>
      </w:r>
      <w:r w:rsidRPr="004D0A80">
        <w:rPr>
          <w:rFonts w:ascii="Georgia" w:hAnsi="Georgia"/>
          <w:sz w:val="19"/>
          <w:szCs w:val="19"/>
        </w:rPr>
        <w:t>.</w:t>
      </w:r>
    </w:p>
    <w:p w14:paraId="0C1CFC60" w14:textId="229F57BA" w:rsidR="00B97810" w:rsidRDefault="00B97810" w:rsidP="004D0A80">
      <w:pPr>
        <w:pStyle w:val="gray"/>
        <w:spacing w:before="240" w:after="0" w:line="280" w:lineRule="atLeast"/>
        <w:ind w:left="0" w:right="272"/>
        <w:rPr>
          <w:rFonts w:ascii="Georgia" w:hAnsi="Georgia"/>
          <w:sz w:val="19"/>
          <w:szCs w:val="19"/>
        </w:rPr>
      </w:pPr>
      <w:r>
        <w:rPr>
          <w:rFonts w:ascii="Georgia" w:hAnsi="Georgia"/>
          <w:sz w:val="19"/>
          <w:szCs w:val="19"/>
        </w:rPr>
        <w:t>The main constraints to growth and development include poor educational opportunities resulting in unrealised capacity potential within the population,</w:t>
      </w:r>
      <w:r w:rsidRPr="004D0A80">
        <w:rPr>
          <w:rFonts w:ascii="Georgia" w:hAnsi="Georgia"/>
          <w:sz w:val="19"/>
          <w:szCs w:val="19"/>
        </w:rPr>
        <w:t xml:space="preserve"> limited revenue streams </w:t>
      </w:r>
      <w:r>
        <w:rPr>
          <w:rFonts w:ascii="Georgia" w:hAnsi="Georgia"/>
          <w:sz w:val="19"/>
          <w:szCs w:val="19"/>
        </w:rPr>
        <w:t>available to</w:t>
      </w:r>
      <w:r w:rsidRPr="004D0A80">
        <w:rPr>
          <w:rFonts w:ascii="Georgia" w:hAnsi="Georgia"/>
          <w:sz w:val="19"/>
          <w:szCs w:val="19"/>
        </w:rPr>
        <w:t xml:space="preserve"> government and individuals, </w:t>
      </w:r>
      <w:r>
        <w:rPr>
          <w:rFonts w:ascii="Georgia" w:hAnsi="Georgia"/>
          <w:sz w:val="19"/>
          <w:szCs w:val="19"/>
        </w:rPr>
        <w:t xml:space="preserve">weak institutions, </w:t>
      </w:r>
      <w:r w:rsidRPr="004D0A80">
        <w:rPr>
          <w:rFonts w:ascii="Georgia" w:hAnsi="Georgia"/>
          <w:sz w:val="19"/>
          <w:szCs w:val="19"/>
        </w:rPr>
        <w:t>reliance on</w:t>
      </w:r>
      <w:r>
        <w:rPr>
          <w:rFonts w:ascii="Georgia" w:hAnsi="Georgia"/>
          <w:sz w:val="19"/>
          <w:szCs w:val="19"/>
        </w:rPr>
        <w:t xml:space="preserve"> an inefficient</w:t>
      </w:r>
      <w:r w:rsidRPr="004D0A80">
        <w:rPr>
          <w:rFonts w:ascii="Georgia" w:hAnsi="Georgia"/>
          <w:sz w:val="19"/>
          <w:szCs w:val="19"/>
        </w:rPr>
        <w:t xml:space="preserve"> public sector as the principal employer</w:t>
      </w:r>
      <w:r>
        <w:rPr>
          <w:rFonts w:ascii="Georgia" w:hAnsi="Georgia"/>
          <w:sz w:val="19"/>
          <w:szCs w:val="19"/>
        </w:rPr>
        <w:t>,</w:t>
      </w:r>
      <w:r w:rsidRPr="004D0A80">
        <w:rPr>
          <w:rFonts w:ascii="Georgia" w:hAnsi="Georgia"/>
          <w:sz w:val="19"/>
          <w:szCs w:val="19"/>
        </w:rPr>
        <w:t xml:space="preserve"> </w:t>
      </w:r>
      <w:r>
        <w:rPr>
          <w:rFonts w:ascii="Georgia" w:hAnsi="Georgia"/>
          <w:sz w:val="19"/>
          <w:szCs w:val="19"/>
        </w:rPr>
        <w:t>and poorly maintained (or non-existent) infrastructure.</w:t>
      </w:r>
      <w:r w:rsidR="00E92460">
        <w:rPr>
          <w:rFonts w:ascii="Georgia" w:hAnsi="Georgia"/>
          <w:sz w:val="19"/>
          <w:szCs w:val="19"/>
        </w:rPr>
        <w:t xml:space="preserve"> </w:t>
      </w:r>
    </w:p>
    <w:p w14:paraId="4F0AA473" w14:textId="26431AC1" w:rsidR="00B97810" w:rsidRPr="004D0A80" w:rsidRDefault="00B97810" w:rsidP="001231B0">
      <w:pPr>
        <w:pStyle w:val="gray"/>
        <w:spacing w:before="240" w:after="0" w:line="280" w:lineRule="atLeast"/>
        <w:ind w:left="0" w:right="272"/>
        <w:rPr>
          <w:rFonts w:ascii="Georgia" w:hAnsi="Georgia"/>
          <w:sz w:val="19"/>
          <w:szCs w:val="19"/>
        </w:rPr>
      </w:pPr>
      <w:r>
        <w:rPr>
          <w:rFonts w:ascii="Georgia" w:hAnsi="Georgia"/>
          <w:sz w:val="19"/>
          <w:szCs w:val="19"/>
        </w:rPr>
        <w:lastRenderedPageBreak/>
        <w:t>High population densities in parts of South Tarawa</w:t>
      </w:r>
      <w:r w:rsidR="00917DC7">
        <w:rPr>
          <w:rFonts w:ascii="Georgia" w:hAnsi="Georgia"/>
          <w:sz w:val="19"/>
          <w:szCs w:val="19"/>
        </w:rPr>
        <w:t>—</w:t>
      </w:r>
      <w:r>
        <w:rPr>
          <w:rFonts w:ascii="Georgia" w:hAnsi="Georgia"/>
          <w:sz w:val="19"/>
          <w:szCs w:val="19"/>
        </w:rPr>
        <w:t>where half of Kiribati’s population of 100</w:t>
      </w:r>
      <w:r w:rsidR="00917DC7">
        <w:rPr>
          <w:rFonts w:ascii="Georgia" w:hAnsi="Georgia"/>
          <w:sz w:val="19"/>
          <w:szCs w:val="19"/>
        </w:rPr>
        <w:t xml:space="preserve"> </w:t>
      </w:r>
      <w:r>
        <w:rPr>
          <w:rFonts w:ascii="Georgia" w:hAnsi="Georgia"/>
          <w:sz w:val="19"/>
          <w:szCs w:val="19"/>
        </w:rPr>
        <w:t>000 lives on just 15.7 square kilometres of land</w:t>
      </w:r>
      <w:r w:rsidR="00917DC7">
        <w:rPr>
          <w:rFonts w:ascii="Georgia" w:hAnsi="Georgia"/>
          <w:sz w:val="19"/>
          <w:szCs w:val="19"/>
        </w:rPr>
        <w:t>—</w:t>
      </w:r>
      <w:r>
        <w:rPr>
          <w:rFonts w:ascii="Georgia" w:hAnsi="Georgia"/>
          <w:sz w:val="19"/>
          <w:szCs w:val="19"/>
        </w:rPr>
        <w:t>together with little in the way of sanitation systems</w:t>
      </w:r>
      <w:r w:rsidRPr="004D0A80">
        <w:rPr>
          <w:rFonts w:ascii="Georgia" w:hAnsi="Georgia"/>
          <w:sz w:val="19"/>
          <w:szCs w:val="19"/>
        </w:rPr>
        <w:t xml:space="preserve"> </w:t>
      </w:r>
      <w:r>
        <w:rPr>
          <w:rFonts w:ascii="Georgia" w:hAnsi="Georgia"/>
          <w:sz w:val="19"/>
          <w:szCs w:val="19"/>
        </w:rPr>
        <w:t xml:space="preserve">and the rapid depletion of clean </w:t>
      </w:r>
      <w:r w:rsidRPr="004D0A80">
        <w:rPr>
          <w:rFonts w:ascii="Georgia" w:hAnsi="Georgia"/>
          <w:sz w:val="19"/>
          <w:szCs w:val="19"/>
        </w:rPr>
        <w:t>water</w:t>
      </w:r>
      <w:r>
        <w:rPr>
          <w:rFonts w:ascii="Georgia" w:hAnsi="Georgia"/>
          <w:sz w:val="19"/>
          <w:szCs w:val="19"/>
        </w:rPr>
        <w:t xml:space="preserve"> sources, have set the stage for a potential</w:t>
      </w:r>
      <w:r w:rsidRPr="004D0A80">
        <w:rPr>
          <w:rFonts w:ascii="Georgia" w:hAnsi="Georgia"/>
          <w:sz w:val="19"/>
          <w:szCs w:val="19"/>
        </w:rPr>
        <w:t xml:space="preserve"> humanitarian or h</w:t>
      </w:r>
      <w:r>
        <w:rPr>
          <w:rFonts w:ascii="Georgia" w:hAnsi="Georgia"/>
          <w:sz w:val="19"/>
          <w:szCs w:val="19"/>
        </w:rPr>
        <w:t>ealth crisis.</w:t>
      </w:r>
    </w:p>
    <w:p w14:paraId="6653A4BE" w14:textId="13F1ED36" w:rsidR="00B97810" w:rsidRPr="004D0A80" w:rsidRDefault="00B97810" w:rsidP="001231B0">
      <w:pPr>
        <w:pStyle w:val="gray"/>
        <w:spacing w:before="240" w:after="0" w:line="280" w:lineRule="atLeast"/>
        <w:ind w:left="0" w:right="272"/>
        <w:rPr>
          <w:rFonts w:ascii="Georgia" w:hAnsi="Georgia"/>
          <w:sz w:val="19"/>
          <w:szCs w:val="19"/>
        </w:rPr>
      </w:pPr>
      <w:r w:rsidRPr="004D0A80">
        <w:rPr>
          <w:rFonts w:ascii="Georgia" w:hAnsi="Georgia"/>
          <w:sz w:val="19"/>
          <w:szCs w:val="19"/>
        </w:rPr>
        <w:t xml:space="preserve">Given the size and </w:t>
      </w:r>
      <w:r>
        <w:rPr>
          <w:rFonts w:ascii="Georgia" w:hAnsi="Georgia"/>
          <w:sz w:val="19"/>
          <w:szCs w:val="19"/>
        </w:rPr>
        <w:t xml:space="preserve">vast </w:t>
      </w:r>
      <w:r w:rsidRPr="004D0A80">
        <w:rPr>
          <w:rFonts w:ascii="Georgia" w:hAnsi="Georgia"/>
          <w:sz w:val="19"/>
          <w:szCs w:val="19"/>
        </w:rPr>
        <w:t xml:space="preserve">distribution of </w:t>
      </w:r>
      <w:r>
        <w:rPr>
          <w:rFonts w:ascii="Georgia" w:hAnsi="Georgia"/>
          <w:sz w:val="19"/>
          <w:szCs w:val="19"/>
        </w:rPr>
        <w:t>the I-</w:t>
      </w:r>
      <w:r w:rsidRPr="004D0A80">
        <w:rPr>
          <w:rFonts w:ascii="Georgia" w:hAnsi="Georgia"/>
          <w:sz w:val="19"/>
          <w:szCs w:val="19"/>
        </w:rPr>
        <w:t>Kiribati</w:t>
      </w:r>
      <w:r>
        <w:rPr>
          <w:rFonts w:ascii="Georgia" w:hAnsi="Georgia"/>
          <w:sz w:val="19"/>
          <w:szCs w:val="19"/>
        </w:rPr>
        <w:t xml:space="preserve"> population</w:t>
      </w:r>
      <w:r w:rsidRPr="004D0A80">
        <w:rPr>
          <w:rFonts w:ascii="Georgia" w:hAnsi="Georgia"/>
          <w:sz w:val="19"/>
          <w:szCs w:val="19"/>
        </w:rPr>
        <w:t>, the</w:t>
      </w:r>
      <w:r>
        <w:rPr>
          <w:rFonts w:ascii="Georgia" w:hAnsi="Georgia"/>
          <w:sz w:val="19"/>
          <w:szCs w:val="19"/>
        </w:rPr>
        <w:t xml:space="preserve"> cost of service delivery is as high as it is complex: transport (either by sea or air) is costly, unreliable and unsafe</w:t>
      </w:r>
      <w:r w:rsidR="00917DC7">
        <w:rPr>
          <w:rFonts w:ascii="Georgia" w:hAnsi="Georgia"/>
          <w:sz w:val="19"/>
          <w:szCs w:val="19"/>
        </w:rPr>
        <w:t xml:space="preserve">, </w:t>
      </w:r>
      <w:r>
        <w:rPr>
          <w:rFonts w:ascii="Georgia" w:hAnsi="Georgia"/>
          <w:sz w:val="19"/>
          <w:szCs w:val="19"/>
        </w:rPr>
        <w:t>there are no economies of scale</w:t>
      </w:r>
      <w:r w:rsidR="00917DC7">
        <w:rPr>
          <w:rFonts w:ascii="Georgia" w:hAnsi="Georgia"/>
          <w:sz w:val="19"/>
          <w:szCs w:val="19"/>
        </w:rPr>
        <w:t xml:space="preserve">, </w:t>
      </w:r>
      <w:r>
        <w:rPr>
          <w:rFonts w:ascii="Georgia" w:hAnsi="Georgia"/>
          <w:sz w:val="19"/>
          <w:szCs w:val="19"/>
        </w:rPr>
        <w:t>telecommunications infrastructure and coverage is poor and expensive</w:t>
      </w:r>
      <w:r w:rsidR="00917DC7">
        <w:rPr>
          <w:rFonts w:ascii="Georgia" w:hAnsi="Georgia"/>
          <w:sz w:val="19"/>
          <w:szCs w:val="19"/>
        </w:rPr>
        <w:t xml:space="preserve">, </w:t>
      </w:r>
      <w:r>
        <w:rPr>
          <w:rFonts w:ascii="Georgia" w:hAnsi="Georgia"/>
          <w:sz w:val="19"/>
          <w:szCs w:val="19"/>
        </w:rPr>
        <w:t xml:space="preserve">and service delivery is fragmented across a range of </w:t>
      </w:r>
      <w:r w:rsidR="00917DC7">
        <w:rPr>
          <w:rFonts w:ascii="Georgia" w:hAnsi="Georgia"/>
          <w:sz w:val="19"/>
          <w:szCs w:val="19"/>
        </w:rPr>
        <w:t>ministries</w:t>
      </w:r>
      <w:r w:rsidRPr="004D0A80">
        <w:rPr>
          <w:rFonts w:ascii="Georgia" w:hAnsi="Georgia"/>
          <w:sz w:val="19"/>
          <w:szCs w:val="19"/>
        </w:rPr>
        <w:t>.</w:t>
      </w:r>
      <w:r w:rsidR="00E92460">
        <w:rPr>
          <w:rFonts w:ascii="Georgia" w:hAnsi="Georgia"/>
          <w:sz w:val="19"/>
          <w:szCs w:val="19"/>
        </w:rPr>
        <w:t xml:space="preserve"> </w:t>
      </w:r>
      <w:r w:rsidRPr="004D0A80">
        <w:rPr>
          <w:rFonts w:ascii="Georgia" w:hAnsi="Georgia"/>
          <w:sz w:val="19"/>
          <w:szCs w:val="19"/>
        </w:rPr>
        <w:t>Furthermore, Kiribati’s relative isolation from its major trading partners</w:t>
      </w:r>
      <w:r w:rsidR="00917DC7">
        <w:rPr>
          <w:rFonts w:ascii="Georgia" w:hAnsi="Georgia"/>
          <w:sz w:val="19"/>
          <w:szCs w:val="19"/>
        </w:rPr>
        <w:t>—</w:t>
      </w:r>
      <w:r w:rsidRPr="004D0A80">
        <w:rPr>
          <w:rFonts w:ascii="Georgia" w:hAnsi="Georgia"/>
          <w:sz w:val="19"/>
          <w:szCs w:val="19"/>
        </w:rPr>
        <w:t>Australia, Japan and Fiji</w:t>
      </w:r>
      <w:r w:rsidR="00917DC7">
        <w:rPr>
          <w:rFonts w:ascii="Georgia" w:hAnsi="Georgia"/>
          <w:sz w:val="19"/>
          <w:szCs w:val="19"/>
        </w:rPr>
        <w:t>—</w:t>
      </w:r>
      <w:r>
        <w:rPr>
          <w:rFonts w:ascii="Georgia" w:hAnsi="Georgia"/>
          <w:sz w:val="19"/>
          <w:szCs w:val="19"/>
        </w:rPr>
        <w:t>combined</w:t>
      </w:r>
      <w:r w:rsidRPr="004D0A80">
        <w:rPr>
          <w:rFonts w:ascii="Georgia" w:hAnsi="Georgia"/>
          <w:sz w:val="19"/>
          <w:szCs w:val="19"/>
        </w:rPr>
        <w:t xml:space="preserve"> with its poor transport links </w:t>
      </w:r>
      <w:r>
        <w:rPr>
          <w:rFonts w:ascii="Georgia" w:hAnsi="Georgia"/>
          <w:sz w:val="19"/>
          <w:szCs w:val="19"/>
        </w:rPr>
        <w:t>(for half of 2011, Kiribati was only serviced by one international airline)</w:t>
      </w:r>
      <w:r w:rsidR="00745D89">
        <w:rPr>
          <w:rFonts w:ascii="Georgia" w:hAnsi="Georgia"/>
          <w:sz w:val="19"/>
          <w:szCs w:val="19"/>
        </w:rPr>
        <w:t>,</w:t>
      </w:r>
      <w:r>
        <w:rPr>
          <w:rFonts w:ascii="Georgia" w:hAnsi="Georgia"/>
          <w:sz w:val="19"/>
          <w:szCs w:val="19"/>
        </w:rPr>
        <w:t xml:space="preserve"> </w:t>
      </w:r>
      <w:r w:rsidRPr="004D0A80">
        <w:rPr>
          <w:rFonts w:ascii="Georgia" w:hAnsi="Georgia"/>
          <w:sz w:val="19"/>
          <w:szCs w:val="19"/>
        </w:rPr>
        <w:t xml:space="preserve">adds to the costs of importing goods and services. </w:t>
      </w:r>
    </w:p>
    <w:p w14:paraId="31E40C7A" w14:textId="77777777" w:rsidR="00CE02C9" w:rsidRPr="0008569F" w:rsidRDefault="00CE02C9" w:rsidP="0053432A">
      <w:pPr>
        <w:pStyle w:val="H2"/>
      </w:pPr>
      <w:r>
        <w:t>Political</w:t>
      </w:r>
    </w:p>
    <w:p w14:paraId="14BF7D0A" w14:textId="49DE2314" w:rsidR="00B97810" w:rsidRPr="004D0A80" w:rsidRDefault="00B97810" w:rsidP="004D0A80">
      <w:pPr>
        <w:pStyle w:val="gray"/>
        <w:spacing w:before="240" w:after="0" w:line="280" w:lineRule="atLeast"/>
        <w:ind w:left="0" w:right="272"/>
        <w:rPr>
          <w:rFonts w:ascii="Georgia" w:hAnsi="Georgia"/>
          <w:sz w:val="19"/>
          <w:szCs w:val="19"/>
        </w:rPr>
      </w:pPr>
      <w:r>
        <w:rPr>
          <w:rFonts w:ascii="Georgia" w:hAnsi="Georgia"/>
          <w:sz w:val="19"/>
          <w:szCs w:val="19"/>
        </w:rPr>
        <w:t xml:space="preserve">The Government of Kiribati </w:t>
      </w:r>
      <w:r w:rsidR="00917DC7">
        <w:rPr>
          <w:rFonts w:ascii="Georgia" w:hAnsi="Georgia"/>
          <w:sz w:val="19"/>
          <w:szCs w:val="19"/>
        </w:rPr>
        <w:t xml:space="preserve">is </w:t>
      </w:r>
      <w:r>
        <w:rPr>
          <w:rFonts w:ascii="Georgia" w:hAnsi="Georgia"/>
          <w:sz w:val="19"/>
          <w:szCs w:val="19"/>
        </w:rPr>
        <w:t xml:space="preserve">a coalition </w:t>
      </w:r>
      <w:r w:rsidR="00745D89">
        <w:rPr>
          <w:rFonts w:ascii="Georgia" w:hAnsi="Georgia"/>
          <w:sz w:val="19"/>
          <w:szCs w:val="19"/>
        </w:rPr>
        <w:t xml:space="preserve">which was </w:t>
      </w:r>
      <w:r>
        <w:rPr>
          <w:rFonts w:ascii="Georgia" w:hAnsi="Georgia"/>
          <w:sz w:val="19"/>
          <w:szCs w:val="19"/>
        </w:rPr>
        <w:t xml:space="preserve">re-elected in November 2011 under the same </w:t>
      </w:r>
      <w:r w:rsidR="00E92460">
        <w:rPr>
          <w:rFonts w:ascii="Georgia" w:hAnsi="Georgia"/>
          <w:sz w:val="19"/>
          <w:szCs w:val="19"/>
        </w:rPr>
        <w:t>president</w:t>
      </w:r>
      <w:r w:rsidR="00271E69">
        <w:rPr>
          <w:rFonts w:ascii="Georgia" w:hAnsi="Georgia"/>
          <w:sz w:val="19"/>
          <w:szCs w:val="19"/>
        </w:rPr>
        <w:t>,</w:t>
      </w:r>
      <w:r w:rsidR="00E92460">
        <w:rPr>
          <w:rFonts w:ascii="Georgia" w:hAnsi="Georgia"/>
          <w:sz w:val="19"/>
          <w:szCs w:val="19"/>
        </w:rPr>
        <w:t xml:space="preserve"> and</w:t>
      </w:r>
      <w:r>
        <w:rPr>
          <w:rFonts w:ascii="Georgia" w:hAnsi="Georgia"/>
          <w:sz w:val="19"/>
          <w:szCs w:val="19"/>
        </w:rPr>
        <w:t xml:space="preserve"> has articulated a reform agenda for some years now. However, it relies heavily on development partners for its implementation capacity.</w:t>
      </w:r>
    </w:p>
    <w:p w14:paraId="112C9E82" w14:textId="77777777" w:rsidR="00B97810" w:rsidRPr="0063085F" w:rsidRDefault="00B97810" w:rsidP="002F18A6">
      <w:pPr>
        <w:pStyle w:val="GuidanceText"/>
        <w:ind w:left="360"/>
        <w:rPr>
          <w:rFonts w:ascii="Times New Roman" w:hAnsi="Times New Roman"/>
          <w:color w:val="0070C0"/>
        </w:rPr>
      </w:pPr>
    </w:p>
    <w:p w14:paraId="77C9ABB4" w14:textId="77777777" w:rsidR="00B97810" w:rsidRPr="00462194" w:rsidRDefault="00B97810" w:rsidP="0053432A">
      <w:pPr>
        <w:pStyle w:val="H1A"/>
      </w:pPr>
      <w:bookmarkStart w:id="3" w:name="_Toc360732544"/>
      <w:r>
        <w:t>Program objectives and strategy</w:t>
      </w:r>
      <w:bookmarkEnd w:id="3"/>
    </w:p>
    <w:p w14:paraId="0ECD075D" w14:textId="7B5D28D7" w:rsidR="00B97810" w:rsidRPr="0022399E" w:rsidRDefault="00B97810" w:rsidP="0022399E">
      <w:pPr>
        <w:pStyle w:val="gray"/>
        <w:spacing w:before="240" w:after="0" w:line="280" w:lineRule="atLeast"/>
        <w:ind w:left="0" w:right="272"/>
        <w:rPr>
          <w:rFonts w:ascii="Georgia" w:hAnsi="Georgia"/>
          <w:sz w:val="19"/>
          <w:szCs w:val="19"/>
        </w:rPr>
      </w:pPr>
      <w:r w:rsidRPr="0022399E">
        <w:rPr>
          <w:rFonts w:ascii="Georgia" w:hAnsi="Georgia"/>
          <w:sz w:val="19"/>
          <w:szCs w:val="19"/>
        </w:rPr>
        <w:t xml:space="preserve">The </w:t>
      </w:r>
      <w:r>
        <w:rPr>
          <w:rFonts w:ascii="Georgia" w:hAnsi="Georgia"/>
          <w:sz w:val="19"/>
          <w:szCs w:val="19"/>
        </w:rPr>
        <w:t>Kiribati</w:t>
      </w:r>
      <w:r w:rsidR="00917DC7">
        <w:rPr>
          <w:rFonts w:ascii="Georgia" w:hAnsi="Georgia"/>
          <w:sz w:val="19"/>
          <w:szCs w:val="19"/>
        </w:rPr>
        <w:t>–</w:t>
      </w:r>
      <w:r w:rsidRPr="0022399E">
        <w:rPr>
          <w:rFonts w:ascii="Georgia" w:hAnsi="Georgia"/>
          <w:sz w:val="19"/>
          <w:szCs w:val="19"/>
        </w:rPr>
        <w:t>Australia Partnership for Development was signed on 27 January 2009</w:t>
      </w:r>
      <w:r>
        <w:rPr>
          <w:rFonts w:ascii="Georgia" w:hAnsi="Georgia"/>
          <w:sz w:val="19"/>
          <w:szCs w:val="19"/>
        </w:rPr>
        <w:t xml:space="preserve"> with</w:t>
      </w:r>
      <w:r w:rsidRPr="0022399E">
        <w:rPr>
          <w:rFonts w:ascii="Georgia" w:hAnsi="Georgia"/>
          <w:sz w:val="19"/>
          <w:szCs w:val="19"/>
        </w:rPr>
        <w:t xml:space="preserve"> three priority outcomes:</w:t>
      </w:r>
    </w:p>
    <w:p w14:paraId="6AA02EB5" w14:textId="2B1AED1A" w:rsidR="00B97810" w:rsidRPr="0022399E" w:rsidRDefault="00E92460" w:rsidP="0022399E">
      <w:pPr>
        <w:pStyle w:val="gray"/>
        <w:numPr>
          <w:ilvl w:val="0"/>
          <w:numId w:val="8"/>
        </w:numPr>
        <w:spacing w:before="240" w:after="0" w:line="280" w:lineRule="atLeast"/>
        <w:ind w:right="272"/>
        <w:rPr>
          <w:rFonts w:ascii="Georgia" w:hAnsi="Georgia"/>
          <w:sz w:val="19"/>
          <w:szCs w:val="19"/>
        </w:rPr>
      </w:pPr>
      <w:r>
        <w:rPr>
          <w:rFonts w:ascii="Georgia" w:hAnsi="Georgia"/>
          <w:sz w:val="19"/>
          <w:szCs w:val="19"/>
        </w:rPr>
        <w:t>Outcome</w:t>
      </w:r>
      <w:r w:rsidR="00917DC7">
        <w:rPr>
          <w:rFonts w:ascii="Georgia" w:hAnsi="Georgia"/>
          <w:sz w:val="19"/>
          <w:szCs w:val="19"/>
        </w:rPr>
        <w:t xml:space="preserve"> </w:t>
      </w:r>
      <w:r w:rsidR="00B97810">
        <w:rPr>
          <w:rFonts w:ascii="Georgia" w:hAnsi="Georgia"/>
          <w:sz w:val="19"/>
          <w:szCs w:val="19"/>
        </w:rPr>
        <w:t xml:space="preserve">1: </w:t>
      </w:r>
      <w:r w:rsidR="00917DC7">
        <w:rPr>
          <w:rFonts w:ascii="Georgia" w:hAnsi="Georgia"/>
          <w:sz w:val="19"/>
          <w:szCs w:val="19"/>
        </w:rPr>
        <w:t>i</w:t>
      </w:r>
      <w:r w:rsidR="00917DC7" w:rsidRPr="0022399E">
        <w:rPr>
          <w:rFonts w:ascii="Georgia" w:hAnsi="Georgia"/>
          <w:sz w:val="19"/>
          <w:szCs w:val="19"/>
        </w:rPr>
        <w:t xml:space="preserve">mproved </w:t>
      </w:r>
      <w:r w:rsidR="00B97810" w:rsidRPr="0022399E">
        <w:rPr>
          <w:rFonts w:ascii="Georgia" w:hAnsi="Georgia"/>
          <w:sz w:val="19"/>
          <w:szCs w:val="19"/>
        </w:rPr>
        <w:t>standards in basic education, in terms of access and quality</w:t>
      </w:r>
      <w:r w:rsidR="00B97810">
        <w:rPr>
          <w:rFonts w:ascii="Georgia" w:hAnsi="Georgia"/>
          <w:sz w:val="19"/>
          <w:szCs w:val="19"/>
        </w:rPr>
        <w:t xml:space="preserve"> and literacy and numeracy</w:t>
      </w:r>
      <w:r w:rsidR="00745D89">
        <w:rPr>
          <w:rFonts w:ascii="Georgia" w:hAnsi="Georgia"/>
          <w:sz w:val="19"/>
          <w:szCs w:val="19"/>
        </w:rPr>
        <w:t>.</w:t>
      </w:r>
    </w:p>
    <w:p w14:paraId="1E2CD13D" w14:textId="7E931F1C" w:rsidR="00B97810" w:rsidRPr="0022399E" w:rsidRDefault="00E92460" w:rsidP="0022399E">
      <w:pPr>
        <w:pStyle w:val="gray"/>
        <w:numPr>
          <w:ilvl w:val="0"/>
          <w:numId w:val="8"/>
        </w:numPr>
        <w:spacing w:before="240" w:after="0" w:line="280" w:lineRule="atLeast"/>
        <w:ind w:right="272"/>
        <w:rPr>
          <w:rFonts w:ascii="Georgia" w:hAnsi="Georgia"/>
          <w:sz w:val="19"/>
          <w:szCs w:val="19"/>
        </w:rPr>
      </w:pPr>
      <w:r>
        <w:rPr>
          <w:rFonts w:ascii="Georgia" w:hAnsi="Georgia"/>
          <w:sz w:val="19"/>
          <w:szCs w:val="19"/>
        </w:rPr>
        <w:t>Outcome</w:t>
      </w:r>
      <w:r w:rsidR="00917DC7">
        <w:rPr>
          <w:rFonts w:ascii="Georgia" w:hAnsi="Georgia"/>
          <w:sz w:val="19"/>
          <w:szCs w:val="19"/>
        </w:rPr>
        <w:t xml:space="preserve"> </w:t>
      </w:r>
      <w:r w:rsidR="00B97810">
        <w:rPr>
          <w:rFonts w:ascii="Georgia" w:hAnsi="Georgia"/>
          <w:sz w:val="19"/>
          <w:szCs w:val="19"/>
        </w:rPr>
        <w:t xml:space="preserve">2: </w:t>
      </w:r>
      <w:r w:rsidR="007A57DF">
        <w:rPr>
          <w:rFonts w:ascii="Georgia" w:hAnsi="Georgia"/>
          <w:sz w:val="19"/>
          <w:szCs w:val="19"/>
        </w:rPr>
        <w:t xml:space="preserve">increased </w:t>
      </w:r>
      <w:r w:rsidR="00B97810">
        <w:rPr>
          <w:rFonts w:ascii="Georgia" w:hAnsi="Georgia"/>
          <w:sz w:val="19"/>
          <w:szCs w:val="19"/>
        </w:rPr>
        <w:t>o</w:t>
      </w:r>
      <w:r w:rsidR="00B97810" w:rsidRPr="0022399E">
        <w:rPr>
          <w:rFonts w:ascii="Georgia" w:hAnsi="Georgia"/>
          <w:sz w:val="19"/>
          <w:szCs w:val="19"/>
        </w:rPr>
        <w:t xml:space="preserve">pportunities for people to develop </w:t>
      </w:r>
      <w:r w:rsidR="00B97810">
        <w:rPr>
          <w:rFonts w:ascii="Georgia" w:hAnsi="Georgia"/>
          <w:sz w:val="19"/>
          <w:szCs w:val="19"/>
        </w:rPr>
        <w:t>internationally recognised</w:t>
      </w:r>
      <w:r w:rsidR="00B97810" w:rsidRPr="0022399E">
        <w:rPr>
          <w:rFonts w:ascii="Georgia" w:hAnsi="Georgia"/>
          <w:sz w:val="19"/>
          <w:szCs w:val="19"/>
        </w:rPr>
        <w:t xml:space="preserve"> workforce skills in areas of industry demand, both domestically and </w:t>
      </w:r>
      <w:r w:rsidR="00745D89">
        <w:rPr>
          <w:rFonts w:ascii="Georgia" w:hAnsi="Georgia"/>
          <w:sz w:val="19"/>
          <w:szCs w:val="19"/>
        </w:rPr>
        <w:t>overseas.</w:t>
      </w:r>
    </w:p>
    <w:p w14:paraId="3863D1D3" w14:textId="3D099811" w:rsidR="00B97810" w:rsidRPr="0022399E" w:rsidRDefault="00E92460" w:rsidP="0022399E">
      <w:pPr>
        <w:pStyle w:val="gray"/>
        <w:numPr>
          <w:ilvl w:val="0"/>
          <w:numId w:val="8"/>
        </w:numPr>
        <w:spacing w:before="240" w:after="0" w:line="280" w:lineRule="atLeast"/>
        <w:ind w:right="272"/>
        <w:rPr>
          <w:rFonts w:ascii="Georgia" w:hAnsi="Georgia"/>
          <w:sz w:val="19"/>
          <w:szCs w:val="19"/>
        </w:rPr>
      </w:pPr>
      <w:r>
        <w:rPr>
          <w:rFonts w:ascii="Georgia" w:hAnsi="Georgia"/>
          <w:sz w:val="19"/>
          <w:szCs w:val="19"/>
        </w:rPr>
        <w:t>Outcome</w:t>
      </w:r>
      <w:r w:rsidR="00917DC7">
        <w:rPr>
          <w:rFonts w:ascii="Georgia" w:hAnsi="Georgia"/>
          <w:sz w:val="19"/>
          <w:szCs w:val="19"/>
        </w:rPr>
        <w:t xml:space="preserve"> </w:t>
      </w:r>
      <w:r w:rsidR="00B97810">
        <w:rPr>
          <w:rFonts w:ascii="Georgia" w:hAnsi="Georgia"/>
          <w:sz w:val="19"/>
          <w:szCs w:val="19"/>
        </w:rPr>
        <w:t xml:space="preserve">3: </w:t>
      </w:r>
      <w:proofErr w:type="gramStart"/>
      <w:r w:rsidR="007A57DF">
        <w:rPr>
          <w:rFonts w:ascii="Georgia" w:hAnsi="Georgia"/>
          <w:sz w:val="19"/>
          <w:szCs w:val="19"/>
        </w:rPr>
        <w:t>e</w:t>
      </w:r>
      <w:r w:rsidR="007A57DF" w:rsidRPr="0022399E">
        <w:rPr>
          <w:rFonts w:ascii="Georgia" w:hAnsi="Georgia"/>
          <w:sz w:val="19"/>
          <w:szCs w:val="19"/>
        </w:rPr>
        <w:t xml:space="preserve">conomic </w:t>
      </w:r>
      <w:r w:rsidRPr="0022399E">
        <w:rPr>
          <w:rFonts w:ascii="Georgia" w:hAnsi="Georgia"/>
          <w:sz w:val="19"/>
          <w:szCs w:val="19"/>
        </w:rPr>
        <w:t>reforms</w:t>
      </w:r>
      <w:r>
        <w:rPr>
          <w:rFonts w:ascii="Georgia" w:hAnsi="Georgia"/>
          <w:sz w:val="19"/>
          <w:szCs w:val="19"/>
        </w:rPr>
        <w:t>, which aim to increase revenue and support,</w:t>
      </w:r>
      <w:r w:rsidR="00B97810">
        <w:rPr>
          <w:rFonts w:ascii="Georgia" w:hAnsi="Georgia"/>
          <w:sz w:val="19"/>
          <w:szCs w:val="19"/>
        </w:rPr>
        <w:t xml:space="preserve"> </w:t>
      </w:r>
      <w:r w:rsidR="00745D89">
        <w:rPr>
          <w:rFonts w:ascii="Georgia" w:hAnsi="Georgia"/>
          <w:sz w:val="19"/>
          <w:szCs w:val="19"/>
        </w:rPr>
        <w:t xml:space="preserve">and </w:t>
      </w:r>
      <w:r w:rsidR="00B97810">
        <w:rPr>
          <w:rFonts w:ascii="Georgia" w:hAnsi="Georgia"/>
          <w:sz w:val="19"/>
          <w:szCs w:val="19"/>
        </w:rPr>
        <w:t>better</w:t>
      </w:r>
      <w:proofErr w:type="gramEnd"/>
      <w:r w:rsidR="00B97810">
        <w:rPr>
          <w:rFonts w:ascii="Georgia" w:hAnsi="Georgia"/>
          <w:sz w:val="19"/>
          <w:szCs w:val="19"/>
        </w:rPr>
        <w:t xml:space="preserve"> allocat</w:t>
      </w:r>
      <w:r w:rsidR="00745D89">
        <w:rPr>
          <w:rFonts w:ascii="Georgia" w:hAnsi="Georgia"/>
          <w:sz w:val="19"/>
          <w:szCs w:val="19"/>
        </w:rPr>
        <w:t xml:space="preserve">e </w:t>
      </w:r>
      <w:r w:rsidR="00B97810">
        <w:rPr>
          <w:rFonts w:ascii="Georgia" w:hAnsi="Georgia"/>
          <w:sz w:val="19"/>
          <w:szCs w:val="19"/>
        </w:rPr>
        <w:t>resources to meet development challenges.</w:t>
      </w:r>
    </w:p>
    <w:p w14:paraId="68755C20" w14:textId="67592701" w:rsidR="00B97810" w:rsidRDefault="00B97810" w:rsidP="0022399E">
      <w:pPr>
        <w:pStyle w:val="gray"/>
        <w:spacing w:before="240" w:after="0" w:line="280" w:lineRule="atLeast"/>
        <w:ind w:left="0" w:right="272"/>
        <w:rPr>
          <w:rFonts w:ascii="Georgia" w:hAnsi="Georgia"/>
          <w:sz w:val="19"/>
          <w:szCs w:val="19"/>
        </w:rPr>
      </w:pPr>
      <w:r w:rsidRPr="0022399E">
        <w:rPr>
          <w:rFonts w:ascii="Georgia" w:hAnsi="Georgia"/>
          <w:sz w:val="19"/>
          <w:szCs w:val="19"/>
        </w:rPr>
        <w:t xml:space="preserve">Australia </w:t>
      </w:r>
      <w:r w:rsidR="007A57DF">
        <w:rPr>
          <w:rFonts w:ascii="Georgia" w:hAnsi="Georgia"/>
          <w:sz w:val="19"/>
          <w:szCs w:val="19"/>
        </w:rPr>
        <w:t xml:space="preserve">also </w:t>
      </w:r>
      <w:r w:rsidRPr="0022399E">
        <w:rPr>
          <w:rFonts w:ascii="Georgia" w:hAnsi="Georgia"/>
          <w:sz w:val="19"/>
          <w:szCs w:val="19"/>
        </w:rPr>
        <w:t xml:space="preserve">provides assistance </w:t>
      </w:r>
      <w:r w:rsidR="00745D89">
        <w:rPr>
          <w:rFonts w:ascii="Georgia" w:hAnsi="Georgia"/>
          <w:sz w:val="19"/>
          <w:szCs w:val="19"/>
        </w:rPr>
        <w:t>on</w:t>
      </w:r>
      <w:r w:rsidR="00745D89" w:rsidRPr="0022399E">
        <w:rPr>
          <w:rFonts w:ascii="Georgia" w:hAnsi="Georgia"/>
          <w:sz w:val="19"/>
          <w:szCs w:val="19"/>
        </w:rPr>
        <w:t xml:space="preserve"> </w:t>
      </w:r>
      <w:r w:rsidRPr="0022399E">
        <w:rPr>
          <w:rFonts w:ascii="Georgia" w:hAnsi="Georgia"/>
          <w:sz w:val="19"/>
          <w:szCs w:val="19"/>
        </w:rPr>
        <w:t>infrastructure</w:t>
      </w:r>
      <w:r w:rsidR="007A57DF">
        <w:rPr>
          <w:rFonts w:ascii="Georgia" w:hAnsi="Georgia"/>
          <w:sz w:val="19"/>
          <w:szCs w:val="19"/>
        </w:rPr>
        <w:t>,</w:t>
      </w:r>
      <w:r w:rsidRPr="0022399E">
        <w:rPr>
          <w:rFonts w:ascii="Georgia" w:hAnsi="Georgia"/>
          <w:sz w:val="19"/>
          <w:szCs w:val="19"/>
        </w:rPr>
        <w:t xml:space="preserve"> and water and sanitation</w:t>
      </w:r>
      <w:r w:rsidR="007A57DF">
        <w:rPr>
          <w:rFonts w:ascii="Georgia" w:hAnsi="Georgia"/>
          <w:sz w:val="19"/>
          <w:szCs w:val="19"/>
        </w:rPr>
        <w:t>,</w:t>
      </w:r>
      <w:r w:rsidRPr="0022399E">
        <w:rPr>
          <w:rFonts w:ascii="Georgia" w:hAnsi="Georgia"/>
          <w:sz w:val="19"/>
          <w:szCs w:val="19"/>
        </w:rPr>
        <w:t xml:space="preserve"> through the Pacific Region Infrastructure Facility.</w:t>
      </w:r>
      <w:r w:rsidR="00E92460">
        <w:rPr>
          <w:rFonts w:ascii="Georgia" w:hAnsi="Georgia"/>
          <w:sz w:val="19"/>
          <w:szCs w:val="19"/>
        </w:rPr>
        <w:t xml:space="preserve"> </w:t>
      </w:r>
      <w:r w:rsidRPr="0022399E">
        <w:rPr>
          <w:rFonts w:ascii="Georgia" w:hAnsi="Georgia"/>
          <w:sz w:val="19"/>
          <w:szCs w:val="19"/>
        </w:rPr>
        <w:t>Further assistance is delivered in the areas of climate change, health</w:t>
      </w:r>
      <w:r>
        <w:rPr>
          <w:rFonts w:ascii="Georgia" w:hAnsi="Georgia"/>
          <w:sz w:val="19"/>
          <w:szCs w:val="19"/>
        </w:rPr>
        <w:t>,</w:t>
      </w:r>
      <w:r w:rsidRPr="0022399E">
        <w:rPr>
          <w:rFonts w:ascii="Georgia" w:hAnsi="Georgia"/>
          <w:sz w:val="19"/>
          <w:szCs w:val="19"/>
        </w:rPr>
        <w:t xml:space="preserve"> disability and gender.</w:t>
      </w:r>
    </w:p>
    <w:p w14:paraId="795C149C" w14:textId="2B6C9922" w:rsidR="00B97810" w:rsidRDefault="00B97810" w:rsidP="00543F26">
      <w:pPr>
        <w:pStyle w:val="BodyText"/>
      </w:pPr>
      <w:r>
        <w:t>In 201</w:t>
      </w:r>
      <w:r w:rsidR="0053290D">
        <w:t>1</w:t>
      </w:r>
      <w:r w:rsidR="007A57DF">
        <w:t>–</w:t>
      </w:r>
      <w:r>
        <w:t>1</w:t>
      </w:r>
      <w:r w:rsidR="0053290D">
        <w:t>2</w:t>
      </w:r>
      <w:r>
        <w:t xml:space="preserve"> an additional $</w:t>
      </w:r>
      <w:r w:rsidR="0053290D">
        <w:t>4.8</w:t>
      </w:r>
      <w:r w:rsidR="007A0B76">
        <w:t xml:space="preserve"> </w:t>
      </w:r>
      <w:r>
        <w:t xml:space="preserve">million in </w:t>
      </w:r>
      <w:proofErr w:type="spellStart"/>
      <w:r>
        <w:t>AusAID</w:t>
      </w:r>
      <w:proofErr w:type="spellEnd"/>
      <w:r>
        <w:t xml:space="preserve"> regional and global funding </w:t>
      </w:r>
      <w:r w:rsidR="007A57DF">
        <w:t>was provided to</w:t>
      </w:r>
      <w:r>
        <w:t xml:space="preserve"> Kiribati. This report does not assess the impact of regional and global funding in </w:t>
      </w:r>
      <w:r w:rsidR="007A57DF">
        <w:t>the country</w:t>
      </w:r>
      <w:r>
        <w:t>.</w:t>
      </w:r>
    </w:p>
    <w:p w14:paraId="5C8F8E78" w14:textId="55181C76" w:rsidR="00B97810" w:rsidRDefault="00B97810" w:rsidP="003952D2">
      <w:pPr>
        <w:pStyle w:val="gray"/>
        <w:spacing w:before="240" w:after="0" w:line="280" w:lineRule="atLeast"/>
        <w:ind w:left="0" w:right="272"/>
        <w:rPr>
          <w:rFonts w:ascii="Georgia" w:hAnsi="Georgia"/>
          <w:sz w:val="19"/>
          <w:szCs w:val="19"/>
        </w:rPr>
      </w:pPr>
      <w:r>
        <w:rPr>
          <w:rFonts w:ascii="Georgia" w:hAnsi="Georgia"/>
          <w:sz w:val="19"/>
          <w:szCs w:val="19"/>
        </w:rPr>
        <w:t xml:space="preserve">Australia is the largest donor in Kiribati, providing </w:t>
      </w:r>
      <w:r w:rsidR="0053290D">
        <w:rPr>
          <w:rFonts w:ascii="Georgia" w:hAnsi="Georgia"/>
          <w:sz w:val="19"/>
          <w:szCs w:val="19"/>
        </w:rPr>
        <w:t>$</w:t>
      </w:r>
      <w:r w:rsidR="00244E50">
        <w:rPr>
          <w:rFonts w:ascii="Georgia" w:hAnsi="Georgia"/>
          <w:sz w:val="19"/>
          <w:szCs w:val="19"/>
        </w:rPr>
        <w:t>30.3</w:t>
      </w:r>
      <w:r>
        <w:rPr>
          <w:rFonts w:ascii="Georgia" w:hAnsi="Georgia"/>
          <w:sz w:val="19"/>
          <w:szCs w:val="19"/>
        </w:rPr>
        <w:t xml:space="preserve"> million in 2011</w:t>
      </w:r>
      <w:r w:rsidR="007A57DF">
        <w:rPr>
          <w:rFonts w:ascii="Georgia" w:hAnsi="Georgia"/>
          <w:sz w:val="19"/>
          <w:szCs w:val="19"/>
        </w:rPr>
        <w:t>–</w:t>
      </w:r>
      <w:r>
        <w:rPr>
          <w:rFonts w:ascii="Georgia" w:hAnsi="Georgia"/>
          <w:sz w:val="19"/>
          <w:szCs w:val="19"/>
        </w:rPr>
        <w:t>12 delivered primarily through a mix of managing contractors and multilateral partners.</w:t>
      </w:r>
      <w:r w:rsidR="00E92460">
        <w:rPr>
          <w:rFonts w:ascii="Georgia" w:hAnsi="Georgia"/>
          <w:sz w:val="19"/>
          <w:szCs w:val="19"/>
        </w:rPr>
        <w:t xml:space="preserve"> </w:t>
      </w:r>
    </w:p>
    <w:p w14:paraId="0A597DB8" w14:textId="7823CA24" w:rsidR="00B97810" w:rsidRPr="004A213C" w:rsidRDefault="004A213C" w:rsidP="004A213C">
      <w:pPr>
        <w:pStyle w:val="Caption"/>
      </w:pPr>
      <w:r>
        <w:lastRenderedPageBreak/>
        <w:t>Table 1:</w:t>
      </w:r>
      <w:r w:rsidR="00E92460">
        <w:t xml:space="preserve"> </w:t>
      </w:r>
      <w:r w:rsidR="00B97810" w:rsidRPr="004A213C">
        <w:t xml:space="preserve">Donor </w:t>
      </w:r>
      <w:r w:rsidR="007A57DF">
        <w:t>p</w:t>
      </w:r>
      <w:r w:rsidR="007A57DF" w:rsidRPr="004A213C">
        <w:t xml:space="preserve">artner </w:t>
      </w:r>
      <w:r w:rsidR="00B97810" w:rsidRPr="004A213C">
        <w:t>funding in Kiribati in 2011</w:t>
      </w:r>
      <w:r w:rsidR="00241D1D">
        <w:rPr>
          <w:rStyle w:val="FootnoteReference"/>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0A0" w:firstRow="1" w:lastRow="0" w:firstColumn="1" w:lastColumn="0" w:noHBand="0" w:noVBand="0"/>
      </w:tblPr>
      <w:tblGrid>
        <w:gridCol w:w="2038"/>
        <w:gridCol w:w="2038"/>
        <w:gridCol w:w="2039"/>
        <w:gridCol w:w="2039"/>
      </w:tblGrid>
      <w:tr w:rsidR="00B97810" w14:paraId="52F3B3F0" w14:textId="77777777" w:rsidTr="0053432A">
        <w:trPr>
          <w:tblHeader/>
        </w:trPr>
        <w:tc>
          <w:tcPr>
            <w:tcW w:w="2038" w:type="dxa"/>
            <w:shd w:val="clear" w:color="auto" w:fill="B6DDE8" w:themeFill="accent5" w:themeFillTint="66"/>
          </w:tcPr>
          <w:p w14:paraId="2638B371" w14:textId="77777777" w:rsidR="00B97810" w:rsidRPr="00241D1D" w:rsidRDefault="00B97810" w:rsidP="007259E6">
            <w:pPr>
              <w:pStyle w:val="gray"/>
              <w:spacing w:before="240" w:after="0" w:line="280" w:lineRule="atLeast"/>
              <w:ind w:left="0" w:right="272"/>
              <w:rPr>
                <w:rFonts w:ascii="Georgia" w:hAnsi="Georgia"/>
                <w:b/>
                <w:sz w:val="19"/>
                <w:szCs w:val="19"/>
              </w:rPr>
            </w:pPr>
            <w:r w:rsidRPr="00241D1D">
              <w:rPr>
                <w:rFonts w:ascii="Georgia" w:hAnsi="Georgia"/>
                <w:b/>
                <w:sz w:val="19"/>
                <w:szCs w:val="19"/>
              </w:rPr>
              <w:t>Bilateral</w:t>
            </w:r>
          </w:p>
        </w:tc>
        <w:tc>
          <w:tcPr>
            <w:tcW w:w="2038" w:type="dxa"/>
            <w:tcBorders>
              <w:right w:val="double" w:sz="4" w:space="0" w:color="auto"/>
            </w:tcBorders>
            <w:shd w:val="clear" w:color="auto" w:fill="B6DDE8" w:themeFill="accent5" w:themeFillTint="66"/>
          </w:tcPr>
          <w:p w14:paraId="6848C759" w14:textId="77777777" w:rsidR="00B97810" w:rsidRPr="00241D1D" w:rsidRDefault="00B97810" w:rsidP="004A213C">
            <w:pPr>
              <w:pStyle w:val="gray"/>
              <w:spacing w:before="240" w:after="0" w:line="280" w:lineRule="atLeast"/>
              <w:ind w:left="0" w:right="272"/>
              <w:rPr>
                <w:rFonts w:ascii="Georgia" w:hAnsi="Georgia"/>
                <w:b/>
                <w:sz w:val="19"/>
                <w:szCs w:val="19"/>
              </w:rPr>
            </w:pPr>
            <w:r w:rsidRPr="00241D1D">
              <w:rPr>
                <w:rFonts w:ascii="Georgia" w:hAnsi="Georgia"/>
                <w:b/>
                <w:sz w:val="19"/>
                <w:szCs w:val="19"/>
              </w:rPr>
              <w:t>2011</w:t>
            </w:r>
          </w:p>
        </w:tc>
        <w:tc>
          <w:tcPr>
            <w:tcW w:w="2039" w:type="dxa"/>
            <w:tcBorders>
              <w:left w:val="double" w:sz="4" w:space="0" w:color="auto"/>
            </w:tcBorders>
            <w:shd w:val="clear" w:color="auto" w:fill="B6DDE8" w:themeFill="accent5" w:themeFillTint="66"/>
          </w:tcPr>
          <w:p w14:paraId="4B147E3E" w14:textId="77777777" w:rsidR="00B97810" w:rsidRPr="00241D1D" w:rsidRDefault="00B97810" w:rsidP="007259E6">
            <w:pPr>
              <w:pStyle w:val="gray"/>
              <w:spacing w:before="240" w:after="0" w:line="280" w:lineRule="atLeast"/>
              <w:ind w:left="0" w:right="272"/>
              <w:rPr>
                <w:rFonts w:ascii="Georgia" w:hAnsi="Georgia"/>
                <w:b/>
                <w:sz w:val="19"/>
                <w:szCs w:val="19"/>
              </w:rPr>
            </w:pPr>
            <w:r w:rsidRPr="00241D1D">
              <w:rPr>
                <w:rFonts w:ascii="Georgia" w:hAnsi="Georgia"/>
                <w:b/>
                <w:sz w:val="19"/>
                <w:szCs w:val="19"/>
              </w:rPr>
              <w:t xml:space="preserve">Multilateral </w:t>
            </w:r>
          </w:p>
        </w:tc>
        <w:tc>
          <w:tcPr>
            <w:tcW w:w="2039" w:type="dxa"/>
            <w:shd w:val="clear" w:color="auto" w:fill="B6DDE8" w:themeFill="accent5" w:themeFillTint="66"/>
          </w:tcPr>
          <w:p w14:paraId="6C3BF35A" w14:textId="77777777" w:rsidR="00B97810" w:rsidRPr="00241D1D" w:rsidRDefault="00B97810" w:rsidP="004A213C">
            <w:pPr>
              <w:pStyle w:val="gray"/>
              <w:spacing w:before="240" w:after="0" w:line="280" w:lineRule="atLeast"/>
              <w:ind w:left="0" w:right="272"/>
              <w:rPr>
                <w:rFonts w:ascii="Georgia" w:hAnsi="Georgia"/>
                <w:b/>
                <w:sz w:val="19"/>
                <w:szCs w:val="19"/>
              </w:rPr>
            </w:pPr>
            <w:r w:rsidRPr="00241D1D">
              <w:rPr>
                <w:rFonts w:ascii="Georgia" w:hAnsi="Georgia"/>
                <w:b/>
                <w:sz w:val="19"/>
                <w:szCs w:val="19"/>
              </w:rPr>
              <w:t>2011</w:t>
            </w:r>
          </w:p>
        </w:tc>
      </w:tr>
      <w:tr w:rsidR="00B97810" w14:paraId="09653C9B" w14:textId="77777777" w:rsidTr="00241D1D">
        <w:tc>
          <w:tcPr>
            <w:tcW w:w="2038" w:type="dxa"/>
            <w:shd w:val="clear" w:color="auto" w:fill="B6DDE8" w:themeFill="accent5" w:themeFillTint="66"/>
          </w:tcPr>
          <w:p w14:paraId="6A4ADBEC" w14:textId="77777777" w:rsidR="00B97810" w:rsidRPr="007259E6" w:rsidRDefault="00241D1D" w:rsidP="007259E6">
            <w:pPr>
              <w:pStyle w:val="gray"/>
              <w:spacing w:before="240" w:after="0" w:line="280" w:lineRule="atLeast"/>
              <w:ind w:left="0" w:right="272"/>
              <w:rPr>
                <w:rFonts w:ascii="Georgia" w:hAnsi="Georgia"/>
                <w:sz w:val="19"/>
                <w:szCs w:val="19"/>
              </w:rPr>
            </w:pPr>
            <w:r>
              <w:rPr>
                <w:rFonts w:ascii="Georgia" w:hAnsi="Georgia"/>
                <w:sz w:val="19"/>
                <w:szCs w:val="19"/>
              </w:rPr>
              <w:t>Australia</w:t>
            </w:r>
          </w:p>
        </w:tc>
        <w:tc>
          <w:tcPr>
            <w:tcW w:w="2038" w:type="dxa"/>
            <w:tcBorders>
              <w:right w:val="double" w:sz="4" w:space="0" w:color="auto"/>
            </w:tcBorders>
            <w:shd w:val="clear" w:color="auto" w:fill="B6DDE8" w:themeFill="accent5" w:themeFillTint="66"/>
          </w:tcPr>
          <w:p w14:paraId="54E3CF7D" w14:textId="68D30D0F" w:rsidR="00B97810" w:rsidRPr="007259E6" w:rsidRDefault="00DA2480" w:rsidP="00DA2480">
            <w:pPr>
              <w:pStyle w:val="gray"/>
              <w:spacing w:before="240" w:after="0" w:line="280" w:lineRule="atLeast"/>
              <w:ind w:left="0" w:right="272"/>
              <w:rPr>
                <w:rFonts w:ascii="Georgia" w:hAnsi="Georgia"/>
                <w:sz w:val="19"/>
                <w:szCs w:val="19"/>
              </w:rPr>
            </w:pPr>
            <w:r>
              <w:rPr>
                <w:rFonts w:ascii="Georgia" w:hAnsi="Georgia"/>
                <w:sz w:val="19"/>
                <w:szCs w:val="19"/>
              </w:rPr>
              <w:t>$</w:t>
            </w:r>
            <w:r w:rsidR="00241D1D">
              <w:rPr>
                <w:rFonts w:ascii="Georgia" w:hAnsi="Georgia"/>
                <w:sz w:val="19"/>
                <w:szCs w:val="19"/>
              </w:rPr>
              <w:t>15</w:t>
            </w:r>
            <w:r>
              <w:rPr>
                <w:rFonts w:ascii="Georgia" w:hAnsi="Georgia"/>
                <w:sz w:val="19"/>
                <w:szCs w:val="19"/>
              </w:rPr>
              <w:t>.23 million</w:t>
            </w:r>
          </w:p>
        </w:tc>
        <w:tc>
          <w:tcPr>
            <w:tcW w:w="2039" w:type="dxa"/>
            <w:tcBorders>
              <w:left w:val="double" w:sz="4" w:space="0" w:color="auto"/>
            </w:tcBorders>
            <w:shd w:val="clear" w:color="auto" w:fill="B6DDE8" w:themeFill="accent5" w:themeFillTint="66"/>
          </w:tcPr>
          <w:p w14:paraId="429BD7AF" w14:textId="77777777" w:rsidR="00B97810" w:rsidRPr="007259E6" w:rsidRDefault="00241D1D" w:rsidP="007259E6">
            <w:pPr>
              <w:pStyle w:val="gray"/>
              <w:spacing w:before="240" w:after="0" w:line="280" w:lineRule="atLeast"/>
              <w:ind w:left="0" w:right="272"/>
              <w:rPr>
                <w:rFonts w:ascii="Georgia" w:hAnsi="Georgia"/>
                <w:sz w:val="19"/>
                <w:szCs w:val="19"/>
              </w:rPr>
            </w:pPr>
            <w:r>
              <w:rPr>
                <w:rFonts w:ascii="Georgia" w:hAnsi="Georgia"/>
                <w:sz w:val="19"/>
                <w:szCs w:val="19"/>
              </w:rPr>
              <w:t>World Bank</w:t>
            </w:r>
          </w:p>
        </w:tc>
        <w:tc>
          <w:tcPr>
            <w:tcW w:w="2039" w:type="dxa"/>
            <w:shd w:val="clear" w:color="auto" w:fill="B6DDE8" w:themeFill="accent5" w:themeFillTint="66"/>
          </w:tcPr>
          <w:p w14:paraId="6FAE3647" w14:textId="36CBBE01" w:rsidR="00B97810" w:rsidRPr="007259E6" w:rsidRDefault="00DA2480" w:rsidP="00DA2480">
            <w:pPr>
              <w:pStyle w:val="gray"/>
              <w:spacing w:before="240" w:after="0" w:line="280" w:lineRule="atLeast"/>
              <w:ind w:left="0" w:right="272"/>
              <w:rPr>
                <w:rFonts w:ascii="Georgia" w:hAnsi="Georgia"/>
                <w:sz w:val="19"/>
                <w:szCs w:val="19"/>
              </w:rPr>
            </w:pPr>
            <w:r>
              <w:rPr>
                <w:rFonts w:ascii="Georgia" w:hAnsi="Georgia"/>
                <w:sz w:val="19"/>
                <w:szCs w:val="19"/>
              </w:rPr>
              <w:t>$</w:t>
            </w:r>
            <w:r w:rsidR="00241D1D">
              <w:rPr>
                <w:rFonts w:ascii="Georgia" w:hAnsi="Georgia"/>
                <w:sz w:val="19"/>
                <w:szCs w:val="19"/>
              </w:rPr>
              <w:t>8</w:t>
            </w:r>
            <w:r>
              <w:rPr>
                <w:rFonts w:ascii="Georgia" w:hAnsi="Georgia"/>
                <w:sz w:val="19"/>
                <w:szCs w:val="19"/>
              </w:rPr>
              <w:t>.81 million</w:t>
            </w:r>
          </w:p>
        </w:tc>
      </w:tr>
      <w:tr w:rsidR="00B97810" w14:paraId="30C1582F" w14:textId="77777777" w:rsidTr="00241D1D">
        <w:tc>
          <w:tcPr>
            <w:tcW w:w="2038" w:type="dxa"/>
            <w:tcBorders>
              <w:bottom w:val="single" w:sz="4" w:space="0" w:color="auto"/>
            </w:tcBorders>
            <w:shd w:val="clear" w:color="auto" w:fill="B6DDE8" w:themeFill="accent5" w:themeFillTint="66"/>
          </w:tcPr>
          <w:p w14:paraId="0BD2AEB3" w14:textId="77777777" w:rsidR="00B97810" w:rsidRPr="007259E6" w:rsidRDefault="00241D1D" w:rsidP="007259E6">
            <w:pPr>
              <w:pStyle w:val="gray"/>
              <w:spacing w:before="240" w:after="0" w:line="280" w:lineRule="atLeast"/>
              <w:ind w:left="0" w:right="272"/>
              <w:rPr>
                <w:rFonts w:ascii="Georgia" w:hAnsi="Georgia"/>
                <w:sz w:val="19"/>
                <w:szCs w:val="19"/>
              </w:rPr>
            </w:pPr>
            <w:r>
              <w:rPr>
                <w:rFonts w:ascii="Georgia" w:hAnsi="Georgia"/>
                <w:sz w:val="19"/>
                <w:szCs w:val="19"/>
              </w:rPr>
              <w:t>Taiwan</w:t>
            </w:r>
          </w:p>
        </w:tc>
        <w:tc>
          <w:tcPr>
            <w:tcW w:w="2038" w:type="dxa"/>
            <w:tcBorders>
              <w:bottom w:val="single" w:sz="4" w:space="0" w:color="auto"/>
              <w:right w:val="double" w:sz="4" w:space="0" w:color="auto"/>
            </w:tcBorders>
            <w:shd w:val="clear" w:color="auto" w:fill="B6DDE8" w:themeFill="accent5" w:themeFillTint="66"/>
          </w:tcPr>
          <w:p w14:paraId="2C84B8D5" w14:textId="1F01E74A" w:rsidR="00B97810" w:rsidRPr="007259E6" w:rsidRDefault="00DA2480" w:rsidP="00DA2480">
            <w:pPr>
              <w:pStyle w:val="gray"/>
              <w:spacing w:before="240" w:after="0" w:line="280" w:lineRule="atLeast"/>
              <w:ind w:left="0" w:right="272"/>
              <w:rPr>
                <w:rFonts w:ascii="Georgia" w:hAnsi="Georgia"/>
                <w:sz w:val="19"/>
                <w:szCs w:val="19"/>
              </w:rPr>
            </w:pPr>
            <w:r>
              <w:rPr>
                <w:rFonts w:ascii="Georgia" w:hAnsi="Georgia"/>
                <w:sz w:val="19"/>
                <w:szCs w:val="19"/>
              </w:rPr>
              <w:t>$</w:t>
            </w:r>
            <w:r w:rsidR="00241D1D">
              <w:rPr>
                <w:rFonts w:ascii="Georgia" w:hAnsi="Georgia"/>
                <w:sz w:val="19"/>
                <w:szCs w:val="19"/>
              </w:rPr>
              <w:t>11</w:t>
            </w:r>
            <w:r>
              <w:rPr>
                <w:rFonts w:ascii="Georgia" w:hAnsi="Georgia"/>
                <w:sz w:val="19"/>
                <w:szCs w:val="19"/>
              </w:rPr>
              <w:t>.</w:t>
            </w:r>
            <w:r w:rsidR="00241D1D">
              <w:rPr>
                <w:rFonts w:ascii="Georgia" w:hAnsi="Georgia"/>
                <w:sz w:val="19"/>
                <w:szCs w:val="19"/>
              </w:rPr>
              <w:t>11</w:t>
            </w:r>
            <w:r>
              <w:rPr>
                <w:rFonts w:ascii="Georgia" w:hAnsi="Georgia"/>
                <w:sz w:val="19"/>
                <w:szCs w:val="19"/>
              </w:rPr>
              <w:t xml:space="preserve"> million</w:t>
            </w:r>
          </w:p>
        </w:tc>
        <w:tc>
          <w:tcPr>
            <w:tcW w:w="2039" w:type="dxa"/>
            <w:tcBorders>
              <w:left w:val="double" w:sz="4" w:space="0" w:color="auto"/>
              <w:bottom w:val="single" w:sz="4" w:space="0" w:color="auto"/>
            </w:tcBorders>
            <w:shd w:val="clear" w:color="auto" w:fill="B6DDE8" w:themeFill="accent5" w:themeFillTint="66"/>
          </w:tcPr>
          <w:p w14:paraId="7AB398DE" w14:textId="77777777" w:rsidR="00B97810" w:rsidRPr="007259E6" w:rsidRDefault="00241D1D" w:rsidP="007259E6">
            <w:pPr>
              <w:pStyle w:val="gray"/>
              <w:spacing w:before="240" w:after="0" w:line="280" w:lineRule="atLeast"/>
              <w:ind w:left="0" w:right="272"/>
              <w:rPr>
                <w:rFonts w:ascii="Georgia" w:hAnsi="Georgia"/>
                <w:sz w:val="19"/>
                <w:szCs w:val="19"/>
              </w:rPr>
            </w:pPr>
            <w:r>
              <w:rPr>
                <w:rFonts w:ascii="Georgia" w:hAnsi="Georgia"/>
                <w:sz w:val="19"/>
                <w:szCs w:val="19"/>
              </w:rPr>
              <w:t>A</w:t>
            </w:r>
            <w:r w:rsidR="007A57DF">
              <w:rPr>
                <w:rFonts w:ascii="Georgia" w:hAnsi="Georgia"/>
                <w:sz w:val="19"/>
                <w:szCs w:val="19"/>
              </w:rPr>
              <w:t xml:space="preserve">sian </w:t>
            </w:r>
            <w:r>
              <w:rPr>
                <w:rFonts w:ascii="Georgia" w:hAnsi="Georgia"/>
                <w:sz w:val="19"/>
                <w:szCs w:val="19"/>
              </w:rPr>
              <w:t>D</w:t>
            </w:r>
            <w:r w:rsidR="007A57DF">
              <w:rPr>
                <w:rFonts w:ascii="Georgia" w:hAnsi="Georgia"/>
                <w:sz w:val="19"/>
                <w:szCs w:val="19"/>
              </w:rPr>
              <w:t xml:space="preserve">evelopment </w:t>
            </w:r>
            <w:r>
              <w:rPr>
                <w:rFonts w:ascii="Georgia" w:hAnsi="Georgia"/>
                <w:sz w:val="19"/>
                <w:szCs w:val="19"/>
              </w:rPr>
              <w:t>B</w:t>
            </w:r>
            <w:r w:rsidR="007A57DF">
              <w:rPr>
                <w:rFonts w:ascii="Georgia" w:hAnsi="Georgia"/>
                <w:sz w:val="19"/>
                <w:szCs w:val="19"/>
              </w:rPr>
              <w:t>ank</w:t>
            </w:r>
          </w:p>
        </w:tc>
        <w:tc>
          <w:tcPr>
            <w:tcW w:w="2039" w:type="dxa"/>
            <w:tcBorders>
              <w:bottom w:val="single" w:sz="4" w:space="0" w:color="auto"/>
            </w:tcBorders>
            <w:shd w:val="clear" w:color="auto" w:fill="B6DDE8" w:themeFill="accent5" w:themeFillTint="66"/>
          </w:tcPr>
          <w:p w14:paraId="56FC8684" w14:textId="3E163AC7" w:rsidR="00B97810" w:rsidRPr="007259E6" w:rsidRDefault="00DA2480" w:rsidP="00DA2480">
            <w:pPr>
              <w:pStyle w:val="gray"/>
              <w:spacing w:before="240" w:after="0" w:line="280" w:lineRule="atLeast"/>
              <w:ind w:left="0" w:right="272"/>
              <w:rPr>
                <w:rFonts w:ascii="Georgia" w:hAnsi="Georgia"/>
                <w:sz w:val="19"/>
                <w:szCs w:val="19"/>
              </w:rPr>
            </w:pPr>
            <w:r>
              <w:rPr>
                <w:rFonts w:ascii="Georgia" w:hAnsi="Georgia"/>
                <w:sz w:val="19"/>
                <w:szCs w:val="19"/>
              </w:rPr>
              <w:t>$</w:t>
            </w:r>
            <w:r w:rsidR="00241D1D">
              <w:rPr>
                <w:rFonts w:ascii="Georgia" w:hAnsi="Georgia"/>
                <w:sz w:val="19"/>
                <w:szCs w:val="19"/>
              </w:rPr>
              <w:t>1</w:t>
            </w:r>
            <w:r>
              <w:rPr>
                <w:rFonts w:ascii="Georgia" w:hAnsi="Georgia"/>
                <w:sz w:val="19"/>
                <w:szCs w:val="19"/>
              </w:rPr>
              <w:t>.</w:t>
            </w:r>
            <w:r w:rsidR="00241D1D">
              <w:rPr>
                <w:rFonts w:ascii="Georgia" w:hAnsi="Georgia"/>
                <w:sz w:val="19"/>
                <w:szCs w:val="19"/>
              </w:rPr>
              <w:t>1</w:t>
            </w:r>
            <w:r>
              <w:rPr>
                <w:rFonts w:ascii="Georgia" w:hAnsi="Georgia"/>
                <w:sz w:val="19"/>
                <w:szCs w:val="19"/>
              </w:rPr>
              <w:t>7 million</w:t>
            </w:r>
          </w:p>
        </w:tc>
      </w:tr>
      <w:tr w:rsidR="00B97810" w14:paraId="6AA32D75" w14:textId="77777777" w:rsidTr="00241D1D">
        <w:tc>
          <w:tcPr>
            <w:tcW w:w="2038" w:type="dxa"/>
            <w:tcBorders>
              <w:bottom w:val="single" w:sz="4" w:space="0" w:color="auto"/>
            </w:tcBorders>
            <w:shd w:val="clear" w:color="auto" w:fill="B6DDE8" w:themeFill="accent5" w:themeFillTint="66"/>
          </w:tcPr>
          <w:p w14:paraId="0460E1F0" w14:textId="77777777" w:rsidR="00B97810" w:rsidRPr="007259E6" w:rsidRDefault="00241D1D" w:rsidP="007259E6">
            <w:pPr>
              <w:pStyle w:val="gray"/>
              <w:spacing w:before="240" w:after="0" w:line="280" w:lineRule="atLeast"/>
              <w:ind w:left="0" w:right="272"/>
              <w:rPr>
                <w:rFonts w:ascii="Georgia" w:hAnsi="Georgia"/>
                <w:sz w:val="19"/>
                <w:szCs w:val="19"/>
              </w:rPr>
            </w:pPr>
            <w:r>
              <w:rPr>
                <w:rFonts w:ascii="Georgia" w:hAnsi="Georgia"/>
                <w:sz w:val="19"/>
                <w:szCs w:val="19"/>
              </w:rPr>
              <w:t>E</w:t>
            </w:r>
            <w:r w:rsidR="007A57DF">
              <w:rPr>
                <w:rFonts w:ascii="Georgia" w:hAnsi="Georgia"/>
                <w:sz w:val="19"/>
                <w:szCs w:val="19"/>
              </w:rPr>
              <w:t xml:space="preserve">uropean </w:t>
            </w:r>
            <w:r>
              <w:rPr>
                <w:rFonts w:ascii="Georgia" w:hAnsi="Georgia"/>
                <w:sz w:val="19"/>
                <w:szCs w:val="19"/>
              </w:rPr>
              <w:t>U</w:t>
            </w:r>
            <w:r w:rsidR="007A57DF">
              <w:rPr>
                <w:rFonts w:ascii="Georgia" w:hAnsi="Georgia"/>
                <w:sz w:val="19"/>
                <w:szCs w:val="19"/>
              </w:rPr>
              <w:t>nion</w:t>
            </w:r>
          </w:p>
        </w:tc>
        <w:tc>
          <w:tcPr>
            <w:tcW w:w="2038" w:type="dxa"/>
            <w:tcBorders>
              <w:bottom w:val="single" w:sz="4" w:space="0" w:color="auto"/>
              <w:right w:val="double" w:sz="4" w:space="0" w:color="auto"/>
            </w:tcBorders>
            <w:shd w:val="clear" w:color="auto" w:fill="B6DDE8" w:themeFill="accent5" w:themeFillTint="66"/>
          </w:tcPr>
          <w:p w14:paraId="13C86605" w14:textId="305527DC" w:rsidR="00B97810" w:rsidRPr="007259E6" w:rsidRDefault="00DA2480" w:rsidP="00DA2480">
            <w:pPr>
              <w:pStyle w:val="gray"/>
              <w:spacing w:before="240" w:after="0" w:line="280" w:lineRule="atLeast"/>
              <w:ind w:left="0" w:right="272"/>
              <w:rPr>
                <w:rFonts w:ascii="Georgia" w:hAnsi="Georgia"/>
                <w:sz w:val="19"/>
                <w:szCs w:val="19"/>
              </w:rPr>
            </w:pPr>
            <w:r>
              <w:rPr>
                <w:rFonts w:ascii="Georgia" w:hAnsi="Georgia"/>
                <w:sz w:val="19"/>
                <w:szCs w:val="19"/>
              </w:rPr>
              <w:t>$</w:t>
            </w:r>
            <w:r w:rsidR="00241D1D">
              <w:rPr>
                <w:rFonts w:ascii="Georgia" w:hAnsi="Georgia"/>
                <w:sz w:val="19"/>
                <w:szCs w:val="19"/>
              </w:rPr>
              <w:t>5</w:t>
            </w:r>
            <w:r>
              <w:rPr>
                <w:rFonts w:ascii="Georgia" w:hAnsi="Georgia"/>
                <w:sz w:val="19"/>
                <w:szCs w:val="19"/>
              </w:rPr>
              <w:t>.</w:t>
            </w:r>
            <w:r w:rsidR="00241D1D">
              <w:rPr>
                <w:rFonts w:ascii="Georgia" w:hAnsi="Georgia"/>
                <w:sz w:val="19"/>
                <w:szCs w:val="19"/>
              </w:rPr>
              <w:t>64</w:t>
            </w:r>
            <w:r>
              <w:rPr>
                <w:rFonts w:ascii="Georgia" w:hAnsi="Georgia"/>
                <w:sz w:val="19"/>
                <w:szCs w:val="19"/>
              </w:rPr>
              <w:t xml:space="preserve"> million</w:t>
            </w:r>
          </w:p>
        </w:tc>
        <w:tc>
          <w:tcPr>
            <w:tcW w:w="2039" w:type="dxa"/>
            <w:tcBorders>
              <w:left w:val="double" w:sz="4" w:space="0" w:color="auto"/>
              <w:bottom w:val="single" w:sz="4" w:space="0" w:color="auto"/>
            </w:tcBorders>
            <w:shd w:val="clear" w:color="auto" w:fill="B6DDE8" w:themeFill="accent5" w:themeFillTint="66"/>
          </w:tcPr>
          <w:p w14:paraId="09FE7947" w14:textId="77777777" w:rsidR="00B97810" w:rsidRPr="007259E6" w:rsidRDefault="00241D1D" w:rsidP="007259E6">
            <w:pPr>
              <w:pStyle w:val="gray"/>
              <w:spacing w:before="240" w:after="0" w:line="280" w:lineRule="atLeast"/>
              <w:ind w:left="0" w:right="272"/>
              <w:rPr>
                <w:rFonts w:ascii="Georgia" w:hAnsi="Georgia"/>
                <w:sz w:val="19"/>
                <w:szCs w:val="19"/>
              </w:rPr>
            </w:pPr>
            <w:r>
              <w:rPr>
                <w:rFonts w:ascii="Georgia" w:hAnsi="Georgia"/>
                <w:sz w:val="19"/>
                <w:szCs w:val="19"/>
              </w:rPr>
              <w:t>S</w:t>
            </w:r>
            <w:r w:rsidR="007A57DF">
              <w:rPr>
                <w:rFonts w:ascii="Georgia" w:hAnsi="Georgia"/>
                <w:sz w:val="19"/>
                <w:szCs w:val="19"/>
              </w:rPr>
              <w:t xml:space="preserve">ecretariat of the </w:t>
            </w:r>
            <w:r>
              <w:rPr>
                <w:rFonts w:ascii="Georgia" w:hAnsi="Georgia"/>
                <w:sz w:val="19"/>
                <w:szCs w:val="19"/>
              </w:rPr>
              <w:t>P</w:t>
            </w:r>
            <w:r w:rsidR="007A57DF">
              <w:rPr>
                <w:rFonts w:ascii="Georgia" w:hAnsi="Georgia"/>
                <w:sz w:val="19"/>
                <w:szCs w:val="19"/>
              </w:rPr>
              <w:t xml:space="preserve">acific </w:t>
            </w:r>
            <w:r>
              <w:rPr>
                <w:rFonts w:ascii="Georgia" w:hAnsi="Georgia"/>
                <w:sz w:val="19"/>
                <w:szCs w:val="19"/>
              </w:rPr>
              <w:t>C</w:t>
            </w:r>
            <w:r w:rsidR="007A57DF">
              <w:rPr>
                <w:rFonts w:ascii="Georgia" w:hAnsi="Georgia"/>
                <w:sz w:val="19"/>
                <w:szCs w:val="19"/>
              </w:rPr>
              <w:t>ommunity</w:t>
            </w:r>
          </w:p>
        </w:tc>
        <w:tc>
          <w:tcPr>
            <w:tcW w:w="2039" w:type="dxa"/>
            <w:tcBorders>
              <w:bottom w:val="single" w:sz="4" w:space="0" w:color="auto"/>
            </w:tcBorders>
            <w:shd w:val="clear" w:color="auto" w:fill="B6DDE8" w:themeFill="accent5" w:themeFillTint="66"/>
          </w:tcPr>
          <w:p w14:paraId="027F59C3" w14:textId="6C3ACF89" w:rsidR="00B97810" w:rsidRPr="007259E6" w:rsidRDefault="00DA2480">
            <w:pPr>
              <w:pStyle w:val="gray"/>
              <w:spacing w:before="240" w:after="0" w:line="280" w:lineRule="atLeast"/>
              <w:ind w:left="0" w:right="272"/>
              <w:rPr>
                <w:rFonts w:ascii="Georgia" w:hAnsi="Georgia"/>
                <w:sz w:val="19"/>
                <w:szCs w:val="19"/>
              </w:rPr>
            </w:pPr>
            <w:r>
              <w:rPr>
                <w:rFonts w:ascii="Georgia" w:hAnsi="Georgia"/>
                <w:sz w:val="19"/>
                <w:szCs w:val="19"/>
              </w:rPr>
              <w:t>$.0</w:t>
            </w:r>
            <w:r w:rsidR="00241D1D">
              <w:rPr>
                <w:rFonts w:ascii="Georgia" w:hAnsi="Georgia"/>
                <w:sz w:val="19"/>
                <w:szCs w:val="19"/>
              </w:rPr>
              <w:t>85</w:t>
            </w:r>
            <w:r>
              <w:rPr>
                <w:rFonts w:ascii="Georgia" w:hAnsi="Georgia"/>
                <w:sz w:val="19"/>
                <w:szCs w:val="19"/>
              </w:rPr>
              <w:t xml:space="preserve"> million</w:t>
            </w:r>
          </w:p>
        </w:tc>
      </w:tr>
      <w:tr w:rsidR="00241D1D" w14:paraId="732DD508" w14:textId="77777777" w:rsidTr="00241D1D">
        <w:tc>
          <w:tcPr>
            <w:tcW w:w="2038" w:type="dxa"/>
            <w:shd w:val="clear" w:color="auto" w:fill="B6DDE8" w:themeFill="accent5" w:themeFillTint="66"/>
          </w:tcPr>
          <w:p w14:paraId="1113D460" w14:textId="77777777" w:rsidR="00241D1D" w:rsidRPr="007259E6" w:rsidRDefault="00241D1D" w:rsidP="007259E6">
            <w:pPr>
              <w:pStyle w:val="gray"/>
              <w:spacing w:before="240" w:after="0" w:line="280" w:lineRule="atLeast"/>
              <w:ind w:left="0" w:right="272"/>
              <w:rPr>
                <w:rFonts w:ascii="Georgia" w:hAnsi="Georgia"/>
                <w:sz w:val="19"/>
                <w:szCs w:val="19"/>
              </w:rPr>
            </w:pPr>
            <w:r>
              <w:rPr>
                <w:rFonts w:ascii="Georgia" w:hAnsi="Georgia"/>
                <w:sz w:val="19"/>
                <w:szCs w:val="19"/>
              </w:rPr>
              <w:t>New Zealand</w:t>
            </w:r>
          </w:p>
        </w:tc>
        <w:tc>
          <w:tcPr>
            <w:tcW w:w="2038" w:type="dxa"/>
            <w:tcBorders>
              <w:right w:val="double" w:sz="4" w:space="0" w:color="auto"/>
            </w:tcBorders>
            <w:shd w:val="clear" w:color="auto" w:fill="B6DDE8" w:themeFill="accent5" w:themeFillTint="66"/>
          </w:tcPr>
          <w:p w14:paraId="40C71C73" w14:textId="5FCA64D2" w:rsidR="00241D1D" w:rsidRPr="007259E6" w:rsidRDefault="00DA2480" w:rsidP="00DA2480">
            <w:pPr>
              <w:pStyle w:val="gray"/>
              <w:spacing w:before="240" w:after="0" w:line="280" w:lineRule="atLeast"/>
              <w:ind w:left="0" w:right="272"/>
              <w:rPr>
                <w:rFonts w:ascii="Georgia" w:hAnsi="Georgia"/>
                <w:sz w:val="19"/>
                <w:szCs w:val="19"/>
              </w:rPr>
            </w:pPr>
            <w:r>
              <w:rPr>
                <w:rFonts w:ascii="Georgia" w:hAnsi="Georgia"/>
                <w:sz w:val="19"/>
                <w:szCs w:val="19"/>
              </w:rPr>
              <w:t>$</w:t>
            </w:r>
            <w:r w:rsidR="00241D1D">
              <w:rPr>
                <w:rFonts w:ascii="Georgia" w:hAnsi="Georgia"/>
                <w:sz w:val="19"/>
                <w:szCs w:val="19"/>
              </w:rPr>
              <w:t>5</w:t>
            </w:r>
            <w:r>
              <w:rPr>
                <w:rFonts w:ascii="Georgia" w:hAnsi="Georgia"/>
                <w:sz w:val="19"/>
                <w:szCs w:val="19"/>
              </w:rPr>
              <w:t>.02 million</w:t>
            </w:r>
          </w:p>
        </w:tc>
        <w:tc>
          <w:tcPr>
            <w:tcW w:w="2039" w:type="dxa"/>
            <w:tcBorders>
              <w:left w:val="double" w:sz="4" w:space="0" w:color="auto"/>
            </w:tcBorders>
            <w:shd w:val="clear" w:color="auto" w:fill="B6DDE8" w:themeFill="accent5" w:themeFillTint="66"/>
          </w:tcPr>
          <w:p w14:paraId="319B3CBF" w14:textId="45E6E593" w:rsidR="00241D1D" w:rsidRPr="007259E6" w:rsidRDefault="00241D1D">
            <w:pPr>
              <w:pStyle w:val="gray"/>
              <w:spacing w:before="240" w:after="0" w:line="280" w:lineRule="atLeast"/>
              <w:ind w:left="0" w:right="272"/>
              <w:rPr>
                <w:rFonts w:ascii="Georgia" w:hAnsi="Georgia"/>
                <w:sz w:val="19"/>
                <w:szCs w:val="19"/>
              </w:rPr>
            </w:pPr>
            <w:r>
              <w:rPr>
                <w:rFonts w:ascii="Georgia" w:hAnsi="Georgia"/>
                <w:sz w:val="19"/>
                <w:szCs w:val="19"/>
              </w:rPr>
              <w:t xml:space="preserve">World Health </w:t>
            </w:r>
            <w:r w:rsidR="007A57DF">
              <w:rPr>
                <w:rFonts w:ascii="Georgia" w:hAnsi="Georgia"/>
                <w:sz w:val="19"/>
                <w:szCs w:val="19"/>
              </w:rPr>
              <w:t>Organization</w:t>
            </w:r>
          </w:p>
        </w:tc>
        <w:tc>
          <w:tcPr>
            <w:tcW w:w="2039" w:type="dxa"/>
            <w:shd w:val="clear" w:color="auto" w:fill="B6DDE8" w:themeFill="accent5" w:themeFillTint="66"/>
          </w:tcPr>
          <w:p w14:paraId="2B76447A" w14:textId="7A79B0A7" w:rsidR="00241D1D" w:rsidRPr="007259E6" w:rsidRDefault="00DA2480" w:rsidP="00DA2480">
            <w:pPr>
              <w:pStyle w:val="gray"/>
              <w:spacing w:before="240" w:after="0" w:line="280" w:lineRule="atLeast"/>
              <w:ind w:left="0" w:right="272"/>
              <w:rPr>
                <w:rFonts w:ascii="Georgia" w:hAnsi="Georgia"/>
                <w:sz w:val="19"/>
                <w:szCs w:val="19"/>
              </w:rPr>
            </w:pPr>
            <w:r>
              <w:rPr>
                <w:rFonts w:ascii="Georgia" w:hAnsi="Georgia"/>
                <w:sz w:val="19"/>
                <w:szCs w:val="19"/>
              </w:rPr>
              <w:t>$0.78 million</w:t>
            </w:r>
          </w:p>
        </w:tc>
      </w:tr>
    </w:tbl>
    <w:p w14:paraId="40529682" w14:textId="77777777" w:rsidR="00B97810" w:rsidRPr="004A213C" w:rsidRDefault="004A213C" w:rsidP="004A213C">
      <w:pPr>
        <w:pStyle w:val="Note"/>
      </w:pPr>
      <w:r>
        <w:t xml:space="preserve">Source: </w:t>
      </w:r>
      <w:r w:rsidR="00241D1D">
        <w:t>Kiribati Government 2012 Budget</w:t>
      </w:r>
      <w:r w:rsidR="007A57DF">
        <w:t>.</w:t>
      </w:r>
    </w:p>
    <w:p w14:paraId="69F49C9E" w14:textId="77777777" w:rsidR="00271E69" w:rsidRDefault="00271E69" w:rsidP="00697122">
      <w:pPr>
        <w:pStyle w:val="Heading2"/>
        <w:keepNext/>
        <w:tabs>
          <w:tab w:val="left" w:pos="1920"/>
        </w:tabs>
        <w:spacing w:before="0" w:after="120" w:line="320" w:lineRule="atLeast"/>
      </w:pPr>
    </w:p>
    <w:p w14:paraId="23B79F3B" w14:textId="77777777" w:rsidR="00B97810" w:rsidRDefault="00B97810" w:rsidP="00697122">
      <w:pPr>
        <w:pStyle w:val="Heading2"/>
        <w:keepNext/>
        <w:tabs>
          <w:tab w:val="left" w:pos="1920"/>
        </w:tabs>
        <w:spacing w:before="0" w:after="120" w:line="320" w:lineRule="atLeast"/>
      </w:pPr>
      <w:bookmarkStart w:id="4" w:name="_Toc360732545"/>
      <w:r w:rsidRPr="00A6320C">
        <w:t>Expenditure</w:t>
      </w:r>
      <w:bookmarkEnd w:id="4"/>
    </w:p>
    <w:p w14:paraId="663DB991" w14:textId="594EBD03" w:rsidR="00B97810" w:rsidRDefault="00B97810" w:rsidP="002F18A6">
      <w:pPr>
        <w:pStyle w:val="Caption"/>
      </w:pPr>
      <w:r>
        <w:t xml:space="preserve">Table </w:t>
      </w:r>
      <w:r w:rsidR="00241D1D">
        <w:t>2</w:t>
      </w:r>
      <w:r>
        <w:t xml:space="preserve">: Total </w:t>
      </w:r>
      <w:r w:rsidR="00241D1D">
        <w:t xml:space="preserve">Australian </w:t>
      </w:r>
      <w:r>
        <w:t>expenditure in 2011</w:t>
      </w:r>
      <w:r w:rsidR="007A57DF">
        <w:t>–</w:t>
      </w:r>
      <w:r>
        <w:t>12</w:t>
      </w:r>
    </w:p>
    <w:tbl>
      <w:tblPr>
        <w:tblW w:w="5811" w:type="dxa"/>
        <w:tblInd w:w="108" w:type="dxa"/>
        <w:tblLayout w:type="fixed"/>
        <w:tblLook w:val="0000" w:firstRow="0" w:lastRow="0" w:firstColumn="0" w:lastColumn="0" w:noHBand="0" w:noVBand="0"/>
      </w:tblPr>
      <w:tblGrid>
        <w:gridCol w:w="4536"/>
        <w:gridCol w:w="1275"/>
      </w:tblGrid>
      <w:tr w:rsidR="00216E1E" w14:paraId="03755567" w14:textId="77777777" w:rsidTr="00216E1E">
        <w:tc>
          <w:tcPr>
            <w:tcW w:w="4536" w:type="dxa"/>
            <w:tcBorders>
              <w:top w:val="single" w:sz="12" w:space="0" w:color="auto"/>
              <w:bottom w:val="single" w:sz="2" w:space="0" w:color="auto"/>
            </w:tcBorders>
          </w:tcPr>
          <w:p w14:paraId="6904D74D" w14:textId="77777777" w:rsidR="00216E1E" w:rsidRDefault="00216E1E" w:rsidP="00216E1E">
            <w:pPr>
              <w:pStyle w:val="TableDataColumnHeading"/>
            </w:pPr>
          </w:p>
        </w:tc>
        <w:tc>
          <w:tcPr>
            <w:tcW w:w="1275" w:type="dxa"/>
            <w:tcBorders>
              <w:top w:val="single" w:sz="12" w:space="0" w:color="auto"/>
              <w:bottom w:val="single" w:sz="2" w:space="0" w:color="auto"/>
            </w:tcBorders>
            <w:tcMar>
              <w:left w:w="57" w:type="dxa"/>
              <w:right w:w="57" w:type="dxa"/>
            </w:tcMar>
          </w:tcPr>
          <w:p w14:paraId="79C486D3" w14:textId="3CB603CB" w:rsidR="00216E1E" w:rsidRDefault="007A57DF" w:rsidP="00216E1E">
            <w:pPr>
              <w:pStyle w:val="TableDataColumnHeading"/>
            </w:pPr>
            <w:r>
              <w:t>20</w:t>
            </w:r>
            <w:r w:rsidR="00216E1E">
              <w:t>11</w:t>
            </w:r>
            <w:r>
              <w:t>–</w:t>
            </w:r>
            <w:r w:rsidR="00216E1E">
              <w:t xml:space="preserve">12 </w:t>
            </w:r>
          </w:p>
        </w:tc>
      </w:tr>
      <w:tr w:rsidR="00216E1E" w:rsidRPr="002452D0" w14:paraId="19FB50D2" w14:textId="77777777" w:rsidTr="00216E1E">
        <w:tc>
          <w:tcPr>
            <w:tcW w:w="4536" w:type="dxa"/>
          </w:tcPr>
          <w:p w14:paraId="4759F090" w14:textId="77777777" w:rsidR="00216E1E" w:rsidRDefault="00216E1E" w:rsidP="00216E1E">
            <w:pPr>
              <w:pStyle w:val="TableDataEntries"/>
              <w:rPr>
                <w:b/>
              </w:rPr>
            </w:pPr>
          </w:p>
          <w:p w14:paraId="606E9B3A" w14:textId="77777777" w:rsidR="00216E1E" w:rsidRDefault="00216E1E" w:rsidP="00216E1E">
            <w:pPr>
              <w:pStyle w:val="TableDataEntries"/>
              <w:rPr>
                <w:b/>
              </w:rPr>
            </w:pPr>
            <w:r>
              <w:rPr>
                <w:b/>
              </w:rPr>
              <w:t>Total Australian ODA</w:t>
            </w:r>
          </w:p>
          <w:p w14:paraId="0E45F4E3" w14:textId="77777777" w:rsidR="00216E1E" w:rsidRDefault="00216E1E" w:rsidP="00216E1E">
            <w:pPr>
              <w:pStyle w:val="TableDataEntries"/>
              <w:rPr>
                <w:b/>
              </w:rPr>
            </w:pPr>
          </w:p>
          <w:p w14:paraId="2CD062C3" w14:textId="77777777" w:rsidR="00216E1E" w:rsidRDefault="00216E1E" w:rsidP="00216E1E">
            <w:pPr>
              <w:pStyle w:val="TableDataEntries"/>
            </w:pPr>
            <w:r>
              <w:t>Country (bilateral) program</w:t>
            </w:r>
          </w:p>
          <w:p w14:paraId="51699274" w14:textId="2AB7E084" w:rsidR="00216E1E" w:rsidRDefault="00216E1E" w:rsidP="00216E1E">
            <w:pPr>
              <w:pStyle w:val="TableDataEntries"/>
            </w:pPr>
            <w:r>
              <w:t>Regional/</w:t>
            </w:r>
            <w:r w:rsidR="007A57DF">
              <w:t>g</w:t>
            </w:r>
            <w:r>
              <w:t xml:space="preserve">lobal </w:t>
            </w:r>
            <w:r w:rsidR="007A57DF">
              <w:t>p</w:t>
            </w:r>
            <w:r>
              <w:t>rogram</w:t>
            </w:r>
          </w:p>
          <w:p w14:paraId="5A244E25" w14:textId="35D07B45" w:rsidR="00216E1E" w:rsidRPr="00216E1E" w:rsidRDefault="00216E1E">
            <w:pPr>
              <w:pStyle w:val="TableDataEntries"/>
            </w:pPr>
            <w:r>
              <w:t xml:space="preserve">Other </w:t>
            </w:r>
            <w:r w:rsidR="007A57DF">
              <w:t xml:space="preserve">government departments </w:t>
            </w:r>
          </w:p>
        </w:tc>
        <w:tc>
          <w:tcPr>
            <w:tcW w:w="1275" w:type="dxa"/>
            <w:tcMar>
              <w:left w:w="57" w:type="dxa"/>
              <w:right w:w="57" w:type="dxa"/>
            </w:tcMar>
          </w:tcPr>
          <w:p w14:paraId="3DD6D1C2" w14:textId="77777777" w:rsidR="00216E1E" w:rsidRDefault="00216E1E" w:rsidP="00216E1E">
            <w:pPr>
              <w:pStyle w:val="TableDataEntries"/>
              <w:jc w:val="center"/>
            </w:pPr>
          </w:p>
          <w:p w14:paraId="7539E407" w14:textId="41E590CB" w:rsidR="0053290D" w:rsidRDefault="0053290D" w:rsidP="00271E69">
            <w:pPr>
              <w:pStyle w:val="TableDataEntries"/>
            </w:pPr>
            <w:r>
              <w:t>$</w:t>
            </w:r>
            <w:r w:rsidR="00244E50">
              <w:t>30.3</w:t>
            </w:r>
            <w:r w:rsidR="00DD782B">
              <w:t xml:space="preserve"> </w:t>
            </w:r>
            <w:r>
              <w:t>million</w:t>
            </w:r>
          </w:p>
          <w:p w14:paraId="48EDD79B" w14:textId="77777777" w:rsidR="0053290D" w:rsidRDefault="0053290D" w:rsidP="00271E69">
            <w:pPr>
              <w:pStyle w:val="TableDataEntries"/>
            </w:pPr>
          </w:p>
          <w:p w14:paraId="677520E9" w14:textId="77777777" w:rsidR="0053290D" w:rsidRDefault="0053290D" w:rsidP="00271E69">
            <w:pPr>
              <w:pStyle w:val="TableDataEntries"/>
            </w:pPr>
            <w:r>
              <w:t>$</w:t>
            </w:r>
            <w:r w:rsidR="002164BA">
              <w:t>27.4</w:t>
            </w:r>
            <w:r>
              <w:t xml:space="preserve"> million</w:t>
            </w:r>
          </w:p>
          <w:p w14:paraId="137C6F0D" w14:textId="20DED472" w:rsidR="0053290D" w:rsidRDefault="0053290D" w:rsidP="00271E69">
            <w:pPr>
              <w:pStyle w:val="TableDataEntries"/>
            </w:pPr>
            <w:r>
              <w:t>$</w:t>
            </w:r>
            <w:r w:rsidR="00244E50">
              <w:t>2.1</w:t>
            </w:r>
            <w:r>
              <w:t xml:space="preserve"> million</w:t>
            </w:r>
          </w:p>
          <w:p w14:paraId="27BD087C" w14:textId="61F78CA8" w:rsidR="0053290D" w:rsidRPr="002452D0" w:rsidRDefault="0053290D" w:rsidP="00271E69">
            <w:pPr>
              <w:pStyle w:val="TableDataEntries"/>
            </w:pPr>
            <w:r>
              <w:t>$0.</w:t>
            </w:r>
            <w:r w:rsidR="00244E50">
              <w:t>7</w:t>
            </w:r>
            <w:r>
              <w:t xml:space="preserve"> million</w:t>
            </w:r>
          </w:p>
        </w:tc>
      </w:tr>
      <w:tr w:rsidR="00216E1E" w14:paraId="69EAE59B" w14:textId="77777777" w:rsidTr="00216E1E">
        <w:tc>
          <w:tcPr>
            <w:tcW w:w="4536" w:type="dxa"/>
          </w:tcPr>
          <w:p w14:paraId="59583E9C" w14:textId="77777777" w:rsidR="00216E1E" w:rsidRDefault="00216E1E" w:rsidP="00216E1E">
            <w:pPr>
              <w:pStyle w:val="TableDataEntries"/>
            </w:pPr>
          </w:p>
        </w:tc>
        <w:tc>
          <w:tcPr>
            <w:tcW w:w="1275" w:type="dxa"/>
            <w:tcMar>
              <w:left w:w="57" w:type="dxa"/>
              <w:right w:w="57" w:type="dxa"/>
            </w:tcMar>
          </w:tcPr>
          <w:p w14:paraId="2966DAF6" w14:textId="77777777" w:rsidR="00216E1E" w:rsidRDefault="00216E1E" w:rsidP="00216E1E">
            <w:pPr>
              <w:pStyle w:val="TableDataEntries"/>
            </w:pPr>
          </w:p>
        </w:tc>
      </w:tr>
    </w:tbl>
    <w:p w14:paraId="73776E21" w14:textId="77777777" w:rsidR="00B97810" w:rsidRDefault="00B97810" w:rsidP="007A0B76">
      <w:pPr>
        <w:pStyle w:val="BodyText"/>
      </w:pPr>
    </w:p>
    <w:p w14:paraId="1051B4D1" w14:textId="77777777" w:rsidR="00271E69" w:rsidRDefault="00271E69">
      <w:pPr>
        <w:rPr>
          <w:rFonts w:ascii="Franklin Gothic Demi" w:hAnsi="Franklin Gothic Demi"/>
          <w:color w:val="7E6D5F"/>
          <w:sz w:val="19"/>
          <w:szCs w:val="19"/>
        </w:rPr>
      </w:pPr>
      <w:r>
        <w:br w:type="page"/>
      </w:r>
    </w:p>
    <w:p w14:paraId="47C8EDBC" w14:textId="682937E2" w:rsidR="00B97810" w:rsidRPr="003E4C57" w:rsidRDefault="00B97810" w:rsidP="002F18A6">
      <w:pPr>
        <w:pStyle w:val="Caption"/>
        <w:rPr>
          <w:highlight w:val="magenta"/>
        </w:rPr>
      </w:pPr>
      <w:r w:rsidRPr="00E271CD">
        <w:lastRenderedPageBreak/>
        <w:t xml:space="preserve">Table </w:t>
      </w:r>
      <w:r w:rsidR="00241D1D">
        <w:t>3</w:t>
      </w:r>
      <w:r w:rsidRPr="00E271CD">
        <w:t xml:space="preserve">: </w:t>
      </w:r>
      <w:r>
        <w:t>Estimated bilateral e</w:t>
      </w:r>
      <w:r w:rsidRPr="00E271CD">
        <w:t>xpenditure</w:t>
      </w:r>
      <w:r>
        <w:t xml:space="preserve"> in 2011</w:t>
      </w:r>
      <w:r w:rsidR="007A57DF">
        <w:t>–</w:t>
      </w:r>
      <w:r>
        <w:t xml:space="preserve">12 </w:t>
      </w:r>
    </w:p>
    <w:tbl>
      <w:tblPr>
        <w:tblW w:w="7131" w:type="dxa"/>
        <w:tblInd w:w="108" w:type="dxa"/>
        <w:tblLayout w:type="fixed"/>
        <w:tblLook w:val="0000" w:firstRow="0" w:lastRow="0" w:firstColumn="0" w:lastColumn="0" w:noHBand="0" w:noVBand="0"/>
      </w:tblPr>
      <w:tblGrid>
        <w:gridCol w:w="4536"/>
        <w:gridCol w:w="1275"/>
        <w:gridCol w:w="1320"/>
      </w:tblGrid>
      <w:tr w:rsidR="00B97810" w:rsidRPr="003E4C57" w14:paraId="35303E37" w14:textId="77777777" w:rsidTr="00AB71D0">
        <w:trPr>
          <w:cantSplit/>
          <w:tblHeader/>
        </w:trPr>
        <w:tc>
          <w:tcPr>
            <w:tcW w:w="4536" w:type="dxa"/>
            <w:tcBorders>
              <w:top w:val="single" w:sz="12" w:space="0" w:color="auto"/>
              <w:bottom w:val="single" w:sz="4" w:space="0" w:color="auto"/>
            </w:tcBorders>
          </w:tcPr>
          <w:p w14:paraId="025527FB" w14:textId="77777777" w:rsidR="00B97810" w:rsidRDefault="00B97810" w:rsidP="009F4768">
            <w:pPr>
              <w:pStyle w:val="TableDataColumnHeading"/>
            </w:pPr>
            <w:r>
              <w:t>Objective</w:t>
            </w:r>
          </w:p>
        </w:tc>
        <w:tc>
          <w:tcPr>
            <w:tcW w:w="1275" w:type="dxa"/>
            <w:tcBorders>
              <w:top w:val="single" w:sz="12" w:space="0" w:color="auto"/>
              <w:bottom w:val="single" w:sz="4" w:space="0" w:color="auto"/>
            </w:tcBorders>
            <w:tcMar>
              <w:left w:w="57" w:type="dxa"/>
              <w:right w:w="57" w:type="dxa"/>
            </w:tcMar>
          </w:tcPr>
          <w:p w14:paraId="17EB8421" w14:textId="77777777" w:rsidR="00B97810" w:rsidRDefault="00B97810" w:rsidP="00802006">
            <w:pPr>
              <w:pStyle w:val="TableDataColumnHeading"/>
            </w:pPr>
            <w:r>
              <w:t>A$</w:t>
            </w:r>
            <w:r w:rsidR="007A57DF">
              <w:t xml:space="preserve"> million</w:t>
            </w:r>
            <w:r>
              <w:t xml:space="preserve"> </w:t>
            </w:r>
          </w:p>
        </w:tc>
        <w:tc>
          <w:tcPr>
            <w:tcW w:w="1320" w:type="dxa"/>
            <w:tcBorders>
              <w:top w:val="single" w:sz="12" w:space="0" w:color="auto"/>
              <w:bottom w:val="single" w:sz="4" w:space="0" w:color="auto"/>
            </w:tcBorders>
            <w:tcMar>
              <w:left w:w="57" w:type="dxa"/>
              <w:right w:w="57" w:type="dxa"/>
            </w:tcMar>
          </w:tcPr>
          <w:p w14:paraId="4138A575" w14:textId="77777777" w:rsidR="00B97810" w:rsidRDefault="00B97810" w:rsidP="009F4768">
            <w:pPr>
              <w:pStyle w:val="TableDataColumnHeading"/>
            </w:pPr>
            <w:r>
              <w:t>% of bilateral program</w:t>
            </w:r>
          </w:p>
        </w:tc>
      </w:tr>
      <w:tr w:rsidR="00B97810" w:rsidRPr="002452D0" w14:paraId="0823837D" w14:textId="77777777" w:rsidTr="00DA2480">
        <w:tc>
          <w:tcPr>
            <w:tcW w:w="4536" w:type="dxa"/>
            <w:tcBorders>
              <w:top w:val="single" w:sz="4" w:space="0" w:color="auto"/>
              <w:left w:val="single" w:sz="4" w:space="0" w:color="auto"/>
              <w:bottom w:val="single" w:sz="4" w:space="0" w:color="auto"/>
              <w:right w:val="single" w:sz="4" w:space="0" w:color="auto"/>
            </w:tcBorders>
          </w:tcPr>
          <w:p w14:paraId="16CF8D1D" w14:textId="72C5505C" w:rsidR="00B97810" w:rsidRPr="00AD7CED" w:rsidRDefault="00B97810" w:rsidP="00271E69">
            <w:pPr>
              <w:pStyle w:val="TableDataEntries"/>
            </w:pPr>
            <w:r w:rsidRPr="00AD7CED">
              <w:t xml:space="preserve">Priority </w:t>
            </w:r>
            <w:r w:rsidR="00265831" w:rsidRPr="00271E69">
              <w:t>O</w:t>
            </w:r>
            <w:r w:rsidR="007A57DF" w:rsidRPr="00AD7CED">
              <w:t xml:space="preserve">utcome </w:t>
            </w:r>
            <w:r w:rsidRPr="00AD7CED">
              <w:t xml:space="preserve">1: Basic </w:t>
            </w:r>
            <w:r w:rsidR="00271E69">
              <w:t>e</w:t>
            </w:r>
            <w:r w:rsidR="007A57DF" w:rsidRPr="00AD7CED">
              <w:t>ducation</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tcPr>
          <w:p w14:paraId="33654FCD" w14:textId="2DE2D866" w:rsidR="00B97810" w:rsidRPr="002452D0" w:rsidRDefault="00B97810" w:rsidP="000B6093">
            <w:pPr>
              <w:pStyle w:val="TableDataEntries"/>
            </w:pPr>
            <w:r>
              <w:t>$7.68</w:t>
            </w:r>
          </w:p>
        </w:tc>
        <w:tc>
          <w:tcPr>
            <w:tcW w:w="1320" w:type="dxa"/>
            <w:tcBorders>
              <w:top w:val="single" w:sz="4" w:space="0" w:color="auto"/>
              <w:left w:val="single" w:sz="4" w:space="0" w:color="auto"/>
              <w:bottom w:val="single" w:sz="4" w:space="0" w:color="auto"/>
              <w:right w:val="single" w:sz="4" w:space="0" w:color="auto"/>
            </w:tcBorders>
            <w:tcMar>
              <w:left w:w="57" w:type="dxa"/>
              <w:right w:w="57" w:type="dxa"/>
            </w:tcMar>
          </w:tcPr>
          <w:p w14:paraId="50B34323" w14:textId="53654868" w:rsidR="00B97810" w:rsidRPr="002452D0" w:rsidRDefault="00B97810" w:rsidP="007B474F">
            <w:pPr>
              <w:pStyle w:val="TableDataEntries"/>
            </w:pPr>
            <w:r>
              <w:t>27.9</w:t>
            </w:r>
            <w:r w:rsidR="007B474F">
              <w:t>9</w:t>
            </w:r>
          </w:p>
        </w:tc>
      </w:tr>
      <w:tr w:rsidR="00B97810" w:rsidRPr="002452D0" w14:paraId="012770D0" w14:textId="77777777" w:rsidTr="00DA2480">
        <w:tc>
          <w:tcPr>
            <w:tcW w:w="4536" w:type="dxa"/>
            <w:tcBorders>
              <w:top w:val="single" w:sz="4" w:space="0" w:color="auto"/>
              <w:left w:val="single" w:sz="4" w:space="0" w:color="auto"/>
              <w:bottom w:val="single" w:sz="4" w:space="0" w:color="auto"/>
              <w:right w:val="single" w:sz="4" w:space="0" w:color="auto"/>
            </w:tcBorders>
          </w:tcPr>
          <w:p w14:paraId="1F09B9C4" w14:textId="33E6E9C4" w:rsidR="00B97810" w:rsidRPr="00745D89" w:rsidRDefault="00B97810" w:rsidP="000B6093">
            <w:pPr>
              <w:pStyle w:val="TableDataEntries"/>
              <w:jc w:val="left"/>
            </w:pP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tcPr>
          <w:p w14:paraId="7240FD67" w14:textId="4CBC7AC6" w:rsidR="00B97810" w:rsidRDefault="00B97810" w:rsidP="000B6093">
            <w:pPr>
              <w:pStyle w:val="TableDataEntries"/>
              <w:jc w:val="left"/>
            </w:pPr>
          </w:p>
        </w:tc>
        <w:tc>
          <w:tcPr>
            <w:tcW w:w="1320" w:type="dxa"/>
            <w:tcBorders>
              <w:top w:val="single" w:sz="4" w:space="0" w:color="auto"/>
              <w:left w:val="single" w:sz="4" w:space="0" w:color="auto"/>
              <w:bottom w:val="single" w:sz="4" w:space="0" w:color="auto"/>
              <w:right w:val="single" w:sz="4" w:space="0" w:color="auto"/>
            </w:tcBorders>
            <w:tcMar>
              <w:left w:w="57" w:type="dxa"/>
              <w:right w:w="57" w:type="dxa"/>
            </w:tcMar>
          </w:tcPr>
          <w:p w14:paraId="04490A94" w14:textId="415B296B" w:rsidR="00B97810" w:rsidRDefault="00B97810" w:rsidP="000B6093">
            <w:pPr>
              <w:pStyle w:val="TableDataEntries"/>
              <w:jc w:val="left"/>
            </w:pPr>
          </w:p>
        </w:tc>
      </w:tr>
      <w:tr w:rsidR="00DA2480" w:rsidRPr="002452D0" w14:paraId="00083A9B" w14:textId="77777777" w:rsidTr="00DA2480">
        <w:tc>
          <w:tcPr>
            <w:tcW w:w="4536" w:type="dxa"/>
            <w:tcBorders>
              <w:top w:val="single" w:sz="4" w:space="0" w:color="auto"/>
              <w:left w:val="single" w:sz="4" w:space="0" w:color="auto"/>
              <w:bottom w:val="single" w:sz="4" w:space="0" w:color="auto"/>
              <w:right w:val="single" w:sz="4" w:space="0" w:color="auto"/>
            </w:tcBorders>
          </w:tcPr>
          <w:p w14:paraId="599372AC" w14:textId="6EFBB2E9" w:rsidR="00DA2480" w:rsidRPr="00DA2480" w:rsidRDefault="00DA2480" w:rsidP="00DA2480">
            <w:pPr>
              <w:pStyle w:val="TableDataEntries"/>
              <w:rPr>
                <w:highlight w:val="green"/>
              </w:rPr>
            </w:pPr>
            <w:r w:rsidRPr="00AD7CED">
              <w:t xml:space="preserve">Priority Outcome 2: Workforce development, including </w:t>
            </w:r>
            <w:r w:rsidRPr="00745D89">
              <w:t>the Technical and Vocational Education and Training Sector Strengthening Program</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tcPr>
          <w:p w14:paraId="08A321EE" w14:textId="19BD4D69" w:rsidR="00DA2480" w:rsidRPr="002452D0" w:rsidRDefault="00DA2480" w:rsidP="009F4768">
            <w:pPr>
              <w:pStyle w:val="TableDataEntries"/>
            </w:pPr>
            <w:r>
              <w:t>$3.41</w:t>
            </w:r>
          </w:p>
        </w:tc>
        <w:tc>
          <w:tcPr>
            <w:tcW w:w="1320" w:type="dxa"/>
            <w:tcBorders>
              <w:top w:val="single" w:sz="4" w:space="0" w:color="auto"/>
              <w:left w:val="single" w:sz="4" w:space="0" w:color="auto"/>
              <w:bottom w:val="single" w:sz="4" w:space="0" w:color="auto"/>
              <w:right w:val="single" w:sz="4" w:space="0" w:color="auto"/>
            </w:tcBorders>
            <w:tcMar>
              <w:left w:w="57" w:type="dxa"/>
              <w:right w:w="57" w:type="dxa"/>
            </w:tcMar>
          </w:tcPr>
          <w:p w14:paraId="45AAEABA" w14:textId="77777777" w:rsidR="00DA2480" w:rsidRDefault="00DA2480" w:rsidP="00DA2480">
            <w:pPr>
              <w:pStyle w:val="TableDataEntries"/>
            </w:pPr>
            <w:r>
              <w:t>12.43</w:t>
            </w:r>
          </w:p>
          <w:p w14:paraId="75595B15" w14:textId="77777777" w:rsidR="00DA2480" w:rsidRDefault="00DA2480" w:rsidP="001D4A52">
            <w:pPr>
              <w:pStyle w:val="TableDataEntries"/>
            </w:pPr>
          </w:p>
        </w:tc>
      </w:tr>
      <w:tr w:rsidR="00DA2480" w:rsidRPr="002452D0" w14:paraId="347D3DFD" w14:textId="77777777" w:rsidTr="00DA2480">
        <w:tc>
          <w:tcPr>
            <w:tcW w:w="4536" w:type="dxa"/>
            <w:tcBorders>
              <w:top w:val="single" w:sz="4" w:space="0" w:color="auto"/>
              <w:left w:val="single" w:sz="4" w:space="0" w:color="auto"/>
              <w:bottom w:val="single" w:sz="4" w:space="0" w:color="auto"/>
              <w:right w:val="single" w:sz="4" w:space="0" w:color="auto"/>
            </w:tcBorders>
          </w:tcPr>
          <w:p w14:paraId="71D51377" w14:textId="34389AE4" w:rsidR="00DA2480" w:rsidRPr="00DA2480" w:rsidRDefault="00DA2480" w:rsidP="00DA2480">
            <w:pPr>
              <w:pStyle w:val="TableDataEntries"/>
            </w:pPr>
            <w:r w:rsidRPr="00AD7CED">
              <w:t>Kiriba</w:t>
            </w:r>
            <w:r>
              <w:t>ti Australia Nursing Initiative</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tcPr>
          <w:p w14:paraId="1658B218" w14:textId="224F99D3" w:rsidR="00DA2480" w:rsidRPr="002452D0" w:rsidRDefault="00DA2480" w:rsidP="00DA2480">
            <w:pPr>
              <w:pStyle w:val="TableDataEntries"/>
            </w:pPr>
            <w:r>
              <w:t xml:space="preserve">$2.59 </w:t>
            </w:r>
          </w:p>
        </w:tc>
        <w:tc>
          <w:tcPr>
            <w:tcW w:w="1320" w:type="dxa"/>
            <w:tcBorders>
              <w:top w:val="single" w:sz="4" w:space="0" w:color="auto"/>
              <w:left w:val="single" w:sz="4" w:space="0" w:color="auto"/>
              <w:bottom w:val="single" w:sz="4" w:space="0" w:color="auto"/>
              <w:right w:val="single" w:sz="4" w:space="0" w:color="auto"/>
            </w:tcBorders>
            <w:tcMar>
              <w:left w:w="57" w:type="dxa"/>
              <w:right w:w="57" w:type="dxa"/>
            </w:tcMar>
          </w:tcPr>
          <w:p w14:paraId="63B511EB" w14:textId="62CD09BE" w:rsidR="00DA2480" w:rsidRDefault="00DA2480" w:rsidP="00DA2480">
            <w:pPr>
              <w:pStyle w:val="TableDataEntries"/>
            </w:pPr>
            <w:r>
              <w:t>9.45</w:t>
            </w:r>
          </w:p>
        </w:tc>
      </w:tr>
      <w:tr w:rsidR="00DA2480" w:rsidRPr="002452D0" w14:paraId="2E39EB11" w14:textId="77777777" w:rsidTr="00DA2480">
        <w:tc>
          <w:tcPr>
            <w:tcW w:w="4536" w:type="dxa"/>
            <w:tcBorders>
              <w:top w:val="single" w:sz="4" w:space="0" w:color="auto"/>
              <w:left w:val="single" w:sz="4" w:space="0" w:color="auto"/>
              <w:bottom w:val="single" w:sz="4" w:space="0" w:color="auto"/>
              <w:right w:val="single" w:sz="4" w:space="0" w:color="auto"/>
            </w:tcBorders>
          </w:tcPr>
          <w:p w14:paraId="3C794CAD" w14:textId="696A5D18" w:rsidR="00DA2480" w:rsidRPr="00DA2480" w:rsidRDefault="00DA2480" w:rsidP="00DA2480">
            <w:pPr>
              <w:pStyle w:val="TableDataEntries"/>
            </w:pPr>
            <w:r w:rsidRPr="00745D89">
              <w:t>Scholarships</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tcPr>
          <w:p w14:paraId="147F6C48" w14:textId="58AB44FF" w:rsidR="00DA2480" w:rsidRPr="002452D0" w:rsidRDefault="00DA2480" w:rsidP="009F4768">
            <w:pPr>
              <w:pStyle w:val="TableDataEntries"/>
            </w:pPr>
            <w:r>
              <w:t>$1.66</w:t>
            </w:r>
          </w:p>
        </w:tc>
        <w:tc>
          <w:tcPr>
            <w:tcW w:w="1320" w:type="dxa"/>
            <w:tcBorders>
              <w:top w:val="single" w:sz="4" w:space="0" w:color="auto"/>
              <w:left w:val="single" w:sz="4" w:space="0" w:color="auto"/>
              <w:bottom w:val="single" w:sz="4" w:space="0" w:color="auto"/>
              <w:right w:val="single" w:sz="4" w:space="0" w:color="auto"/>
            </w:tcBorders>
            <w:tcMar>
              <w:left w:w="57" w:type="dxa"/>
              <w:right w:w="57" w:type="dxa"/>
            </w:tcMar>
          </w:tcPr>
          <w:p w14:paraId="50848208" w14:textId="77777777" w:rsidR="00DA2480" w:rsidRDefault="00DA2480" w:rsidP="00DA2480">
            <w:pPr>
              <w:pStyle w:val="TableDataEntries"/>
            </w:pPr>
            <w:r>
              <w:t>6.05</w:t>
            </w:r>
          </w:p>
          <w:p w14:paraId="7769BB0D" w14:textId="77777777" w:rsidR="00DA2480" w:rsidRDefault="00DA2480" w:rsidP="001D4A52">
            <w:pPr>
              <w:pStyle w:val="TableDataEntries"/>
            </w:pPr>
          </w:p>
        </w:tc>
      </w:tr>
      <w:tr w:rsidR="00DA2480" w:rsidRPr="002452D0" w14:paraId="2D75019F" w14:textId="77777777" w:rsidTr="00DA2480">
        <w:tc>
          <w:tcPr>
            <w:tcW w:w="4536" w:type="dxa"/>
            <w:tcBorders>
              <w:top w:val="single" w:sz="4" w:space="0" w:color="auto"/>
              <w:left w:val="single" w:sz="4" w:space="0" w:color="auto"/>
              <w:bottom w:val="single" w:sz="4" w:space="0" w:color="auto"/>
              <w:right w:val="single" w:sz="4" w:space="0" w:color="auto"/>
            </w:tcBorders>
          </w:tcPr>
          <w:p w14:paraId="0D71F1AF" w14:textId="77777777" w:rsidR="00DA2480" w:rsidRPr="00AD7CED" w:rsidRDefault="00DA2480" w:rsidP="00DA2480">
            <w:pPr>
              <w:pStyle w:val="TableDataEntries"/>
              <w:jc w:val="center"/>
            </w:pPr>
            <w:r w:rsidRPr="00AD7CED">
              <w:t xml:space="preserve">Priority Outcome 3: Growth and </w:t>
            </w:r>
            <w:r w:rsidRPr="00271E69">
              <w:t>E</w:t>
            </w:r>
            <w:r w:rsidRPr="00AD7CED">
              <w:t xml:space="preserve">conomic </w:t>
            </w:r>
            <w:r w:rsidRPr="00271E69">
              <w:t>M</w:t>
            </w:r>
            <w:r w:rsidRPr="00AD7CED">
              <w:t>anagement</w:t>
            </w:r>
          </w:p>
          <w:p w14:paraId="3F8F0F68" w14:textId="77777777" w:rsidR="00DA2480" w:rsidRDefault="00DA2480" w:rsidP="009F4768">
            <w:pPr>
              <w:pStyle w:val="TableDataEntries"/>
              <w:rPr>
                <w:b/>
                <w:u w:val="single"/>
              </w:rPr>
            </w:pP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tcPr>
          <w:p w14:paraId="3E64B822" w14:textId="77777777" w:rsidR="00DA2480" w:rsidRDefault="00DA2480" w:rsidP="00DA2480">
            <w:pPr>
              <w:pStyle w:val="TableDataEntries"/>
            </w:pPr>
            <w:r>
              <w:t xml:space="preserve">$1.24 </w:t>
            </w:r>
          </w:p>
          <w:p w14:paraId="6E4EE35E" w14:textId="77777777" w:rsidR="00DA2480" w:rsidRPr="002452D0" w:rsidRDefault="00DA2480" w:rsidP="009F4768">
            <w:pPr>
              <w:pStyle w:val="TableDataEntries"/>
            </w:pPr>
          </w:p>
        </w:tc>
        <w:tc>
          <w:tcPr>
            <w:tcW w:w="1320" w:type="dxa"/>
            <w:tcBorders>
              <w:top w:val="single" w:sz="4" w:space="0" w:color="auto"/>
              <w:left w:val="single" w:sz="4" w:space="0" w:color="auto"/>
              <w:bottom w:val="single" w:sz="4" w:space="0" w:color="auto"/>
              <w:right w:val="single" w:sz="4" w:space="0" w:color="auto"/>
            </w:tcBorders>
            <w:tcMar>
              <w:left w:w="57" w:type="dxa"/>
              <w:right w:w="57" w:type="dxa"/>
            </w:tcMar>
          </w:tcPr>
          <w:p w14:paraId="3A97154D" w14:textId="77777777" w:rsidR="00DA2480" w:rsidRDefault="00DA2480" w:rsidP="00DA2480">
            <w:pPr>
              <w:pStyle w:val="TableDataEntries"/>
            </w:pPr>
            <w:r>
              <w:t>4.53</w:t>
            </w:r>
          </w:p>
          <w:p w14:paraId="63757E23" w14:textId="77777777" w:rsidR="00DA2480" w:rsidRDefault="00DA2480" w:rsidP="001D4A52">
            <w:pPr>
              <w:pStyle w:val="TableDataEntries"/>
            </w:pPr>
          </w:p>
        </w:tc>
      </w:tr>
      <w:tr w:rsidR="00DA2480" w:rsidRPr="002452D0" w14:paraId="697D386F" w14:textId="77777777" w:rsidTr="00DA2480">
        <w:tc>
          <w:tcPr>
            <w:tcW w:w="4536" w:type="dxa"/>
            <w:tcBorders>
              <w:top w:val="single" w:sz="4" w:space="0" w:color="auto"/>
              <w:left w:val="single" w:sz="4" w:space="0" w:color="auto"/>
              <w:bottom w:val="single" w:sz="4" w:space="0" w:color="auto"/>
              <w:right w:val="single" w:sz="4" w:space="0" w:color="auto"/>
            </w:tcBorders>
          </w:tcPr>
          <w:p w14:paraId="48BAA726" w14:textId="77777777" w:rsidR="00DA2480" w:rsidRPr="00745D89" w:rsidRDefault="00DA2480" w:rsidP="00DA2480">
            <w:pPr>
              <w:pStyle w:val="TableDataEntries"/>
            </w:pPr>
            <w:r w:rsidRPr="00745D89">
              <w:t>Climate change and infrastructure</w:t>
            </w:r>
          </w:p>
          <w:p w14:paraId="4915BB30" w14:textId="77777777" w:rsidR="00DA2480" w:rsidRDefault="00DA2480" w:rsidP="009F4768">
            <w:pPr>
              <w:pStyle w:val="TableDataEntries"/>
              <w:rPr>
                <w:b/>
                <w:u w:val="single"/>
              </w:rPr>
            </w:pP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tcPr>
          <w:p w14:paraId="301D437B" w14:textId="77777777" w:rsidR="00DA2480" w:rsidRDefault="00DA2480" w:rsidP="00DA2480">
            <w:pPr>
              <w:pStyle w:val="TableDataEntries"/>
            </w:pPr>
            <w:r>
              <w:t>$9.20</w:t>
            </w:r>
          </w:p>
          <w:p w14:paraId="61BB0092" w14:textId="77777777" w:rsidR="00DA2480" w:rsidRPr="002452D0" w:rsidRDefault="00DA2480" w:rsidP="009F4768">
            <w:pPr>
              <w:pStyle w:val="TableDataEntries"/>
            </w:pPr>
          </w:p>
        </w:tc>
        <w:tc>
          <w:tcPr>
            <w:tcW w:w="1320" w:type="dxa"/>
            <w:tcBorders>
              <w:top w:val="single" w:sz="4" w:space="0" w:color="auto"/>
              <w:left w:val="single" w:sz="4" w:space="0" w:color="auto"/>
              <w:bottom w:val="single" w:sz="4" w:space="0" w:color="auto"/>
              <w:right w:val="single" w:sz="4" w:space="0" w:color="auto"/>
            </w:tcBorders>
            <w:tcMar>
              <w:left w:w="57" w:type="dxa"/>
              <w:right w:w="57" w:type="dxa"/>
            </w:tcMar>
          </w:tcPr>
          <w:p w14:paraId="75968C44" w14:textId="77777777" w:rsidR="00DA2480" w:rsidRDefault="00DA2480" w:rsidP="00DA2480">
            <w:pPr>
              <w:pStyle w:val="TableDataEntries"/>
            </w:pPr>
            <w:r>
              <w:t>33.52</w:t>
            </w:r>
          </w:p>
          <w:p w14:paraId="5E11BC9A" w14:textId="77777777" w:rsidR="00DA2480" w:rsidRDefault="00DA2480" w:rsidP="001D4A52">
            <w:pPr>
              <w:pStyle w:val="TableDataEntries"/>
            </w:pPr>
          </w:p>
        </w:tc>
      </w:tr>
      <w:tr w:rsidR="00DA2480" w:rsidRPr="002452D0" w14:paraId="7470C946" w14:textId="77777777" w:rsidTr="00DA2480">
        <w:tc>
          <w:tcPr>
            <w:tcW w:w="4536" w:type="dxa"/>
            <w:tcBorders>
              <w:top w:val="single" w:sz="4" w:space="0" w:color="auto"/>
              <w:left w:val="single" w:sz="4" w:space="0" w:color="auto"/>
              <w:bottom w:val="single" w:sz="4" w:space="0" w:color="auto"/>
              <w:right w:val="single" w:sz="4" w:space="0" w:color="auto"/>
            </w:tcBorders>
          </w:tcPr>
          <w:p w14:paraId="5040728B" w14:textId="77777777" w:rsidR="00DA2480" w:rsidRPr="00745D89" w:rsidRDefault="00DA2480" w:rsidP="00DA2480">
            <w:pPr>
              <w:pStyle w:val="TableDataEntries"/>
            </w:pPr>
            <w:r w:rsidRPr="00745D89">
              <w:t>Health</w:t>
            </w:r>
          </w:p>
          <w:p w14:paraId="20213628" w14:textId="77777777" w:rsidR="00DA2480" w:rsidRDefault="00DA2480" w:rsidP="009F4768">
            <w:pPr>
              <w:pStyle w:val="TableDataEntries"/>
              <w:rPr>
                <w:b/>
                <w:u w:val="single"/>
              </w:rPr>
            </w:pP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tcPr>
          <w:p w14:paraId="1E5FE537" w14:textId="77777777" w:rsidR="00DA2480" w:rsidRDefault="00DA2480" w:rsidP="00DA2480">
            <w:pPr>
              <w:pStyle w:val="TableDataEntries"/>
            </w:pPr>
            <w:r>
              <w:t xml:space="preserve">$0.71 </w:t>
            </w:r>
          </w:p>
          <w:p w14:paraId="35275BC6" w14:textId="77777777" w:rsidR="00DA2480" w:rsidRPr="002452D0" w:rsidRDefault="00DA2480" w:rsidP="009F4768">
            <w:pPr>
              <w:pStyle w:val="TableDataEntries"/>
            </w:pPr>
          </w:p>
        </w:tc>
        <w:tc>
          <w:tcPr>
            <w:tcW w:w="1320" w:type="dxa"/>
            <w:tcBorders>
              <w:top w:val="single" w:sz="4" w:space="0" w:color="auto"/>
              <w:left w:val="single" w:sz="4" w:space="0" w:color="auto"/>
              <w:bottom w:val="single" w:sz="4" w:space="0" w:color="auto"/>
              <w:right w:val="single" w:sz="4" w:space="0" w:color="auto"/>
            </w:tcBorders>
            <w:tcMar>
              <w:left w:w="57" w:type="dxa"/>
              <w:right w:w="57" w:type="dxa"/>
            </w:tcMar>
          </w:tcPr>
          <w:p w14:paraId="0DEA1388" w14:textId="77777777" w:rsidR="00DA2480" w:rsidRDefault="00DA2480" w:rsidP="00DA2480">
            <w:pPr>
              <w:pStyle w:val="TableDataEntries"/>
            </w:pPr>
            <w:r>
              <w:t>2.57</w:t>
            </w:r>
          </w:p>
          <w:p w14:paraId="41F87A18" w14:textId="77777777" w:rsidR="00DA2480" w:rsidRDefault="00DA2480" w:rsidP="001D4A52">
            <w:pPr>
              <w:pStyle w:val="TableDataEntries"/>
            </w:pPr>
          </w:p>
        </w:tc>
      </w:tr>
      <w:tr w:rsidR="00DA2480" w:rsidRPr="002452D0" w14:paraId="239A3F33" w14:textId="77777777" w:rsidTr="00DA2480">
        <w:tc>
          <w:tcPr>
            <w:tcW w:w="4536" w:type="dxa"/>
            <w:tcBorders>
              <w:top w:val="single" w:sz="4" w:space="0" w:color="auto"/>
              <w:left w:val="single" w:sz="4" w:space="0" w:color="auto"/>
              <w:bottom w:val="single" w:sz="4" w:space="0" w:color="auto"/>
              <w:right w:val="single" w:sz="4" w:space="0" w:color="auto"/>
            </w:tcBorders>
          </w:tcPr>
          <w:p w14:paraId="4B92E0E6" w14:textId="77777777" w:rsidR="00DA2480" w:rsidRPr="00745D89" w:rsidRDefault="00DA2480" w:rsidP="00DA2480">
            <w:pPr>
              <w:pStyle w:val="TableDataEntries"/>
            </w:pPr>
            <w:r w:rsidRPr="00745D89">
              <w:t>Gender</w:t>
            </w:r>
          </w:p>
          <w:p w14:paraId="60B5BA94" w14:textId="77777777" w:rsidR="00DA2480" w:rsidRDefault="00DA2480" w:rsidP="009F4768">
            <w:pPr>
              <w:pStyle w:val="TableDataEntries"/>
              <w:rPr>
                <w:b/>
                <w:u w:val="single"/>
              </w:rPr>
            </w:pP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tcPr>
          <w:p w14:paraId="680415DA" w14:textId="77777777" w:rsidR="00DA2480" w:rsidRDefault="00DA2480" w:rsidP="00DA2480">
            <w:pPr>
              <w:pStyle w:val="TableDataEntries"/>
            </w:pPr>
            <w:r>
              <w:t xml:space="preserve">$0.57 </w:t>
            </w:r>
          </w:p>
          <w:p w14:paraId="36C3B8B3" w14:textId="77777777" w:rsidR="00DA2480" w:rsidRPr="002452D0" w:rsidRDefault="00DA2480" w:rsidP="009F4768">
            <w:pPr>
              <w:pStyle w:val="TableDataEntries"/>
            </w:pPr>
          </w:p>
        </w:tc>
        <w:tc>
          <w:tcPr>
            <w:tcW w:w="1320" w:type="dxa"/>
            <w:tcBorders>
              <w:top w:val="single" w:sz="4" w:space="0" w:color="auto"/>
              <w:left w:val="single" w:sz="4" w:space="0" w:color="auto"/>
              <w:bottom w:val="single" w:sz="4" w:space="0" w:color="auto"/>
              <w:right w:val="single" w:sz="4" w:space="0" w:color="auto"/>
            </w:tcBorders>
            <w:tcMar>
              <w:left w:w="57" w:type="dxa"/>
              <w:right w:w="57" w:type="dxa"/>
            </w:tcMar>
          </w:tcPr>
          <w:p w14:paraId="18807C9F" w14:textId="77777777" w:rsidR="00DA2480" w:rsidRDefault="00DA2480" w:rsidP="00DA2480">
            <w:pPr>
              <w:pStyle w:val="TableDataEntries"/>
            </w:pPr>
            <w:r>
              <w:t>2.09</w:t>
            </w:r>
          </w:p>
          <w:p w14:paraId="0D918B50" w14:textId="77777777" w:rsidR="00DA2480" w:rsidRDefault="00DA2480" w:rsidP="001D4A52">
            <w:pPr>
              <w:pStyle w:val="TableDataEntries"/>
            </w:pPr>
          </w:p>
        </w:tc>
      </w:tr>
      <w:tr w:rsidR="00DA2480" w:rsidRPr="002452D0" w14:paraId="4A4F7C39" w14:textId="77777777" w:rsidTr="00DA2480">
        <w:tc>
          <w:tcPr>
            <w:tcW w:w="4536" w:type="dxa"/>
            <w:tcBorders>
              <w:top w:val="single" w:sz="4" w:space="0" w:color="auto"/>
              <w:left w:val="single" w:sz="4" w:space="0" w:color="auto"/>
              <w:bottom w:val="single" w:sz="4" w:space="0" w:color="auto"/>
              <w:right w:val="single" w:sz="4" w:space="0" w:color="auto"/>
            </w:tcBorders>
          </w:tcPr>
          <w:p w14:paraId="55B8BC3A" w14:textId="77777777" w:rsidR="00DA2480" w:rsidRPr="00745D89" w:rsidRDefault="00DA2480" w:rsidP="00DA2480">
            <w:pPr>
              <w:pStyle w:val="TableDataEntries"/>
            </w:pPr>
            <w:r w:rsidRPr="00745D89">
              <w:t>Disability</w:t>
            </w:r>
          </w:p>
          <w:p w14:paraId="6F73841B" w14:textId="77777777" w:rsidR="00DA2480" w:rsidRPr="00745D89" w:rsidRDefault="00DA2480" w:rsidP="00DA2480">
            <w:pPr>
              <w:pStyle w:val="TableDataEntries"/>
            </w:pP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tcPr>
          <w:p w14:paraId="18BB414D" w14:textId="77777777" w:rsidR="00DA2480" w:rsidRDefault="00DA2480" w:rsidP="00DA2480">
            <w:pPr>
              <w:pStyle w:val="TableDataEntries"/>
            </w:pPr>
            <w:r>
              <w:t xml:space="preserve">$0.3 </w:t>
            </w:r>
          </w:p>
          <w:p w14:paraId="3D9FFBD1" w14:textId="77777777" w:rsidR="00DA2480" w:rsidRDefault="00DA2480" w:rsidP="00DA2480">
            <w:pPr>
              <w:pStyle w:val="TableDataEntries"/>
            </w:pPr>
          </w:p>
        </w:tc>
        <w:tc>
          <w:tcPr>
            <w:tcW w:w="1320" w:type="dxa"/>
            <w:tcBorders>
              <w:top w:val="single" w:sz="4" w:space="0" w:color="auto"/>
              <w:left w:val="single" w:sz="4" w:space="0" w:color="auto"/>
              <w:bottom w:val="single" w:sz="4" w:space="0" w:color="auto"/>
              <w:right w:val="single" w:sz="4" w:space="0" w:color="auto"/>
            </w:tcBorders>
            <w:tcMar>
              <w:left w:w="57" w:type="dxa"/>
              <w:right w:w="57" w:type="dxa"/>
            </w:tcMar>
          </w:tcPr>
          <w:p w14:paraId="39868B34" w14:textId="77777777" w:rsidR="00DA2480" w:rsidRDefault="00DA2480" w:rsidP="00DA2480">
            <w:pPr>
              <w:pStyle w:val="TableDataEntries"/>
            </w:pPr>
            <w:r>
              <w:t>1.09</w:t>
            </w:r>
          </w:p>
          <w:p w14:paraId="3D8C4C14" w14:textId="77777777" w:rsidR="00DA2480" w:rsidRDefault="00DA2480" w:rsidP="00DA2480">
            <w:pPr>
              <w:pStyle w:val="TableDataEntries"/>
            </w:pPr>
          </w:p>
        </w:tc>
      </w:tr>
      <w:tr w:rsidR="00DA2480" w:rsidRPr="002452D0" w14:paraId="32EC2930" w14:textId="77777777" w:rsidTr="00DA2480">
        <w:tc>
          <w:tcPr>
            <w:tcW w:w="4536" w:type="dxa"/>
            <w:tcBorders>
              <w:top w:val="single" w:sz="4" w:space="0" w:color="auto"/>
              <w:left w:val="single" w:sz="4" w:space="0" w:color="auto"/>
              <w:bottom w:val="single" w:sz="4" w:space="0" w:color="auto"/>
              <w:right w:val="single" w:sz="4" w:space="0" w:color="auto"/>
            </w:tcBorders>
          </w:tcPr>
          <w:p w14:paraId="71E0B2CB" w14:textId="3CA2CCA9" w:rsidR="00DA2480" w:rsidRPr="00745D89" w:rsidRDefault="00DA2480" w:rsidP="00DA2480">
            <w:pPr>
              <w:pStyle w:val="TableDataEntries"/>
            </w:pPr>
            <w:r w:rsidRPr="00745D89">
              <w:t>Other</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tcPr>
          <w:p w14:paraId="5438071D" w14:textId="75BED511" w:rsidR="00DA2480" w:rsidRDefault="00DA2480" w:rsidP="00DA2480">
            <w:pPr>
              <w:pStyle w:val="TableDataEntries"/>
            </w:pPr>
            <w:r>
              <w:t>$0.07</w:t>
            </w:r>
          </w:p>
        </w:tc>
        <w:tc>
          <w:tcPr>
            <w:tcW w:w="1320" w:type="dxa"/>
            <w:tcBorders>
              <w:top w:val="single" w:sz="4" w:space="0" w:color="auto"/>
              <w:left w:val="single" w:sz="4" w:space="0" w:color="auto"/>
              <w:bottom w:val="single" w:sz="4" w:space="0" w:color="auto"/>
              <w:right w:val="single" w:sz="4" w:space="0" w:color="auto"/>
            </w:tcBorders>
            <w:tcMar>
              <w:left w:w="57" w:type="dxa"/>
              <w:right w:w="57" w:type="dxa"/>
            </w:tcMar>
          </w:tcPr>
          <w:p w14:paraId="6150CDED" w14:textId="77777777" w:rsidR="00DA2480" w:rsidRDefault="00DA2480" w:rsidP="00DA2480">
            <w:pPr>
              <w:pStyle w:val="TableDataEntries"/>
            </w:pPr>
          </w:p>
          <w:p w14:paraId="0475B6A2" w14:textId="73F8F80D" w:rsidR="00DA2480" w:rsidRDefault="00DA2480" w:rsidP="00DA2480">
            <w:pPr>
              <w:pStyle w:val="TableDataEntries"/>
            </w:pPr>
            <w:r>
              <w:t>0.28</w:t>
            </w:r>
          </w:p>
        </w:tc>
      </w:tr>
      <w:tr w:rsidR="00DA2480" w:rsidRPr="002452D0" w14:paraId="28BE6F1C" w14:textId="77777777" w:rsidTr="00DA2480">
        <w:tc>
          <w:tcPr>
            <w:tcW w:w="4536" w:type="dxa"/>
            <w:tcBorders>
              <w:top w:val="single" w:sz="4" w:space="0" w:color="auto"/>
              <w:left w:val="single" w:sz="4" w:space="0" w:color="auto"/>
              <w:bottom w:val="single" w:sz="4" w:space="0" w:color="auto"/>
              <w:right w:val="single" w:sz="4" w:space="0" w:color="auto"/>
            </w:tcBorders>
          </w:tcPr>
          <w:p w14:paraId="34AA31BB" w14:textId="0A5E47A1" w:rsidR="00DA2480" w:rsidRPr="00271E69" w:rsidRDefault="00DA2480" w:rsidP="00DA2480">
            <w:pPr>
              <w:pStyle w:val="TableDataEntries"/>
              <w:rPr>
                <w:b/>
              </w:rPr>
            </w:pPr>
            <w:r w:rsidRPr="00271E69">
              <w:rPr>
                <w:b/>
              </w:rPr>
              <w:t>Total</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tcPr>
          <w:p w14:paraId="0042B5D8" w14:textId="0BDE8D3E" w:rsidR="00DA2480" w:rsidRPr="00DA2480" w:rsidRDefault="00DA2480" w:rsidP="00244E50">
            <w:pPr>
              <w:pStyle w:val="TableDataEntries"/>
              <w:rPr>
                <w:b/>
              </w:rPr>
            </w:pPr>
            <w:r w:rsidRPr="00DA2480">
              <w:rPr>
                <w:b/>
              </w:rPr>
              <w:t>$</w:t>
            </w:r>
            <w:r w:rsidR="00244E50">
              <w:rPr>
                <w:b/>
              </w:rPr>
              <w:t>27.4</w:t>
            </w:r>
          </w:p>
        </w:tc>
        <w:tc>
          <w:tcPr>
            <w:tcW w:w="1320" w:type="dxa"/>
            <w:tcBorders>
              <w:top w:val="single" w:sz="4" w:space="0" w:color="auto"/>
              <w:left w:val="single" w:sz="4" w:space="0" w:color="auto"/>
              <w:bottom w:val="single" w:sz="4" w:space="0" w:color="auto"/>
              <w:right w:val="single" w:sz="4" w:space="0" w:color="auto"/>
            </w:tcBorders>
            <w:tcMar>
              <w:left w:w="57" w:type="dxa"/>
              <w:right w:w="57" w:type="dxa"/>
            </w:tcMar>
          </w:tcPr>
          <w:p w14:paraId="1A46C9F5" w14:textId="24BFEDA4" w:rsidR="00DA2480" w:rsidRPr="00DA2480" w:rsidRDefault="00DA2480" w:rsidP="00DA2480">
            <w:pPr>
              <w:pStyle w:val="TableDataEntries"/>
              <w:rPr>
                <w:b/>
              </w:rPr>
            </w:pPr>
            <w:r>
              <w:rPr>
                <w:b/>
              </w:rPr>
              <w:t>100</w:t>
            </w:r>
          </w:p>
        </w:tc>
      </w:tr>
    </w:tbl>
    <w:p w14:paraId="3B46FBB1" w14:textId="580FA2BF" w:rsidR="00B97810" w:rsidRDefault="00B97810" w:rsidP="002F18A6">
      <w:pPr>
        <w:pStyle w:val="Note"/>
      </w:pPr>
      <w:r>
        <w:t>Source:</w:t>
      </w:r>
      <w:r w:rsidRPr="00C05EB3">
        <w:t xml:space="preserve"> </w:t>
      </w:r>
      <w:r>
        <w:t xml:space="preserve">AIDWORKS (internal </w:t>
      </w:r>
      <w:proofErr w:type="spellStart"/>
      <w:r>
        <w:t>AusAID</w:t>
      </w:r>
      <w:proofErr w:type="spellEnd"/>
      <w:r>
        <w:t xml:space="preserve"> </w:t>
      </w:r>
      <w:r w:rsidR="007A57DF">
        <w:t>f</w:t>
      </w:r>
      <w:r>
        <w:t>inance system)</w:t>
      </w:r>
      <w:r w:rsidR="007A57DF">
        <w:t>.</w:t>
      </w:r>
    </w:p>
    <w:p w14:paraId="2D328267" w14:textId="77777777" w:rsidR="00B97810" w:rsidRDefault="00B97810" w:rsidP="007A0B76"/>
    <w:p w14:paraId="6B4E32B9" w14:textId="77777777" w:rsidR="00B97810" w:rsidRDefault="00B97810" w:rsidP="0053432A">
      <w:pPr>
        <w:pStyle w:val="H1A"/>
      </w:pPr>
      <w:bookmarkStart w:id="5" w:name="_Toc360732546"/>
      <w:r>
        <w:t>Progress against objectives</w:t>
      </w:r>
      <w:bookmarkEnd w:id="5"/>
    </w:p>
    <w:p w14:paraId="31FCE4D6" w14:textId="6AE3558C" w:rsidR="00B97810" w:rsidRPr="00C130DF" w:rsidRDefault="00B97810" w:rsidP="00986FF8">
      <w:pPr>
        <w:pStyle w:val="Caption"/>
      </w:pPr>
      <w:r w:rsidRPr="00C130DF">
        <w:t xml:space="preserve">Table </w:t>
      </w:r>
      <w:r>
        <w:t>3</w:t>
      </w:r>
      <w:r w:rsidRPr="00C130DF">
        <w:t>: Ratings of the program’s progress in 201</w:t>
      </w:r>
      <w:r>
        <w:t>1</w:t>
      </w:r>
      <w:r w:rsidRPr="00C130DF">
        <w:t xml:space="preserve"> towards the </w:t>
      </w:r>
      <w:r>
        <w:t>joint commitments under</w:t>
      </w:r>
      <w:r w:rsidRPr="00C130DF">
        <w:t xml:space="preserve"> the </w:t>
      </w:r>
      <w:r w:rsidR="007A57DF" w:rsidRPr="00C130DF">
        <w:t>Kiribati</w:t>
      </w:r>
      <w:r w:rsidR="007A57DF">
        <w:t>–</w:t>
      </w:r>
      <w:r w:rsidRPr="00C130DF">
        <w:t>Australia Partnership for Development</w:t>
      </w:r>
    </w:p>
    <w:tbl>
      <w:tblPr>
        <w:tblW w:w="0" w:type="auto"/>
        <w:tblInd w:w="57" w:type="dxa"/>
        <w:tblLook w:val="01E0" w:firstRow="1" w:lastRow="1" w:firstColumn="1" w:lastColumn="1" w:noHBand="0" w:noVBand="0"/>
      </w:tblPr>
      <w:tblGrid>
        <w:gridCol w:w="5725"/>
        <w:gridCol w:w="896"/>
        <w:gridCol w:w="1316"/>
      </w:tblGrid>
      <w:tr w:rsidR="00B97810" w:rsidRPr="00C130DF" w14:paraId="2D71D2D7" w14:textId="77777777" w:rsidTr="0053432A">
        <w:trPr>
          <w:tblHeader/>
        </w:trPr>
        <w:tc>
          <w:tcPr>
            <w:tcW w:w="5725" w:type="dxa"/>
            <w:tcBorders>
              <w:top w:val="single" w:sz="12" w:space="0" w:color="auto"/>
              <w:bottom w:val="single" w:sz="2" w:space="0" w:color="auto"/>
            </w:tcBorders>
            <w:tcMar>
              <w:left w:w="57" w:type="dxa"/>
              <w:right w:w="57" w:type="dxa"/>
            </w:tcMar>
          </w:tcPr>
          <w:p w14:paraId="4DE3A282" w14:textId="2E55C5BC" w:rsidR="00B97810" w:rsidRPr="00C130DF" w:rsidRDefault="00B97810">
            <w:pPr>
              <w:pStyle w:val="TableTextColumnHeading"/>
            </w:pPr>
            <w:r>
              <w:t xml:space="preserve">Joint </w:t>
            </w:r>
            <w:r w:rsidR="007A57DF">
              <w:t>commitments</w:t>
            </w:r>
          </w:p>
        </w:tc>
        <w:tc>
          <w:tcPr>
            <w:tcW w:w="896" w:type="dxa"/>
            <w:tcBorders>
              <w:top w:val="single" w:sz="12" w:space="0" w:color="auto"/>
              <w:bottom w:val="single" w:sz="2" w:space="0" w:color="auto"/>
            </w:tcBorders>
            <w:tcMar>
              <w:left w:w="57" w:type="dxa"/>
              <w:right w:w="57" w:type="dxa"/>
            </w:tcMar>
          </w:tcPr>
          <w:p w14:paraId="30DE3AFB" w14:textId="77777777" w:rsidR="00B97810" w:rsidRPr="00C130DF" w:rsidRDefault="00B97810" w:rsidP="00177C69">
            <w:pPr>
              <w:pStyle w:val="TableTextColumnHeading"/>
              <w:jc w:val="center"/>
            </w:pPr>
            <w:r w:rsidRPr="00C130DF">
              <w:t>Rating in </w:t>
            </w:r>
            <w:r>
              <w:t>2011</w:t>
            </w:r>
          </w:p>
        </w:tc>
        <w:tc>
          <w:tcPr>
            <w:tcW w:w="1316" w:type="dxa"/>
            <w:tcBorders>
              <w:top w:val="single" w:sz="12" w:space="0" w:color="auto"/>
              <w:bottom w:val="single" w:sz="2" w:space="0" w:color="auto"/>
            </w:tcBorders>
            <w:tcMar>
              <w:left w:w="57" w:type="dxa"/>
              <w:right w:w="57" w:type="dxa"/>
            </w:tcMar>
          </w:tcPr>
          <w:p w14:paraId="58897C49" w14:textId="77777777" w:rsidR="00B97810" w:rsidRPr="00C130DF" w:rsidRDefault="00B97810" w:rsidP="00271E69">
            <w:pPr>
              <w:pStyle w:val="TableTextColumnHeading"/>
              <w:jc w:val="right"/>
            </w:pPr>
            <w:r w:rsidRPr="00C130DF">
              <w:t xml:space="preserve">Relative to </w:t>
            </w:r>
            <w:r w:rsidRPr="00C130DF">
              <w:br/>
              <w:t>previous rating</w:t>
            </w:r>
          </w:p>
        </w:tc>
      </w:tr>
      <w:tr w:rsidR="00B97810" w:rsidRPr="00C130DF" w14:paraId="697BE075" w14:textId="77777777" w:rsidTr="00986FF8">
        <w:trPr>
          <w:cantSplit/>
        </w:trPr>
        <w:tc>
          <w:tcPr>
            <w:tcW w:w="5725" w:type="dxa"/>
            <w:tcBorders>
              <w:top w:val="single" w:sz="2" w:space="0" w:color="auto"/>
            </w:tcBorders>
            <w:tcMar>
              <w:left w:w="57" w:type="dxa"/>
              <w:right w:w="57" w:type="dxa"/>
            </w:tcMar>
            <w:vAlign w:val="center"/>
          </w:tcPr>
          <w:p w14:paraId="02B23F2D" w14:textId="3CB1C1E4" w:rsidR="00B97810" w:rsidRPr="00C130DF" w:rsidRDefault="00B97810">
            <w:pPr>
              <w:pStyle w:val="TableTextEntries"/>
              <w:spacing w:before="120" w:after="120"/>
              <w:ind w:right="-92"/>
            </w:pPr>
            <w:r w:rsidRPr="00C130DF">
              <w:t xml:space="preserve">1. Improved standards in </w:t>
            </w:r>
            <w:r w:rsidR="007A57DF">
              <w:rPr>
                <w:b/>
              </w:rPr>
              <w:t>b</w:t>
            </w:r>
            <w:r w:rsidR="007A57DF" w:rsidRPr="00C130DF">
              <w:rPr>
                <w:b/>
              </w:rPr>
              <w:t xml:space="preserve">asic </w:t>
            </w:r>
            <w:r w:rsidR="007A57DF">
              <w:rPr>
                <w:b/>
              </w:rPr>
              <w:t>e</w:t>
            </w:r>
            <w:r w:rsidR="007A57DF" w:rsidRPr="00C130DF">
              <w:rPr>
                <w:b/>
              </w:rPr>
              <w:t>ducation</w:t>
            </w:r>
            <w:r w:rsidRPr="00C130DF">
              <w:t>, in terms of both access and quality.</w:t>
            </w:r>
          </w:p>
        </w:tc>
        <w:tc>
          <w:tcPr>
            <w:tcW w:w="896" w:type="dxa"/>
            <w:tcBorders>
              <w:top w:val="single" w:sz="2" w:space="0" w:color="auto"/>
            </w:tcBorders>
            <w:tcMar>
              <w:left w:w="57" w:type="dxa"/>
              <w:right w:w="57" w:type="dxa"/>
            </w:tcMar>
            <w:vAlign w:val="center"/>
          </w:tcPr>
          <w:p w14:paraId="0B2E5640" w14:textId="0A681562" w:rsidR="00B97810" w:rsidRPr="00C130DF" w:rsidRDefault="00B41294" w:rsidP="004E647C">
            <w:pPr>
              <w:pStyle w:val="Ratingbullet"/>
            </w:pPr>
            <w:r>
              <w:fldChar w:fldCharType="begin"/>
            </w:r>
            <w:r>
              <w:instrText xml:space="preserve"> AUTOTEXTLIST  \s "Rating bullet"\t "Right click to choose a rating" \* MERGEFORMAT </w:instrText>
            </w:r>
            <w:r>
              <w:fldChar w:fldCharType="separate"/>
            </w:r>
            <w:r w:rsidR="00B97810" w:rsidRPr="00C130DF">
              <w:rPr>
                <w:color w:val="FF9900"/>
              </w:rPr>
              <w:sym w:font="Webdings" w:char="F067"/>
            </w:r>
            <w:r>
              <w:rPr>
                <w:color w:val="FF9900"/>
              </w:rPr>
              <w:fldChar w:fldCharType="end"/>
            </w:r>
            <w:r w:rsidR="00E92460">
              <w:rPr>
                <w:sz w:val="17"/>
                <w:szCs w:val="17"/>
              </w:rPr>
              <w:t xml:space="preserve"> </w:t>
            </w:r>
            <w:r w:rsidR="00B97810">
              <w:rPr>
                <w:sz w:val="17"/>
                <w:szCs w:val="17"/>
              </w:rPr>
              <w:t>Amber</w:t>
            </w:r>
          </w:p>
        </w:tc>
        <w:tc>
          <w:tcPr>
            <w:tcW w:w="1316" w:type="dxa"/>
            <w:tcBorders>
              <w:top w:val="single" w:sz="2" w:space="0" w:color="auto"/>
            </w:tcBorders>
            <w:tcMar>
              <w:left w:w="57" w:type="dxa"/>
              <w:right w:w="57" w:type="dxa"/>
            </w:tcMar>
            <w:vAlign w:val="center"/>
          </w:tcPr>
          <w:p w14:paraId="0BAF91DF" w14:textId="77777777" w:rsidR="00B97810" w:rsidRPr="00C130DF" w:rsidRDefault="00B97810" w:rsidP="00271E69">
            <w:pPr>
              <w:pStyle w:val="TableTextEntries"/>
              <w:jc w:val="right"/>
            </w:pPr>
            <w:r w:rsidRPr="00C130DF">
              <w:rPr>
                <w:bCs/>
              </w:rPr>
              <w:fldChar w:fldCharType="begin"/>
            </w:r>
            <w:r w:rsidRPr="00C130DF">
              <w:rPr>
                <w:bCs/>
              </w:rPr>
              <w:instrText xml:space="preserve"> AUTOTEXTLIST  \s "Table Text Entries"\t "Right click to choose a response" \* MERGEFORMAT </w:instrText>
            </w:r>
            <w:r w:rsidRPr="00C130DF">
              <w:rPr>
                <w:bCs/>
              </w:rPr>
              <w:fldChar w:fldCharType="separate"/>
            </w:r>
            <w:r>
              <w:rPr>
                <w:bCs/>
              </w:rPr>
              <w:t>Decreased</w:t>
            </w:r>
            <w:r w:rsidRPr="00C130DF">
              <w:rPr>
                <w:bCs/>
              </w:rPr>
              <w:fldChar w:fldCharType="end"/>
            </w:r>
          </w:p>
        </w:tc>
      </w:tr>
      <w:tr w:rsidR="00B97810" w:rsidRPr="00C130DF" w14:paraId="6044FC62" w14:textId="77777777" w:rsidTr="00986FF8">
        <w:trPr>
          <w:cantSplit/>
        </w:trPr>
        <w:tc>
          <w:tcPr>
            <w:tcW w:w="5725" w:type="dxa"/>
            <w:tcMar>
              <w:left w:w="57" w:type="dxa"/>
              <w:right w:w="57" w:type="dxa"/>
            </w:tcMar>
            <w:vAlign w:val="center"/>
          </w:tcPr>
          <w:p w14:paraId="505ECBE3" w14:textId="0B911AB1" w:rsidR="00B97810" w:rsidRPr="00C130DF" w:rsidRDefault="00B97810">
            <w:pPr>
              <w:pStyle w:val="TableTextEntries"/>
              <w:spacing w:before="120" w:after="120"/>
              <w:ind w:right="-92"/>
            </w:pPr>
            <w:r w:rsidRPr="00C130DF">
              <w:t xml:space="preserve">2. Provide opportunities for people to develop their </w:t>
            </w:r>
            <w:r w:rsidR="007A57DF">
              <w:rPr>
                <w:b/>
              </w:rPr>
              <w:t>w</w:t>
            </w:r>
            <w:r w:rsidR="007A57DF" w:rsidRPr="00C130DF">
              <w:rPr>
                <w:b/>
              </w:rPr>
              <w:t xml:space="preserve">orkforce </w:t>
            </w:r>
            <w:r w:rsidR="007A57DF">
              <w:rPr>
                <w:b/>
              </w:rPr>
              <w:t>s</w:t>
            </w:r>
            <w:r w:rsidR="007A57DF" w:rsidRPr="00C130DF">
              <w:rPr>
                <w:b/>
              </w:rPr>
              <w:t>kills</w:t>
            </w:r>
            <w:r w:rsidR="007A57DF" w:rsidRPr="00C130DF">
              <w:t xml:space="preserve"> </w:t>
            </w:r>
            <w:r w:rsidRPr="00C130DF">
              <w:t>in areas of industry demand both domestically and abroad.</w:t>
            </w:r>
          </w:p>
        </w:tc>
        <w:tc>
          <w:tcPr>
            <w:tcW w:w="896" w:type="dxa"/>
            <w:tcMar>
              <w:left w:w="57" w:type="dxa"/>
              <w:right w:w="57" w:type="dxa"/>
            </w:tcMar>
            <w:vAlign w:val="center"/>
          </w:tcPr>
          <w:p w14:paraId="5FC09F2D" w14:textId="77777777" w:rsidR="00B97810" w:rsidRPr="00C130DF" w:rsidRDefault="00B41294" w:rsidP="00986FF8">
            <w:pPr>
              <w:pStyle w:val="Ratingbullet"/>
            </w:pPr>
            <w:r>
              <w:fldChar w:fldCharType="begin"/>
            </w:r>
            <w:r>
              <w:instrText xml:space="preserve"> AUTOTEXTLIST  \s "Rating bullet"\t "Right click to choose a rating" \* MERGEFORMAT </w:instrText>
            </w:r>
            <w:r>
              <w:fldChar w:fldCharType="separate"/>
            </w:r>
            <w:r w:rsidR="00B97810" w:rsidRPr="00C130DF">
              <w:rPr>
                <w:color w:val="FF9900"/>
              </w:rPr>
              <w:sym w:font="Webdings" w:char="F067"/>
            </w:r>
            <w:r>
              <w:rPr>
                <w:color w:val="FF9900"/>
              </w:rPr>
              <w:fldChar w:fldCharType="end"/>
            </w:r>
            <w:r w:rsidR="00B97810" w:rsidRPr="00C744FA">
              <w:rPr>
                <w:sz w:val="17"/>
                <w:szCs w:val="17"/>
              </w:rPr>
              <w:t xml:space="preserve"> Amber</w:t>
            </w:r>
          </w:p>
        </w:tc>
        <w:tc>
          <w:tcPr>
            <w:tcW w:w="1316" w:type="dxa"/>
            <w:tcMar>
              <w:left w:w="57" w:type="dxa"/>
              <w:right w:w="57" w:type="dxa"/>
            </w:tcMar>
            <w:vAlign w:val="center"/>
          </w:tcPr>
          <w:p w14:paraId="7BA767C5" w14:textId="77777777" w:rsidR="00B97810" w:rsidRPr="00C130DF" w:rsidRDefault="00B97810" w:rsidP="00271E69">
            <w:pPr>
              <w:pStyle w:val="TableTextEntries"/>
              <w:jc w:val="right"/>
            </w:pPr>
            <w:r>
              <w:t>Unchanged</w:t>
            </w:r>
          </w:p>
        </w:tc>
      </w:tr>
      <w:tr w:rsidR="00B97810" w:rsidRPr="00C130DF" w14:paraId="72972920" w14:textId="77777777" w:rsidTr="00986FF8">
        <w:trPr>
          <w:cantSplit/>
        </w:trPr>
        <w:tc>
          <w:tcPr>
            <w:tcW w:w="5725" w:type="dxa"/>
            <w:tcMar>
              <w:left w:w="57" w:type="dxa"/>
              <w:right w:w="57" w:type="dxa"/>
            </w:tcMar>
            <w:vAlign w:val="center"/>
          </w:tcPr>
          <w:p w14:paraId="51931358" w14:textId="7953EE0B" w:rsidR="00B97810" w:rsidRPr="00C130DF" w:rsidRDefault="00B97810">
            <w:pPr>
              <w:pStyle w:val="TableTextEntries"/>
              <w:spacing w:before="120" w:after="120"/>
              <w:ind w:right="-92"/>
            </w:pPr>
            <w:r w:rsidRPr="00C130DF">
              <w:t xml:space="preserve">3. Strengthen </w:t>
            </w:r>
            <w:r w:rsidR="007A57DF">
              <w:rPr>
                <w:b/>
              </w:rPr>
              <w:t>e</w:t>
            </w:r>
            <w:r w:rsidR="007A57DF" w:rsidRPr="00C130DF">
              <w:rPr>
                <w:b/>
              </w:rPr>
              <w:t xml:space="preserve">conomic </w:t>
            </w:r>
            <w:r w:rsidR="007A57DF">
              <w:rPr>
                <w:b/>
              </w:rPr>
              <w:t>m</w:t>
            </w:r>
            <w:r w:rsidR="007A57DF" w:rsidRPr="00C130DF">
              <w:rPr>
                <w:b/>
              </w:rPr>
              <w:t>anagement</w:t>
            </w:r>
            <w:r w:rsidR="007A57DF" w:rsidRPr="00C130DF">
              <w:t xml:space="preserve"> </w:t>
            </w:r>
            <w:r w:rsidRPr="00C130DF">
              <w:t>in support of mutually agreed Kiribati-led economic reforms.</w:t>
            </w:r>
          </w:p>
        </w:tc>
        <w:tc>
          <w:tcPr>
            <w:tcW w:w="896" w:type="dxa"/>
            <w:tcMar>
              <w:left w:w="57" w:type="dxa"/>
              <w:right w:w="57" w:type="dxa"/>
            </w:tcMar>
            <w:vAlign w:val="center"/>
          </w:tcPr>
          <w:p w14:paraId="1259E559" w14:textId="77777777" w:rsidR="00B97810" w:rsidRPr="005E5C60" w:rsidRDefault="005E5C60" w:rsidP="00986FF8">
            <w:pPr>
              <w:pStyle w:val="Ratingbullet"/>
              <w:rPr>
                <w:sz w:val="17"/>
                <w:szCs w:val="17"/>
              </w:rPr>
            </w:pPr>
            <w:r w:rsidRPr="007B474F">
              <w:rPr>
                <w:color w:val="FF0000"/>
                <w:sz w:val="17"/>
                <w:szCs w:val="17"/>
              </w:rPr>
              <w:sym w:font="Webdings" w:char="F067"/>
            </w:r>
            <w:r w:rsidRPr="005E5C60">
              <w:rPr>
                <w:rFonts w:hint="eastAsia"/>
                <w:sz w:val="17"/>
                <w:szCs w:val="17"/>
              </w:rPr>
              <w:t> </w:t>
            </w:r>
            <w:r w:rsidRPr="005E5C60">
              <w:rPr>
                <w:sz w:val="17"/>
                <w:szCs w:val="17"/>
              </w:rPr>
              <w:t xml:space="preserve"> Red</w:t>
            </w:r>
          </w:p>
        </w:tc>
        <w:tc>
          <w:tcPr>
            <w:tcW w:w="1316" w:type="dxa"/>
            <w:tcMar>
              <w:left w:w="57" w:type="dxa"/>
              <w:right w:w="57" w:type="dxa"/>
            </w:tcMar>
            <w:vAlign w:val="center"/>
          </w:tcPr>
          <w:p w14:paraId="1DC03AA9" w14:textId="77777777" w:rsidR="00B97810" w:rsidRPr="00C130DF" w:rsidRDefault="00B97810" w:rsidP="00271E69">
            <w:pPr>
              <w:pStyle w:val="TableTextEntries"/>
              <w:jc w:val="right"/>
            </w:pPr>
            <w:r w:rsidRPr="005E5C60">
              <w:fldChar w:fldCharType="begin"/>
            </w:r>
            <w:r w:rsidRPr="005E5C60">
              <w:instrText xml:space="preserve"> AUTOTEXTLIST  \s "Table Text Entries"\t "Right click to choose a response" \* MERGEFORMAT </w:instrText>
            </w:r>
            <w:r w:rsidRPr="005E5C60">
              <w:fldChar w:fldCharType="separate"/>
            </w:r>
            <w:r w:rsidR="005E5C60">
              <w:t>Decreased</w:t>
            </w:r>
            <w:r w:rsidRPr="005E5C60">
              <w:fldChar w:fldCharType="end"/>
            </w:r>
          </w:p>
        </w:tc>
      </w:tr>
    </w:tbl>
    <w:p w14:paraId="2C11B89F" w14:textId="77777777" w:rsidR="00B97810" w:rsidRPr="00C130DF" w:rsidRDefault="00B97810" w:rsidP="00986FF8">
      <w:pPr>
        <w:pStyle w:val="Note"/>
        <w:keepNext/>
      </w:pPr>
      <w:r w:rsidRPr="00C130DF">
        <w:t xml:space="preserve">Note: </w:t>
      </w:r>
    </w:p>
    <w:p w14:paraId="3EE47950" w14:textId="306BE4F6" w:rsidR="00B97810" w:rsidRPr="00C130DF" w:rsidRDefault="00B97810" w:rsidP="00986FF8">
      <w:pPr>
        <w:pStyle w:val="Note"/>
        <w:keepNext/>
        <w:spacing w:before="0"/>
      </w:pPr>
      <w:r w:rsidRPr="00C130DF">
        <w:rPr>
          <w:color w:val="99CC00"/>
          <w:sz w:val="18"/>
          <w:szCs w:val="18"/>
        </w:rPr>
        <w:sym w:font="Webdings" w:char="F067"/>
      </w:r>
      <w:r w:rsidRPr="00C130DF">
        <w:rPr>
          <w:rFonts w:ascii="Arial Unicode MS" w:eastAsia="Arial Unicode MS" w:hAnsi="Arial Unicode MS" w:cs="Arial Unicode MS" w:hint="eastAsia"/>
        </w:rPr>
        <w:t> </w:t>
      </w:r>
      <w:r w:rsidRPr="0054528F">
        <w:rPr>
          <w:rFonts w:ascii="Arial Unicode MS" w:eastAsia="Arial Unicode MS" w:hAnsi="Arial Unicode MS" w:cs="Arial Unicode MS"/>
        </w:rPr>
        <w:t xml:space="preserve"> </w:t>
      </w:r>
      <w:r>
        <w:rPr>
          <w:rFonts w:ascii="Arial Unicode MS" w:eastAsia="Arial Unicode MS" w:hAnsi="Arial Unicode MS" w:cs="Arial Unicode MS"/>
        </w:rPr>
        <w:t>Green</w:t>
      </w:r>
      <w:r w:rsidRPr="00C130DF">
        <w:t xml:space="preserve"> </w:t>
      </w:r>
      <w:r w:rsidR="00271E69">
        <w:t>– t</w:t>
      </w:r>
      <w:r w:rsidRPr="00C130DF">
        <w:t xml:space="preserve">he </w:t>
      </w:r>
      <w:r>
        <w:t>commitment</w:t>
      </w:r>
      <w:r w:rsidRPr="00C130DF">
        <w:t xml:space="preserve"> will be fully achieved within the timeframe of the </w:t>
      </w:r>
      <w:r>
        <w:t>programs</w:t>
      </w:r>
    </w:p>
    <w:p w14:paraId="5E0ECBD3" w14:textId="7030E3FD" w:rsidR="00B97810" w:rsidRPr="00C130DF" w:rsidRDefault="00B97810" w:rsidP="00986FF8">
      <w:pPr>
        <w:pStyle w:val="Note"/>
        <w:keepNext/>
        <w:spacing w:before="0"/>
      </w:pPr>
      <w:r w:rsidRPr="00C130DF">
        <w:rPr>
          <w:color w:val="FF9900"/>
          <w:sz w:val="18"/>
          <w:szCs w:val="18"/>
        </w:rPr>
        <w:sym w:font="Webdings" w:char="F067"/>
      </w:r>
      <w:r w:rsidRPr="00C130DF">
        <w:rPr>
          <w:rFonts w:ascii="Arial Unicode MS" w:eastAsia="Arial Unicode MS" w:hAnsi="Arial Unicode MS" w:cs="Arial Unicode MS" w:hint="eastAsia"/>
        </w:rPr>
        <w:t> </w:t>
      </w:r>
      <w:r w:rsidRPr="0054528F">
        <w:rPr>
          <w:rFonts w:ascii="Arial Unicode MS" w:eastAsia="Arial Unicode MS" w:hAnsi="Arial Unicode MS" w:cs="Arial Unicode MS"/>
        </w:rPr>
        <w:t xml:space="preserve"> </w:t>
      </w:r>
      <w:r>
        <w:rPr>
          <w:rFonts w:ascii="Arial Unicode MS" w:eastAsia="Arial Unicode MS" w:hAnsi="Arial Unicode MS" w:cs="Arial Unicode MS"/>
        </w:rPr>
        <w:t>Amber</w:t>
      </w:r>
      <w:r w:rsidRPr="00C130DF">
        <w:t xml:space="preserve"> </w:t>
      </w:r>
      <w:r w:rsidR="00271E69">
        <w:t>– t</w:t>
      </w:r>
      <w:r w:rsidRPr="00C130DF">
        <w:t xml:space="preserve">he </w:t>
      </w:r>
      <w:r>
        <w:t>commitment</w:t>
      </w:r>
      <w:r w:rsidRPr="00C130DF">
        <w:t xml:space="preserve"> will be partly achieved within the timeframe of the </w:t>
      </w:r>
      <w:r>
        <w:t>programs</w:t>
      </w:r>
    </w:p>
    <w:p w14:paraId="78AE4EB7" w14:textId="16456749" w:rsidR="00B97810" w:rsidRPr="00C130DF" w:rsidRDefault="00B97810" w:rsidP="00986FF8">
      <w:pPr>
        <w:pStyle w:val="Note"/>
        <w:spacing w:before="0"/>
      </w:pPr>
      <w:r w:rsidRPr="00C130DF">
        <w:rPr>
          <w:color w:val="FF0000"/>
          <w:sz w:val="18"/>
          <w:szCs w:val="18"/>
        </w:rPr>
        <w:sym w:font="Webdings" w:char="F067"/>
      </w:r>
      <w:r w:rsidRPr="00C130DF">
        <w:rPr>
          <w:rFonts w:ascii="Arial Unicode MS" w:eastAsia="Arial Unicode MS" w:hAnsi="Arial Unicode MS" w:cs="Arial Unicode MS" w:hint="eastAsia"/>
        </w:rPr>
        <w:t> </w:t>
      </w:r>
      <w:r w:rsidRPr="0054528F">
        <w:rPr>
          <w:rFonts w:ascii="Arial Unicode MS" w:eastAsia="Arial Unicode MS" w:hAnsi="Arial Unicode MS" w:cs="Arial Unicode MS"/>
        </w:rPr>
        <w:t xml:space="preserve"> </w:t>
      </w:r>
      <w:r>
        <w:rPr>
          <w:rFonts w:ascii="Arial Unicode MS" w:eastAsia="Arial Unicode MS" w:hAnsi="Arial Unicode MS" w:cs="Arial Unicode MS"/>
        </w:rPr>
        <w:t>Red</w:t>
      </w:r>
      <w:r w:rsidRPr="00C130DF">
        <w:t xml:space="preserve"> </w:t>
      </w:r>
      <w:r w:rsidR="00271E69">
        <w:t>– t</w:t>
      </w:r>
      <w:r w:rsidRPr="00C130DF">
        <w:t xml:space="preserve">he </w:t>
      </w:r>
      <w:r>
        <w:t>commitment</w:t>
      </w:r>
      <w:r w:rsidRPr="00C130DF">
        <w:t xml:space="preserve"> is unlikely to be achieved within the timeframe of the </w:t>
      </w:r>
      <w:r>
        <w:t>programs</w:t>
      </w:r>
    </w:p>
    <w:p w14:paraId="520EC65A" w14:textId="77777777" w:rsidR="00B97810" w:rsidRDefault="00B97810" w:rsidP="002F18A6">
      <w:pPr>
        <w:pStyle w:val="BodyText"/>
        <w:spacing w:before="0" w:after="0"/>
      </w:pPr>
    </w:p>
    <w:p w14:paraId="1BDC5EE9" w14:textId="1BB37F89" w:rsidR="00B97810" w:rsidRPr="00D40A86" w:rsidRDefault="00B97810" w:rsidP="002F18A6">
      <w:pPr>
        <w:pStyle w:val="Heading2"/>
        <w:keepNext/>
        <w:tabs>
          <w:tab w:val="left" w:pos="1920"/>
        </w:tabs>
        <w:spacing w:before="0" w:after="120" w:line="320" w:lineRule="atLeast"/>
      </w:pPr>
      <w:bookmarkStart w:id="6" w:name="_Toc360732547"/>
      <w:r>
        <w:t xml:space="preserve">Outcome 1: Improved </w:t>
      </w:r>
      <w:r w:rsidR="00271E69">
        <w:t>b</w:t>
      </w:r>
      <w:r>
        <w:t xml:space="preserve">asic </w:t>
      </w:r>
      <w:r w:rsidR="00271E69">
        <w:t>e</w:t>
      </w:r>
      <w:r>
        <w:t>ducation</w:t>
      </w:r>
      <w:bookmarkEnd w:id="6"/>
      <w:r>
        <w:t xml:space="preserve"> </w:t>
      </w:r>
    </w:p>
    <w:p w14:paraId="7031DFEB" w14:textId="23E00220" w:rsidR="00B97810" w:rsidRPr="000D22E5" w:rsidRDefault="00B97810" w:rsidP="00AD7CED">
      <w:pPr>
        <w:pStyle w:val="gray"/>
        <w:spacing w:before="240" w:after="0" w:line="280" w:lineRule="atLeast"/>
        <w:ind w:left="1701" w:right="272" w:hanging="1701"/>
        <w:rPr>
          <w:rFonts w:ascii="Georgia" w:hAnsi="Georgia"/>
          <w:sz w:val="19"/>
          <w:szCs w:val="19"/>
        </w:rPr>
      </w:pPr>
      <w:r w:rsidRPr="000D22E5">
        <w:rPr>
          <w:rFonts w:ascii="Georgia" w:hAnsi="Georgia"/>
          <w:b/>
          <w:sz w:val="19"/>
          <w:szCs w:val="19"/>
        </w:rPr>
        <w:t xml:space="preserve">Commitment: </w:t>
      </w:r>
      <w:r w:rsidR="007A57DF">
        <w:rPr>
          <w:rFonts w:ascii="Georgia" w:hAnsi="Georgia"/>
          <w:b/>
          <w:sz w:val="19"/>
          <w:szCs w:val="19"/>
        </w:rPr>
        <w:tab/>
      </w:r>
      <w:r w:rsidR="00745D89">
        <w:rPr>
          <w:rFonts w:ascii="Georgia" w:hAnsi="Georgia"/>
          <w:sz w:val="19"/>
          <w:szCs w:val="19"/>
        </w:rPr>
        <w:t>S</w:t>
      </w:r>
      <w:r w:rsidR="007A57DF" w:rsidRPr="000D22E5">
        <w:rPr>
          <w:rFonts w:ascii="Georgia" w:hAnsi="Georgia"/>
          <w:sz w:val="19"/>
          <w:szCs w:val="19"/>
        </w:rPr>
        <w:t xml:space="preserve">upport </w:t>
      </w:r>
      <w:r w:rsidRPr="000D22E5">
        <w:rPr>
          <w:rFonts w:ascii="Georgia" w:hAnsi="Georgia"/>
          <w:sz w:val="19"/>
          <w:szCs w:val="19"/>
        </w:rPr>
        <w:t>efforts to achieve improved standards in basic education, in terms of both access and quality (MDG 2)</w:t>
      </w:r>
      <w:r w:rsidR="00745D89">
        <w:rPr>
          <w:rFonts w:ascii="Georgia" w:hAnsi="Georgia"/>
          <w:sz w:val="19"/>
          <w:szCs w:val="19"/>
        </w:rPr>
        <w:t>.</w:t>
      </w:r>
    </w:p>
    <w:p w14:paraId="44681AF4" w14:textId="342803ED" w:rsidR="00B97810" w:rsidRPr="000D22E5" w:rsidRDefault="00B97810" w:rsidP="00AD7CED">
      <w:pPr>
        <w:pStyle w:val="gray"/>
        <w:spacing w:before="240" w:after="0" w:line="280" w:lineRule="atLeast"/>
        <w:ind w:left="1701" w:right="272" w:hanging="1701"/>
        <w:rPr>
          <w:rFonts w:ascii="Georgia" w:hAnsi="Georgia"/>
          <w:sz w:val="19"/>
          <w:szCs w:val="19"/>
        </w:rPr>
      </w:pPr>
      <w:r>
        <w:rPr>
          <w:rFonts w:ascii="Georgia" w:hAnsi="Georgia"/>
          <w:b/>
          <w:sz w:val="19"/>
          <w:szCs w:val="19"/>
        </w:rPr>
        <w:t>Indicators</w:t>
      </w:r>
      <w:r w:rsidRPr="000D22E5">
        <w:rPr>
          <w:rFonts w:ascii="Georgia" w:hAnsi="Georgia"/>
          <w:b/>
          <w:sz w:val="19"/>
          <w:szCs w:val="19"/>
        </w:rPr>
        <w:t>:</w:t>
      </w:r>
      <w:r w:rsidRPr="000D22E5">
        <w:rPr>
          <w:rFonts w:ascii="Georgia" w:hAnsi="Georgia"/>
          <w:b/>
          <w:sz w:val="19"/>
          <w:szCs w:val="19"/>
        </w:rPr>
        <w:tab/>
      </w:r>
      <w:r w:rsidR="00745D89">
        <w:rPr>
          <w:rFonts w:ascii="Georgia" w:hAnsi="Georgia"/>
          <w:sz w:val="19"/>
          <w:szCs w:val="19"/>
        </w:rPr>
        <w:t>I</w:t>
      </w:r>
      <w:r w:rsidR="007A57DF" w:rsidRPr="000D22E5">
        <w:rPr>
          <w:rFonts w:ascii="Georgia" w:hAnsi="Georgia"/>
          <w:sz w:val="19"/>
          <w:szCs w:val="19"/>
        </w:rPr>
        <w:t>mprove</w:t>
      </w:r>
      <w:r w:rsidRPr="000D22E5">
        <w:rPr>
          <w:rFonts w:ascii="Georgia" w:hAnsi="Georgia"/>
          <w:sz w:val="19"/>
          <w:szCs w:val="19"/>
        </w:rPr>
        <w:t xml:space="preserve"> </w:t>
      </w:r>
      <w:r>
        <w:rPr>
          <w:rFonts w:ascii="Georgia" w:hAnsi="Georgia"/>
          <w:sz w:val="19"/>
          <w:szCs w:val="19"/>
        </w:rPr>
        <w:t xml:space="preserve">functional </w:t>
      </w:r>
      <w:r w:rsidRPr="000D22E5">
        <w:rPr>
          <w:rFonts w:ascii="Georgia" w:hAnsi="Georgia"/>
          <w:sz w:val="19"/>
          <w:szCs w:val="19"/>
        </w:rPr>
        <w:t xml:space="preserve">literacy and numeracy of school-age children </w:t>
      </w:r>
      <w:r w:rsidRPr="007A57DF">
        <w:rPr>
          <w:rFonts w:ascii="Georgia" w:hAnsi="Georgia"/>
          <w:sz w:val="19"/>
          <w:szCs w:val="19"/>
        </w:rPr>
        <w:t>(</w:t>
      </w:r>
      <w:r w:rsidR="007A57DF" w:rsidRPr="00AD7CED">
        <w:rPr>
          <w:rFonts w:ascii="Georgia" w:hAnsi="Georgia"/>
          <w:sz w:val="19"/>
          <w:szCs w:val="19"/>
        </w:rPr>
        <w:t xml:space="preserve">partially </w:t>
      </w:r>
      <w:r w:rsidR="00216E1E" w:rsidRPr="00AD7CED">
        <w:rPr>
          <w:rFonts w:ascii="Georgia" w:hAnsi="Georgia"/>
          <w:sz w:val="19"/>
          <w:szCs w:val="19"/>
        </w:rPr>
        <w:t>on</w:t>
      </w:r>
      <w:r w:rsidRPr="00AD7CED">
        <w:rPr>
          <w:rFonts w:ascii="Georgia" w:hAnsi="Georgia"/>
          <w:sz w:val="19"/>
          <w:szCs w:val="19"/>
        </w:rPr>
        <w:t xml:space="preserve"> track)</w:t>
      </w:r>
      <w:r w:rsidR="00745D89">
        <w:rPr>
          <w:rFonts w:ascii="Georgia" w:hAnsi="Georgia"/>
          <w:sz w:val="19"/>
          <w:szCs w:val="19"/>
        </w:rPr>
        <w:t>.</w:t>
      </w:r>
    </w:p>
    <w:p w14:paraId="68DEE1B9" w14:textId="7E2B6520" w:rsidR="00B97810" w:rsidRPr="000D22E5" w:rsidRDefault="00B97810" w:rsidP="00AD7CED">
      <w:pPr>
        <w:pStyle w:val="gray"/>
        <w:spacing w:before="120" w:after="0" w:line="280" w:lineRule="atLeast"/>
        <w:ind w:left="1701" w:right="272"/>
        <w:rPr>
          <w:rFonts w:ascii="Georgia" w:hAnsi="Georgia"/>
          <w:sz w:val="19"/>
          <w:szCs w:val="19"/>
        </w:rPr>
      </w:pPr>
      <w:r w:rsidRPr="000D22E5">
        <w:rPr>
          <w:rFonts w:ascii="Georgia" w:hAnsi="Georgia"/>
          <w:color w:val="auto"/>
          <w:sz w:val="19"/>
          <w:szCs w:val="19"/>
        </w:rPr>
        <w:lastRenderedPageBreak/>
        <w:t>Increase</w:t>
      </w:r>
      <w:r w:rsidRPr="000D22E5">
        <w:rPr>
          <w:rFonts w:ascii="Georgia" w:hAnsi="Georgia"/>
          <w:sz w:val="19"/>
          <w:szCs w:val="19"/>
        </w:rPr>
        <w:t xml:space="preserve"> net enrolment rate for both boys and girls at all levels of the education system </w:t>
      </w:r>
      <w:r w:rsidRPr="007A57DF">
        <w:rPr>
          <w:rFonts w:ascii="Georgia" w:hAnsi="Georgia"/>
          <w:sz w:val="19"/>
          <w:szCs w:val="19"/>
        </w:rPr>
        <w:t>(off track)</w:t>
      </w:r>
      <w:r w:rsidR="00745D89">
        <w:rPr>
          <w:rFonts w:ascii="Georgia" w:hAnsi="Georgia"/>
          <w:sz w:val="19"/>
          <w:szCs w:val="19"/>
        </w:rPr>
        <w:t>.</w:t>
      </w:r>
    </w:p>
    <w:p w14:paraId="4986634D" w14:textId="6F119139" w:rsidR="00B97810" w:rsidRPr="000D22E5" w:rsidRDefault="00E92460" w:rsidP="007A57DF">
      <w:pPr>
        <w:pStyle w:val="gray"/>
        <w:spacing w:before="120" w:after="0" w:line="280" w:lineRule="atLeast"/>
        <w:ind w:left="1701" w:right="272"/>
        <w:rPr>
          <w:rFonts w:ascii="Georgia" w:hAnsi="Georgia"/>
          <w:sz w:val="19"/>
          <w:szCs w:val="19"/>
        </w:rPr>
      </w:pPr>
      <w:r>
        <w:rPr>
          <w:rFonts w:ascii="Georgia" w:hAnsi="Georgia"/>
          <w:sz w:val="19"/>
          <w:szCs w:val="19"/>
        </w:rPr>
        <w:t>Verify</w:t>
      </w:r>
      <w:r w:rsidR="0006649B">
        <w:rPr>
          <w:rFonts w:ascii="Georgia" w:hAnsi="Georgia"/>
          <w:sz w:val="19"/>
          <w:szCs w:val="19"/>
        </w:rPr>
        <w:t xml:space="preserve"> </w:t>
      </w:r>
      <w:r w:rsidR="00B97810" w:rsidRPr="000D22E5">
        <w:rPr>
          <w:rFonts w:ascii="Georgia" w:hAnsi="Georgia"/>
          <w:sz w:val="19"/>
          <w:szCs w:val="19"/>
        </w:rPr>
        <w:t xml:space="preserve">and </w:t>
      </w:r>
      <w:r w:rsidR="0006649B" w:rsidRPr="000D22E5">
        <w:rPr>
          <w:rFonts w:ascii="Georgia" w:hAnsi="Georgia"/>
          <w:sz w:val="19"/>
          <w:szCs w:val="19"/>
        </w:rPr>
        <w:t>analys</w:t>
      </w:r>
      <w:r w:rsidR="0006649B">
        <w:rPr>
          <w:rFonts w:ascii="Georgia" w:hAnsi="Georgia"/>
          <w:sz w:val="19"/>
          <w:szCs w:val="19"/>
        </w:rPr>
        <w:t>e</w:t>
      </w:r>
      <w:r w:rsidR="0006649B" w:rsidRPr="000D22E5">
        <w:rPr>
          <w:rFonts w:ascii="Georgia" w:hAnsi="Georgia"/>
          <w:sz w:val="19"/>
          <w:szCs w:val="19"/>
        </w:rPr>
        <w:t xml:space="preserve"> </w:t>
      </w:r>
      <w:r w:rsidR="00B97810" w:rsidRPr="000D22E5">
        <w:rPr>
          <w:rFonts w:ascii="Georgia" w:hAnsi="Georgia"/>
          <w:sz w:val="19"/>
          <w:szCs w:val="19"/>
        </w:rPr>
        <w:t xml:space="preserve">Kiribati </w:t>
      </w:r>
      <w:r w:rsidR="007A57DF">
        <w:rPr>
          <w:rFonts w:ascii="Georgia" w:hAnsi="Georgia"/>
          <w:sz w:val="19"/>
          <w:szCs w:val="19"/>
        </w:rPr>
        <w:t>e</w:t>
      </w:r>
      <w:r w:rsidR="007A57DF" w:rsidRPr="000D22E5">
        <w:rPr>
          <w:rFonts w:ascii="Georgia" w:hAnsi="Georgia"/>
          <w:sz w:val="19"/>
          <w:szCs w:val="19"/>
        </w:rPr>
        <w:t xml:space="preserve">ducation </w:t>
      </w:r>
      <w:r w:rsidR="007A57DF">
        <w:rPr>
          <w:rFonts w:ascii="Georgia" w:hAnsi="Georgia"/>
          <w:sz w:val="19"/>
          <w:szCs w:val="19"/>
        </w:rPr>
        <w:t>m</w:t>
      </w:r>
      <w:r w:rsidR="007A57DF" w:rsidRPr="000D22E5">
        <w:rPr>
          <w:rFonts w:ascii="Georgia" w:hAnsi="Georgia"/>
          <w:sz w:val="19"/>
          <w:szCs w:val="19"/>
        </w:rPr>
        <w:t xml:space="preserve">anagement </w:t>
      </w:r>
      <w:r w:rsidR="007A57DF">
        <w:rPr>
          <w:rFonts w:ascii="Georgia" w:hAnsi="Georgia"/>
          <w:sz w:val="19"/>
          <w:szCs w:val="19"/>
        </w:rPr>
        <w:t>i</w:t>
      </w:r>
      <w:r w:rsidR="007A57DF" w:rsidRPr="000D22E5">
        <w:rPr>
          <w:rFonts w:ascii="Georgia" w:hAnsi="Georgia"/>
          <w:sz w:val="19"/>
          <w:szCs w:val="19"/>
        </w:rPr>
        <w:t xml:space="preserve">nformation </w:t>
      </w:r>
      <w:r w:rsidR="007A57DF">
        <w:rPr>
          <w:rFonts w:ascii="Georgia" w:hAnsi="Georgia"/>
          <w:sz w:val="19"/>
          <w:szCs w:val="19"/>
        </w:rPr>
        <w:t>s</w:t>
      </w:r>
      <w:r w:rsidR="007A57DF" w:rsidRPr="000D22E5">
        <w:rPr>
          <w:rFonts w:ascii="Georgia" w:hAnsi="Georgia"/>
          <w:sz w:val="19"/>
          <w:szCs w:val="19"/>
        </w:rPr>
        <w:t xml:space="preserve">ystem </w:t>
      </w:r>
      <w:r w:rsidR="00B97810" w:rsidRPr="000D22E5">
        <w:rPr>
          <w:rFonts w:ascii="Georgia" w:hAnsi="Georgia"/>
          <w:sz w:val="19"/>
          <w:szCs w:val="19"/>
        </w:rPr>
        <w:t xml:space="preserve">data, reported annually to key stakeholders </w:t>
      </w:r>
      <w:r w:rsidR="00B97810" w:rsidRPr="007A57DF">
        <w:rPr>
          <w:rFonts w:ascii="Georgia" w:hAnsi="Georgia"/>
          <w:sz w:val="19"/>
          <w:szCs w:val="19"/>
        </w:rPr>
        <w:t>(on track)</w:t>
      </w:r>
      <w:r w:rsidR="00745D89">
        <w:rPr>
          <w:rFonts w:ascii="Georgia" w:hAnsi="Georgia"/>
          <w:sz w:val="19"/>
          <w:szCs w:val="19"/>
        </w:rPr>
        <w:t>.</w:t>
      </w:r>
    </w:p>
    <w:p w14:paraId="439C6CCB" w14:textId="079CFB1B" w:rsidR="00B97810" w:rsidRDefault="00B97810" w:rsidP="007A57DF">
      <w:pPr>
        <w:pStyle w:val="gray"/>
        <w:tabs>
          <w:tab w:val="left" w:pos="5448"/>
          <w:tab w:val="left" w:pos="7526"/>
        </w:tabs>
        <w:spacing w:before="240" w:after="120" w:line="280" w:lineRule="atLeast"/>
        <w:ind w:left="1701" w:right="272" w:hanging="1701"/>
        <w:rPr>
          <w:rFonts w:ascii="Georgia" w:hAnsi="Georgia"/>
          <w:sz w:val="19"/>
          <w:szCs w:val="19"/>
        </w:rPr>
      </w:pPr>
      <w:r w:rsidRPr="00F32A29">
        <w:rPr>
          <w:rFonts w:ascii="Georgia" w:hAnsi="Georgia"/>
          <w:b/>
          <w:sz w:val="19"/>
          <w:szCs w:val="19"/>
        </w:rPr>
        <w:t>Rating:</w:t>
      </w:r>
      <w:r w:rsidR="007A57DF">
        <w:rPr>
          <w:rFonts w:ascii="Georgia" w:hAnsi="Georgia"/>
          <w:b/>
          <w:sz w:val="19"/>
          <w:szCs w:val="19"/>
        </w:rPr>
        <w:tab/>
      </w:r>
      <w:r w:rsidR="00745D89">
        <w:rPr>
          <w:rFonts w:ascii="Georgia" w:hAnsi="Georgia"/>
          <w:sz w:val="19"/>
          <w:szCs w:val="19"/>
        </w:rPr>
        <w:t>T</w:t>
      </w:r>
      <w:r w:rsidRPr="00F32A29">
        <w:rPr>
          <w:rFonts w:ascii="Georgia" w:hAnsi="Georgia"/>
          <w:sz w:val="19"/>
          <w:szCs w:val="19"/>
        </w:rPr>
        <w:t xml:space="preserve">argets will be achieved by the 2020 timeframe of the </w:t>
      </w:r>
      <w:r w:rsidRPr="00F32A29">
        <w:rPr>
          <w:rFonts w:ascii="Georgia" w:hAnsi="Georgia"/>
          <w:sz w:val="19"/>
          <w:szCs w:val="19"/>
          <w:lang w:val="en-US"/>
        </w:rPr>
        <w:t xml:space="preserve">Kiribati </w:t>
      </w:r>
      <w:r w:rsidR="00D95BBC">
        <w:rPr>
          <w:rFonts w:ascii="Georgia" w:hAnsi="Georgia"/>
          <w:sz w:val="19"/>
          <w:szCs w:val="19"/>
          <w:lang w:val="en-US"/>
        </w:rPr>
        <w:t>e</w:t>
      </w:r>
      <w:r w:rsidR="00D95BBC" w:rsidRPr="00F32A29">
        <w:rPr>
          <w:rFonts w:ascii="Georgia" w:hAnsi="Georgia"/>
          <w:sz w:val="19"/>
          <w:szCs w:val="19"/>
          <w:lang w:val="en-US"/>
        </w:rPr>
        <w:t xml:space="preserve">ducation </w:t>
      </w:r>
      <w:r w:rsidR="00D95BBC">
        <w:rPr>
          <w:rFonts w:ascii="Georgia" w:hAnsi="Georgia"/>
          <w:sz w:val="19"/>
          <w:szCs w:val="19"/>
          <w:lang w:val="en-US"/>
        </w:rPr>
        <w:t>i</w:t>
      </w:r>
      <w:r w:rsidR="00D95BBC" w:rsidRPr="00F32A29">
        <w:rPr>
          <w:rFonts w:ascii="Georgia" w:hAnsi="Georgia"/>
          <w:sz w:val="19"/>
          <w:szCs w:val="19"/>
          <w:lang w:val="en-US"/>
        </w:rPr>
        <w:t xml:space="preserve">mprovement </w:t>
      </w:r>
      <w:r w:rsidR="00D95BBC">
        <w:rPr>
          <w:rFonts w:ascii="Georgia" w:hAnsi="Georgia"/>
          <w:sz w:val="19"/>
          <w:szCs w:val="19"/>
          <w:lang w:val="en-US"/>
        </w:rPr>
        <w:t>p</w:t>
      </w:r>
      <w:r w:rsidR="00D95BBC" w:rsidRPr="00F32A29">
        <w:rPr>
          <w:rFonts w:ascii="Georgia" w:hAnsi="Georgia"/>
          <w:sz w:val="19"/>
          <w:szCs w:val="19"/>
          <w:lang w:val="en-US"/>
        </w:rPr>
        <w:t>rogram</w:t>
      </w:r>
      <w:r w:rsidRPr="00F32A29">
        <w:rPr>
          <w:rFonts w:ascii="Georgia" w:hAnsi="Georgia"/>
          <w:sz w:val="19"/>
          <w:szCs w:val="19"/>
          <w:lang w:val="en-US"/>
        </w:rPr>
        <w:t>.</w:t>
      </w:r>
      <w:r w:rsidR="00E92460">
        <w:rPr>
          <w:rFonts w:ascii="Georgia" w:hAnsi="Georgia"/>
          <w:sz w:val="19"/>
          <w:szCs w:val="19"/>
          <w:lang w:val="en-US"/>
        </w:rPr>
        <w:t xml:space="preserve"> </w:t>
      </w:r>
      <w:r w:rsidRPr="00F32A29">
        <w:rPr>
          <w:rFonts w:ascii="Georgia" w:hAnsi="Georgia"/>
          <w:sz w:val="19"/>
          <w:szCs w:val="19"/>
          <w:lang w:val="en-US"/>
        </w:rPr>
        <w:t>Kiribati is not expected to meet the education MDG</w:t>
      </w:r>
      <w:r>
        <w:rPr>
          <w:rFonts w:ascii="Georgia" w:hAnsi="Georgia"/>
          <w:sz w:val="19"/>
          <w:szCs w:val="19"/>
          <w:lang w:val="en-US"/>
        </w:rPr>
        <w:t>s</w:t>
      </w:r>
      <w:r w:rsidRPr="00F32A29">
        <w:rPr>
          <w:rFonts w:ascii="Georgia" w:hAnsi="Georgia"/>
          <w:sz w:val="19"/>
          <w:szCs w:val="19"/>
        </w:rPr>
        <w:t xml:space="preserve"> by 2015</w:t>
      </w:r>
      <w:r>
        <w:rPr>
          <w:rFonts w:ascii="Georgia" w:hAnsi="Georgia"/>
          <w:sz w:val="19"/>
          <w:szCs w:val="19"/>
        </w:rPr>
        <w:t xml:space="preserve"> and </w:t>
      </w:r>
      <w:r w:rsidR="00D95BBC">
        <w:rPr>
          <w:rFonts w:ascii="Georgia" w:hAnsi="Georgia"/>
          <w:sz w:val="19"/>
          <w:szCs w:val="19"/>
        </w:rPr>
        <w:t xml:space="preserve">so </w:t>
      </w:r>
      <w:r>
        <w:rPr>
          <w:rFonts w:ascii="Georgia" w:hAnsi="Georgia"/>
          <w:sz w:val="19"/>
          <w:szCs w:val="19"/>
        </w:rPr>
        <w:t>this target is considered partially on track</w:t>
      </w:r>
      <w:r w:rsidRPr="00F32A29">
        <w:rPr>
          <w:rFonts w:ascii="Georgia" w:hAnsi="Georgia"/>
          <w:sz w:val="19"/>
          <w:szCs w:val="19"/>
        </w:rPr>
        <w:t>.</w:t>
      </w:r>
    </w:p>
    <w:p w14:paraId="63069032" w14:textId="3D107349" w:rsidR="004A213C" w:rsidRPr="004A213C" w:rsidRDefault="00D95BBC" w:rsidP="004A213C">
      <w:pPr>
        <w:pStyle w:val="gray"/>
        <w:tabs>
          <w:tab w:val="left" w:pos="5448"/>
          <w:tab w:val="left" w:pos="7526"/>
        </w:tabs>
        <w:spacing w:before="240" w:after="120" w:line="280" w:lineRule="atLeast"/>
        <w:ind w:left="0" w:right="272"/>
        <w:rPr>
          <w:rFonts w:ascii="Georgia" w:hAnsi="Georgia"/>
          <w:sz w:val="19"/>
          <w:szCs w:val="19"/>
        </w:rPr>
      </w:pPr>
      <w:r>
        <w:rPr>
          <w:rFonts w:ascii="Georgia" w:hAnsi="Georgia"/>
          <w:sz w:val="19"/>
          <w:szCs w:val="19"/>
        </w:rPr>
        <w:t>Q</w:t>
      </w:r>
      <w:r w:rsidRPr="004A213C">
        <w:rPr>
          <w:rFonts w:ascii="Georgia" w:hAnsi="Georgia"/>
          <w:sz w:val="19"/>
          <w:szCs w:val="19"/>
        </w:rPr>
        <w:t xml:space="preserve">uality </w:t>
      </w:r>
      <w:r>
        <w:rPr>
          <w:rFonts w:ascii="Georgia" w:hAnsi="Georgia"/>
          <w:sz w:val="19"/>
          <w:szCs w:val="19"/>
        </w:rPr>
        <w:t>of</w:t>
      </w:r>
      <w:r w:rsidR="00745D89">
        <w:rPr>
          <w:rFonts w:ascii="Georgia" w:hAnsi="Georgia"/>
          <w:sz w:val="19"/>
          <w:szCs w:val="19"/>
        </w:rPr>
        <w:t>,</w:t>
      </w:r>
      <w:r>
        <w:rPr>
          <w:rFonts w:ascii="Georgia" w:hAnsi="Georgia"/>
          <w:sz w:val="19"/>
          <w:szCs w:val="19"/>
        </w:rPr>
        <w:t xml:space="preserve"> </w:t>
      </w:r>
      <w:r w:rsidR="004A213C" w:rsidRPr="004A213C">
        <w:rPr>
          <w:rFonts w:ascii="Georgia" w:hAnsi="Georgia"/>
          <w:sz w:val="19"/>
          <w:szCs w:val="19"/>
        </w:rPr>
        <w:t xml:space="preserve">and access </w:t>
      </w:r>
      <w:r>
        <w:rPr>
          <w:rFonts w:ascii="Georgia" w:hAnsi="Georgia"/>
          <w:sz w:val="19"/>
          <w:szCs w:val="19"/>
        </w:rPr>
        <w:t>to</w:t>
      </w:r>
      <w:r w:rsidR="00745D89">
        <w:rPr>
          <w:rFonts w:ascii="Georgia" w:hAnsi="Georgia"/>
          <w:sz w:val="19"/>
          <w:szCs w:val="19"/>
        </w:rPr>
        <w:t>,</w:t>
      </w:r>
      <w:r>
        <w:rPr>
          <w:rFonts w:ascii="Georgia" w:hAnsi="Georgia"/>
          <w:sz w:val="19"/>
          <w:szCs w:val="19"/>
        </w:rPr>
        <w:t xml:space="preserve"> basic education needs to be tackled </w:t>
      </w:r>
      <w:r w:rsidR="004A213C" w:rsidRPr="004A213C">
        <w:rPr>
          <w:rFonts w:ascii="Georgia" w:hAnsi="Georgia"/>
          <w:sz w:val="19"/>
          <w:szCs w:val="19"/>
        </w:rPr>
        <w:t xml:space="preserve">in a much more concerted and targeted </w:t>
      </w:r>
      <w:r>
        <w:rPr>
          <w:rFonts w:ascii="Georgia" w:hAnsi="Georgia"/>
          <w:sz w:val="19"/>
          <w:szCs w:val="19"/>
        </w:rPr>
        <w:t>way</w:t>
      </w:r>
      <w:r w:rsidR="004A213C" w:rsidRPr="004A213C">
        <w:rPr>
          <w:rFonts w:ascii="Georgia" w:hAnsi="Georgia"/>
          <w:sz w:val="19"/>
          <w:szCs w:val="19"/>
        </w:rPr>
        <w:t xml:space="preserve"> to make progress towards MDG2 and </w:t>
      </w:r>
      <w:r>
        <w:rPr>
          <w:rFonts w:ascii="Georgia" w:hAnsi="Georgia"/>
          <w:sz w:val="19"/>
          <w:szCs w:val="19"/>
        </w:rPr>
        <w:t xml:space="preserve">the </w:t>
      </w:r>
      <w:r w:rsidR="004A213C" w:rsidRPr="004A213C">
        <w:rPr>
          <w:rFonts w:ascii="Georgia" w:hAnsi="Georgia"/>
          <w:sz w:val="19"/>
          <w:szCs w:val="19"/>
        </w:rPr>
        <w:t xml:space="preserve">goals </w:t>
      </w:r>
      <w:r>
        <w:rPr>
          <w:rFonts w:ascii="Georgia" w:hAnsi="Georgia"/>
          <w:sz w:val="19"/>
          <w:szCs w:val="19"/>
        </w:rPr>
        <w:t xml:space="preserve">in </w:t>
      </w:r>
      <w:r w:rsidRPr="004A213C">
        <w:rPr>
          <w:rFonts w:ascii="Georgia" w:hAnsi="Georgia"/>
          <w:sz w:val="19"/>
          <w:szCs w:val="19"/>
        </w:rPr>
        <w:t>Kiribati</w:t>
      </w:r>
      <w:r>
        <w:rPr>
          <w:rFonts w:ascii="Georgia" w:hAnsi="Georgia"/>
          <w:sz w:val="19"/>
          <w:szCs w:val="19"/>
        </w:rPr>
        <w:t>’s</w:t>
      </w:r>
      <w:r w:rsidRPr="004A213C">
        <w:rPr>
          <w:rFonts w:ascii="Georgia" w:hAnsi="Georgia"/>
          <w:sz w:val="19"/>
          <w:szCs w:val="19"/>
        </w:rPr>
        <w:t xml:space="preserve"> </w:t>
      </w:r>
      <w:r w:rsidR="004A213C" w:rsidRPr="004A213C">
        <w:rPr>
          <w:rFonts w:ascii="Georgia" w:hAnsi="Georgia"/>
          <w:sz w:val="19"/>
          <w:szCs w:val="19"/>
        </w:rPr>
        <w:t>Education Sector Strategic Plan 2012</w:t>
      </w:r>
      <w:r>
        <w:rPr>
          <w:rFonts w:ascii="Georgia" w:hAnsi="Georgia"/>
          <w:sz w:val="19"/>
          <w:szCs w:val="19"/>
        </w:rPr>
        <w:t>–</w:t>
      </w:r>
      <w:r w:rsidR="004A213C" w:rsidRPr="004A213C">
        <w:rPr>
          <w:rFonts w:ascii="Georgia" w:hAnsi="Georgia"/>
          <w:sz w:val="19"/>
          <w:szCs w:val="19"/>
        </w:rPr>
        <w:t>2015. The results from the 2011 Standard Tests of Achievement for Kiribati (</w:t>
      </w:r>
      <w:r>
        <w:rPr>
          <w:rFonts w:ascii="Georgia" w:hAnsi="Georgia"/>
          <w:sz w:val="19"/>
          <w:szCs w:val="19"/>
        </w:rPr>
        <w:t>t</w:t>
      </w:r>
      <w:r w:rsidRPr="004A213C">
        <w:rPr>
          <w:rFonts w:ascii="Georgia" w:hAnsi="Georgia"/>
          <w:sz w:val="19"/>
          <w:szCs w:val="19"/>
        </w:rPr>
        <w:t xml:space="preserve">able </w:t>
      </w:r>
      <w:r w:rsidR="004A213C" w:rsidRPr="004A213C">
        <w:rPr>
          <w:rFonts w:ascii="Georgia" w:hAnsi="Georgia"/>
          <w:sz w:val="19"/>
          <w:szCs w:val="19"/>
        </w:rPr>
        <w:t xml:space="preserve">3) are still low despite some improvements. </w:t>
      </w:r>
    </w:p>
    <w:tbl>
      <w:tblPr>
        <w:tblpPr w:leftFromText="180" w:rightFromText="180" w:vertAnchor="text" w:horzAnchor="page" w:tblpX="1563" w:tblpY="179"/>
        <w:tblW w:w="9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3"/>
        <w:gridCol w:w="1370"/>
        <w:gridCol w:w="1760"/>
        <w:gridCol w:w="1896"/>
        <w:gridCol w:w="1634"/>
      </w:tblGrid>
      <w:tr w:rsidR="00271E69" w:rsidRPr="004F58D0" w14:paraId="6299B2D9" w14:textId="77777777" w:rsidTr="00271E69">
        <w:trPr>
          <w:trHeight w:val="533"/>
        </w:trPr>
        <w:tc>
          <w:tcPr>
            <w:tcW w:w="9043" w:type="dxa"/>
            <w:gridSpan w:val="5"/>
            <w:tcBorders>
              <w:top w:val="nil"/>
              <w:left w:val="nil"/>
              <w:right w:val="nil"/>
            </w:tcBorders>
          </w:tcPr>
          <w:p w14:paraId="584ED04B" w14:textId="77777777" w:rsidR="00271E69" w:rsidRPr="004F58D0" w:rsidRDefault="00271E69" w:rsidP="00271E69">
            <w:pPr>
              <w:pStyle w:val="Caption"/>
              <w:rPr>
                <w:b/>
                <w:sz w:val="20"/>
                <w:szCs w:val="20"/>
              </w:rPr>
            </w:pPr>
            <w:r w:rsidRPr="00750CFB">
              <w:t xml:space="preserve">Table </w:t>
            </w:r>
            <w:r>
              <w:t>4</w:t>
            </w:r>
            <w:r w:rsidRPr="00750CFB">
              <w:t>.</w:t>
            </w:r>
            <w:r>
              <w:t xml:space="preserve"> </w:t>
            </w:r>
            <w:r w:rsidRPr="00750CFB">
              <w:t xml:space="preserve">Progress towards </w:t>
            </w:r>
            <w:r w:rsidRPr="00D95BBC">
              <w:t>Education Sector Strategic Plan</w:t>
            </w:r>
            <w:r w:rsidRPr="00D95BBC" w:rsidDel="00D95BBC">
              <w:t xml:space="preserve"> </w:t>
            </w:r>
            <w:r w:rsidRPr="00750CFB">
              <w:t>goals of increased enrolment and literacy and numeracy</w:t>
            </w:r>
            <w:r>
              <w:rPr>
                <w:rStyle w:val="FootnoteReference"/>
              </w:rPr>
              <w:footnoteReference w:id="2"/>
            </w:r>
          </w:p>
        </w:tc>
      </w:tr>
      <w:tr w:rsidR="00271E69" w:rsidRPr="004F58D0" w14:paraId="696CEBFB" w14:textId="77777777" w:rsidTr="00271E69">
        <w:tc>
          <w:tcPr>
            <w:tcW w:w="9043" w:type="dxa"/>
            <w:gridSpan w:val="5"/>
            <w:shd w:val="clear" w:color="auto" w:fill="D9D9D9"/>
          </w:tcPr>
          <w:p w14:paraId="3D6F145C" w14:textId="77777777" w:rsidR="00271E69" w:rsidRPr="004F58D0" w:rsidRDefault="00271E69" w:rsidP="00271E69">
            <w:pPr>
              <w:spacing w:before="40" w:after="40"/>
              <w:jc w:val="both"/>
              <w:rPr>
                <w:b/>
                <w:szCs w:val="20"/>
              </w:rPr>
            </w:pPr>
            <w:r w:rsidRPr="004F58D0">
              <w:rPr>
                <w:b/>
                <w:szCs w:val="20"/>
              </w:rPr>
              <w:t xml:space="preserve">Partnership </w:t>
            </w:r>
            <w:r>
              <w:rPr>
                <w:b/>
                <w:szCs w:val="20"/>
              </w:rPr>
              <w:t>p</w:t>
            </w:r>
            <w:r w:rsidRPr="004F58D0">
              <w:rPr>
                <w:b/>
                <w:szCs w:val="20"/>
              </w:rPr>
              <w:t xml:space="preserve">erformance </w:t>
            </w:r>
            <w:r>
              <w:rPr>
                <w:b/>
                <w:szCs w:val="20"/>
              </w:rPr>
              <w:t>i</w:t>
            </w:r>
            <w:r w:rsidRPr="004F58D0">
              <w:rPr>
                <w:b/>
                <w:szCs w:val="20"/>
              </w:rPr>
              <w:t>ndicators</w:t>
            </w:r>
          </w:p>
        </w:tc>
      </w:tr>
      <w:tr w:rsidR="00271E69" w:rsidRPr="004F58D0" w14:paraId="0E91C9C9" w14:textId="77777777" w:rsidTr="00271E69">
        <w:tc>
          <w:tcPr>
            <w:tcW w:w="2383" w:type="dxa"/>
            <w:tcBorders>
              <w:bottom w:val="single" w:sz="4" w:space="0" w:color="auto"/>
            </w:tcBorders>
            <w:shd w:val="clear" w:color="auto" w:fill="D9D9D9"/>
          </w:tcPr>
          <w:p w14:paraId="12A5DEDE" w14:textId="77777777" w:rsidR="00271E69" w:rsidRPr="004F58D0" w:rsidRDefault="00271E69" w:rsidP="00271E69">
            <w:pPr>
              <w:spacing w:before="40" w:after="40"/>
              <w:jc w:val="both"/>
              <w:rPr>
                <w:b/>
                <w:szCs w:val="20"/>
              </w:rPr>
            </w:pPr>
            <w:r w:rsidRPr="004F58D0">
              <w:rPr>
                <w:b/>
                <w:szCs w:val="20"/>
              </w:rPr>
              <w:t>Indicator</w:t>
            </w:r>
          </w:p>
        </w:tc>
        <w:tc>
          <w:tcPr>
            <w:tcW w:w="1370" w:type="dxa"/>
            <w:tcBorders>
              <w:bottom w:val="single" w:sz="4" w:space="0" w:color="auto"/>
            </w:tcBorders>
            <w:shd w:val="clear" w:color="auto" w:fill="D9D9D9"/>
          </w:tcPr>
          <w:p w14:paraId="0063A698" w14:textId="77777777" w:rsidR="00271E69" w:rsidRPr="004F58D0" w:rsidRDefault="00271E69" w:rsidP="00271E69">
            <w:pPr>
              <w:spacing w:before="40" w:after="40"/>
              <w:jc w:val="both"/>
              <w:rPr>
                <w:b/>
                <w:szCs w:val="20"/>
              </w:rPr>
            </w:pPr>
            <w:r w:rsidRPr="004F58D0">
              <w:rPr>
                <w:b/>
                <w:szCs w:val="20"/>
              </w:rPr>
              <w:t>Baseline</w:t>
            </w:r>
            <w:r>
              <w:rPr>
                <w:b/>
                <w:szCs w:val="20"/>
              </w:rPr>
              <w:t xml:space="preserve"> 2009</w:t>
            </w:r>
          </w:p>
        </w:tc>
        <w:tc>
          <w:tcPr>
            <w:tcW w:w="1760" w:type="dxa"/>
            <w:tcBorders>
              <w:bottom w:val="single" w:sz="4" w:space="0" w:color="auto"/>
            </w:tcBorders>
            <w:shd w:val="clear" w:color="auto" w:fill="D9D9D9"/>
          </w:tcPr>
          <w:p w14:paraId="09FAD4B0" w14:textId="77777777" w:rsidR="00271E69" w:rsidRDefault="00271E69" w:rsidP="00271E69">
            <w:pPr>
              <w:spacing w:before="40" w:after="40"/>
              <w:rPr>
                <w:b/>
                <w:szCs w:val="20"/>
              </w:rPr>
            </w:pPr>
            <w:r>
              <w:rPr>
                <w:b/>
                <w:szCs w:val="20"/>
              </w:rPr>
              <w:t>Phase 1 target</w:t>
            </w:r>
          </w:p>
          <w:p w14:paraId="76BE11A4" w14:textId="77777777" w:rsidR="00271E69" w:rsidRDefault="00271E69" w:rsidP="00271E69">
            <w:pPr>
              <w:spacing w:before="40" w:after="40"/>
              <w:rPr>
                <w:b/>
                <w:szCs w:val="20"/>
              </w:rPr>
            </w:pPr>
            <w:r>
              <w:rPr>
                <w:b/>
                <w:szCs w:val="20"/>
              </w:rPr>
              <w:t>(2011)</w:t>
            </w:r>
          </w:p>
        </w:tc>
        <w:tc>
          <w:tcPr>
            <w:tcW w:w="1896" w:type="dxa"/>
            <w:tcBorders>
              <w:bottom w:val="single" w:sz="4" w:space="0" w:color="auto"/>
            </w:tcBorders>
            <w:shd w:val="clear" w:color="auto" w:fill="D9D9D9"/>
          </w:tcPr>
          <w:p w14:paraId="74B7C783" w14:textId="77777777" w:rsidR="00271E69" w:rsidRDefault="00271E69" w:rsidP="00271E69">
            <w:pPr>
              <w:spacing w:before="40" w:after="40"/>
              <w:rPr>
                <w:b/>
                <w:szCs w:val="20"/>
              </w:rPr>
            </w:pPr>
            <w:r>
              <w:rPr>
                <w:b/>
                <w:szCs w:val="20"/>
              </w:rPr>
              <w:t>Phase 1 result (2011)</w:t>
            </w:r>
          </w:p>
        </w:tc>
        <w:tc>
          <w:tcPr>
            <w:tcW w:w="1634" w:type="dxa"/>
            <w:tcBorders>
              <w:bottom w:val="single" w:sz="4" w:space="0" w:color="auto"/>
            </w:tcBorders>
            <w:shd w:val="clear" w:color="auto" w:fill="D9D9D9"/>
          </w:tcPr>
          <w:p w14:paraId="496DE2C0" w14:textId="77777777" w:rsidR="00271E69" w:rsidRDefault="00271E69" w:rsidP="00271E69">
            <w:pPr>
              <w:spacing w:before="40" w:after="40"/>
              <w:jc w:val="both"/>
              <w:rPr>
                <w:b/>
                <w:szCs w:val="20"/>
              </w:rPr>
            </w:pPr>
            <w:r>
              <w:rPr>
                <w:b/>
                <w:szCs w:val="20"/>
              </w:rPr>
              <w:t>Interim milestone</w:t>
            </w:r>
          </w:p>
          <w:p w14:paraId="17A0CAD3" w14:textId="77777777" w:rsidR="00271E69" w:rsidRPr="004F58D0" w:rsidRDefault="00271E69" w:rsidP="00271E69">
            <w:pPr>
              <w:spacing w:before="40" w:after="40"/>
              <w:jc w:val="both"/>
              <w:rPr>
                <w:b/>
                <w:szCs w:val="20"/>
              </w:rPr>
            </w:pPr>
            <w:r>
              <w:rPr>
                <w:b/>
                <w:szCs w:val="20"/>
              </w:rPr>
              <w:t>(2013)</w:t>
            </w:r>
          </w:p>
        </w:tc>
      </w:tr>
      <w:tr w:rsidR="00271E69" w:rsidRPr="004F58D0" w14:paraId="4DFA5C1B" w14:textId="77777777" w:rsidTr="00271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83" w:type="dxa"/>
            <w:tcBorders>
              <w:top w:val="single" w:sz="4" w:space="0" w:color="auto"/>
              <w:left w:val="single" w:sz="4" w:space="0" w:color="auto"/>
              <w:bottom w:val="single" w:sz="4" w:space="0" w:color="auto"/>
              <w:right w:val="single" w:sz="4" w:space="0" w:color="auto"/>
            </w:tcBorders>
            <w:shd w:val="clear" w:color="auto" w:fill="D6E3BC"/>
          </w:tcPr>
          <w:p w14:paraId="09F6E24A" w14:textId="77777777" w:rsidR="00271E69" w:rsidRPr="004F58D0" w:rsidRDefault="00271E69" w:rsidP="00271E69">
            <w:pPr>
              <w:spacing w:before="40" w:after="40"/>
              <w:rPr>
                <w:szCs w:val="20"/>
              </w:rPr>
            </w:pPr>
            <w:r w:rsidRPr="004F58D0">
              <w:rPr>
                <w:szCs w:val="20"/>
              </w:rPr>
              <w:t xml:space="preserve">Net </w:t>
            </w:r>
            <w:r>
              <w:rPr>
                <w:szCs w:val="20"/>
              </w:rPr>
              <w:t>e</w:t>
            </w:r>
            <w:r w:rsidRPr="004F58D0">
              <w:rPr>
                <w:szCs w:val="20"/>
              </w:rPr>
              <w:t xml:space="preserve">nrolment </w:t>
            </w:r>
            <w:r>
              <w:rPr>
                <w:szCs w:val="20"/>
              </w:rPr>
              <w:t>r</w:t>
            </w:r>
            <w:r w:rsidRPr="004F58D0">
              <w:rPr>
                <w:szCs w:val="20"/>
              </w:rPr>
              <w:t>ate</w:t>
            </w:r>
            <w:r>
              <w:rPr>
                <w:szCs w:val="20"/>
              </w:rPr>
              <w:t xml:space="preserve"> (primary school) (2008)</w:t>
            </w:r>
          </w:p>
        </w:tc>
        <w:tc>
          <w:tcPr>
            <w:tcW w:w="1370" w:type="dxa"/>
            <w:tcBorders>
              <w:top w:val="single" w:sz="4" w:space="0" w:color="auto"/>
              <w:left w:val="single" w:sz="4" w:space="0" w:color="auto"/>
              <w:bottom w:val="single" w:sz="4" w:space="0" w:color="auto"/>
              <w:right w:val="single" w:sz="4" w:space="0" w:color="auto"/>
            </w:tcBorders>
            <w:shd w:val="clear" w:color="auto" w:fill="D6E3BC"/>
          </w:tcPr>
          <w:p w14:paraId="5F53E22F" w14:textId="77777777" w:rsidR="00271E69" w:rsidRPr="00DA5BB4" w:rsidRDefault="00271E69" w:rsidP="00271E69">
            <w:pPr>
              <w:spacing w:before="40" w:after="40"/>
              <w:rPr>
                <w:szCs w:val="20"/>
              </w:rPr>
            </w:pPr>
            <w:r>
              <w:rPr>
                <w:szCs w:val="20"/>
              </w:rPr>
              <w:t>93%</w:t>
            </w:r>
          </w:p>
        </w:tc>
        <w:tc>
          <w:tcPr>
            <w:tcW w:w="1760" w:type="dxa"/>
            <w:tcBorders>
              <w:top w:val="single" w:sz="4" w:space="0" w:color="auto"/>
              <w:left w:val="single" w:sz="4" w:space="0" w:color="auto"/>
              <w:bottom w:val="single" w:sz="4" w:space="0" w:color="auto"/>
              <w:right w:val="single" w:sz="4" w:space="0" w:color="auto"/>
            </w:tcBorders>
            <w:shd w:val="clear" w:color="auto" w:fill="D6E3BC"/>
          </w:tcPr>
          <w:p w14:paraId="301912D8" w14:textId="77777777" w:rsidR="00271E69" w:rsidRPr="00750CFB" w:rsidRDefault="00271E69" w:rsidP="00271E69">
            <w:pPr>
              <w:rPr>
                <w:szCs w:val="20"/>
              </w:rPr>
            </w:pPr>
            <w:r w:rsidRPr="00DA5BB4">
              <w:rPr>
                <w:szCs w:val="20"/>
              </w:rPr>
              <w:t>91.3%</w:t>
            </w:r>
            <w:r w:rsidRPr="000B6093">
              <w:rPr>
                <w:rStyle w:val="FootnoteReference"/>
                <w:color w:val="7E6D5F"/>
                <w:szCs w:val="19"/>
              </w:rPr>
              <w:footnoteReference w:id="3"/>
            </w:r>
          </w:p>
        </w:tc>
        <w:tc>
          <w:tcPr>
            <w:tcW w:w="1896" w:type="dxa"/>
            <w:tcBorders>
              <w:top w:val="single" w:sz="4" w:space="0" w:color="auto"/>
              <w:left w:val="single" w:sz="4" w:space="0" w:color="auto"/>
              <w:bottom w:val="single" w:sz="4" w:space="0" w:color="auto"/>
              <w:right w:val="single" w:sz="4" w:space="0" w:color="auto"/>
            </w:tcBorders>
            <w:shd w:val="clear" w:color="auto" w:fill="D6E3BC"/>
          </w:tcPr>
          <w:p w14:paraId="4CF4C647" w14:textId="77777777" w:rsidR="00271E69" w:rsidRPr="00DA5BB4" w:rsidRDefault="00271E69" w:rsidP="00271E69">
            <w:pPr>
              <w:rPr>
                <w:szCs w:val="20"/>
              </w:rPr>
            </w:pPr>
            <w:r w:rsidRPr="00AB2450">
              <w:rPr>
                <w:szCs w:val="20"/>
              </w:rPr>
              <w:t>82</w:t>
            </w:r>
            <w:r w:rsidRPr="00270273">
              <w:rPr>
                <w:szCs w:val="20"/>
              </w:rPr>
              <w:t>%</w:t>
            </w:r>
          </w:p>
        </w:tc>
        <w:tc>
          <w:tcPr>
            <w:tcW w:w="1634" w:type="dxa"/>
            <w:tcBorders>
              <w:top w:val="single" w:sz="4" w:space="0" w:color="auto"/>
              <w:left w:val="single" w:sz="4" w:space="0" w:color="auto"/>
              <w:bottom w:val="single" w:sz="4" w:space="0" w:color="auto"/>
              <w:right w:val="single" w:sz="4" w:space="0" w:color="auto"/>
            </w:tcBorders>
            <w:shd w:val="clear" w:color="auto" w:fill="D6E3BC"/>
            <w:vAlign w:val="center"/>
          </w:tcPr>
          <w:p w14:paraId="65677B84" w14:textId="77777777" w:rsidR="00271E69" w:rsidRPr="004F58D0" w:rsidRDefault="00271E69" w:rsidP="00271E69">
            <w:pPr>
              <w:spacing w:before="40" w:after="40"/>
              <w:rPr>
                <w:szCs w:val="20"/>
              </w:rPr>
            </w:pPr>
            <w:r w:rsidRPr="00DA5BB4">
              <w:rPr>
                <w:szCs w:val="20"/>
              </w:rPr>
              <w:t>95.7%</w:t>
            </w:r>
          </w:p>
        </w:tc>
      </w:tr>
      <w:tr w:rsidR="00271E69" w:rsidRPr="00DA5BB4" w14:paraId="01A3F337" w14:textId="77777777" w:rsidTr="00271E69">
        <w:tc>
          <w:tcPr>
            <w:tcW w:w="2383" w:type="dxa"/>
            <w:tcBorders>
              <w:top w:val="single" w:sz="4" w:space="0" w:color="auto"/>
            </w:tcBorders>
            <w:shd w:val="clear" w:color="auto" w:fill="D6E3BC"/>
          </w:tcPr>
          <w:p w14:paraId="18AC59E4" w14:textId="77777777" w:rsidR="00271E69" w:rsidRPr="004F58D0" w:rsidRDefault="00271E69" w:rsidP="00271E69">
            <w:pPr>
              <w:spacing w:before="40" w:after="40"/>
              <w:rPr>
                <w:szCs w:val="20"/>
              </w:rPr>
            </w:pPr>
            <w:r w:rsidRPr="004F58D0">
              <w:rPr>
                <w:szCs w:val="20"/>
              </w:rPr>
              <w:t xml:space="preserve">Net </w:t>
            </w:r>
            <w:r>
              <w:rPr>
                <w:szCs w:val="20"/>
              </w:rPr>
              <w:t>e</w:t>
            </w:r>
            <w:r w:rsidRPr="004F58D0">
              <w:rPr>
                <w:szCs w:val="20"/>
              </w:rPr>
              <w:t xml:space="preserve">nrolment </w:t>
            </w:r>
            <w:r>
              <w:rPr>
                <w:szCs w:val="20"/>
              </w:rPr>
              <w:t>r</w:t>
            </w:r>
            <w:r w:rsidRPr="004F58D0">
              <w:rPr>
                <w:szCs w:val="20"/>
              </w:rPr>
              <w:t>ate</w:t>
            </w:r>
            <w:r>
              <w:rPr>
                <w:szCs w:val="20"/>
              </w:rPr>
              <w:t xml:space="preserve"> (junior secondary school) (2008)</w:t>
            </w:r>
          </w:p>
        </w:tc>
        <w:tc>
          <w:tcPr>
            <w:tcW w:w="1370" w:type="dxa"/>
            <w:tcBorders>
              <w:top w:val="single" w:sz="4" w:space="0" w:color="auto"/>
            </w:tcBorders>
            <w:shd w:val="clear" w:color="auto" w:fill="D6E3BC"/>
            <w:vAlign w:val="center"/>
          </w:tcPr>
          <w:p w14:paraId="270150C1" w14:textId="77777777" w:rsidR="00271E69" w:rsidRPr="00DA5BB4" w:rsidRDefault="00271E69" w:rsidP="00271E69">
            <w:pPr>
              <w:spacing w:before="40" w:after="40"/>
              <w:rPr>
                <w:szCs w:val="20"/>
              </w:rPr>
            </w:pPr>
            <w:r>
              <w:rPr>
                <w:szCs w:val="20"/>
              </w:rPr>
              <w:t>69%</w:t>
            </w:r>
          </w:p>
        </w:tc>
        <w:tc>
          <w:tcPr>
            <w:tcW w:w="1760" w:type="dxa"/>
            <w:tcBorders>
              <w:top w:val="single" w:sz="4" w:space="0" w:color="auto"/>
            </w:tcBorders>
            <w:shd w:val="clear" w:color="auto" w:fill="D6E3BC"/>
            <w:vAlign w:val="center"/>
          </w:tcPr>
          <w:p w14:paraId="7883B62E" w14:textId="77777777" w:rsidR="00271E69" w:rsidRPr="00750CFB" w:rsidRDefault="00271E69" w:rsidP="00271E69">
            <w:pPr>
              <w:rPr>
                <w:szCs w:val="20"/>
              </w:rPr>
            </w:pPr>
            <w:r w:rsidRPr="00DA5BB4">
              <w:rPr>
                <w:szCs w:val="20"/>
              </w:rPr>
              <w:t>80.7%</w:t>
            </w:r>
          </w:p>
        </w:tc>
        <w:tc>
          <w:tcPr>
            <w:tcW w:w="1896" w:type="dxa"/>
            <w:tcBorders>
              <w:top w:val="single" w:sz="4" w:space="0" w:color="auto"/>
            </w:tcBorders>
            <w:shd w:val="clear" w:color="auto" w:fill="D6E3BC"/>
            <w:vAlign w:val="center"/>
          </w:tcPr>
          <w:p w14:paraId="6FF0FA25" w14:textId="77777777" w:rsidR="00271E69" w:rsidRPr="00DA5BB4" w:rsidRDefault="00271E69" w:rsidP="00271E69">
            <w:pPr>
              <w:rPr>
                <w:szCs w:val="20"/>
              </w:rPr>
            </w:pPr>
            <w:r w:rsidRPr="00750CFB">
              <w:rPr>
                <w:szCs w:val="20"/>
              </w:rPr>
              <w:t>64%</w:t>
            </w:r>
          </w:p>
        </w:tc>
        <w:tc>
          <w:tcPr>
            <w:tcW w:w="1634" w:type="dxa"/>
            <w:tcBorders>
              <w:top w:val="single" w:sz="4" w:space="0" w:color="auto"/>
            </w:tcBorders>
            <w:shd w:val="clear" w:color="auto" w:fill="D6E3BC"/>
            <w:vAlign w:val="center"/>
          </w:tcPr>
          <w:p w14:paraId="0AB94BF7" w14:textId="77777777" w:rsidR="00271E69" w:rsidRPr="00DA5BB4" w:rsidRDefault="00271E69" w:rsidP="00271E69">
            <w:pPr>
              <w:rPr>
                <w:szCs w:val="20"/>
              </w:rPr>
            </w:pPr>
            <w:r w:rsidRPr="00DA5BB4">
              <w:rPr>
                <w:szCs w:val="20"/>
              </w:rPr>
              <w:t>90.3%</w:t>
            </w:r>
          </w:p>
        </w:tc>
      </w:tr>
      <w:tr w:rsidR="00271E69" w:rsidRPr="00DA5BB4" w14:paraId="22FF0DEB" w14:textId="77777777" w:rsidTr="00271E69">
        <w:tc>
          <w:tcPr>
            <w:tcW w:w="2383" w:type="dxa"/>
            <w:shd w:val="clear" w:color="auto" w:fill="DBE5F1"/>
          </w:tcPr>
          <w:p w14:paraId="09B6261A" w14:textId="77777777" w:rsidR="00271E69" w:rsidRPr="004F58D0" w:rsidRDefault="00271E69" w:rsidP="00271E69">
            <w:pPr>
              <w:spacing w:before="40" w:after="40"/>
              <w:rPr>
                <w:szCs w:val="20"/>
              </w:rPr>
            </w:pPr>
            <w:r w:rsidRPr="004F58D0">
              <w:rPr>
                <w:szCs w:val="20"/>
              </w:rPr>
              <w:t xml:space="preserve">Grade 4 </w:t>
            </w:r>
            <w:r>
              <w:rPr>
                <w:szCs w:val="20"/>
              </w:rPr>
              <w:t xml:space="preserve">English </w:t>
            </w:r>
            <w:r w:rsidRPr="004F58D0">
              <w:rPr>
                <w:szCs w:val="20"/>
              </w:rPr>
              <w:t>literacy rate</w:t>
            </w:r>
            <w:r w:rsidRPr="00750CFB">
              <w:rPr>
                <w:rStyle w:val="FootnoteReference"/>
                <w:rFonts w:cs="Arial"/>
                <w:color w:val="333333"/>
                <w:szCs w:val="12"/>
              </w:rPr>
              <w:footnoteReference w:id="4"/>
            </w:r>
            <w:r>
              <w:rPr>
                <w:rFonts w:cs="Arial"/>
                <w:color w:val="333333"/>
                <w:szCs w:val="12"/>
              </w:rPr>
              <w:t xml:space="preserve"> (</w:t>
            </w:r>
            <w:r>
              <w:rPr>
                <w:szCs w:val="20"/>
              </w:rPr>
              <w:t>2009)</w:t>
            </w:r>
          </w:p>
        </w:tc>
        <w:tc>
          <w:tcPr>
            <w:tcW w:w="1370" w:type="dxa"/>
            <w:shd w:val="clear" w:color="auto" w:fill="DBE5F1"/>
            <w:vAlign w:val="center"/>
          </w:tcPr>
          <w:p w14:paraId="2BE071DD" w14:textId="77777777" w:rsidR="00271E69" w:rsidRPr="00DA5BB4" w:rsidRDefault="00271E69" w:rsidP="00271E69">
            <w:pPr>
              <w:spacing w:before="40" w:after="40"/>
              <w:jc w:val="both"/>
              <w:rPr>
                <w:szCs w:val="20"/>
              </w:rPr>
            </w:pPr>
            <w:r w:rsidRPr="00DA5BB4">
              <w:rPr>
                <w:szCs w:val="20"/>
              </w:rPr>
              <w:t>39%</w:t>
            </w:r>
          </w:p>
        </w:tc>
        <w:tc>
          <w:tcPr>
            <w:tcW w:w="1760" w:type="dxa"/>
            <w:shd w:val="clear" w:color="auto" w:fill="DBE5F1"/>
            <w:vAlign w:val="center"/>
          </w:tcPr>
          <w:p w14:paraId="5C7CF606" w14:textId="77777777" w:rsidR="00271E69" w:rsidRPr="00DA5BB4" w:rsidRDefault="00271E69" w:rsidP="00271E69">
            <w:pPr>
              <w:jc w:val="both"/>
            </w:pPr>
            <w:r w:rsidRPr="00DA5BB4">
              <w:rPr>
                <w:szCs w:val="20"/>
              </w:rPr>
              <w:t>43.3%</w:t>
            </w:r>
          </w:p>
        </w:tc>
        <w:tc>
          <w:tcPr>
            <w:tcW w:w="1896" w:type="dxa"/>
            <w:shd w:val="clear" w:color="auto" w:fill="DBE5F1"/>
          </w:tcPr>
          <w:p w14:paraId="40F7385B" w14:textId="77777777" w:rsidR="00271E69" w:rsidRPr="00BA20E3" w:rsidRDefault="00271E69" w:rsidP="00271E69">
            <w:pPr>
              <w:pStyle w:val="Default"/>
              <w:rPr>
                <w:color w:val="auto"/>
                <w:sz w:val="16"/>
                <w:szCs w:val="16"/>
              </w:rPr>
            </w:pPr>
          </w:p>
          <w:p w14:paraId="6739DA11" w14:textId="77777777" w:rsidR="00271E69" w:rsidRPr="001F7553" w:rsidRDefault="00271E69" w:rsidP="00271E69">
            <w:r>
              <w:t>29%</w:t>
            </w:r>
          </w:p>
        </w:tc>
        <w:tc>
          <w:tcPr>
            <w:tcW w:w="1634" w:type="dxa"/>
            <w:shd w:val="clear" w:color="auto" w:fill="DBE5F1"/>
            <w:vAlign w:val="center"/>
          </w:tcPr>
          <w:p w14:paraId="316FA44E" w14:textId="77777777" w:rsidR="00271E69" w:rsidRPr="00DA5BB4" w:rsidRDefault="00271E69" w:rsidP="00271E69">
            <w:pPr>
              <w:jc w:val="both"/>
              <w:rPr>
                <w:szCs w:val="20"/>
              </w:rPr>
            </w:pPr>
            <w:r w:rsidRPr="00DA5BB4">
              <w:rPr>
                <w:szCs w:val="20"/>
              </w:rPr>
              <w:t>47.7%</w:t>
            </w:r>
          </w:p>
        </w:tc>
      </w:tr>
      <w:tr w:rsidR="00271E69" w:rsidRPr="00DA5BB4" w14:paraId="1E63F5C9" w14:textId="77777777" w:rsidTr="00271E69">
        <w:trPr>
          <w:trHeight w:val="70"/>
        </w:trPr>
        <w:tc>
          <w:tcPr>
            <w:tcW w:w="2383" w:type="dxa"/>
            <w:shd w:val="clear" w:color="auto" w:fill="DBE5F1"/>
          </w:tcPr>
          <w:p w14:paraId="2DC5B216" w14:textId="77777777" w:rsidR="00271E69" w:rsidRPr="004F58D0" w:rsidRDefault="00271E69" w:rsidP="00271E69">
            <w:pPr>
              <w:spacing w:before="40" w:after="40"/>
              <w:rPr>
                <w:szCs w:val="20"/>
              </w:rPr>
            </w:pPr>
            <w:r>
              <w:rPr>
                <w:szCs w:val="20"/>
              </w:rPr>
              <w:t>Grade 4 Kiribati literacy rate (2009)</w:t>
            </w:r>
          </w:p>
        </w:tc>
        <w:tc>
          <w:tcPr>
            <w:tcW w:w="1370" w:type="dxa"/>
            <w:shd w:val="clear" w:color="auto" w:fill="DBE5F1"/>
            <w:vAlign w:val="center"/>
          </w:tcPr>
          <w:p w14:paraId="144DB4EF" w14:textId="77777777" w:rsidR="00271E69" w:rsidRPr="00DA5BB4" w:rsidRDefault="00271E69" w:rsidP="00271E69">
            <w:pPr>
              <w:spacing w:before="40" w:after="40"/>
              <w:jc w:val="both"/>
              <w:rPr>
                <w:szCs w:val="20"/>
              </w:rPr>
            </w:pPr>
            <w:r w:rsidRPr="00DA5BB4">
              <w:rPr>
                <w:szCs w:val="20"/>
              </w:rPr>
              <w:t>61%</w:t>
            </w:r>
          </w:p>
        </w:tc>
        <w:tc>
          <w:tcPr>
            <w:tcW w:w="1760" w:type="dxa"/>
            <w:shd w:val="clear" w:color="auto" w:fill="DBE5F1"/>
            <w:vAlign w:val="center"/>
          </w:tcPr>
          <w:p w14:paraId="0422FE7C" w14:textId="77777777" w:rsidR="00271E69" w:rsidRPr="00DA5BB4" w:rsidRDefault="00271E69" w:rsidP="00271E69">
            <w:pPr>
              <w:jc w:val="both"/>
              <w:rPr>
                <w:szCs w:val="20"/>
              </w:rPr>
            </w:pPr>
            <w:r w:rsidRPr="00DA5BB4">
              <w:rPr>
                <w:szCs w:val="20"/>
              </w:rPr>
              <w:t>65.7%</w:t>
            </w:r>
          </w:p>
        </w:tc>
        <w:tc>
          <w:tcPr>
            <w:tcW w:w="1896" w:type="dxa"/>
            <w:shd w:val="clear" w:color="auto" w:fill="DBE5F1"/>
          </w:tcPr>
          <w:p w14:paraId="4D897D5D" w14:textId="77777777" w:rsidR="00271E69" w:rsidRPr="00271E69" w:rsidRDefault="00271E69" w:rsidP="00271E69">
            <w:pPr>
              <w:pStyle w:val="Default"/>
              <w:rPr>
                <w:rFonts w:ascii="Times New Roman" w:hAnsi="Times New Roman" w:cs="Times New Roman"/>
                <w:color w:val="auto"/>
                <w:sz w:val="20"/>
                <w:szCs w:val="20"/>
              </w:rPr>
            </w:pPr>
          </w:p>
          <w:p w14:paraId="2E9B39F8" w14:textId="77777777" w:rsidR="00271E69" w:rsidRPr="00271E69" w:rsidRDefault="00271E69" w:rsidP="00271E69">
            <w:pPr>
              <w:pStyle w:val="Default"/>
              <w:rPr>
                <w:rFonts w:ascii="Times New Roman" w:hAnsi="Times New Roman" w:cs="Times New Roman"/>
                <w:color w:val="auto"/>
                <w:sz w:val="20"/>
                <w:szCs w:val="20"/>
              </w:rPr>
            </w:pPr>
            <w:r w:rsidRPr="00271E69">
              <w:rPr>
                <w:rFonts w:ascii="Times New Roman" w:hAnsi="Times New Roman" w:cs="Times New Roman"/>
                <w:color w:val="auto"/>
                <w:sz w:val="20"/>
                <w:szCs w:val="20"/>
              </w:rPr>
              <w:t>62%</w:t>
            </w:r>
          </w:p>
        </w:tc>
        <w:tc>
          <w:tcPr>
            <w:tcW w:w="1634" w:type="dxa"/>
            <w:shd w:val="clear" w:color="auto" w:fill="DBE5F1"/>
            <w:vAlign w:val="center"/>
          </w:tcPr>
          <w:p w14:paraId="140BA920" w14:textId="77777777" w:rsidR="00271E69" w:rsidRPr="00DA5BB4" w:rsidRDefault="00271E69" w:rsidP="00271E69">
            <w:pPr>
              <w:jc w:val="both"/>
              <w:rPr>
                <w:szCs w:val="20"/>
              </w:rPr>
            </w:pPr>
            <w:r w:rsidRPr="00DA5BB4">
              <w:rPr>
                <w:szCs w:val="20"/>
              </w:rPr>
              <w:t>70.3%</w:t>
            </w:r>
          </w:p>
        </w:tc>
      </w:tr>
      <w:tr w:rsidR="00271E69" w:rsidRPr="00DA5BB4" w14:paraId="1B9A2AC3" w14:textId="77777777" w:rsidTr="00271E69">
        <w:tc>
          <w:tcPr>
            <w:tcW w:w="2383" w:type="dxa"/>
            <w:shd w:val="clear" w:color="auto" w:fill="DBE5F1"/>
          </w:tcPr>
          <w:p w14:paraId="7BD8EC98" w14:textId="77777777" w:rsidR="00271E69" w:rsidRPr="004F58D0" w:rsidRDefault="00271E69" w:rsidP="00271E69">
            <w:pPr>
              <w:spacing w:before="40" w:after="40"/>
              <w:rPr>
                <w:szCs w:val="20"/>
              </w:rPr>
            </w:pPr>
            <w:r w:rsidRPr="004F58D0">
              <w:rPr>
                <w:szCs w:val="20"/>
              </w:rPr>
              <w:t>Grade 4 numeracy rate</w:t>
            </w:r>
            <w:r>
              <w:rPr>
                <w:szCs w:val="20"/>
              </w:rPr>
              <w:t xml:space="preserve"> (2009)</w:t>
            </w:r>
          </w:p>
        </w:tc>
        <w:tc>
          <w:tcPr>
            <w:tcW w:w="1370" w:type="dxa"/>
            <w:shd w:val="clear" w:color="auto" w:fill="DBE5F1"/>
            <w:vAlign w:val="center"/>
          </w:tcPr>
          <w:p w14:paraId="4BF9757C" w14:textId="77777777" w:rsidR="00271E69" w:rsidRPr="00DA5BB4" w:rsidRDefault="00271E69" w:rsidP="00271E69">
            <w:pPr>
              <w:spacing w:before="40" w:after="40"/>
              <w:jc w:val="both"/>
              <w:rPr>
                <w:szCs w:val="20"/>
              </w:rPr>
            </w:pPr>
            <w:r w:rsidRPr="00DA5BB4">
              <w:rPr>
                <w:szCs w:val="20"/>
              </w:rPr>
              <w:t>35%</w:t>
            </w:r>
          </w:p>
        </w:tc>
        <w:tc>
          <w:tcPr>
            <w:tcW w:w="1760" w:type="dxa"/>
            <w:shd w:val="clear" w:color="auto" w:fill="DBE5F1"/>
            <w:vAlign w:val="center"/>
          </w:tcPr>
          <w:p w14:paraId="3C1CF009" w14:textId="77777777" w:rsidR="00271E69" w:rsidRPr="00DA5BB4" w:rsidRDefault="00271E69" w:rsidP="00271E69">
            <w:pPr>
              <w:jc w:val="both"/>
            </w:pPr>
            <w:r w:rsidRPr="00DA5BB4">
              <w:rPr>
                <w:szCs w:val="20"/>
              </w:rPr>
              <w:t>36.7</w:t>
            </w:r>
          </w:p>
        </w:tc>
        <w:tc>
          <w:tcPr>
            <w:tcW w:w="1896" w:type="dxa"/>
            <w:shd w:val="clear" w:color="auto" w:fill="DBE5F1"/>
          </w:tcPr>
          <w:p w14:paraId="3D3168E1" w14:textId="77777777" w:rsidR="00271E69" w:rsidRPr="00271E69" w:rsidRDefault="00271E69" w:rsidP="00271E69">
            <w:pPr>
              <w:pStyle w:val="Default"/>
              <w:rPr>
                <w:rFonts w:ascii="Times New Roman" w:hAnsi="Times New Roman" w:cs="Times New Roman"/>
                <w:color w:val="auto"/>
                <w:sz w:val="20"/>
                <w:szCs w:val="20"/>
              </w:rPr>
            </w:pPr>
          </w:p>
          <w:p w14:paraId="2B9150E3" w14:textId="77777777" w:rsidR="00271E69" w:rsidRPr="00271E69" w:rsidRDefault="00271E69" w:rsidP="00271E69">
            <w:pPr>
              <w:pStyle w:val="Default"/>
              <w:rPr>
                <w:rFonts w:ascii="Times New Roman" w:hAnsi="Times New Roman" w:cs="Times New Roman"/>
                <w:color w:val="auto"/>
                <w:sz w:val="20"/>
                <w:szCs w:val="20"/>
              </w:rPr>
            </w:pPr>
            <w:r w:rsidRPr="00271E69">
              <w:rPr>
                <w:rFonts w:ascii="Times New Roman" w:hAnsi="Times New Roman" w:cs="Times New Roman"/>
                <w:color w:val="auto"/>
                <w:sz w:val="20"/>
                <w:szCs w:val="20"/>
              </w:rPr>
              <w:t>37.5%</w:t>
            </w:r>
          </w:p>
        </w:tc>
        <w:tc>
          <w:tcPr>
            <w:tcW w:w="1634" w:type="dxa"/>
            <w:shd w:val="clear" w:color="auto" w:fill="DBE5F1"/>
            <w:vAlign w:val="center"/>
          </w:tcPr>
          <w:p w14:paraId="00D8E372" w14:textId="77777777" w:rsidR="00271E69" w:rsidRPr="00DA5BB4" w:rsidRDefault="00271E69" w:rsidP="00271E69">
            <w:pPr>
              <w:jc w:val="both"/>
              <w:rPr>
                <w:szCs w:val="20"/>
              </w:rPr>
            </w:pPr>
            <w:r w:rsidRPr="00DA5BB4">
              <w:rPr>
                <w:szCs w:val="20"/>
              </w:rPr>
              <w:t>38.3%</w:t>
            </w:r>
          </w:p>
        </w:tc>
      </w:tr>
      <w:tr w:rsidR="00271E69" w:rsidRPr="00DA5BB4" w14:paraId="6759F8FF" w14:textId="77777777" w:rsidTr="00271E69">
        <w:tc>
          <w:tcPr>
            <w:tcW w:w="2383" w:type="dxa"/>
            <w:shd w:val="clear" w:color="auto" w:fill="FDE9D9"/>
          </w:tcPr>
          <w:p w14:paraId="046743FA" w14:textId="77777777" w:rsidR="00271E69" w:rsidRPr="004F58D0" w:rsidRDefault="00271E69" w:rsidP="00271E69">
            <w:pPr>
              <w:spacing w:before="40" w:after="40"/>
              <w:rPr>
                <w:szCs w:val="20"/>
              </w:rPr>
            </w:pPr>
            <w:r>
              <w:rPr>
                <w:szCs w:val="20"/>
              </w:rPr>
              <w:t xml:space="preserve">Grade 6 English </w:t>
            </w:r>
            <w:r w:rsidRPr="004F58D0">
              <w:rPr>
                <w:szCs w:val="20"/>
              </w:rPr>
              <w:t>literacy rate</w:t>
            </w:r>
            <w:r>
              <w:rPr>
                <w:szCs w:val="20"/>
              </w:rPr>
              <w:t xml:space="preserve"> (2009)</w:t>
            </w:r>
          </w:p>
        </w:tc>
        <w:tc>
          <w:tcPr>
            <w:tcW w:w="1370" w:type="dxa"/>
            <w:shd w:val="clear" w:color="auto" w:fill="FDE9D9"/>
            <w:vAlign w:val="center"/>
          </w:tcPr>
          <w:p w14:paraId="08A7713A" w14:textId="77777777" w:rsidR="00271E69" w:rsidRPr="00DA5BB4" w:rsidRDefault="00271E69" w:rsidP="00271E69">
            <w:pPr>
              <w:spacing w:before="40" w:after="40"/>
              <w:jc w:val="both"/>
              <w:rPr>
                <w:szCs w:val="20"/>
              </w:rPr>
            </w:pPr>
            <w:r w:rsidRPr="00DA5BB4">
              <w:rPr>
                <w:szCs w:val="20"/>
              </w:rPr>
              <w:t>32.5%</w:t>
            </w:r>
          </w:p>
        </w:tc>
        <w:tc>
          <w:tcPr>
            <w:tcW w:w="1760" w:type="dxa"/>
            <w:shd w:val="clear" w:color="auto" w:fill="FDE9D9"/>
            <w:vAlign w:val="center"/>
          </w:tcPr>
          <w:p w14:paraId="1AAF7E06" w14:textId="77777777" w:rsidR="00271E69" w:rsidRPr="00DA5BB4" w:rsidRDefault="00271E69" w:rsidP="00271E69">
            <w:pPr>
              <w:jc w:val="both"/>
            </w:pPr>
            <w:r w:rsidRPr="00DA5BB4">
              <w:rPr>
                <w:szCs w:val="20"/>
              </w:rPr>
              <w:t>38.7%</w:t>
            </w:r>
          </w:p>
        </w:tc>
        <w:tc>
          <w:tcPr>
            <w:tcW w:w="1896" w:type="dxa"/>
            <w:shd w:val="clear" w:color="auto" w:fill="FDE9D9"/>
          </w:tcPr>
          <w:p w14:paraId="598273FF" w14:textId="77777777" w:rsidR="00271E69" w:rsidRPr="00271E69" w:rsidRDefault="00271E69" w:rsidP="00271E69">
            <w:pPr>
              <w:pStyle w:val="Default"/>
              <w:rPr>
                <w:rFonts w:ascii="Times New Roman" w:hAnsi="Times New Roman" w:cs="Times New Roman"/>
                <w:color w:val="auto"/>
                <w:sz w:val="20"/>
                <w:szCs w:val="20"/>
              </w:rPr>
            </w:pPr>
          </w:p>
          <w:p w14:paraId="7CA8EE96" w14:textId="77777777" w:rsidR="00271E69" w:rsidRPr="00271E69" w:rsidRDefault="00271E69" w:rsidP="00271E69">
            <w:pPr>
              <w:pStyle w:val="Default"/>
              <w:rPr>
                <w:rFonts w:ascii="Times New Roman" w:hAnsi="Times New Roman" w:cs="Times New Roman"/>
                <w:color w:val="auto"/>
                <w:sz w:val="20"/>
                <w:szCs w:val="20"/>
              </w:rPr>
            </w:pPr>
            <w:r w:rsidRPr="00271E69">
              <w:rPr>
                <w:rFonts w:ascii="Times New Roman" w:hAnsi="Times New Roman" w:cs="Times New Roman"/>
                <w:color w:val="auto"/>
                <w:sz w:val="20"/>
                <w:szCs w:val="20"/>
              </w:rPr>
              <w:t>22.5%</w:t>
            </w:r>
          </w:p>
        </w:tc>
        <w:tc>
          <w:tcPr>
            <w:tcW w:w="1634" w:type="dxa"/>
            <w:shd w:val="clear" w:color="auto" w:fill="FDE9D9"/>
            <w:vAlign w:val="center"/>
          </w:tcPr>
          <w:p w14:paraId="77D5FD0E" w14:textId="77777777" w:rsidR="00271E69" w:rsidRPr="00DA5BB4" w:rsidRDefault="00271E69" w:rsidP="00271E69">
            <w:pPr>
              <w:jc w:val="both"/>
              <w:rPr>
                <w:szCs w:val="20"/>
              </w:rPr>
            </w:pPr>
            <w:r w:rsidRPr="00DA5BB4">
              <w:rPr>
                <w:szCs w:val="20"/>
              </w:rPr>
              <w:t>44.8%</w:t>
            </w:r>
          </w:p>
        </w:tc>
      </w:tr>
      <w:tr w:rsidR="00271E69" w:rsidRPr="00DA5BB4" w14:paraId="2E085F7E" w14:textId="77777777" w:rsidTr="00271E69">
        <w:tc>
          <w:tcPr>
            <w:tcW w:w="2383" w:type="dxa"/>
            <w:shd w:val="clear" w:color="auto" w:fill="FDE9D9"/>
          </w:tcPr>
          <w:p w14:paraId="01B232AC" w14:textId="77777777" w:rsidR="00271E69" w:rsidRPr="004F58D0" w:rsidRDefault="00271E69" w:rsidP="00271E69">
            <w:pPr>
              <w:spacing w:before="40" w:after="40"/>
              <w:rPr>
                <w:szCs w:val="20"/>
              </w:rPr>
            </w:pPr>
            <w:r>
              <w:rPr>
                <w:szCs w:val="20"/>
              </w:rPr>
              <w:t>Grade 6 Kiribati literacy rate (2009)</w:t>
            </w:r>
          </w:p>
        </w:tc>
        <w:tc>
          <w:tcPr>
            <w:tcW w:w="1370" w:type="dxa"/>
            <w:shd w:val="clear" w:color="auto" w:fill="FDE9D9"/>
            <w:vAlign w:val="center"/>
          </w:tcPr>
          <w:p w14:paraId="2C4E9068" w14:textId="77777777" w:rsidR="00271E69" w:rsidRPr="00DA5BB4" w:rsidRDefault="00271E69" w:rsidP="00271E69">
            <w:pPr>
              <w:spacing w:before="40" w:after="40"/>
              <w:jc w:val="both"/>
              <w:rPr>
                <w:szCs w:val="20"/>
              </w:rPr>
            </w:pPr>
            <w:r w:rsidRPr="00DA5BB4">
              <w:rPr>
                <w:szCs w:val="20"/>
              </w:rPr>
              <w:t>55.5%</w:t>
            </w:r>
          </w:p>
        </w:tc>
        <w:tc>
          <w:tcPr>
            <w:tcW w:w="1760" w:type="dxa"/>
            <w:shd w:val="clear" w:color="auto" w:fill="FDE9D9"/>
            <w:vAlign w:val="center"/>
          </w:tcPr>
          <w:p w14:paraId="5D06A7CB" w14:textId="77777777" w:rsidR="00271E69" w:rsidRPr="00DA5BB4" w:rsidRDefault="00271E69" w:rsidP="00271E69">
            <w:pPr>
              <w:jc w:val="both"/>
              <w:rPr>
                <w:szCs w:val="20"/>
              </w:rPr>
            </w:pPr>
            <w:r w:rsidRPr="00DA5BB4">
              <w:rPr>
                <w:szCs w:val="20"/>
              </w:rPr>
              <w:t>57.7%</w:t>
            </w:r>
          </w:p>
        </w:tc>
        <w:tc>
          <w:tcPr>
            <w:tcW w:w="1896" w:type="dxa"/>
            <w:shd w:val="clear" w:color="auto" w:fill="FDE9D9"/>
          </w:tcPr>
          <w:p w14:paraId="6360088F" w14:textId="77777777" w:rsidR="00271E69" w:rsidRPr="00271E69" w:rsidRDefault="00271E69" w:rsidP="00271E69">
            <w:pPr>
              <w:pStyle w:val="Default"/>
              <w:rPr>
                <w:rFonts w:ascii="Times New Roman" w:hAnsi="Times New Roman" w:cs="Times New Roman"/>
                <w:color w:val="auto"/>
                <w:sz w:val="20"/>
                <w:szCs w:val="20"/>
              </w:rPr>
            </w:pPr>
          </w:p>
          <w:p w14:paraId="763552C7" w14:textId="77777777" w:rsidR="00271E69" w:rsidRPr="00271E69" w:rsidRDefault="00271E69" w:rsidP="00271E69">
            <w:pPr>
              <w:pStyle w:val="Default"/>
              <w:rPr>
                <w:rFonts w:ascii="Times New Roman" w:hAnsi="Times New Roman" w:cs="Times New Roman"/>
                <w:color w:val="auto"/>
                <w:sz w:val="20"/>
                <w:szCs w:val="20"/>
              </w:rPr>
            </w:pPr>
            <w:r w:rsidRPr="00271E69">
              <w:rPr>
                <w:rFonts w:ascii="Times New Roman" w:hAnsi="Times New Roman" w:cs="Times New Roman"/>
                <w:color w:val="auto"/>
                <w:sz w:val="20"/>
                <w:szCs w:val="20"/>
              </w:rPr>
              <w:t>61%</w:t>
            </w:r>
          </w:p>
        </w:tc>
        <w:tc>
          <w:tcPr>
            <w:tcW w:w="1634" w:type="dxa"/>
            <w:shd w:val="clear" w:color="auto" w:fill="FDE9D9"/>
            <w:vAlign w:val="center"/>
          </w:tcPr>
          <w:p w14:paraId="76B58DA8" w14:textId="77777777" w:rsidR="00271E69" w:rsidRPr="00DA5BB4" w:rsidRDefault="00271E69" w:rsidP="00271E69">
            <w:pPr>
              <w:jc w:val="both"/>
              <w:rPr>
                <w:szCs w:val="20"/>
              </w:rPr>
            </w:pPr>
            <w:r w:rsidRPr="00DA5BB4">
              <w:rPr>
                <w:szCs w:val="20"/>
              </w:rPr>
              <w:t>59.8%</w:t>
            </w:r>
          </w:p>
        </w:tc>
      </w:tr>
      <w:tr w:rsidR="00271E69" w:rsidRPr="00DA5BB4" w14:paraId="09BF0968" w14:textId="77777777" w:rsidTr="00271E69">
        <w:tc>
          <w:tcPr>
            <w:tcW w:w="2383" w:type="dxa"/>
            <w:shd w:val="clear" w:color="auto" w:fill="FDE9D9"/>
          </w:tcPr>
          <w:p w14:paraId="12442930" w14:textId="77777777" w:rsidR="00271E69" w:rsidRPr="004F58D0" w:rsidRDefault="00271E69" w:rsidP="00271E69">
            <w:pPr>
              <w:spacing w:before="40" w:after="40"/>
              <w:rPr>
                <w:szCs w:val="20"/>
              </w:rPr>
            </w:pPr>
            <w:r w:rsidRPr="004F58D0">
              <w:rPr>
                <w:szCs w:val="20"/>
              </w:rPr>
              <w:t xml:space="preserve">Grade </w:t>
            </w:r>
            <w:r>
              <w:rPr>
                <w:szCs w:val="20"/>
              </w:rPr>
              <w:t>6</w:t>
            </w:r>
            <w:r w:rsidRPr="004F58D0">
              <w:rPr>
                <w:szCs w:val="20"/>
              </w:rPr>
              <w:t xml:space="preserve"> numeracy rate</w:t>
            </w:r>
            <w:r>
              <w:rPr>
                <w:szCs w:val="20"/>
              </w:rPr>
              <w:t xml:space="preserve"> (2009)</w:t>
            </w:r>
          </w:p>
        </w:tc>
        <w:tc>
          <w:tcPr>
            <w:tcW w:w="1370" w:type="dxa"/>
            <w:shd w:val="clear" w:color="auto" w:fill="FDE9D9"/>
            <w:vAlign w:val="center"/>
          </w:tcPr>
          <w:p w14:paraId="5BECC3B1" w14:textId="77777777" w:rsidR="00271E69" w:rsidRPr="00DA5BB4" w:rsidRDefault="00271E69" w:rsidP="00271E69">
            <w:pPr>
              <w:spacing w:before="40" w:after="40"/>
              <w:jc w:val="both"/>
              <w:rPr>
                <w:szCs w:val="20"/>
              </w:rPr>
            </w:pPr>
            <w:r w:rsidRPr="00DA5BB4">
              <w:rPr>
                <w:szCs w:val="20"/>
              </w:rPr>
              <w:t>16%</w:t>
            </w:r>
          </w:p>
        </w:tc>
        <w:tc>
          <w:tcPr>
            <w:tcW w:w="1760" w:type="dxa"/>
            <w:shd w:val="clear" w:color="auto" w:fill="FDE9D9"/>
            <w:vAlign w:val="center"/>
          </w:tcPr>
          <w:p w14:paraId="251C526A" w14:textId="77777777" w:rsidR="00271E69" w:rsidRPr="00DA5BB4" w:rsidRDefault="00271E69" w:rsidP="00271E69">
            <w:pPr>
              <w:jc w:val="both"/>
            </w:pPr>
            <w:r w:rsidRPr="00DA5BB4">
              <w:rPr>
                <w:szCs w:val="20"/>
              </w:rPr>
              <w:t>19%</w:t>
            </w:r>
          </w:p>
        </w:tc>
        <w:tc>
          <w:tcPr>
            <w:tcW w:w="1896" w:type="dxa"/>
            <w:shd w:val="clear" w:color="auto" w:fill="FDE9D9"/>
          </w:tcPr>
          <w:p w14:paraId="4A9282AD" w14:textId="77777777" w:rsidR="00271E69" w:rsidRPr="00271E69" w:rsidRDefault="00271E69" w:rsidP="00271E69">
            <w:pPr>
              <w:pStyle w:val="Default"/>
              <w:rPr>
                <w:rFonts w:ascii="Times New Roman" w:hAnsi="Times New Roman" w:cs="Times New Roman"/>
                <w:color w:val="auto"/>
                <w:sz w:val="20"/>
                <w:szCs w:val="20"/>
              </w:rPr>
            </w:pPr>
          </w:p>
          <w:p w14:paraId="71ABFC57" w14:textId="77777777" w:rsidR="00271E69" w:rsidRPr="00271E69" w:rsidRDefault="00271E69" w:rsidP="00271E69">
            <w:pPr>
              <w:pStyle w:val="Default"/>
              <w:rPr>
                <w:rFonts w:ascii="Times New Roman" w:hAnsi="Times New Roman" w:cs="Times New Roman"/>
                <w:color w:val="auto"/>
                <w:sz w:val="20"/>
                <w:szCs w:val="20"/>
              </w:rPr>
            </w:pPr>
            <w:r w:rsidRPr="00271E69">
              <w:rPr>
                <w:rFonts w:ascii="Times New Roman" w:hAnsi="Times New Roman" w:cs="Times New Roman"/>
                <w:color w:val="auto"/>
                <w:sz w:val="20"/>
                <w:szCs w:val="20"/>
              </w:rPr>
              <w:t>18%</w:t>
            </w:r>
          </w:p>
        </w:tc>
        <w:tc>
          <w:tcPr>
            <w:tcW w:w="1634" w:type="dxa"/>
            <w:shd w:val="clear" w:color="auto" w:fill="FDE9D9"/>
            <w:vAlign w:val="center"/>
          </w:tcPr>
          <w:p w14:paraId="6DFC791C" w14:textId="77777777" w:rsidR="00271E69" w:rsidRPr="00DA5BB4" w:rsidRDefault="00271E69" w:rsidP="00271E69">
            <w:pPr>
              <w:jc w:val="both"/>
              <w:rPr>
                <w:szCs w:val="20"/>
              </w:rPr>
            </w:pPr>
            <w:r w:rsidRPr="00DA5BB4">
              <w:rPr>
                <w:szCs w:val="20"/>
              </w:rPr>
              <w:t>22.0%</w:t>
            </w:r>
          </w:p>
        </w:tc>
      </w:tr>
    </w:tbl>
    <w:p w14:paraId="4FA8B445" w14:textId="77777777" w:rsidR="000B6093" w:rsidRDefault="004A213C" w:rsidP="004A213C">
      <w:pPr>
        <w:pStyle w:val="gray"/>
        <w:tabs>
          <w:tab w:val="left" w:pos="5448"/>
          <w:tab w:val="left" w:pos="7526"/>
        </w:tabs>
        <w:spacing w:before="240" w:after="120" w:line="280" w:lineRule="atLeast"/>
        <w:ind w:left="0" w:right="272"/>
        <w:rPr>
          <w:rFonts w:ascii="Georgia" w:hAnsi="Georgia"/>
          <w:sz w:val="19"/>
          <w:szCs w:val="19"/>
        </w:rPr>
      </w:pPr>
      <w:r w:rsidRPr="004A213C">
        <w:rPr>
          <w:rFonts w:ascii="Georgia" w:hAnsi="Georgia"/>
          <w:sz w:val="19"/>
          <w:szCs w:val="19"/>
        </w:rPr>
        <w:t>Australia’s main assistance program, the Kiribati Education Improvement Program</w:t>
      </w:r>
      <w:r w:rsidR="00D95BBC">
        <w:rPr>
          <w:rFonts w:ascii="Georgia" w:hAnsi="Georgia"/>
          <w:sz w:val="19"/>
          <w:szCs w:val="19"/>
        </w:rPr>
        <w:t>,</w:t>
      </w:r>
      <w:r w:rsidRPr="004A213C">
        <w:rPr>
          <w:rFonts w:ascii="Georgia" w:hAnsi="Georgia"/>
          <w:sz w:val="19"/>
          <w:szCs w:val="19"/>
        </w:rPr>
        <w:t xml:space="preserve"> is </w:t>
      </w:r>
      <w:r w:rsidR="00D95BBC">
        <w:rPr>
          <w:rFonts w:ascii="Georgia" w:hAnsi="Georgia"/>
          <w:sz w:val="19"/>
          <w:szCs w:val="19"/>
        </w:rPr>
        <w:t>helping Kiribati</w:t>
      </w:r>
      <w:r w:rsidR="00D95BBC" w:rsidRPr="004A213C">
        <w:rPr>
          <w:rFonts w:ascii="Georgia" w:hAnsi="Georgia"/>
          <w:sz w:val="19"/>
          <w:szCs w:val="19"/>
        </w:rPr>
        <w:t xml:space="preserve"> </w:t>
      </w:r>
      <w:r w:rsidRPr="004A213C">
        <w:rPr>
          <w:rFonts w:ascii="Georgia" w:hAnsi="Georgia"/>
          <w:sz w:val="19"/>
          <w:szCs w:val="19"/>
        </w:rPr>
        <w:t>improve learning environments in 115 primary and junior secondary schools, upgrade teacher training,</w:t>
      </w:r>
      <w:r w:rsidR="00D95BBC">
        <w:rPr>
          <w:rFonts w:ascii="Georgia" w:hAnsi="Georgia"/>
          <w:sz w:val="19"/>
          <w:szCs w:val="19"/>
        </w:rPr>
        <w:t xml:space="preserve"> and </w:t>
      </w:r>
      <w:r w:rsidRPr="004A213C">
        <w:rPr>
          <w:rFonts w:ascii="Georgia" w:hAnsi="Georgia"/>
          <w:sz w:val="19"/>
          <w:szCs w:val="19"/>
        </w:rPr>
        <w:t xml:space="preserve">implement reformed curriculum and teaching </w:t>
      </w:r>
      <w:r w:rsidRPr="004A213C">
        <w:rPr>
          <w:rFonts w:ascii="Georgia" w:hAnsi="Georgia"/>
          <w:sz w:val="19"/>
          <w:szCs w:val="19"/>
        </w:rPr>
        <w:lastRenderedPageBreak/>
        <w:t xml:space="preserve">methodologies, including a language policy which ensures </w:t>
      </w:r>
      <w:r w:rsidR="00D95BBC">
        <w:rPr>
          <w:rFonts w:ascii="Georgia" w:hAnsi="Georgia"/>
          <w:sz w:val="19"/>
          <w:szCs w:val="19"/>
        </w:rPr>
        <w:t xml:space="preserve">children are taught </w:t>
      </w:r>
      <w:proofErr w:type="spellStart"/>
      <w:r w:rsidR="00E92460">
        <w:rPr>
          <w:rFonts w:ascii="Georgia" w:hAnsi="Georgia"/>
          <w:sz w:val="19"/>
          <w:szCs w:val="19"/>
        </w:rPr>
        <w:t>T</w:t>
      </w:r>
      <w:r w:rsidR="00E92460" w:rsidRPr="004A213C">
        <w:rPr>
          <w:rFonts w:ascii="Georgia" w:hAnsi="Georgia"/>
          <w:sz w:val="19"/>
          <w:szCs w:val="19"/>
        </w:rPr>
        <w:t>e</w:t>
      </w:r>
      <w:proofErr w:type="spellEnd"/>
      <w:r w:rsidR="00773794" w:rsidRPr="004A213C">
        <w:rPr>
          <w:rFonts w:ascii="Georgia" w:hAnsi="Georgia"/>
          <w:sz w:val="19"/>
          <w:szCs w:val="19"/>
        </w:rPr>
        <w:t xml:space="preserve">-Kiribati </w:t>
      </w:r>
      <w:r w:rsidRPr="004A213C">
        <w:rPr>
          <w:rFonts w:ascii="Georgia" w:hAnsi="Georgia"/>
          <w:sz w:val="19"/>
          <w:szCs w:val="19"/>
        </w:rPr>
        <w:t xml:space="preserve">in </w:t>
      </w:r>
      <w:r w:rsidR="00D95BBC">
        <w:rPr>
          <w:rFonts w:ascii="Georgia" w:hAnsi="Georgia"/>
          <w:sz w:val="19"/>
          <w:szCs w:val="19"/>
        </w:rPr>
        <w:t xml:space="preserve">their </w:t>
      </w:r>
      <w:r w:rsidRPr="004A213C">
        <w:rPr>
          <w:rFonts w:ascii="Georgia" w:hAnsi="Georgia"/>
          <w:sz w:val="19"/>
          <w:szCs w:val="19"/>
        </w:rPr>
        <w:t xml:space="preserve">early years before moving onto English as the main </w:t>
      </w:r>
      <w:r w:rsidR="00D95BBC">
        <w:rPr>
          <w:rFonts w:ascii="Georgia" w:hAnsi="Georgia"/>
          <w:sz w:val="19"/>
          <w:szCs w:val="19"/>
        </w:rPr>
        <w:t>language</w:t>
      </w:r>
      <w:r w:rsidRPr="004A213C">
        <w:rPr>
          <w:rFonts w:ascii="Georgia" w:hAnsi="Georgia"/>
          <w:sz w:val="19"/>
          <w:szCs w:val="19"/>
        </w:rPr>
        <w:t xml:space="preserve">. There has been some debate </w:t>
      </w:r>
      <w:r w:rsidR="00D95BBC">
        <w:rPr>
          <w:rFonts w:ascii="Georgia" w:hAnsi="Georgia"/>
          <w:sz w:val="19"/>
          <w:szCs w:val="19"/>
        </w:rPr>
        <w:t xml:space="preserve">on </w:t>
      </w:r>
      <w:r w:rsidRPr="004A213C">
        <w:rPr>
          <w:rFonts w:ascii="Georgia" w:hAnsi="Georgia"/>
          <w:sz w:val="19"/>
          <w:szCs w:val="19"/>
        </w:rPr>
        <w:t xml:space="preserve">whether the targets measuring Grade 4 English literacy </w:t>
      </w:r>
      <w:r w:rsidR="00D95BBC">
        <w:rPr>
          <w:rFonts w:ascii="Georgia" w:hAnsi="Georgia"/>
          <w:sz w:val="19"/>
          <w:szCs w:val="19"/>
        </w:rPr>
        <w:t>are</w:t>
      </w:r>
      <w:r w:rsidRPr="004A213C">
        <w:rPr>
          <w:rFonts w:ascii="Georgia" w:hAnsi="Georgia"/>
          <w:sz w:val="19"/>
          <w:szCs w:val="19"/>
        </w:rPr>
        <w:t xml:space="preserve"> accurate</w:t>
      </w:r>
      <w:r w:rsidR="00773794">
        <w:rPr>
          <w:rFonts w:ascii="Georgia" w:hAnsi="Georgia"/>
          <w:sz w:val="19"/>
          <w:szCs w:val="19"/>
        </w:rPr>
        <w:t>,</w:t>
      </w:r>
      <w:r w:rsidRPr="004A213C">
        <w:rPr>
          <w:rFonts w:ascii="Georgia" w:hAnsi="Georgia"/>
          <w:sz w:val="19"/>
          <w:szCs w:val="19"/>
        </w:rPr>
        <w:t xml:space="preserve"> given children are taught primarily in </w:t>
      </w:r>
      <w:proofErr w:type="spellStart"/>
      <w:r w:rsidR="00E92460">
        <w:rPr>
          <w:rFonts w:ascii="Georgia" w:hAnsi="Georgia"/>
          <w:sz w:val="19"/>
          <w:szCs w:val="19"/>
        </w:rPr>
        <w:t>T</w:t>
      </w:r>
      <w:r w:rsidRPr="004A213C">
        <w:rPr>
          <w:rFonts w:ascii="Georgia" w:hAnsi="Georgia"/>
          <w:sz w:val="19"/>
          <w:szCs w:val="19"/>
        </w:rPr>
        <w:t>e</w:t>
      </w:r>
      <w:proofErr w:type="spellEnd"/>
      <w:r w:rsidRPr="004A213C">
        <w:rPr>
          <w:rFonts w:ascii="Georgia" w:hAnsi="Georgia"/>
          <w:sz w:val="19"/>
          <w:szCs w:val="19"/>
        </w:rPr>
        <w:t xml:space="preserve">-Kiribati until Grade 3. </w:t>
      </w:r>
    </w:p>
    <w:p w14:paraId="4FE89DDB" w14:textId="4236EC2E" w:rsidR="004A213C" w:rsidRDefault="000B6093" w:rsidP="004A213C">
      <w:pPr>
        <w:pStyle w:val="gray"/>
        <w:tabs>
          <w:tab w:val="left" w:pos="5448"/>
          <w:tab w:val="left" w:pos="7526"/>
        </w:tabs>
        <w:spacing w:before="240" w:after="120" w:line="280" w:lineRule="atLeast"/>
        <w:ind w:left="0" w:right="272"/>
        <w:rPr>
          <w:rFonts w:ascii="Georgia" w:hAnsi="Georgia"/>
          <w:sz w:val="19"/>
          <w:szCs w:val="19"/>
        </w:rPr>
      </w:pPr>
      <w:r>
        <w:rPr>
          <w:rFonts w:ascii="Georgia" w:hAnsi="Georgia"/>
          <w:sz w:val="19"/>
          <w:szCs w:val="19"/>
        </w:rPr>
        <w:t>S</w:t>
      </w:r>
      <w:r w:rsidR="004A213C" w:rsidRPr="004A213C">
        <w:rPr>
          <w:rFonts w:ascii="Georgia" w:hAnsi="Georgia"/>
          <w:sz w:val="19"/>
          <w:szCs w:val="19"/>
        </w:rPr>
        <w:t xml:space="preserve">trategies to address barriers preventing children from enrolling and attending school (reflected in declining enrolment rates) are yet to be clearly researched and articulated. Anecdotally, such barriers include economic and social hardship, families questioning the value of education, prevalence of diseases such as diarrhoea and respiratory infections, and poor learning environments in schools. Preliminary analysis in 2011 showed that out of </w:t>
      </w:r>
      <w:r w:rsidR="00271E69">
        <w:rPr>
          <w:rFonts w:ascii="Georgia" w:hAnsi="Georgia"/>
          <w:sz w:val="19"/>
          <w:szCs w:val="19"/>
        </w:rPr>
        <w:br/>
      </w:r>
      <w:r w:rsidR="004A213C" w:rsidRPr="004A213C">
        <w:rPr>
          <w:rFonts w:ascii="Georgia" w:hAnsi="Georgia"/>
          <w:sz w:val="19"/>
          <w:szCs w:val="19"/>
        </w:rPr>
        <w:t>26</w:t>
      </w:r>
      <w:r w:rsidR="00773794">
        <w:rPr>
          <w:rFonts w:ascii="Georgia" w:hAnsi="Georgia"/>
          <w:sz w:val="19"/>
          <w:szCs w:val="19"/>
        </w:rPr>
        <w:t xml:space="preserve"> </w:t>
      </w:r>
      <w:r w:rsidR="004A213C" w:rsidRPr="004A213C">
        <w:rPr>
          <w:rFonts w:ascii="Georgia" w:hAnsi="Georgia"/>
          <w:sz w:val="19"/>
          <w:szCs w:val="19"/>
        </w:rPr>
        <w:t xml:space="preserve">000 children enrolled in primary and junior secondary school, 1369 </w:t>
      </w:r>
      <w:r w:rsidR="00773794">
        <w:rPr>
          <w:rFonts w:ascii="Georgia" w:hAnsi="Georgia"/>
          <w:sz w:val="19"/>
          <w:szCs w:val="19"/>
        </w:rPr>
        <w:t xml:space="preserve">or </w:t>
      </w:r>
      <w:r w:rsidR="004A213C" w:rsidRPr="004A213C">
        <w:rPr>
          <w:rFonts w:ascii="Georgia" w:hAnsi="Georgia"/>
          <w:sz w:val="19"/>
          <w:szCs w:val="19"/>
        </w:rPr>
        <w:t>5.2</w:t>
      </w:r>
      <w:r w:rsidR="00773794">
        <w:rPr>
          <w:rFonts w:ascii="Georgia" w:hAnsi="Georgia"/>
          <w:sz w:val="19"/>
          <w:szCs w:val="19"/>
        </w:rPr>
        <w:t xml:space="preserve"> per cent</w:t>
      </w:r>
      <w:r w:rsidR="00773794" w:rsidRPr="004A213C">
        <w:rPr>
          <w:rFonts w:ascii="Georgia" w:hAnsi="Georgia"/>
          <w:sz w:val="19"/>
          <w:szCs w:val="19"/>
        </w:rPr>
        <w:t xml:space="preserve"> </w:t>
      </w:r>
      <w:r w:rsidR="004A213C" w:rsidRPr="004A213C">
        <w:rPr>
          <w:rFonts w:ascii="Georgia" w:hAnsi="Georgia"/>
          <w:sz w:val="19"/>
          <w:szCs w:val="19"/>
        </w:rPr>
        <w:t>are not attending regularly</w:t>
      </w:r>
      <w:r w:rsidR="00773794">
        <w:rPr>
          <w:rFonts w:ascii="Georgia" w:hAnsi="Georgia"/>
          <w:sz w:val="19"/>
          <w:szCs w:val="19"/>
        </w:rPr>
        <w:t>,</w:t>
      </w:r>
      <w:r w:rsidR="004A213C" w:rsidRPr="004A213C">
        <w:rPr>
          <w:rFonts w:ascii="Georgia" w:hAnsi="Georgia"/>
          <w:sz w:val="19"/>
          <w:szCs w:val="19"/>
        </w:rPr>
        <w:t xml:space="preserve"> and 58.4</w:t>
      </w:r>
      <w:r w:rsidR="00773794">
        <w:rPr>
          <w:rFonts w:ascii="Georgia" w:hAnsi="Georgia"/>
          <w:sz w:val="19"/>
          <w:szCs w:val="19"/>
        </w:rPr>
        <w:t xml:space="preserve"> per cent</w:t>
      </w:r>
      <w:r w:rsidR="00773794" w:rsidRPr="004A213C">
        <w:rPr>
          <w:rFonts w:ascii="Georgia" w:hAnsi="Georgia"/>
          <w:sz w:val="19"/>
          <w:szCs w:val="19"/>
        </w:rPr>
        <w:t xml:space="preserve"> </w:t>
      </w:r>
      <w:r w:rsidR="004A213C" w:rsidRPr="004A213C">
        <w:rPr>
          <w:rFonts w:ascii="Georgia" w:hAnsi="Georgia"/>
          <w:sz w:val="19"/>
          <w:szCs w:val="19"/>
        </w:rPr>
        <w:t>of these</w:t>
      </w:r>
      <w:r w:rsidR="00745D89">
        <w:rPr>
          <w:rFonts w:ascii="Georgia" w:hAnsi="Georgia"/>
          <w:sz w:val="19"/>
          <w:szCs w:val="19"/>
        </w:rPr>
        <w:t xml:space="preserve"> students</w:t>
      </w:r>
      <w:r w:rsidR="004A213C" w:rsidRPr="004A213C">
        <w:rPr>
          <w:rFonts w:ascii="Georgia" w:hAnsi="Georgia"/>
          <w:sz w:val="19"/>
          <w:szCs w:val="19"/>
        </w:rPr>
        <w:t xml:space="preserve"> are </w:t>
      </w:r>
      <w:r w:rsidR="00773794">
        <w:rPr>
          <w:rFonts w:ascii="Georgia" w:hAnsi="Georgia"/>
          <w:sz w:val="19"/>
          <w:szCs w:val="19"/>
        </w:rPr>
        <w:t>boys</w:t>
      </w:r>
      <w:r w:rsidR="004A213C" w:rsidRPr="004A213C">
        <w:rPr>
          <w:rFonts w:ascii="Georgia" w:hAnsi="Georgia"/>
          <w:sz w:val="19"/>
          <w:szCs w:val="19"/>
        </w:rPr>
        <w:t xml:space="preserve">. </w:t>
      </w:r>
    </w:p>
    <w:p w14:paraId="5CD2B38C" w14:textId="7B8E63FF" w:rsidR="004A213C" w:rsidRDefault="00773794" w:rsidP="004A213C">
      <w:pPr>
        <w:pStyle w:val="gray"/>
        <w:tabs>
          <w:tab w:val="left" w:pos="5448"/>
          <w:tab w:val="left" w:pos="7526"/>
        </w:tabs>
        <w:spacing w:before="240" w:after="120" w:line="280" w:lineRule="atLeast"/>
        <w:ind w:left="0" w:right="272"/>
        <w:rPr>
          <w:rFonts w:ascii="Georgia" w:hAnsi="Georgia"/>
          <w:sz w:val="19"/>
          <w:szCs w:val="19"/>
        </w:rPr>
      </w:pPr>
      <w:r>
        <w:rPr>
          <w:rFonts w:ascii="Georgia" w:hAnsi="Georgia"/>
          <w:sz w:val="19"/>
          <w:szCs w:val="19"/>
        </w:rPr>
        <w:t xml:space="preserve">The </w:t>
      </w:r>
      <w:r w:rsidRPr="004A213C">
        <w:rPr>
          <w:rFonts w:ascii="Georgia" w:hAnsi="Georgia"/>
          <w:sz w:val="19"/>
          <w:szCs w:val="19"/>
        </w:rPr>
        <w:t>Kiribati Education Improvement Program</w:t>
      </w:r>
      <w:r w:rsidR="004A213C" w:rsidRPr="004A213C">
        <w:rPr>
          <w:rFonts w:ascii="Georgia" w:hAnsi="Georgia"/>
          <w:sz w:val="19"/>
          <w:szCs w:val="19"/>
        </w:rPr>
        <w:t xml:space="preserve"> </w:t>
      </w:r>
      <w:r>
        <w:rPr>
          <w:rFonts w:ascii="Georgia" w:hAnsi="Georgia"/>
          <w:sz w:val="19"/>
          <w:szCs w:val="19"/>
        </w:rPr>
        <w:t>began</w:t>
      </w:r>
      <w:r w:rsidRPr="004A213C">
        <w:rPr>
          <w:rFonts w:ascii="Georgia" w:hAnsi="Georgia"/>
          <w:sz w:val="19"/>
          <w:szCs w:val="19"/>
        </w:rPr>
        <w:t xml:space="preserve"> </w:t>
      </w:r>
      <w:r w:rsidR="004A213C" w:rsidRPr="004A213C">
        <w:rPr>
          <w:rFonts w:ascii="Georgia" w:hAnsi="Georgia"/>
          <w:sz w:val="19"/>
          <w:szCs w:val="19"/>
        </w:rPr>
        <w:t>in early 2011 and has not been in place long enough to impact on the 2011 targets</w:t>
      </w:r>
      <w:r>
        <w:rPr>
          <w:rFonts w:ascii="Georgia" w:hAnsi="Georgia"/>
          <w:sz w:val="19"/>
          <w:szCs w:val="19"/>
        </w:rPr>
        <w:t>,</w:t>
      </w:r>
      <w:r w:rsidR="004A213C" w:rsidRPr="004A213C">
        <w:rPr>
          <w:rFonts w:ascii="Georgia" w:hAnsi="Georgia"/>
          <w:sz w:val="19"/>
          <w:szCs w:val="19"/>
        </w:rPr>
        <w:t xml:space="preserve"> which are a reflection on the ongoing decline in the Kiribati education system. As Australia’s support through </w:t>
      </w:r>
      <w:r>
        <w:rPr>
          <w:rFonts w:ascii="Georgia" w:hAnsi="Georgia"/>
          <w:sz w:val="19"/>
          <w:szCs w:val="19"/>
        </w:rPr>
        <w:t>the program</w:t>
      </w:r>
      <w:r w:rsidRPr="004A213C">
        <w:rPr>
          <w:rFonts w:ascii="Georgia" w:hAnsi="Georgia"/>
          <w:sz w:val="19"/>
          <w:szCs w:val="19"/>
        </w:rPr>
        <w:t xml:space="preserve"> </w:t>
      </w:r>
      <w:r w:rsidR="004A213C" w:rsidRPr="004A213C">
        <w:rPr>
          <w:rFonts w:ascii="Georgia" w:hAnsi="Georgia"/>
          <w:sz w:val="19"/>
          <w:szCs w:val="19"/>
        </w:rPr>
        <w:t>consolidates policy development and research</w:t>
      </w:r>
      <w:r>
        <w:rPr>
          <w:rFonts w:ascii="Georgia" w:hAnsi="Georgia"/>
          <w:sz w:val="19"/>
          <w:szCs w:val="19"/>
        </w:rPr>
        <w:t>,</w:t>
      </w:r>
      <w:r w:rsidR="004A213C" w:rsidRPr="004A213C">
        <w:rPr>
          <w:rFonts w:ascii="Georgia" w:hAnsi="Georgia"/>
          <w:sz w:val="19"/>
          <w:szCs w:val="19"/>
        </w:rPr>
        <w:t xml:space="preserve"> and translates these into implementation</w:t>
      </w:r>
      <w:r>
        <w:rPr>
          <w:rFonts w:ascii="Georgia" w:hAnsi="Georgia"/>
          <w:sz w:val="19"/>
          <w:szCs w:val="19"/>
        </w:rPr>
        <w:t>,</w:t>
      </w:r>
      <w:r w:rsidR="004A213C" w:rsidRPr="004A213C">
        <w:rPr>
          <w:rFonts w:ascii="Georgia" w:hAnsi="Georgia"/>
          <w:sz w:val="19"/>
          <w:szCs w:val="19"/>
        </w:rPr>
        <w:t xml:space="preserve"> we can anticipate a turnaround in</w:t>
      </w:r>
      <w:r w:rsidR="004A213C">
        <w:rPr>
          <w:rFonts w:ascii="Georgia" w:hAnsi="Georgia"/>
          <w:sz w:val="19"/>
          <w:szCs w:val="19"/>
        </w:rPr>
        <w:t xml:space="preserve"> indicators in future years, although substantial improvements are expected to take </w:t>
      </w:r>
      <w:r>
        <w:rPr>
          <w:rFonts w:ascii="Georgia" w:hAnsi="Georgia"/>
          <w:sz w:val="19"/>
          <w:szCs w:val="19"/>
        </w:rPr>
        <w:t xml:space="preserve">five to </w:t>
      </w:r>
      <w:r w:rsidR="00271E69">
        <w:rPr>
          <w:rFonts w:ascii="Georgia" w:hAnsi="Georgia"/>
          <w:sz w:val="19"/>
          <w:szCs w:val="19"/>
        </w:rPr>
        <w:t>10</w:t>
      </w:r>
      <w:r w:rsidR="004A213C">
        <w:rPr>
          <w:rFonts w:ascii="Georgia" w:hAnsi="Georgia"/>
          <w:sz w:val="19"/>
          <w:szCs w:val="19"/>
        </w:rPr>
        <w:t xml:space="preserve"> years.</w:t>
      </w:r>
    </w:p>
    <w:p w14:paraId="614594FA" w14:textId="296C7577" w:rsidR="0053432A" w:rsidRPr="00AD7CED" w:rsidRDefault="00773794" w:rsidP="0053432A">
      <w:pPr>
        <w:pStyle w:val="H3"/>
      </w:pPr>
      <w:r w:rsidRPr="0053432A">
        <w:t>Key</w:t>
      </w:r>
      <w:r w:rsidR="004A213C" w:rsidRPr="0053432A">
        <w:t xml:space="preserve"> results </w:t>
      </w:r>
    </w:p>
    <w:p w14:paraId="38D12D90" w14:textId="77777777" w:rsidR="00B97810" w:rsidRPr="00AB71D0" w:rsidRDefault="00B97810" w:rsidP="00AB71D0">
      <w:pPr>
        <w:pStyle w:val="H4"/>
      </w:pPr>
      <w:r w:rsidRPr="00AB71D0">
        <w:t>Physical facilities</w:t>
      </w:r>
    </w:p>
    <w:p w14:paraId="4BCDCBA6" w14:textId="39473713" w:rsidR="00B97810" w:rsidRPr="001231B0" w:rsidRDefault="00B97810" w:rsidP="004C0D97">
      <w:pPr>
        <w:pStyle w:val="gray"/>
        <w:numPr>
          <w:ilvl w:val="0"/>
          <w:numId w:val="3"/>
        </w:numPr>
        <w:spacing w:before="240" w:after="120" w:line="280" w:lineRule="atLeast"/>
        <w:ind w:left="360" w:right="272"/>
        <w:rPr>
          <w:rFonts w:ascii="Georgia" w:hAnsi="Georgia"/>
          <w:i/>
          <w:sz w:val="19"/>
          <w:szCs w:val="19"/>
        </w:rPr>
      </w:pPr>
      <w:r w:rsidRPr="00D53935">
        <w:rPr>
          <w:rFonts w:ascii="Georgia" w:hAnsi="Georgia"/>
          <w:sz w:val="19"/>
          <w:szCs w:val="19"/>
        </w:rPr>
        <w:t xml:space="preserve">A pilot program </w:t>
      </w:r>
      <w:r>
        <w:rPr>
          <w:rFonts w:ascii="Georgia" w:hAnsi="Georgia"/>
          <w:sz w:val="19"/>
          <w:szCs w:val="19"/>
        </w:rPr>
        <w:t>involving</w:t>
      </w:r>
      <w:r w:rsidRPr="00D53935">
        <w:rPr>
          <w:rFonts w:ascii="Georgia" w:hAnsi="Georgia"/>
          <w:sz w:val="19"/>
          <w:szCs w:val="19"/>
        </w:rPr>
        <w:t xml:space="preserve"> the rehabilitation of </w:t>
      </w:r>
      <w:r w:rsidR="00773794">
        <w:rPr>
          <w:rFonts w:ascii="Georgia" w:hAnsi="Georgia"/>
          <w:sz w:val="19"/>
          <w:szCs w:val="19"/>
        </w:rPr>
        <w:t>six</w:t>
      </w:r>
      <w:r w:rsidR="00773794" w:rsidRPr="00D53935">
        <w:rPr>
          <w:rFonts w:ascii="Georgia" w:hAnsi="Georgia"/>
          <w:sz w:val="19"/>
          <w:szCs w:val="19"/>
        </w:rPr>
        <w:t xml:space="preserve"> </w:t>
      </w:r>
      <w:r w:rsidRPr="00D53935">
        <w:rPr>
          <w:rFonts w:ascii="Georgia" w:hAnsi="Georgia"/>
          <w:sz w:val="19"/>
          <w:szCs w:val="19"/>
        </w:rPr>
        <w:t>schools on</w:t>
      </w:r>
      <w:r>
        <w:rPr>
          <w:rFonts w:ascii="Georgia" w:hAnsi="Georgia"/>
          <w:sz w:val="19"/>
          <w:szCs w:val="19"/>
        </w:rPr>
        <w:t xml:space="preserve"> six </w:t>
      </w:r>
      <w:r w:rsidR="00773794">
        <w:rPr>
          <w:rFonts w:ascii="Georgia" w:hAnsi="Georgia"/>
          <w:sz w:val="19"/>
          <w:szCs w:val="19"/>
        </w:rPr>
        <w:t>o</w:t>
      </w:r>
      <w:r w:rsidR="00773794" w:rsidRPr="00D53935">
        <w:rPr>
          <w:rFonts w:ascii="Georgia" w:hAnsi="Georgia"/>
          <w:sz w:val="19"/>
          <w:szCs w:val="19"/>
        </w:rPr>
        <w:t xml:space="preserve">uter </w:t>
      </w:r>
      <w:r w:rsidR="00773794">
        <w:rPr>
          <w:rFonts w:ascii="Georgia" w:hAnsi="Georgia"/>
          <w:sz w:val="19"/>
          <w:szCs w:val="19"/>
        </w:rPr>
        <w:t>i</w:t>
      </w:r>
      <w:r w:rsidRPr="00D53935">
        <w:rPr>
          <w:rFonts w:ascii="Georgia" w:hAnsi="Georgia"/>
          <w:sz w:val="19"/>
          <w:szCs w:val="19"/>
        </w:rPr>
        <w:t xml:space="preserve">slands </w:t>
      </w:r>
      <w:r>
        <w:rPr>
          <w:rFonts w:ascii="Georgia" w:hAnsi="Georgia"/>
          <w:sz w:val="19"/>
          <w:szCs w:val="19"/>
        </w:rPr>
        <w:t>will</w:t>
      </w:r>
      <w:r w:rsidRPr="00D53935">
        <w:rPr>
          <w:rFonts w:ascii="Georgia" w:hAnsi="Georgia"/>
          <w:sz w:val="19"/>
          <w:szCs w:val="19"/>
        </w:rPr>
        <w:t xml:space="preserve"> provide data on </w:t>
      </w:r>
      <w:r w:rsidR="00773794">
        <w:rPr>
          <w:rFonts w:ascii="Georgia" w:hAnsi="Georgia"/>
          <w:sz w:val="19"/>
          <w:szCs w:val="19"/>
        </w:rPr>
        <w:t xml:space="preserve">the </w:t>
      </w:r>
      <w:r w:rsidRPr="00D53935">
        <w:rPr>
          <w:rFonts w:ascii="Georgia" w:hAnsi="Georgia"/>
          <w:sz w:val="19"/>
          <w:szCs w:val="19"/>
        </w:rPr>
        <w:t>cost and feasibility of different materials and contracting models.</w:t>
      </w:r>
      <w:r w:rsidR="00E92460">
        <w:rPr>
          <w:rFonts w:ascii="Georgia" w:hAnsi="Georgia"/>
          <w:sz w:val="19"/>
          <w:szCs w:val="19"/>
        </w:rPr>
        <w:t xml:space="preserve"> </w:t>
      </w:r>
      <w:r w:rsidRPr="00D53935">
        <w:rPr>
          <w:rFonts w:ascii="Georgia" w:hAnsi="Georgia"/>
          <w:sz w:val="19"/>
          <w:szCs w:val="19"/>
        </w:rPr>
        <w:t>Lessons learnt from this will</w:t>
      </w:r>
      <w:r>
        <w:rPr>
          <w:rFonts w:ascii="Georgia" w:hAnsi="Georgia"/>
          <w:sz w:val="19"/>
          <w:szCs w:val="19"/>
        </w:rPr>
        <w:t xml:space="preserve"> inform</w:t>
      </w:r>
      <w:r w:rsidRPr="00D53935">
        <w:rPr>
          <w:rFonts w:ascii="Georgia" w:hAnsi="Georgia"/>
          <w:sz w:val="19"/>
          <w:szCs w:val="19"/>
        </w:rPr>
        <w:t xml:space="preserve"> </w:t>
      </w:r>
      <w:r>
        <w:rPr>
          <w:rFonts w:ascii="Georgia" w:hAnsi="Georgia"/>
          <w:sz w:val="19"/>
          <w:szCs w:val="19"/>
        </w:rPr>
        <w:t>the major</w:t>
      </w:r>
      <w:r w:rsidRPr="00D53935">
        <w:rPr>
          <w:rFonts w:ascii="Georgia" w:hAnsi="Georgia"/>
          <w:sz w:val="19"/>
          <w:szCs w:val="19"/>
        </w:rPr>
        <w:t xml:space="preserve"> school rehabilitation program </w:t>
      </w:r>
      <w:r>
        <w:rPr>
          <w:rFonts w:ascii="Georgia" w:hAnsi="Georgia"/>
          <w:sz w:val="19"/>
          <w:szCs w:val="19"/>
        </w:rPr>
        <w:t>to</w:t>
      </w:r>
      <w:r w:rsidRPr="00D53935">
        <w:rPr>
          <w:rFonts w:ascii="Georgia" w:hAnsi="Georgia"/>
          <w:sz w:val="19"/>
          <w:szCs w:val="19"/>
        </w:rPr>
        <w:t xml:space="preserve"> be rolled out in </w:t>
      </w:r>
      <w:r w:rsidR="00773794">
        <w:rPr>
          <w:rFonts w:ascii="Georgia" w:hAnsi="Georgia"/>
          <w:sz w:val="19"/>
          <w:szCs w:val="19"/>
        </w:rPr>
        <w:t>p</w:t>
      </w:r>
      <w:r w:rsidRPr="00D53935">
        <w:rPr>
          <w:rFonts w:ascii="Georgia" w:hAnsi="Georgia"/>
          <w:sz w:val="19"/>
          <w:szCs w:val="19"/>
        </w:rPr>
        <w:t>hases 2 and 3</w:t>
      </w:r>
      <w:r w:rsidR="00773794">
        <w:rPr>
          <w:rFonts w:ascii="Georgia" w:hAnsi="Georgia"/>
          <w:sz w:val="19"/>
          <w:szCs w:val="19"/>
        </w:rPr>
        <w:t xml:space="preserve"> of the </w:t>
      </w:r>
      <w:r w:rsidR="00773794" w:rsidRPr="004A213C">
        <w:rPr>
          <w:rFonts w:ascii="Georgia" w:hAnsi="Georgia"/>
          <w:sz w:val="19"/>
          <w:szCs w:val="19"/>
        </w:rPr>
        <w:t>Kiribati Education Improvement Program</w:t>
      </w:r>
      <w:r w:rsidRPr="00D53935">
        <w:rPr>
          <w:rFonts w:ascii="Georgia" w:hAnsi="Georgia"/>
          <w:sz w:val="19"/>
          <w:szCs w:val="19"/>
        </w:rPr>
        <w:t>. This will improve learning environments across</w:t>
      </w:r>
      <w:r>
        <w:rPr>
          <w:rFonts w:ascii="Georgia" w:hAnsi="Georgia"/>
          <w:sz w:val="19"/>
          <w:szCs w:val="19"/>
        </w:rPr>
        <w:t xml:space="preserve"> all 93 primary</w:t>
      </w:r>
      <w:r w:rsidRPr="00D53935">
        <w:rPr>
          <w:rFonts w:ascii="Georgia" w:hAnsi="Georgia"/>
          <w:sz w:val="19"/>
          <w:szCs w:val="19"/>
        </w:rPr>
        <w:t xml:space="preserve"> schools</w:t>
      </w:r>
      <w:r>
        <w:rPr>
          <w:rFonts w:ascii="Georgia" w:hAnsi="Georgia"/>
          <w:sz w:val="19"/>
          <w:szCs w:val="19"/>
        </w:rPr>
        <w:t xml:space="preserve"> in Kiribati</w:t>
      </w:r>
      <w:r w:rsidRPr="00D53935">
        <w:rPr>
          <w:rFonts w:ascii="Georgia" w:hAnsi="Georgia"/>
          <w:sz w:val="19"/>
          <w:szCs w:val="19"/>
        </w:rPr>
        <w:t>.</w:t>
      </w:r>
      <w:r>
        <w:rPr>
          <w:rFonts w:ascii="Georgia" w:hAnsi="Georgia"/>
          <w:sz w:val="19"/>
          <w:szCs w:val="19"/>
        </w:rPr>
        <w:t xml:space="preserve"> The Ministry of Education’s </w:t>
      </w:r>
      <w:r w:rsidRPr="00D53935">
        <w:rPr>
          <w:rFonts w:ascii="Georgia" w:hAnsi="Georgia"/>
          <w:sz w:val="19"/>
          <w:szCs w:val="19"/>
        </w:rPr>
        <w:t xml:space="preserve">Facilities Management Unit has been strengthened to manage </w:t>
      </w:r>
      <w:r>
        <w:rPr>
          <w:rFonts w:ascii="Georgia" w:hAnsi="Georgia"/>
          <w:sz w:val="19"/>
          <w:szCs w:val="19"/>
        </w:rPr>
        <w:t xml:space="preserve">an </w:t>
      </w:r>
      <w:r w:rsidR="00773794">
        <w:rPr>
          <w:rFonts w:ascii="Georgia" w:hAnsi="Georgia"/>
          <w:sz w:val="19"/>
          <w:szCs w:val="19"/>
        </w:rPr>
        <w:t xml:space="preserve">increased </w:t>
      </w:r>
      <w:r w:rsidRPr="00D53935">
        <w:rPr>
          <w:rFonts w:ascii="Georgia" w:hAnsi="Georgia"/>
          <w:sz w:val="19"/>
          <w:szCs w:val="19"/>
        </w:rPr>
        <w:t>rehabilitation program and ongoing maintenance</w:t>
      </w:r>
      <w:r>
        <w:rPr>
          <w:rFonts w:ascii="Georgia" w:hAnsi="Georgia"/>
          <w:sz w:val="19"/>
          <w:szCs w:val="19"/>
        </w:rPr>
        <w:t xml:space="preserve">. </w:t>
      </w:r>
      <w:r w:rsidRPr="00D53935">
        <w:rPr>
          <w:rFonts w:ascii="Georgia" w:hAnsi="Georgia"/>
          <w:sz w:val="19"/>
          <w:szCs w:val="19"/>
        </w:rPr>
        <w:t>Community consultation precedes all infrastructure work to build community ownership</w:t>
      </w:r>
      <w:r w:rsidR="00773794">
        <w:rPr>
          <w:rFonts w:ascii="Georgia" w:hAnsi="Georgia"/>
          <w:sz w:val="19"/>
          <w:szCs w:val="19"/>
        </w:rPr>
        <w:t xml:space="preserve"> –</w:t>
      </w:r>
      <w:r w:rsidR="00773794" w:rsidRPr="00D53935">
        <w:rPr>
          <w:rFonts w:ascii="Georgia" w:hAnsi="Georgia"/>
          <w:sz w:val="19"/>
          <w:szCs w:val="19"/>
        </w:rPr>
        <w:t xml:space="preserve"> </w:t>
      </w:r>
      <w:r w:rsidRPr="00D53935">
        <w:rPr>
          <w:rFonts w:ascii="Georgia" w:hAnsi="Georgia"/>
          <w:sz w:val="19"/>
          <w:szCs w:val="19"/>
        </w:rPr>
        <w:t xml:space="preserve">this will help maintain buildings in the future. </w:t>
      </w:r>
      <w:r w:rsidRPr="002275CF">
        <w:rPr>
          <w:rFonts w:ascii="Georgia" w:hAnsi="Georgia"/>
          <w:sz w:val="19"/>
          <w:szCs w:val="19"/>
        </w:rPr>
        <w:t>In 2011</w:t>
      </w:r>
      <w:r w:rsidR="00773794">
        <w:rPr>
          <w:rFonts w:ascii="Georgia" w:hAnsi="Georgia"/>
          <w:sz w:val="19"/>
          <w:szCs w:val="19"/>
        </w:rPr>
        <w:t>–</w:t>
      </w:r>
      <w:r w:rsidR="00216E1E">
        <w:rPr>
          <w:rFonts w:ascii="Georgia" w:hAnsi="Georgia"/>
          <w:sz w:val="19"/>
          <w:szCs w:val="19"/>
        </w:rPr>
        <w:t>12</w:t>
      </w:r>
      <w:r w:rsidRPr="002275CF">
        <w:rPr>
          <w:rFonts w:ascii="Georgia" w:hAnsi="Georgia"/>
          <w:sz w:val="19"/>
          <w:szCs w:val="19"/>
        </w:rPr>
        <w:t xml:space="preserve">, </w:t>
      </w:r>
      <w:r w:rsidR="00216E1E">
        <w:rPr>
          <w:rFonts w:ascii="Georgia" w:hAnsi="Georgia"/>
          <w:sz w:val="19"/>
          <w:szCs w:val="19"/>
        </w:rPr>
        <w:t xml:space="preserve">some </w:t>
      </w:r>
      <w:r w:rsidR="00265831">
        <w:rPr>
          <w:rFonts w:ascii="Georgia" w:hAnsi="Georgia"/>
          <w:sz w:val="19"/>
          <w:szCs w:val="19"/>
        </w:rPr>
        <w:t>873</w:t>
      </w:r>
      <w:r w:rsidR="00265831" w:rsidRPr="002275CF">
        <w:rPr>
          <w:rFonts w:ascii="Georgia" w:hAnsi="Georgia"/>
          <w:sz w:val="19"/>
          <w:szCs w:val="19"/>
        </w:rPr>
        <w:t xml:space="preserve"> </w:t>
      </w:r>
      <w:r w:rsidRPr="002275CF">
        <w:rPr>
          <w:rFonts w:ascii="Georgia" w:hAnsi="Georgia"/>
          <w:sz w:val="19"/>
          <w:szCs w:val="19"/>
        </w:rPr>
        <w:t xml:space="preserve">children benefited from </w:t>
      </w:r>
      <w:r w:rsidR="00773794">
        <w:rPr>
          <w:rFonts w:ascii="Georgia" w:hAnsi="Georgia"/>
          <w:sz w:val="19"/>
          <w:szCs w:val="19"/>
        </w:rPr>
        <w:t>six</w:t>
      </w:r>
      <w:r w:rsidR="00773794" w:rsidRPr="002275CF">
        <w:rPr>
          <w:rFonts w:ascii="Georgia" w:hAnsi="Georgia"/>
          <w:sz w:val="19"/>
          <w:szCs w:val="19"/>
        </w:rPr>
        <w:t xml:space="preserve"> </w:t>
      </w:r>
      <w:r w:rsidRPr="002275CF">
        <w:rPr>
          <w:rFonts w:ascii="Georgia" w:hAnsi="Georgia"/>
          <w:sz w:val="19"/>
          <w:szCs w:val="19"/>
        </w:rPr>
        <w:t xml:space="preserve">completed pilot schools. </w:t>
      </w:r>
    </w:p>
    <w:p w14:paraId="310A6D15" w14:textId="7C18B874" w:rsidR="00B97810" w:rsidRPr="00D53935" w:rsidRDefault="00B97810" w:rsidP="00AB71D0">
      <w:pPr>
        <w:pStyle w:val="H4"/>
      </w:pPr>
      <w:r w:rsidRPr="00D53935">
        <w:t xml:space="preserve">Policy </w:t>
      </w:r>
      <w:r w:rsidR="00773794">
        <w:t>and</w:t>
      </w:r>
      <w:r w:rsidR="00773794" w:rsidRPr="00D53935">
        <w:t xml:space="preserve"> </w:t>
      </w:r>
      <w:r w:rsidRPr="00D53935">
        <w:t>legislation</w:t>
      </w:r>
    </w:p>
    <w:p w14:paraId="780786EE" w14:textId="13587DC1" w:rsidR="00B97810" w:rsidRPr="002275CF" w:rsidRDefault="00B97810" w:rsidP="00A6377B">
      <w:pPr>
        <w:pStyle w:val="gray"/>
        <w:numPr>
          <w:ilvl w:val="0"/>
          <w:numId w:val="3"/>
        </w:numPr>
        <w:spacing w:before="240" w:after="120" w:line="280" w:lineRule="atLeast"/>
        <w:ind w:left="360" w:right="272"/>
        <w:rPr>
          <w:rFonts w:ascii="Georgia" w:hAnsi="Georgia"/>
          <w:sz w:val="19"/>
          <w:szCs w:val="19"/>
        </w:rPr>
      </w:pPr>
      <w:r w:rsidRPr="002275CF">
        <w:rPr>
          <w:rFonts w:ascii="Georgia" w:hAnsi="Georgia"/>
          <w:sz w:val="19"/>
          <w:szCs w:val="19"/>
        </w:rPr>
        <w:t xml:space="preserve">Following review, a draft </w:t>
      </w:r>
      <w:r w:rsidR="00271E69">
        <w:rPr>
          <w:rFonts w:ascii="Georgia" w:hAnsi="Georgia"/>
          <w:sz w:val="19"/>
          <w:szCs w:val="19"/>
        </w:rPr>
        <w:t>e</w:t>
      </w:r>
      <w:r w:rsidRPr="002275CF">
        <w:rPr>
          <w:rFonts w:ascii="Georgia" w:hAnsi="Georgia"/>
          <w:sz w:val="19"/>
          <w:szCs w:val="19"/>
        </w:rPr>
        <w:t>ducation Bill will go before Parliament in 2012 to make provision for a</w:t>
      </w:r>
      <w:r>
        <w:rPr>
          <w:rFonts w:ascii="Georgia" w:hAnsi="Georgia"/>
          <w:sz w:val="19"/>
          <w:szCs w:val="19"/>
        </w:rPr>
        <w:t>n inclusive and</w:t>
      </w:r>
      <w:r w:rsidRPr="002275CF">
        <w:rPr>
          <w:rFonts w:ascii="Georgia" w:hAnsi="Georgia"/>
          <w:sz w:val="19"/>
          <w:szCs w:val="19"/>
        </w:rPr>
        <w:t xml:space="preserve"> quality education system.</w:t>
      </w:r>
    </w:p>
    <w:p w14:paraId="53D06387" w14:textId="7DA2BD2D" w:rsidR="00B97810" w:rsidRPr="002275CF" w:rsidRDefault="00B97810" w:rsidP="00A6377B">
      <w:pPr>
        <w:pStyle w:val="gray"/>
        <w:numPr>
          <w:ilvl w:val="0"/>
          <w:numId w:val="3"/>
        </w:numPr>
        <w:spacing w:before="240" w:after="120" w:line="280" w:lineRule="atLeast"/>
        <w:ind w:left="360" w:right="272"/>
        <w:rPr>
          <w:rFonts w:ascii="Georgia" w:hAnsi="Georgia"/>
          <w:sz w:val="19"/>
          <w:szCs w:val="19"/>
        </w:rPr>
      </w:pPr>
      <w:r w:rsidRPr="002275CF">
        <w:rPr>
          <w:rFonts w:ascii="Georgia" w:hAnsi="Georgia"/>
          <w:sz w:val="19"/>
          <w:szCs w:val="19"/>
        </w:rPr>
        <w:t>A new K</w:t>
      </w:r>
      <w:r>
        <w:rPr>
          <w:rFonts w:ascii="Georgia" w:hAnsi="Georgia"/>
          <w:sz w:val="19"/>
          <w:szCs w:val="19"/>
        </w:rPr>
        <w:t>iribati Education Management Information System</w:t>
      </w:r>
      <w:r w:rsidRPr="002275CF">
        <w:rPr>
          <w:rFonts w:ascii="Georgia" w:hAnsi="Georgia"/>
          <w:sz w:val="19"/>
          <w:szCs w:val="19"/>
        </w:rPr>
        <w:t xml:space="preserve"> policy resulted in significant increases in compliance rates for data survey returns (from non-compliance of 56</w:t>
      </w:r>
      <w:r w:rsidR="00216E1E">
        <w:rPr>
          <w:rFonts w:ascii="Georgia" w:hAnsi="Georgia"/>
          <w:sz w:val="19"/>
          <w:szCs w:val="19"/>
        </w:rPr>
        <w:t xml:space="preserve"> schools in 2010 to </w:t>
      </w:r>
      <w:r w:rsidR="00773794">
        <w:rPr>
          <w:rFonts w:ascii="Georgia" w:hAnsi="Georgia"/>
          <w:sz w:val="19"/>
          <w:szCs w:val="19"/>
        </w:rPr>
        <w:t xml:space="preserve">four </w:t>
      </w:r>
      <w:r w:rsidR="00216E1E">
        <w:rPr>
          <w:rFonts w:ascii="Georgia" w:hAnsi="Georgia"/>
          <w:sz w:val="19"/>
          <w:szCs w:val="19"/>
        </w:rPr>
        <w:t>in 2011).</w:t>
      </w:r>
      <w:r w:rsidRPr="002275CF">
        <w:rPr>
          <w:rFonts w:ascii="Georgia" w:hAnsi="Georgia"/>
          <w:sz w:val="19"/>
          <w:szCs w:val="19"/>
        </w:rPr>
        <w:t xml:space="preserve"> </w:t>
      </w:r>
    </w:p>
    <w:p w14:paraId="7C8710AD" w14:textId="77777777" w:rsidR="00B97810" w:rsidRPr="005C4ACE" w:rsidRDefault="00B97810" w:rsidP="002F18A6">
      <w:pPr>
        <w:pStyle w:val="gray"/>
        <w:tabs>
          <w:tab w:val="left" w:pos="5448"/>
          <w:tab w:val="left" w:pos="7526"/>
        </w:tabs>
        <w:spacing w:before="240" w:after="120" w:line="280" w:lineRule="atLeast"/>
        <w:ind w:left="0" w:right="272"/>
        <w:rPr>
          <w:rFonts w:ascii="Georgia" w:hAnsi="Georgia"/>
          <w:i/>
          <w:sz w:val="19"/>
          <w:szCs w:val="19"/>
        </w:rPr>
      </w:pPr>
      <w:r w:rsidRPr="005C4ACE">
        <w:rPr>
          <w:rFonts w:ascii="Georgia" w:hAnsi="Georgia"/>
          <w:i/>
          <w:sz w:val="19"/>
          <w:szCs w:val="19"/>
        </w:rPr>
        <w:t>Workforce development</w:t>
      </w:r>
    </w:p>
    <w:p w14:paraId="7EFC8930" w14:textId="6EA5D602" w:rsidR="00B7690E" w:rsidRPr="00AB71D0" w:rsidRDefault="00B97810" w:rsidP="00AB71D0">
      <w:pPr>
        <w:pStyle w:val="gray"/>
        <w:numPr>
          <w:ilvl w:val="0"/>
          <w:numId w:val="3"/>
        </w:numPr>
        <w:spacing w:before="240" w:after="120" w:line="280" w:lineRule="atLeast"/>
        <w:ind w:left="360" w:right="272"/>
        <w:rPr>
          <w:rFonts w:ascii="Georgia" w:hAnsi="Georgia"/>
          <w:i/>
          <w:sz w:val="19"/>
          <w:szCs w:val="19"/>
        </w:rPr>
      </w:pPr>
      <w:r w:rsidRPr="00AB71D0">
        <w:rPr>
          <w:rFonts w:ascii="Georgia" w:hAnsi="Georgia"/>
          <w:sz w:val="19"/>
          <w:szCs w:val="19"/>
        </w:rPr>
        <w:t>A teacher professional development framework incorporating English language competencies, teacher performance and service standards was developed in 2011 and will be implemented in 2012</w:t>
      </w:r>
      <w:r w:rsidR="00773794" w:rsidRPr="00AB71D0">
        <w:rPr>
          <w:rFonts w:ascii="Georgia" w:hAnsi="Georgia"/>
          <w:sz w:val="19"/>
          <w:szCs w:val="19"/>
        </w:rPr>
        <w:t>. This will</w:t>
      </w:r>
      <w:r w:rsidRPr="00AB71D0">
        <w:rPr>
          <w:rFonts w:ascii="Georgia" w:hAnsi="Georgia"/>
          <w:sz w:val="19"/>
          <w:szCs w:val="19"/>
        </w:rPr>
        <w:t xml:space="preserve"> serve as the basis for improved teacher quality</w:t>
      </w:r>
      <w:r w:rsidR="00773794" w:rsidRPr="00AB71D0">
        <w:rPr>
          <w:rFonts w:ascii="Georgia" w:hAnsi="Georgia"/>
          <w:sz w:val="19"/>
          <w:szCs w:val="19"/>
        </w:rPr>
        <w:t xml:space="preserve"> and </w:t>
      </w:r>
      <w:r w:rsidRPr="00AB71D0">
        <w:rPr>
          <w:rFonts w:ascii="Georgia" w:hAnsi="Georgia"/>
          <w:sz w:val="19"/>
          <w:szCs w:val="19"/>
        </w:rPr>
        <w:t>contribut</w:t>
      </w:r>
      <w:r w:rsidR="00773794" w:rsidRPr="00AB71D0">
        <w:rPr>
          <w:rFonts w:ascii="Georgia" w:hAnsi="Georgia"/>
          <w:sz w:val="19"/>
          <w:szCs w:val="19"/>
        </w:rPr>
        <w:t>e</w:t>
      </w:r>
      <w:r w:rsidRPr="00AB71D0">
        <w:rPr>
          <w:rFonts w:ascii="Georgia" w:hAnsi="Georgia"/>
          <w:sz w:val="19"/>
          <w:szCs w:val="19"/>
        </w:rPr>
        <w:t xml:space="preserve"> to improved learning outcomes.</w:t>
      </w:r>
      <w:r w:rsidR="00B7690E" w:rsidRPr="00AB71D0">
        <w:rPr>
          <w:rFonts w:ascii="Georgia" w:hAnsi="Georgia"/>
          <w:i/>
          <w:sz w:val="19"/>
          <w:szCs w:val="19"/>
        </w:rPr>
        <w:br w:type="page"/>
      </w:r>
    </w:p>
    <w:p w14:paraId="28DB3479" w14:textId="1CDA5506" w:rsidR="00B97810" w:rsidRPr="005C4ACE" w:rsidRDefault="00B97810" w:rsidP="00AB71D0">
      <w:pPr>
        <w:pStyle w:val="H4"/>
      </w:pPr>
      <w:r w:rsidRPr="005C4ACE">
        <w:lastRenderedPageBreak/>
        <w:t xml:space="preserve">Curriculum </w:t>
      </w:r>
      <w:r w:rsidR="00773794">
        <w:t>and</w:t>
      </w:r>
      <w:r w:rsidR="00773794" w:rsidRPr="005C4ACE">
        <w:t xml:space="preserve"> </w:t>
      </w:r>
      <w:r w:rsidRPr="005C4ACE">
        <w:t>assessment</w:t>
      </w:r>
    </w:p>
    <w:p w14:paraId="7C78D3BB" w14:textId="4AF74538" w:rsidR="00B97810" w:rsidRPr="0058469E" w:rsidRDefault="00773794" w:rsidP="00A6377B">
      <w:pPr>
        <w:pStyle w:val="gray"/>
        <w:numPr>
          <w:ilvl w:val="0"/>
          <w:numId w:val="3"/>
        </w:numPr>
        <w:spacing w:before="240" w:after="120" w:line="280" w:lineRule="atLeast"/>
        <w:ind w:left="360" w:right="272"/>
        <w:rPr>
          <w:rFonts w:ascii="Georgia" w:hAnsi="Georgia"/>
          <w:sz w:val="19"/>
          <w:szCs w:val="19"/>
        </w:rPr>
      </w:pPr>
      <w:r>
        <w:rPr>
          <w:rFonts w:ascii="Georgia" w:hAnsi="Georgia"/>
          <w:sz w:val="19"/>
          <w:szCs w:val="19"/>
        </w:rPr>
        <w:t>The Ministry of Education</w:t>
      </w:r>
      <w:r w:rsidRPr="005C4ACE">
        <w:rPr>
          <w:rFonts w:ascii="Georgia" w:hAnsi="Georgia"/>
          <w:sz w:val="19"/>
          <w:szCs w:val="19"/>
        </w:rPr>
        <w:t xml:space="preserve"> </w:t>
      </w:r>
      <w:r w:rsidR="00B97810" w:rsidRPr="005C4ACE">
        <w:rPr>
          <w:rFonts w:ascii="Georgia" w:hAnsi="Georgia"/>
          <w:sz w:val="19"/>
          <w:szCs w:val="19"/>
        </w:rPr>
        <w:t>now ha</w:t>
      </w:r>
      <w:r>
        <w:rPr>
          <w:rFonts w:ascii="Georgia" w:hAnsi="Georgia"/>
          <w:sz w:val="19"/>
          <w:szCs w:val="19"/>
        </w:rPr>
        <w:t xml:space="preserve">s </w:t>
      </w:r>
      <w:r w:rsidR="00B97810" w:rsidRPr="005C4ACE">
        <w:rPr>
          <w:rFonts w:ascii="Georgia" w:hAnsi="Georgia"/>
          <w:sz w:val="19"/>
          <w:szCs w:val="19"/>
        </w:rPr>
        <w:t>a National Curriculum and Assessment Framework ready for implementation. This substantially improves the quality of the syllabus and teaching materials to enhance learning experiences</w:t>
      </w:r>
      <w:r w:rsidR="004A213C">
        <w:rPr>
          <w:rFonts w:ascii="Georgia" w:hAnsi="Georgia"/>
          <w:sz w:val="19"/>
          <w:szCs w:val="19"/>
        </w:rPr>
        <w:t xml:space="preserve"> </w:t>
      </w:r>
      <w:r w:rsidR="00B97810" w:rsidRPr="005C4ACE">
        <w:rPr>
          <w:rFonts w:ascii="Georgia" w:hAnsi="Georgia"/>
          <w:sz w:val="19"/>
          <w:szCs w:val="19"/>
        </w:rPr>
        <w:t>and quality learning outcomes.</w:t>
      </w:r>
      <w:r w:rsidR="00E92460">
        <w:rPr>
          <w:rFonts w:ascii="Georgia" w:hAnsi="Georgia"/>
          <w:sz w:val="19"/>
          <w:szCs w:val="19"/>
        </w:rPr>
        <w:t xml:space="preserve"> </w:t>
      </w:r>
    </w:p>
    <w:p w14:paraId="1F0B6EFE" w14:textId="75E08C4D" w:rsidR="001A3443" w:rsidRPr="00AB71D0" w:rsidRDefault="004A213C" w:rsidP="00AB71D0">
      <w:pPr>
        <w:spacing w:before="240" w:after="120" w:line="280" w:lineRule="atLeast"/>
        <w:rPr>
          <w:rFonts w:ascii="Georgia" w:hAnsi="Georgia" w:cs="Arial"/>
          <w:color w:val="333333"/>
          <w:sz w:val="19"/>
          <w:szCs w:val="19"/>
        </w:rPr>
      </w:pPr>
      <w:r w:rsidRPr="00AB71D0">
        <w:rPr>
          <w:rFonts w:ascii="Georgia" w:hAnsi="Georgia" w:cs="Arial"/>
          <w:color w:val="333333"/>
          <w:sz w:val="19"/>
          <w:szCs w:val="19"/>
        </w:rPr>
        <w:t xml:space="preserve">A large part of the </w:t>
      </w:r>
      <w:r w:rsidR="00773794" w:rsidRPr="00AB71D0">
        <w:rPr>
          <w:rFonts w:ascii="Georgia" w:hAnsi="Georgia" w:cs="Arial"/>
          <w:color w:val="333333"/>
          <w:sz w:val="19"/>
          <w:szCs w:val="19"/>
        </w:rPr>
        <w:t xml:space="preserve">Kiribati Education Improvement Program </w:t>
      </w:r>
      <w:r w:rsidRPr="00AB71D0">
        <w:rPr>
          <w:rFonts w:ascii="Georgia" w:hAnsi="Georgia" w:cs="Arial"/>
          <w:color w:val="333333"/>
          <w:sz w:val="19"/>
          <w:szCs w:val="19"/>
        </w:rPr>
        <w:t>is implemented by a managing contractor</w:t>
      </w:r>
      <w:r w:rsidR="00773794" w:rsidRPr="00AB71D0">
        <w:rPr>
          <w:rFonts w:ascii="Georgia" w:hAnsi="Georgia" w:cs="Arial"/>
          <w:color w:val="333333"/>
          <w:sz w:val="19"/>
          <w:szCs w:val="19"/>
        </w:rPr>
        <w:t xml:space="preserve">, </w:t>
      </w:r>
      <w:r w:rsidRPr="00AB71D0">
        <w:rPr>
          <w:rFonts w:ascii="Georgia" w:hAnsi="Georgia" w:cs="Arial"/>
          <w:color w:val="333333"/>
          <w:sz w:val="19"/>
          <w:szCs w:val="19"/>
        </w:rPr>
        <w:t xml:space="preserve">however UNICEF and UNESCO are both key partners engaged in delivering components of </w:t>
      </w:r>
      <w:r w:rsidR="00773794" w:rsidRPr="00AB71D0">
        <w:rPr>
          <w:rFonts w:ascii="Georgia" w:hAnsi="Georgia" w:cs="Arial"/>
          <w:color w:val="333333"/>
          <w:sz w:val="19"/>
          <w:szCs w:val="19"/>
        </w:rPr>
        <w:t>the program</w:t>
      </w:r>
      <w:r w:rsidRPr="00AB71D0">
        <w:rPr>
          <w:rFonts w:ascii="Georgia" w:hAnsi="Georgia" w:cs="Arial"/>
          <w:color w:val="333333"/>
          <w:sz w:val="19"/>
          <w:szCs w:val="19"/>
        </w:rPr>
        <w:t xml:space="preserve">. The </w:t>
      </w:r>
      <w:proofErr w:type="spellStart"/>
      <w:r w:rsidRPr="00AB71D0">
        <w:rPr>
          <w:rFonts w:ascii="Georgia" w:hAnsi="Georgia" w:cs="Arial"/>
          <w:color w:val="333333"/>
          <w:sz w:val="19"/>
          <w:szCs w:val="19"/>
        </w:rPr>
        <w:t>AusAID</w:t>
      </w:r>
      <w:proofErr w:type="spellEnd"/>
      <w:r w:rsidRPr="00AB71D0">
        <w:rPr>
          <w:rFonts w:ascii="Georgia" w:hAnsi="Georgia" w:cs="Arial"/>
          <w:color w:val="333333"/>
          <w:sz w:val="19"/>
          <w:szCs w:val="19"/>
        </w:rPr>
        <w:t>-funded U</w:t>
      </w:r>
      <w:r w:rsidR="00773794" w:rsidRPr="00AB71D0">
        <w:rPr>
          <w:rFonts w:ascii="Georgia" w:hAnsi="Georgia" w:cs="Arial"/>
          <w:color w:val="333333"/>
          <w:sz w:val="19"/>
          <w:szCs w:val="19"/>
        </w:rPr>
        <w:t xml:space="preserve">nited </w:t>
      </w:r>
      <w:r w:rsidRPr="00AB71D0">
        <w:rPr>
          <w:rFonts w:ascii="Georgia" w:hAnsi="Georgia" w:cs="Arial"/>
          <w:color w:val="333333"/>
          <w:sz w:val="19"/>
          <w:szCs w:val="19"/>
        </w:rPr>
        <w:t>N</w:t>
      </w:r>
      <w:r w:rsidR="00773794" w:rsidRPr="00AB71D0">
        <w:rPr>
          <w:rFonts w:ascii="Georgia" w:hAnsi="Georgia" w:cs="Arial"/>
          <w:color w:val="333333"/>
          <w:sz w:val="19"/>
          <w:szCs w:val="19"/>
        </w:rPr>
        <w:t>ations</w:t>
      </w:r>
      <w:r w:rsidRPr="00AB71D0">
        <w:rPr>
          <w:rFonts w:ascii="Georgia" w:hAnsi="Georgia" w:cs="Arial"/>
          <w:color w:val="333333"/>
          <w:sz w:val="19"/>
          <w:szCs w:val="19"/>
        </w:rPr>
        <w:t xml:space="preserve">-implemented components have not progressed for a variety of reasons. For example, UNICEF has only </w:t>
      </w:r>
      <w:r w:rsidR="00FA015E" w:rsidRPr="00AB71D0">
        <w:rPr>
          <w:rFonts w:ascii="Georgia" w:hAnsi="Georgia" w:cs="Arial"/>
          <w:color w:val="333333"/>
          <w:sz w:val="19"/>
          <w:szCs w:val="19"/>
        </w:rPr>
        <w:t>spent US</w:t>
      </w:r>
      <w:r w:rsidRPr="00AB71D0">
        <w:rPr>
          <w:rFonts w:ascii="Georgia" w:hAnsi="Georgia" w:cs="Arial"/>
          <w:color w:val="333333"/>
          <w:sz w:val="19"/>
          <w:szCs w:val="19"/>
        </w:rPr>
        <w:t>$55</w:t>
      </w:r>
      <w:r w:rsidR="00FA015E" w:rsidRPr="00AB71D0">
        <w:rPr>
          <w:rFonts w:ascii="Georgia" w:hAnsi="Georgia" w:cs="Arial"/>
          <w:color w:val="333333"/>
          <w:sz w:val="19"/>
          <w:szCs w:val="19"/>
        </w:rPr>
        <w:t xml:space="preserve"> </w:t>
      </w:r>
      <w:r w:rsidRPr="00AB71D0">
        <w:rPr>
          <w:rFonts w:ascii="Georgia" w:hAnsi="Georgia" w:cs="Arial"/>
          <w:color w:val="333333"/>
          <w:sz w:val="19"/>
          <w:szCs w:val="19"/>
        </w:rPr>
        <w:t>000</w:t>
      </w:r>
      <w:r w:rsidR="00FA015E" w:rsidRPr="00AB71D0">
        <w:rPr>
          <w:rFonts w:ascii="Georgia" w:hAnsi="Georgia" w:cs="Arial"/>
          <w:color w:val="333333"/>
          <w:sz w:val="19"/>
          <w:szCs w:val="19"/>
        </w:rPr>
        <w:t xml:space="preserve"> </w:t>
      </w:r>
      <w:r w:rsidRPr="00AB71D0">
        <w:rPr>
          <w:rFonts w:ascii="Georgia" w:hAnsi="Georgia" w:cs="Arial"/>
          <w:color w:val="333333"/>
          <w:sz w:val="19"/>
          <w:szCs w:val="19"/>
        </w:rPr>
        <w:t>out of US$418</w:t>
      </w:r>
      <w:r w:rsidR="00FA015E" w:rsidRPr="00AB71D0">
        <w:rPr>
          <w:rFonts w:ascii="Georgia" w:hAnsi="Georgia" w:cs="Arial"/>
          <w:color w:val="333333"/>
          <w:sz w:val="19"/>
          <w:szCs w:val="19"/>
        </w:rPr>
        <w:t xml:space="preserve"> </w:t>
      </w:r>
      <w:r w:rsidRPr="00AB71D0">
        <w:rPr>
          <w:rFonts w:ascii="Georgia" w:hAnsi="Georgia" w:cs="Arial"/>
          <w:color w:val="333333"/>
          <w:sz w:val="19"/>
          <w:szCs w:val="19"/>
        </w:rPr>
        <w:t>835. While difficult</w:t>
      </w:r>
      <w:r w:rsidR="00B7690E" w:rsidRPr="00AB71D0">
        <w:rPr>
          <w:rFonts w:ascii="Georgia" w:hAnsi="Georgia" w:cs="Arial"/>
          <w:color w:val="333333"/>
          <w:sz w:val="19"/>
          <w:szCs w:val="19"/>
        </w:rPr>
        <w:t>ies</w:t>
      </w:r>
      <w:r w:rsidRPr="00AB71D0">
        <w:rPr>
          <w:rFonts w:ascii="Georgia" w:hAnsi="Georgia" w:cs="Arial"/>
          <w:color w:val="333333"/>
          <w:sz w:val="19"/>
          <w:szCs w:val="19"/>
        </w:rPr>
        <w:t xml:space="preserve"> recruiting a</w:t>
      </w:r>
      <w:r w:rsidR="00FA015E" w:rsidRPr="00AB71D0">
        <w:rPr>
          <w:rFonts w:ascii="Georgia" w:hAnsi="Georgia" w:cs="Arial"/>
          <w:color w:val="333333"/>
          <w:sz w:val="19"/>
          <w:szCs w:val="19"/>
        </w:rPr>
        <w:t xml:space="preserve"> Pacific’s education </w:t>
      </w:r>
      <w:r w:rsidRPr="00AB71D0">
        <w:rPr>
          <w:rFonts w:ascii="Georgia" w:hAnsi="Georgia" w:cs="Arial"/>
          <w:color w:val="333333"/>
          <w:sz w:val="19"/>
          <w:szCs w:val="19"/>
        </w:rPr>
        <w:t xml:space="preserve">specialist for its Tarawa office contributed to this, compounding factors include lack of clarity regarding the roles of </w:t>
      </w:r>
      <w:r w:rsidR="00FA015E" w:rsidRPr="00AB71D0">
        <w:rPr>
          <w:rFonts w:ascii="Georgia" w:hAnsi="Georgia" w:cs="Arial"/>
          <w:color w:val="333333"/>
          <w:sz w:val="19"/>
          <w:szCs w:val="19"/>
        </w:rPr>
        <w:t xml:space="preserve">its </w:t>
      </w:r>
      <w:r w:rsidRPr="00AB71D0">
        <w:rPr>
          <w:rFonts w:ascii="Georgia" w:hAnsi="Georgia" w:cs="Arial"/>
          <w:color w:val="333333"/>
          <w:sz w:val="19"/>
          <w:szCs w:val="19"/>
        </w:rPr>
        <w:t xml:space="preserve">Suva </w:t>
      </w:r>
      <w:r w:rsidR="00FA015E" w:rsidRPr="00AB71D0">
        <w:rPr>
          <w:rFonts w:ascii="Georgia" w:hAnsi="Georgia" w:cs="Arial"/>
          <w:color w:val="333333"/>
          <w:sz w:val="19"/>
          <w:szCs w:val="19"/>
        </w:rPr>
        <w:t xml:space="preserve">and </w:t>
      </w:r>
      <w:r w:rsidRPr="00AB71D0">
        <w:rPr>
          <w:rFonts w:ascii="Georgia" w:hAnsi="Georgia" w:cs="Arial"/>
          <w:color w:val="333333"/>
          <w:sz w:val="19"/>
          <w:szCs w:val="19"/>
        </w:rPr>
        <w:t>Tarawa office</w:t>
      </w:r>
      <w:r w:rsidR="00FA015E" w:rsidRPr="00AB71D0">
        <w:rPr>
          <w:rFonts w:ascii="Georgia" w:hAnsi="Georgia" w:cs="Arial"/>
          <w:color w:val="333333"/>
          <w:sz w:val="19"/>
          <w:szCs w:val="19"/>
        </w:rPr>
        <w:t>s</w:t>
      </w:r>
      <w:r w:rsidRPr="00AB71D0">
        <w:rPr>
          <w:rFonts w:ascii="Georgia" w:hAnsi="Georgia" w:cs="Arial"/>
          <w:color w:val="333333"/>
          <w:sz w:val="19"/>
          <w:szCs w:val="19"/>
        </w:rPr>
        <w:t xml:space="preserve">. In the case of UNESCO, not having an in-country presence has limited </w:t>
      </w:r>
      <w:r w:rsidR="00FA015E" w:rsidRPr="00AB71D0">
        <w:rPr>
          <w:rFonts w:ascii="Georgia" w:hAnsi="Georgia" w:cs="Arial"/>
          <w:color w:val="333333"/>
          <w:sz w:val="19"/>
          <w:szCs w:val="19"/>
        </w:rPr>
        <w:t xml:space="preserve">its </w:t>
      </w:r>
      <w:r w:rsidRPr="00AB71D0">
        <w:rPr>
          <w:rFonts w:ascii="Georgia" w:hAnsi="Georgia" w:cs="Arial"/>
          <w:color w:val="333333"/>
          <w:sz w:val="19"/>
          <w:szCs w:val="19"/>
        </w:rPr>
        <w:t>effectiveness. Adding to these issues is the U</w:t>
      </w:r>
      <w:r w:rsidR="00FA015E" w:rsidRPr="00AB71D0">
        <w:rPr>
          <w:rFonts w:ascii="Georgia" w:hAnsi="Georgia" w:cs="Arial"/>
          <w:color w:val="333333"/>
          <w:sz w:val="19"/>
          <w:szCs w:val="19"/>
        </w:rPr>
        <w:t xml:space="preserve">nited </w:t>
      </w:r>
      <w:r w:rsidRPr="00AB71D0">
        <w:rPr>
          <w:rFonts w:ascii="Georgia" w:hAnsi="Georgia" w:cs="Arial"/>
          <w:color w:val="333333"/>
          <w:sz w:val="19"/>
          <w:szCs w:val="19"/>
        </w:rPr>
        <w:t>N</w:t>
      </w:r>
      <w:r w:rsidR="00FA015E" w:rsidRPr="00AB71D0">
        <w:rPr>
          <w:rFonts w:ascii="Georgia" w:hAnsi="Georgia" w:cs="Arial"/>
          <w:color w:val="333333"/>
          <w:sz w:val="19"/>
          <w:szCs w:val="19"/>
        </w:rPr>
        <w:t>ation</w:t>
      </w:r>
      <w:r w:rsidRPr="00AB71D0">
        <w:rPr>
          <w:rFonts w:ascii="Georgia" w:hAnsi="Georgia" w:cs="Arial"/>
          <w:color w:val="333333"/>
          <w:sz w:val="19"/>
          <w:szCs w:val="19"/>
        </w:rPr>
        <w:t xml:space="preserve">’s lack of engagement with the </w:t>
      </w:r>
      <w:r w:rsidR="00FA015E" w:rsidRPr="00AB71D0">
        <w:rPr>
          <w:rFonts w:ascii="Georgia" w:hAnsi="Georgia" w:cs="Arial"/>
          <w:color w:val="333333"/>
          <w:sz w:val="19"/>
          <w:szCs w:val="19"/>
        </w:rPr>
        <w:t>program oversight committee</w:t>
      </w:r>
      <w:r w:rsidRPr="00AB71D0">
        <w:rPr>
          <w:rFonts w:ascii="Georgia" w:hAnsi="Georgia" w:cs="Arial"/>
          <w:color w:val="333333"/>
          <w:sz w:val="19"/>
          <w:szCs w:val="19"/>
        </w:rPr>
        <w:t xml:space="preserve">, the main governance mechanism where both </w:t>
      </w:r>
      <w:r w:rsidR="00FA015E" w:rsidRPr="00AB71D0">
        <w:rPr>
          <w:rFonts w:ascii="Georgia" w:hAnsi="Georgia" w:cs="Arial"/>
          <w:color w:val="333333"/>
          <w:sz w:val="19"/>
          <w:szCs w:val="19"/>
        </w:rPr>
        <w:t xml:space="preserve">the government </w:t>
      </w:r>
      <w:r w:rsidRPr="00AB71D0">
        <w:rPr>
          <w:rFonts w:ascii="Georgia" w:hAnsi="Georgia" w:cs="Arial"/>
          <w:color w:val="333333"/>
          <w:sz w:val="19"/>
          <w:szCs w:val="19"/>
        </w:rPr>
        <w:t xml:space="preserve">and </w:t>
      </w:r>
      <w:r w:rsidR="00FA015E" w:rsidRPr="00AB71D0">
        <w:rPr>
          <w:rFonts w:ascii="Georgia" w:hAnsi="Georgia" w:cs="Arial"/>
          <w:color w:val="333333"/>
          <w:sz w:val="19"/>
          <w:szCs w:val="19"/>
        </w:rPr>
        <w:t xml:space="preserve">its </w:t>
      </w:r>
      <w:r w:rsidRPr="00AB71D0">
        <w:rPr>
          <w:rFonts w:ascii="Georgia" w:hAnsi="Georgia" w:cs="Arial"/>
          <w:color w:val="333333"/>
          <w:sz w:val="19"/>
          <w:szCs w:val="19"/>
        </w:rPr>
        <w:t>development partners are accountable for the progress of education reform in Kiribati.</w:t>
      </w:r>
    </w:p>
    <w:p w14:paraId="014587C3" w14:textId="77777777" w:rsidR="001A3443" w:rsidRPr="001A3443" w:rsidRDefault="001A3443" w:rsidP="001A3443">
      <w:pPr>
        <w:pStyle w:val="BodyText"/>
      </w:pPr>
    </w:p>
    <w:p w14:paraId="68E147B9" w14:textId="6820A541" w:rsidR="00B97810" w:rsidRPr="00D40A86" w:rsidRDefault="00B97810" w:rsidP="002F18A6">
      <w:pPr>
        <w:pStyle w:val="Heading2"/>
        <w:keepNext/>
        <w:tabs>
          <w:tab w:val="left" w:pos="1920"/>
        </w:tabs>
        <w:spacing w:before="0" w:after="120" w:line="320" w:lineRule="atLeast"/>
      </w:pPr>
      <w:bookmarkStart w:id="7" w:name="_Toc360732548"/>
      <w:r>
        <w:t xml:space="preserve">Outcome 2: Workforce </w:t>
      </w:r>
      <w:r w:rsidR="00B7690E">
        <w:t>s</w:t>
      </w:r>
      <w:r>
        <w:t xml:space="preserve">kills </w:t>
      </w:r>
      <w:r w:rsidR="00B7690E">
        <w:t>d</w:t>
      </w:r>
      <w:r>
        <w:t>evelopment</w:t>
      </w:r>
      <w:bookmarkEnd w:id="7"/>
      <w:r>
        <w:t xml:space="preserve"> </w:t>
      </w:r>
    </w:p>
    <w:p w14:paraId="258969D0" w14:textId="0E8CEAE2" w:rsidR="00B97810" w:rsidRPr="000D22E5" w:rsidRDefault="00B97810" w:rsidP="0006649B">
      <w:pPr>
        <w:pStyle w:val="gray"/>
        <w:spacing w:before="240" w:after="0" w:line="280" w:lineRule="atLeast"/>
        <w:ind w:left="1701" w:right="272" w:hanging="1701"/>
        <w:rPr>
          <w:rFonts w:ascii="Georgia" w:hAnsi="Georgia"/>
          <w:sz w:val="19"/>
          <w:szCs w:val="19"/>
        </w:rPr>
      </w:pPr>
      <w:r w:rsidRPr="000D22E5">
        <w:rPr>
          <w:rFonts w:ascii="Georgia" w:hAnsi="Georgia"/>
          <w:b/>
          <w:sz w:val="19"/>
          <w:szCs w:val="19"/>
        </w:rPr>
        <w:t xml:space="preserve">Commitment: </w:t>
      </w:r>
      <w:r w:rsidR="0006649B">
        <w:rPr>
          <w:rFonts w:ascii="Georgia" w:hAnsi="Georgia"/>
          <w:b/>
          <w:sz w:val="19"/>
          <w:szCs w:val="19"/>
        </w:rPr>
        <w:tab/>
      </w:r>
      <w:r w:rsidR="00745D89">
        <w:rPr>
          <w:rFonts w:ascii="Georgia" w:hAnsi="Georgia"/>
          <w:sz w:val="19"/>
          <w:szCs w:val="19"/>
        </w:rPr>
        <w:t>P</w:t>
      </w:r>
      <w:r w:rsidR="0006649B" w:rsidRPr="000D22E5">
        <w:rPr>
          <w:rFonts w:ascii="Georgia" w:hAnsi="Georgia"/>
          <w:sz w:val="19"/>
          <w:szCs w:val="19"/>
        </w:rPr>
        <w:t xml:space="preserve">rovide </w:t>
      </w:r>
      <w:r w:rsidRPr="000D22E5">
        <w:rPr>
          <w:rFonts w:ascii="Georgia" w:hAnsi="Georgia"/>
          <w:sz w:val="19"/>
          <w:szCs w:val="19"/>
        </w:rPr>
        <w:t xml:space="preserve">opportunities for people to develop workforce skills in areas of </w:t>
      </w:r>
      <w:r w:rsidR="0006649B" w:rsidRPr="000D22E5">
        <w:rPr>
          <w:rFonts w:ascii="Georgia" w:hAnsi="Georgia"/>
          <w:sz w:val="19"/>
          <w:szCs w:val="19"/>
        </w:rPr>
        <w:t xml:space="preserve">both domestic and </w:t>
      </w:r>
      <w:r w:rsidR="0006649B">
        <w:rPr>
          <w:rFonts w:ascii="Georgia" w:hAnsi="Georgia"/>
          <w:sz w:val="19"/>
          <w:szCs w:val="19"/>
        </w:rPr>
        <w:t>international</w:t>
      </w:r>
      <w:r w:rsidR="0006649B" w:rsidRPr="000D22E5">
        <w:rPr>
          <w:rFonts w:ascii="Georgia" w:hAnsi="Georgia"/>
          <w:sz w:val="19"/>
          <w:szCs w:val="19"/>
        </w:rPr>
        <w:t xml:space="preserve"> </w:t>
      </w:r>
      <w:r w:rsidRPr="000D22E5">
        <w:rPr>
          <w:rFonts w:ascii="Georgia" w:hAnsi="Georgia"/>
          <w:sz w:val="19"/>
          <w:szCs w:val="19"/>
        </w:rPr>
        <w:t>industry demand (MDG 1)</w:t>
      </w:r>
      <w:r w:rsidR="00745D89">
        <w:rPr>
          <w:rFonts w:ascii="Georgia" w:hAnsi="Georgia"/>
          <w:sz w:val="19"/>
          <w:szCs w:val="19"/>
        </w:rPr>
        <w:t>.</w:t>
      </w:r>
    </w:p>
    <w:p w14:paraId="23AD0FBB" w14:textId="330F6380" w:rsidR="00B97810" w:rsidRPr="000D22E5" w:rsidRDefault="00B97810" w:rsidP="00AD7CED">
      <w:pPr>
        <w:pStyle w:val="gray"/>
        <w:tabs>
          <w:tab w:val="left" w:pos="-284"/>
        </w:tabs>
        <w:spacing w:before="240" w:after="0" w:line="280" w:lineRule="atLeast"/>
        <w:ind w:left="1701" w:right="272" w:hanging="1701"/>
        <w:rPr>
          <w:rFonts w:ascii="Georgia" w:hAnsi="Georgia"/>
          <w:b/>
          <w:sz w:val="19"/>
          <w:szCs w:val="19"/>
        </w:rPr>
      </w:pPr>
      <w:r>
        <w:rPr>
          <w:rFonts w:ascii="Georgia" w:hAnsi="Georgia"/>
          <w:b/>
          <w:sz w:val="19"/>
          <w:szCs w:val="19"/>
        </w:rPr>
        <w:t>Indicators</w:t>
      </w:r>
      <w:r w:rsidRPr="000D22E5">
        <w:rPr>
          <w:rFonts w:ascii="Georgia" w:hAnsi="Georgia"/>
          <w:b/>
          <w:sz w:val="19"/>
          <w:szCs w:val="19"/>
        </w:rPr>
        <w:t xml:space="preserve">: </w:t>
      </w:r>
      <w:r w:rsidRPr="000D22E5">
        <w:rPr>
          <w:rFonts w:ascii="Georgia" w:hAnsi="Georgia"/>
          <w:sz w:val="19"/>
          <w:szCs w:val="19"/>
        </w:rPr>
        <w:tab/>
      </w:r>
      <w:r w:rsidR="00745D89">
        <w:rPr>
          <w:rFonts w:ascii="Georgia" w:hAnsi="Georgia"/>
          <w:sz w:val="19"/>
          <w:szCs w:val="19"/>
        </w:rPr>
        <w:t>I</w:t>
      </w:r>
      <w:proofErr w:type="spellStart"/>
      <w:r w:rsidR="0006649B" w:rsidRPr="000D22E5">
        <w:rPr>
          <w:rFonts w:ascii="Georgia" w:hAnsi="Georgia"/>
          <w:sz w:val="19"/>
          <w:szCs w:val="19"/>
          <w:lang w:val="en-GB"/>
        </w:rPr>
        <w:t>ncreas</w:t>
      </w:r>
      <w:r w:rsidR="0006649B">
        <w:rPr>
          <w:rFonts w:ascii="Georgia" w:hAnsi="Georgia"/>
          <w:sz w:val="19"/>
          <w:szCs w:val="19"/>
          <w:lang w:val="en-GB"/>
        </w:rPr>
        <w:t>e</w:t>
      </w:r>
      <w:proofErr w:type="spellEnd"/>
      <w:r w:rsidR="0006649B" w:rsidRPr="000D22E5">
        <w:rPr>
          <w:rFonts w:ascii="Georgia" w:hAnsi="Georgia"/>
          <w:sz w:val="19"/>
          <w:szCs w:val="19"/>
          <w:lang w:val="en-GB"/>
        </w:rPr>
        <w:t xml:space="preserve"> </w:t>
      </w:r>
      <w:r w:rsidRPr="000D22E5">
        <w:rPr>
          <w:rFonts w:ascii="Georgia" w:hAnsi="Georgia"/>
          <w:sz w:val="19"/>
          <w:szCs w:val="19"/>
          <w:lang w:val="en-GB"/>
        </w:rPr>
        <w:t xml:space="preserve">each year the </w:t>
      </w:r>
      <w:r w:rsidR="0006649B">
        <w:rPr>
          <w:rFonts w:ascii="Georgia" w:hAnsi="Georgia"/>
          <w:sz w:val="19"/>
          <w:szCs w:val="19"/>
          <w:lang w:val="en-GB"/>
        </w:rPr>
        <w:t xml:space="preserve">number of people </w:t>
      </w:r>
      <w:r w:rsidRPr="000D22E5">
        <w:rPr>
          <w:rFonts w:ascii="Georgia" w:hAnsi="Georgia"/>
          <w:sz w:val="19"/>
          <w:szCs w:val="19"/>
          <w:lang w:val="en-GB"/>
        </w:rPr>
        <w:t>aged 16</w:t>
      </w:r>
      <w:r w:rsidR="0006649B">
        <w:rPr>
          <w:rFonts w:ascii="Georgia" w:hAnsi="Georgia"/>
          <w:sz w:val="19"/>
          <w:szCs w:val="19"/>
          <w:lang w:val="en-GB"/>
        </w:rPr>
        <w:t xml:space="preserve"> to </w:t>
      </w:r>
      <w:r w:rsidRPr="000D22E5">
        <w:rPr>
          <w:rFonts w:ascii="Georgia" w:hAnsi="Georgia"/>
          <w:sz w:val="19"/>
          <w:szCs w:val="19"/>
          <w:lang w:val="en-GB"/>
        </w:rPr>
        <w:t xml:space="preserve">24 </w:t>
      </w:r>
      <w:r w:rsidR="0006649B" w:rsidRPr="000D22E5">
        <w:rPr>
          <w:rFonts w:ascii="Georgia" w:hAnsi="Georgia"/>
          <w:sz w:val="19"/>
          <w:szCs w:val="19"/>
          <w:lang w:val="en-GB"/>
        </w:rPr>
        <w:t>enrol</w:t>
      </w:r>
      <w:r w:rsidR="0006649B">
        <w:rPr>
          <w:rFonts w:ascii="Georgia" w:hAnsi="Georgia"/>
          <w:sz w:val="19"/>
          <w:szCs w:val="19"/>
          <w:lang w:val="en-GB"/>
        </w:rPr>
        <w:t>ling in and</w:t>
      </w:r>
      <w:r w:rsidRPr="000D22E5">
        <w:rPr>
          <w:rFonts w:ascii="Georgia" w:hAnsi="Georgia"/>
          <w:sz w:val="19"/>
          <w:szCs w:val="19"/>
          <w:lang w:val="en-GB"/>
        </w:rPr>
        <w:t xml:space="preserve"> completing </w:t>
      </w:r>
      <w:r w:rsidRPr="000D22E5">
        <w:rPr>
          <w:rFonts w:ascii="Georgia" w:hAnsi="Georgia"/>
          <w:bCs/>
          <w:sz w:val="19"/>
          <w:szCs w:val="19"/>
          <w:lang w:val="en-GB"/>
        </w:rPr>
        <w:t xml:space="preserve">technical and vocational education and training </w:t>
      </w:r>
      <w:r w:rsidRPr="000D22E5">
        <w:rPr>
          <w:rFonts w:ascii="Georgia" w:hAnsi="Georgia"/>
          <w:sz w:val="19"/>
          <w:szCs w:val="19"/>
          <w:lang w:val="en-GB"/>
        </w:rPr>
        <w:t xml:space="preserve">courses which </w:t>
      </w:r>
      <w:r w:rsidR="0006649B">
        <w:rPr>
          <w:rFonts w:ascii="Georgia" w:hAnsi="Georgia"/>
          <w:sz w:val="19"/>
          <w:szCs w:val="19"/>
          <w:lang w:val="en-GB"/>
        </w:rPr>
        <w:t>have</w:t>
      </w:r>
      <w:r w:rsidR="0006649B" w:rsidRPr="000D22E5">
        <w:rPr>
          <w:rFonts w:ascii="Georgia" w:hAnsi="Georgia"/>
          <w:sz w:val="19"/>
          <w:szCs w:val="19"/>
          <w:lang w:val="en-GB"/>
        </w:rPr>
        <w:t xml:space="preserve"> </w:t>
      </w:r>
      <w:r w:rsidRPr="000D22E5">
        <w:rPr>
          <w:rFonts w:ascii="Georgia" w:hAnsi="Georgia"/>
          <w:sz w:val="19"/>
          <w:szCs w:val="19"/>
          <w:lang w:val="en-GB"/>
        </w:rPr>
        <w:t>internationally recognised qualifications</w:t>
      </w:r>
      <w:r w:rsidR="00E92460">
        <w:rPr>
          <w:rFonts w:ascii="Georgia" w:hAnsi="Georgia"/>
          <w:b/>
          <w:sz w:val="19"/>
          <w:szCs w:val="19"/>
        </w:rPr>
        <w:t xml:space="preserve"> </w:t>
      </w:r>
      <w:r w:rsidRPr="00AD7CED">
        <w:rPr>
          <w:rFonts w:ascii="Georgia" w:hAnsi="Georgia"/>
          <w:sz w:val="19"/>
          <w:szCs w:val="19"/>
        </w:rPr>
        <w:t>(on track)</w:t>
      </w:r>
      <w:r w:rsidR="00745D89">
        <w:rPr>
          <w:rFonts w:ascii="Georgia" w:hAnsi="Georgia"/>
          <w:sz w:val="19"/>
          <w:szCs w:val="19"/>
        </w:rPr>
        <w:t>.</w:t>
      </w:r>
    </w:p>
    <w:p w14:paraId="41413121" w14:textId="3E10C916" w:rsidR="00B97810" w:rsidRPr="000D22E5" w:rsidRDefault="00B97810" w:rsidP="0006649B">
      <w:pPr>
        <w:pStyle w:val="gray"/>
        <w:tabs>
          <w:tab w:val="left" w:pos="-709"/>
        </w:tabs>
        <w:spacing w:before="120" w:after="0" w:line="280" w:lineRule="atLeast"/>
        <w:ind w:left="1701" w:right="272" w:hanging="1701"/>
        <w:rPr>
          <w:rFonts w:ascii="Georgia" w:hAnsi="Georgia"/>
          <w:sz w:val="19"/>
          <w:szCs w:val="19"/>
        </w:rPr>
      </w:pPr>
      <w:r w:rsidRPr="000D22E5">
        <w:rPr>
          <w:rFonts w:ascii="Georgia" w:hAnsi="Georgia"/>
          <w:sz w:val="19"/>
          <w:szCs w:val="19"/>
        </w:rPr>
        <w:tab/>
      </w:r>
      <w:r w:rsidR="00745D89">
        <w:rPr>
          <w:rFonts w:ascii="Georgia" w:hAnsi="Georgia"/>
          <w:sz w:val="19"/>
          <w:szCs w:val="19"/>
        </w:rPr>
        <w:t>I</w:t>
      </w:r>
      <w:r w:rsidR="0006649B" w:rsidRPr="000D22E5">
        <w:rPr>
          <w:rFonts w:ascii="Georgia" w:hAnsi="Georgia"/>
          <w:sz w:val="19"/>
          <w:szCs w:val="19"/>
        </w:rPr>
        <w:t>ncreas</w:t>
      </w:r>
      <w:r w:rsidR="0006649B">
        <w:rPr>
          <w:rFonts w:ascii="Georgia" w:hAnsi="Georgia"/>
          <w:sz w:val="19"/>
          <w:szCs w:val="19"/>
        </w:rPr>
        <w:t>e</w:t>
      </w:r>
      <w:r w:rsidR="0006649B" w:rsidRPr="000D22E5">
        <w:rPr>
          <w:rFonts w:ascii="Georgia" w:hAnsi="Georgia"/>
          <w:sz w:val="19"/>
          <w:szCs w:val="19"/>
        </w:rPr>
        <w:t xml:space="preserve"> </w:t>
      </w:r>
      <w:r w:rsidRPr="000D22E5">
        <w:rPr>
          <w:rFonts w:ascii="Georgia" w:hAnsi="Georgia"/>
          <w:sz w:val="19"/>
          <w:szCs w:val="19"/>
        </w:rPr>
        <w:t>completion rates for I-Kiribati studying at</w:t>
      </w:r>
      <w:r w:rsidRPr="000D22E5">
        <w:rPr>
          <w:rFonts w:ascii="Georgia" w:hAnsi="Georgia"/>
          <w:color w:val="auto"/>
          <w:sz w:val="19"/>
          <w:szCs w:val="19"/>
        </w:rPr>
        <w:t xml:space="preserve"> tertiary education institutions </w:t>
      </w:r>
      <w:r w:rsidRPr="00AD7CED">
        <w:rPr>
          <w:rFonts w:ascii="Georgia" w:hAnsi="Georgia"/>
          <w:color w:val="auto"/>
          <w:sz w:val="19"/>
          <w:szCs w:val="19"/>
        </w:rPr>
        <w:t>(</w:t>
      </w:r>
      <w:r w:rsidR="0006649B">
        <w:rPr>
          <w:rFonts w:ascii="Georgia" w:hAnsi="Georgia"/>
          <w:color w:val="auto"/>
          <w:sz w:val="19"/>
          <w:szCs w:val="19"/>
        </w:rPr>
        <w:t>p</w:t>
      </w:r>
      <w:r w:rsidRPr="00AD7CED">
        <w:rPr>
          <w:rFonts w:ascii="Georgia" w:hAnsi="Georgia"/>
          <w:color w:val="auto"/>
          <w:sz w:val="19"/>
          <w:szCs w:val="19"/>
        </w:rPr>
        <w:t>artially on track)</w:t>
      </w:r>
      <w:r w:rsidR="00745D89">
        <w:rPr>
          <w:rFonts w:ascii="Georgia" w:hAnsi="Georgia"/>
          <w:color w:val="auto"/>
          <w:sz w:val="19"/>
          <w:szCs w:val="19"/>
        </w:rPr>
        <w:t>.</w:t>
      </w:r>
    </w:p>
    <w:p w14:paraId="7D06A1AA" w14:textId="25FE6271" w:rsidR="00B97810" w:rsidRPr="00624846" w:rsidRDefault="00B97810" w:rsidP="0006649B">
      <w:pPr>
        <w:pStyle w:val="gray"/>
        <w:tabs>
          <w:tab w:val="left" w:pos="-567"/>
        </w:tabs>
        <w:spacing w:before="120" w:after="0" w:line="280" w:lineRule="atLeast"/>
        <w:ind w:left="1701" w:right="272" w:hanging="1701"/>
        <w:rPr>
          <w:rFonts w:ascii="Georgia" w:hAnsi="Georgia"/>
          <w:b/>
          <w:sz w:val="19"/>
          <w:szCs w:val="19"/>
        </w:rPr>
      </w:pPr>
      <w:r w:rsidRPr="000D22E5">
        <w:rPr>
          <w:rFonts w:ascii="Georgia" w:hAnsi="Georgia"/>
          <w:sz w:val="19"/>
          <w:szCs w:val="19"/>
        </w:rPr>
        <w:tab/>
      </w:r>
      <w:r w:rsidR="00745D89">
        <w:rPr>
          <w:rFonts w:ascii="Georgia" w:hAnsi="Georgia"/>
          <w:sz w:val="19"/>
          <w:szCs w:val="19"/>
        </w:rPr>
        <w:t>I</w:t>
      </w:r>
      <w:r w:rsidR="0006649B" w:rsidRPr="000D22E5">
        <w:rPr>
          <w:rFonts w:ascii="Georgia" w:hAnsi="Georgia"/>
          <w:sz w:val="19"/>
          <w:szCs w:val="19"/>
        </w:rPr>
        <w:t>ncreas</w:t>
      </w:r>
      <w:r w:rsidR="0006649B">
        <w:rPr>
          <w:rFonts w:ascii="Georgia" w:hAnsi="Georgia"/>
          <w:sz w:val="19"/>
          <w:szCs w:val="19"/>
        </w:rPr>
        <w:t xml:space="preserve">e </w:t>
      </w:r>
      <w:r w:rsidRPr="000D22E5">
        <w:rPr>
          <w:rFonts w:ascii="Georgia" w:hAnsi="Georgia"/>
          <w:sz w:val="19"/>
          <w:szCs w:val="19"/>
        </w:rPr>
        <w:t xml:space="preserve">the proportion of post-secondary graduates </w:t>
      </w:r>
      <w:r w:rsidR="0006649B">
        <w:rPr>
          <w:rFonts w:ascii="Georgia" w:hAnsi="Georgia"/>
          <w:sz w:val="19"/>
          <w:szCs w:val="19"/>
        </w:rPr>
        <w:t>with</w:t>
      </w:r>
      <w:r w:rsidRPr="000D22E5">
        <w:rPr>
          <w:rFonts w:ascii="Georgia" w:hAnsi="Georgia"/>
          <w:sz w:val="19"/>
          <w:szCs w:val="19"/>
        </w:rPr>
        <w:t xml:space="preserve"> English to an </w:t>
      </w:r>
      <w:r w:rsidR="0006649B" w:rsidRPr="0006649B">
        <w:rPr>
          <w:rFonts w:ascii="Georgia" w:hAnsi="Georgia"/>
          <w:sz w:val="19"/>
          <w:szCs w:val="19"/>
        </w:rPr>
        <w:t>International English Language Testing System</w:t>
      </w:r>
      <w:r w:rsidRPr="000D22E5">
        <w:rPr>
          <w:rFonts w:ascii="Georgia" w:hAnsi="Georgia"/>
          <w:sz w:val="19"/>
          <w:szCs w:val="19"/>
          <w:vertAlign w:val="superscript"/>
        </w:rPr>
        <w:footnoteReference w:id="5"/>
      </w:r>
      <w:r w:rsidR="00E92460">
        <w:rPr>
          <w:rFonts w:ascii="Georgia" w:hAnsi="Georgia"/>
          <w:sz w:val="19"/>
          <w:szCs w:val="19"/>
          <w:vertAlign w:val="superscript"/>
        </w:rPr>
        <w:t xml:space="preserve"> </w:t>
      </w:r>
      <w:r w:rsidRPr="000D22E5">
        <w:rPr>
          <w:rFonts w:ascii="Georgia" w:hAnsi="Georgia"/>
          <w:sz w:val="19"/>
          <w:szCs w:val="19"/>
        </w:rPr>
        <w:t>level (or equivalent) appropriate to the vocation</w:t>
      </w:r>
      <w:r>
        <w:rPr>
          <w:rFonts w:ascii="Georgia" w:hAnsi="Georgia"/>
          <w:sz w:val="19"/>
          <w:szCs w:val="19"/>
        </w:rPr>
        <w:t xml:space="preserve"> </w:t>
      </w:r>
      <w:r w:rsidRPr="00AD7CED">
        <w:rPr>
          <w:rFonts w:ascii="Georgia" w:hAnsi="Georgia"/>
          <w:sz w:val="19"/>
          <w:szCs w:val="19"/>
        </w:rPr>
        <w:t>(</w:t>
      </w:r>
      <w:r w:rsidR="0006649B" w:rsidRPr="00AD7CED">
        <w:rPr>
          <w:rFonts w:ascii="Georgia" w:hAnsi="Georgia"/>
          <w:sz w:val="19"/>
          <w:szCs w:val="19"/>
        </w:rPr>
        <w:t>on track</w:t>
      </w:r>
      <w:r w:rsidRPr="00AD7CED">
        <w:rPr>
          <w:rFonts w:ascii="Georgia" w:hAnsi="Georgia"/>
          <w:sz w:val="19"/>
          <w:szCs w:val="19"/>
        </w:rPr>
        <w:t>)</w:t>
      </w:r>
      <w:r w:rsidR="00745D89">
        <w:rPr>
          <w:rFonts w:ascii="Georgia" w:hAnsi="Georgia"/>
          <w:sz w:val="19"/>
          <w:szCs w:val="19"/>
        </w:rPr>
        <w:t>.</w:t>
      </w:r>
    </w:p>
    <w:p w14:paraId="0274FF6E" w14:textId="718F6A01" w:rsidR="00B97810" w:rsidRPr="00624846" w:rsidRDefault="00B97810" w:rsidP="0006649B">
      <w:pPr>
        <w:pStyle w:val="gray"/>
        <w:tabs>
          <w:tab w:val="left" w:pos="-567"/>
        </w:tabs>
        <w:spacing w:before="120" w:after="0" w:line="280" w:lineRule="atLeast"/>
        <w:ind w:left="1701" w:right="272" w:hanging="1701"/>
        <w:rPr>
          <w:rFonts w:ascii="Georgia" w:hAnsi="Georgia"/>
          <w:b/>
          <w:color w:val="auto"/>
          <w:sz w:val="19"/>
          <w:szCs w:val="19"/>
        </w:rPr>
      </w:pPr>
      <w:r w:rsidRPr="000D22E5">
        <w:rPr>
          <w:rFonts w:ascii="Georgia" w:hAnsi="Georgia"/>
          <w:b/>
          <w:sz w:val="19"/>
          <w:szCs w:val="19"/>
        </w:rPr>
        <w:tab/>
      </w:r>
      <w:r w:rsidR="00745D89">
        <w:rPr>
          <w:rFonts w:ascii="Georgia" w:hAnsi="Georgia"/>
          <w:sz w:val="19"/>
          <w:szCs w:val="19"/>
        </w:rPr>
        <w:t>I</w:t>
      </w:r>
      <w:r w:rsidR="0006649B" w:rsidRPr="000D22E5">
        <w:rPr>
          <w:rFonts w:ascii="Georgia" w:hAnsi="Georgia"/>
          <w:sz w:val="19"/>
          <w:szCs w:val="19"/>
        </w:rPr>
        <w:t>ncreas</w:t>
      </w:r>
      <w:r w:rsidR="0006649B">
        <w:rPr>
          <w:rFonts w:ascii="Georgia" w:hAnsi="Georgia"/>
          <w:sz w:val="19"/>
          <w:szCs w:val="19"/>
        </w:rPr>
        <w:t xml:space="preserve">e </w:t>
      </w:r>
      <w:r w:rsidRPr="000D22E5">
        <w:rPr>
          <w:rFonts w:ascii="Georgia" w:hAnsi="Georgia"/>
          <w:sz w:val="19"/>
          <w:szCs w:val="19"/>
        </w:rPr>
        <w:t xml:space="preserve">the number of I-Kiribati workers accessing </w:t>
      </w:r>
      <w:r>
        <w:rPr>
          <w:rFonts w:ascii="Georgia" w:hAnsi="Georgia"/>
          <w:sz w:val="19"/>
          <w:szCs w:val="19"/>
        </w:rPr>
        <w:t xml:space="preserve">employment opportunities </w:t>
      </w:r>
      <w:r w:rsidR="0006649B">
        <w:rPr>
          <w:rFonts w:ascii="Georgia" w:hAnsi="Georgia"/>
          <w:sz w:val="19"/>
          <w:szCs w:val="19"/>
        </w:rPr>
        <w:t xml:space="preserve">overseas </w:t>
      </w:r>
      <w:r w:rsidRPr="00AD7CED">
        <w:rPr>
          <w:rFonts w:ascii="Georgia" w:hAnsi="Georgia"/>
          <w:sz w:val="19"/>
          <w:szCs w:val="19"/>
        </w:rPr>
        <w:t>(</w:t>
      </w:r>
      <w:r w:rsidR="0006649B" w:rsidRPr="00AD7CED">
        <w:rPr>
          <w:rFonts w:ascii="Georgia" w:hAnsi="Georgia"/>
          <w:sz w:val="19"/>
          <w:szCs w:val="19"/>
        </w:rPr>
        <w:t xml:space="preserve">too </w:t>
      </w:r>
      <w:r w:rsidRPr="00AD7CED">
        <w:rPr>
          <w:rFonts w:ascii="Georgia" w:hAnsi="Georgia"/>
          <w:sz w:val="19"/>
          <w:szCs w:val="19"/>
        </w:rPr>
        <w:t>early to measure)</w:t>
      </w:r>
      <w:r w:rsidR="00745D89">
        <w:rPr>
          <w:rFonts w:ascii="Georgia" w:hAnsi="Georgia"/>
          <w:sz w:val="19"/>
          <w:szCs w:val="19"/>
        </w:rPr>
        <w:t>.</w:t>
      </w:r>
    </w:p>
    <w:p w14:paraId="5D77DE6C" w14:textId="51F71895" w:rsidR="00B97810" w:rsidRPr="000D22E5" w:rsidRDefault="00B97810" w:rsidP="00B7690E">
      <w:pPr>
        <w:pStyle w:val="gray"/>
        <w:tabs>
          <w:tab w:val="left" w:pos="1701"/>
        </w:tabs>
        <w:spacing w:before="240" w:after="120" w:line="280" w:lineRule="atLeast"/>
        <w:ind w:left="1701" w:right="272" w:hanging="1701"/>
        <w:rPr>
          <w:rFonts w:ascii="Georgia" w:hAnsi="Georgia"/>
          <w:sz w:val="19"/>
          <w:szCs w:val="19"/>
        </w:rPr>
      </w:pPr>
      <w:r w:rsidRPr="000D22E5">
        <w:rPr>
          <w:rFonts w:ascii="Georgia" w:hAnsi="Georgia"/>
          <w:b/>
          <w:sz w:val="19"/>
          <w:szCs w:val="19"/>
        </w:rPr>
        <w:t>Rating:</w:t>
      </w:r>
      <w:r w:rsidR="00E92460">
        <w:rPr>
          <w:rFonts w:ascii="Georgia" w:hAnsi="Georgia"/>
          <w:b/>
          <w:sz w:val="19"/>
          <w:szCs w:val="19"/>
        </w:rPr>
        <w:t xml:space="preserve"> </w:t>
      </w:r>
      <w:r w:rsidR="00B7690E">
        <w:rPr>
          <w:rFonts w:ascii="Georgia" w:hAnsi="Georgia"/>
          <w:b/>
          <w:sz w:val="19"/>
          <w:szCs w:val="19"/>
        </w:rPr>
        <w:tab/>
      </w:r>
      <w:r w:rsidR="00BC220E">
        <w:rPr>
          <w:rFonts w:ascii="Georgia" w:hAnsi="Georgia"/>
          <w:sz w:val="19"/>
          <w:szCs w:val="19"/>
        </w:rPr>
        <w:t>2011 was a mixed in terms of progressing workforce skills development. There have been some promising developments through the Technical and Vocational Education and Training Sector Strengthening Program</w:t>
      </w:r>
      <w:r w:rsidR="00B7690E">
        <w:rPr>
          <w:rFonts w:ascii="Georgia" w:hAnsi="Georgia"/>
          <w:sz w:val="19"/>
          <w:szCs w:val="19"/>
        </w:rPr>
        <w:t xml:space="preserve"> (TVETSSP)</w:t>
      </w:r>
      <w:proofErr w:type="gramStart"/>
      <w:r w:rsidR="00BC220E">
        <w:rPr>
          <w:rFonts w:ascii="Georgia" w:hAnsi="Georgia"/>
          <w:sz w:val="19"/>
          <w:szCs w:val="19"/>
        </w:rPr>
        <w:t>,</w:t>
      </w:r>
      <w:proofErr w:type="gramEnd"/>
      <w:r w:rsidR="00BC220E">
        <w:rPr>
          <w:rFonts w:ascii="Georgia" w:hAnsi="Georgia"/>
          <w:sz w:val="19"/>
          <w:szCs w:val="19"/>
        </w:rPr>
        <w:t xml:space="preserve"> however progress under the Kiribati Australia Nursing Initiative has been limited. </w:t>
      </w:r>
      <w:r w:rsidR="00071BE5">
        <w:rPr>
          <w:rFonts w:ascii="Georgia" w:hAnsi="Georgia"/>
          <w:sz w:val="19"/>
          <w:szCs w:val="19"/>
        </w:rPr>
        <w:t>The outcome</w:t>
      </w:r>
      <w:r>
        <w:rPr>
          <w:rFonts w:ascii="Georgia" w:hAnsi="Georgia"/>
          <w:sz w:val="19"/>
          <w:szCs w:val="19"/>
        </w:rPr>
        <w:t xml:space="preserve"> is partially on track to meet the joint commitments. </w:t>
      </w:r>
    </w:p>
    <w:p w14:paraId="4CD7BC52" w14:textId="754B1C9A" w:rsidR="00B97810" w:rsidRDefault="00B97810" w:rsidP="002F18A6">
      <w:pPr>
        <w:pStyle w:val="gray"/>
        <w:tabs>
          <w:tab w:val="left" w:pos="5448"/>
          <w:tab w:val="left" w:pos="7526"/>
        </w:tabs>
        <w:spacing w:before="240" w:after="120" w:line="280" w:lineRule="atLeast"/>
        <w:ind w:left="0" w:right="272"/>
        <w:rPr>
          <w:rFonts w:ascii="Georgia" w:hAnsi="Georgia"/>
          <w:sz w:val="19"/>
          <w:szCs w:val="19"/>
        </w:rPr>
      </w:pPr>
      <w:r>
        <w:rPr>
          <w:rFonts w:ascii="Georgia" w:hAnsi="Georgia"/>
          <w:sz w:val="19"/>
          <w:szCs w:val="19"/>
        </w:rPr>
        <w:lastRenderedPageBreak/>
        <w:t xml:space="preserve">Phase 1 of </w:t>
      </w:r>
      <w:r w:rsidR="00AD7CED">
        <w:rPr>
          <w:rFonts w:ascii="Georgia" w:hAnsi="Georgia"/>
          <w:sz w:val="19"/>
          <w:szCs w:val="19"/>
        </w:rPr>
        <w:t>TVETSSP</w:t>
      </w:r>
      <w:r w:rsidR="00CA49F8">
        <w:rPr>
          <w:rFonts w:ascii="Georgia" w:hAnsi="Georgia"/>
          <w:sz w:val="19"/>
          <w:szCs w:val="19"/>
        </w:rPr>
        <w:t xml:space="preserve"> </w:t>
      </w:r>
      <w:r>
        <w:rPr>
          <w:rFonts w:ascii="Georgia" w:hAnsi="Georgia"/>
          <w:sz w:val="19"/>
          <w:szCs w:val="19"/>
        </w:rPr>
        <w:t>began in January 2011.</w:t>
      </w:r>
      <w:r w:rsidR="00E92460">
        <w:rPr>
          <w:rFonts w:ascii="Georgia" w:hAnsi="Georgia"/>
          <w:sz w:val="19"/>
          <w:szCs w:val="19"/>
        </w:rPr>
        <w:t xml:space="preserve"> </w:t>
      </w:r>
      <w:r>
        <w:rPr>
          <w:rFonts w:ascii="Georgia" w:hAnsi="Georgia"/>
          <w:sz w:val="19"/>
          <w:szCs w:val="19"/>
        </w:rPr>
        <w:t xml:space="preserve">As with the </w:t>
      </w:r>
      <w:r w:rsidR="00BC220E">
        <w:rPr>
          <w:rFonts w:ascii="Georgia" w:hAnsi="Georgia"/>
          <w:sz w:val="19"/>
          <w:szCs w:val="19"/>
        </w:rPr>
        <w:t>Kiribati Education Improvement Program</w:t>
      </w:r>
      <w:r>
        <w:rPr>
          <w:rFonts w:ascii="Georgia" w:hAnsi="Georgia"/>
          <w:sz w:val="19"/>
          <w:szCs w:val="19"/>
        </w:rPr>
        <w:t xml:space="preserve">, </w:t>
      </w:r>
      <w:r w:rsidR="000B6093">
        <w:rPr>
          <w:rFonts w:ascii="Georgia" w:hAnsi="Georgia"/>
          <w:sz w:val="19"/>
          <w:szCs w:val="19"/>
        </w:rPr>
        <w:t>p</w:t>
      </w:r>
      <w:r w:rsidR="00071BE5">
        <w:rPr>
          <w:rFonts w:ascii="Georgia" w:hAnsi="Georgia"/>
          <w:sz w:val="19"/>
          <w:szCs w:val="19"/>
        </w:rPr>
        <w:t xml:space="preserve">hase </w:t>
      </w:r>
      <w:r>
        <w:rPr>
          <w:rFonts w:ascii="Georgia" w:hAnsi="Georgia"/>
          <w:sz w:val="19"/>
          <w:szCs w:val="19"/>
        </w:rPr>
        <w:t xml:space="preserve">1 </w:t>
      </w:r>
      <w:r w:rsidR="00745D89">
        <w:rPr>
          <w:rFonts w:ascii="Georgia" w:hAnsi="Georgia"/>
          <w:sz w:val="19"/>
          <w:szCs w:val="19"/>
        </w:rPr>
        <w:t xml:space="preserve">involved </w:t>
      </w:r>
      <w:r>
        <w:rPr>
          <w:rFonts w:ascii="Georgia" w:hAnsi="Georgia"/>
          <w:sz w:val="19"/>
          <w:szCs w:val="19"/>
        </w:rPr>
        <w:t>establish</w:t>
      </w:r>
      <w:r w:rsidR="00071BE5">
        <w:rPr>
          <w:rFonts w:ascii="Georgia" w:hAnsi="Georgia"/>
          <w:sz w:val="19"/>
          <w:szCs w:val="19"/>
        </w:rPr>
        <w:t xml:space="preserve">ing </w:t>
      </w:r>
      <w:r>
        <w:rPr>
          <w:rFonts w:ascii="Georgia" w:hAnsi="Georgia"/>
          <w:sz w:val="19"/>
          <w:szCs w:val="19"/>
        </w:rPr>
        <w:t>the program</w:t>
      </w:r>
      <w:r w:rsidR="00071BE5">
        <w:rPr>
          <w:rFonts w:ascii="Georgia" w:hAnsi="Georgia"/>
          <w:sz w:val="19"/>
          <w:szCs w:val="19"/>
        </w:rPr>
        <w:t xml:space="preserve"> and</w:t>
      </w:r>
      <w:r>
        <w:rPr>
          <w:rFonts w:ascii="Georgia" w:hAnsi="Georgia"/>
          <w:sz w:val="19"/>
          <w:szCs w:val="19"/>
        </w:rPr>
        <w:t xml:space="preserve"> setting the foundations for </w:t>
      </w:r>
      <w:r w:rsidR="00071BE5">
        <w:rPr>
          <w:rFonts w:ascii="Georgia" w:hAnsi="Georgia"/>
          <w:sz w:val="19"/>
          <w:szCs w:val="19"/>
        </w:rPr>
        <w:t xml:space="preserve">phase </w:t>
      </w:r>
      <w:r>
        <w:rPr>
          <w:rFonts w:ascii="Georgia" w:hAnsi="Georgia"/>
          <w:sz w:val="19"/>
          <w:szCs w:val="19"/>
        </w:rPr>
        <w:t>2</w:t>
      </w:r>
      <w:r w:rsidR="00071BE5">
        <w:rPr>
          <w:rFonts w:ascii="Georgia" w:hAnsi="Georgia"/>
          <w:sz w:val="19"/>
          <w:szCs w:val="19"/>
        </w:rPr>
        <w:t>,</w:t>
      </w:r>
      <w:r>
        <w:rPr>
          <w:rFonts w:ascii="Georgia" w:hAnsi="Georgia"/>
          <w:sz w:val="19"/>
          <w:szCs w:val="19"/>
        </w:rPr>
        <w:t xml:space="preserve"> which will be implemented from 2012.</w:t>
      </w:r>
      <w:r w:rsidR="00E92460">
        <w:rPr>
          <w:rFonts w:ascii="Georgia" w:hAnsi="Georgia"/>
          <w:sz w:val="19"/>
          <w:szCs w:val="19"/>
        </w:rPr>
        <w:t xml:space="preserve"> </w:t>
      </w:r>
      <w:r>
        <w:rPr>
          <w:rFonts w:ascii="Georgia" w:hAnsi="Georgia"/>
          <w:sz w:val="19"/>
          <w:szCs w:val="19"/>
        </w:rPr>
        <w:t>A key component under TVETSSP</w:t>
      </w:r>
      <w:r w:rsidR="000B6093">
        <w:rPr>
          <w:rFonts w:ascii="Georgia" w:hAnsi="Georgia"/>
          <w:sz w:val="19"/>
          <w:szCs w:val="19"/>
        </w:rPr>
        <w:t xml:space="preserve"> </w:t>
      </w:r>
      <w:r>
        <w:rPr>
          <w:rFonts w:ascii="Georgia" w:hAnsi="Georgia"/>
          <w:sz w:val="19"/>
          <w:szCs w:val="19"/>
        </w:rPr>
        <w:t xml:space="preserve">and the Partnership for Development is to improve </w:t>
      </w:r>
      <w:r w:rsidR="00071BE5">
        <w:rPr>
          <w:rFonts w:ascii="Georgia" w:hAnsi="Georgia"/>
          <w:sz w:val="19"/>
          <w:szCs w:val="19"/>
        </w:rPr>
        <w:t xml:space="preserve">the </w:t>
      </w:r>
      <w:r>
        <w:rPr>
          <w:rFonts w:ascii="Georgia" w:hAnsi="Georgia"/>
          <w:sz w:val="19"/>
          <w:szCs w:val="19"/>
        </w:rPr>
        <w:t>participation</w:t>
      </w:r>
      <w:r w:rsidR="00071BE5">
        <w:rPr>
          <w:rFonts w:ascii="Georgia" w:hAnsi="Georgia"/>
          <w:sz w:val="19"/>
          <w:szCs w:val="19"/>
        </w:rPr>
        <w:t xml:space="preserve"> of young people</w:t>
      </w:r>
      <w:r>
        <w:rPr>
          <w:rFonts w:ascii="Georgia" w:hAnsi="Georgia"/>
          <w:sz w:val="19"/>
          <w:szCs w:val="19"/>
        </w:rPr>
        <w:t xml:space="preserve"> in </w:t>
      </w:r>
      <w:r w:rsidR="00071BE5" w:rsidRPr="000D22E5">
        <w:rPr>
          <w:rFonts w:ascii="Georgia" w:hAnsi="Georgia"/>
          <w:bCs/>
          <w:sz w:val="19"/>
          <w:szCs w:val="19"/>
          <w:lang w:val="en-GB"/>
        </w:rPr>
        <w:t xml:space="preserve">technical and vocational education and training </w:t>
      </w:r>
      <w:r>
        <w:rPr>
          <w:rFonts w:ascii="Georgia" w:hAnsi="Georgia"/>
          <w:sz w:val="19"/>
          <w:szCs w:val="19"/>
        </w:rPr>
        <w:t>courses.</w:t>
      </w:r>
      <w:r w:rsidR="00E92460">
        <w:rPr>
          <w:rFonts w:ascii="Georgia" w:hAnsi="Georgia"/>
          <w:sz w:val="19"/>
          <w:szCs w:val="19"/>
        </w:rPr>
        <w:t xml:space="preserve"> </w:t>
      </w:r>
      <w:r>
        <w:rPr>
          <w:rFonts w:ascii="Georgia" w:hAnsi="Georgia"/>
          <w:sz w:val="19"/>
          <w:szCs w:val="19"/>
        </w:rPr>
        <w:t xml:space="preserve">The Government of Kiribati is keen to develop this sector to improve labour mobility and provide pathways to further education and for </w:t>
      </w:r>
      <w:r w:rsidR="00745D89">
        <w:rPr>
          <w:rFonts w:ascii="Georgia" w:hAnsi="Georgia"/>
          <w:sz w:val="19"/>
          <w:szCs w:val="19"/>
        </w:rPr>
        <w:t>young people</w:t>
      </w:r>
      <w:r>
        <w:rPr>
          <w:rFonts w:ascii="Georgia" w:hAnsi="Georgia"/>
          <w:sz w:val="19"/>
          <w:szCs w:val="19"/>
        </w:rPr>
        <w:t>.</w:t>
      </w:r>
      <w:r w:rsidR="00E92460">
        <w:rPr>
          <w:rFonts w:ascii="Georgia" w:hAnsi="Georgia"/>
          <w:sz w:val="19"/>
          <w:szCs w:val="19"/>
        </w:rPr>
        <w:t xml:space="preserve"> </w:t>
      </w:r>
    </w:p>
    <w:p w14:paraId="0B607088" w14:textId="5D952B2B" w:rsidR="00B97810" w:rsidRDefault="00B97810" w:rsidP="002F18A6">
      <w:pPr>
        <w:pStyle w:val="gray"/>
        <w:tabs>
          <w:tab w:val="left" w:pos="5448"/>
          <w:tab w:val="left" w:pos="7526"/>
        </w:tabs>
        <w:spacing w:before="240" w:after="120" w:line="280" w:lineRule="atLeast"/>
        <w:ind w:left="0" w:right="272"/>
        <w:rPr>
          <w:rFonts w:ascii="Georgia" w:hAnsi="Georgia"/>
          <w:sz w:val="19"/>
          <w:szCs w:val="19"/>
        </w:rPr>
      </w:pPr>
      <w:r>
        <w:rPr>
          <w:rFonts w:ascii="Georgia" w:hAnsi="Georgia"/>
          <w:sz w:val="19"/>
          <w:szCs w:val="19"/>
        </w:rPr>
        <w:t>TVETSSP</w:t>
      </w:r>
      <w:r w:rsidR="000B6093">
        <w:rPr>
          <w:rFonts w:ascii="Georgia" w:hAnsi="Georgia"/>
          <w:sz w:val="19"/>
          <w:szCs w:val="19"/>
        </w:rPr>
        <w:t xml:space="preserve"> </w:t>
      </w:r>
      <w:r>
        <w:rPr>
          <w:rFonts w:ascii="Georgia" w:hAnsi="Georgia"/>
          <w:sz w:val="19"/>
          <w:szCs w:val="19"/>
        </w:rPr>
        <w:t xml:space="preserve">works with the Ministry of Labour and Human Resource Development to strengthen its capacity to oversee and manage </w:t>
      </w:r>
      <w:r w:rsidR="00071BE5" w:rsidRPr="000D22E5">
        <w:rPr>
          <w:rFonts w:ascii="Georgia" w:hAnsi="Georgia"/>
          <w:bCs/>
          <w:sz w:val="19"/>
          <w:szCs w:val="19"/>
          <w:lang w:val="en-GB"/>
        </w:rPr>
        <w:t>technical and vocational education and training</w:t>
      </w:r>
      <w:r w:rsidR="00071BE5" w:rsidDel="00071BE5">
        <w:rPr>
          <w:rFonts w:ascii="Georgia" w:hAnsi="Georgia"/>
          <w:sz w:val="19"/>
          <w:szCs w:val="19"/>
        </w:rPr>
        <w:t xml:space="preserve"> </w:t>
      </w:r>
      <w:r>
        <w:rPr>
          <w:rFonts w:ascii="Georgia" w:hAnsi="Georgia"/>
          <w:sz w:val="19"/>
          <w:szCs w:val="19"/>
        </w:rPr>
        <w:t xml:space="preserve">institutions, </w:t>
      </w:r>
      <w:r w:rsidR="00071BE5">
        <w:rPr>
          <w:rFonts w:ascii="Georgia" w:hAnsi="Georgia"/>
          <w:sz w:val="19"/>
          <w:szCs w:val="19"/>
        </w:rPr>
        <w:t xml:space="preserve">including </w:t>
      </w:r>
      <w:r>
        <w:rPr>
          <w:rFonts w:ascii="Georgia" w:hAnsi="Georgia"/>
          <w:sz w:val="19"/>
          <w:szCs w:val="19"/>
        </w:rPr>
        <w:t xml:space="preserve">the Kiribati Institute of Technology, the Maritime Training College and Fisheries Training College. It also works directly with </w:t>
      </w:r>
      <w:r w:rsidR="00C032EC">
        <w:rPr>
          <w:rFonts w:ascii="Georgia" w:hAnsi="Georgia"/>
          <w:sz w:val="19"/>
          <w:szCs w:val="19"/>
        </w:rPr>
        <w:t xml:space="preserve">the </w:t>
      </w:r>
      <w:r w:rsidR="007D3C11">
        <w:rPr>
          <w:rFonts w:ascii="Georgia" w:hAnsi="Georgia"/>
          <w:sz w:val="19"/>
          <w:szCs w:val="19"/>
        </w:rPr>
        <w:t>Kiribati Institute of Technology</w:t>
      </w:r>
      <w:r w:rsidR="00C032EC">
        <w:rPr>
          <w:rFonts w:ascii="Georgia" w:hAnsi="Georgia"/>
          <w:sz w:val="19"/>
          <w:szCs w:val="19"/>
        </w:rPr>
        <w:t xml:space="preserve"> </w:t>
      </w:r>
      <w:r>
        <w:rPr>
          <w:rFonts w:ascii="Georgia" w:hAnsi="Georgia"/>
          <w:sz w:val="19"/>
          <w:szCs w:val="19"/>
        </w:rPr>
        <w:t>to exp</w:t>
      </w:r>
      <w:r w:rsidR="004A213C">
        <w:rPr>
          <w:rFonts w:ascii="Georgia" w:hAnsi="Georgia"/>
          <w:sz w:val="19"/>
          <w:szCs w:val="19"/>
        </w:rPr>
        <w:t xml:space="preserve">and and improve the quality of </w:t>
      </w:r>
      <w:r>
        <w:rPr>
          <w:rFonts w:ascii="Georgia" w:hAnsi="Georgia"/>
          <w:sz w:val="19"/>
          <w:szCs w:val="19"/>
        </w:rPr>
        <w:t xml:space="preserve">courses </w:t>
      </w:r>
      <w:r w:rsidR="00C032EC">
        <w:rPr>
          <w:rFonts w:ascii="Georgia" w:hAnsi="Georgia"/>
          <w:sz w:val="19"/>
          <w:szCs w:val="19"/>
        </w:rPr>
        <w:t xml:space="preserve">it </w:t>
      </w:r>
      <w:r>
        <w:rPr>
          <w:rFonts w:ascii="Georgia" w:hAnsi="Georgia"/>
          <w:sz w:val="19"/>
          <w:szCs w:val="19"/>
        </w:rPr>
        <w:t>offer</w:t>
      </w:r>
      <w:r w:rsidR="00C032EC">
        <w:rPr>
          <w:rFonts w:ascii="Georgia" w:hAnsi="Georgia"/>
          <w:sz w:val="19"/>
          <w:szCs w:val="19"/>
        </w:rPr>
        <w:t>s</w:t>
      </w:r>
      <w:r>
        <w:rPr>
          <w:rFonts w:ascii="Georgia" w:hAnsi="Georgia"/>
          <w:sz w:val="19"/>
          <w:szCs w:val="19"/>
        </w:rPr>
        <w:t>.</w:t>
      </w:r>
      <w:r w:rsidR="00E92460">
        <w:rPr>
          <w:rFonts w:ascii="Georgia" w:hAnsi="Georgia"/>
          <w:sz w:val="19"/>
          <w:szCs w:val="19"/>
        </w:rPr>
        <w:t xml:space="preserve"> </w:t>
      </w:r>
      <w:r>
        <w:rPr>
          <w:rFonts w:ascii="Georgia" w:hAnsi="Georgia"/>
          <w:sz w:val="19"/>
          <w:szCs w:val="19"/>
        </w:rPr>
        <w:t xml:space="preserve">In 2011 there </w:t>
      </w:r>
      <w:r w:rsidR="00745D89">
        <w:rPr>
          <w:rFonts w:ascii="Georgia" w:hAnsi="Georgia"/>
          <w:sz w:val="19"/>
          <w:szCs w:val="19"/>
        </w:rPr>
        <w:t>was a</w:t>
      </w:r>
      <w:r>
        <w:rPr>
          <w:rFonts w:ascii="Georgia" w:hAnsi="Georgia"/>
          <w:sz w:val="19"/>
          <w:szCs w:val="19"/>
        </w:rPr>
        <w:t xml:space="preserve"> significant increase in participation at</w:t>
      </w:r>
      <w:r w:rsidR="00C032EC">
        <w:rPr>
          <w:rFonts w:ascii="Georgia" w:hAnsi="Georgia"/>
          <w:sz w:val="19"/>
          <w:szCs w:val="19"/>
        </w:rPr>
        <w:t xml:space="preserve"> </w:t>
      </w:r>
      <w:r w:rsidR="007D3C11">
        <w:rPr>
          <w:rFonts w:ascii="Georgia" w:hAnsi="Georgia"/>
          <w:sz w:val="19"/>
          <w:szCs w:val="19"/>
        </w:rPr>
        <w:t>the Kiribati Institute of Technology</w:t>
      </w:r>
      <w:r w:rsidR="00CA49F8">
        <w:rPr>
          <w:rFonts w:ascii="Georgia" w:hAnsi="Georgia"/>
          <w:sz w:val="19"/>
          <w:szCs w:val="19"/>
        </w:rPr>
        <w:t xml:space="preserve"> </w:t>
      </w:r>
      <w:r w:rsidR="00745D89">
        <w:rPr>
          <w:rFonts w:ascii="Georgia" w:hAnsi="Georgia"/>
          <w:sz w:val="19"/>
          <w:szCs w:val="19"/>
        </w:rPr>
        <w:t>by</w:t>
      </w:r>
      <w:r>
        <w:rPr>
          <w:rFonts w:ascii="Georgia" w:hAnsi="Georgia"/>
          <w:sz w:val="19"/>
          <w:szCs w:val="19"/>
        </w:rPr>
        <w:t xml:space="preserve"> young people</w:t>
      </w:r>
      <w:r w:rsidR="00745D89">
        <w:rPr>
          <w:rFonts w:ascii="Georgia" w:hAnsi="Georgia"/>
          <w:sz w:val="19"/>
          <w:szCs w:val="19"/>
        </w:rPr>
        <w:t xml:space="preserve">, who </w:t>
      </w:r>
      <w:r>
        <w:rPr>
          <w:rFonts w:ascii="Georgia" w:hAnsi="Georgia"/>
          <w:sz w:val="19"/>
          <w:szCs w:val="19"/>
        </w:rPr>
        <w:t>compris</w:t>
      </w:r>
      <w:r w:rsidR="00745D89">
        <w:rPr>
          <w:rFonts w:ascii="Georgia" w:hAnsi="Georgia"/>
          <w:sz w:val="19"/>
          <w:szCs w:val="19"/>
        </w:rPr>
        <w:t>ed</w:t>
      </w:r>
      <w:r>
        <w:rPr>
          <w:rFonts w:ascii="Georgia" w:hAnsi="Georgia"/>
          <w:sz w:val="19"/>
          <w:szCs w:val="19"/>
        </w:rPr>
        <w:t xml:space="preserve"> 70</w:t>
      </w:r>
      <w:r w:rsidR="00C032EC">
        <w:rPr>
          <w:rFonts w:ascii="Georgia" w:hAnsi="Georgia"/>
          <w:sz w:val="19"/>
          <w:szCs w:val="19"/>
        </w:rPr>
        <w:t xml:space="preserve"> per cent</w:t>
      </w:r>
      <w:r>
        <w:rPr>
          <w:rFonts w:ascii="Georgia" w:hAnsi="Georgia"/>
          <w:sz w:val="19"/>
          <w:szCs w:val="19"/>
        </w:rPr>
        <w:t xml:space="preserve"> of the intake for full-time courses.</w:t>
      </w:r>
      <w:r w:rsidR="00E92460">
        <w:rPr>
          <w:rFonts w:ascii="Georgia" w:hAnsi="Georgia"/>
          <w:sz w:val="19"/>
          <w:szCs w:val="19"/>
        </w:rPr>
        <w:t xml:space="preserve"> </w:t>
      </w:r>
      <w:r>
        <w:rPr>
          <w:rFonts w:ascii="Georgia" w:hAnsi="Georgia"/>
          <w:sz w:val="19"/>
          <w:szCs w:val="19"/>
        </w:rPr>
        <w:t xml:space="preserve">Work </w:t>
      </w:r>
      <w:r w:rsidR="00C032EC">
        <w:rPr>
          <w:rFonts w:ascii="Georgia" w:hAnsi="Georgia"/>
          <w:sz w:val="19"/>
          <w:szCs w:val="19"/>
        </w:rPr>
        <w:t xml:space="preserve">has begun </w:t>
      </w:r>
      <w:r>
        <w:rPr>
          <w:rFonts w:ascii="Georgia" w:hAnsi="Georgia"/>
          <w:sz w:val="19"/>
          <w:szCs w:val="19"/>
        </w:rPr>
        <w:t>towards other targets</w:t>
      </w:r>
      <w:r w:rsidR="00745D89">
        <w:rPr>
          <w:rFonts w:ascii="Georgia" w:hAnsi="Georgia"/>
          <w:sz w:val="19"/>
          <w:szCs w:val="19"/>
        </w:rPr>
        <w:t xml:space="preserve">—including </w:t>
      </w:r>
      <w:r>
        <w:rPr>
          <w:rFonts w:ascii="Georgia" w:hAnsi="Georgia"/>
          <w:sz w:val="19"/>
          <w:szCs w:val="19"/>
        </w:rPr>
        <w:t>improving productivity, improving levels of English and increasing the number of workers accessing employment overseas</w:t>
      </w:r>
      <w:r w:rsidR="00745D89">
        <w:rPr>
          <w:rFonts w:ascii="Georgia" w:hAnsi="Georgia"/>
          <w:sz w:val="19"/>
          <w:szCs w:val="19"/>
        </w:rPr>
        <w:t>—</w:t>
      </w:r>
      <w:r>
        <w:rPr>
          <w:rFonts w:ascii="Georgia" w:hAnsi="Georgia"/>
          <w:sz w:val="19"/>
          <w:szCs w:val="19"/>
        </w:rPr>
        <w:t xml:space="preserve">however these are </w:t>
      </w:r>
      <w:r w:rsidR="00C032EC">
        <w:rPr>
          <w:rFonts w:ascii="Georgia" w:hAnsi="Georgia"/>
          <w:sz w:val="19"/>
          <w:szCs w:val="19"/>
        </w:rPr>
        <w:t>long-</w:t>
      </w:r>
      <w:r>
        <w:rPr>
          <w:rFonts w:ascii="Georgia" w:hAnsi="Georgia"/>
          <w:sz w:val="19"/>
          <w:szCs w:val="19"/>
        </w:rPr>
        <w:t xml:space="preserve">term and won’t have significant changes during this first </w:t>
      </w:r>
      <w:r w:rsidR="00C032EC">
        <w:rPr>
          <w:rFonts w:ascii="Georgia" w:hAnsi="Georgia"/>
          <w:sz w:val="19"/>
          <w:szCs w:val="19"/>
        </w:rPr>
        <w:t xml:space="preserve">phase </w:t>
      </w:r>
      <w:r>
        <w:rPr>
          <w:rFonts w:ascii="Georgia" w:hAnsi="Georgia"/>
          <w:sz w:val="19"/>
          <w:szCs w:val="19"/>
        </w:rPr>
        <w:t xml:space="preserve">of </w:t>
      </w:r>
      <w:proofErr w:type="gramStart"/>
      <w:r>
        <w:rPr>
          <w:rFonts w:ascii="Georgia" w:hAnsi="Georgia"/>
          <w:sz w:val="19"/>
          <w:szCs w:val="19"/>
        </w:rPr>
        <w:t>TVETSSP</w:t>
      </w:r>
      <w:r w:rsidR="00CA49F8" w:rsidRPr="00CA49F8">
        <w:rPr>
          <w:rFonts w:ascii="Georgia" w:hAnsi="Georgia"/>
          <w:sz w:val="19"/>
          <w:szCs w:val="19"/>
        </w:rPr>
        <w:t xml:space="preserve"> </w:t>
      </w:r>
      <w:r>
        <w:rPr>
          <w:rFonts w:ascii="Georgia" w:hAnsi="Georgia"/>
          <w:sz w:val="19"/>
          <w:szCs w:val="19"/>
        </w:rPr>
        <w:t>.</w:t>
      </w:r>
      <w:proofErr w:type="gramEnd"/>
    </w:p>
    <w:p w14:paraId="1CC16620" w14:textId="74322D89" w:rsidR="00C032EC" w:rsidRDefault="00C032EC" w:rsidP="002F18A6">
      <w:pPr>
        <w:pStyle w:val="gray"/>
        <w:tabs>
          <w:tab w:val="left" w:pos="5448"/>
          <w:tab w:val="left" w:pos="7526"/>
        </w:tabs>
        <w:spacing w:before="240" w:after="120" w:line="280" w:lineRule="atLeast"/>
        <w:ind w:left="0" w:right="272"/>
        <w:rPr>
          <w:rFonts w:ascii="Georgia" w:hAnsi="Georgia"/>
          <w:sz w:val="19"/>
          <w:szCs w:val="19"/>
        </w:rPr>
      </w:pPr>
      <w:r>
        <w:rPr>
          <w:rFonts w:ascii="Georgia" w:hAnsi="Georgia"/>
          <w:sz w:val="19"/>
          <w:szCs w:val="19"/>
        </w:rPr>
        <w:t xml:space="preserve">Other initiatives </w:t>
      </w:r>
      <w:r w:rsidR="00B97810">
        <w:rPr>
          <w:rFonts w:ascii="Georgia" w:hAnsi="Georgia"/>
          <w:sz w:val="19"/>
          <w:szCs w:val="19"/>
        </w:rPr>
        <w:t xml:space="preserve">at </w:t>
      </w:r>
      <w:r>
        <w:rPr>
          <w:rFonts w:ascii="Georgia" w:hAnsi="Georgia"/>
          <w:sz w:val="19"/>
          <w:szCs w:val="19"/>
        </w:rPr>
        <w:t>the Kiribati Institute of Technology, including</w:t>
      </w:r>
      <w:r w:rsidR="00B97810">
        <w:rPr>
          <w:rFonts w:ascii="Georgia" w:hAnsi="Georgia"/>
          <w:sz w:val="19"/>
          <w:szCs w:val="19"/>
        </w:rPr>
        <w:t xml:space="preserve"> adopt</w:t>
      </w:r>
      <w:r>
        <w:rPr>
          <w:rFonts w:ascii="Georgia" w:hAnsi="Georgia"/>
          <w:sz w:val="19"/>
          <w:szCs w:val="19"/>
        </w:rPr>
        <w:t>ing</w:t>
      </w:r>
      <w:r w:rsidR="00B97810">
        <w:rPr>
          <w:rFonts w:ascii="Georgia" w:hAnsi="Georgia"/>
          <w:sz w:val="19"/>
          <w:szCs w:val="19"/>
        </w:rPr>
        <w:t xml:space="preserve"> Australian Quality Training Framework standards and student-centred learning, facility improvements and improvements in staff technical capacity</w:t>
      </w:r>
      <w:r>
        <w:rPr>
          <w:rFonts w:ascii="Georgia" w:hAnsi="Georgia"/>
          <w:sz w:val="19"/>
          <w:szCs w:val="19"/>
        </w:rPr>
        <w:t>,</w:t>
      </w:r>
      <w:r w:rsidR="00B97810">
        <w:rPr>
          <w:rFonts w:ascii="Georgia" w:hAnsi="Georgia"/>
          <w:sz w:val="19"/>
          <w:szCs w:val="19"/>
        </w:rPr>
        <w:t xml:space="preserve"> will all </w:t>
      </w:r>
      <w:r>
        <w:rPr>
          <w:rFonts w:ascii="Georgia" w:hAnsi="Georgia"/>
          <w:sz w:val="19"/>
          <w:szCs w:val="19"/>
        </w:rPr>
        <w:t>help</w:t>
      </w:r>
      <w:r w:rsidR="00B97810">
        <w:rPr>
          <w:rFonts w:ascii="Georgia" w:hAnsi="Georgia"/>
          <w:sz w:val="19"/>
          <w:szCs w:val="19"/>
        </w:rPr>
        <w:t xml:space="preserve"> progress these targets.</w:t>
      </w:r>
      <w:r w:rsidR="00E92460">
        <w:rPr>
          <w:rFonts w:ascii="Georgia" w:hAnsi="Georgia"/>
          <w:sz w:val="19"/>
          <w:szCs w:val="19"/>
        </w:rPr>
        <w:t xml:space="preserve"> </w:t>
      </w:r>
    </w:p>
    <w:p w14:paraId="106205FA" w14:textId="7F1DB8AD" w:rsidR="00E756D2" w:rsidRDefault="00B97810" w:rsidP="001231B0">
      <w:pPr>
        <w:pStyle w:val="gray"/>
        <w:tabs>
          <w:tab w:val="left" w:pos="5448"/>
          <w:tab w:val="left" w:pos="7526"/>
        </w:tabs>
        <w:spacing w:before="240" w:after="120" w:line="280" w:lineRule="atLeast"/>
        <w:ind w:left="0" w:right="272"/>
        <w:rPr>
          <w:rFonts w:ascii="Georgia" w:hAnsi="Georgia"/>
          <w:sz w:val="19"/>
          <w:szCs w:val="19"/>
        </w:rPr>
      </w:pPr>
      <w:r>
        <w:rPr>
          <w:rFonts w:ascii="Georgia" w:hAnsi="Georgia"/>
          <w:sz w:val="19"/>
          <w:szCs w:val="19"/>
        </w:rPr>
        <w:t xml:space="preserve">The adoption of English as the teaching language has had a significant </w:t>
      </w:r>
      <w:r w:rsidR="00745D89">
        <w:rPr>
          <w:rFonts w:ascii="Georgia" w:hAnsi="Georgia"/>
          <w:sz w:val="19"/>
          <w:szCs w:val="19"/>
        </w:rPr>
        <w:t xml:space="preserve">and </w:t>
      </w:r>
      <w:r>
        <w:rPr>
          <w:rFonts w:ascii="Georgia" w:hAnsi="Georgia"/>
          <w:sz w:val="19"/>
          <w:szCs w:val="19"/>
        </w:rPr>
        <w:t>positive impact</w:t>
      </w:r>
      <w:r w:rsidR="00745D89">
        <w:rPr>
          <w:rFonts w:ascii="Georgia" w:hAnsi="Georgia"/>
          <w:sz w:val="19"/>
          <w:szCs w:val="19"/>
        </w:rPr>
        <w:t>,</w:t>
      </w:r>
      <w:r>
        <w:rPr>
          <w:rFonts w:ascii="Georgia" w:hAnsi="Georgia"/>
          <w:sz w:val="19"/>
          <w:szCs w:val="19"/>
        </w:rPr>
        <w:t xml:space="preserve"> and is likely to expand access to employment opportunities overseas. However, there remains much to be done to increase demand-driven programs, the number of training places available and access by </w:t>
      </w:r>
      <w:r w:rsidR="00745D89">
        <w:rPr>
          <w:rFonts w:ascii="Georgia" w:hAnsi="Georgia"/>
          <w:sz w:val="19"/>
          <w:szCs w:val="19"/>
        </w:rPr>
        <w:t xml:space="preserve">women </w:t>
      </w:r>
      <w:r>
        <w:rPr>
          <w:rFonts w:ascii="Georgia" w:hAnsi="Georgia"/>
          <w:sz w:val="19"/>
          <w:szCs w:val="19"/>
        </w:rPr>
        <w:t>and outer island I-Kiribati.</w:t>
      </w:r>
      <w:r w:rsidR="00E92460">
        <w:rPr>
          <w:rFonts w:ascii="Georgia" w:hAnsi="Georgia"/>
          <w:sz w:val="19"/>
          <w:szCs w:val="19"/>
        </w:rPr>
        <w:t xml:space="preserve"> </w:t>
      </w:r>
      <w:r>
        <w:rPr>
          <w:rFonts w:ascii="Georgia" w:hAnsi="Georgia"/>
          <w:sz w:val="19"/>
          <w:szCs w:val="19"/>
        </w:rPr>
        <w:t xml:space="preserve">The </w:t>
      </w:r>
      <w:r w:rsidR="00C032EC">
        <w:rPr>
          <w:rFonts w:ascii="Georgia" w:hAnsi="Georgia"/>
          <w:sz w:val="19"/>
          <w:szCs w:val="19"/>
        </w:rPr>
        <w:t xml:space="preserve">program’s phase </w:t>
      </w:r>
      <w:r>
        <w:rPr>
          <w:rFonts w:ascii="Georgia" w:hAnsi="Georgia"/>
          <w:sz w:val="19"/>
          <w:szCs w:val="19"/>
        </w:rPr>
        <w:t>1 target of at least 40</w:t>
      </w:r>
      <w:r w:rsidR="00C032EC">
        <w:rPr>
          <w:rFonts w:ascii="Georgia" w:hAnsi="Georgia"/>
          <w:sz w:val="19"/>
          <w:szCs w:val="19"/>
        </w:rPr>
        <w:t xml:space="preserve"> per cent </w:t>
      </w:r>
      <w:r>
        <w:rPr>
          <w:rFonts w:ascii="Georgia" w:hAnsi="Georgia"/>
          <w:sz w:val="19"/>
          <w:szCs w:val="19"/>
        </w:rPr>
        <w:t xml:space="preserve">of additional enrolments for </w:t>
      </w:r>
      <w:r w:rsidR="00A57DB8">
        <w:rPr>
          <w:rFonts w:ascii="Georgia" w:hAnsi="Georgia"/>
          <w:sz w:val="19"/>
          <w:szCs w:val="19"/>
        </w:rPr>
        <w:t>women</w:t>
      </w:r>
      <w:r>
        <w:rPr>
          <w:rFonts w:ascii="Georgia" w:hAnsi="Georgia"/>
          <w:sz w:val="19"/>
          <w:szCs w:val="19"/>
        </w:rPr>
        <w:t xml:space="preserve"> was not met (only 35</w:t>
      </w:r>
      <w:r w:rsidR="00C032EC">
        <w:rPr>
          <w:rFonts w:ascii="Georgia" w:hAnsi="Georgia"/>
          <w:sz w:val="19"/>
          <w:szCs w:val="19"/>
        </w:rPr>
        <w:t xml:space="preserve"> per cent </w:t>
      </w:r>
      <w:r>
        <w:rPr>
          <w:rFonts w:ascii="Georgia" w:hAnsi="Georgia"/>
          <w:sz w:val="19"/>
          <w:szCs w:val="19"/>
        </w:rPr>
        <w:t xml:space="preserve">of new enrolments were </w:t>
      </w:r>
      <w:r w:rsidR="00745D89">
        <w:rPr>
          <w:rFonts w:ascii="Georgia" w:hAnsi="Georgia"/>
          <w:sz w:val="19"/>
          <w:szCs w:val="19"/>
        </w:rPr>
        <w:t xml:space="preserve">women </w:t>
      </w:r>
      <w:r>
        <w:rPr>
          <w:rFonts w:ascii="Georgia" w:hAnsi="Georgia"/>
          <w:sz w:val="19"/>
          <w:szCs w:val="19"/>
        </w:rPr>
        <w:t>and only 11</w:t>
      </w:r>
      <w:r w:rsidR="00C032EC">
        <w:rPr>
          <w:rFonts w:ascii="Georgia" w:hAnsi="Georgia"/>
          <w:sz w:val="19"/>
          <w:szCs w:val="19"/>
        </w:rPr>
        <w:t xml:space="preserve"> per cent </w:t>
      </w:r>
      <w:r>
        <w:rPr>
          <w:rFonts w:ascii="Georgia" w:hAnsi="Georgia"/>
          <w:sz w:val="19"/>
          <w:szCs w:val="19"/>
        </w:rPr>
        <w:t xml:space="preserve">in trade courses). </w:t>
      </w:r>
      <w:r w:rsidR="00E756D2" w:rsidRPr="00E756D2">
        <w:rPr>
          <w:rFonts w:ascii="Georgia" w:hAnsi="Georgia"/>
          <w:sz w:val="19"/>
          <w:szCs w:val="19"/>
        </w:rPr>
        <w:t xml:space="preserve">Traditionally </w:t>
      </w:r>
      <w:r w:rsidR="00032EB6">
        <w:rPr>
          <w:rFonts w:ascii="Georgia" w:hAnsi="Georgia"/>
          <w:sz w:val="19"/>
          <w:szCs w:val="19"/>
        </w:rPr>
        <w:t xml:space="preserve">Kiribati Institute of Technology </w:t>
      </w:r>
      <w:r w:rsidR="00E756D2" w:rsidRPr="00E756D2">
        <w:rPr>
          <w:rFonts w:ascii="Georgia" w:hAnsi="Georgia"/>
          <w:sz w:val="19"/>
          <w:szCs w:val="19"/>
        </w:rPr>
        <w:t xml:space="preserve">courses have been male-dominated areas, although this is changing with the development and proposed introduction of a new </w:t>
      </w:r>
      <w:r w:rsidR="00032EB6">
        <w:rPr>
          <w:rFonts w:ascii="Georgia" w:hAnsi="Georgia"/>
          <w:sz w:val="19"/>
          <w:szCs w:val="19"/>
        </w:rPr>
        <w:t>g</w:t>
      </w:r>
      <w:r w:rsidR="00E756D2" w:rsidRPr="00E756D2">
        <w:rPr>
          <w:rFonts w:ascii="Georgia" w:hAnsi="Georgia"/>
          <w:sz w:val="19"/>
          <w:szCs w:val="19"/>
        </w:rPr>
        <w:t xml:space="preserve">ender and </w:t>
      </w:r>
      <w:r w:rsidR="00032EB6">
        <w:rPr>
          <w:rFonts w:ascii="Georgia" w:hAnsi="Georgia"/>
          <w:sz w:val="19"/>
          <w:szCs w:val="19"/>
        </w:rPr>
        <w:t>e</w:t>
      </w:r>
      <w:r w:rsidR="00032EB6" w:rsidRPr="00E756D2">
        <w:rPr>
          <w:rFonts w:ascii="Georgia" w:hAnsi="Georgia"/>
          <w:sz w:val="19"/>
          <w:szCs w:val="19"/>
        </w:rPr>
        <w:t xml:space="preserve">quity </w:t>
      </w:r>
      <w:r w:rsidR="00032EB6">
        <w:rPr>
          <w:rFonts w:ascii="Georgia" w:hAnsi="Georgia"/>
          <w:sz w:val="19"/>
          <w:szCs w:val="19"/>
        </w:rPr>
        <w:t>s</w:t>
      </w:r>
      <w:r w:rsidR="00032EB6" w:rsidRPr="00E756D2">
        <w:rPr>
          <w:rFonts w:ascii="Georgia" w:hAnsi="Georgia"/>
          <w:sz w:val="19"/>
          <w:szCs w:val="19"/>
        </w:rPr>
        <w:t>trategy</w:t>
      </w:r>
      <w:r w:rsidR="00032EB6">
        <w:rPr>
          <w:rFonts w:ascii="Georgia" w:hAnsi="Georgia"/>
          <w:sz w:val="19"/>
          <w:szCs w:val="19"/>
        </w:rPr>
        <w:t>,</w:t>
      </w:r>
      <w:r w:rsidR="00032EB6" w:rsidRPr="00E756D2">
        <w:rPr>
          <w:rFonts w:ascii="Georgia" w:hAnsi="Georgia"/>
          <w:sz w:val="19"/>
          <w:szCs w:val="19"/>
        </w:rPr>
        <w:t xml:space="preserve"> </w:t>
      </w:r>
      <w:r w:rsidR="00E756D2" w:rsidRPr="00E756D2">
        <w:rPr>
          <w:rFonts w:ascii="Georgia" w:hAnsi="Georgia"/>
          <w:sz w:val="19"/>
          <w:szCs w:val="19"/>
        </w:rPr>
        <w:t xml:space="preserve">which will ensure women are treated equally in the trade testing and selection processes. </w:t>
      </w:r>
      <w:r w:rsidR="00032EB6" w:rsidRPr="000B6093">
        <w:rPr>
          <w:rFonts w:ascii="Georgia" w:hAnsi="Georgia"/>
          <w:sz w:val="19"/>
          <w:szCs w:val="19"/>
        </w:rPr>
        <w:t>A</w:t>
      </w:r>
      <w:r w:rsidR="000B6093" w:rsidRPr="000B6093">
        <w:rPr>
          <w:rFonts w:ascii="Georgia" w:hAnsi="Georgia"/>
          <w:sz w:val="19"/>
          <w:szCs w:val="19"/>
        </w:rPr>
        <w:t xml:space="preserve"> female </w:t>
      </w:r>
      <w:r w:rsidR="00E756D2" w:rsidRPr="000B6093">
        <w:rPr>
          <w:rFonts w:ascii="Georgia" w:hAnsi="Georgia"/>
          <w:sz w:val="19"/>
          <w:szCs w:val="19"/>
        </w:rPr>
        <w:t>A</w:t>
      </w:r>
      <w:r w:rsidR="00032EB6" w:rsidRPr="000B6093">
        <w:rPr>
          <w:rFonts w:ascii="Georgia" w:hAnsi="Georgia"/>
          <w:sz w:val="19"/>
          <w:szCs w:val="19"/>
        </w:rPr>
        <w:t>ustralia-</w:t>
      </w:r>
      <w:r w:rsidR="00E756D2" w:rsidRPr="000B6093">
        <w:rPr>
          <w:rFonts w:ascii="Georgia" w:hAnsi="Georgia"/>
          <w:sz w:val="19"/>
          <w:szCs w:val="19"/>
        </w:rPr>
        <w:t>P</w:t>
      </w:r>
      <w:r w:rsidR="00032EB6" w:rsidRPr="000B6093">
        <w:rPr>
          <w:rFonts w:ascii="Georgia" w:hAnsi="Georgia"/>
          <w:sz w:val="19"/>
          <w:szCs w:val="19"/>
        </w:rPr>
        <w:t xml:space="preserve">acific </w:t>
      </w:r>
      <w:r w:rsidR="00E756D2" w:rsidRPr="000B6093">
        <w:rPr>
          <w:rFonts w:ascii="Georgia" w:hAnsi="Georgia"/>
          <w:sz w:val="19"/>
          <w:szCs w:val="19"/>
        </w:rPr>
        <w:t>T</w:t>
      </w:r>
      <w:r w:rsidR="00032EB6" w:rsidRPr="000B6093">
        <w:rPr>
          <w:rFonts w:ascii="Georgia" w:hAnsi="Georgia"/>
          <w:sz w:val="19"/>
          <w:szCs w:val="19"/>
        </w:rPr>
        <w:t xml:space="preserve">echnical </w:t>
      </w:r>
      <w:r w:rsidR="00E756D2" w:rsidRPr="000B6093">
        <w:rPr>
          <w:rFonts w:ascii="Georgia" w:hAnsi="Georgia"/>
          <w:sz w:val="19"/>
          <w:szCs w:val="19"/>
        </w:rPr>
        <w:t>C</w:t>
      </w:r>
      <w:r w:rsidR="00032EB6" w:rsidRPr="000B6093">
        <w:rPr>
          <w:rFonts w:ascii="Georgia" w:hAnsi="Georgia"/>
          <w:sz w:val="19"/>
          <w:szCs w:val="19"/>
        </w:rPr>
        <w:t>ollege</w:t>
      </w:r>
      <w:r w:rsidR="00E756D2" w:rsidRPr="000B6093">
        <w:rPr>
          <w:rFonts w:ascii="Georgia" w:hAnsi="Georgia"/>
          <w:sz w:val="19"/>
          <w:szCs w:val="19"/>
        </w:rPr>
        <w:t xml:space="preserve"> qualified carpentry</w:t>
      </w:r>
      <w:r w:rsidR="00032EB6" w:rsidRPr="000B6093">
        <w:rPr>
          <w:rFonts w:ascii="Georgia" w:hAnsi="Georgia"/>
          <w:sz w:val="19"/>
          <w:szCs w:val="19"/>
        </w:rPr>
        <w:t xml:space="preserve"> and </w:t>
      </w:r>
      <w:r w:rsidR="00E756D2" w:rsidRPr="000B6093">
        <w:rPr>
          <w:rFonts w:ascii="Georgia" w:hAnsi="Georgia"/>
          <w:sz w:val="19"/>
          <w:szCs w:val="19"/>
        </w:rPr>
        <w:t xml:space="preserve">construction trainer </w:t>
      </w:r>
      <w:r w:rsidR="00032EB6" w:rsidRPr="000B6093">
        <w:rPr>
          <w:rFonts w:ascii="Georgia" w:hAnsi="Georgia"/>
          <w:sz w:val="19"/>
          <w:szCs w:val="19"/>
        </w:rPr>
        <w:t xml:space="preserve">has also been </w:t>
      </w:r>
      <w:r w:rsidR="00E756D2" w:rsidRPr="000B6093">
        <w:rPr>
          <w:rFonts w:ascii="Georgia" w:hAnsi="Georgia"/>
          <w:sz w:val="19"/>
          <w:szCs w:val="19"/>
        </w:rPr>
        <w:t>employed</w:t>
      </w:r>
      <w:r w:rsidR="00032EB6" w:rsidRPr="000B6093">
        <w:rPr>
          <w:rFonts w:ascii="Georgia" w:hAnsi="Georgia"/>
          <w:sz w:val="19"/>
          <w:szCs w:val="19"/>
        </w:rPr>
        <w:t xml:space="preserve"> with program </w:t>
      </w:r>
      <w:r w:rsidR="00E756D2" w:rsidRPr="000B6093">
        <w:rPr>
          <w:rFonts w:ascii="Georgia" w:hAnsi="Georgia"/>
          <w:sz w:val="19"/>
          <w:szCs w:val="19"/>
        </w:rPr>
        <w:t>funding to provide a positive role</w:t>
      </w:r>
      <w:r w:rsidR="00E756D2" w:rsidRPr="00E756D2">
        <w:rPr>
          <w:rFonts w:ascii="Georgia" w:hAnsi="Georgia"/>
          <w:sz w:val="19"/>
          <w:szCs w:val="19"/>
        </w:rPr>
        <w:t xml:space="preserve"> model</w:t>
      </w:r>
      <w:r w:rsidR="007A0B76">
        <w:rPr>
          <w:rFonts w:ascii="Georgia" w:hAnsi="Georgia"/>
          <w:sz w:val="19"/>
          <w:szCs w:val="19"/>
        </w:rPr>
        <w:t xml:space="preserve"> </w:t>
      </w:r>
      <w:r w:rsidR="00E756D2" w:rsidRPr="00E756D2">
        <w:rPr>
          <w:rFonts w:ascii="Georgia" w:hAnsi="Georgia"/>
          <w:sz w:val="19"/>
          <w:szCs w:val="19"/>
        </w:rPr>
        <w:t>and support women wanting to enter trade courses.</w:t>
      </w:r>
    </w:p>
    <w:p w14:paraId="1B8BF42E" w14:textId="473DAD81" w:rsidR="00A769ED" w:rsidRPr="001231B0" w:rsidRDefault="00A769ED" w:rsidP="00A769ED">
      <w:pPr>
        <w:pStyle w:val="gray"/>
        <w:tabs>
          <w:tab w:val="left" w:pos="5448"/>
          <w:tab w:val="left" w:pos="7526"/>
        </w:tabs>
        <w:spacing w:before="240" w:after="120" w:line="280" w:lineRule="atLeast"/>
        <w:ind w:left="0" w:right="272"/>
        <w:rPr>
          <w:rFonts w:ascii="Georgia" w:hAnsi="Georgia"/>
          <w:sz w:val="19"/>
          <w:szCs w:val="19"/>
        </w:rPr>
      </w:pPr>
      <w:r w:rsidRPr="001231B0">
        <w:rPr>
          <w:rFonts w:ascii="Georgia" w:hAnsi="Georgia"/>
          <w:sz w:val="19"/>
          <w:szCs w:val="19"/>
        </w:rPr>
        <w:t>While the program has made some early gains, progress at the policy and strategic levels has been severely constrained by inconsistent leadership</w:t>
      </w:r>
      <w:r>
        <w:rPr>
          <w:rFonts w:ascii="Georgia" w:hAnsi="Georgia"/>
          <w:sz w:val="19"/>
          <w:szCs w:val="19"/>
        </w:rPr>
        <w:t xml:space="preserve"> and engagement</w:t>
      </w:r>
      <w:r w:rsidRPr="001231B0">
        <w:rPr>
          <w:rFonts w:ascii="Georgia" w:hAnsi="Georgia"/>
          <w:sz w:val="19"/>
          <w:szCs w:val="19"/>
        </w:rPr>
        <w:t xml:space="preserve"> and, more recently, turnover </w:t>
      </w:r>
      <w:r w:rsidR="00A57DB8">
        <w:rPr>
          <w:rFonts w:ascii="Georgia" w:hAnsi="Georgia"/>
          <w:sz w:val="19"/>
          <w:szCs w:val="19"/>
        </w:rPr>
        <w:t>of</w:t>
      </w:r>
      <w:r w:rsidRPr="001231B0">
        <w:rPr>
          <w:rFonts w:ascii="Georgia" w:hAnsi="Georgia"/>
          <w:sz w:val="19"/>
          <w:szCs w:val="19"/>
        </w:rPr>
        <w:t xml:space="preserve"> senior management </w:t>
      </w:r>
      <w:r>
        <w:rPr>
          <w:rFonts w:ascii="Georgia" w:hAnsi="Georgia"/>
          <w:sz w:val="19"/>
          <w:szCs w:val="19"/>
        </w:rPr>
        <w:t xml:space="preserve">within </w:t>
      </w:r>
      <w:r w:rsidR="00745D89">
        <w:rPr>
          <w:rFonts w:ascii="Georgia" w:hAnsi="Georgia"/>
          <w:sz w:val="19"/>
          <w:szCs w:val="19"/>
        </w:rPr>
        <w:t>the Ministry of Labour and Human Resource Development</w:t>
      </w:r>
      <w:r w:rsidRPr="001231B0">
        <w:rPr>
          <w:rFonts w:ascii="Georgia" w:hAnsi="Georgia"/>
          <w:sz w:val="19"/>
          <w:szCs w:val="19"/>
        </w:rPr>
        <w:t>.</w:t>
      </w:r>
    </w:p>
    <w:p w14:paraId="63235091" w14:textId="12786EA8" w:rsidR="00AB2450" w:rsidRDefault="00B97810" w:rsidP="00A769ED">
      <w:pPr>
        <w:pStyle w:val="gray"/>
        <w:spacing w:before="240" w:after="120" w:line="280" w:lineRule="atLeast"/>
        <w:ind w:left="0" w:right="272"/>
        <w:rPr>
          <w:rFonts w:ascii="Georgia" w:hAnsi="Georgia"/>
          <w:sz w:val="19"/>
          <w:szCs w:val="19"/>
        </w:rPr>
      </w:pPr>
      <w:r>
        <w:rPr>
          <w:rFonts w:ascii="Georgia" w:hAnsi="Georgia"/>
          <w:sz w:val="19"/>
          <w:szCs w:val="19"/>
        </w:rPr>
        <w:t xml:space="preserve">While </w:t>
      </w:r>
      <w:r w:rsidR="00A57DB8">
        <w:rPr>
          <w:rFonts w:ascii="Georgia" w:hAnsi="Georgia"/>
          <w:sz w:val="19"/>
          <w:szCs w:val="19"/>
        </w:rPr>
        <w:t xml:space="preserve">TVETSSP </w:t>
      </w:r>
      <w:r>
        <w:rPr>
          <w:rFonts w:ascii="Georgia" w:hAnsi="Georgia"/>
          <w:sz w:val="19"/>
          <w:szCs w:val="19"/>
        </w:rPr>
        <w:t xml:space="preserve">progress has been promising, the </w:t>
      </w:r>
      <w:r w:rsidRPr="00C744FA">
        <w:rPr>
          <w:rFonts w:ascii="Georgia" w:hAnsi="Georgia"/>
          <w:sz w:val="19"/>
          <w:szCs w:val="19"/>
        </w:rPr>
        <w:t>K</w:t>
      </w:r>
      <w:r>
        <w:rPr>
          <w:rFonts w:ascii="Georgia" w:hAnsi="Georgia"/>
          <w:sz w:val="19"/>
          <w:szCs w:val="19"/>
        </w:rPr>
        <w:t>iribati-Australia Nursing Initiative</w:t>
      </w:r>
      <w:r w:rsidRPr="009517FF">
        <w:rPr>
          <w:rFonts w:ascii="Georgia" w:hAnsi="Georgia"/>
          <w:sz w:val="19"/>
          <w:szCs w:val="19"/>
        </w:rPr>
        <w:t xml:space="preserve"> has</w:t>
      </w:r>
      <w:r>
        <w:rPr>
          <w:rFonts w:ascii="Georgia" w:hAnsi="Georgia"/>
          <w:sz w:val="19"/>
          <w:szCs w:val="19"/>
        </w:rPr>
        <w:t xml:space="preserve"> not. This program commenced in 2007 and comprises two parts. The first provides scholarships to I-Kiribati students to undertake a nursing degree in Australia with the explicit purpose of </w:t>
      </w:r>
      <w:r w:rsidR="00032EB6">
        <w:rPr>
          <w:rFonts w:ascii="Georgia" w:hAnsi="Georgia"/>
          <w:sz w:val="19"/>
          <w:szCs w:val="19"/>
        </w:rPr>
        <w:t xml:space="preserve">enabling </w:t>
      </w:r>
      <w:r>
        <w:rPr>
          <w:rFonts w:ascii="Georgia" w:hAnsi="Georgia"/>
          <w:sz w:val="19"/>
          <w:szCs w:val="19"/>
        </w:rPr>
        <w:t xml:space="preserve">graduates </w:t>
      </w:r>
      <w:r w:rsidR="00032EB6">
        <w:rPr>
          <w:rFonts w:ascii="Georgia" w:hAnsi="Georgia"/>
          <w:sz w:val="19"/>
          <w:szCs w:val="19"/>
        </w:rPr>
        <w:t xml:space="preserve">to </w:t>
      </w:r>
      <w:r>
        <w:rPr>
          <w:rFonts w:ascii="Georgia" w:hAnsi="Georgia"/>
          <w:sz w:val="19"/>
          <w:szCs w:val="19"/>
        </w:rPr>
        <w:t>find employment in Australia.</w:t>
      </w:r>
      <w:bookmarkStart w:id="8" w:name="OLE_LINK1"/>
      <w:bookmarkStart w:id="9" w:name="OLE_LINK2"/>
      <w:r>
        <w:rPr>
          <w:rFonts w:ascii="Georgia" w:hAnsi="Georgia"/>
          <w:sz w:val="19"/>
          <w:szCs w:val="19"/>
        </w:rPr>
        <w:t xml:space="preserve"> </w:t>
      </w:r>
    </w:p>
    <w:p w14:paraId="5CD6ABEE" w14:textId="3CD7D7AF" w:rsidR="00AB2450" w:rsidRDefault="00AB2450" w:rsidP="00AB2450">
      <w:pPr>
        <w:pStyle w:val="gray"/>
        <w:spacing w:before="240" w:after="120" w:line="280" w:lineRule="atLeast"/>
        <w:ind w:left="0" w:right="272"/>
        <w:rPr>
          <w:rFonts w:ascii="Georgia" w:hAnsi="Georgia"/>
          <w:sz w:val="19"/>
          <w:szCs w:val="19"/>
        </w:rPr>
      </w:pPr>
      <w:r>
        <w:rPr>
          <w:rFonts w:ascii="Georgia" w:hAnsi="Georgia"/>
          <w:sz w:val="19"/>
          <w:szCs w:val="19"/>
        </w:rPr>
        <w:t xml:space="preserve">To date, three cohorts have commenced nursing studies at Griffith University in </w:t>
      </w:r>
      <w:r w:rsidR="00032EB6">
        <w:rPr>
          <w:rFonts w:ascii="Georgia" w:hAnsi="Georgia"/>
          <w:sz w:val="19"/>
          <w:szCs w:val="19"/>
        </w:rPr>
        <w:t>Queensland</w:t>
      </w:r>
      <w:r>
        <w:rPr>
          <w:rFonts w:ascii="Georgia" w:hAnsi="Georgia"/>
          <w:sz w:val="19"/>
          <w:szCs w:val="19"/>
        </w:rPr>
        <w:t xml:space="preserve">: </w:t>
      </w:r>
      <w:r w:rsidR="00745D89">
        <w:rPr>
          <w:rFonts w:ascii="Georgia" w:hAnsi="Georgia"/>
          <w:sz w:val="19"/>
          <w:szCs w:val="19"/>
        </w:rPr>
        <w:t xml:space="preserve">in </w:t>
      </w:r>
      <w:r>
        <w:rPr>
          <w:rFonts w:ascii="Georgia" w:hAnsi="Georgia"/>
          <w:sz w:val="19"/>
          <w:szCs w:val="19"/>
        </w:rPr>
        <w:t xml:space="preserve">2007 (29 </w:t>
      </w:r>
      <w:r w:rsidR="00032EB6">
        <w:rPr>
          <w:rFonts w:ascii="Georgia" w:hAnsi="Georgia"/>
          <w:sz w:val="19"/>
          <w:szCs w:val="19"/>
        </w:rPr>
        <w:t>students</w:t>
      </w:r>
      <w:r>
        <w:rPr>
          <w:rFonts w:ascii="Georgia" w:hAnsi="Georgia"/>
          <w:sz w:val="19"/>
          <w:szCs w:val="19"/>
        </w:rPr>
        <w:t>), 2008 (</w:t>
      </w:r>
      <w:r w:rsidRPr="00AD7CED">
        <w:rPr>
          <w:rFonts w:ascii="Georgia" w:hAnsi="Georgia"/>
          <w:color w:val="auto"/>
          <w:sz w:val="19"/>
          <w:szCs w:val="19"/>
        </w:rPr>
        <w:t>29</w:t>
      </w:r>
      <w:r>
        <w:rPr>
          <w:rFonts w:ascii="Georgia" w:hAnsi="Georgia"/>
          <w:sz w:val="19"/>
          <w:szCs w:val="19"/>
        </w:rPr>
        <w:t xml:space="preserve"> </w:t>
      </w:r>
      <w:r w:rsidR="00032EB6">
        <w:rPr>
          <w:rFonts w:ascii="Georgia" w:hAnsi="Georgia"/>
          <w:sz w:val="19"/>
          <w:szCs w:val="19"/>
        </w:rPr>
        <w:t>students</w:t>
      </w:r>
      <w:r>
        <w:rPr>
          <w:rFonts w:ascii="Georgia" w:hAnsi="Georgia"/>
          <w:sz w:val="19"/>
          <w:szCs w:val="19"/>
        </w:rPr>
        <w:t>) and 2009 (26 students).</w:t>
      </w:r>
      <w:r w:rsidR="00E92460">
        <w:rPr>
          <w:rFonts w:ascii="Georgia" w:hAnsi="Georgia"/>
          <w:sz w:val="19"/>
          <w:szCs w:val="19"/>
        </w:rPr>
        <w:t xml:space="preserve"> </w:t>
      </w:r>
      <w:r>
        <w:rPr>
          <w:rFonts w:ascii="Georgia" w:hAnsi="Georgia"/>
          <w:sz w:val="19"/>
          <w:szCs w:val="19"/>
        </w:rPr>
        <w:t xml:space="preserve">Of the </w:t>
      </w:r>
      <w:r>
        <w:rPr>
          <w:rFonts w:ascii="Georgia" w:hAnsi="Georgia"/>
          <w:sz w:val="19"/>
          <w:szCs w:val="19"/>
        </w:rPr>
        <w:lastRenderedPageBreak/>
        <w:t>original entrants</w:t>
      </w:r>
      <w:r w:rsidR="00032EB6">
        <w:rPr>
          <w:rFonts w:ascii="Georgia" w:hAnsi="Georgia"/>
          <w:sz w:val="19"/>
          <w:szCs w:val="19"/>
        </w:rPr>
        <w:t xml:space="preserve">, nine </w:t>
      </w:r>
      <w:r>
        <w:rPr>
          <w:rFonts w:ascii="Georgia" w:hAnsi="Georgia"/>
          <w:sz w:val="19"/>
          <w:szCs w:val="19"/>
        </w:rPr>
        <w:t>students graduated with a Bachelor of Nursing and registered with the Australian Health Practitioners Regulation Agency. Two of the</w:t>
      </w:r>
      <w:r w:rsidR="00032EB6">
        <w:rPr>
          <w:rFonts w:ascii="Georgia" w:hAnsi="Georgia"/>
          <w:sz w:val="19"/>
          <w:szCs w:val="19"/>
        </w:rPr>
        <w:t>se</w:t>
      </w:r>
      <w:r>
        <w:rPr>
          <w:rFonts w:ascii="Georgia" w:hAnsi="Georgia"/>
          <w:sz w:val="19"/>
          <w:szCs w:val="19"/>
        </w:rPr>
        <w:t xml:space="preserve"> are working in hospitals in Brisbane, four are working </w:t>
      </w:r>
      <w:r w:rsidR="00032EB6">
        <w:rPr>
          <w:rFonts w:ascii="Georgia" w:hAnsi="Georgia"/>
          <w:sz w:val="19"/>
          <w:szCs w:val="19"/>
        </w:rPr>
        <w:t>part-</w:t>
      </w:r>
      <w:r>
        <w:rPr>
          <w:rFonts w:ascii="Georgia" w:hAnsi="Georgia"/>
          <w:sz w:val="19"/>
          <w:szCs w:val="19"/>
        </w:rPr>
        <w:t xml:space="preserve">time in </w:t>
      </w:r>
      <w:r w:rsidR="00032EB6">
        <w:rPr>
          <w:rFonts w:ascii="Georgia" w:hAnsi="Georgia"/>
          <w:sz w:val="19"/>
          <w:szCs w:val="19"/>
        </w:rPr>
        <w:t xml:space="preserve">aged </w:t>
      </w:r>
      <w:r>
        <w:rPr>
          <w:rFonts w:ascii="Georgia" w:hAnsi="Georgia"/>
          <w:sz w:val="19"/>
          <w:szCs w:val="19"/>
        </w:rPr>
        <w:t xml:space="preserve">care, one has left to join her family in New Zealand and two have returned to Kiribati and are on clinical placements in the </w:t>
      </w:r>
      <w:r w:rsidR="00032EB6">
        <w:rPr>
          <w:rFonts w:ascii="Georgia" w:hAnsi="Georgia"/>
          <w:sz w:val="19"/>
          <w:szCs w:val="19"/>
        </w:rPr>
        <w:t>medical and s</w:t>
      </w:r>
      <w:r>
        <w:rPr>
          <w:rFonts w:ascii="Georgia" w:hAnsi="Georgia"/>
          <w:sz w:val="19"/>
          <w:szCs w:val="19"/>
        </w:rPr>
        <w:t>urgical wards</w:t>
      </w:r>
      <w:r w:rsidR="00032EB6">
        <w:rPr>
          <w:rFonts w:ascii="Georgia" w:hAnsi="Georgia"/>
          <w:sz w:val="19"/>
          <w:szCs w:val="19"/>
        </w:rPr>
        <w:t>,</w:t>
      </w:r>
      <w:r>
        <w:rPr>
          <w:rFonts w:ascii="Georgia" w:hAnsi="Georgia"/>
          <w:sz w:val="19"/>
          <w:szCs w:val="19"/>
        </w:rPr>
        <w:t xml:space="preserve"> and the </w:t>
      </w:r>
      <w:r w:rsidR="00032EB6">
        <w:rPr>
          <w:rFonts w:ascii="Georgia" w:hAnsi="Georgia"/>
          <w:sz w:val="19"/>
          <w:szCs w:val="19"/>
        </w:rPr>
        <w:t xml:space="preserve">emergency unit </w:t>
      </w:r>
      <w:r>
        <w:rPr>
          <w:rFonts w:ascii="Georgia" w:hAnsi="Georgia"/>
          <w:sz w:val="19"/>
          <w:szCs w:val="19"/>
        </w:rPr>
        <w:t xml:space="preserve">at the </w:t>
      </w:r>
      <w:proofErr w:type="spellStart"/>
      <w:r>
        <w:rPr>
          <w:rFonts w:ascii="Georgia" w:hAnsi="Georgia"/>
          <w:sz w:val="19"/>
          <w:szCs w:val="19"/>
        </w:rPr>
        <w:t>Nawerewere</w:t>
      </w:r>
      <w:proofErr w:type="spellEnd"/>
      <w:r>
        <w:rPr>
          <w:rFonts w:ascii="Georgia" w:hAnsi="Georgia"/>
          <w:sz w:val="19"/>
          <w:szCs w:val="19"/>
        </w:rPr>
        <w:t xml:space="preserve"> Hospital.</w:t>
      </w:r>
      <w:r w:rsidR="00E92460">
        <w:rPr>
          <w:rFonts w:ascii="Georgia" w:hAnsi="Georgia"/>
          <w:sz w:val="19"/>
          <w:szCs w:val="19"/>
        </w:rPr>
        <w:t xml:space="preserve"> </w:t>
      </w:r>
    </w:p>
    <w:p w14:paraId="328EC0D3" w14:textId="6A7BEE69" w:rsidR="00AB2450" w:rsidRDefault="00032EB6" w:rsidP="00AB2450">
      <w:pPr>
        <w:pStyle w:val="gray"/>
        <w:spacing w:before="240" w:after="120" w:line="280" w:lineRule="atLeast"/>
        <w:ind w:left="0" w:right="272"/>
        <w:rPr>
          <w:rFonts w:ascii="Georgia" w:hAnsi="Georgia"/>
          <w:sz w:val="19"/>
          <w:szCs w:val="19"/>
        </w:rPr>
      </w:pPr>
      <w:r>
        <w:rPr>
          <w:rFonts w:ascii="Georgia" w:hAnsi="Georgia"/>
          <w:sz w:val="19"/>
          <w:szCs w:val="19"/>
        </w:rPr>
        <w:t xml:space="preserve">Thirteen have achieved </w:t>
      </w:r>
      <w:r w:rsidR="00AB2450">
        <w:rPr>
          <w:rFonts w:ascii="Georgia" w:hAnsi="Georgia"/>
          <w:sz w:val="19"/>
          <w:szCs w:val="19"/>
        </w:rPr>
        <w:t xml:space="preserve">either a </w:t>
      </w:r>
      <w:r w:rsidR="002068C4">
        <w:rPr>
          <w:rFonts w:ascii="Georgia" w:hAnsi="Georgia"/>
          <w:sz w:val="19"/>
          <w:szCs w:val="19"/>
        </w:rPr>
        <w:t xml:space="preserve">certificate </w:t>
      </w:r>
      <w:r w:rsidR="00AB2450">
        <w:rPr>
          <w:rFonts w:ascii="Georgia" w:hAnsi="Georgia"/>
          <w:sz w:val="19"/>
          <w:szCs w:val="19"/>
        </w:rPr>
        <w:t xml:space="preserve">III in </w:t>
      </w:r>
      <w:r w:rsidR="002068C4">
        <w:rPr>
          <w:rFonts w:ascii="Georgia" w:hAnsi="Georgia"/>
          <w:sz w:val="19"/>
          <w:szCs w:val="19"/>
        </w:rPr>
        <w:t xml:space="preserve">aged care </w:t>
      </w:r>
      <w:r w:rsidR="00AB2450">
        <w:rPr>
          <w:rFonts w:ascii="Georgia" w:hAnsi="Georgia"/>
          <w:sz w:val="19"/>
          <w:szCs w:val="19"/>
        </w:rPr>
        <w:t xml:space="preserve">or a </w:t>
      </w:r>
      <w:r w:rsidR="002068C4">
        <w:rPr>
          <w:rFonts w:ascii="Georgia" w:hAnsi="Georgia"/>
          <w:sz w:val="19"/>
          <w:szCs w:val="19"/>
        </w:rPr>
        <w:t xml:space="preserve">diploma </w:t>
      </w:r>
      <w:r w:rsidR="00AB2450">
        <w:rPr>
          <w:rFonts w:ascii="Georgia" w:hAnsi="Georgia"/>
          <w:sz w:val="19"/>
          <w:szCs w:val="19"/>
        </w:rPr>
        <w:t xml:space="preserve">in </w:t>
      </w:r>
      <w:r w:rsidR="002068C4">
        <w:rPr>
          <w:rFonts w:ascii="Georgia" w:hAnsi="Georgia"/>
          <w:sz w:val="19"/>
          <w:szCs w:val="19"/>
        </w:rPr>
        <w:t>nursing</w:t>
      </w:r>
      <w:r w:rsidR="00AB2450">
        <w:rPr>
          <w:rFonts w:ascii="Georgia" w:hAnsi="Georgia"/>
          <w:sz w:val="19"/>
          <w:szCs w:val="19"/>
        </w:rPr>
        <w:t xml:space="preserve">, </w:t>
      </w:r>
      <w:r w:rsidR="002068C4">
        <w:rPr>
          <w:rFonts w:ascii="Georgia" w:hAnsi="Georgia"/>
          <w:sz w:val="19"/>
          <w:szCs w:val="19"/>
        </w:rPr>
        <w:t>six failed to</w:t>
      </w:r>
      <w:r w:rsidR="00AB2450">
        <w:rPr>
          <w:rFonts w:ascii="Georgia" w:hAnsi="Georgia"/>
          <w:sz w:val="19"/>
          <w:szCs w:val="19"/>
        </w:rPr>
        <w:t xml:space="preserve"> complete their certificate courses, and 59 students </w:t>
      </w:r>
      <w:r w:rsidR="002068C4">
        <w:rPr>
          <w:rFonts w:ascii="Georgia" w:hAnsi="Georgia"/>
          <w:sz w:val="19"/>
          <w:szCs w:val="19"/>
        </w:rPr>
        <w:t>are still studying</w:t>
      </w:r>
      <w:r w:rsidR="00AB2450">
        <w:rPr>
          <w:rFonts w:ascii="Georgia" w:hAnsi="Georgia"/>
          <w:sz w:val="19"/>
          <w:szCs w:val="19"/>
        </w:rPr>
        <w:t>.</w:t>
      </w:r>
      <w:r w:rsidR="00E92460">
        <w:rPr>
          <w:rFonts w:ascii="Georgia" w:hAnsi="Georgia"/>
          <w:sz w:val="19"/>
          <w:szCs w:val="19"/>
        </w:rPr>
        <w:t xml:space="preserve"> </w:t>
      </w:r>
      <w:r w:rsidR="00AB2450">
        <w:rPr>
          <w:rFonts w:ascii="Georgia" w:hAnsi="Georgia"/>
          <w:sz w:val="19"/>
          <w:szCs w:val="19"/>
        </w:rPr>
        <w:t xml:space="preserve">Two of the 13 that </w:t>
      </w:r>
      <w:r w:rsidR="002068C4">
        <w:rPr>
          <w:rFonts w:ascii="Georgia" w:hAnsi="Georgia"/>
          <w:sz w:val="19"/>
          <w:szCs w:val="19"/>
        </w:rPr>
        <w:t xml:space="preserve">achieved </w:t>
      </w:r>
      <w:r w:rsidR="00AB2450">
        <w:rPr>
          <w:rFonts w:ascii="Georgia" w:hAnsi="Georgia"/>
          <w:sz w:val="19"/>
          <w:szCs w:val="19"/>
        </w:rPr>
        <w:t xml:space="preserve">a </w:t>
      </w:r>
      <w:r w:rsidR="002068C4">
        <w:rPr>
          <w:rFonts w:ascii="Georgia" w:hAnsi="Georgia"/>
          <w:sz w:val="19"/>
          <w:szCs w:val="19"/>
        </w:rPr>
        <w:t xml:space="preserve">certificate </w:t>
      </w:r>
      <w:r w:rsidR="00AB2450">
        <w:rPr>
          <w:rFonts w:ascii="Georgia" w:hAnsi="Georgia"/>
          <w:sz w:val="19"/>
          <w:szCs w:val="19"/>
        </w:rPr>
        <w:t xml:space="preserve">III or </w:t>
      </w:r>
      <w:r w:rsidR="002068C4">
        <w:rPr>
          <w:rFonts w:ascii="Georgia" w:hAnsi="Georgia"/>
          <w:sz w:val="19"/>
          <w:szCs w:val="19"/>
        </w:rPr>
        <w:t>d</w:t>
      </w:r>
      <w:r w:rsidR="00AB2450">
        <w:rPr>
          <w:rFonts w:ascii="Georgia" w:hAnsi="Georgia"/>
          <w:sz w:val="19"/>
          <w:szCs w:val="19"/>
        </w:rPr>
        <w:t>iploma have returned to Kiribati and joined the second year students in Obstetrics course at the Kiribati School of Nursing.</w:t>
      </w:r>
      <w:r w:rsidR="00E92460">
        <w:rPr>
          <w:rFonts w:ascii="Georgia" w:hAnsi="Georgia"/>
          <w:sz w:val="19"/>
          <w:szCs w:val="19"/>
        </w:rPr>
        <w:t xml:space="preserve"> </w:t>
      </w:r>
      <w:r w:rsidR="00AB2450">
        <w:rPr>
          <w:rFonts w:ascii="Georgia" w:hAnsi="Georgia"/>
          <w:sz w:val="19"/>
          <w:szCs w:val="19"/>
        </w:rPr>
        <w:t>Five are still pursuing their Bachelor of Nursing at Griffith University as private students.</w:t>
      </w:r>
      <w:r w:rsidR="00E92460">
        <w:rPr>
          <w:rFonts w:ascii="Georgia" w:hAnsi="Georgia"/>
          <w:sz w:val="19"/>
          <w:szCs w:val="19"/>
        </w:rPr>
        <w:t xml:space="preserve"> </w:t>
      </w:r>
    </w:p>
    <w:bookmarkEnd w:id="8"/>
    <w:bookmarkEnd w:id="9"/>
    <w:p w14:paraId="29881FB1" w14:textId="3139D529" w:rsidR="00B97810" w:rsidRDefault="00B97810" w:rsidP="001231B0">
      <w:pPr>
        <w:pStyle w:val="gray"/>
        <w:tabs>
          <w:tab w:val="left" w:pos="5448"/>
          <w:tab w:val="left" w:pos="7526"/>
        </w:tabs>
        <w:spacing w:before="240" w:after="120" w:line="280" w:lineRule="atLeast"/>
        <w:ind w:left="0" w:right="272"/>
        <w:rPr>
          <w:rFonts w:ascii="Georgia" w:hAnsi="Georgia"/>
          <w:sz w:val="19"/>
          <w:szCs w:val="19"/>
        </w:rPr>
      </w:pPr>
      <w:r>
        <w:rPr>
          <w:rFonts w:ascii="Georgia" w:hAnsi="Georgia"/>
          <w:sz w:val="19"/>
          <w:szCs w:val="19"/>
        </w:rPr>
        <w:t xml:space="preserve">The subject failure rates are high and students are taking a much longer time to complete </w:t>
      </w:r>
      <w:r w:rsidR="00A57DB8">
        <w:rPr>
          <w:rFonts w:ascii="Georgia" w:hAnsi="Georgia"/>
          <w:sz w:val="19"/>
          <w:szCs w:val="19"/>
        </w:rPr>
        <w:t xml:space="preserve">their studies </w:t>
      </w:r>
      <w:r>
        <w:rPr>
          <w:rFonts w:ascii="Georgia" w:hAnsi="Georgia"/>
          <w:sz w:val="19"/>
          <w:szCs w:val="19"/>
        </w:rPr>
        <w:t xml:space="preserve">than expected, contributing to high unit costs for the program. </w:t>
      </w:r>
      <w:r w:rsidR="00745D89">
        <w:rPr>
          <w:rFonts w:ascii="Georgia" w:hAnsi="Georgia"/>
          <w:sz w:val="19"/>
          <w:szCs w:val="19"/>
        </w:rPr>
        <w:t>There is e</w:t>
      </w:r>
      <w:r>
        <w:rPr>
          <w:rFonts w:ascii="Georgia" w:hAnsi="Georgia"/>
          <w:sz w:val="19"/>
          <w:szCs w:val="19"/>
        </w:rPr>
        <w:t>vidence that the program is not achieving its objectives and the best use of these resources</w:t>
      </w:r>
      <w:r w:rsidR="00745D89">
        <w:rPr>
          <w:rFonts w:ascii="Georgia" w:hAnsi="Georgia"/>
          <w:sz w:val="19"/>
          <w:szCs w:val="19"/>
        </w:rPr>
        <w:t xml:space="preserve"> needs to be reconsidered</w:t>
      </w:r>
      <w:r>
        <w:rPr>
          <w:rFonts w:ascii="Georgia" w:hAnsi="Georgia"/>
          <w:sz w:val="19"/>
          <w:szCs w:val="19"/>
        </w:rPr>
        <w:t>.</w:t>
      </w:r>
      <w:r w:rsidR="00E92460">
        <w:rPr>
          <w:rFonts w:ascii="Georgia" w:hAnsi="Georgia"/>
          <w:sz w:val="19"/>
          <w:szCs w:val="19"/>
        </w:rPr>
        <w:t xml:space="preserve"> </w:t>
      </w:r>
      <w:r>
        <w:rPr>
          <w:rFonts w:ascii="Georgia" w:hAnsi="Georgia"/>
          <w:sz w:val="19"/>
          <w:szCs w:val="19"/>
        </w:rPr>
        <w:t xml:space="preserve">A 2012 evaluation of the program is expected to examine </w:t>
      </w:r>
      <w:r w:rsidR="002068C4">
        <w:rPr>
          <w:rFonts w:ascii="Georgia" w:hAnsi="Georgia"/>
          <w:sz w:val="19"/>
          <w:szCs w:val="19"/>
        </w:rPr>
        <w:t xml:space="preserve">its </w:t>
      </w:r>
      <w:r>
        <w:rPr>
          <w:rFonts w:ascii="Georgia" w:hAnsi="Georgia"/>
          <w:sz w:val="19"/>
          <w:szCs w:val="19"/>
        </w:rPr>
        <w:t>cost-effectiveness and the way forward.</w:t>
      </w:r>
    </w:p>
    <w:p w14:paraId="66349640" w14:textId="3880DCDF" w:rsidR="00B97810" w:rsidRDefault="00B97810" w:rsidP="001231B0">
      <w:pPr>
        <w:pStyle w:val="gray"/>
        <w:tabs>
          <w:tab w:val="left" w:pos="5448"/>
          <w:tab w:val="left" w:pos="7526"/>
        </w:tabs>
        <w:spacing w:before="240" w:after="120" w:line="280" w:lineRule="atLeast"/>
        <w:ind w:left="0" w:right="272"/>
        <w:rPr>
          <w:rFonts w:ascii="Georgia" w:hAnsi="Georgia"/>
          <w:sz w:val="19"/>
          <w:szCs w:val="19"/>
        </w:rPr>
      </w:pPr>
      <w:r>
        <w:rPr>
          <w:rFonts w:ascii="Georgia" w:hAnsi="Georgia"/>
          <w:sz w:val="19"/>
          <w:szCs w:val="19"/>
        </w:rPr>
        <w:t xml:space="preserve">The second component of </w:t>
      </w:r>
      <w:r w:rsidR="002068C4">
        <w:rPr>
          <w:rFonts w:ascii="Georgia" w:hAnsi="Georgia"/>
          <w:sz w:val="19"/>
          <w:szCs w:val="19"/>
        </w:rPr>
        <w:t xml:space="preserve">the program </w:t>
      </w:r>
      <w:r>
        <w:rPr>
          <w:rFonts w:ascii="Georgia" w:hAnsi="Georgia"/>
          <w:sz w:val="19"/>
          <w:szCs w:val="19"/>
        </w:rPr>
        <w:t>is</w:t>
      </w:r>
      <w:r w:rsidR="00E92460">
        <w:rPr>
          <w:rFonts w:ascii="Georgia" w:hAnsi="Georgia"/>
          <w:sz w:val="19"/>
          <w:szCs w:val="19"/>
        </w:rPr>
        <w:t xml:space="preserve"> </w:t>
      </w:r>
      <w:r>
        <w:rPr>
          <w:rFonts w:ascii="Georgia" w:hAnsi="Georgia"/>
          <w:sz w:val="19"/>
          <w:szCs w:val="19"/>
        </w:rPr>
        <w:t>to upgrade nursing education in Kiribati to improve the quality of health care. However, due to difficulties in finding an implementing partner, this component has not yet commenced.</w:t>
      </w:r>
    </w:p>
    <w:p w14:paraId="0A7503FF" w14:textId="12B34D3B" w:rsidR="00B97810" w:rsidRPr="00AD7CED" w:rsidRDefault="00A769ED" w:rsidP="00AB71D0">
      <w:pPr>
        <w:pStyle w:val="H3"/>
      </w:pPr>
      <w:r w:rsidRPr="00AD7CED">
        <w:t>Australia-Pacific Technical College</w:t>
      </w:r>
    </w:p>
    <w:p w14:paraId="462712F2" w14:textId="4B1233D2" w:rsidR="00A769ED" w:rsidRDefault="00A769ED" w:rsidP="00A769ED">
      <w:pPr>
        <w:pStyle w:val="gray"/>
        <w:tabs>
          <w:tab w:val="left" w:pos="5448"/>
          <w:tab w:val="left" w:pos="7526"/>
        </w:tabs>
        <w:spacing w:before="240" w:after="120" w:line="280" w:lineRule="atLeast"/>
        <w:ind w:left="0" w:right="272"/>
        <w:rPr>
          <w:rFonts w:ascii="Georgia" w:hAnsi="Georgia"/>
          <w:sz w:val="19"/>
          <w:szCs w:val="19"/>
        </w:rPr>
      </w:pPr>
      <w:r>
        <w:rPr>
          <w:rFonts w:ascii="Georgia" w:hAnsi="Georgia"/>
          <w:sz w:val="19"/>
          <w:szCs w:val="19"/>
        </w:rPr>
        <w:t>I-Kiribati students continue to access the Australia-Pacific Technical College</w:t>
      </w:r>
      <w:r w:rsidR="00745D89">
        <w:rPr>
          <w:rFonts w:ascii="Georgia" w:hAnsi="Georgia"/>
          <w:sz w:val="19"/>
          <w:szCs w:val="19"/>
        </w:rPr>
        <w:t xml:space="preserve"> and f</w:t>
      </w:r>
      <w:r>
        <w:rPr>
          <w:rFonts w:ascii="Georgia" w:hAnsi="Georgia"/>
          <w:sz w:val="19"/>
          <w:szCs w:val="19"/>
        </w:rPr>
        <w:t>rom 2007</w:t>
      </w:r>
      <w:r w:rsidR="00745D89">
        <w:rPr>
          <w:rFonts w:ascii="Georgia" w:hAnsi="Georgia"/>
          <w:sz w:val="19"/>
          <w:szCs w:val="19"/>
        </w:rPr>
        <w:t xml:space="preserve"> to </w:t>
      </w:r>
      <w:r>
        <w:rPr>
          <w:rFonts w:ascii="Georgia" w:hAnsi="Georgia"/>
          <w:sz w:val="19"/>
          <w:szCs w:val="19"/>
        </w:rPr>
        <w:t xml:space="preserve">December 2011, 86 students (47 </w:t>
      </w:r>
      <w:r w:rsidR="00745D89">
        <w:rPr>
          <w:rFonts w:ascii="Georgia" w:hAnsi="Georgia"/>
          <w:sz w:val="19"/>
          <w:szCs w:val="19"/>
        </w:rPr>
        <w:t xml:space="preserve">women </w:t>
      </w:r>
      <w:r>
        <w:rPr>
          <w:rFonts w:ascii="Georgia" w:hAnsi="Georgia"/>
          <w:sz w:val="19"/>
          <w:szCs w:val="19"/>
        </w:rPr>
        <w:t xml:space="preserve">and 39 </w:t>
      </w:r>
      <w:r w:rsidR="00745D89">
        <w:rPr>
          <w:rFonts w:ascii="Georgia" w:hAnsi="Georgia"/>
          <w:sz w:val="19"/>
          <w:szCs w:val="19"/>
        </w:rPr>
        <w:t>men</w:t>
      </w:r>
      <w:r>
        <w:rPr>
          <w:rFonts w:ascii="Georgia" w:hAnsi="Georgia"/>
          <w:sz w:val="19"/>
          <w:szCs w:val="19"/>
        </w:rPr>
        <w:t>) have graduated.</w:t>
      </w:r>
      <w:r w:rsidR="00E92460">
        <w:rPr>
          <w:rFonts w:ascii="Georgia" w:hAnsi="Georgia"/>
          <w:sz w:val="19"/>
          <w:szCs w:val="19"/>
        </w:rPr>
        <w:t xml:space="preserve"> </w:t>
      </w:r>
      <w:r>
        <w:rPr>
          <w:rFonts w:ascii="Georgia" w:hAnsi="Georgia"/>
          <w:sz w:val="19"/>
          <w:szCs w:val="19"/>
        </w:rPr>
        <w:t xml:space="preserve">Of these, 66 students graduated from the School of Hospitality and Community Services (popular courses </w:t>
      </w:r>
      <w:r w:rsidR="00745D89">
        <w:rPr>
          <w:rFonts w:ascii="Georgia" w:hAnsi="Georgia"/>
          <w:sz w:val="19"/>
          <w:szCs w:val="19"/>
        </w:rPr>
        <w:t>were in</w:t>
      </w:r>
      <w:r>
        <w:rPr>
          <w:rFonts w:ascii="Georgia" w:hAnsi="Georgia"/>
          <w:sz w:val="19"/>
          <w:szCs w:val="19"/>
        </w:rPr>
        <w:t xml:space="preserve"> </w:t>
      </w:r>
      <w:r w:rsidR="00745D89">
        <w:rPr>
          <w:rFonts w:ascii="Georgia" w:hAnsi="Georgia"/>
          <w:sz w:val="19"/>
          <w:szCs w:val="19"/>
        </w:rPr>
        <w:t xml:space="preserve">training </w:t>
      </w:r>
      <w:r>
        <w:rPr>
          <w:rFonts w:ascii="Georgia" w:hAnsi="Georgia"/>
          <w:sz w:val="19"/>
          <w:szCs w:val="19"/>
        </w:rPr>
        <w:t xml:space="preserve">and </w:t>
      </w:r>
      <w:r w:rsidR="00745D89">
        <w:rPr>
          <w:rFonts w:ascii="Georgia" w:hAnsi="Georgia"/>
          <w:sz w:val="19"/>
          <w:szCs w:val="19"/>
        </w:rPr>
        <w:t>assessment</w:t>
      </w:r>
      <w:r>
        <w:rPr>
          <w:rFonts w:ascii="Georgia" w:hAnsi="Georgia"/>
          <w:sz w:val="19"/>
          <w:szCs w:val="19"/>
        </w:rPr>
        <w:t xml:space="preserve">, </w:t>
      </w:r>
      <w:r w:rsidR="00745D89">
        <w:rPr>
          <w:rFonts w:ascii="Georgia" w:hAnsi="Georgia"/>
          <w:sz w:val="19"/>
          <w:szCs w:val="19"/>
        </w:rPr>
        <w:t>children’s services, hospitality operations and hospitality supervis</w:t>
      </w:r>
      <w:r>
        <w:rPr>
          <w:rFonts w:ascii="Georgia" w:hAnsi="Georgia"/>
          <w:sz w:val="19"/>
          <w:szCs w:val="19"/>
        </w:rPr>
        <w:t>ion) and 23 students graduated from the School of Trades and Technology (</w:t>
      </w:r>
      <w:r w:rsidR="004F461A">
        <w:rPr>
          <w:rFonts w:ascii="Georgia" w:hAnsi="Georgia"/>
          <w:sz w:val="19"/>
          <w:szCs w:val="19"/>
        </w:rPr>
        <w:t xml:space="preserve">where </w:t>
      </w:r>
      <w:r w:rsidR="00745D89">
        <w:rPr>
          <w:rFonts w:ascii="Georgia" w:hAnsi="Georgia"/>
          <w:sz w:val="19"/>
          <w:szCs w:val="19"/>
        </w:rPr>
        <w:t xml:space="preserve">the most </w:t>
      </w:r>
      <w:r>
        <w:rPr>
          <w:rFonts w:ascii="Georgia" w:hAnsi="Georgia"/>
          <w:sz w:val="19"/>
          <w:szCs w:val="19"/>
        </w:rPr>
        <w:t xml:space="preserve">popular courses </w:t>
      </w:r>
      <w:r w:rsidR="00745D89">
        <w:rPr>
          <w:rFonts w:ascii="Georgia" w:hAnsi="Georgia"/>
          <w:sz w:val="19"/>
          <w:szCs w:val="19"/>
        </w:rPr>
        <w:t xml:space="preserve">were automotive </w:t>
      </w:r>
      <w:r>
        <w:rPr>
          <w:rFonts w:ascii="Georgia" w:hAnsi="Georgia"/>
          <w:sz w:val="19"/>
          <w:szCs w:val="19"/>
        </w:rPr>
        <w:t xml:space="preserve">mechanics and </w:t>
      </w:r>
      <w:r w:rsidR="00745D89">
        <w:rPr>
          <w:rFonts w:ascii="Georgia" w:hAnsi="Georgia"/>
          <w:sz w:val="19"/>
          <w:szCs w:val="19"/>
        </w:rPr>
        <w:t>carpentry</w:t>
      </w:r>
      <w:r>
        <w:rPr>
          <w:rFonts w:ascii="Georgia" w:hAnsi="Georgia"/>
          <w:sz w:val="19"/>
          <w:szCs w:val="19"/>
        </w:rPr>
        <w:t xml:space="preserve">). Low English language proficiency and lack of technical skills are barriers to applicants meeting the </w:t>
      </w:r>
      <w:r w:rsidR="004F461A">
        <w:rPr>
          <w:rFonts w:ascii="Georgia" w:hAnsi="Georgia"/>
          <w:sz w:val="19"/>
          <w:szCs w:val="19"/>
        </w:rPr>
        <w:t xml:space="preserve">college’s </w:t>
      </w:r>
      <w:r>
        <w:rPr>
          <w:rFonts w:ascii="Georgia" w:hAnsi="Georgia"/>
          <w:sz w:val="19"/>
          <w:szCs w:val="19"/>
        </w:rPr>
        <w:t>entry requirements.</w:t>
      </w:r>
      <w:r w:rsidR="00E92460">
        <w:rPr>
          <w:rFonts w:ascii="Georgia" w:hAnsi="Georgia"/>
          <w:sz w:val="19"/>
          <w:szCs w:val="19"/>
        </w:rPr>
        <w:t xml:space="preserve"> </w:t>
      </w:r>
      <w:r>
        <w:rPr>
          <w:rFonts w:ascii="Georgia" w:hAnsi="Georgia"/>
          <w:sz w:val="19"/>
          <w:szCs w:val="19"/>
        </w:rPr>
        <w:t xml:space="preserve">This will be addressed </w:t>
      </w:r>
      <w:r w:rsidR="004F461A">
        <w:rPr>
          <w:rFonts w:ascii="Georgia" w:hAnsi="Georgia"/>
          <w:sz w:val="19"/>
          <w:szCs w:val="19"/>
        </w:rPr>
        <w:t xml:space="preserve">by </w:t>
      </w:r>
      <w:r>
        <w:rPr>
          <w:rFonts w:ascii="Georgia" w:hAnsi="Georgia"/>
          <w:sz w:val="19"/>
          <w:szCs w:val="19"/>
        </w:rPr>
        <w:t xml:space="preserve">strengthening </w:t>
      </w:r>
      <w:r w:rsidR="00223220" w:rsidRPr="00AD7CED">
        <w:rPr>
          <w:rFonts w:ascii="Georgia" w:hAnsi="Georgia"/>
          <w:sz w:val="19"/>
          <w:szCs w:val="19"/>
        </w:rPr>
        <w:t>the Kiribati Institute of Technology</w:t>
      </w:r>
      <w:r w:rsidRPr="00265831">
        <w:rPr>
          <w:rFonts w:ascii="Georgia" w:hAnsi="Georgia"/>
          <w:sz w:val="19"/>
          <w:szCs w:val="19"/>
        </w:rPr>
        <w:t xml:space="preserve"> through </w:t>
      </w:r>
      <w:r w:rsidR="00A57DB8">
        <w:rPr>
          <w:rFonts w:ascii="Georgia" w:hAnsi="Georgia"/>
          <w:sz w:val="19"/>
          <w:szCs w:val="19"/>
        </w:rPr>
        <w:t>TVETSSP.</w:t>
      </w:r>
      <w:r w:rsidRPr="00265831">
        <w:rPr>
          <w:rFonts w:ascii="Georgia" w:hAnsi="Georgia"/>
          <w:sz w:val="19"/>
          <w:szCs w:val="19"/>
        </w:rPr>
        <w:t xml:space="preserve"> </w:t>
      </w:r>
    </w:p>
    <w:p w14:paraId="640EA86D" w14:textId="0DBD6FCA" w:rsidR="00B97810" w:rsidRPr="00AD7CED" w:rsidRDefault="007C5D12" w:rsidP="00AB71D0">
      <w:pPr>
        <w:pStyle w:val="H3"/>
      </w:pPr>
      <w:r w:rsidRPr="00AD7CED">
        <w:t>Australia Awards</w:t>
      </w:r>
    </w:p>
    <w:p w14:paraId="216047A0" w14:textId="5F8AF201" w:rsidR="00B97810" w:rsidRDefault="007C5D12" w:rsidP="00AB5430">
      <w:pPr>
        <w:pStyle w:val="gray"/>
        <w:tabs>
          <w:tab w:val="left" w:pos="5448"/>
          <w:tab w:val="left" w:pos="7526"/>
        </w:tabs>
        <w:spacing w:before="240" w:after="120" w:line="280" w:lineRule="atLeast"/>
        <w:ind w:left="0" w:right="272"/>
        <w:rPr>
          <w:rFonts w:ascii="Georgia" w:hAnsi="Georgia"/>
          <w:sz w:val="19"/>
          <w:szCs w:val="19"/>
        </w:rPr>
      </w:pPr>
      <w:r>
        <w:rPr>
          <w:rFonts w:ascii="Georgia" w:hAnsi="Georgia"/>
          <w:sz w:val="19"/>
          <w:szCs w:val="19"/>
        </w:rPr>
        <w:t>The Australia Awards program</w:t>
      </w:r>
      <w:r w:rsidR="00B97810">
        <w:rPr>
          <w:rFonts w:ascii="Georgia" w:hAnsi="Georgia"/>
          <w:sz w:val="19"/>
          <w:szCs w:val="19"/>
        </w:rPr>
        <w:t xml:space="preserve"> </w:t>
      </w:r>
      <w:r w:rsidR="002068C4">
        <w:rPr>
          <w:rFonts w:ascii="Georgia" w:hAnsi="Georgia"/>
          <w:sz w:val="19"/>
          <w:szCs w:val="19"/>
        </w:rPr>
        <w:t>helps</w:t>
      </w:r>
      <w:r w:rsidR="00B97810">
        <w:rPr>
          <w:rFonts w:ascii="Georgia" w:hAnsi="Georgia"/>
          <w:sz w:val="19"/>
          <w:szCs w:val="19"/>
        </w:rPr>
        <w:t xml:space="preserve"> Kiribati citizens pursue </w:t>
      </w:r>
      <w:r w:rsidR="002068C4">
        <w:rPr>
          <w:rFonts w:ascii="Georgia" w:hAnsi="Georgia"/>
          <w:sz w:val="19"/>
          <w:szCs w:val="19"/>
        </w:rPr>
        <w:t>long-</w:t>
      </w:r>
      <w:r w:rsidR="00B97810">
        <w:rPr>
          <w:rFonts w:ascii="Georgia" w:hAnsi="Georgia"/>
          <w:sz w:val="19"/>
          <w:szCs w:val="19"/>
        </w:rPr>
        <w:t>term training at tertiary training institutions in Australia and the Pacific region.</w:t>
      </w:r>
      <w:r w:rsidR="00E92460">
        <w:rPr>
          <w:rFonts w:ascii="Georgia" w:hAnsi="Georgia"/>
          <w:sz w:val="19"/>
          <w:szCs w:val="19"/>
        </w:rPr>
        <w:t xml:space="preserve"> </w:t>
      </w:r>
      <w:r w:rsidR="00B97810">
        <w:rPr>
          <w:rFonts w:ascii="Georgia" w:hAnsi="Georgia"/>
          <w:sz w:val="19"/>
          <w:szCs w:val="19"/>
        </w:rPr>
        <w:t xml:space="preserve">In 2011, </w:t>
      </w:r>
      <w:r w:rsidR="002068C4">
        <w:rPr>
          <w:rFonts w:ascii="Georgia" w:hAnsi="Georgia"/>
          <w:sz w:val="19"/>
          <w:szCs w:val="19"/>
        </w:rPr>
        <w:t xml:space="preserve">eight </w:t>
      </w:r>
      <w:r w:rsidR="00B97810">
        <w:rPr>
          <w:rFonts w:ascii="Georgia" w:hAnsi="Georgia"/>
          <w:sz w:val="19"/>
          <w:szCs w:val="19"/>
        </w:rPr>
        <w:t>Australian Development Scholarships and 20 Australian Regional Development Scholarships were provided.</w:t>
      </w:r>
      <w:r w:rsidR="00E92460">
        <w:rPr>
          <w:rFonts w:ascii="Georgia" w:hAnsi="Georgia"/>
          <w:sz w:val="19"/>
          <w:szCs w:val="19"/>
        </w:rPr>
        <w:t xml:space="preserve"> </w:t>
      </w:r>
      <w:r w:rsidR="00B97810">
        <w:rPr>
          <w:rFonts w:ascii="Georgia" w:hAnsi="Georgia"/>
          <w:sz w:val="19"/>
          <w:szCs w:val="19"/>
        </w:rPr>
        <w:t xml:space="preserve">Given the </w:t>
      </w:r>
      <w:r>
        <w:rPr>
          <w:rFonts w:ascii="Georgia" w:hAnsi="Georgia"/>
          <w:sz w:val="19"/>
          <w:szCs w:val="19"/>
        </w:rPr>
        <w:t>scholarships</w:t>
      </w:r>
      <w:r w:rsidR="002068C4">
        <w:rPr>
          <w:rFonts w:ascii="Georgia" w:hAnsi="Georgia"/>
          <w:sz w:val="19"/>
          <w:szCs w:val="19"/>
        </w:rPr>
        <w:t xml:space="preserve"> involve a three to five </w:t>
      </w:r>
      <w:r w:rsidR="00B97810">
        <w:rPr>
          <w:rFonts w:ascii="Georgia" w:hAnsi="Georgia"/>
          <w:sz w:val="19"/>
          <w:szCs w:val="19"/>
        </w:rPr>
        <w:t xml:space="preserve">year program of study, </w:t>
      </w:r>
      <w:r w:rsidR="002068C4">
        <w:rPr>
          <w:rFonts w:ascii="Georgia" w:hAnsi="Georgia"/>
          <w:sz w:val="19"/>
          <w:szCs w:val="19"/>
        </w:rPr>
        <w:t>short-</w:t>
      </w:r>
      <w:r w:rsidR="00B97810">
        <w:rPr>
          <w:rFonts w:ascii="Georgia" w:hAnsi="Georgia"/>
          <w:sz w:val="19"/>
          <w:szCs w:val="19"/>
        </w:rPr>
        <w:t>term outputs can be difficult to measure.</w:t>
      </w:r>
      <w:r w:rsidR="00E92460">
        <w:rPr>
          <w:rFonts w:ascii="Georgia" w:hAnsi="Georgia"/>
          <w:sz w:val="19"/>
          <w:szCs w:val="19"/>
        </w:rPr>
        <w:t xml:space="preserve"> </w:t>
      </w:r>
      <w:r w:rsidR="00B97810">
        <w:rPr>
          <w:rFonts w:ascii="Georgia" w:hAnsi="Georgia"/>
          <w:sz w:val="19"/>
          <w:szCs w:val="19"/>
        </w:rPr>
        <w:t xml:space="preserve">Over the long-term however, many successful </w:t>
      </w:r>
      <w:r w:rsidR="004F461A">
        <w:rPr>
          <w:rFonts w:ascii="Georgia" w:hAnsi="Georgia"/>
          <w:sz w:val="19"/>
          <w:szCs w:val="19"/>
        </w:rPr>
        <w:t xml:space="preserve">awardees </w:t>
      </w:r>
      <w:r w:rsidR="002068C4">
        <w:rPr>
          <w:rFonts w:ascii="Georgia" w:hAnsi="Georgia"/>
          <w:sz w:val="19"/>
          <w:szCs w:val="19"/>
        </w:rPr>
        <w:t xml:space="preserve">are </w:t>
      </w:r>
      <w:r w:rsidR="00B97810">
        <w:rPr>
          <w:rFonts w:ascii="Georgia" w:hAnsi="Georgia"/>
          <w:sz w:val="19"/>
          <w:szCs w:val="19"/>
        </w:rPr>
        <w:t xml:space="preserve">now populating the senior echelons of </w:t>
      </w:r>
      <w:r w:rsidR="002068C4">
        <w:rPr>
          <w:rFonts w:ascii="Georgia" w:hAnsi="Georgia"/>
          <w:sz w:val="19"/>
          <w:szCs w:val="19"/>
        </w:rPr>
        <w:t>Kiribati’s</w:t>
      </w:r>
      <w:r w:rsidR="00B97810">
        <w:rPr>
          <w:rFonts w:ascii="Georgia" w:hAnsi="Georgia"/>
          <w:sz w:val="19"/>
          <w:szCs w:val="19"/>
        </w:rPr>
        <w:t xml:space="preserve"> public service, or working with international agencies such as the World Bank, A</w:t>
      </w:r>
      <w:r w:rsidR="002068C4">
        <w:rPr>
          <w:rFonts w:ascii="Georgia" w:hAnsi="Georgia"/>
          <w:sz w:val="19"/>
          <w:szCs w:val="19"/>
        </w:rPr>
        <w:t xml:space="preserve">sian </w:t>
      </w:r>
      <w:r w:rsidR="00B97810">
        <w:rPr>
          <w:rFonts w:ascii="Georgia" w:hAnsi="Georgia"/>
          <w:sz w:val="19"/>
          <w:szCs w:val="19"/>
        </w:rPr>
        <w:t>D</w:t>
      </w:r>
      <w:r w:rsidR="002068C4">
        <w:rPr>
          <w:rFonts w:ascii="Georgia" w:hAnsi="Georgia"/>
          <w:sz w:val="19"/>
          <w:szCs w:val="19"/>
        </w:rPr>
        <w:t xml:space="preserve">evelopment </w:t>
      </w:r>
      <w:r w:rsidR="00B97810">
        <w:rPr>
          <w:rFonts w:ascii="Georgia" w:hAnsi="Georgia"/>
          <w:sz w:val="19"/>
          <w:szCs w:val="19"/>
        </w:rPr>
        <w:t>B</w:t>
      </w:r>
      <w:r w:rsidR="002068C4">
        <w:rPr>
          <w:rFonts w:ascii="Georgia" w:hAnsi="Georgia"/>
          <w:sz w:val="19"/>
          <w:szCs w:val="19"/>
        </w:rPr>
        <w:t>ank</w:t>
      </w:r>
      <w:r w:rsidR="00B97810">
        <w:rPr>
          <w:rFonts w:ascii="Georgia" w:hAnsi="Georgia"/>
          <w:sz w:val="19"/>
          <w:szCs w:val="19"/>
        </w:rPr>
        <w:t xml:space="preserve"> and the U</w:t>
      </w:r>
      <w:r w:rsidR="002068C4">
        <w:rPr>
          <w:rFonts w:ascii="Georgia" w:hAnsi="Georgia"/>
          <w:sz w:val="19"/>
          <w:szCs w:val="19"/>
        </w:rPr>
        <w:t xml:space="preserve">nited </w:t>
      </w:r>
      <w:r w:rsidR="00B97810">
        <w:rPr>
          <w:rFonts w:ascii="Georgia" w:hAnsi="Georgia"/>
          <w:sz w:val="19"/>
          <w:szCs w:val="19"/>
        </w:rPr>
        <w:t>N</w:t>
      </w:r>
      <w:r w:rsidR="002068C4">
        <w:rPr>
          <w:rFonts w:ascii="Georgia" w:hAnsi="Georgia"/>
          <w:sz w:val="19"/>
          <w:szCs w:val="19"/>
        </w:rPr>
        <w:t>ations</w:t>
      </w:r>
      <w:r w:rsidR="00B97810">
        <w:rPr>
          <w:rFonts w:ascii="Georgia" w:hAnsi="Georgia"/>
          <w:sz w:val="19"/>
          <w:szCs w:val="19"/>
        </w:rPr>
        <w:t>.</w:t>
      </w:r>
    </w:p>
    <w:p w14:paraId="05A8796E" w14:textId="7F793ACC" w:rsidR="00B97810" w:rsidRDefault="00B97810" w:rsidP="00AB5430">
      <w:pPr>
        <w:pStyle w:val="gray"/>
        <w:tabs>
          <w:tab w:val="left" w:pos="5448"/>
          <w:tab w:val="left" w:pos="7526"/>
        </w:tabs>
        <w:spacing w:before="240" w:after="120" w:line="280" w:lineRule="atLeast"/>
        <w:ind w:left="0" w:right="272"/>
        <w:rPr>
          <w:rFonts w:ascii="Georgia" w:hAnsi="Georgia"/>
          <w:sz w:val="19"/>
          <w:szCs w:val="19"/>
        </w:rPr>
      </w:pPr>
      <w:r>
        <w:rPr>
          <w:rFonts w:ascii="Georgia" w:hAnsi="Georgia"/>
          <w:sz w:val="19"/>
          <w:szCs w:val="19"/>
        </w:rPr>
        <w:t xml:space="preserve">Of concern </w:t>
      </w:r>
      <w:r w:rsidR="002068C4">
        <w:rPr>
          <w:rFonts w:ascii="Georgia" w:hAnsi="Georgia"/>
          <w:sz w:val="19"/>
          <w:szCs w:val="19"/>
        </w:rPr>
        <w:t xml:space="preserve">is the </w:t>
      </w:r>
      <w:r>
        <w:rPr>
          <w:rFonts w:ascii="Georgia" w:hAnsi="Georgia"/>
          <w:sz w:val="19"/>
          <w:szCs w:val="19"/>
        </w:rPr>
        <w:t>less than optimal award completion rates (</w:t>
      </w:r>
      <w:r w:rsidR="002068C4">
        <w:rPr>
          <w:rFonts w:ascii="Georgia" w:hAnsi="Georgia"/>
          <w:sz w:val="19"/>
          <w:szCs w:val="19"/>
        </w:rPr>
        <w:t xml:space="preserve">86 per cent of Australian Development Scholarships students </w:t>
      </w:r>
      <w:r>
        <w:rPr>
          <w:rFonts w:ascii="Georgia" w:hAnsi="Georgia"/>
          <w:sz w:val="19"/>
          <w:szCs w:val="19"/>
        </w:rPr>
        <w:t xml:space="preserve">and </w:t>
      </w:r>
      <w:r w:rsidR="002068C4">
        <w:rPr>
          <w:rFonts w:ascii="Georgia" w:hAnsi="Georgia"/>
          <w:sz w:val="19"/>
          <w:szCs w:val="19"/>
        </w:rPr>
        <w:t>72 per cent of Australian Regional Development Scholarships students between 2005–2011</w:t>
      </w:r>
      <w:r>
        <w:rPr>
          <w:rFonts w:ascii="Georgia" w:hAnsi="Georgia"/>
          <w:sz w:val="19"/>
          <w:szCs w:val="19"/>
        </w:rPr>
        <w:t>)</w:t>
      </w:r>
      <w:r w:rsidR="002068C4">
        <w:rPr>
          <w:rFonts w:ascii="Georgia" w:hAnsi="Georgia"/>
          <w:sz w:val="19"/>
          <w:szCs w:val="19"/>
        </w:rPr>
        <w:t>,</w:t>
      </w:r>
      <w:r>
        <w:rPr>
          <w:rFonts w:ascii="Georgia" w:hAnsi="Georgia"/>
          <w:sz w:val="19"/>
          <w:szCs w:val="19"/>
        </w:rPr>
        <w:t xml:space="preserve"> as well as </w:t>
      </w:r>
      <w:r w:rsidR="002068C4">
        <w:rPr>
          <w:rFonts w:ascii="Georgia" w:hAnsi="Georgia"/>
          <w:sz w:val="19"/>
          <w:szCs w:val="19"/>
        </w:rPr>
        <w:t xml:space="preserve">the </w:t>
      </w:r>
      <w:r>
        <w:rPr>
          <w:rFonts w:ascii="Georgia" w:hAnsi="Georgia"/>
          <w:sz w:val="19"/>
          <w:szCs w:val="19"/>
        </w:rPr>
        <w:t>relatively high levels of subject failure rates (23</w:t>
      </w:r>
      <w:r w:rsidR="002068C4">
        <w:rPr>
          <w:rFonts w:ascii="Georgia" w:hAnsi="Georgia"/>
          <w:sz w:val="19"/>
          <w:szCs w:val="19"/>
        </w:rPr>
        <w:t xml:space="preserve"> per cent </w:t>
      </w:r>
      <w:r>
        <w:rPr>
          <w:rFonts w:ascii="Georgia" w:hAnsi="Georgia"/>
          <w:sz w:val="19"/>
          <w:szCs w:val="19"/>
        </w:rPr>
        <w:t xml:space="preserve">in </w:t>
      </w:r>
      <w:r w:rsidR="002068C4">
        <w:rPr>
          <w:rFonts w:ascii="Georgia" w:hAnsi="Georgia"/>
          <w:sz w:val="19"/>
          <w:szCs w:val="19"/>
        </w:rPr>
        <w:t xml:space="preserve">Australian Development Scholarships </w:t>
      </w:r>
      <w:r>
        <w:rPr>
          <w:rFonts w:ascii="Georgia" w:hAnsi="Georgia"/>
          <w:sz w:val="19"/>
          <w:szCs w:val="19"/>
        </w:rPr>
        <w:t>and 20</w:t>
      </w:r>
      <w:r w:rsidR="002068C4">
        <w:rPr>
          <w:rFonts w:ascii="Georgia" w:hAnsi="Georgia"/>
          <w:sz w:val="19"/>
          <w:szCs w:val="19"/>
        </w:rPr>
        <w:t xml:space="preserve"> per cent </w:t>
      </w:r>
      <w:r>
        <w:rPr>
          <w:rFonts w:ascii="Georgia" w:hAnsi="Georgia"/>
          <w:sz w:val="19"/>
          <w:szCs w:val="19"/>
        </w:rPr>
        <w:t xml:space="preserve">in </w:t>
      </w:r>
      <w:r w:rsidR="002068C4">
        <w:rPr>
          <w:rFonts w:ascii="Georgia" w:hAnsi="Georgia"/>
          <w:sz w:val="19"/>
          <w:szCs w:val="19"/>
        </w:rPr>
        <w:lastRenderedPageBreak/>
        <w:t>Australian Regional Development Scholarships</w:t>
      </w:r>
      <w:r>
        <w:rPr>
          <w:rFonts w:ascii="Georgia" w:hAnsi="Georgia"/>
          <w:sz w:val="19"/>
          <w:szCs w:val="19"/>
        </w:rPr>
        <w:t>) requiring multiple extensions and variations to awards.</w:t>
      </w:r>
      <w:r w:rsidR="00E92460">
        <w:rPr>
          <w:rFonts w:ascii="Georgia" w:hAnsi="Georgia"/>
          <w:sz w:val="19"/>
          <w:szCs w:val="19"/>
        </w:rPr>
        <w:t xml:space="preserve"> </w:t>
      </w:r>
      <w:r w:rsidR="002068C4">
        <w:rPr>
          <w:rFonts w:ascii="Georgia" w:hAnsi="Georgia"/>
          <w:sz w:val="19"/>
          <w:szCs w:val="19"/>
        </w:rPr>
        <w:t>I</w:t>
      </w:r>
      <w:r>
        <w:rPr>
          <w:rFonts w:ascii="Georgia" w:hAnsi="Georgia"/>
          <w:sz w:val="19"/>
          <w:szCs w:val="19"/>
        </w:rPr>
        <w:t>n 2011</w:t>
      </w:r>
      <w:r w:rsidR="002068C4">
        <w:rPr>
          <w:rFonts w:ascii="Georgia" w:hAnsi="Georgia"/>
          <w:sz w:val="19"/>
          <w:szCs w:val="19"/>
        </w:rPr>
        <w:t>,</w:t>
      </w:r>
      <w:r>
        <w:rPr>
          <w:rFonts w:ascii="Georgia" w:hAnsi="Georgia"/>
          <w:sz w:val="19"/>
          <w:szCs w:val="19"/>
        </w:rPr>
        <w:t xml:space="preserve"> </w:t>
      </w:r>
      <w:r w:rsidR="002068C4">
        <w:rPr>
          <w:rFonts w:ascii="Georgia" w:hAnsi="Georgia"/>
          <w:sz w:val="19"/>
          <w:szCs w:val="19"/>
        </w:rPr>
        <w:t xml:space="preserve">five Australian Regional Development Scholarships were </w:t>
      </w:r>
      <w:r>
        <w:rPr>
          <w:rFonts w:ascii="Georgia" w:hAnsi="Georgia"/>
          <w:sz w:val="19"/>
          <w:szCs w:val="19"/>
        </w:rPr>
        <w:t xml:space="preserve">terminated, </w:t>
      </w:r>
      <w:r w:rsidR="002068C4">
        <w:rPr>
          <w:rFonts w:ascii="Georgia" w:hAnsi="Georgia"/>
          <w:sz w:val="19"/>
          <w:szCs w:val="19"/>
        </w:rPr>
        <w:t xml:space="preserve">six </w:t>
      </w:r>
      <w:r>
        <w:rPr>
          <w:rFonts w:ascii="Georgia" w:hAnsi="Georgia"/>
          <w:sz w:val="19"/>
          <w:szCs w:val="19"/>
        </w:rPr>
        <w:t xml:space="preserve">were extended and </w:t>
      </w:r>
      <w:r w:rsidR="002068C4">
        <w:rPr>
          <w:rFonts w:ascii="Georgia" w:hAnsi="Georgia"/>
          <w:sz w:val="19"/>
          <w:szCs w:val="19"/>
        </w:rPr>
        <w:t xml:space="preserve">seven </w:t>
      </w:r>
      <w:r>
        <w:rPr>
          <w:rFonts w:ascii="Georgia" w:hAnsi="Georgia"/>
          <w:sz w:val="19"/>
          <w:szCs w:val="19"/>
        </w:rPr>
        <w:t>varied their course.</w:t>
      </w:r>
      <w:r w:rsidR="00E92460">
        <w:rPr>
          <w:rFonts w:ascii="Georgia" w:hAnsi="Georgia"/>
          <w:sz w:val="19"/>
          <w:szCs w:val="19"/>
        </w:rPr>
        <w:t xml:space="preserve"> </w:t>
      </w:r>
    </w:p>
    <w:p w14:paraId="2B471C32" w14:textId="17DA658A" w:rsidR="00B97810" w:rsidRDefault="00B97810" w:rsidP="00AB5430">
      <w:pPr>
        <w:pStyle w:val="gray"/>
        <w:tabs>
          <w:tab w:val="left" w:pos="5448"/>
          <w:tab w:val="left" w:pos="7526"/>
        </w:tabs>
        <w:spacing w:before="240" w:after="120" w:line="280" w:lineRule="atLeast"/>
        <w:ind w:left="0" w:right="272"/>
        <w:rPr>
          <w:rFonts w:ascii="Georgia" w:hAnsi="Georgia"/>
          <w:sz w:val="19"/>
          <w:szCs w:val="19"/>
        </w:rPr>
      </w:pPr>
      <w:r>
        <w:rPr>
          <w:rFonts w:ascii="Georgia" w:hAnsi="Georgia"/>
          <w:sz w:val="19"/>
          <w:szCs w:val="19"/>
        </w:rPr>
        <w:t xml:space="preserve">In May 2011, an internal </w:t>
      </w:r>
      <w:proofErr w:type="spellStart"/>
      <w:r>
        <w:rPr>
          <w:rFonts w:ascii="Georgia" w:hAnsi="Georgia"/>
          <w:sz w:val="19"/>
          <w:szCs w:val="19"/>
        </w:rPr>
        <w:t>AusAID</w:t>
      </w:r>
      <w:proofErr w:type="spellEnd"/>
      <w:r>
        <w:rPr>
          <w:rFonts w:ascii="Georgia" w:hAnsi="Georgia"/>
          <w:sz w:val="19"/>
          <w:szCs w:val="19"/>
        </w:rPr>
        <w:t xml:space="preserve"> audit raised concerns around the transparency of </w:t>
      </w:r>
      <w:r w:rsidR="004F461A">
        <w:rPr>
          <w:rFonts w:ascii="Georgia" w:hAnsi="Georgia"/>
          <w:sz w:val="19"/>
          <w:szCs w:val="19"/>
        </w:rPr>
        <w:t>Kiribati’s</w:t>
      </w:r>
      <w:r w:rsidR="002068C4">
        <w:rPr>
          <w:rFonts w:ascii="Georgia" w:hAnsi="Georgia"/>
          <w:sz w:val="19"/>
          <w:szCs w:val="19"/>
        </w:rPr>
        <w:t xml:space="preserve"> scholarships </w:t>
      </w:r>
      <w:r>
        <w:rPr>
          <w:rFonts w:ascii="Georgia" w:hAnsi="Georgia"/>
          <w:sz w:val="19"/>
          <w:szCs w:val="19"/>
        </w:rPr>
        <w:t>selection process</w:t>
      </w:r>
      <w:r w:rsidR="002068C4">
        <w:rPr>
          <w:rFonts w:ascii="Georgia" w:hAnsi="Georgia"/>
          <w:sz w:val="19"/>
          <w:szCs w:val="19"/>
        </w:rPr>
        <w:t>, which include</w:t>
      </w:r>
      <w:r w:rsidR="004F461A">
        <w:rPr>
          <w:rFonts w:ascii="Georgia" w:hAnsi="Georgia"/>
          <w:sz w:val="19"/>
          <w:szCs w:val="19"/>
        </w:rPr>
        <w:t>s</w:t>
      </w:r>
      <w:r>
        <w:rPr>
          <w:rFonts w:ascii="Georgia" w:hAnsi="Georgia"/>
          <w:sz w:val="19"/>
          <w:szCs w:val="19"/>
        </w:rPr>
        <w:t xml:space="preserve"> little </w:t>
      </w:r>
      <w:proofErr w:type="spellStart"/>
      <w:r>
        <w:rPr>
          <w:rFonts w:ascii="Georgia" w:hAnsi="Georgia"/>
          <w:sz w:val="19"/>
          <w:szCs w:val="19"/>
        </w:rPr>
        <w:t>AusAID</w:t>
      </w:r>
      <w:proofErr w:type="spellEnd"/>
      <w:r>
        <w:rPr>
          <w:rFonts w:ascii="Georgia" w:hAnsi="Georgia"/>
          <w:sz w:val="19"/>
          <w:szCs w:val="19"/>
        </w:rPr>
        <w:t xml:space="preserve"> participation. </w:t>
      </w:r>
      <w:proofErr w:type="spellStart"/>
      <w:r>
        <w:rPr>
          <w:rFonts w:ascii="Georgia" w:hAnsi="Georgia"/>
          <w:sz w:val="19"/>
          <w:szCs w:val="19"/>
        </w:rPr>
        <w:t>AusAID</w:t>
      </w:r>
      <w:proofErr w:type="spellEnd"/>
      <w:r>
        <w:rPr>
          <w:rFonts w:ascii="Georgia" w:hAnsi="Georgia"/>
          <w:sz w:val="19"/>
          <w:szCs w:val="19"/>
        </w:rPr>
        <w:t xml:space="preserve"> </w:t>
      </w:r>
      <w:r w:rsidR="002068C4">
        <w:rPr>
          <w:rFonts w:ascii="Georgia" w:hAnsi="Georgia"/>
          <w:sz w:val="19"/>
          <w:szCs w:val="19"/>
        </w:rPr>
        <w:t xml:space="preserve">and New Zealand have </w:t>
      </w:r>
      <w:r>
        <w:rPr>
          <w:rFonts w:ascii="Georgia" w:hAnsi="Georgia"/>
          <w:sz w:val="19"/>
          <w:szCs w:val="19"/>
        </w:rPr>
        <w:t xml:space="preserve">been working closely with </w:t>
      </w:r>
      <w:proofErr w:type="gramStart"/>
      <w:r>
        <w:rPr>
          <w:rFonts w:ascii="Georgia" w:hAnsi="Georgia"/>
          <w:sz w:val="19"/>
          <w:szCs w:val="19"/>
        </w:rPr>
        <w:t xml:space="preserve">the </w:t>
      </w:r>
      <w:r w:rsidR="004F0540">
        <w:rPr>
          <w:rFonts w:ascii="Georgia" w:hAnsi="Georgia"/>
          <w:sz w:val="19"/>
          <w:szCs w:val="19"/>
        </w:rPr>
        <w:t xml:space="preserve"> Government</w:t>
      </w:r>
      <w:proofErr w:type="gramEnd"/>
      <w:r w:rsidR="004F0540">
        <w:rPr>
          <w:rFonts w:ascii="Georgia" w:hAnsi="Georgia"/>
          <w:sz w:val="19"/>
          <w:szCs w:val="19"/>
        </w:rPr>
        <w:t xml:space="preserve"> of Kiribati </w:t>
      </w:r>
      <w:r>
        <w:rPr>
          <w:rFonts w:ascii="Georgia" w:hAnsi="Georgia"/>
          <w:sz w:val="19"/>
          <w:szCs w:val="19"/>
        </w:rPr>
        <w:t xml:space="preserve">to ensure transparency and </w:t>
      </w:r>
      <w:r w:rsidR="004F461A">
        <w:rPr>
          <w:rFonts w:ascii="Georgia" w:hAnsi="Georgia"/>
          <w:sz w:val="19"/>
          <w:szCs w:val="19"/>
        </w:rPr>
        <w:t xml:space="preserve">have </w:t>
      </w:r>
      <w:r>
        <w:rPr>
          <w:rFonts w:ascii="Georgia" w:hAnsi="Georgia"/>
          <w:sz w:val="19"/>
          <w:szCs w:val="19"/>
        </w:rPr>
        <w:t xml:space="preserve">been invited to participate in </w:t>
      </w:r>
      <w:r w:rsidR="002068C4">
        <w:rPr>
          <w:rFonts w:ascii="Georgia" w:hAnsi="Georgia"/>
          <w:sz w:val="19"/>
          <w:szCs w:val="19"/>
        </w:rPr>
        <w:t xml:space="preserve">the government’s </w:t>
      </w:r>
      <w:r>
        <w:rPr>
          <w:rFonts w:ascii="Georgia" w:hAnsi="Georgia"/>
          <w:sz w:val="19"/>
          <w:szCs w:val="19"/>
        </w:rPr>
        <w:t xml:space="preserve">selection processes in 2012. </w:t>
      </w:r>
    </w:p>
    <w:p w14:paraId="62117C95" w14:textId="340990C4" w:rsidR="00B97810" w:rsidRPr="00D40A86" w:rsidRDefault="00B97810" w:rsidP="0058301B">
      <w:pPr>
        <w:pStyle w:val="Heading2"/>
        <w:keepNext/>
        <w:tabs>
          <w:tab w:val="left" w:pos="1920"/>
        </w:tabs>
        <w:spacing w:before="0" w:after="120" w:line="320" w:lineRule="atLeast"/>
      </w:pPr>
      <w:bookmarkStart w:id="10" w:name="_Toc360732549"/>
      <w:r>
        <w:t xml:space="preserve">Outcome 3: Improved </w:t>
      </w:r>
      <w:r w:rsidR="00A57DB8">
        <w:t>g</w:t>
      </w:r>
      <w:r>
        <w:t xml:space="preserve">rowth and </w:t>
      </w:r>
      <w:r w:rsidR="00A57DB8">
        <w:t>e</w:t>
      </w:r>
      <w:r>
        <w:t xml:space="preserve">conomic </w:t>
      </w:r>
      <w:r w:rsidR="00A57DB8">
        <w:t>m</w:t>
      </w:r>
      <w:r>
        <w:t>anagement</w:t>
      </w:r>
      <w:bookmarkEnd w:id="10"/>
      <w:r>
        <w:t xml:space="preserve"> </w:t>
      </w:r>
    </w:p>
    <w:p w14:paraId="53E558D6" w14:textId="7928AE3D" w:rsidR="00B97810" w:rsidRPr="00603278" w:rsidRDefault="00B97810" w:rsidP="00AD7CED">
      <w:pPr>
        <w:pStyle w:val="gray"/>
        <w:spacing w:before="240" w:after="0" w:line="280" w:lineRule="atLeast"/>
        <w:ind w:left="2160" w:right="272" w:hanging="2160"/>
        <w:rPr>
          <w:rFonts w:ascii="Georgia" w:hAnsi="Georgia"/>
          <w:sz w:val="19"/>
          <w:szCs w:val="19"/>
        </w:rPr>
      </w:pPr>
      <w:r w:rsidRPr="00603278">
        <w:rPr>
          <w:rFonts w:ascii="Georgia" w:hAnsi="Georgia"/>
          <w:b/>
          <w:sz w:val="19"/>
          <w:szCs w:val="19"/>
        </w:rPr>
        <w:t xml:space="preserve">Commitment: </w:t>
      </w:r>
      <w:r w:rsidR="00717F37">
        <w:rPr>
          <w:rFonts w:ascii="Georgia" w:hAnsi="Georgia"/>
          <w:b/>
          <w:sz w:val="19"/>
          <w:szCs w:val="19"/>
        </w:rPr>
        <w:tab/>
      </w:r>
      <w:r w:rsidR="004F461A">
        <w:rPr>
          <w:rFonts w:ascii="Georgia" w:hAnsi="Georgia"/>
          <w:sz w:val="19"/>
          <w:szCs w:val="19"/>
        </w:rPr>
        <w:t>S</w:t>
      </w:r>
      <w:r w:rsidR="00717F37" w:rsidRPr="00603278">
        <w:rPr>
          <w:rFonts w:ascii="Georgia" w:hAnsi="Georgia"/>
          <w:sz w:val="19"/>
          <w:szCs w:val="19"/>
        </w:rPr>
        <w:t xml:space="preserve">trengthen </w:t>
      </w:r>
      <w:r w:rsidRPr="00603278">
        <w:rPr>
          <w:rFonts w:ascii="Georgia" w:hAnsi="Georgia"/>
          <w:sz w:val="19"/>
          <w:szCs w:val="19"/>
        </w:rPr>
        <w:t xml:space="preserve">economic management </w:t>
      </w:r>
      <w:r w:rsidR="00717F37">
        <w:rPr>
          <w:rFonts w:ascii="Georgia" w:hAnsi="Georgia"/>
          <w:sz w:val="19"/>
          <w:szCs w:val="19"/>
        </w:rPr>
        <w:t>to</w:t>
      </w:r>
      <w:r w:rsidR="00717F37" w:rsidRPr="00603278">
        <w:rPr>
          <w:rFonts w:ascii="Georgia" w:hAnsi="Georgia"/>
          <w:sz w:val="19"/>
          <w:szCs w:val="19"/>
        </w:rPr>
        <w:t xml:space="preserve"> </w:t>
      </w:r>
      <w:r w:rsidRPr="00603278">
        <w:rPr>
          <w:rFonts w:ascii="Georgia" w:hAnsi="Georgia"/>
          <w:sz w:val="19"/>
          <w:szCs w:val="19"/>
        </w:rPr>
        <w:t>support mutually agreed Kiribati-led economic reforms (MDG 1 and 8)</w:t>
      </w:r>
      <w:r w:rsidR="004F461A">
        <w:rPr>
          <w:rFonts w:ascii="Georgia" w:hAnsi="Georgia"/>
          <w:sz w:val="19"/>
          <w:szCs w:val="19"/>
        </w:rPr>
        <w:t>.</w:t>
      </w:r>
    </w:p>
    <w:p w14:paraId="208DFB7C" w14:textId="7D378A2E" w:rsidR="00B97810" w:rsidRPr="00603278" w:rsidRDefault="00B97810" w:rsidP="00AD7CED">
      <w:pPr>
        <w:pStyle w:val="gray"/>
        <w:tabs>
          <w:tab w:val="left" w:pos="840"/>
        </w:tabs>
        <w:spacing w:before="120" w:after="0" w:line="280" w:lineRule="atLeast"/>
        <w:ind w:left="2160" w:right="272" w:hanging="2160"/>
        <w:rPr>
          <w:rFonts w:ascii="Georgia" w:hAnsi="Georgia"/>
          <w:sz w:val="19"/>
          <w:szCs w:val="19"/>
        </w:rPr>
      </w:pPr>
      <w:r>
        <w:rPr>
          <w:rFonts w:ascii="Georgia" w:hAnsi="Georgia"/>
          <w:b/>
          <w:sz w:val="19"/>
          <w:szCs w:val="19"/>
        </w:rPr>
        <w:t>Indicators</w:t>
      </w:r>
      <w:r w:rsidRPr="00603278">
        <w:rPr>
          <w:rFonts w:ascii="Georgia" w:hAnsi="Georgia"/>
          <w:b/>
          <w:sz w:val="19"/>
          <w:szCs w:val="19"/>
        </w:rPr>
        <w:t>:</w:t>
      </w:r>
      <w:r w:rsidRPr="00603278">
        <w:rPr>
          <w:rFonts w:ascii="Georgia" w:hAnsi="Georgia"/>
          <w:b/>
          <w:sz w:val="19"/>
          <w:szCs w:val="19"/>
        </w:rPr>
        <w:tab/>
      </w:r>
      <w:r w:rsidR="004F461A">
        <w:rPr>
          <w:rFonts w:ascii="Georgia" w:hAnsi="Georgia"/>
          <w:sz w:val="19"/>
          <w:szCs w:val="19"/>
        </w:rPr>
        <w:t>D</w:t>
      </w:r>
      <w:r w:rsidR="00717F37" w:rsidRPr="00603278">
        <w:rPr>
          <w:rFonts w:ascii="Georgia" w:hAnsi="Georgia"/>
          <w:sz w:val="19"/>
          <w:szCs w:val="19"/>
        </w:rPr>
        <w:t>ecrease</w:t>
      </w:r>
      <w:r w:rsidR="00717F37">
        <w:rPr>
          <w:rFonts w:ascii="Georgia" w:hAnsi="Georgia"/>
          <w:sz w:val="19"/>
          <w:szCs w:val="19"/>
        </w:rPr>
        <w:t xml:space="preserve"> the</w:t>
      </w:r>
      <w:r w:rsidR="00717F37" w:rsidRPr="00603278">
        <w:rPr>
          <w:rFonts w:ascii="Georgia" w:hAnsi="Georgia"/>
          <w:sz w:val="19"/>
          <w:szCs w:val="19"/>
        </w:rPr>
        <w:t xml:space="preserve"> </w:t>
      </w:r>
      <w:r w:rsidRPr="00603278">
        <w:rPr>
          <w:rFonts w:ascii="Georgia" w:hAnsi="Georgia"/>
          <w:sz w:val="19"/>
          <w:szCs w:val="19"/>
        </w:rPr>
        <w:t xml:space="preserve">gap between current </w:t>
      </w:r>
      <w:r w:rsidR="00717F37">
        <w:rPr>
          <w:rFonts w:ascii="Georgia" w:hAnsi="Georgia"/>
          <w:sz w:val="19"/>
          <w:szCs w:val="19"/>
        </w:rPr>
        <w:t xml:space="preserve">government </w:t>
      </w:r>
      <w:r w:rsidRPr="00603278">
        <w:rPr>
          <w:rFonts w:ascii="Georgia" w:hAnsi="Georgia"/>
          <w:sz w:val="19"/>
          <w:szCs w:val="19"/>
        </w:rPr>
        <w:t>expenditure and non-external grant revenue</w:t>
      </w:r>
      <w:r w:rsidRPr="00A57DB8">
        <w:rPr>
          <w:rStyle w:val="FootnoteReference"/>
          <w:rFonts w:cs="Arial"/>
          <w:szCs w:val="12"/>
        </w:rPr>
        <w:footnoteReference w:id="6"/>
      </w:r>
      <w:r w:rsidR="00717F37" w:rsidRPr="00A57DB8">
        <w:rPr>
          <w:rFonts w:ascii="Georgia" w:hAnsi="Georgia"/>
          <w:sz w:val="19"/>
          <w:szCs w:val="19"/>
        </w:rPr>
        <w:t xml:space="preserve"> </w:t>
      </w:r>
      <w:r w:rsidR="00717F37" w:rsidRPr="00AD7CED">
        <w:rPr>
          <w:rFonts w:ascii="Georgia" w:hAnsi="Georgia"/>
          <w:sz w:val="19"/>
          <w:szCs w:val="19"/>
        </w:rPr>
        <w:t>(off track</w:t>
      </w:r>
      <w:r w:rsidRPr="00AD7CED">
        <w:rPr>
          <w:rFonts w:ascii="Georgia" w:hAnsi="Georgia"/>
          <w:sz w:val="19"/>
          <w:szCs w:val="19"/>
        </w:rPr>
        <w:t>)</w:t>
      </w:r>
      <w:r w:rsidR="004F461A">
        <w:rPr>
          <w:rFonts w:ascii="Georgia" w:hAnsi="Georgia"/>
          <w:sz w:val="19"/>
          <w:szCs w:val="19"/>
        </w:rPr>
        <w:t>.</w:t>
      </w:r>
    </w:p>
    <w:p w14:paraId="01F5938D" w14:textId="0B0340CF" w:rsidR="00B97810" w:rsidRDefault="00B97810" w:rsidP="002F18A6">
      <w:pPr>
        <w:pStyle w:val="gray"/>
        <w:tabs>
          <w:tab w:val="left" w:pos="840"/>
        </w:tabs>
        <w:spacing w:before="120" w:after="0" w:line="280" w:lineRule="atLeast"/>
        <w:ind w:left="840" w:right="272" w:hanging="840"/>
        <w:rPr>
          <w:rFonts w:ascii="Georgia" w:hAnsi="Georgia"/>
          <w:b/>
          <w:sz w:val="19"/>
          <w:szCs w:val="19"/>
        </w:rPr>
      </w:pPr>
      <w:r w:rsidRPr="00603278">
        <w:rPr>
          <w:rFonts w:ascii="Georgia" w:hAnsi="Georgia"/>
          <w:sz w:val="19"/>
          <w:szCs w:val="19"/>
        </w:rPr>
        <w:tab/>
      </w:r>
      <w:r w:rsidR="00717F37">
        <w:rPr>
          <w:rFonts w:ascii="Georgia" w:hAnsi="Georgia"/>
          <w:sz w:val="19"/>
          <w:szCs w:val="19"/>
        </w:rPr>
        <w:tab/>
      </w:r>
      <w:r w:rsidR="00717F37">
        <w:rPr>
          <w:rFonts w:ascii="Georgia" w:hAnsi="Georgia"/>
          <w:sz w:val="19"/>
          <w:szCs w:val="19"/>
        </w:rPr>
        <w:tab/>
      </w:r>
      <w:r w:rsidR="004F461A">
        <w:rPr>
          <w:rFonts w:ascii="Georgia" w:hAnsi="Georgia"/>
          <w:sz w:val="19"/>
          <w:szCs w:val="19"/>
        </w:rPr>
        <w:t>I</w:t>
      </w:r>
      <w:r w:rsidR="00717F37" w:rsidRPr="00603278">
        <w:rPr>
          <w:rFonts w:ascii="Georgia" w:hAnsi="Georgia"/>
          <w:sz w:val="19"/>
          <w:szCs w:val="19"/>
        </w:rPr>
        <w:t xml:space="preserve">ncrease </w:t>
      </w:r>
      <w:r w:rsidRPr="00603278">
        <w:rPr>
          <w:rFonts w:ascii="Georgia" w:hAnsi="Georgia"/>
          <w:sz w:val="19"/>
          <w:szCs w:val="19"/>
        </w:rPr>
        <w:t xml:space="preserve">and sustain revenue flows from fisheries </w:t>
      </w:r>
      <w:r w:rsidRPr="00AD7CED">
        <w:rPr>
          <w:rFonts w:ascii="Georgia" w:hAnsi="Georgia"/>
          <w:sz w:val="19"/>
          <w:szCs w:val="19"/>
        </w:rPr>
        <w:t>(</w:t>
      </w:r>
      <w:r w:rsidR="00717F37" w:rsidRPr="00AD7CED">
        <w:rPr>
          <w:rFonts w:ascii="Georgia" w:hAnsi="Georgia"/>
          <w:sz w:val="19"/>
          <w:szCs w:val="19"/>
        </w:rPr>
        <w:t xml:space="preserve">off </w:t>
      </w:r>
      <w:r w:rsidRPr="00AD7CED">
        <w:rPr>
          <w:rFonts w:ascii="Georgia" w:hAnsi="Georgia"/>
          <w:sz w:val="19"/>
          <w:szCs w:val="19"/>
        </w:rPr>
        <w:t>track)</w:t>
      </w:r>
      <w:r w:rsidR="004F461A">
        <w:rPr>
          <w:rFonts w:ascii="Georgia" w:hAnsi="Georgia"/>
          <w:sz w:val="19"/>
          <w:szCs w:val="19"/>
        </w:rPr>
        <w:t>.</w:t>
      </w:r>
    </w:p>
    <w:p w14:paraId="452A30FC" w14:textId="6E037E53" w:rsidR="00B97810" w:rsidRPr="00603278" w:rsidRDefault="00B97810" w:rsidP="00AD7CED">
      <w:pPr>
        <w:pStyle w:val="gray"/>
        <w:tabs>
          <w:tab w:val="left" w:pos="840"/>
        </w:tabs>
        <w:spacing w:before="120" w:after="0" w:line="280" w:lineRule="atLeast"/>
        <w:ind w:left="2160" w:right="272" w:hanging="840"/>
        <w:rPr>
          <w:rFonts w:ascii="Georgia" w:hAnsi="Georgia"/>
          <w:b/>
          <w:sz w:val="19"/>
          <w:szCs w:val="19"/>
        </w:rPr>
      </w:pPr>
      <w:r w:rsidRPr="00603278">
        <w:rPr>
          <w:rFonts w:ascii="Georgia" w:hAnsi="Georgia"/>
          <w:b/>
          <w:sz w:val="19"/>
          <w:szCs w:val="19"/>
        </w:rPr>
        <w:tab/>
      </w:r>
      <w:r w:rsidR="004F461A">
        <w:rPr>
          <w:rFonts w:ascii="Georgia" w:hAnsi="Georgia"/>
          <w:sz w:val="19"/>
          <w:szCs w:val="19"/>
        </w:rPr>
        <w:t>I</w:t>
      </w:r>
      <w:r w:rsidR="00717F37" w:rsidRPr="00603278">
        <w:rPr>
          <w:rFonts w:ascii="Georgia" w:hAnsi="Georgia"/>
          <w:sz w:val="19"/>
          <w:szCs w:val="19"/>
        </w:rPr>
        <w:t xml:space="preserve">mprove </w:t>
      </w:r>
      <w:r w:rsidRPr="00603278">
        <w:rPr>
          <w:rFonts w:ascii="Georgia" w:hAnsi="Georgia"/>
          <w:sz w:val="19"/>
          <w:szCs w:val="19"/>
        </w:rPr>
        <w:t xml:space="preserve">the efficiency and effectiveness of public expenditure </w:t>
      </w:r>
      <w:r w:rsidR="00717F37">
        <w:rPr>
          <w:rFonts w:ascii="Georgia" w:hAnsi="Georgia"/>
          <w:sz w:val="19"/>
          <w:szCs w:val="19"/>
        </w:rPr>
        <w:t>to</w:t>
      </w:r>
      <w:r w:rsidR="00717F37" w:rsidRPr="00603278">
        <w:rPr>
          <w:rFonts w:ascii="Georgia" w:hAnsi="Georgia"/>
          <w:sz w:val="19"/>
          <w:szCs w:val="19"/>
        </w:rPr>
        <w:t xml:space="preserve"> </w:t>
      </w:r>
      <w:r w:rsidRPr="00603278">
        <w:rPr>
          <w:rFonts w:ascii="Georgia" w:hAnsi="Georgia"/>
          <w:sz w:val="19"/>
          <w:szCs w:val="19"/>
        </w:rPr>
        <w:t>promot</w:t>
      </w:r>
      <w:r w:rsidR="00717F37">
        <w:rPr>
          <w:rFonts w:ascii="Georgia" w:hAnsi="Georgia"/>
          <w:sz w:val="19"/>
          <w:szCs w:val="19"/>
        </w:rPr>
        <w:t xml:space="preserve">e </w:t>
      </w:r>
      <w:r w:rsidR="00717F37" w:rsidRPr="00603278">
        <w:rPr>
          <w:rFonts w:ascii="Georgia" w:hAnsi="Georgia"/>
          <w:sz w:val="19"/>
          <w:szCs w:val="19"/>
        </w:rPr>
        <w:t xml:space="preserve">Kiribati </w:t>
      </w:r>
      <w:r w:rsidRPr="00603278">
        <w:rPr>
          <w:rFonts w:ascii="Georgia" w:hAnsi="Georgia"/>
          <w:sz w:val="19"/>
          <w:szCs w:val="19"/>
        </w:rPr>
        <w:t xml:space="preserve">development </w:t>
      </w:r>
      <w:r w:rsidRPr="00AD7CED">
        <w:rPr>
          <w:rFonts w:ascii="Georgia" w:hAnsi="Georgia"/>
          <w:sz w:val="19"/>
          <w:szCs w:val="19"/>
        </w:rPr>
        <w:t>(partially on track)</w:t>
      </w:r>
      <w:r w:rsidR="004F461A">
        <w:rPr>
          <w:rFonts w:ascii="Georgia" w:hAnsi="Georgia"/>
          <w:sz w:val="19"/>
          <w:szCs w:val="19"/>
        </w:rPr>
        <w:t>.</w:t>
      </w:r>
    </w:p>
    <w:p w14:paraId="7EA60631" w14:textId="7FDD8051" w:rsidR="00B97810" w:rsidRPr="009011DF" w:rsidRDefault="00B97810" w:rsidP="00AD7CED">
      <w:pPr>
        <w:pStyle w:val="gray"/>
        <w:tabs>
          <w:tab w:val="left" w:pos="840"/>
        </w:tabs>
        <w:spacing w:before="120" w:after="0" w:line="280" w:lineRule="atLeast"/>
        <w:ind w:left="2160" w:right="272" w:hanging="840"/>
        <w:rPr>
          <w:rFonts w:ascii="Georgia" w:hAnsi="Georgia"/>
          <w:b/>
          <w:sz w:val="19"/>
          <w:szCs w:val="19"/>
        </w:rPr>
      </w:pPr>
      <w:r w:rsidRPr="00603278">
        <w:rPr>
          <w:rFonts w:ascii="Georgia" w:hAnsi="Georgia"/>
          <w:sz w:val="19"/>
          <w:szCs w:val="19"/>
        </w:rPr>
        <w:tab/>
      </w:r>
      <w:r w:rsidR="004F461A">
        <w:rPr>
          <w:rFonts w:ascii="Georgia" w:hAnsi="Georgia"/>
          <w:sz w:val="19"/>
          <w:szCs w:val="19"/>
        </w:rPr>
        <w:t>R</w:t>
      </w:r>
      <w:r w:rsidR="00717F37">
        <w:rPr>
          <w:rFonts w:ascii="Georgia" w:hAnsi="Georgia"/>
          <w:sz w:val="19"/>
          <w:szCs w:val="19"/>
        </w:rPr>
        <w:t>educe</w:t>
      </w:r>
      <w:r w:rsidR="00717F37" w:rsidRPr="00603278">
        <w:rPr>
          <w:rFonts w:ascii="Georgia" w:hAnsi="Georgia"/>
          <w:sz w:val="19"/>
          <w:szCs w:val="19"/>
        </w:rPr>
        <w:t xml:space="preserve"> </w:t>
      </w:r>
      <w:r w:rsidRPr="00603278">
        <w:rPr>
          <w:rFonts w:ascii="Georgia" w:hAnsi="Georgia"/>
          <w:sz w:val="19"/>
          <w:szCs w:val="19"/>
        </w:rPr>
        <w:t xml:space="preserve">general public expenditure as a percentage of GDP </w:t>
      </w:r>
      <w:r w:rsidR="009011DF" w:rsidRPr="00717F37">
        <w:rPr>
          <w:rFonts w:ascii="Georgia" w:hAnsi="Georgia"/>
          <w:sz w:val="19"/>
          <w:szCs w:val="19"/>
        </w:rPr>
        <w:t>(</w:t>
      </w:r>
      <w:r w:rsidR="00717F37" w:rsidRPr="00AD7CED">
        <w:rPr>
          <w:rFonts w:ascii="Georgia" w:hAnsi="Georgia"/>
          <w:sz w:val="19"/>
          <w:szCs w:val="19"/>
        </w:rPr>
        <w:t xml:space="preserve">off </w:t>
      </w:r>
      <w:r w:rsidR="00717F37">
        <w:rPr>
          <w:rFonts w:ascii="Georgia" w:hAnsi="Georgia"/>
          <w:sz w:val="19"/>
          <w:szCs w:val="19"/>
        </w:rPr>
        <w:t>t</w:t>
      </w:r>
      <w:r w:rsidR="00717F37" w:rsidRPr="00AD7CED">
        <w:rPr>
          <w:rFonts w:ascii="Georgia" w:hAnsi="Georgia"/>
          <w:sz w:val="19"/>
          <w:szCs w:val="19"/>
        </w:rPr>
        <w:t>rack</w:t>
      </w:r>
      <w:r w:rsidR="009011DF" w:rsidRPr="00AD7CED">
        <w:rPr>
          <w:rFonts w:ascii="Georgia" w:hAnsi="Georgia"/>
          <w:sz w:val="19"/>
          <w:szCs w:val="19"/>
        </w:rPr>
        <w:t>)</w:t>
      </w:r>
      <w:r w:rsidR="004F461A">
        <w:rPr>
          <w:rFonts w:ascii="Georgia" w:hAnsi="Georgia"/>
          <w:sz w:val="19"/>
          <w:szCs w:val="19"/>
        </w:rPr>
        <w:t>.</w:t>
      </w:r>
    </w:p>
    <w:p w14:paraId="4248840E" w14:textId="627E8498" w:rsidR="00B97810" w:rsidRDefault="00B97810" w:rsidP="00AD7CED">
      <w:pPr>
        <w:pStyle w:val="gray"/>
        <w:spacing w:before="240" w:after="120" w:line="280" w:lineRule="atLeast"/>
        <w:ind w:left="2127" w:right="272" w:hanging="2127"/>
        <w:rPr>
          <w:rFonts w:ascii="Georgia" w:hAnsi="Georgia"/>
          <w:sz w:val="19"/>
          <w:szCs w:val="19"/>
        </w:rPr>
      </w:pPr>
      <w:r w:rsidRPr="00603278">
        <w:rPr>
          <w:rFonts w:ascii="Georgia" w:hAnsi="Georgia"/>
          <w:b/>
          <w:sz w:val="19"/>
          <w:szCs w:val="19"/>
        </w:rPr>
        <w:t xml:space="preserve">Rating: </w:t>
      </w:r>
      <w:r w:rsidR="00717F37">
        <w:rPr>
          <w:rFonts w:ascii="Georgia" w:hAnsi="Georgia"/>
          <w:b/>
          <w:sz w:val="19"/>
          <w:szCs w:val="19"/>
        </w:rPr>
        <w:tab/>
      </w:r>
      <w:r w:rsidR="00835AA7">
        <w:rPr>
          <w:rFonts w:ascii="Georgia" w:hAnsi="Georgia"/>
          <w:sz w:val="19"/>
          <w:szCs w:val="19"/>
        </w:rPr>
        <w:t>Off track</w:t>
      </w:r>
      <w:r w:rsidR="00717F37">
        <w:rPr>
          <w:rFonts w:ascii="Georgia" w:hAnsi="Georgia"/>
          <w:sz w:val="19"/>
          <w:szCs w:val="19"/>
        </w:rPr>
        <w:t xml:space="preserve"> due </w:t>
      </w:r>
      <w:r w:rsidR="00216E1E">
        <w:rPr>
          <w:rFonts w:ascii="Georgia" w:hAnsi="Georgia"/>
          <w:sz w:val="19"/>
          <w:szCs w:val="19"/>
        </w:rPr>
        <w:t xml:space="preserve">to a number of </w:t>
      </w:r>
      <w:r w:rsidR="009011DF">
        <w:rPr>
          <w:rFonts w:ascii="Georgia" w:hAnsi="Georgia"/>
          <w:sz w:val="19"/>
          <w:szCs w:val="19"/>
        </w:rPr>
        <w:t>factors</w:t>
      </w:r>
      <w:r w:rsidR="004F461A">
        <w:rPr>
          <w:rFonts w:ascii="Georgia" w:hAnsi="Georgia"/>
          <w:sz w:val="19"/>
          <w:szCs w:val="19"/>
        </w:rPr>
        <w:t>,</w:t>
      </w:r>
      <w:r w:rsidR="009011DF">
        <w:rPr>
          <w:rStyle w:val="FootnoteReference"/>
          <w:szCs w:val="19"/>
        </w:rPr>
        <w:footnoteReference w:id="7"/>
      </w:r>
      <w:r w:rsidR="00E92460">
        <w:rPr>
          <w:rFonts w:ascii="Georgia" w:hAnsi="Georgia"/>
          <w:sz w:val="19"/>
          <w:szCs w:val="19"/>
        </w:rPr>
        <w:t xml:space="preserve"> </w:t>
      </w:r>
      <w:r w:rsidR="004F461A">
        <w:rPr>
          <w:rFonts w:ascii="Georgia" w:hAnsi="Georgia"/>
          <w:sz w:val="19"/>
          <w:szCs w:val="19"/>
        </w:rPr>
        <w:t xml:space="preserve">however </w:t>
      </w:r>
      <w:r w:rsidR="009011DF">
        <w:rPr>
          <w:rFonts w:ascii="Georgia" w:hAnsi="Georgia"/>
          <w:sz w:val="19"/>
          <w:szCs w:val="19"/>
        </w:rPr>
        <w:t xml:space="preserve">foundations laid in 2011 have the potential to make </w:t>
      </w:r>
      <w:r w:rsidR="00717F37">
        <w:rPr>
          <w:rFonts w:ascii="Georgia" w:hAnsi="Georgia"/>
          <w:sz w:val="19"/>
          <w:szCs w:val="19"/>
        </w:rPr>
        <w:t xml:space="preserve">a </w:t>
      </w:r>
      <w:r w:rsidR="009011DF">
        <w:rPr>
          <w:rFonts w:ascii="Georgia" w:hAnsi="Georgia"/>
          <w:sz w:val="19"/>
          <w:szCs w:val="19"/>
        </w:rPr>
        <w:t>significant impact on economic management.</w:t>
      </w:r>
      <w:r w:rsidR="00E92460">
        <w:rPr>
          <w:rFonts w:ascii="Georgia" w:hAnsi="Georgia"/>
          <w:sz w:val="19"/>
          <w:szCs w:val="19"/>
        </w:rPr>
        <w:t xml:space="preserve"> </w:t>
      </w:r>
      <w:r>
        <w:rPr>
          <w:rFonts w:ascii="Georgia" w:hAnsi="Georgia"/>
          <w:sz w:val="19"/>
          <w:szCs w:val="19"/>
        </w:rPr>
        <w:t xml:space="preserve">The indicators under this </w:t>
      </w:r>
      <w:r w:rsidR="00717F37">
        <w:rPr>
          <w:rFonts w:ascii="Georgia" w:hAnsi="Georgia"/>
          <w:sz w:val="19"/>
          <w:szCs w:val="19"/>
        </w:rPr>
        <w:t xml:space="preserve">outcome </w:t>
      </w:r>
      <w:r>
        <w:rPr>
          <w:rFonts w:ascii="Georgia" w:hAnsi="Georgia"/>
          <w:sz w:val="19"/>
          <w:szCs w:val="19"/>
        </w:rPr>
        <w:t xml:space="preserve">will be revised in 2012 </w:t>
      </w:r>
      <w:r w:rsidR="009011DF">
        <w:rPr>
          <w:rFonts w:ascii="Georgia" w:hAnsi="Georgia"/>
          <w:sz w:val="19"/>
          <w:szCs w:val="19"/>
        </w:rPr>
        <w:t xml:space="preserve">to ensure that they accurately reflect the commitment under the </w:t>
      </w:r>
      <w:r w:rsidR="00717F37">
        <w:rPr>
          <w:rFonts w:ascii="Georgia" w:hAnsi="Georgia"/>
          <w:sz w:val="19"/>
          <w:szCs w:val="19"/>
        </w:rPr>
        <w:t xml:space="preserve">partnership </w:t>
      </w:r>
      <w:r w:rsidR="009011DF">
        <w:rPr>
          <w:rFonts w:ascii="Georgia" w:hAnsi="Georgia"/>
          <w:sz w:val="19"/>
          <w:szCs w:val="19"/>
        </w:rPr>
        <w:t>and the work Australia is doing</w:t>
      </w:r>
      <w:r>
        <w:rPr>
          <w:rFonts w:ascii="Georgia" w:hAnsi="Georgia"/>
          <w:sz w:val="19"/>
          <w:szCs w:val="19"/>
        </w:rPr>
        <w:t>.</w:t>
      </w:r>
      <w:r w:rsidR="00E92460">
        <w:rPr>
          <w:rFonts w:ascii="Georgia" w:hAnsi="Georgia"/>
          <w:sz w:val="19"/>
          <w:szCs w:val="19"/>
        </w:rPr>
        <w:t xml:space="preserve"> </w:t>
      </w:r>
    </w:p>
    <w:p w14:paraId="72FEE978" w14:textId="6A4F004C" w:rsidR="00184478" w:rsidRDefault="00184478" w:rsidP="00184478">
      <w:pPr>
        <w:spacing w:line="300" w:lineRule="exact"/>
        <w:ind w:right="-114"/>
        <w:rPr>
          <w:rFonts w:ascii="Georgia" w:hAnsi="Georgia"/>
          <w:sz w:val="19"/>
          <w:szCs w:val="19"/>
        </w:rPr>
      </w:pPr>
      <w:proofErr w:type="spellStart"/>
      <w:r>
        <w:rPr>
          <w:rFonts w:ascii="Georgia" w:hAnsi="Georgia"/>
          <w:sz w:val="19"/>
          <w:szCs w:val="19"/>
        </w:rPr>
        <w:t>AusAID</w:t>
      </w:r>
      <w:proofErr w:type="spellEnd"/>
      <w:r>
        <w:rPr>
          <w:rFonts w:ascii="Georgia" w:hAnsi="Georgia"/>
          <w:sz w:val="19"/>
          <w:szCs w:val="19"/>
        </w:rPr>
        <w:t xml:space="preserve"> has continued to work with International Financing Institutions </w:t>
      </w:r>
      <w:r w:rsidR="00717F37">
        <w:rPr>
          <w:rFonts w:ascii="Georgia" w:hAnsi="Georgia"/>
          <w:sz w:val="19"/>
          <w:szCs w:val="19"/>
        </w:rPr>
        <w:t>on growth and economic management</w:t>
      </w:r>
      <w:r>
        <w:rPr>
          <w:rFonts w:ascii="Georgia" w:hAnsi="Georgia"/>
          <w:sz w:val="19"/>
          <w:szCs w:val="19"/>
        </w:rPr>
        <w:t>.</w:t>
      </w:r>
      <w:r w:rsidR="00E92460">
        <w:rPr>
          <w:rFonts w:ascii="Georgia" w:hAnsi="Georgia"/>
          <w:sz w:val="19"/>
          <w:szCs w:val="19"/>
        </w:rPr>
        <w:t xml:space="preserve"> </w:t>
      </w:r>
      <w:r>
        <w:rPr>
          <w:rFonts w:ascii="Georgia" w:hAnsi="Georgia"/>
          <w:sz w:val="19"/>
          <w:szCs w:val="19"/>
        </w:rPr>
        <w:t xml:space="preserve">In 2011, Australia </w:t>
      </w:r>
      <w:r w:rsidR="00717F37">
        <w:rPr>
          <w:rFonts w:ascii="Georgia" w:hAnsi="Georgia"/>
          <w:sz w:val="19"/>
          <w:szCs w:val="19"/>
        </w:rPr>
        <w:t>helped Kiribati</w:t>
      </w:r>
      <w:r>
        <w:rPr>
          <w:rFonts w:ascii="Georgia" w:hAnsi="Georgia"/>
          <w:sz w:val="19"/>
          <w:szCs w:val="19"/>
        </w:rPr>
        <w:t xml:space="preserve"> to improve donor coordination and engagement in the economic governance sector by facilitating World Bank leadership in this </w:t>
      </w:r>
      <w:r w:rsidR="00717F37">
        <w:rPr>
          <w:rFonts w:ascii="Georgia" w:hAnsi="Georgia"/>
          <w:sz w:val="19"/>
          <w:szCs w:val="19"/>
        </w:rPr>
        <w:t>area</w:t>
      </w:r>
      <w:r>
        <w:rPr>
          <w:rFonts w:ascii="Georgia" w:hAnsi="Georgia"/>
          <w:sz w:val="19"/>
          <w:szCs w:val="19"/>
        </w:rPr>
        <w:t xml:space="preserve">. Building on efforts </w:t>
      </w:r>
      <w:r w:rsidR="00717F37">
        <w:rPr>
          <w:rFonts w:ascii="Georgia" w:hAnsi="Georgia"/>
          <w:sz w:val="19"/>
          <w:szCs w:val="19"/>
        </w:rPr>
        <w:t xml:space="preserve">to </w:t>
      </w:r>
      <w:r>
        <w:rPr>
          <w:rFonts w:ascii="Georgia" w:hAnsi="Georgia"/>
          <w:sz w:val="19"/>
          <w:szCs w:val="19"/>
        </w:rPr>
        <w:t xml:space="preserve">establish </w:t>
      </w:r>
      <w:r w:rsidR="004F461A">
        <w:rPr>
          <w:rFonts w:ascii="Georgia" w:hAnsi="Georgia"/>
          <w:sz w:val="19"/>
          <w:szCs w:val="19"/>
        </w:rPr>
        <w:t xml:space="preserve">a </w:t>
      </w:r>
      <w:r w:rsidR="00EF74FA">
        <w:rPr>
          <w:rFonts w:ascii="Georgia" w:hAnsi="Georgia"/>
          <w:sz w:val="19"/>
          <w:szCs w:val="19"/>
        </w:rPr>
        <w:t xml:space="preserve">public financial management </w:t>
      </w:r>
      <w:r w:rsidR="00717F37">
        <w:rPr>
          <w:rFonts w:ascii="Georgia" w:hAnsi="Georgia"/>
          <w:sz w:val="19"/>
          <w:szCs w:val="19"/>
        </w:rPr>
        <w:t>reform plan</w:t>
      </w:r>
      <w:r>
        <w:rPr>
          <w:rFonts w:ascii="Georgia" w:hAnsi="Georgia"/>
          <w:sz w:val="19"/>
          <w:szCs w:val="19"/>
        </w:rPr>
        <w:t xml:space="preserve">, </w:t>
      </w:r>
      <w:proofErr w:type="spellStart"/>
      <w:r>
        <w:rPr>
          <w:rFonts w:ascii="Georgia" w:hAnsi="Georgia"/>
          <w:sz w:val="19"/>
          <w:szCs w:val="19"/>
        </w:rPr>
        <w:t>AusAID</w:t>
      </w:r>
      <w:proofErr w:type="spellEnd"/>
      <w:r>
        <w:rPr>
          <w:rFonts w:ascii="Georgia" w:hAnsi="Georgia"/>
          <w:sz w:val="19"/>
          <w:szCs w:val="19"/>
        </w:rPr>
        <w:t xml:space="preserve"> and the World Bank worked with the </w:t>
      </w:r>
      <w:r w:rsidR="004F461A">
        <w:rPr>
          <w:rFonts w:ascii="Georgia" w:hAnsi="Georgia"/>
          <w:sz w:val="19"/>
          <w:szCs w:val="19"/>
        </w:rPr>
        <w:t xml:space="preserve">Ministry of Finance and Economic Development </w:t>
      </w:r>
      <w:r w:rsidR="00717F37">
        <w:rPr>
          <w:rFonts w:ascii="Georgia" w:hAnsi="Georgia"/>
          <w:sz w:val="19"/>
          <w:szCs w:val="19"/>
        </w:rPr>
        <w:t xml:space="preserve">to </w:t>
      </w:r>
      <w:r>
        <w:rPr>
          <w:rFonts w:ascii="Georgia" w:hAnsi="Georgia"/>
          <w:sz w:val="19"/>
          <w:szCs w:val="19"/>
        </w:rPr>
        <w:t xml:space="preserve">establish a broader </w:t>
      </w:r>
      <w:r w:rsidR="00717F37">
        <w:rPr>
          <w:rFonts w:ascii="Georgia" w:hAnsi="Georgia"/>
          <w:sz w:val="19"/>
          <w:szCs w:val="19"/>
        </w:rPr>
        <w:t>economic reform p</w:t>
      </w:r>
      <w:r>
        <w:rPr>
          <w:rFonts w:ascii="Georgia" w:hAnsi="Georgia"/>
          <w:sz w:val="19"/>
          <w:szCs w:val="19"/>
        </w:rPr>
        <w:t xml:space="preserve">lan which captures priority </w:t>
      </w:r>
      <w:r w:rsidR="00EF74FA">
        <w:rPr>
          <w:rFonts w:ascii="Georgia" w:hAnsi="Georgia"/>
          <w:sz w:val="19"/>
          <w:szCs w:val="19"/>
        </w:rPr>
        <w:t xml:space="preserve">public financial management </w:t>
      </w:r>
      <w:r>
        <w:rPr>
          <w:rFonts w:ascii="Georgia" w:hAnsi="Georgia"/>
          <w:sz w:val="19"/>
          <w:szCs w:val="19"/>
        </w:rPr>
        <w:t xml:space="preserve">reforms but also includes broader structural reforms within the economy. The </w:t>
      </w:r>
      <w:r w:rsidR="00EF74FA">
        <w:rPr>
          <w:rFonts w:ascii="Georgia" w:hAnsi="Georgia"/>
          <w:sz w:val="19"/>
          <w:szCs w:val="19"/>
        </w:rPr>
        <w:t xml:space="preserve">plan </w:t>
      </w:r>
      <w:r>
        <w:rPr>
          <w:rFonts w:ascii="Georgia" w:hAnsi="Georgia"/>
          <w:sz w:val="19"/>
          <w:szCs w:val="19"/>
        </w:rPr>
        <w:t xml:space="preserve">will bring development partners and </w:t>
      </w:r>
      <w:r w:rsidR="00EF74FA">
        <w:rPr>
          <w:rFonts w:ascii="Georgia" w:hAnsi="Georgia"/>
          <w:sz w:val="19"/>
          <w:szCs w:val="19"/>
        </w:rPr>
        <w:t xml:space="preserve">Kiribati </w:t>
      </w:r>
      <w:r>
        <w:rPr>
          <w:rFonts w:ascii="Georgia" w:hAnsi="Georgia"/>
          <w:sz w:val="19"/>
          <w:szCs w:val="19"/>
        </w:rPr>
        <w:t xml:space="preserve">together in regular policy dialogue, mobilise support and technical assistance to priority reform areas, and monitor changes to the economy. In the short to medium term, it will also serve as a platform for multi-donor budget support. </w:t>
      </w:r>
    </w:p>
    <w:p w14:paraId="384F9F60" w14:textId="77777777" w:rsidR="00184478" w:rsidRPr="008F29B7" w:rsidRDefault="00184478" w:rsidP="00184478">
      <w:pPr>
        <w:spacing w:line="300" w:lineRule="exact"/>
        <w:ind w:right="-114"/>
        <w:rPr>
          <w:rFonts w:ascii="Georgia" w:hAnsi="Georgia"/>
          <w:sz w:val="19"/>
          <w:szCs w:val="19"/>
        </w:rPr>
      </w:pPr>
    </w:p>
    <w:p w14:paraId="61A1E63D" w14:textId="745A18C7" w:rsidR="00184478" w:rsidRDefault="00184478" w:rsidP="00184478">
      <w:pPr>
        <w:spacing w:line="300" w:lineRule="exact"/>
        <w:ind w:right="-114"/>
        <w:rPr>
          <w:rFonts w:ascii="Georgia" w:hAnsi="Georgia"/>
          <w:sz w:val="19"/>
          <w:szCs w:val="19"/>
        </w:rPr>
      </w:pPr>
      <w:r>
        <w:rPr>
          <w:rFonts w:ascii="Georgia" w:hAnsi="Georgia"/>
          <w:sz w:val="19"/>
          <w:szCs w:val="19"/>
        </w:rPr>
        <w:t>In May 2011</w:t>
      </w:r>
      <w:r w:rsidR="00E92460">
        <w:rPr>
          <w:rFonts w:ascii="Georgia" w:hAnsi="Georgia"/>
          <w:sz w:val="19"/>
          <w:szCs w:val="19"/>
        </w:rPr>
        <w:t xml:space="preserve"> </w:t>
      </w:r>
      <w:r w:rsidR="00EF74FA">
        <w:rPr>
          <w:rFonts w:ascii="Georgia" w:hAnsi="Georgia"/>
          <w:sz w:val="19"/>
          <w:szCs w:val="19"/>
        </w:rPr>
        <w:t xml:space="preserve">Kiribati’s </w:t>
      </w:r>
      <w:r w:rsidR="00DD782B">
        <w:rPr>
          <w:rFonts w:ascii="Georgia" w:hAnsi="Georgia"/>
          <w:sz w:val="19"/>
          <w:szCs w:val="19"/>
        </w:rPr>
        <w:t>Cabinet</w:t>
      </w:r>
      <w:r>
        <w:rPr>
          <w:rFonts w:ascii="Georgia" w:hAnsi="Georgia"/>
          <w:sz w:val="19"/>
          <w:szCs w:val="19"/>
        </w:rPr>
        <w:t xml:space="preserve"> endorsed the </w:t>
      </w:r>
      <w:r w:rsidR="00EF74FA">
        <w:rPr>
          <w:rFonts w:ascii="Georgia" w:hAnsi="Georgia"/>
          <w:sz w:val="19"/>
          <w:szCs w:val="19"/>
        </w:rPr>
        <w:t xml:space="preserve">public financial management reform plan, </w:t>
      </w:r>
      <w:r>
        <w:rPr>
          <w:rFonts w:ascii="Georgia" w:hAnsi="Georgia"/>
          <w:sz w:val="19"/>
          <w:szCs w:val="19"/>
        </w:rPr>
        <w:t>which address</w:t>
      </w:r>
      <w:r w:rsidR="00EF74FA">
        <w:rPr>
          <w:rFonts w:ascii="Georgia" w:hAnsi="Georgia"/>
          <w:sz w:val="19"/>
          <w:szCs w:val="19"/>
        </w:rPr>
        <w:t>es</w:t>
      </w:r>
      <w:r>
        <w:rPr>
          <w:rFonts w:ascii="Georgia" w:hAnsi="Georgia"/>
          <w:sz w:val="19"/>
          <w:szCs w:val="19"/>
        </w:rPr>
        <w:t xml:space="preserve"> key weaknesses </w:t>
      </w:r>
      <w:r w:rsidR="00EF74FA">
        <w:rPr>
          <w:rFonts w:ascii="Georgia" w:hAnsi="Georgia"/>
          <w:sz w:val="19"/>
          <w:szCs w:val="19"/>
        </w:rPr>
        <w:t xml:space="preserve">identified through </w:t>
      </w:r>
      <w:r>
        <w:rPr>
          <w:rFonts w:ascii="Georgia" w:hAnsi="Georgia"/>
          <w:sz w:val="19"/>
          <w:szCs w:val="19"/>
        </w:rPr>
        <w:t xml:space="preserve">the 2010 </w:t>
      </w:r>
      <w:r w:rsidR="004F461A">
        <w:rPr>
          <w:rFonts w:ascii="Georgia" w:hAnsi="Georgia"/>
          <w:sz w:val="19"/>
          <w:szCs w:val="19"/>
        </w:rPr>
        <w:t xml:space="preserve">Public Expenditure </w:t>
      </w:r>
      <w:r w:rsidR="00DD782B">
        <w:rPr>
          <w:rFonts w:ascii="Georgia" w:hAnsi="Georgia"/>
          <w:sz w:val="19"/>
          <w:szCs w:val="19"/>
        </w:rPr>
        <w:t>a</w:t>
      </w:r>
      <w:r w:rsidR="004F461A">
        <w:rPr>
          <w:rFonts w:ascii="Georgia" w:hAnsi="Georgia"/>
          <w:sz w:val="19"/>
          <w:szCs w:val="19"/>
        </w:rPr>
        <w:t xml:space="preserve">nd Financial Accountability </w:t>
      </w:r>
      <w:r>
        <w:rPr>
          <w:rFonts w:ascii="Georgia" w:hAnsi="Georgia"/>
          <w:sz w:val="19"/>
          <w:szCs w:val="19"/>
        </w:rPr>
        <w:t xml:space="preserve">assessment and the 2010 Cairns Compact Peer Review. </w:t>
      </w:r>
      <w:r w:rsidR="00EF74FA">
        <w:rPr>
          <w:rFonts w:ascii="Georgia" w:hAnsi="Georgia"/>
          <w:sz w:val="19"/>
          <w:szCs w:val="19"/>
        </w:rPr>
        <w:t>P</w:t>
      </w:r>
      <w:r>
        <w:rPr>
          <w:rFonts w:ascii="Georgia" w:hAnsi="Georgia"/>
          <w:sz w:val="19"/>
          <w:szCs w:val="19"/>
        </w:rPr>
        <w:t xml:space="preserve">artners </w:t>
      </w:r>
      <w:r w:rsidR="00EF74FA">
        <w:rPr>
          <w:rFonts w:ascii="Georgia" w:hAnsi="Georgia"/>
          <w:sz w:val="19"/>
          <w:szCs w:val="19"/>
        </w:rPr>
        <w:t xml:space="preserve">have been </w:t>
      </w:r>
      <w:r>
        <w:rPr>
          <w:rFonts w:ascii="Georgia" w:hAnsi="Georgia"/>
          <w:sz w:val="19"/>
          <w:szCs w:val="19"/>
        </w:rPr>
        <w:lastRenderedPageBreak/>
        <w:t xml:space="preserve">working with the </w:t>
      </w:r>
      <w:r w:rsidR="004F0540">
        <w:rPr>
          <w:rFonts w:ascii="Georgia" w:hAnsi="Georgia"/>
          <w:sz w:val="19"/>
          <w:szCs w:val="19"/>
        </w:rPr>
        <w:t>Government of Kiribati</w:t>
      </w:r>
      <w:r w:rsidR="00EF74FA">
        <w:rPr>
          <w:rFonts w:ascii="Georgia" w:hAnsi="Georgia"/>
          <w:sz w:val="19"/>
          <w:szCs w:val="19"/>
        </w:rPr>
        <w:t xml:space="preserve"> to </w:t>
      </w:r>
      <w:r>
        <w:rPr>
          <w:rFonts w:ascii="Georgia" w:hAnsi="Georgia"/>
          <w:sz w:val="19"/>
          <w:szCs w:val="19"/>
        </w:rPr>
        <w:t xml:space="preserve">design programs to implement the </w:t>
      </w:r>
      <w:r w:rsidR="00EF74FA">
        <w:rPr>
          <w:rFonts w:ascii="Georgia" w:hAnsi="Georgia"/>
          <w:sz w:val="19"/>
          <w:szCs w:val="19"/>
        </w:rPr>
        <w:t xml:space="preserve">plan, and these </w:t>
      </w:r>
      <w:r>
        <w:rPr>
          <w:rFonts w:ascii="Georgia" w:hAnsi="Georgia"/>
          <w:sz w:val="19"/>
          <w:szCs w:val="19"/>
        </w:rPr>
        <w:t>will commence in 2012.</w:t>
      </w:r>
      <w:r w:rsidR="00E92460">
        <w:rPr>
          <w:rFonts w:ascii="Georgia" w:hAnsi="Georgia"/>
          <w:sz w:val="19"/>
          <w:szCs w:val="19"/>
        </w:rPr>
        <w:t xml:space="preserve"> </w:t>
      </w:r>
    </w:p>
    <w:p w14:paraId="1B0A8D20" w14:textId="77777777" w:rsidR="00184478" w:rsidRDefault="00184478" w:rsidP="00184478">
      <w:pPr>
        <w:spacing w:line="300" w:lineRule="exact"/>
        <w:ind w:right="-114"/>
        <w:rPr>
          <w:rFonts w:ascii="Georgia" w:hAnsi="Georgia"/>
          <w:sz w:val="19"/>
          <w:szCs w:val="19"/>
        </w:rPr>
      </w:pPr>
    </w:p>
    <w:p w14:paraId="7ED4CBBA" w14:textId="3E8920FE" w:rsidR="00944983" w:rsidRDefault="00EF74FA" w:rsidP="00184478">
      <w:pPr>
        <w:spacing w:line="300" w:lineRule="exact"/>
        <w:ind w:right="-114"/>
        <w:rPr>
          <w:rFonts w:ascii="Georgia" w:hAnsi="Georgia"/>
          <w:sz w:val="19"/>
          <w:szCs w:val="19"/>
        </w:rPr>
      </w:pPr>
      <w:r>
        <w:rPr>
          <w:rFonts w:ascii="Georgia" w:hAnsi="Georgia"/>
          <w:sz w:val="19"/>
          <w:szCs w:val="19"/>
        </w:rPr>
        <w:t>P</w:t>
      </w:r>
      <w:r w:rsidR="00184478" w:rsidRPr="008F29B7">
        <w:rPr>
          <w:rFonts w:ascii="Georgia" w:hAnsi="Georgia"/>
          <w:sz w:val="19"/>
          <w:szCs w:val="19"/>
        </w:rPr>
        <w:t xml:space="preserve">rogress under this </w:t>
      </w:r>
      <w:r>
        <w:rPr>
          <w:rFonts w:ascii="Georgia" w:hAnsi="Georgia"/>
          <w:sz w:val="19"/>
          <w:szCs w:val="19"/>
        </w:rPr>
        <w:t>o</w:t>
      </w:r>
      <w:r w:rsidRPr="008F29B7">
        <w:rPr>
          <w:rFonts w:ascii="Georgia" w:hAnsi="Georgia"/>
          <w:sz w:val="19"/>
          <w:szCs w:val="19"/>
        </w:rPr>
        <w:t xml:space="preserve">utcome </w:t>
      </w:r>
      <w:r w:rsidR="00184478" w:rsidRPr="008F29B7">
        <w:rPr>
          <w:rFonts w:ascii="Georgia" w:hAnsi="Georgia"/>
          <w:sz w:val="19"/>
          <w:szCs w:val="19"/>
        </w:rPr>
        <w:t>has required significant resources</w:t>
      </w:r>
      <w:r w:rsidR="004F461A">
        <w:rPr>
          <w:rFonts w:ascii="Georgia" w:hAnsi="Georgia"/>
          <w:sz w:val="19"/>
          <w:szCs w:val="19"/>
        </w:rPr>
        <w:t>,</w:t>
      </w:r>
      <w:r w:rsidR="00184478" w:rsidRPr="008F29B7">
        <w:rPr>
          <w:rFonts w:ascii="Georgia" w:hAnsi="Georgia"/>
          <w:sz w:val="19"/>
          <w:szCs w:val="19"/>
        </w:rPr>
        <w:t xml:space="preserve"> </w:t>
      </w:r>
      <w:r>
        <w:rPr>
          <w:rFonts w:ascii="Georgia" w:hAnsi="Georgia"/>
          <w:sz w:val="19"/>
          <w:szCs w:val="19"/>
        </w:rPr>
        <w:t xml:space="preserve">including </w:t>
      </w:r>
      <w:r w:rsidR="00184478">
        <w:rPr>
          <w:rFonts w:ascii="Georgia" w:hAnsi="Georgia"/>
          <w:sz w:val="19"/>
          <w:szCs w:val="19"/>
        </w:rPr>
        <w:t xml:space="preserve">policy dialogue and engagement with development partners, </w:t>
      </w:r>
      <w:r w:rsidR="00184478" w:rsidRPr="008F29B7">
        <w:rPr>
          <w:rFonts w:ascii="Georgia" w:hAnsi="Georgia"/>
          <w:sz w:val="19"/>
          <w:szCs w:val="19"/>
        </w:rPr>
        <w:t xml:space="preserve">to ensure </w:t>
      </w:r>
      <w:r w:rsidR="00184478">
        <w:rPr>
          <w:rFonts w:ascii="Georgia" w:hAnsi="Georgia"/>
          <w:sz w:val="19"/>
          <w:szCs w:val="19"/>
        </w:rPr>
        <w:t xml:space="preserve">timely and effective implementation of programs by </w:t>
      </w:r>
      <w:r w:rsidR="00184478" w:rsidRPr="008F29B7">
        <w:rPr>
          <w:rFonts w:ascii="Georgia" w:hAnsi="Georgia"/>
          <w:sz w:val="19"/>
          <w:szCs w:val="19"/>
        </w:rPr>
        <w:t>multilateral partners.</w:t>
      </w:r>
      <w:r w:rsidR="00E92460">
        <w:rPr>
          <w:rFonts w:ascii="Georgia" w:hAnsi="Georgia"/>
          <w:sz w:val="19"/>
          <w:szCs w:val="19"/>
        </w:rPr>
        <w:t xml:space="preserve"> </w:t>
      </w:r>
      <w:r w:rsidR="00184478">
        <w:rPr>
          <w:rFonts w:ascii="Georgia" w:hAnsi="Georgia"/>
          <w:sz w:val="19"/>
          <w:szCs w:val="19"/>
        </w:rPr>
        <w:t>Having the strategic engagement of the Minister Counsellor and Canberra has been necessary to ensure responses by these organisations.</w:t>
      </w:r>
      <w:r w:rsidR="00E92460">
        <w:rPr>
          <w:rFonts w:ascii="Georgia" w:hAnsi="Georgia"/>
          <w:sz w:val="19"/>
          <w:szCs w:val="19"/>
        </w:rPr>
        <w:t xml:space="preserve"> </w:t>
      </w:r>
    </w:p>
    <w:p w14:paraId="4498AD3C" w14:textId="77777777" w:rsidR="00184478" w:rsidRDefault="00184478" w:rsidP="00AB5430">
      <w:pPr>
        <w:spacing w:line="300" w:lineRule="exact"/>
        <w:ind w:right="-114"/>
        <w:rPr>
          <w:rFonts w:ascii="Georgia" w:hAnsi="Georgia"/>
          <w:sz w:val="19"/>
          <w:szCs w:val="19"/>
        </w:rPr>
      </w:pPr>
    </w:p>
    <w:p w14:paraId="303AAAA5" w14:textId="78AF999C" w:rsidR="00B97810" w:rsidRDefault="00B97810" w:rsidP="00AB5430">
      <w:pPr>
        <w:spacing w:line="300" w:lineRule="exact"/>
        <w:ind w:right="-114"/>
        <w:rPr>
          <w:rFonts w:ascii="Georgia" w:hAnsi="Georgia"/>
          <w:sz w:val="19"/>
          <w:szCs w:val="19"/>
        </w:rPr>
      </w:pPr>
      <w:r>
        <w:rPr>
          <w:rFonts w:ascii="Georgia" w:hAnsi="Georgia"/>
          <w:sz w:val="19"/>
          <w:szCs w:val="19"/>
        </w:rPr>
        <w:t xml:space="preserve">Australia is supporting three </w:t>
      </w:r>
      <w:r w:rsidR="00AE6E09">
        <w:rPr>
          <w:rFonts w:ascii="Georgia" w:hAnsi="Georgia"/>
          <w:sz w:val="19"/>
          <w:szCs w:val="19"/>
        </w:rPr>
        <w:t>economic reform programs</w:t>
      </w:r>
      <w:r w:rsidR="00EF74FA">
        <w:rPr>
          <w:rFonts w:ascii="Georgia" w:hAnsi="Georgia"/>
          <w:sz w:val="19"/>
          <w:szCs w:val="19"/>
        </w:rPr>
        <w:t>,</w:t>
      </w:r>
      <w:r w:rsidR="00AE6E09">
        <w:rPr>
          <w:rFonts w:ascii="Georgia" w:hAnsi="Georgia"/>
          <w:sz w:val="19"/>
          <w:szCs w:val="19"/>
        </w:rPr>
        <w:t xml:space="preserve"> </w:t>
      </w:r>
      <w:r>
        <w:rPr>
          <w:rFonts w:ascii="Georgia" w:hAnsi="Georgia"/>
          <w:sz w:val="19"/>
          <w:szCs w:val="19"/>
        </w:rPr>
        <w:t>only one of which had begun in 2011:</w:t>
      </w:r>
    </w:p>
    <w:p w14:paraId="7AEC4A9F" w14:textId="77777777" w:rsidR="00EF74FA" w:rsidRDefault="00EF74FA" w:rsidP="00AB5430">
      <w:pPr>
        <w:spacing w:line="300" w:lineRule="exact"/>
        <w:ind w:right="-114"/>
        <w:rPr>
          <w:rFonts w:ascii="Georgia" w:hAnsi="Georgia"/>
          <w:sz w:val="19"/>
          <w:szCs w:val="19"/>
        </w:rPr>
      </w:pPr>
    </w:p>
    <w:p w14:paraId="53D1F690" w14:textId="46A8B9CD" w:rsidR="00B97810" w:rsidRDefault="00B97810" w:rsidP="00AD7CED">
      <w:pPr>
        <w:pStyle w:val="ListParagraph"/>
        <w:numPr>
          <w:ilvl w:val="0"/>
          <w:numId w:val="17"/>
        </w:numPr>
        <w:spacing w:line="300" w:lineRule="exact"/>
        <w:ind w:right="-114"/>
        <w:rPr>
          <w:rFonts w:ascii="Georgia" w:hAnsi="Georgia"/>
          <w:sz w:val="19"/>
          <w:szCs w:val="19"/>
        </w:rPr>
      </w:pPr>
      <w:r w:rsidRPr="00AD7CED">
        <w:rPr>
          <w:rFonts w:ascii="Georgia" w:hAnsi="Georgia"/>
          <w:sz w:val="19"/>
          <w:szCs w:val="19"/>
        </w:rPr>
        <w:t>In 2011, the A</w:t>
      </w:r>
      <w:r w:rsidR="00EF74FA">
        <w:rPr>
          <w:rFonts w:ascii="Georgia" w:hAnsi="Georgia"/>
          <w:sz w:val="19"/>
          <w:szCs w:val="19"/>
        </w:rPr>
        <w:t xml:space="preserve">sian </w:t>
      </w:r>
      <w:r w:rsidRPr="00AD7CED">
        <w:rPr>
          <w:rFonts w:ascii="Georgia" w:hAnsi="Georgia"/>
          <w:sz w:val="19"/>
          <w:szCs w:val="19"/>
        </w:rPr>
        <w:t>D</w:t>
      </w:r>
      <w:r w:rsidR="00EF74FA">
        <w:rPr>
          <w:rFonts w:ascii="Georgia" w:hAnsi="Georgia"/>
          <w:sz w:val="19"/>
          <w:szCs w:val="19"/>
        </w:rPr>
        <w:t xml:space="preserve">evelopment </w:t>
      </w:r>
      <w:r w:rsidRPr="00AD7CED">
        <w:rPr>
          <w:rFonts w:ascii="Georgia" w:hAnsi="Georgia"/>
          <w:sz w:val="19"/>
          <w:szCs w:val="19"/>
        </w:rPr>
        <w:t>B</w:t>
      </w:r>
      <w:r w:rsidR="00EF74FA">
        <w:rPr>
          <w:rFonts w:ascii="Georgia" w:hAnsi="Georgia"/>
          <w:sz w:val="19"/>
          <w:szCs w:val="19"/>
        </w:rPr>
        <w:t>ank</w:t>
      </w:r>
      <w:r w:rsidRPr="00AD7CED">
        <w:rPr>
          <w:rFonts w:ascii="Georgia" w:hAnsi="Georgia"/>
          <w:sz w:val="19"/>
          <w:szCs w:val="19"/>
        </w:rPr>
        <w:t xml:space="preserve">-led and </w:t>
      </w:r>
      <w:proofErr w:type="spellStart"/>
      <w:r w:rsidRPr="00AD7CED">
        <w:rPr>
          <w:rFonts w:ascii="Georgia" w:hAnsi="Georgia"/>
          <w:sz w:val="19"/>
          <w:szCs w:val="19"/>
        </w:rPr>
        <w:t>AusAID</w:t>
      </w:r>
      <w:proofErr w:type="spellEnd"/>
      <w:r w:rsidRPr="00AD7CED">
        <w:rPr>
          <w:rFonts w:ascii="Georgia" w:hAnsi="Georgia"/>
          <w:sz w:val="19"/>
          <w:szCs w:val="19"/>
        </w:rPr>
        <w:t xml:space="preserve"> funded </w:t>
      </w:r>
      <w:r w:rsidR="00EF74FA">
        <w:rPr>
          <w:rFonts w:ascii="Georgia" w:hAnsi="Georgia"/>
          <w:sz w:val="19"/>
          <w:szCs w:val="19"/>
        </w:rPr>
        <w:t>s</w:t>
      </w:r>
      <w:r w:rsidR="00EF74FA" w:rsidRPr="00AD7CED">
        <w:rPr>
          <w:rFonts w:ascii="Georgia" w:hAnsi="Georgia"/>
          <w:sz w:val="19"/>
          <w:szCs w:val="19"/>
        </w:rPr>
        <w:t>tate</w:t>
      </w:r>
      <w:r w:rsidR="00A57DB8">
        <w:rPr>
          <w:rFonts w:ascii="Georgia" w:hAnsi="Georgia"/>
          <w:sz w:val="19"/>
          <w:szCs w:val="19"/>
        </w:rPr>
        <w:t>-</w:t>
      </w:r>
      <w:r w:rsidR="00EF74FA">
        <w:rPr>
          <w:rFonts w:ascii="Georgia" w:hAnsi="Georgia"/>
          <w:sz w:val="19"/>
          <w:szCs w:val="19"/>
        </w:rPr>
        <w:t>o</w:t>
      </w:r>
      <w:r w:rsidR="00EF74FA" w:rsidRPr="00AD7CED">
        <w:rPr>
          <w:rFonts w:ascii="Georgia" w:hAnsi="Georgia"/>
          <w:sz w:val="19"/>
          <w:szCs w:val="19"/>
        </w:rPr>
        <w:t xml:space="preserve">wned </w:t>
      </w:r>
      <w:r w:rsidR="00EF74FA">
        <w:rPr>
          <w:rFonts w:ascii="Georgia" w:hAnsi="Georgia"/>
          <w:sz w:val="19"/>
          <w:szCs w:val="19"/>
        </w:rPr>
        <w:t>e</w:t>
      </w:r>
      <w:r w:rsidR="004F461A" w:rsidRPr="00265831">
        <w:rPr>
          <w:rFonts w:ascii="Georgia" w:hAnsi="Georgia"/>
          <w:sz w:val="19"/>
          <w:szCs w:val="19"/>
        </w:rPr>
        <w:t>nterprise</w:t>
      </w:r>
      <w:r w:rsidR="00EF74FA" w:rsidRPr="00AD7CED">
        <w:rPr>
          <w:rFonts w:ascii="Georgia" w:hAnsi="Georgia"/>
          <w:sz w:val="19"/>
          <w:szCs w:val="19"/>
        </w:rPr>
        <w:t xml:space="preserve"> </w:t>
      </w:r>
      <w:r w:rsidRPr="00AD7CED">
        <w:rPr>
          <w:rFonts w:ascii="Georgia" w:hAnsi="Georgia"/>
          <w:sz w:val="19"/>
          <w:szCs w:val="19"/>
        </w:rPr>
        <w:t xml:space="preserve">reform program commenced. Key results included facilitating the sale of one </w:t>
      </w:r>
      <w:r w:rsidR="00EF74FA">
        <w:rPr>
          <w:rFonts w:ascii="Georgia" w:hAnsi="Georgia"/>
          <w:sz w:val="19"/>
          <w:szCs w:val="19"/>
        </w:rPr>
        <w:t>enterprise</w:t>
      </w:r>
      <w:r w:rsidR="00EF74FA" w:rsidRPr="00AD7CED">
        <w:rPr>
          <w:rFonts w:ascii="Georgia" w:hAnsi="Georgia"/>
          <w:sz w:val="19"/>
          <w:szCs w:val="19"/>
        </w:rPr>
        <w:t xml:space="preserve"> </w:t>
      </w:r>
      <w:r w:rsidRPr="00AD7CED">
        <w:rPr>
          <w:rFonts w:ascii="Georgia" w:hAnsi="Georgia"/>
          <w:sz w:val="19"/>
          <w:szCs w:val="19"/>
        </w:rPr>
        <w:t xml:space="preserve">and supporting the </w:t>
      </w:r>
      <w:r w:rsidR="00EF74FA">
        <w:rPr>
          <w:rFonts w:ascii="Georgia" w:hAnsi="Georgia"/>
          <w:sz w:val="19"/>
          <w:szCs w:val="19"/>
        </w:rPr>
        <w:t>government</w:t>
      </w:r>
      <w:r w:rsidR="00EF74FA" w:rsidRPr="00AD7CED">
        <w:rPr>
          <w:rFonts w:ascii="Georgia" w:hAnsi="Georgia"/>
          <w:sz w:val="19"/>
          <w:szCs w:val="19"/>
        </w:rPr>
        <w:t xml:space="preserve"> </w:t>
      </w:r>
      <w:r w:rsidRPr="00AD7CED">
        <w:rPr>
          <w:rFonts w:ascii="Georgia" w:hAnsi="Georgia"/>
          <w:sz w:val="19"/>
          <w:szCs w:val="19"/>
        </w:rPr>
        <w:t xml:space="preserve">to identify reform objectives and business improvement plans for a further 11. The program also </w:t>
      </w:r>
      <w:r w:rsidR="00EF74FA">
        <w:rPr>
          <w:rFonts w:ascii="Georgia" w:hAnsi="Georgia"/>
          <w:sz w:val="19"/>
          <w:szCs w:val="19"/>
        </w:rPr>
        <w:t>started</w:t>
      </w:r>
      <w:r w:rsidR="00EF74FA" w:rsidRPr="00AD7CED">
        <w:rPr>
          <w:rFonts w:ascii="Georgia" w:hAnsi="Georgia"/>
          <w:sz w:val="19"/>
          <w:szCs w:val="19"/>
        </w:rPr>
        <w:t xml:space="preserve"> </w:t>
      </w:r>
      <w:r w:rsidRPr="00AD7CED">
        <w:rPr>
          <w:rFonts w:ascii="Georgia" w:hAnsi="Georgia"/>
          <w:sz w:val="19"/>
          <w:szCs w:val="19"/>
        </w:rPr>
        <w:t xml:space="preserve">reviewing regulations and governance structures which impact on </w:t>
      </w:r>
      <w:r w:rsidR="00EF74FA">
        <w:rPr>
          <w:rFonts w:ascii="Georgia" w:hAnsi="Georgia"/>
          <w:sz w:val="19"/>
          <w:szCs w:val="19"/>
        </w:rPr>
        <w:t>enterprise</w:t>
      </w:r>
      <w:r w:rsidR="00EF74FA" w:rsidRPr="00AD7CED">
        <w:rPr>
          <w:rFonts w:ascii="Georgia" w:hAnsi="Georgia"/>
          <w:sz w:val="19"/>
          <w:szCs w:val="19"/>
        </w:rPr>
        <w:t xml:space="preserve"> </w:t>
      </w:r>
      <w:r w:rsidRPr="00AD7CED">
        <w:rPr>
          <w:rFonts w:ascii="Georgia" w:hAnsi="Georgia"/>
          <w:sz w:val="19"/>
          <w:szCs w:val="19"/>
        </w:rPr>
        <w:t>performance and accountabilit</w:t>
      </w:r>
      <w:r w:rsidR="00EF74FA">
        <w:rPr>
          <w:rFonts w:ascii="Georgia" w:hAnsi="Georgia"/>
          <w:sz w:val="19"/>
          <w:szCs w:val="19"/>
        </w:rPr>
        <w:t>y</w:t>
      </w:r>
      <w:r w:rsidRPr="00AD7CED">
        <w:rPr>
          <w:rFonts w:ascii="Georgia" w:hAnsi="Georgia"/>
          <w:sz w:val="19"/>
          <w:szCs w:val="19"/>
        </w:rPr>
        <w:t>. This has resulted in draft legislation to go before Parliament in August 2012</w:t>
      </w:r>
      <w:r w:rsidR="00EF74FA">
        <w:rPr>
          <w:rFonts w:ascii="Georgia" w:hAnsi="Georgia"/>
          <w:sz w:val="19"/>
          <w:szCs w:val="19"/>
        </w:rPr>
        <w:t xml:space="preserve"> which includes </w:t>
      </w:r>
      <w:r w:rsidRPr="00AD7CED">
        <w:rPr>
          <w:rFonts w:ascii="Georgia" w:hAnsi="Georgia"/>
          <w:sz w:val="19"/>
          <w:szCs w:val="19"/>
        </w:rPr>
        <w:t>establish</w:t>
      </w:r>
      <w:r w:rsidR="00EF74FA">
        <w:rPr>
          <w:rFonts w:ascii="Georgia" w:hAnsi="Georgia"/>
          <w:sz w:val="19"/>
          <w:szCs w:val="19"/>
        </w:rPr>
        <w:t>ing a state</w:t>
      </w:r>
      <w:r w:rsidR="00A57DB8">
        <w:rPr>
          <w:rFonts w:ascii="Georgia" w:hAnsi="Georgia"/>
          <w:sz w:val="19"/>
          <w:szCs w:val="19"/>
        </w:rPr>
        <w:t>-</w:t>
      </w:r>
      <w:r w:rsidR="00EF74FA">
        <w:rPr>
          <w:rFonts w:ascii="Georgia" w:hAnsi="Georgia"/>
          <w:sz w:val="19"/>
          <w:szCs w:val="19"/>
        </w:rPr>
        <w:t>owned enterprise m</w:t>
      </w:r>
      <w:r w:rsidRPr="00AD7CED">
        <w:rPr>
          <w:rFonts w:ascii="Georgia" w:hAnsi="Georgia"/>
          <w:sz w:val="19"/>
          <w:szCs w:val="19"/>
        </w:rPr>
        <w:t xml:space="preserve">onitoring </w:t>
      </w:r>
      <w:r w:rsidR="00EF74FA">
        <w:rPr>
          <w:rFonts w:ascii="Georgia" w:hAnsi="Georgia"/>
          <w:sz w:val="19"/>
          <w:szCs w:val="19"/>
        </w:rPr>
        <w:t>and</w:t>
      </w:r>
      <w:r w:rsidR="00EF74FA" w:rsidRPr="00AD7CED">
        <w:rPr>
          <w:rFonts w:ascii="Georgia" w:hAnsi="Georgia"/>
          <w:sz w:val="19"/>
          <w:szCs w:val="19"/>
        </w:rPr>
        <w:t xml:space="preserve"> </w:t>
      </w:r>
      <w:r w:rsidR="00EF74FA">
        <w:rPr>
          <w:rFonts w:ascii="Georgia" w:hAnsi="Georgia"/>
          <w:sz w:val="19"/>
          <w:szCs w:val="19"/>
        </w:rPr>
        <w:t>a</w:t>
      </w:r>
      <w:r w:rsidR="00EF74FA" w:rsidRPr="00AD7CED">
        <w:rPr>
          <w:rFonts w:ascii="Georgia" w:hAnsi="Georgia"/>
          <w:sz w:val="19"/>
          <w:szCs w:val="19"/>
        </w:rPr>
        <w:t xml:space="preserve">dvisory </w:t>
      </w:r>
      <w:r w:rsidR="00EF74FA">
        <w:rPr>
          <w:rFonts w:ascii="Georgia" w:hAnsi="Georgia"/>
          <w:sz w:val="19"/>
          <w:szCs w:val="19"/>
        </w:rPr>
        <w:t>u</w:t>
      </w:r>
      <w:r w:rsidR="00EF74FA" w:rsidRPr="00AD7CED">
        <w:rPr>
          <w:rFonts w:ascii="Georgia" w:hAnsi="Georgia"/>
          <w:sz w:val="19"/>
          <w:szCs w:val="19"/>
        </w:rPr>
        <w:t xml:space="preserve">nit </w:t>
      </w:r>
      <w:r w:rsidRPr="00AD7CED">
        <w:rPr>
          <w:rFonts w:ascii="Georgia" w:hAnsi="Georgia"/>
          <w:sz w:val="19"/>
          <w:szCs w:val="19"/>
        </w:rPr>
        <w:t xml:space="preserve">within the </w:t>
      </w:r>
      <w:r w:rsidR="004F461A">
        <w:rPr>
          <w:rFonts w:ascii="Georgia" w:hAnsi="Georgia"/>
          <w:sz w:val="19"/>
          <w:szCs w:val="19"/>
        </w:rPr>
        <w:t>Ministry of Finance and Economic Development</w:t>
      </w:r>
      <w:r w:rsidR="00EF74FA">
        <w:rPr>
          <w:rFonts w:ascii="Georgia" w:hAnsi="Georgia"/>
          <w:sz w:val="19"/>
          <w:szCs w:val="19"/>
        </w:rPr>
        <w:t>.</w:t>
      </w:r>
      <w:r w:rsidR="00EF74FA" w:rsidRPr="00AD7CED">
        <w:rPr>
          <w:rFonts w:ascii="Georgia" w:hAnsi="Georgia"/>
          <w:sz w:val="19"/>
          <w:szCs w:val="19"/>
        </w:rPr>
        <w:t xml:space="preserve"> </w:t>
      </w:r>
      <w:r>
        <w:rPr>
          <w:rFonts w:ascii="Georgia" w:hAnsi="Georgia"/>
          <w:sz w:val="19"/>
          <w:szCs w:val="19"/>
        </w:rPr>
        <w:t xml:space="preserve">The program </w:t>
      </w:r>
      <w:r w:rsidR="00EF74FA">
        <w:rPr>
          <w:rFonts w:ascii="Georgia" w:hAnsi="Georgia"/>
          <w:sz w:val="19"/>
          <w:szCs w:val="19"/>
        </w:rPr>
        <w:t xml:space="preserve">provides </w:t>
      </w:r>
      <w:r>
        <w:rPr>
          <w:rFonts w:ascii="Georgia" w:hAnsi="Georgia"/>
          <w:sz w:val="19"/>
          <w:szCs w:val="19"/>
        </w:rPr>
        <w:t xml:space="preserve">support to treasury functions and in 2011 </w:t>
      </w:r>
      <w:r w:rsidR="00EF74FA">
        <w:rPr>
          <w:rFonts w:ascii="Georgia" w:hAnsi="Georgia"/>
          <w:sz w:val="19"/>
          <w:szCs w:val="19"/>
        </w:rPr>
        <w:t>helped</w:t>
      </w:r>
      <w:r>
        <w:rPr>
          <w:rFonts w:ascii="Georgia" w:hAnsi="Georgia"/>
          <w:sz w:val="19"/>
          <w:szCs w:val="19"/>
        </w:rPr>
        <w:t xml:space="preserve"> develop the 2012 </w:t>
      </w:r>
      <w:r w:rsidR="00EF74FA">
        <w:rPr>
          <w:rFonts w:ascii="Georgia" w:hAnsi="Georgia"/>
          <w:sz w:val="19"/>
          <w:szCs w:val="19"/>
        </w:rPr>
        <w:t xml:space="preserve">budget </w:t>
      </w:r>
      <w:r>
        <w:rPr>
          <w:rFonts w:ascii="Georgia" w:hAnsi="Georgia"/>
          <w:sz w:val="19"/>
          <w:szCs w:val="19"/>
        </w:rPr>
        <w:t xml:space="preserve">as well as the medium-term fiscal framework. However, this support will be transferred across to the </w:t>
      </w:r>
      <w:r w:rsidR="00EF74FA">
        <w:rPr>
          <w:rFonts w:ascii="Georgia" w:hAnsi="Georgia"/>
          <w:sz w:val="19"/>
          <w:szCs w:val="19"/>
        </w:rPr>
        <w:t xml:space="preserve">public financial management </w:t>
      </w:r>
      <w:r>
        <w:rPr>
          <w:rFonts w:ascii="Georgia" w:hAnsi="Georgia"/>
          <w:sz w:val="19"/>
          <w:szCs w:val="19"/>
        </w:rPr>
        <w:t>reform program in 2012 (see below).</w:t>
      </w:r>
    </w:p>
    <w:p w14:paraId="6F3E4764" w14:textId="557F64BB" w:rsidR="00B97810" w:rsidRPr="00AD7CED" w:rsidRDefault="0033505F" w:rsidP="00AD7CED">
      <w:pPr>
        <w:pStyle w:val="ListParagraph"/>
        <w:numPr>
          <w:ilvl w:val="0"/>
          <w:numId w:val="17"/>
        </w:numPr>
        <w:spacing w:line="300" w:lineRule="exact"/>
        <w:ind w:right="-114"/>
        <w:rPr>
          <w:rFonts w:ascii="Georgia" w:hAnsi="Georgia"/>
          <w:sz w:val="19"/>
          <w:szCs w:val="19"/>
        </w:rPr>
      </w:pPr>
      <w:r>
        <w:rPr>
          <w:rFonts w:ascii="Georgia" w:hAnsi="Georgia"/>
          <w:sz w:val="19"/>
          <w:szCs w:val="19"/>
        </w:rPr>
        <w:t xml:space="preserve">Kiribati and </w:t>
      </w:r>
      <w:r w:rsidR="004F461A">
        <w:rPr>
          <w:rFonts w:ascii="Georgia" w:hAnsi="Georgia"/>
          <w:sz w:val="19"/>
          <w:szCs w:val="19"/>
        </w:rPr>
        <w:t>the Pacific Financial Technical Assistance Centre</w:t>
      </w:r>
      <w:r w:rsidR="00B97810" w:rsidRPr="00AD7CED">
        <w:rPr>
          <w:rFonts w:ascii="Georgia" w:hAnsi="Georgia"/>
          <w:sz w:val="19"/>
          <w:szCs w:val="19"/>
        </w:rPr>
        <w:t xml:space="preserve"> designed </w:t>
      </w:r>
      <w:r>
        <w:rPr>
          <w:rFonts w:ascii="Georgia" w:hAnsi="Georgia"/>
          <w:sz w:val="19"/>
          <w:szCs w:val="19"/>
        </w:rPr>
        <w:t>a t</w:t>
      </w:r>
      <w:r w:rsidRPr="00AD7CED">
        <w:rPr>
          <w:rFonts w:ascii="Georgia" w:hAnsi="Georgia"/>
          <w:sz w:val="19"/>
          <w:szCs w:val="19"/>
        </w:rPr>
        <w:t xml:space="preserve">ax </w:t>
      </w:r>
      <w:r>
        <w:rPr>
          <w:rFonts w:ascii="Georgia" w:hAnsi="Georgia"/>
          <w:sz w:val="19"/>
          <w:szCs w:val="19"/>
        </w:rPr>
        <w:t>i</w:t>
      </w:r>
      <w:r w:rsidR="00B97810" w:rsidRPr="00AD7CED">
        <w:rPr>
          <w:rFonts w:ascii="Georgia" w:hAnsi="Georgia"/>
          <w:sz w:val="19"/>
          <w:szCs w:val="19"/>
        </w:rPr>
        <w:t xml:space="preserve">mprovement </w:t>
      </w:r>
      <w:r>
        <w:rPr>
          <w:rFonts w:ascii="Georgia" w:hAnsi="Georgia"/>
          <w:sz w:val="19"/>
          <w:szCs w:val="19"/>
        </w:rPr>
        <w:t>p</w:t>
      </w:r>
      <w:r w:rsidRPr="00AD7CED">
        <w:rPr>
          <w:rFonts w:ascii="Georgia" w:hAnsi="Georgia"/>
          <w:sz w:val="19"/>
          <w:szCs w:val="19"/>
        </w:rPr>
        <w:t xml:space="preserve">rogram </w:t>
      </w:r>
      <w:r>
        <w:rPr>
          <w:rFonts w:ascii="Georgia" w:hAnsi="Georgia"/>
          <w:sz w:val="19"/>
          <w:szCs w:val="19"/>
        </w:rPr>
        <w:t>and</w:t>
      </w:r>
      <w:r w:rsidRPr="00AD7CED">
        <w:rPr>
          <w:rFonts w:ascii="Georgia" w:hAnsi="Georgia"/>
          <w:sz w:val="19"/>
          <w:szCs w:val="19"/>
        </w:rPr>
        <w:t xml:space="preserve"> </w:t>
      </w:r>
      <w:proofErr w:type="spellStart"/>
      <w:r w:rsidR="00944983" w:rsidRPr="00AD7CED">
        <w:rPr>
          <w:rFonts w:ascii="Georgia" w:hAnsi="Georgia"/>
          <w:sz w:val="19"/>
          <w:szCs w:val="19"/>
        </w:rPr>
        <w:t>AusAID</w:t>
      </w:r>
      <w:proofErr w:type="spellEnd"/>
      <w:r w:rsidR="00944983" w:rsidRPr="00AD7CED">
        <w:rPr>
          <w:rFonts w:ascii="Georgia" w:hAnsi="Georgia"/>
          <w:sz w:val="19"/>
          <w:szCs w:val="19"/>
        </w:rPr>
        <w:t xml:space="preserve"> </w:t>
      </w:r>
      <w:r>
        <w:rPr>
          <w:rFonts w:ascii="Georgia" w:hAnsi="Georgia"/>
          <w:sz w:val="19"/>
          <w:szCs w:val="19"/>
        </w:rPr>
        <w:t>is</w:t>
      </w:r>
      <w:r w:rsidR="00944983" w:rsidRPr="00AD7CED">
        <w:rPr>
          <w:rFonts w:ascii="Georgia" w:hAnsi="Georgia"/>
          <w:sz w:val="19"/>
          <w:szCs w:val="19"/>
        </w:rPr>
        <w:t xml:space="preserve"> fund</w:t>
      </w:r>
      <w:r>
        <w:rPr>
          <w:rFonts w:ascii="Georgia" w:hAnsi="Georgia"/>
          <w:sz w:val="19"/>
          <w:szCs w:val="19"/>
        </w:rPr>
        <w:t>ing</w:t>
      </w:r>
      <w:r w:rsidR="00944983" w:rsidRPr="00AD7CED">
        <w:rPr>
          <w:rFonts w:ascii="Georgia" w:hAnsi="Georgia"/>
          <w:sz w:val="19"/>
          <w:szCs w:val="19"/>
        </w:rPr>
        <w:t xml:space="preserve"> implementation of</w:t>
      </w:r>
      <w:r>
        <w:rPr>
          <w:rFonts w:ascii="Georgia" w:hAnsi="Georgia"/>
          <w:sz w:val="19"/>
          <w:szCs w:val="19"/>
        </w:rPr>
        <w:t xml:space="preserve"> this</w:t>
      </w:r>
      <w:r w:rsidR="00944983" w:rsidRPr="00AD7CED">
        <w:rPr>
          <w:rFonts w:ascii="Georgia" w:hAnsi="Georgia"/>
          <w:sz w:val="19"/>
          <w:szCs w:val="19"/>
        </w:rPr>
        <w:t xml:space="preserve">. </w:t>
      </w:r>
      <w:r w:rsidRPr="00AD7CED">
        <w:rPr>
          <w:rFonts w:ascii="Georgia" w:hAnsi="Georgia"/>
          <w:sz w:val="19"/>
          <w:szCs w:val="19"/>
        </w:rPr>
        <w:t>Th</w:t>
      </w:r>
      <w:r>
        <w:rPr>
          <w:rFonts w:ascii="Georgia" w:hAnsi="Georgia"/>
          <w:sz w:val="19"/>
          <w:szCs w:val="19"/>
        </w:rPr>
        <w:t>e</w:t>
      </w:r>
      <w:r w:rsidRPr="00AD7CED">
        <w:rPr>
          <w:rFonts w:ascii="Georgia" w:hAnsi="Georgia"/>
          <w:sz w:val="19"/>
          <w:szCs w:val="19"/>
        </w:rPr>
        <w:t xml:space="preserve"> </w:t>
      </w:r>
      <w:r w:rsidR="00944983" w:rsidRPr="00AD7CED">
        <w:rPr>
          <w:rFonts w:ascii="Georgia" w:hAnsi="Georgia"/>
          <w:sz w:val="19"/>
          <w:szCs w:val="19"/>
        </w:rPr>
        <w:t xml:space="preserve">program </w:t>
      </w:r>
      <w:r w:rsidR="00B97810" w:rsidRPr="00AD7CED">
        <w:rPr>
          <w:rFonts w:ascii="Georgia" w:hAnsi="Georgia"/>
          <w:sz w:val="19"/>
          <w:szCs w:val="19"/>
        </w:rPr>
        <w:t xml:space="preserve">will commence </w:t>
      </w:r>
      <w:r w:rsidR="00944983" w:rsidRPr="00AD7CED">
        <w:rPr>
          <w:rFonts w:ascii="Georgia" w:hAnsi="Georgia"/>
          <w:sz w:val="19"/>
          <w:szCs w:val="19"/>
        </w:rPr>
        <w:t xml:space="preserve">in 2012 and will </w:t>
      </w:r>
      <w:r>
        <w:rPr>
          <w:rFonts w:ascii="Georgia" w:hAnsi="Georgia"/>
          <w:sz w:val="19"/>
          <w:szCs w:val="19"/>
        </w:rPr>
        <w:t>enable</w:t>
      </w:r>
      <w:r w:rsidR="00B97810" w:rsidRPr="00AD7CED">
        <w:rPr>
          <w:rFonts w:ascii="Georgia" w:hAnsi="Georgia"/>
          <w:sz w:val="19"/>
          <w:szCs w:val="19"/>
        </w:rPr>
        <w:t xml:space="preserve"> the Tax Commissioner’s office to modernise tax administration and compliance.</w:t>
      </w:r>
      <w:r w:rsidR="00E92460" w:rsidRPr="00AD7CED">
        <w:rPr>
          <w:rFonts w:ascii="Georgia" w:hAnsi="Georgia"/>
          <w:sz w:val="19"/>
          <w:szCs w:val="19"/>
        </w:rPr>
        <w:t xml:space="preserve"> </w:t>
      </w:r>
      <w:r w:rsidR="00B97810" w:rsidRPr="00AD7CED">
        <w:rPr>
          <w:rFonts w:ascii="Georgia" w:hAnsi="Georgia"/>
          <w:sz w:val="19"/>
          <w:szCs w:val="19"/>
        </w:rPr>
        <w:t xml:space="preserve">With tax revenue at $13 million in 2011, improvements </w:t>
      </w:r>
      <w:r>
        <w:rPr>
          <w:rFonts w:ascii="Georgia" w:hAnsi="Georgia"/>
          <w:sz w:val="19"/>
          <w:szCs w:val="19"/>
        </w:rPr>
        <w:t>are</w:t>
      </w:r>
      <w:r w:rsidRPr="00E043CD">
        <w:rPr>
          <w:rFonts w:ascii="Georgia" w:hAnsi="Georgia"/>
          <w:sz w:val="19"/>
          <w:szCs w:val="19"/>
        </w:rPr>
        <w:t xml:space="preserve"> expected </w:t>
      </w:r>
      <w:r>
        <w:rPr>
          <w:rFonts w:ascii="Georgia" w:hAnsi="Georgia"/>
          <w:sz w:val="19"/>
          <w:szCs w:val="19"/>
        </w:rPr>
        <w:t>to</w:t>
      </w:r>
      <w:r w:rsidR="00B97810" w:rsidRPr="00AD7CED">
        <w:rPr>
          <w:rFonts w:ascii="Georgia" w:hAnsi="Georgia"/>
          <w:sz w:val="19"/>
          <w:szCs w:val="19"/>
        </w:rPr>
        <w:t xml:space="preserve"> increase taxes to $20 million by 2015. Once the tax administration functions are working smoothly</w:t>
      </w:r>
      <w:r>
        <w:rPr>
          <w:rFonts w:ascii="Georgia" w:hAnsi="Georgia"/>
          <w:sz w:val="19"/>
          <w:szCs w:val="19"/>
        </w:rPr>
        <w:t xml:space="preserve">, which could take about two </w:t>
      </w:r>
      <w:r w:rsidR="00B97810" w:rsidRPr="00AD7CED">
        <w:rPr>
          <w:rFonts w:ascii="Georgia" w:hAnsi="Georgia"/>
          <w:sz w:val="19"/>
          <w:szCs w:val="19"/>
        </w:rPr>
        <w:t xml:space="preserve">years, the intention is to examine options for reforming the tax system. </w:t>
      </w:r>
    </w:p>
    <w:p w14:paraId="62DCEE00" w14:textId="3F9D79A7" w:rsidR="00B97810" w:rsidRPr="00AD7CED" w:rsidRDefault="00B97810" w:rsidP="00AD7CED">
      <w:pPr>
        <w:pStyle w:val="ListParagraph"/>
        <w:numPr>
          <w:ilvl w:val="0"/>
          <w:numId w:val="17"/>
        </w:numPr>
        <w:spacing w:line="300" w:lineRule="exact"/>
        <w:ind w:right="-114"/>
        <w:rPr>
          <w:rFonts w:ascii="Georgia" w:hAnsi="Georgia"/>
          <w:sz w:val="19"/>
          <w:szCs w:val="19"/>
        </w:rPr>
      </w:pPr>
      <w:r w:rsidRPr="00AD7CED">
        <w:rPr>
          <w:rFonts w:ascii="Georgia" w:hAnsi="Georgia"/>
          <w:sz w:val="19"/>
          <w:szCs w:val="19"/>
        </w:rPr>
        <w:t>The A</w:t>
      </w:r>
      <w:r w:rsidR="0033505F">
        <w:rPr>
          <w:rFonts w:ascii="Georgia" w:hAnsi="Georgia"/>
          <w:sz w:val="19"/>
          <w:szCs w:val="19"/>
        </w:rPr>
        <w:t xml:space="preserve">sian </w:t>
      </w:r>
      <w:r w:rsidRPr="00AD7CED">
        <w:rPr>
          <w:rFonts w:ascii="Georgia" w:hAnsi="Georgia"/>
          <w:sz w:val="19"/>
          <w:szCs w:val="19"/>
        </w:rPr>
        <w:t>D</w:t>
      </w:r>
      <w:r w:rsidR="0033505F">
        <w:rPr>
          <w:rFonts w:ascii="Georgia" w:hAnsi="Georgia"/>
          <w:sz w:val="19"/>
          <w:szCs w:val="19"/>
        </w:rPr>
        <w:t xml:space="preserve">evelopment </w:t>
      </w:r>
      <w:r w:rsidRPr="00AD7CED">
        <w:rPr>
          <w:rFonts w:ascii="Georgia" w:hAnsi="Georgia"/>
          <w:sz w:val="19"/>
          <w:szCs w:val="19"/>
        </w:rPr>
        <w:t>B</w:t>
      </w:r>
      <w:r w:rsidR="0033505F">
        <w:rPr>
          <w:rFonts w:ascii="Georgia" w:hAnsi="Georgia"/>
          <w:sz w:val="19"/>
          <w:szCs w:val="19"/>
        </w:rPr>
        <w:t>ank</w:t>
      </w:r>
      <w:r w:rsidRPr="00AD7CED">
        <w:rPr>
          <w:rFonts w:ascii="Georgia" w:hAnsi="Georgia"/>
          <w:sz w:val="19"/>
          <w:szCs w:val="19"/>
        </w:rPr>
        <w:t xml:space="preserve">, funded by </w:t>
      </w:r>
      <w:proofErr w:type="spellStart"/>
      <w:r w:rsidRPr="00AD7CED">
        <w:rPr>
          <w:rFonts w:ascii="Georgia" w:hAnsi="Georgia"/>
          <w:sz w:val="19"/>
          <w:szCs w:val="19"/>
        </w:rPr>
        <w:t>AusAID</w:t>
      </w:r>
      <w:proofErr w:type="spellEnd"/>
      <w:r w:rsidRPr="00AD7CED">
        <w:rPr>
          <w:rFonts w:ascii="Georgia" w:hAnsi="Georgia"/>
          <w:sz w:val="19"/>
          <w:szCs w:val="19"/>
        </w:rPr>
        <w:t xml:space="preserve"> and working with </w:t>
      </w:r>
      <w:r w:rsidR="0033505F">
        <w:rPr>
          <w:rFonts w:ascii="Georgia" w:hAnsi="Georgia"/>
          <w:sz w:val="19"/>
          <w:szCs w:val="19"/>
        </w:rPr>
        <w:t>Kiribati’s government</w:t>
      </w:r>
      <w:r w:rsidRPr="00AD7CED">
        <w:rPr>
          <w:rFonts w:ascii="Georgia" w:hAnsi="Georgia"/>
          <w:sz w:val="19"/>
          <w:szCs w:val="19"/>
        </w:rPr>
        <w:t xml:space="preserve">, designed </w:t>
      </w:r>
      <w:r w:rsidR="004F461A">
        <w:rPr>
          <w:rFonts w:ascii="Georgia" w:hAnsi="Georgia"/>
          <w:sz w:val="19"/>
          <w:szCs w:val="19"/>
        </w:rPr>
        <w:t>a</w:t>
      </w:r>
      <w:r w:rsidR="004F461A" w:rsidRPr="00AD7CED">
        <w:rPr>
          <w:rFonts w:ascii="Georgia" w:hAnsi="Georgia"/>
          <w:sz w:val="19"/>
          <w:szCs w:val="19"/>
        </w:rPr>
        <w:t xml:space="preserve"> </w:t>
      </w:r>
      <w:r w:rsidR="0033505F">
        <w:rPr>
          <w:rFonts w:ascii="Georgia" w:hAnsi="Georgia"/>
          <w:sz w:val="19"/>
          <w:szCs w:val="19"/>
        </w:rPr>
        <w:t xml:space="preserve">public financial management </w:t>
      </w:r>
      <w:r w:rsidRPr="00AD7CED">
        <w:rPr>
          <w:rFonts w:ascii="Georgia" w:hAnsi="Georgia"/>
          <w:sz w:val="19"/>
          <w:szCs w:val="19"/>
        </w:rPr>
        <w:t xml:space="preserve">reform program to commence in 2012. This will upgrade expenditure management in </w:t>
      </w:r>
      <w:r w:rsidR="004F461A">
        <w:rPr>
          <w:rFonts w:ascii="Georgia" w:hAnsi="Georgia"/>
          <w:sz w:val="19"/>
          <w:szCs w:val="19"/>
        </w:rPr>
        <w:t>the Ministry of Finance and Economic Development</w:t>
      </w:r>
      <w:r w:rsidRPr="00AD7CED">
        <w:rPr>
          <w:rFonts w:ascii="Georgia" w:hAnsi="Georgia"/>
          <w:sz w:val="19"/>
          <w:szCs w:val="19"/>
        </w:rPr>
        <w:t xml:space="preserve">, including the </w:t>
      </w:r>
      <w:proofErr w:type="spellStart"/>
      <w:r w:rsidRPr="00AD7CED">
        <w:rPr>
          <w:rFonts w:ascii="Georgia" w:hAnsi="Georgia"/>
          <w:sz w:val="19"/>
          <w:szCs w:val="19"/>
        </w:rPr>
        <w:t>Attache</w:t>
      </w:r>
      <w:proofErr w:type="spellEnd"/>
      <w:r w:rsidRPr="00AD7CED">
        <w:rPr>
          <w:rFonts w:ascii="Georgia" w:hAnsi="Georgia"/>
          <w:sz w:val="19"/>
          <w:szCs w:val="19"/>
        </w:rPr>
        <w:t xml:space="preserve"> accounting system</w:t>
      </w:r>
      <w:r w:rsidR="004F461A">
        <w:rPr>
          <w:rFonts w:ascii="Georgia" w:hAnsi="Georgia"/>
          <w:sz w:val="19"/>
          <w:szCs w:val="19"/>
        </w:rPr>
        <w:t>,</w:t>
      </w:r>
      <w:r w:rsidRPr="00AD7CED">
        <w:rPr>
          <w:rFonts w:ascii="Georgia" w:hAnsi="Georgia"/>
          <w:sz w:val="19"/>
          <w:szCs w:val="19"/>
        </w:rPr>
        <w:t xml:space="preserve"> </w:t>
      </w:r>
      <w:proofErr w:type="gramStart"/>
      <w:r w:rsidR="004F461A">
        <w:rPr>
          <w:rFonts w:ascii="Georgia" w:hAnsi="Georgia"/>
          <w:sz w:val="19"/>
          <w:szCs w:val="19"/>
        </w:rPr>
        <w:t>provide</w:t>
      </w:r>
      <w:proofErr w:type="gramEnd"/>
      <w:r w:rsidR="004F461A" w:rsidRPr="00AD7CED">
        <w:rPr>
          <w:rFonts w:ascii="Georgia" w:hAnsi="Georgia"/>
          <w:sz w:val="19"/>
          <w:szCs w:val="19"/>
        </w:rPr>
        <w:t xml:space="preserve"> </w:t>
      </w:r>
      <w:r w:rsidRPr="00AD7CED">
        <w:rPr>
          <w:rFonts w:ascii="Georgia" w:hAnsi="Georgia"/>
          <w:sz w:val="19"/>
          <w:szCs w:val="19"/>
        </w:rPr>
        <w:t xml:space="preserve">associated training, </w:t>
      </w:r>
      <w:r w:rsidR="004F461A">
        <w:rPr>
          <w:rFonts w:ascii="Georgia" w:hAnsi="Georgia"/>
          <w:sz w:val="19"/>
          <w:szCs w:val="19"/>
        </w:rPr>
        <w:t>and</w:t>
      </w:r>
      <w:r w:rsidRPr="00AD7CED">
        <w:rPr>
          <w:rFonts w:ascii="Georgia" w:hAnsi="Georgia"/>
          <w:sz w:val="19"/>
          <w:szCs w:val="19"/>
        </w:rPr>
        <w:t xml:space="preserve"> review </w:t>
      </w:r>
      <w:r w:rsidR="004F461A">
        <w:rPr>
          <w:rFonts w:ascii="Georgia" w:hAnsi="Georgia"/>
          <w:sz w:val="19"/>
          <w:szCs w:val="19"/>
        </w:rPr>
        <w:t>the ministry’s</w:t>
      </w:r>
      <w:r w:rsidR="004F461A" w:rsidRPr="00AD7CED">
        <w:rPr>
          <w:rFonts w:ascii="Georgia" w:hAnsi="Georgia"/>
          <w:sz w:val="19"/>
          <w:szCs w:val="19"/>
        </w:rPr>
        <w:t xml:space="preserve"> </w:t>
      </w:r>
      <w:r w:rsidRPr="00AD7CED">
        <w:rPr>
          <w:rFonts w:ascii="Georgia" w:hAnsi="Georgia"/>
          <w:sz w:val="19"/>
          <w:szCs w:val="19"/>
        </w:rPr>
        <w:t xml:space="preserve">human resource management practices. </w:t>
      </w:r>
    </w:p>
    <w:p w14:paraId="69281B67" w14:textId="0BD0B6BE" w:rsidR="004F461A" w:rsidRDefault="009011DF" w:rsidP="009011DF">
      <w:pPr>
        <w:pStyle w:val="gray"/>
        <w:tabs>
          <w:tab w:val="left" w:pos="5448"/>
          <w:tab w:val="left" w:pos="7526"/>
        </w:tabs>
        <w:spacing w:before="240" w:after="120" w:line="280" w:lineRule="atLeast"/>
        <w:ind w:left="0" w:right="272"/>
        <w:rPr>
          <w:rFonts w:ascii="Georgia" w:hAnsi="Georgia"/>
          <w:sz w:val="19"/>
          <w:szCs w:val="19"/>
        </w:rPr>
      </w:pPr>
      <w:r w:rsidRPr="009011DF">
        <w:rPr>
          <w:rFonts w:ascii="Georgia" w:hAnsi="Georgia"/>
          <w:sz w:val="19"/>
          <w:szCs w:val="19"/>
        </w:rPr>
        <w:t>Fisheries are critical to Kiribati for food security, income generation and government revenue. In 2011, fisheries revenues comprised 43</w:t>
      </w:r>
      <w:r w:rsidR="0033505F">
        <w:rPr>
          <w:rFonts w:ascii="Georgia" w:hAnsi="Georgia"/>
          <w:sz w:val="19"/>
          <w:szCs w:val="19"/>
        </w:rPr>
        <w:t xml:space="preserve"> per cent</w:t>
      </w:r>
      <w:r w:rsidR="0033505F" w:rsidRPr="009011DF">
        <w:rPr>
          <w:rFonts w:ascii="Georgia" w:hAnsi="Georgia"/>
          <w:sz w:val="19"/>
          <w:szCs w:val="19"/>
        </w:rPr>
        <w:t xml:space="preserve"> </w:t>
      </w:r>
      <w:r w:rsidRPr="009011DF">
        <w:rPr>
          <w:rFonts w:ascii="Georgia" w:hAnsi="Georgia"/>
          <w:sz w:val="19"/>
          <w:szCs w:val="19"/>
        </w:rPr>
        <w:t>of Kiribati’s annual revenue (approximately $30 million). The fisheries sector also sustains employment for 20</w:t>
      </w:r>
      <w:r w:rsidR="0033505F">
        <w:rPr>
          <w:rFonts w:ascii="Georgia" w:hAnsi="Georgia"/>
          <w:sz w:val="19"/>
          <w:szCs w:val="19"/>
        </w:rPr>
        <w:t xml:space="preserve"> to </w:t>
      </w:r>
      <w:r w:rsidRPr="009011DF">
        <w:rPr>
          <w:rFonts w:ascii="Georgia" w:hAnsi="Georgia"/>
          <w:sz w:val="19"/>
          <w:szCs w:val="19"/>
        </w:rPr>
        <w:t>25</w:t>
      </w:r>
      <w:r w:rsidR="0033505F">
        <w:rPr>
          <w:rFonts w:ascii="Georgia" w:hAnsi="Georgia"/>
          <w:sz w:val="19"/>
          <w:szCs w:val="19"/>
        </w:rPr>
        <w:t xml:space="preserve"> per cent</w:t>
      </w:r>
      <w:r w:rsidRPr="009011DF">
        <w:rPr>
          <w:rFonts w:ascii="Georgia" w:hAnsi="Georgia"/>
          <w:sz w:val="19"/>
          <w:szCs w:val="19"/>
        </w:rPr>
        <w:t xml:space="preserve"> of the population, mostly through small-scale coastal fishing. Despite its economic and social value, fisheries management is weak</w:t>
      </w:r>
      <w:r w:rsidR="004F461A">
        <w:rPr>
          <w:rFonts w:ascii="Georgia" w:hAnsi="Georgia"/>
          <w:sz w:val="19"/>
          <w:szCs w:val="19"/>
        </w:rPr>
        <w:t>:</w:t>
      </w:r>
    </w:p>
    <w:p w14:paraId="2ADDBFDC" w14:textId="40019DD5" w:rsidR="004F461A" w:rsidRDefault="004F461A" w:rsidP="00AD7CED">
      <w:pPr>
        <w:pStyle w:val="gray"/>
        <w:numPr>
          <w:ilvl w:val="0"/>
          <w:numId w:val="30"/>
        </w:numPr>
        <w:tabs>
          <w:tab w:val="left" w:pos="5448"/>
          <w:tab w:val="left" w:pos="7526"/>
        </w:tabs>
        <w:spacing w:before="240" w:after="120" w:line="280" w:lineRule="atLeast"/>
        <w:ind w:right="272"/>
        <w:rPr>
          <w:rFonts w:ascii="Georgia" w:hAnsi="Georgia"/>
          <w:sz w:val="19"/>
          <w:szCs w:val="19"/>
        </w:rPr>
      </w:pPr>
      <w:r>
        <w:rPr>
          <w:rFonts w:ascii="Georgia" w:hAnsi="Georgia"/>
          <w:sz w:val="19"/>
          <w:szCs w:val="19"/>
        </w:rPr>
        <w:t>p</w:t>
      </w:r>
      <w:r w:rsidR="009011DF" w:rsidRPr="009011DF">
        <w:rPr>
          <w:rFonts w:ascii="Georgia" w:hAnsi="Georgia"/>
          <w:sz w:val="19"/>
          <w:szCs w:val="19"/>
        </w:rPr>
        <w:t>opulation pressures in South Tarawa hamper sustainable coastal fisheries management</w:t>
      </w:r>
    </w:p>
    <w:p w14:paraId="0A83DF78" w14:textId="5F903A25" w:rsidR="004F461A" w:rsidRDefault="009011DF" w:rsidP="00AD7CED">
      <w:pPr>
        <w:pStyle w:val="gray"/>
        <w:numPr>
          <w:ilvl w:val="0"/>
          <w:numId w:val="30"/>
        </w:numPr>
        <w:tabs>
          <w:tab w:val="left" w:pos="5448"/>
          <w:tab w:val="left" w:pos="7526"/>
        </w:tabs>
        <w:spacing w:before="240" w:after="120" w:line="280" w:lineRule="atLeast"/>
        <w:ind w:right="272"/>
        <w:rPr>
          <w:rFonts w:ascii="Georgia" w:hAnsi="Georgia"/>
          <w:sz w:val="19"/>
          <w:szCs w:val="19"/>
        </w:rPr>
      </w:pPr>
      <w:r w:rsidRPr="009011DF">
        <w:rPr>
          <w:rFonts w:ascii="Georgia" w:hAnsi="Georgia"/>
          <w:sz w:val="19"/>
          <w:szCs w:val="19"/>
        </w:rPr>
        <w:t xml:space="preserve">the lack of technical expertise and resources within </w:t>
      </w:r>
      <w:r w:rsidR="004F0540">
        <w:rPr>
          <w:rFonts w:ascii="Georgia" w:hAnsi="Georgia"/>
          <w:sz w:val="19"/>
          <w:szCs w:val="19"/>
        </w:rPr>
        <w:t>the Government of Kiribati</w:t>
      </w:r>
      <w:r w:rsidR="0033505F" w:rsidRPr="009011DF">
        <w:rPr>
          <w:rFonts w:ascii="Georgia" w:hAnsi="Georgia"/>
          <w:sz w:val="19"/>
          <w:szCs w:val="19"/>
        </w:rPr>
        <w:t xml:space="preserve"> </w:t>
      </w:r>
      <w:r w:rsidRPr="009011DF">
        <w:rPr>
          <w:rFonts w:ascii="Georgia" w:hAnsi="Georgia"/>
          <w:sz w:val="19"/>
          <w:szCs w:val="19"/>
        </w:rPr>
        <w:t xml:space="preserve">limits effective data collection and </w:t>
      </w:r>
      <w:r w:rsidR="0033505F">
        <w:rPr>
          <w:rFonts w:ascii="Georgia" w:hAnsi="Georgia"/>
          <w:sz w:val="19"/>
          <w:szCs w:val="19"/>
        </w:rPr>
        <w:t>administration of</w:t>
      </w:r>
      <w:r w:rsidRPr="009011DF">
        <w:rPr>
          <w:rFonts w:ascii="Georgia" w:hAnsi="Georgia"/>
          <w:sz w:val="19"/>
          <w:szCs w:val="19"/>
        </w:rPr>
        <w:t xml:space="preserve"> </w:t>
      </w:r>
      <w:r w:rsidR="004F461A">
        <w:rPr>
          <w:rFonts w:ascii="Georgia" w:hAnsi="Georgia"/>
          <w:sz w:val="19"/>
          <w:szCs w:val="19"/>
        </w:rPr>
        <w:t>the</w:t>
      </w:r>
      <w:r w:rsidR="004F461A" w:rsidRPr="009011DF">
        <w:rPr>
          <w:rFonts w:ascii="Georgia" w:hAnsi="Georgia"/>
          <w:sz w:val="19"/>
          <w:szCs w:val="19"/>
        </w:rPr>
        <w:t xml:space="preserve"> </w:t>
      </w:r>
      <w:r w:rsidRPr="009011DF">
        <w:rPr>
          <w:rFonts w:ascii="Georgia" w:hAnsi="Georgia"/>
          <w:sz w:val="19"/>
          <w:szCs w:val="19"/>
        </w:rPr>
        <w:t xml:space="preserve">3.5 million square </w:t>
      </w:r>
      <w:r w:rsidR="0037669A">
        <w:rPr>
          <w:rFonts w:ascii="Georgia" w:hAnsi="Georgia"/>
          <w:sz w:val="19"/>
          <w:szCs w:val="19"/>
        </w:rPr>
        <w:t>kilometre</w:t>
      </w:r>
      <w:r w:rsidR="0033505F" w:rsidRPr="009011DF">
        <w:rPr>
          <w:rFonts w:ascii="Georgia" w:hAnsi="Georgia"/>
          <w:sz w:val="19"/>
          <w:szCs w:val="19"/>
        </w:rPr>
        <w:t xml:space="preserve"> </w:t>
      </w:r>
      <w:r w:rsidRPr="009011DF">
        <w:rPr>
          <w:rFonts w:ascii="Georgia" w:hAnsi="Georgia"/>
          <w:sz w:val="19"/>
          <w:szCs w:val="19"/>
        </w:rPr>
        <w:t>exclusive economic zone</w:t>
      </w:r>
    </w:p>
    <w:p w14:paraId="6CC1B1E5" w14:textId="0EC526C5" w:rsidR="009011DF" w:rsidRPr="009011DF" w:rsidRDefault="009011DF" w:rsidP="00AD7CED">
      <w:pPr>
        <w:pStyle w:val="gray"/>
        <w:numPr>
          <w:ilvl w:val="0"/>
          <w:numId w:val="30"/>
        </w:numPr>
        <w:tabs>
          <w:tab w:val="left" w:pos="5448"/>
          <w:tab w:val="left" w:pos="7526"/>
        </w:tabs>
        <w:spacing w:before="240" w:after="120" w:line="280" w:lineRule="atLeast"/>
        <w:ind w:right="272"/>
        <w:rPr>
          <w:rFonts w:ascii="Georgia" w:hAnsi="Georgia"/>
          <w:sz w:val="19"/>
          <w:szCs w:val="19"/>
        </w:rPr>
      </w:pPr>
      <w:proofErr w:type="gramStart"/>
      <w:r w:rsidRPr="009011DF">
        <w:rPr>
          <w:rFonts w:ascii="Georgia" w:hAnsi="Georgia"/>
          <w:sz w:val="19"/>
          <w:szCs w:val="19"/>
        </w:rPr>
        <w:lastRenderedPageBreak/>
        <w:t>the</w:t>
      </w:r>
      <w:proofErr w:type="gramEnd"/>
      <w:r w:rsidRPr="009011DF">
        <w:rPr>
          <w:rFonts w:ascii="Georgia" w:hAnsi="Georgia"/>
          <w:sz w:val="19"/>
          <w:szCs w:val="19"/>
        </w:rPr>
        <w:t xml:space="preserve"> lack of sound legal advice and cost benefit analysis limits revenue flows to Kiribati from </w:t>
      </w:r>
      <w:r w:rsidR="0033505F" w:rsidRPr="009011DF">
        <w:rPr>
          <w:rFonts w:ascii="Georgia" w:hAnsi="Georgia"/>
          <w:sz w:val="19"/>
          <w:szCs w:val="19"/>
        </w:rPr>
        <w:t>oceanic fisheries</w:t>
      </w:r>
      <w:r w:rsidR="0033505F">
        <w:rPr>
          <w:rFonts w:ascii="Georgia" w:hAnsi="Georgia"/>
          <w:sz w:val="19"/>
          <w:szCs w:val="19"/>
        </w:rPr>
        <w:t>—</w:t>
      </w:r>
      <w:r w:rsidRPr="009011DF">
        <w:rPr>
          <w:rFonts w:ascii="Georgia" w:hAnsi="Georgia"/>
          <w:sz w:val="19"/>
          <w:szCs w:val="19"/>
        </w:rPr>
        <w:t>its richest natural resource.</w:t>
      </w:r>
    </w:p>
    <w:p w14:paraId="26B11B82" w14:textId="580ED4CB" w:rsidR="0037669A" w:rsidRDefault="00003C86" w:rsidP="009011DF">
      <w:pPr>
        <w:pStyle w:val="gray"/>
        <w:tabs>
          <w:tab w:val="left" w:pos="5448"/>
          <w:tab w:val="left" w:pos="7526"/>
        </w:tabs>
        <w:spacing w:before="240" w:after="120" w:line="280" w:lineRule="atLeast"/>
        <w:ind w:left="0" w:right="272"/>
        <w:rPr>
          <w:rFonts w:ascii="Georgia" w:hAnsi="Georgia"/>
          <w:sz w:val="19"/>
          <w:szCs w:val="19"/>
        </w:rPr>
      </w:pPr>
      <w:r>
        <w:rPr>
          <w:rFonts w:ascii="Georgia" w:hAnsi="Georgia"/>
          <w:sz w:val="19"/>
          <w:szCs w:val="19"/>
        </w:rPr>
        <w:t>Kiribati has</w:t>
      </w:r>
      <w:r w:rsidR="0037669A">
        <w:rPr>
          <w:rFonts w:ascii="Georgia" w:hAnsi="Georgia"/>
          <w:sz w:val="19"/>
          <w:szCs w:val="19"/>
        </w:rPr>
        <w:t xml:space="preserve"> started to</w:t>
      </w:r>
      <w:r w:rsidR="009011DF" w:rsidRPr="009011DF">
        <w:rPr>
          <w:rFonts w:ascii="Georgia" w:hAnsi="Georgia"/>
          <w:sz w:val="19"/>
          <w:szCs w:val="19"/>
        </w:rPr>
        <w:t xml:space="preserve"> develop a </w:t>
      </w:r>
      <w:r w:rsidR="0037669A">
        <w:rPr>
          <w:rFonts w:ascii="Georgia" w:hAnsi="Georgia"/>
          <w:sz w:val="19"/>
          <w:szCs w:val="19"/>
        </w:rPr>
        <w:t>f</w:t>
      </w:r>
      <w:r w:rsidR="009011DF" w:rsidRPr="009011DF">
        <w:rPr>
          <w:rFonts w:ascii="Georgia" w:hAnsi="Georgia"/>
          <w:sz w:val="19"/>
          <w:szCs w:val="19"/>
        </w:rPr>
        <w:t xml:space="preserve">isheries </w:t>
      </w:r>
      <w:r w:rsidR="0037669A">
        <w:rPr>
          <w:rFonts w:ascii="Georgia" w:hAnsi="Georgia"/>
          <w:sz w:val="19"/>
          <w:szCs w:val="19"/>
        </w:rPr>
        <w:t>p</w:t>
      </w:r>
      <w:r w:rsidR="0037669A" w:rsidRPr="009011DF">
        <w:rPr>
          <w:rFonts w:ascii="Georgia" w:hAnsi="Georgia"/>
          <w:sz w:val="19"/>
          <w:szCs w:val="19"/>
        </w:rPr>
        <w:t xml:space="preserve">olicy </w:t>
      </w:r>
      <w:r w:rsidR="009011DF" w:rsidRPr="009011DF">
        <w:rPr>
          <w:rFonts w:ascii="Georgia" w:hAnsi="Georgia"/>
          <w:sz w:val="19"/>
          <w:szCs w:val="19"/>
        </w:rPr>
        <w:t xml:space="preserve">as well as an </w:t>
      </w:r>
      <w:r w:rsidR="0037669A">
        <w:rPr>
          <w:rFonts w:ascii="Georgia" w:hAnsi="Georgia"/>
          <w:sz w:val="19"/>
          <w:szCs w:val="19"/>
        </w:rPr>
        <w:t>i</w:t>
      </w:r>
      <w:r w:rsidR="0037669A" w:rsidRPr="009011DF">
        <w:rPr>
          <w:rFonts w:ascii="Georgia" w:hAnsi="Georgia"/>
          <w:sz w:val="19"/>
          <w:szCs w:val="19"/>
        </w:rPr>
        <w:t xml:space="preserve">nstitutional </w:t>
      </w:r>
      <w:r w:rsidR="0037669A">
        <w:rPr>
          <w:rFonts w:ascii="Georgia" w:hAnsi="Georgia"/>
          <w:sz w:val="19"/>
          <w:szCs w:val="19"/>
        </w:rPr>
        <w:t>s</w:t>
      </w:r>
      <w:r w:rsidR="0037669A" w:rsidRPr="009011DF">
        <w:rPr>
          <w:rFonts w:ascii="Georgia" w:hAnsi="Georgia"/>
          <w:sz w:val="19"/>
          <w:szCs w:val="19"/>
        </w:rPr>
        <w:t xml:space="preserve">trengthening </w:t>
      </w:r>
      <w:r w:rsidR="0037669A">
        <w:rPr>
          <w:rFonts w:ascii="Georgia" w:hAnsi="Georgia"/>
          <w:sz w:val="19"/>
          <w:szCs w:val="19"/>
        </w:rPr>
        <w:t>s</w:t>
      </w:r>
      <w:r w:rsidR="0037669A" w:rsidRPr="009011DF">
        <w:rPr>
          <w:rFonts w:ascii="Georgia" w:hAnsi="Georgia"/>
          <w:sz w:val="19"/>
          <w:szCs w:val="19"/>
        </w:rPr>
        <w:t>trategy</w:t>
      </w:r>
      <w:r>
        <w:rPr>
          <w:rFonts w:ascii="Georgia" w:hAnsi="Georgia"/>
          <w:sz w:val="19"/>
          <w:szCs w:val="19"/>
        </w:rPr>
        <w:t>,</w:t>
      </w:r>
      <w:r w:rsidR="0037669A" w:rsidRPr="009011DF">
        <w:rPr>
          <w:rFonts w:ascii="Georgia" w:hAnsi="Georgia"/>
          <w:sz w:val="19"/>
          <w:szCs w:val="19"/>
        </w:rPr>
        <w:t xml:space="preserve"> </w:t>
      </w:r>
      <w:r w:rsidR="009011DF" w:rsidRPr="009011DF">
        <w:rPr>
          <w:rFonts w:ascii="Georgia" w:hAnsi="Georgia"/>
          <w:sz w:val="19"/>
          <w:szCs w:val="19"/>
        </w:rPr>
        <w:t xml:space="preserve">which is being supported by </w:t>
      </w:r>
      <w:proofErr w:type="spellStart"/>
      <w:r w:rsidR="009011DF" w:rsidRPr="009011DF">
        <w:rPr>
          <w:rFonts w:ascii="Georgia" w:hAnsi="Georgia"/>
          <w:sz w:val="19"/>
          <w:szCs w:val="19"/>
        </w:rPr>
        <w:t>AusAID</w:t>
      </w:r>
      <w:proofErr w:type="spellEnd"/>
      <w:r w:rsidR="009011DF" w:rsidRPr="009011DF">
        <w:rPr>
          <w:rFonts w:ascii="Georgia" w:hAnsi="Georgia"/>
          <w:sz w:val="19"/>
          <w:szCs w:val="19"/>
        </w:rPr>
        <w:t xml:space="preserve"> and will continue through to 2012. This includes technical assistance </w:t>
      </w:r>
      <w:r>
        <w:rPr>
          <w:rFonts w:ascii="Georgia" w:hAnsi="Georgia"/>
          <w:sz w:val="19"/>
          <w:szCs w:val="19"/>
        </w:rPr>
        <w:t>with</w:t>
      </w:r>
      <w:r w:rsidRPr="009011DF">
        <w:rPr>
          <w:rFonts w:ascii="Georgia" w:hAnsi="Georgia"/>
          <w:sz w:val="19"/>
          <w:szCs w:val="19"/>
        </w:rPr>
        <w:t xml:space="preserve"> </w:t>
      </w:r>
      <w:r w:rsidR="009011DF" w:rsidRPr="009011DF">
        <w:rPr>
          <w:rFonts w:ascii="Georgia" w:hAnsi="Georgia"/>
          <w:sz w:val="19"/>
          <w:szCs w:val="19"/>
        </w:rPr>
        <w:t xml:space="preserve">the drafting process, </w:t>
      </w:r>
      <w:r w:rsidR="00E92460" w:rsidRPr="009011DF">
        <w:rPr>
          <w:rFonts w:ascii="Georgia" w:hAnsi="Georgia"/>
          <w:sz w:val="19"/>
          <w:szCs w:val="19"/>
        </w:rPr>
        <w:t>broad-based</w:t>
      </w:r>
      <w:r w:rsidR="009011DF" w:rsidRPr="009011DF">
        <w:rPr>
          <w:rFonts w:ascii="Georgia" w:hAnsi="Georgia"/>
          <w:sz w:val="19"/>
          <w:szCs w:val="19"/>
        </w:rPr>
        <w:t xml:space="preserve"> community consultation, as well as joint donor consultations on fisheries policy and programming to improve coordination in design and delivery across a range of donors. The </w:t>
      </w:r>
      <w:r w:rsidR="0037669A">
        <w:rPr>
          <w:rFonts w:ascii="Georgia" w:hAnsi="Georgia"/>
          <w:sz w:val="19"/>
          <w:szCs w:val="19"/>
        </w:rPr>
        <w:t>p</w:t>
      </w:r>
      <w:r w:rsidR="0037669A" w:rsidRPr="009011DF">
        <w:rPr>
          <w:rFonts w:ascii="Georgia" w:hAnsi="Georgia"/>
          <w:sz w:val="19"/>
          <w:szCs w:val="19"/>
        </w:rPr>
        <w:t xml:space="preserve">olicy </w:t>
      </w:r>
      <w:r w:rsidR="009011DF" w:rsidRPr="009011DF">
        <w:rPr>
          <w:rFonts w:ascii="Georgia" w:hAnsi="Georgia"/>
          <w:sz w:val="19"/>
          <w:szCs w:val="19"/>
        </w:rPr>
        <w:t>will</w:t>
      </w:r>
      <w:r w:rsidR="0037669A">
        <w:rPr>
          <w:rFonts w:ascii="Georgia" w:hAnsi="Georgia"/>
          <w:sz w:val="19"/>
          <w:szCs w:val="19"/>
        </w:rPr>
        <w:t>:</w:t>
      </w:r>
    </w:p>
    <w:p w14:paraId="71C6D75A" w14:textId="352D0857" w:rsidR="0037669A" w:rsidRDefault="009011DF" w:rsidP="00AD7CED">
      <w:pPr>
        <w:pStyle w:val="gray"/>
        <w:numPr>
          <w:ilvl w:val="0"/>
          <w:numId w:val="18"/>
        </w:numPr>
        <w:tabs>
          <w:tab w:val="left" w:pos="5448"/>
          <w:tab w:val="left" w:pos="7526"/>
        </w:tabs>
        <w:spacing w:before="240" w:after="120" w:line="280" w:lineRule="atLeast"/>
        <w:ind w:right="272"/>
        <w:rPr>
          <w:rFonts w:ascii="Georgia" w:hAnsi="Georgia"/>
          <w:sz w:val="19"/>
          <w:szCs w:val="19"/>
        </w:rPr>
      </w:pPr>
      <w:r w:rsidRPr="009011DF">
        <w:rPr>
          <w:rFonts w:ascii="Georgia" w:hAnsi="Georgia"/>
          <w:sz w:val="19"/>
          <w:szCs w:val="19"/>
        </w:rPr>
        <w:t xml:space="preserve">provide a mandate </w:t>
      </w:r>
      <w:r w:rsidR="00003C86">
        <w:rPr>
          <w:rFonts w:ascii="Georgia" w:hAnsi="Georgia"/>
          <w:sz w:val="19"/>
          <w:szCs w:val="19"/>
        </w:rPr>
        <w:t xml:space="preserve">to </w:t>
      </w:r>
      <w:r w:rsidRPr="009011DF">
        <w:rPr>
          <w:rFonts w:ascii="Georgia" w:hAnsi="Georgia"/>
          <w:sz w:val="19"/>
          <w:szCs w:val="19"/>
        </w:rPr>
        <w:t>improve management of oceanic fisheries, particularly relating to issues of transparency and accountability and sustainable coastal fisheries management</w:t>
      </w:r>
    </w:p>
    <w:p w14:paraId="5E11DE47" w14:textId="1BA5C41B" w:rsidR="0037669A" w:rsidRDefault="009011DF" w:rsidP="00AD7CED">
      <w:pPr>
        <w:pStyle w:val="gray"/>
        <w:numPr>
          <w:ilvl w:val="0"/>
          <w:numId w:val="18"/>
        </w:numPr>
        <w:tabs>
          <w:tab w:val="left" w:pos="5448"/>
          <w:tab w:val="left" w:pos="7526"/>
        </w:tabs>
        <w:spacing w:before="240" w:after="120" w:line="280" w:lineRule="atLeast"/>
        <w:ind w:right="272"/>
        <w:rPr>
          <w:rFonts w:ascii="Georgia" w:hAnsi="Georgia"/>
          <w:sz w:val="19"/>
          <w:szCs w:val="19"/>
        </w:rPr>
      </w:pPr>
      <w:r w:rsidRPr="009011DF">
        <w:rPr>
          <w:rFonts w:ascii="Georgia" w:hAnsi="Georgia"/>
          <w:sz w:val="19"/>
          <w:szCs w:val="19"/>
        </w:rPr>
        <w:t>build demand for better governance in the fisheries sector</w:t>
      </w:r>
    </w:p>
    <w:p w14:paraId="1BBE4EB9" w14:textId="3F4DEA19" w:rsidR="00E37508" w:rsidRDefault="009011DF" w:rsidP="00AD7CED">
      <w:pPr>
        <w:pStyle w:val="gray"/>
        <w:numPr>
          <w:ilvl w:val="0"/>
          <w:numId w:val="18"/>
        </w:numPr>
        <w:tabs>
          <w:tab w:val="left" w:pos="5448"/>
          <w:tab w:val="left" w:pos="7526"/>
        </w:tabs>
        <w:spacing w:before="240" w:after="120" w:line="280" w:lineRule="atLeast"/>
        <w:ind w:right="272"/>
        <w:rPr>
          <w:rFonts w:ascii="Georgia" w:hAnsi="Georgia"/>
          <w:sz w:val="19"/>
          <w:szCs w:val="19"/>
        </w:rPr>
      </w:pPr>
      <w:r w:rsidRPr="009011DF">
        <w:rPr>
          <w:rFonts w:ascii="Georgia" w:hAnsi="Georgia"/>
          <w:sz w:val="19"/>
          <w:szCs w:val="19"/>
        </w:rPr>
        <w:t xml:space="preserve">link fisheries to economic reform priorities and donor resources through the Kiribati </w:t>
      </w:r>
      <w:r w:rsidR="00E37508">
        <w:rPr>
          <w:rFonts w:ascii="Georgia" w:hAnsi="Georgia"/>
          <w:sz w:val="19"/>
          <w:szCs w:val="19"/>
        </w:rPr>
        <w:t>economic reform plan</w:t>
      </w:r>
    </w:p>
    <w:p w14:paraId="085B8CB0" w14:textId="2B1A90F5" w:rsidR="009011DF" w:rsidRPr="009011DF" w:rsidRDefault="009011DF" w:rsidP="00A57DB8">
      <w:pPr>
        <w:pStyle w:val="gray"/>
        <w:numPr>
          <w:ilvl w:val="0"/>
          <w:numId w:val="18"/>
        </w:numPr>
        <w:tabs>
          <w:tab w:val="left" w:pos="5448"/>
          <w:tab w:val="left" w:pos="7526"/>
        </w:tabs>
        <w:spacing w:before="240" w:after="120" w:line="280" w:lineRule="atLeast"/>
        <w:ind w:right="272"/>
        <w:rPr>
          <w:rFonts w:ascii="Georgia" w:hAnsi="Georgia"/>
          <w:sz w:val="19"/>
          <w:szCs w:val="19"/>
        </w:rPr>
      </w:pPr>
      <w:proofErr w:type="gramStart"/>
      <w:r w:rsidRPr="009011DF">
        <w:rPr>
          <w:rFonts w:ascii="Georgia" w:hAnsi="Georgia"/>
          <w:sz w:val="19"/>
          <w:szCs w:val="19"/>
        </w:rPr>
        <w:t>encourage</w:t>
      </w:r>
      <w:proofErr w:type="gramEnd"/>
      <w:r w:rsidRPr="009011DF">
        <w:rPr>
          <w:rFonts w:ascii="Georgia" w:hAnsi="Georgia"/>
          <w:sz w:val="19"/>
          <w:szCs w:val="19"/>
        </w:rPr>
        <w:t xml:space="preserve"> greater collaboration and coordination amongst donors and regional partners to provide more technical and financial assistance against priorities identified in the Institutional Strengthening Strategy.</w:t>
      </w:r>
    </w:p>
    <w:p w14:paraId="3B30E021" w14:textId="77777777" w:rsidR="00B97810" w:rsidRDefault="00B97810" w:rsidP="009011DF">
      <w:pPr>
        <w:pStyle w:val="gray"/>
        <w:tabs>
          <w:tab w:val="left" w:pos="5448"/>
          <w:tab w:val="left" w:pos="7526"/>
        </w:tabs>
        <w:spacing w:before="240" w:after="120" w:line="280" w:lineRule="atLeast"/>
        <w:ind w:left="0" w:right="272"/>
        <w:rPr>
          <w:rFonts w:ascii="Georgia" w:hAnsi="Georgia"/>
          <w:sz w:val="19"/>
          <w:szCs w:val="19"/>
        </w:rPr>
      </w:pPr>
    </w:p>
    <w:p w14:paraId="5D132190" w14:textId="77777777" w:rsidR="00B97810" w:rsidRDefault="00B97810" w:rsidP="002F18A6">
      <w:pPr>
        <w:pStyle w:val="Heading2"/>
        <w:keepNext/>
        <w:tabs>
          <w:tab w:val="left" w:pos="1920"/>
        </w:tabs>
        <w:spacing w:before="0" w:after="120" w:line="320" w:lineRule="atLeast"/>
      </w:pPr>
      <w:bookmarkStart w:id="11" w:name="_Toc360732550"/>
      <w:r>
        <w:t>Support for other sectors</w:t>
      </w:r>
      <w:bookmarkEnd w:id="11"/>
      <w:r>
        <w:t xml:space="preserve"> </w:t>
      </w:r>
    </w:p>
    <w:p w14:paraId="41FB6768" w14:textId="3537D29C" w:rsidR="00B97810" w:rsidRDefault="00B97810" w:rsidP="002F18A6">
      <w:pPr>
        <w:pStyle w:val="BodyText"/>
        <w:rPr>
          <w:u w:val="single"/>
        </w:rPr>
      </w:pPr>
      <w:r>
        <w:rPr>
          <w:u w:val="single"/>
        </w:rPr>
        <w:t xml:space="preserve">Climate change adaption and </w:t>
      </w:r>
      <w:r w:rsidR="00B73F1E">
        <w:rPr>
          <w:u w:val="single"/>
        </w:rPr>
        <w:t xml:space="preserve">infrastructure </w:t>
      </w:r>
    </w:p>
    <w:p w14:paraId="64BACF4E" w14:textId="637CFE04" w:rsidR="00B97810" w:rsidRDefault="00B97810" w:rsidP="00B9050D">
      <w:pPr>
        <w:pStyle w:val="BodyText"/>
      </w:pPr>
      <w:r>
        <w:t xml:space="preserve">While not in </w:t>
      </w:r>
      <w:r w:rsidR="009011DF">
        <w:t>a priority outcome area</w:t>
      </w:r>
      <w:r>
        <w:t xml:space="preserve">, funding to </w:t>
      </w:r>
      <w:r w:rsidR="00B73F1E">
        <w:t xml:space="preserve">climate change </w:t>
      </w:r>
      <w:r>
        <w:t xml:space="preserve">and </w:t>
      </w:r>
      <w:r w:rsidR="00B73F1E">
        <w:t xml:space="preserve">infrastructure </w:t>
      </w:r>
      <w:r>
        <w:t xml:space="preserve">increased </w:t>
      </w:r>
      <w:r w:rsidR="00B73F1E">
        <w:t xml:space="preserve">significantly </w:t>
      </w:r>
      <w:r>
        <w:t>in 2011.</w:t>
      </w:r>
      <w:r w:rsidR="00E92460">
        <w:t xml:space="preserve"> </w:t>
      </w:r>
      <w:r>
        <w:t>In 2011</w:t>
      </w:r>
      <w:r w:rsidR="00B73F1E">
        <w:t>–</w:t>
      </w:r>
      <w:r>
        <w:t xml:space="preserve">12 </w:t>
      </w:r>
      <w:proofErr w:type="spellStart"/>
      <w:r>
        <w:t>AusAID</w:t>
      </w:r>
      <w:proofErr w:type="spellEnd"/>
      <w:r>
        <w:t xml:space="preserve"> contributed $9.2 million to these sectors representing some 33 per cent of our bilateral program.</w:t>
      </w:r>
      <w:r w:rsidR="00E92460">
        <w:t xml:space="preserve"> </w:t>
      </w:r>
    </w:p>
    <w:p w14:paraId="371094EC" w14:textId="1AA97B37" w:rsidR="00B73F1E" w:rsidRDefault="00B97810" w:rsidP="00B9050D">
      <w:pPr>
        <w:pStyle w:val="BodyText"/>
      </w:pPr>
      <w:r>
        <w:t>Our support to climate change adaptation is through funding</w:t>
      </w:r>
      <w:r w:rsidR="00B73F1E">
        <w:t xml:space="preserve"> to</w:t>
      </w:r>
      <w:r>
        <w:t xml:space="preserve"> the World Bank-led Kiribati Adaptation Program</w:t>
      </w:r>
      <w:r w:rsidR="00B73F1E">
        <w:t xml:space="preserve"> (KAP). </w:t>
      </w:r>
      <w:proofErr w:type="spellStart"/>
      <w:r>
        <w:t>AusAID</w:t>
      </w:r>
      <w:proofErr w:type="spellEnd"/>
      <w:r>
        <w:t xml:space="preserve"> supported KAP II from 2004</w:t>
      </w:r>
      <w:r w:rsidR="00B73F1E">
        <w:t>–</w:t>
      </w:r>
      <w:r>
        <w:t>05 to 2010</w:t>
      </w:r>
      <w:r w:rsidR="00B73F1E">
        <w:t>–</w:t>
      </w:r>
      <w:r>
        <w:t>11 and is now supporting KAP III</w:t>
      </w:r>
      <w:r w:rsidR="00B73F1E">
        <w:t>. Kiribati’s government</w:t>
      </w:r>
      <w:r>
        <w:t xml:space="preserve"> continues to express frustration with the slow progress of implementation (KAP II commitments and disbursements were well behind schedule) as well as World Bank decision-making processes</w:t>
      </w:r>
      <w:r w:rsidR="00A57DB8">
        <w:t>,</w:t>
      </w:r>
      <w:r>
        <w:t xml:space="preserve"> which it sees as challenging </w:t>
      </w:r>
      <w:r w:rsidR="00B73F1E">
        <w:t xml:space="preserve">the government’s </w:t>
      </w:r>
      <w:r>
        <w:t xml:space="preserve">leadership. </w:t>
      </w:r>
    </w:p>
    <w:p w14:paraId="5B56A7C6" w14:textId="0EB67D9F" w:rsidR="00B73F1E" w:rsidRDefault="00B73F1E" w:rsidP="00B9050D">
      <w:pPr>
        <w:pStyle w:val="BodyText"/>
      </w:pPr>
      <w:r>
        <w:t>T</w:t>
      </w:r>
      <w:r w:rsidR="00B97810">
        <w:t xml:space="preserve">here </w:t>
      </w:r>
      <w:r w:rsidR="00003C86">
        <w:t xml:space="preserve">have been </w:t>
      </w:r>
      <w:r>
        <w:t xml:space="preserve">a number of </w:t>
      </w:r>
      <w:r w:rsidR="00B97810">
        <w:t xml:space="preserve">contributing factors towards KAP II’s unsatisfactory progress: </w:t>
      </w:r>
    </w:p>
    <w:p w14:paraId="36BD981E" w14:textId="6FB97186" w:rsidR="00B73F1E" w:rsidRDefault="00B97810" w:rsidP="00AD7CED">
      <w:pPr>
        <w:pStyle w:val="BodyText"/>
        <w:numPr>
          <w:ilvl w:val="0"/>
          <w:numId w:val="19"/>
        </w:numPr>
      </w:pPr>
      <w:r>
        <w:t>the lack of resourcing, direction and coordination from the Office of the President</w:t>
      </w:r>
      <w:r w:rsidR="00B73F1E">
        <w:t>,</w:t>
      </w:r>
      <w:r>
        <w:t xml:space="preserve"> where policy for climate change resides</w:t>
      </w:r>
    </w:p>
    <w:p w14:paraId="227D03A6" w14:textId="3845269A" w:rsidR="00B73F1E" w:rsidRDefault="00B97810" w:rsidP="00AD7CED">
      <w:pPr>
        <w:pStyle w:val="BodyText"/>
        <w:numPr>
          <w:ilvl w:val="0"/>
          <w:numId w:val="19"/>
        </w:numPr>
      </w:pPr>
      <w:r w:rsidRPr="00B9050D">
        <w:t xml:space="preserve">complex project design including a large number of individual contracts that </w:t>
      </w:r>
      <w:r>
        <w:t xml:space="preserve">placed </w:t>
      </w:r>
      <w:r w:rsidRPr="00B9050D">
        <w:t>a heavy load on an inexperienced project team</w:t>
      </w:r>
    </w:p>
    <w:p w14:paraId="23B043D8" w14:textId="02467114" w:rsidR="00B73F1E" w:rsidRDefault="00B97810" w:rsidP="00AD7CED">
      <w:pPr>
        <w:pStyle w:val="BodyText"/>
        <w:numPr>
          <w:ilvl w:val="0"/>
          <w:numId w:val="19"/>
        </w:numPr>
      </w:pPr>
      <w:r w:rsidRPr="00B9050D">
        <w:t xml:space="preserve">failure </w:t>
      </w:r>
      <w:r w:rsidR="00B73F1E">
        <w:t>by</w:t>
      </w:r>
      <w:r w:rsidR="00B73F1E" w:rsidRPr="00B9050D">
        <w:t xml:space="preserve"> </w:t>
      </w:r>
      <w:r w:rsidR="00B73F1E">
        <w:t>the World Bank</w:t>
      </w:r>
      <w:r w:rsidR="00B73F1E" w:rsidRPr="00B9050D">
        <w:t xml:space="preserve"> </w:t>
      </w:r>
      <w:r w:rsidRPr="00B9050D">
        <w:t xml:space="preserve">to </w:t>
      </w:r>
      <w:r>
        <w:t xml:space="preserve">adequately support project implementation </w:t>
      </w:r>
    </w:p>
    <w:p w14:paraId="6DAFCAF6" w14:textId="29740257" w:rsidR="00B97810" w:rsidRDefault="00B73F1E" w:rsidP="00AD7CED">
      <w:pPr>
        <w:pStyle w:val="BodyText"/>
        <w:numPr>
          <w:ilvl w:val="0"/>
          <w:numId w:val="19"/>
        </w:numPr>
      </w:pPr>
      <w:r>
        <w:t xml:space="preserve">an </w:t>
      </w:r>
      <w:r w:rsidR="00B97810">
        <w:t>over</w:t>
      </w:r>
      <w:r>
        <w:t xml:space="preserve"> </w:t>
      </w:r>
      <w:r w:rsidR="00B97810">
        <w:t xml:space="preserve">estimation by the </w:t>
      </w:r>
      <w:r w:rsidR="004F0540">
        <w:t>World B</w:t>
      </w:r>
      <w:r>
        <w:t xml:space="preserve">ank </w:t>
      </w:r>
      <w:r w:rsidR="00B97810">
        <w:t xml:space="preserve">of </w:t>
      </w:r>
      <w:r>
        <w:t xml:space="preserve">Kiribati’s </w:t>
      </w:r>
      <w:r w:rsidR="00B97810">
        <w:t xml:space="preserve">implementation capacity, particularly </w:t>
      </w:r>
      <w:r>
        <w:t xml:space="preserve">in </w:t>
      </w:r>
      <w:r w:rsidR="00B97810">
        <w:t xml:space="preserve">agencies such as Ministry of Public Works and Utilities and </w:t>
      </w:r>
      <w:r>
        <w:t xml:space="preserve">the </w:t>
      </w:r>
      <w:r w:rsidR="00B97810">
        <w:t xml:space="preserve">Ministry of Environment, Lands </w:t>
      </w:r>
      <w:r>
        <w:t xml:space="preserve">and </w:t>
      </w:r>
      <w:r w:rsidR="00B97810">
        <w:t>Agricultural Development.</w:t>
      </w:r>
    </w:p>
    <w:p w14:paraId="0C0A213A" w14:textId="4C8F029D" w:rsidR="00CB328F" w:rsidRPr="00CB328F" w:rsidRDefault="00CB328F" w:rsidP="00CB328F">
      <w:pPr>
        <w:pStyle w:val="BodyText"/>
      </w:pPr>
      <w:r w:rsidRPr="00CB328F">
        <w:t>Despite the difficulties associated with KAP II implementation, several important outcomes will help Kiribati reduce the detrimental impacts of climate change on the fragile atoll ecosystem</w:t>
      </w:r>
      <w:r w:rsidR="00B73F1E">
        <w:t>. These include</w:t>
      </w:r>
      <w:r w:rsidRPr="00CB328F">
        <w:t xml:space="preserve">: </w:t>
      </w:r>
    </w:p>
    <w:p w14:paraId="7BA96A3C" w14:textId="79C15BDA" w:rsidR="00CB328F" w:rsidRPr="00CB328F" w:rsidRDefault="006C0ED3" w:rsidP="00AD7CED">
      <w:pPr>
        <w:pStyle w:val="BodyText"/>
        <w:numPr>
          <w:ilvl w:val="0"/>
          <w:numId w:val="22"/>
        </w:numPr>
      </w:pPr>
      <w:r>
        <w:lastRenderedPageBreak/>
        <w:t>i</w:t>
      </w:r>
      <w:r w:rsidRPr="00CB328F">
        <w:t>ncreasi</w:t>
      </w:r>
      <w:r>
        <w:t>ng</w:t>
      </w:r>
      <w:r w:rsidR="00B73F1E" w:rsidRPr="00CB328F">
        <w:t xml:space="preserve"> </w:t>
      </w:r>
      <w:r w:rsidR="00B73F1E">
        <w:t>government</w:t>
      </w:r>
      <w:r w:rsidR="00B73F1E" w:rsidRPr="00CB328F">
        <w:t xml:space="preserve"> </w:t>
      </w:r>
      <w:r w:rsidR="00CB328F" w:rsidRPr="00CB328F">
        <w:t>capacity for climate risk assessments and adaptation planning in the coastal sector, data collection techniques for water resource assessment, and climate resilient construction techniques for coastal protection measures</w:t>
      </w:r>
    </w:p>
    <w:p w14:paraId="2D5D7A88" w14:textId="78FE7AFC" w:rsidR="00CB328F" w:rsidRPr="00CB328F" w:rsidRDefault="00CB328F" w:rsidP="00AD7CED">
      <w:pPr>
        <w:pStyle w:val="BodyText"/>
        <w:numPr>
          <w:ilvl w:val="0"/>
          <w:numId w:val="22"/>
        </w:numPr>
      </w:pPr>
      <w:r w:rsidRPr="00CB328F">
        <w:t>design</w:t>
      </w:r>
      <w:r w:rsidR="006468C5">
        <w:t>ing</w:t>
      </w:r>
      <w:r w:rsidRPr="00CB328F">
        <w:t xml:space="preserve"> and constructi</w:t>
      </w:r>
      <w:r w:rsidR="006468C5">
        <w:t>ng</w:t>
      </w:r>
      <w:r w:rsidRPr="00CB328F">
        <w:t xml:space="preserve"> </w:t>
      </w:r>
      <w:r w:rsidR="00B73F1E">
        <w:t>four</w:t>
      </w:r>
      <w:r w:rsidR="00B73F1E" w:rsidRPr="00CB328F">
        <w:t xml:space="preserve"> </w:t>
      </w:r>
      <w:r w:rsidRPr="00CB328F">
        <w:t xml:space="preserve">coastal protection works (seawalls) and </w:t>
      </w:r>
      <w:r w:rsidR="00B73F1E">
        <w:t>one</w:t>
      </w:r>
      <w:r w:rsidR="00B73F1E" w:rsidRPr="00CB328F">
        <w:t xml:space="preserve"> </w:t>
      </w:r>
      <w:r w:rsidRPr="00CB328F">
        <w:t>water infiltration gallery</w:t>
      </w:r>
    </w:p>
    <w:p w14:paraId="76327B42" w14:textId="45621F45" w:rsidR="00CB328F" w:rsidRPr="00CB328F" w:rsidRDefault="006468C5" w:rsidP="00A57DB8">
      <w:pPr>
        <w:pStyle w:val="BodyText"/>
        <w:numPr>
          <w:ilvl w:val="0"/>
          <w:numId w:val="22"/>
        </w:numPr>
      </w:pPr>
      <w:r>
        <w:t xml:space="preserve">developing </w:t>
      </w:r>
      <w:r w:rsidR="00CB328F" w:rsidRPr="00CB328F">
        <w:t xml:space="preserve">a National Water Policy and Strategy (including a </w:t>
      </w:r>
      <w:r w:rsidR="00B73F1E">
        <w:t>m</w:t>
      </w:r>
      <w:r w:rsidR="00B73F1E" w:rsidRPr="00CB328F">
        <w:t xml:space="preserve">aster </w:t>
      </w:r>
      <w:r w:rsidR="00B73F1E">
        <w:t>p</w:t>
      </w:r>
      <w:r w:rsidR="00B73F1E" w:rsidRPr="00CB328F">
        <w:t xml:space="preserve">lan </w:t>
      </w:r>
      <w:r w:rsidR="00CB328F" w:rsidRPr="00CB328F">
        <w:t xml:space="preserve">for South Tarawa) </w:t>
      </w:r>
      <w:r w:rsidR="00B73F1E">
        <w:t xml:space="preserve">which was </w:t>
      </w:r>
      <w:r w:rsidR="00CB328F" w:rsidRPr="00CB328F">
        <w:t xml:space="preserve">adopted </w:t>
      </w:r>
      <w:r w:rsidR="00B73F1E">
        <w:t xml:space="preserve">and is </w:t>
      </w:r>
      <w:r w:rsidR="00CB328F" w:rsidRPr="00CB328F">
        <w:t xml:space="preserve">now reflected in the </w:t>
      </w:r>
      <w:r w:rsidR="00B73F1E">
        <w:t>o</w:t>
      </w:r>
      <w:r w:rsidR="00B73F1E" w:rsidRPr="00CB328F">
        <w:t xml:space="preserve">perational </w:t>
      </w:r>
      <w:r w:rsidR="00B73F1E">
        <w:t>p</w:t>
      </w:r>
      <w:r w:rsidR="00B73F1E" w:rsidRPr="00CB328F">
        <w:t xml:space="preserve">lans </w:t>
      </w:r>
      <w:r w:rsidR="00CB328F" w:rsidRPr="00CB328F">
        <w:t xml:space="preserve">of the </w:t>
      </w:r>
      <w:r w:rsidR="00B73F1E">
        <w:t>Ministry of Public Works and Utilities</w:t>
      </w:r>
      <w:r w:rsidR="00A57DB8">
        <w:t>,</w:t>
      </w:r>
      <w:r w:rsidR="00B73F1E">
        <w:t xml:space="preserve"> </w:t>
      </w:r>
      <w:r w:rsidR="00CB328F" w:rsidRPr="00CB328F">
        <w:t>and Public Utilities Board</w:t>
      </w:r>
    </w:p>
    <w:p w14:paraId="09AF9A9A" w14:textId="38CC4005" w:rsidR="00CB328F" w:rsidRPr="00CB328F" w:rsidRDefault="006468C5" w:rsidP="00AD7CED">
      <w:pPr>
        <w:pStyle w:val="BodyText"/>
        <w:numPr>
          <w:ilvl w:val="0"/>
          <w:numId w:val="22"/>
        </w:numPr>
      </w:pPr>
      <w:r>
        <w:t xml:space="preserve">producing </w:t>
      </w:r>
      <w:r w:rsidR="00CB328F" w:rsidRPr="00CB328F">
        <w:t xml:space="preserve">rainwater harvesting and storage guidelines and </w:t>
      </w:r>
      <w:r>
        <w:t xml:space="preserve">installing </w:t>
      </w:r>
      <w:r w:rsidR="00CB328F" w:rsidRPr="00CB328F">
        <w:t xml:space="preserve">facilities at </w:t>
      </w:r>
      <w:r>
        <w:t>four</w:t>
      </w:r>
      <w:r w:rsidRPr="00CB328F">
        <w:t xml:space="preserve"> </w:t>
      </w:r>
      <w:r w:rsidR="00CB328F" w:rsidRPr="00CB328F">
        <w:t>sites on public buildings</w:t>
      </w:r>
    </w:p>
    <w:p w14:paraId="30CAB0BB" w14:textId="4F018443" w:rsidR="00CB328F" w:rsidRPr="00CB328F" w:rsidRDefault="006468C5" w:rsidP="00AD7CED">
      <w:pPr>
        <w:pStyle w:val="BodyText"/>
        <w:numPr>
          <w:ilvl w:val="0"/>
          <w:numId w:val="22"/>
        </w:numPr>
      </w:pPr>
      <w:r>
        <w:t>undertaking w</w:t>
      </w:r>
      <w:r w:rsidRPr="00CB328F">
        <w:t xml:space="preserve">ater </w:t>
      </w:r>
      <w:r w:rsidR="00CB328F" w:rsidRPr="00CB328F">
        <w:t xml:space="preserve">resource assessments on South and North Tarawa, and </w:t>
      </w:r>
      <w:proofErr w:type="spellStart"/>
      <w:r w:rsidR="00CB328F" w:rsidRPr="00CB328F">
        <w:t>Tabiteuea</w:t>
      </w:r>
      <w:proofErr w:type="spellEnd"/>
      <w:r w:rsidR="00CB328F" w:rsidRPr="00CB328F">
        <w:t xml:space="preserve"> North and </w:t>
      </w:r>
      <w:proofErr w:type="spellStart"/>
      <w:r w:rsidR="00CB328F" w:rsidRPr="00CB328F">
        <w:t>Tamana</w:t>
      </w:r>
      <w:proofErr w:type="spellEnd"/>
      <w:r w:rsidR="00CB328F" w:rsidRPr="00CB328F">
        <w:t xml:space="preserve"> (</w:t>
      </w:r>
      <w:r>
        <w:t>o</w:t>
      </w:r>
      <w:r w:rsidRPr="00CB328F">
        <w:t xml:space="preserve">uter </w:t>
      </w:r>
      <w:r>
        <w:t>i</w:t>
      </w:r>
      <w:r w:rsidRPr="00CB328F">
        <w:t>slands</w:t>
      </w:r>
      <w:r w:rsidR="00CB328F" w:rsidRPr="00CB328F">
        <w:t xml:space="preserve">) </w:t>
      </w:r>
    </w:p>
    <w:p w14:paraId="6AEAC4E8" w14:textId="083BE392" w:rsidR="00CB328F" w:rsidRPr="00CB328F" w:rsidRDefault="00CB328F" w:rsidP="00AD7CED">
      <w:pPr>
        <w:pStyle w:val="BodyText"/>
        <w:numPr>
          <w:ilvl w:val="0"/>
          <w:numId w:val="22"/>
        </w:numPr>
      </w:pPr>
      <w:r w:rsidRPr="00CB328F">
        <w:t xml:space="preserve">monitoring boreholes installed in </w:t>
      </w:r>
      <w:r w:rsidR="006468C5">
        <w:t>nine</w:t>
      </w:r>
      <w:r w:rsidR="006468C5" w:rsidRPr="00CB328F">
        <w:t xml:space="preserve"> </w:t>
      </w:r>
      <w:r w:rsidRPr="00CB328F">
        <w:t>locations in North and South Tarawa</w:t>
      </w:r>
    </w:p>
    <w:p w14:paraId="4B90E35A" w14:textId="496D0E36" w:rsidR="00CB328F" w:rsidRPr="00CB328F" w:rsidRDefault="006468C5" w:rsidP="00AD7CED">
      <w:pPr>
        <w:pStyle w:val="BodyText"/>
        <w:numPr>
          <w:ilvl w:val="0"/>
          <w:numId w:val="22"/>
        </w:numPr>
      </w:pPr>
      <w:proofErr w:type="gramStart"/>
      <w:r>
        <w:t>undertaking</w:t>
      </w:r>
      <w:proofErr w:type="gramEnd"/>
      <w:r>
        <w:t xml:space="preserve"> m</w:t>
      </w:r>
      <w:r w:rsidRPr="00CB328F">
        <w:t xml:space="preserve">angrove </w:t>
      </w:r>
      <w:r w:rsidR="00CB328F" w:rsidRPr="00CB328F">
        <w:t xml:space="preserve">restoration on South Tarawa and </w:t>
      </w:r>
      <w:r>
        <w:t>four</w:t>
      </w:r>
      <w:r w:rsidRPr="00CB328F">
        <w:t xml:space="preserve"> </w:t>
      </w:r>
      <w:r>
        <w:t>o</w:t>
      </w:r>
      <w:r w:rsidR="00CB328F" w:rsidRPr="00CB328F">
        <w:t xml:space="preserve">uter </w:t>
      </w:r>
      <w:r>
        <w:t>i</w:t>
      </w:r>
      <w:r w:rsidR="00CB328F" w:rsidRPr="00CB328F">
        <w:t>slands</w:t>
      </w:r>
      <w:r>
        <w:t>.</w:t>
      </w:r>
    </w:p>
    <w:p w14:paraId="106EE344" w14:textId="77777777" w:rsidR="00CB328F" w:rsidRPr="00B9050D" w:rsidRDefault="00CB328F" w:rsidP="00B9050D">
      <w:pPr>
        <w:pStyle w:val="BodyText"/>
      </w:pPr>
    </w:p>
    <w:p w14:paraId="09116CF1" w14:textId="3D32B883" w:rsidR="00B97810" w:rsidRDefault="00B97810" w:rsidP="00AB5430">
      <w:pPr>
        <w:pStyle w:val="BodyText"/>
      </w:pPr>
      <w:r>
        <w:t>2011 was the first year that Kiribati received funding through the Pacific Region Infrastructure Facility.</w:t>
      </w:r>
      <w:r w:rsidR="00E92460">
        <w:t xml:space="preserve"> </w:t>
      </w:r>
      <w:r>
        <w:t xml:space="preserve">While there is no doubt about the benefit of these large infrastructure programs, the nature of the </w:t>
      </w:r>
      <w:r w:rsidR="006C0ED3">
        <w:t xml:space="preserve">facility’s </w:t>
      </w:r>
      <w:r>
        <w:t xml:space="preserve">funding has meant several large infrastructure projects </w:t>
      </w:r>
      <w:r w:rsidR="006C0ED3">
        <w:t xml:space="preserve">were </w:t>
      </w:r>
      <w:r>
        <w:t>designed and implemented simultaneously</w:t>
      </w:r>
      <w:r w:rsidR="006C0ED3">
        <w:t xml:space="preserve">, which </w:t>
      </w:r>
      <w:r>
        <w:t>requir</w:t>
      </w:r>
      <w:r w:rsidR="006C0ED3">
        <w:t xml:space="preserve">ed </w:t>
      </w:r>
      <w:r>
        <w:t>strong co</w:t>
      </w:r>
      <w:r w:rsidR="006C0ED3">
        <w:t>o</w:t>
      </w:r>
      <w:r>
        <w:t xml:space="preserve">rdination </w:t>
      </w:r>
      <w:r w:rsidR="006C0ED3">
        <w:t xml:space="preserve">by the </w:t>
      </w:r>
      <w:r w:rsidR="00AD7CED">
        <w:t>Government of Kiribati</w:t>
      </w:r>
      <w:r w:rsidR="006C0ED3">
        <w:t xml:space="preserve"> </w:t>
      </w:r>
      <w:r>
        <w:t xml:space="preserve">as well as </w:t>
      </w:r>
      <w:r w:rsidR="006C0ED3">
        <w:t xml:space="preserve">the </w:t>
      </w:r>
      <w:r>
        <w:t>W</w:t>
      </w:r>
      <w:r w:rsidR="006C0ED3">
        <w:t xml:space="preserve">orld </w:t>
      </w:r>
      <w:r>
        <w:t>B</w:t>
      </w:r>
      <w:r w:rsidR="006C0ED3">
        <w:t>ank</w:t>
      </w:r>
      <w:r>
        <w:t xml:space="preserve"> and A</w:t>
      </w:r>
      <w:r w:rsidR="006C0ED3">
        <w:t xml:space="preserve">sian </w:t>
      </w:r>
      <w:r>
        <w:t>D</w:t>
      </w:r>
      <w:r w:rsidR="006C0ED3">
        <w:t xml:space="preserve">evelopment </w:t>
      </w:r>
      <w:r>
        <w:t>B</w:t>
      </w:r>
      <w:r w:rsidR="006C0ED3">
        <w:t>ank</w:t>
      </w:r>
      <w:r>
        <w:t xml:space="preserve">. This is clearly overwhelming the </w:t>
      </w:r>
      <w:r w:rsidR="00A57DB8">
        <w:t>g</w:t>
      </w:r>
      <w:r w:rsidR="004F0540">
        <w:t xml:space="preserve">overnment’s </w:t>
      </w:r>
      <w:r>
        <w:t>implementation capacities.</w:t>
      </w:r>
    </w:p>
    <w:p w14:paraId="7C8D06BB" w14:textId="0C107494" w:rsidR="00B97810" w:rsidRDefault="00B97810" w:rsidP="002F18A6">
      <w:pPr>
        <w:pStyle w:val="BodyText"/>
      </w:pPr>
      <w:r>
        <w:t xml:space="preserve">In 2011, funding was provided </w:t>
      </w:r>
      <w:r w:rsidR="00A57DB8">
        <w:t>for</w:t>
      </w:r>
      <w:r>
        <w:t xml:space="preserve"> the W</w:t>
      </w:r>
      <w:r w:rsidR="009C3F8D">
        <w:t xml:space="preserve">orld </w:t>
      </w:r>
      <w:r>
        <w:t>B</w:t>
      </w:r>
      <w:r w:rsidR="009C3F8D">
        <w:t>ank</w:t>
      </w:r>
      <w:r>
        <w:t xml:space="preserve"> Assistance on Telecoms Policy and Regulations Project</w:t>
      </w:r>
      <w:r w:rsidR="009C3F8D">
        <w:t xml:space="preserve"> (ICT)</w:t>
      </w:r>
      <w:r>
        <w:t>, the A</w:t>
      </w:r>
      <w:r w:rsidR="009C3F8D">
        <w:t xml:space="preserve">sian </w:t>
      </w:r>
      <w:r>
        <w:t>D</w:t>
      </w:r>
      <w:r w:rsidR="009C3F8D">
        <w:t xml:space="preserve">evelopment </w:t>
      </w:r>
      <w:r>
        <w:t>B</w:t>
      </w:r>
      <w:r w:rsidR="009C3F8D">
        <w:t>ank</w:t>
      </w:r>
      <w:r>
        <w:t>/W</w:t>
      </w:r>
      <w:r w:rsidR="009C3F8D">
        <w:t xml:space="preserve">orld </w:t>
      </w:r>
      <w:r>
        <w:t>B</w:t>
      </w:r>
      <w:r w:rsidR="009C3F8D">
        <w:t>ank</w:t>
      </w:r>
      <w:r>
        <w:t xml:space="preserve"> Road Rehabilitation Project and the A</w:t>
      </w:r>
      <w:r w:rsidR="009C3F8D">
        <w:t xml:space="preserve">sian </w:t>
      </w:r>
      <w:r>
        <w:t>D</w:t>
      </w:r>
      <w:r w:rsidR="009C3F8D">
        <w:t xml:space="preserve">evelopment </w:t>
      </w:r>
      <w:r>
        <w:t>B</w:t>
      </w:r>
      <w:r w:rsidR="009C3F8D">
        <w:t>ank</w:t>
      </w:r>
      <w:r>
        <w:t xml:space="preserve"> South Tarawa Sanitation Improvement Project.</w:t>
      </w:r>
      <w:r w:rsidR="00E92460">
        <w:t xml:space="preserve"> </w:t>
      </w:r>
      <w:r>
        <w:t xml:space="preserve">The ICT project </w:t>
      </w:r>
      <w:r w:rsidR="002A28CD">
        <w:t>achieved positive</w:t>
      </w:r>
      <w:r>
        <w:t xml:space="preserve"> results in preparing the legislative environment for reform and forecasts </w:t>
      </w:r>
      <w:r w:rsidR="002A28CD">
        <w:t xml:space="preserve">are for </w:t>
      </w:r>
      <w:r>
        <w:t>a possible opening of the telecommunications market as early as 2014.</w:t>
      </w:r>
      <w:r w:rsidR="00E92460">
        <w:t xml:space="preserve"> </w:t>
      </w:r>
      <w:r>
        <w:t>The Road Rehabilitation Project is well behind schedule.</w:t>
      </w:r>
      <w:r w:rsidR="00E92460">
        <w:t xml:space="preserve"> </w:t>
      </w:r>
      <w:r>
        <w:t>Challenges remain in coordinating the management systems of all of the key interlocutors resulting in delays in implementation.</w:t>
      </w:r>
      <w:r w:rsidR="00E92460">
        <w:t xml:space="preserve"> </w:t>
      </w:r>
      <w:r>
        <w:t>Funding for the South Tarawa Sanitation Improvement Project was provided at the end of 2011 and inception work began in 2012.</w:t>
      </w:r>
      <w:r w:rsidR="00E92460">
        <w:t xml:space="preserve"> </w:t>
      </w:r>
      <w:r>
        <w:t>This new sanitation program will be crucial to addressing the concerns around high population density and lack of sanitation options in South Tarawa.</w:t>
      </w:r>
      <w:r w:rsidR="00E92460">
        <w:t xml:space="preserve"> </w:t>
      </w:r>
      <w:r>
        <w:t>Associated work through KAPIII on improving ground water capture should help address this critical situation.</w:t>
      </w:r>
    </w:p>
    <w:p w14:paraId="49482214" w14:textId="669550A7" w:rsidR="00B97810" w:rsidRDefault="00A57DB8" w:rsidP="00B9050D">
      <w:pPr>
        <w:pStyle w:val="BodyText"/>
      </w:pPr>
      <w:r w:rsidRPr="00A57DB8">
        <w:rPr>
          <w:lang w:val="en-US"/>
        </w:rPr>
        <w:t>The management of both the climate change and infrastructure projects uses a significant amount of Post’s resources.</w:t>
      </w:r>
      <w:r>
        <w:rPr>
          <w:lang w:val="en-US"/>
        </w:rPr>
        <w:t xml:space="preserve"> </w:t>
      </w:r>
      <w:proofErr w:type="spellStart"/>
      <w:r w:rsidR="00B97810">
        <w:t>AusAID’s</w:t>
      </w:r>
      <w:proofErr w:type="spellEnd"/>
      <w:r w:rsidR="00B97810">
        <w:t xml:space="preserve"> comparative advantage</w:t>
      </w:r>
      <w:r w:rsidR="002A28CD">
        <w:t>—</w:t>
      </w:r>
      <w:r w:rsidR="00B97810">
        <w:t>its permanent office in Kiribati, its relationships with key counterparts and strong understanding of the context</w:t>
      </w:r>
      <w:r w:rsidR="002A28CD">
        <w:t>—</w:t>
      </w:r>
      <w:r w:rsidR="00B97810">
        <w:t xml:space="preserve">means that </w:t>
      </w:r>
      <w:r w:rsidR="002A28CD">
        <w:t xml:space="preserve">Kiribati </w:t>
      </w:r>
      <w:r w:rsidR="00B97810">
        <w:t>looks to Post to fill the gap in that misalignment.</w:t>
      </w:r>
      <w:r w:rsidR="00E92460">
        <w:t xml:space="preserve"> </w:t>
      </w:r>
      <w:r w:rsidR="00B97810">
        <w:t xml:space="preserve">However, Post is not resourced to engage in policy dialogue, coordination, management and monitoring </w:t>
      </w:r>
      <w:r>
        <w:t>for</w:t>
      </w:r>
      <w:r w:rsidR="00B97810">
        <w:t xml:space="preserve"> these projects. It is hoped that the recent establishment of the new World Bank/A</w:t>
      </w:r>
      <w:r w:rsidR="002A28CD">
        <w:t xml:space="preserve">sian </w:t>
      </w:r>
      <w:r w:rsidR="00B97810">
        <w:t>D</w:t>
      </w:r>
      <w:r w:rsidR="002A28CD">
        <w:t xml:space="preserve">evelopment </w:t>
      </w:r>
      <w:r w:rsidR="00B97810">
        <w:t>B</w:t>
      </w:r>
      <w:r w:rsidR="002A28CD">
        <w:t>ank</w:t>
      </w:r>
      <w:r w:rsidR="00B97810">
        <w:t xml:space="preserve"> </w:t>
      </w:r>
      <w:r>
        <w:t>l</w:t>
      </w:r>
      <w:r w:rsidR="00B97810">
        <w:t xml:space="preserve">iaison </w:t>
      </w:r>
      <w:r>
        <w:t>o</w:t>
      </w:r>
      <w:r w:rsidR="00B97810">
        <w:t xml:space="preserve">ffice in Kiribati will improve coordination and responsiveness. However, there remains a real risk that these programs will not obtain the desired outcomes if ownership, leadership and coordination do not come from </w:t>
      </w:r>
      <w:r w:rsidR="002A28CD">
        <w:t>Kiribati</w:t>
      </w:r>
      <w:r w:rsidR="00B97810">
        <w:t>.</w:t>
      </w:r>
    </w:p>
    <w:p w14:paraId="6F5033B4" w14:textId="0944081D" w:rsidR="00B97810" w:rsidRDefault="00B97810" w:rsidP="00B9050D">
      <w:pPr>
        <w:pStyle w:val="BodyText"/>
      </w:pPr>
      <w:r>
        <w:t xml:space="preserve">The rate of increase in funding </w:t>
      </w:r>
      <w:r w:rsidR="000B6093">
        <w:t>to infrastructure</w:t>
      </w:r>
      <w:r w:rsidR="002A28CD">
        <w:t>,</w:t>
      </w:r>
      <w:r>
        <w:t xml:space="preserve"> as well </w:t>
      </w:r>
      <w:r w:rsidR="000B6093">
        <w:t>as the importance of the sector</w:t>
      </w:r>
      <w:r w:rsidR="002A28CD">
        <w:t>,</w:t>
      </w:r>
      <w:r>
        <w:t xml:space="preserve"> indicate</w:t>
      </w:r>
      <w:r w:rsidR="00003C86">
        <w:t>s</w:t>
      </w:r>
      <w:r>
        <w:t xml:space="preserve"> that this should become an additional </w:t>
      </w:r>
      <w:r w:rsidR="002A28CD">
        <w:t xml:space="preserve">priority outcome </w:t>
      </w:r>
      <w:r>
        <w:t>under the Partnership for Development.</w:t>
      </w:r>
      <w:r w:rsidR="00E92460">
        <w:t xml:space="preserve"> </w:t>
      </w:r>
      <w:r>
        <w:t xml:space="preserve">This will be discussed </w:t>
      </w:r>
      <w:r w:rsidR="00003C86">
        <w:t xml:space="preserve">at the </w:t>
      </w:r>
      <w:r>
        <w:t xml:space="preserve">2012 </w:t>
      </w:r>
      <w:r w:rsidR="000B6093">
        <w:t>P</w:t>
      </w:r>
      <w:r w:rsidR="002A28CD">
        <w:t xml:space="preserve">artnership </w:t>
      </w:r>
      <w:r w:rsidR="000B6093">
        <w:t>T</w:t>
      </w:r>
      <w:r>
        <w:t>alks</w:t>
      </w:r>
      <w:r w:rsidR="00A57DB8">
        <w:t>.</w:t>
      </w:r>
    </w:p>
    <w:p w14:paraId="0BDFEB5A" w14:textId="1C4D0B68" w:rsidR="00B97810" w:rsidRDefault="00B97810" w:rsidP="002F18A6">
      <w:pPr>
        <w:pStyle w:val="BodyText"/>
        <w:rPr>
          <w:u w:val="single"/>
        </w:rPr>
      </w:pPr>
      <w:r>
        <w:rPr>
          <w:u w:val="single"/>
        </w:rPr>
        <w:lastRenderedPageBreak/>
        <w:t>Health</w:t>
      </w:r>
    </w:p>
    <w:p w14:paraId="28549491" w14:textId="705EA880" w:rsidR="00B97810" w:rsidRDefault="00B97810" w:rsidP="00B9050D">
      <w:pPr>
        <w:pStyle w:val="BodyText"/>
      </w:pPr>
      <w:r>
        <w:t>Australia’s funding of health programs in 2011 was mainly through regional and international institutions, including UNICEF, the Secretariat of the Pacific Community and the International Planned Parenthood Foundation.</w:t>
      </w:r>
      <w:r w:rsidR="00E92460">
        <w:t xml:space="preserve"> </w:t>
      </w:r>
      <w:r>
        <w:t xml:space="preserve">Funding through the </w:t>
      </w:r>
      <w:r w:rsidR="002A28CD">
        <w:t xml:space="preserve">secretariat’s </w:t>
      </w:r>
      <w:r>
        <w:t>Tuberculosis Epidemic Control Program continues to help reduce cases from 375 in 2006 to 294 in 2010</w:t>
      </w:r>
      <w:r w:rsidR="002A28CD">
        <w:t>.</w:t>
      </w:r>
      <w:r>
        <w:rPr>
          <w:rStyle w:val="FootnoteReference"/>
          <w:szCs w:val="12"/>
        </w:rPr>
        <w:footnoteReference w:id="8"/>
      </w:r>
      <w:r w:rsidR="00E92460">
        <w:t xml:space="preserve"> </w:t>
      </w:r>
      <w:proofErr w:type="spellStart"/>
      <w:r>
        <w:t>AusAID</w:t>
      </w:r>
      <w:proofErr w:type="spellEnd"/>
      <w:r>
        <w:t xml:space="preserve"> funding to UNCIEF’s Pacific Immunization Programme has helped </w:t>
      </w:r>
      <w:r w:rsidR="00A57DB8">
        <w:t>make</w:t>
      </w:r>
      <w:r>
        <w:t xml:space="preserve"> substantial gains in immunisation coverage in Kiribati.</w:t>
      </w:r>
      <w:r w:rsidR="00E92460">
        <w:t xml:space="preserve"> </w:t>
      </w:r>
      <w:r>
        <w:t xml:space="preserve">From 2008 to 2011, </w:t>
      </w:r>
      <w:r w:rsidR="002A28CD">
        <w:t xml:space="preserve">polio immunisation </w:t>
      </w:r>
      <w:r>
        <w:t>coverage rose from 74</w:t>
      </w:r>
      <w:r w:rsidR="002A28CD">
        <w:t xml:space="preserve"> per cent </w:t>
      </w:r>
      <w:r>
        <w:t>to 95</w:t>
      </w:r>
      <w:r w:rsidR="002A28CD">
        <w:t xml:space="preserve"> per cent </w:t>
      </w:r>
      <w:r>
        <w:t xml:space="preserve">and </w:t>
      </w:r>
      <w:r w:rsidRPr="00000109">
        <w:t>DPT3</w:t>
      </w:r>
      <w:r>
        <w:rPr>
          <w:rStyle w:val="FootnoteReference"/>
        </w:rPr>
        <w:footnoteReference w:id="9"/>
      </w:r>
      <w:r>
        <w:t xml:space="preserve"> rose from 82</w:t>
      </w:r>
      <w:r w:rsidR="002A28CD">
        <w:t xml:space="preserve"> per cent </w:t>
      </w:r>
      <w:r>
        <w:t>to 99</w:t>
      </w:r>
      <w:r w:rsidR="002A28CD">
        <w:t xml:space="preserve"> per cent</w:t>
      </w:r>
      <w:r>
        <w:t>.</w:t>
      </w:r>
      <w:r w:rsidR="00E92460">
        <w:t xml:space="preserve"> </w:t>
      </w:r>
      <w:r>
        <w:t>While these are significant outcomes</w:t>
      </w:r>
      <w:r w:rsidR="006D7AC4">
        <w:t>,</w:t>
      </w:r>
      <w:r>
        <w:t xml:space="preserve"> there is a need to ensure that immunisation continues to provide consistent coverage of the population.</w:t>
      </w:r>
      <w:r w:rsidR="00E92460">
        <w:t xml:space="preserve"> </w:t>
      </w:r>
    </w:p>
    <w:p w14:paraId="4FD45358" w14:textId="3A4B49AC" w:rsidR="00CB328F" w:rsidRPr="00CB328F" w:rsidRDefault="00CB328F" w:rsidP="00B9050D">
      <w:pPr>
        <w:pStyle w:val="BodyText"/>
      </w:pPr>
      <w:r>
        <w:t xml:space="preserve">In 2011, negotiations with </w:t>
      </w:r>
      <w:r w:rsidR="00000109">
        <w:t xml:space="preserve">the World Health Organization </w:t>
      </w:r>
      <w:r>
        <w:t xml:space="preserve">continued in relation to designing support </w:t>
      </w:r>
      <w:r w:rsidR="006D7AC4">
        <w:t xml:space="preserve">for </w:t>
      </w:r>
      <w:r>
        <w:t>the Kiribati School of Nursing.</w:t>
      </w:r>
      <w:r w:rsidR="00E92460">
        <w:t xml:space="preserve"> </w:t>
      </w:r>
      <w:r w:rsidR="00000109">
        <w:t xml:space="preserve">To complement </w:t>
      </w:r>
      <w:r>
        <w:t xml:space="preserve">this work, two </w:t>
      </w:r>
      <w:proofErr w:type="spellStart"/>
      <w:r>
        <w:t>AusAID</w:t>
      </w:r>
      <w:proofErr w:type="spellEnd"/>
      <w:r>
        <w:t xml:space="preserve"> funded health infrastructure programs</w:t>
      </w:r>
      <w:r w:rsidR="00000109" w:rsidRPr="00000109">
        <w:t xml:space="preserve"> </w:t>
      </w:r>
      <w:r w:rsidR="00000109">
        <w:t>will begin—</w:t>
      </w:r>
      <w:r>
        <w:t xml:space="preserve">rehabilitation and refurbishment of </w:t>
      </w:r>
      <w:r w:rsidR="00000109">
        <w:t xml:space="preserve">the school </w:t>
      </w:r>
      <w:r>
        <w:t xml:space="preserve">and construction of the </w:t>
      </w:r>
      <w:proofErr w:type="spellStart"/>
      <w:r>
        <w:t>Betio</w:t>
      </w:r>
      <w:proofErr w:type="spellEnd"/>
      <w:r>
        <w:t xml:space="preserve"> Maternity Ward. </w:t>
      </w:r>
    </w:p>
    <w:p w14:paraId="1F8E3A8D" w14:textId="661448D4" w:rsidR="00B97810" w:rsidRDefault="00B97810" w:rsidP="002F18A6">
      <w:pPr>
        <w:pStyle w:val="BodyText"/>
      </w:pPr>
      <w:r>
        <w:t xml:space="preserve">The </w:t>
      </w:r>
      <w:r w:rsidR="00000109">
        <w:t xml:space="preserve">health sector </w:t>
      </w:r>
      <w:r>
        <w:t>in Kiribati remains with limited and fragmented donor support.</w:t>
      </w:r>
      <w:r w:rsidR="00E92460">
        <w:t xml:space="preserve"> </w:t>
      </w:r>
      <w:r>
        <w:t xml:space="preserve">In 2011, </w:t>
      </w:r>
      <w:r w:rsidR="00000109">
        <w:t xml:space="preserve">it </w:t>
      </w:r>
      <w:r>
        <w:t>received around $8</w:t>
      </w:r>
      <w:r w:rsidR="00000109">
        <w:t xml:space="preserve"> </w:t>
      </w:r>
      <w:r>
        <w:t>m</w:t>
      </w:r>
      <w:r w:rsidR="00000109">
        <w:t>illion</w:t>
      </w:r>
      <w:r>
        <w:t xml:space="preserve"> in </w:t>
      </w:r>
      <w:r w:rsidR="00A57DB8">
        <w:t>official development assistance</w:t>
      </w:r>
      <w:r>
        <w:t>.</w:t>
      </w:r>
      <w:r w:rsidR="00E92460">
        <w:t xml:space="preserve"> </w:t>
      </w:r>
      <w:r>
        <w:t xml:space="preserve">The development of the </w:t>
      </w:r>
      <w:r w:rsidR="00000109">
        <w:t xml:space="preserve">government’s </w:t>
      </w:r>
      <w:r>
        <w:t>2012</w:t>
      </w:r>
      <w:r w:rsidR="00000109">
        <w:t>–</w:t>
      </w:r>
      <w:r>
        <w:t xml:space="preserve">2015 Health Sector Strategy (alongside a Health Coordinating Committee made up of </w:t>
      </w:r>
      <w:r w:rsidR="00000109">
        <w:t xml:space="preserve">Kiribati </w:t>
      </w:r>
      <w:r>
        <w:t>and development partners) was to be the first step towards ensuring a coordinated approach to assistance</w:t>
      </w:r>
      <w:r w:rsidR="00000109">
        <w:t xml:space="preserve">, </w:t>
      </w:r>
      <w:r>
        <w:t xml:space="preserve">however after initial consultations and drafting a strategy (partly funded by </w:t>
      </w:r>
      <w:proofErr w:type="spellStart"/>
      <w:r>
        <w:t>AusAID</w:t>
      </w:r>
      <w:proofErr w:type="spellEnd"/>
      <w:r>
        <w:t xml:space="preserve"> and supported by </w:t>
      </w:r>
      <w:r w:rsidR="00000109">
        <w:t>the World Health Organization</w:t>
      </w:r>
      <w:r>
        <w:t xml:space="preserve">), this stalled. In 2012, </w:t>
      </w:r>
      <w:proofErr w:type="spellStart"/>
      <w:r>
        <w:t>AusAID</w:t>
      </w:r>
      <w:proofErr w:type="spellEnd"/>
      <w:r>
        <w:t xml:space="preserve"> will conduct further analysis on their role in </w:t>
      </w:r>
      <w:r w:rsidR="00000109">
        <w:t xml:space="preserve">health </w:t>
      </w:r>
      <w:r>
        <w:t xml:space="preserve">in Kiribati. </w:t>
      </w:r>
    </w:p>
    <w:p w14:paraId="2E68F60F" w14:textId="57D4C871" w:rsidR="00B97810" w:rsidRDefault="00B97810" w:rsidP="002F18A6">
      <w:pPr>
        <w:pStyle w:val="BodyText"/>
        <w:rPr>
          <w:u w:val="single"/>
        </w:rPr>
      </w:pPr>
      <w:r w:rsidRPr="00DC5594">
        <w:rPr>
          <w:u w:val="single"/>
        </w:rPr>
        <w:t>Gender</w:t>
      </w:r>
    </w:p>
    <w:p w14:paraId="0BB47831" w14:textId="1CCA1C51" w:rsidR="00B97810" w:rsidRDefault="00B97810" w:rsidP="00792C5F">
      <w:pPr>
        <w:pStyle w:val="BodyText"/>
      </w:pPr>
      <w:r w:rsidRPr="00CB328F">
        <w:t xml:space="preserve">The Government of Kiribati, with </w:t>
      </w:r>
      <w:proofErr w:type="spellStart"/>
      <w:r w:rsidRPr="00CB328F">
        <w:t>AusAID</w:t>
      </w:r>
      <w:proofErr w:type="spellEnd"/>
      <w:r w:rsidRPr="00CB328F">
        <w:t xml:space="preserve"> support, developed</w:t>
      </w:r>
      <w:r w:rsidR="00E92460">
        <w:t xml:space="preserve"> </w:t>
      </w:r>
      <w:r w:rsidRPr="00CB328F">
        <w:t xml:space="preserve">a </w:t>
      </w:r>
      <w:r w:rsidR="00764EC7" w:rsidRPr="00CB328F">
        <w:t xml:space="preserve">national approach to eliminating sexual and gender based violence </w:t>
      </w:r>
      <w:r w:rsidR="00417DA1">
        <w:t xml:space="preserve">and a </w:t>
      </w:r>
      <w:r w:rsidR="00764EC7" w:rsidRPr="00CB328F">
        <w:t xml:space="preserve">policy and strategic plan </w:t>
      </w:r>
      <w:r w:rsidR="00417DA1">
        <w:t>were</w:t>
      </w:r>
      <w:r w:rsidRPr="00CB328F">
        <w:t xml:space="preserve"> endorsed by Cabinet in April 2011. Throughout the rest of the year, </w:t>
      </w:r>
      <w:proofErr w:type="spellStart"/>
      <w:r w:rsidRPr="00CB328F">
        <w:t>AusAID</w:t>
      </w:r>
      <w:proofErr w:type="spellEnd"/>
      <w:r w:rsidRPr="00CB328F">
        <w:t xml:space="preserve"> worked with the </w:t>
      </w:r>
      <w:r w:rsidR="00AD7CED">
        <w:t>Government of Kiribati</w:t>
      </w:r>
      <w:r w:rsidR="00764EC7" w:rsidRPr="00CB328F">
        <w:t xml:space="preserve"> </w:t>
      </w:r>
      <w:r w:rsidRPr="00CB328F">
        <w:t xml:space="preserve">and UNWOMEN to develop a process which will result in </w:t>
      </w:r>
      <w:r>
        <w:t xml:space="preserve">a comprehensive </w:t>
      </w:r>
      <w:r w:rsidR="00764EC7">
        <w:t>five-</w:t>
      </w:r>
      <w:r>
        <w:t xml:space="preserve">year work program to implement the </w:t>
      </w:r>
      <w:r w:rsidR="00764EC7">
        <w:t>a</w:t>
      </w:r>
      <w:r>
        <w:t xml:space="preserve">ction </w:t>
      </w:r>
      <w:r w:rsidR="00764EC7">
        <w:t xml:space="preserve">plan </w:t>
      </w:r>
      <w:r>
        <w:t xml:space="preserve">and build capacity within </w:t>
      </w:r>
      <w:r w:rsidR="00764EC7">
        <w:t xml:space="preserve">government </w:t>
      </w:r>
      <w:r>
        <w:t xml:space="preserve">and </w:t>
      </w:r>
      <w:r w:rsidR="00764EC7">
        <w:t xml:space="preserve">non-government agencies </w:t>
      </w:r>
      <w:r>
        <w:t xml:space="preserve">for its implementation. </w:t>
      </w:r>
      <w:r w:rsidRPr="00CB328F">
        <w:t>The program will strengthen the legal frameworks, the social welfare support services</w:t>
      </w:r>
      <w:r w:rsidR="00417DA1">
        <w:t>,</w:t>
      </w:r>
      <w:r w:rsidRPr="00CB328F">
        <w:t xml:space="preserve"> and institutional and community capacity to deal with victims of violence. </w:t>
      </w:r>
      <w:r w:rsidR="00764EC7">
        <w:t>It</w:t>
      </w:r>
      <w:r w:rsidR="00764EC7" w:rsidRPr="00C22926">
        <w:t xml:space="preserve"> </w:t>
      </w:r>
      <w:r>
        <w:t>will respond</w:t>
      </w:r>
      <w:r w:rsidRPr="00C22926">
        <w:t xml:space="preserve"> to demand from </w:t>
      </w:r>
      <w:r w:rsidR="00AD7CED">
        <w:t>g</w:t>
      </w:r>
      <w:r w:rsidR="00764EC7" w:rsidRPr="00C22926">
        <w:t>overnment</w:t>
      </w:r>
      <w:r w:rsidR="00764EC7">
        <w:t xml:space="preserve"> </w:t>
      </w:r>
      <w:r w:rsidRPr="00C22926">
        <w:t>and civil society to bring about lasting change</w:t>
      </w:r>
      <w:r>
        <w:t xml:space="preserve"> to progress gender equality and empowerment of women in ways that will </w:t>
      </w:r>
      <w:r w:rsidRPr="00C22926">
        <w:t xml:space="preserve">benefit all </w:t>
      </w:r>
      <w:r w:rsidR="00764EC7">
        <w:t xml:space="preserve">of the country’s </w:t>
      </w:r>
      <w:r w:rsidRPr="00C22926">
        <w:t xml:space="preserve">citizens, families and communities. </w:t>
      </w:r>
    </w:p>
    <w:p w14:paraId="2573A201" w14:textId="10AD0F1E" w:rsidR="00B97810" w:rsidRDefault="00B97810" w:rsidP="002F18A6">
      <w:pPr>
        <w:pStyle w:val="BodyText"/>
        <w:rPr>
          <w:sz w:val="20"/>
          <w:szCs w:val="20"/>
          <w:u w:val="single"/>
        </w:rPr>
      </w:pPr>
      <w:r>
        <w:rPr>
          <w:sz w:val="20"/>
          <w:szCs w:val="20"/>
          <w:u w:val="single"/>
        </w:rPr>
        <w:t>Disability</w:t>
      </w:r>
    </w:p>
    <w:p w14:paraId="601ACEA9" w14:textId="7420A011" w:rsidR="00B97810" w:rsidRDefault="00B97810" w:rsidP="00313B40">
      <w:pPr>
        <w:pStyle w:val="gray"/>
        <w:tabs>
          <w:tab w:val="left" w:pos="5448"/>
          <w:tab w:val="left" w:pos="7526"/>
        </w:tabs>
        <w:spacing w:before="240" w:after="120" w:line="280" w:lineRule="atLeast"/>
        <w:ind w:left="0" w:right="272"/>
        <w:rPr>
          <w:rFonts w:ascii="Georgia" w:hAnsi="Georgia"/>
          <w:sz w:val="19"/>
          <w:szCs w:val="19"/>
        </w:rPr>
      </w:pPr>
      <w:proofErr w:type="spellStart"/>
      <w:r>
        <w:rPr>
          <w:rFonts w:ascii="Georgia" w:hAnsi="Georgia"/>
          <w:sz w:val="19"/>
          <w:szCs w:val="19"/>
        </w:rPr>
        <w:t>AusAID</w:t>
      </w:r>
      <w:proofErr w:type="spellEnd"/>
      <w:r>
        <w:rPr>
          <w:rFonts w:ascii="Georgia" w:hAnsi="Georgia"/>
          <w:sz w:val="19"/>
          <w:szCs w:val="19"/>
        </w:rPr>
        <w:t xml:space="preserve"> </w:t>
      </w:r>
      <w:r w:rsidR="00417DA1">
        <w:rPr>
          <w:rFonts w:ascii="Georgia" w:hAnsi="Georgia"/>
          <w:sz w:val="19"/>
          <w:szCs w:val="19"/>
        </w:rPr>
        <w:t xml:space="preserve">continues </w:t>
      </w:r>
      <w:r>
        <w:rPr>
          <w:rFonts w:ascii="Georgia" w:hAnsi="Georgia"/>
          <w:sz w:val="19"/>
          <w:szCs w:val="19"/>
        </w:rPr>
        <w:t>to support the School and Centre for Children with Special Needs.</w:t>
      </w:r>
      <w:r w:rsidR="00E92460">
        <w:rPr>
          <w:rFonts w:ascii="Georgia" w:hAnsi="Georgia"/>
          <w:sz w:val="19"/>
          <w:szCs w:val="19"/>
        </w:rPr>
        <w:t xml:space="preserve"> </w:t>
      </w:r>
      <w:r>
        <w:rPr>
          <w:rFonts w:ascii="Georgia" w:hAnsi="Georgia"/>
          <w:sz w:val="19"/>
          <w:szCs w:val="19"/>
        </w:rPr>
        <w:t xml:space="preserve">This </w:t>
      </w:r>
      <w:r w:rsidRPr="00047622">
        <w:rPr>
          <w:rFonts w:ascii="Georgia" w:hAnsi="Georgia"/>
          <w:sz w:val="19"/>
          <w:szCs w:val="19"/>
        </w:rPr>
        <w:t>is the only institution in Kiribati that provides for the needs of children</w:t>
      </w:r>
      <w:r w:rsidR="00764EC7">
        <w:rPr>
          <w:rFonts w:ascii="Georgia" w:hAnsi="Georgia"/>
          <w:sz w:val="19"/>
          <w:szCs w:val="19"/>
        </w:rPr>
        <w:t xml:space="preserve"> with disability</w:t>
      </w:r>
      <w:r w:rsidRPr="00047622">
        <w:rPr>
          <w:rFonts w:ascii="Georgia" w:hAnsi="Georgia"/>
          <w:sz w:val="19"/>
          <w:szCs w:val="19"/>
        </w:rPr>
        <w:t xml:space="preserve"> and their families.</w:t>
      </w:r>
      <w:r w:rsidR="00E92460">
        <w:rPr>
          <w:rFonts w:ascii="Georgia" w:hAnsi="Georgia"/>
          <w:sz w:val="19"/>
          <w:szCs w:val="19"/>
        </w:rPr>
        <w:t xml:space="preserve"> </w:t>
      </w:r>
      <w:r w:rsidRPr="00047622">
        <w:rPr>
          <w:rFonts w:ascii="Georgia" w:hAnsi="Georgia"/>
          <w:sz w:val="19"/>
          <w:szCs w:val="19"/>
        </w:rPr>
        <w:t>Australian funding has enabled the school to expand access to education from 80 children in 2010</w:t>
      </w:r>
      <w:r w:rsidR="00A57DB8">
        <w:rPr>
          <w:rFonts w:ascii="Georgia" w:hAnsi="Georgia"/>
          <w:sz w:val="19"/>
          <w:szCs w:val="19"/>
        </w:rPr>
        <w:t>,</w:t>
      </w:r>
      <w:r w:rsidRPr="00047622">
        <w:rPr>
          <w:rFonts w:ascii="Georgia" w:hAnsi="Georgia"/>
          <w:sz w:val="19"/>
          <w:szCs w:val="19"/>
        </w:rPr>
        <w:t xml:space="preserve"> to 101 in 2011.</w:t>
      </w:r>
      <w:r w:rsidR="00E92460">
        <w:rPr>
          <w:rFonts w:ascii="Georgia" w:hAnsi="Georgia"/>
          <w:sz w:val="19"/>
          <w:szCs w:val="19"/>
        </w:rPr>
        <w:t xml:space="preserve"> </w:t>
      </w:r>
      <w:r>
        <w:rPr>
          <w:rFonts w:ascii="Georgia" w:hAnsi="Georgia"/>
          <w:sz w:val="19"/>
          <w:szCs w:val="19"/>
        </w:rPr>
        <w:t xml:space="preserve">In 2012, the </w:t>
      </w:r>
      <w:r w:rsidR="00764EC7">
        <w:rPr>
          <w:rFonts w:ascii="Georgia" w:hAnsi="Georgia"/>
          <w:sz w:val="19"/>
          <w:szCs w:val="19"/>
        </w:rPr>
        <w:t xml:space="preserve">Ministry of Education </w:t>
      </w:r>
      <w:r>
        <w:rPr>
          <w:rFonts w:ascii="Georgia" w:hAnsi="Georgia"/>
          <w:sz w:val="19"/>
          <w:szCs w:val="19"/>
        </w:rPr>
        <w:t xml:space="preserve">is developing an inclusive education policy that will help to address access for children with </w:t>
      </w:r>
      <w:r w:rsidR="00764EC7">
        <w:rPr>
          <w:rFonts w:ascii="Georgia" w:hAnsi="Georgia"/>
          <w:sz w:val="19"/>
          <w:szCs w:val="19"/>
        </w:rPr>
        <w:t>disability</w:t>
      </w:r>
      <w:r>
        <w:rPr>
          <w:rFonts w:ascii="Georgia" w:hAnsi="Georgia"/>
          <w:sz w:val="19"/>
          <w:szCs w:val="19"/>
        </w:rPr>
        <w:t xml:space="preserve">, </w:t>
      </w:r>
      <w:r w:rsidR="00764EC7">
        <w:rPr>
          <w:rFonts w:ascii="Georgia" w:hAnsi="Georgia"/>
          <w:sz w:val="19"/>
          <w:szCs w:val="19"/>
        </w:rPr>
        <w:t xml:space="preserve">and </w:t>
      </w:r>
      <w:r>
        <w:rPr>
          <w:rFonts w:ascii="Georgia" w:hAnsi="Georgia"/>
          <w:sz w:val="19"/>
          <w:szCs w:val="19"/>
        </w:rPr>
        <w:t xml:space="preserve">also </w:t>
      </w:r>
      <w:r w:rsidR="00764EC7">
        <w:rPr>
          <w:rFonts w:ascii="Georgia" w:hAnsi="Georgia"/>
          <w:sz w:val="19"/>
          <w:szCs w:val="19"/>
        </w:rPr>
        <w:t xml:space="preserve">help </w:t>
      </w:r>
      <w:r>
        <w:rPr>
          <w:rFonts w:ascii="Georgia" w:hAnsi="Georgia"/>
          <w:sz w:val="19"/>
          <w:szCs w:val="19"/>
        </w:rPr>
        <w:t>create better linkages between the school and the formal education system.</w:t>
      </w:r>
    </w:p>
    <w:p w14:paraId="749786F0" w14:textId="77777777" w:rsidR="00A57DB8" w:rsidRDefault="00A57DB8">
      <w:pPr>
        <w:rPr>
          <w:rFonts w:ascii="Franklin Gothic Demi" w:hAnsi="Franklin Gothic Demi"/>
          <w:color w:val="AD495D"/>
          <w:kern w:val="28"/>
          <w:sz w:val="28"/>
          <w:szCs w:val="28"/>
        </w:rPr>
      </w:pPr>
      <w:r>
        <w:rPr>
          <w:rFonts w:ascii="Franklin Gothic Demi" w:hAnsi="Franklin Gothic Demi"/>
          <w:color w:val="AD495D"/>
          <w:kern w:val="28"/>
          <w:sz w:val="28"/>
          <w:szCs w:val="28"/>
        </w:rPr>
        <w:br w:type="page"/>
      </w:r>
    </w:p>
    <w:p w14:paraId="7F77227A" w14:textId="333ADF5B" w:rsidR="00B97810" w:rsidRPr="0067772C" w:rsidRDefault="00B97810" w:rsidP="001A3443">
      <w:pPr>
        <w:pStyle w:val="H1A"/>
      </w:pPr>
      <w:bookmarkStart w:id="12" w:name="_Toc360732551"/>
      <w:r>
        <w:lastRenderedPageBreak/>
        <w:t xml:space="preserve">Program </w:t>
      </w:r>
      <w:r w:rsidR="00764EC7">
        <w:t>quality</w:t>
      </w:r>
      <w:bookmarkEnd w:id="12"/>
    </w:p>
    <w:p w14:paraId="1872908B" w14:textId="77777777" w:rsidR="00B97810" w:rsidRPr="006F0F23" w:rsidRDefault="00B97810" w:rsidP="002F18A6">
      <w:pPr>
        <w:pStyle w:val="Caption"/>
        <w:spacing w:before="240"/>
      </w:pPr>
      <w:r w:rsidRPr="006F0F23">
        <w:t xml:space="preserve">Table </w:t>
      </w:r>
      <w:r>
        <w:t>3</w:t>
      </w:r>
      <w:r w:rsidRPr="006F0F23">
        <w:t xml:space="preserve">: </w:t>
      </w:r>
      <w:r>
        <w:t xml:space="preserve">2011 </w:t>
      </w:r>
      <w:r w:rsidRPr="006F0F23">
        <w:t xml:space="preserve">Quality at </w:t>
      </w:r>
      <w:r>
        <w:t>I</w:t>
      </w:r>
      <w:r w:rsidRPr="00250744">
        <w:t>mplementation</w:t>
      </w:r>
      <w:r>
        <w:t xml:space="preserve"> data</w:t>
      </w:r>
      <w:r>
        <w:rPr>
          <w:rStyle w:val="FootnoteReference"/>
          <w:szCs w:val="12"/>
        </w:rPr>
        <w:footnoteReference w:id="10"/>
      </w:r>
      <w:r>
        <w:t xml:space="preserve"> </w:t>
      </w:r>
    </w:p>
    <w:tbl>
      <w:tblPr>
        <w:tblStyle w:val="TableGrid"/>
        <w:tblW w:w="8613" w:type="dxa"/>
        <w:tblLayout w:type="fixed"/>
        <w:tblLook w:val="0000" w:firstRow="0" w:lastRow="0" w:firstColumn="0" w:lastColumn="0" w:noHBand="0" w:noVBand="0"/>
      </w:tblPr>
      <w:tblGrid>
        <w:gridCol w:w="3240"/>
        <w:gridCol w:w="1200"/>
        <w:gridCol w:w="480"/>
        <w:gridCol w:w="480"/>
        <w:gridCol w:w="480"/>
        <w:gridCol w:w="600"/>
        <w:gridCol w:w="480"/>
        <w:gridCol w:w="583"/>
        <w:gridCol w:w="535"/>
        <w:gridCol w:w="535"/>
      </w:tblGrid>
      <w:tr w:rsidR="00B97810" w:rsidRPr="00FD3D0A" w14:paraId="1F22ABDD" w14:textId="77777777" w:rsidTr="001A3443">
        <w:trPr>
          <w:trHeight w:val="1276"/>
          <w:tblHeader/>
        </w:trPr>
        <w:tc>
          <w:tcPr>
            <w:tcW w:w="3240" w:type="dxa"/>
          </w:tcPr>
          <w:p w14:paraId="7E1FDF76" w14:textId="77777777" w:rsidR="00B97810" w:rsidRDefault="00B97810" w:rsidP="009F4768">
            <w:pPr>
              <w:pStyle w:val="TableDataColumnHeading"/>
              <w:keepNext/>
              <w:jc w:val="left"/>
            </w:pPr>
            <w:r w:rsidRPr="006F0F23">
              <w:t xml:space="preserve">Quality at </w:t>
            </w:r>
            <w:r>
              <w:t>I</w:t>
            </w:r>
            <w:r w:rsidRPr="00250744">
              <w:t>mplementation</w:t>
            </w:r>
          </w:p>
          <w:p w14:paraId="27CCB033" w14:textId="77777777" w:rsidR="00B97810" w:rsidRPr="00FD3D0A" w:rsidRDefault="00B97810" w:rsidP="009F4768">
            <w:pPr>
              <w:pStyle w:val="TableDataColumnHeading"/>
              <w:keepNext/>
              <w:jc w:val="left"/>
            </w:pPr>
          </w:p>
        </w:tc>
        <w:tc>
          <w:tcPr>
            <w:tcW w:w="1200" w:type="dxa"/>
          </w:tcPr>
          <w:p w14:paraId="72905197" w14:textId="77777777" w:rsidR="00B97810" w:rsidRPr="00FD3D0A" w:rsidRDefault="00B97810" w:rsidP="009F4768">
            <w:pPr>
              <w:pStyle w:val="TableDataColumnHeading"/>
              <w:keepNext/>
              <w:jc w:val="center"/>
            </w:pPr>
            <w:r w:rsidRPr="00FD3D0A">
              <w:t>Financial approval</w:t>
            </w:r>
          </w:p>
        </w:tc>
        <w:tc>
          <w:tcPr>
            <w:tcW w:w="480" w:type="dxa"/>
            <w:textDirection w:val="btLr"/>
          </w:tcPr>
          <w:p w14:paraId="25970F7C" w14:textId="77777777" w:rsidR="00B97810" w:rsidRPr="00FD3D0A" w:rsidRDefault="00B97810" w:rsidP="009F4768">
            <w:pPr>
              <w:pStyle w:val="TableDataColumnHeading"/>
              <w:keepNext/>
              <w:spacing w:before="60" w:after="60" w:line="240" w:lineRule="auto"/>
              <w:jc w:val="center"/>
            </w:pPr>
            <w:r>
              <w:t>Relevance</w:t>
            </w:r>
          </w:p>
        </w:tc>
        <w:tc>
          <w:tcPr>
            <w:tcW w:w="480" w:type="dxa"/>
            <w:textDirection w:val="btLr"/>
          </w:tcPr>
          <w:p w14:paraId="2F39C4D1" w14:textId="77777777" w:rsidR="00B97810" w:rsidRPr="00FD3D0A" w:rsidRDefault="00B97810" w:rsidP="009F4768">
            <w:pPr>
              <w:pStyle w:val="TableDataColumnHeading"/>
              <w:keepNext/>
              <w:spacing w:before="60" w:after="60" w:line="240" w:lineRule="auto"/>
              <w:jc w:val="center"/>
            </w:pPr>
            <w:r>
              <w:t>Effectiveness</w:t>
            </w:r>
          </w:p>
        </w:tc>
        <w:tc>
          <w:tcPr>
            <w:tcW w:w="480" w:type="dxa"/>
            <w:textDirection w:val="btLr"/>
          </w:tcPr>
          <w:p w14:paraId="56404550" w14:textId="77777777" w:rsidR="00B97810" w:rsidRPr="00FD3D0A" w:rsidRDefault="00B97810" w:rsidP="009F4768">
            <w:pPr>
              <w:pStyle w:val="TableDataColumnHeading"/>
              <w:keepNext/>
              <w:spacing w:before="60" w:after="60" w:line="240" w:lineRule="auto"/>
              <w:jc w:val="center"/>
            </w:pPr>
            <w:r>
              <w:t>Efficiency</w:t>
            </w:r>
          </w:p>
        </w:tc>
        <w:tc>
          <w:tcPr>
            <w:tcW w:w="600" w:type="dxa"/>
            <w:textDirection w:val="btLr"/>
          </w:tcPr>
          <w:p w14:paraId="7AB00186" w14:textId="6EFFAF03" w:rsidR="00B97810" w:rsidRPr="00FD3D0A" w:rsidRDefault="00B97810">
            <w:pPr>
              <w:pStyle w:val="TableDataColumnHeading"/>
              <w:keepNext/>
              <w:spacing w:before="60" w:after="60" w:line="240" w:lineRule="auto"/>
              <w:jc w:val="center"/>
            </w:pPr>
            <w:r w:rsidRPr="00FD3D0A">
              <w:t xml:space="preserve">Monitoring &amp; </w:t>
            </w:r>
            <w:r w:rsidR="00764EC7">
              <w:t>e</w:t>
            </w:r>
            <w:r w:rsidR="00764EC7" w:rsidRPr="00FD3D0A">
              <w:t>valuation</w:t>
            </w:r>
          </w:p>
        </w:tc>
        <w:tc>
          <w:tcPr>
            <w:tcW w:w="480" w:type="dxa"/>
            <w:textDirection w:val="btLr"/>
          </w:tcPr>
          <w:p w14:paraId="4D376E5C" w14:textId="61EA0371" w:rsidR="00B97810" w:rsidRPr="00FD3D0A" w:rsidRDefault="00B97810" w:rsidP="009F4768">
            <w:pPr>
              <w:pStyle w:val="TableDataColumnHeading"/>
              <w:keepNext/>
              <w:spacing w:before="60" w:after="60" w:line="240" w:lineRule="auto"/>
              <w:jc w:val="center"/>
            </w:pPr>
            <w:r w:rsidRPr="00FD3D0A">
              <w:t>Sustainability</w:t>
            </w:r>
          </w:p>
        </w:tc>
        <w:tc>
          <w:tcPr>
            <w:tcW w:w="583" w:type="dxa"/>
            <w:textDirection w:val="btLr"/>
          </w:tcPr>
          <w:p w14:paraId="6291A2DA" w14:textId="699301E8" w:rsidR="00B97810" w:rsidRPr="00FD3D0A" w:rsidRDefault="00B97810">
            <w:pPr>
              <w:pStyle w:val="TableDataColumnHeading"/>
              <w:keepNext/>
              <w:spacing w:before="60" w:after="60" w:line="240" w:lineRule="auto"/>
              <w:jc w:val="center"/>
            </w:pPr>
            <w:r>
              <w:t xml:space="preserve">Gender </w:t>
            </w:r>
            <w:r w:rsidR="00764EC7">
              <w:t>equality</w:t>
            </w:r>
          </w:p>
        </w:tc>
        <w:tc>
          <w:tcPr>
            <w:tcW w:w="535" w:type="dxa"/>
            <w:textDirection w:val="btLr"/>
          </w:tcPr>
          <w:p w14:paraId="08216076" w14:textId="61A5DE3A" w:rsidR="00B97810" w:rsidRDefault="00B97810" w:rsidP="00A57DB8">
            <w:pPr>
              <w:pStyle w:val="TableDataColumnHeading"/>
              <w:keepNext/>
              <w:spacing w:before="60" w:after="60" w:line="240" w:lineRule="auto"/>
              <w:jc w:val="center"/>
            </w:pPr>
            <w:r>
              <w:t xml:space="preserve">2011 </w:t>
            </w:r>
            <w:r w:rsidR="00A57DB8">
              <w:t>a</w:t>
            </w:r>
            <w:r>
              <w:t>verage</w:t>
            </w:r>
          </w:p>
        </w:tc>
        <w:tc>
          <w:tcPr>
            <w:tcW w:w="535" w:type="dxa"/>
            <w:textDirection w:val="btLr"/>
          </w:tcPr>
          <w:p w14:paraId="037E4B7D" w14:textId="67B14007" w:rsidR="00B97810" w:rsidRDefault="00B97810" w:rsidP="00A57DB8">
            <w:pPr>
              <w:pStyle w:val="TableDataColumnHeading"/>
              <w:keepNext/>
              <w:spacing w:before="60" w:after="60" w:line="240" w:lineRule="auto"/>
              <w:jc w:val="center"/>
            </w:pPr>
            <w:r>
              <w:t xml:space="preserve">2010 </w:t>
            </w:r>
            <w:r w:rsidR="00A57DB8">
              <w:t>a</w:t>
            </w:r>
            <w:r>
              <w:t>verage</w:t>
            </w:r>
          </w:p>
        </w:tc>
      </w:tr>
      <w:tr w:rsidR="00B97810" w:rsidRPr="00FD3D0A" w14:paraId="58F732B1" w14:textId="77777777" w:rsidTr="00CB328F">
        <w:tc>
          <w:tcPr>
            <w:tcW w:w="3240" w:type="dxa"/>
          </w:tcPr>
          <w:p w14:paraId="102812A2" w14:textId="47BD04C9" w:rsidR="00B97810" w:rsidRPr="00887FD1" w:rsidRDefault="00B97810">
            <w:pPr>
              <w:pStyle w:val="TableTextEntries"/>
              <w:spacing w:line="240" w:lineRule="auto"/>
            </w:pPr>
            <w:r w:rsidRPr="00887FD1">
              <w:t xml:space="preserve">Outcome 1: Basic </w:t>
            </w:r>
            <w:r w:rsidR="00764EC7">
              <w:t>e</w:t>
            </w:r>
            <w:r w:rsidR="00764EC7" w:rsidRPr="00887FD1">
              <w:t>ducation</w:t>
            </w:r>
          </w:p>
        </w:tc>
        <w:tc>
          <w:tcPr>
            <w:tcW w:w="1200" w:type="dxa"/>
          </w:tcPr>
          <w:p w14:paraId="6C5F800E" w14:textId="77777777" w:rsidR="00B97810" w:rsidRPr="00887FD1" w:rsidRDefault="00B97810" w:rsidP="009F4768">
            <w:pPr>
              <w:pStyle w:val="TableTextEntries"/>
              <w:spacing w:line="240" w:lineRule="auto"/>
            </w:pPr>
            <w:r w:rsidRPr="00887FD1">
              <w:t>$10.5 million</w:t>
            </w:r>
          </w:p>
        </w:tc>
        <w:tc>
          <w:tcPr>
            <w:tcW w:w="480" w:type="dxa"/>
          </w:tcPr>
          <w:p w14:paraId="26C08390" w14:textId="77777777" w:rsidR="00B97810" w:rsidRPr="004F78AA" w:rsidRDefault="00B97810" w:rsidP="009F4768">
            <w:pPr>
              <w:pStyle w:val="TableDataEntries"/>
              <w:spacing w:before="60" w:after="60"/>
              <w:jc w:val="center"/>
            </w:pPr>
            <w:r w:rsidRPr="00DF1246">
              <w:rPr>
                <w:color w:val="99CC00"/>
                <w:sz w:val="18"/>
                <w:szCs w:val="18"/>
              </w:rPr>
              <w:sym w:font="Webdings" w:char="F067"/>
            </w:r>
            <w:r>
              <w:rPr>
                <w:color w:val="99CC00"/>
                <w:sz w:val="18"/>
                <w:szCs w:val="18"/>
              </w:rPr>
              <w:t>5</w:t>
            </w:r>
          </w:p>
        </w:tc>
        <w:tc>
          <w:tcPr>
            <w:tcW w:w="480" w:type="dxa"/>
          </w:tcPr>
          <w:p w14:paraId="4283E322" w14:textId="77777777" w:rsidR="00B97810" w:rsidRDefault="00B97810" w:rsidP="009F4768">
            <w:pPr>
              <w:pStyle w:val="TableDataEntries"/>
              <w:spacing w:before="60" w:after="60"/>
              <w:jc w:val="center"/>
              <w:rPr>
                <w:color w:val="FFCC00"/>
                <w:sz w:val="18"/>
                <w:szCs w:val="18"/>
              </w:rPr>
            </w:pPr>
            <w:r w:rsidRPr="00BE1B5C">
              <w:rPr>
                <w:color w:val="FFCC00"/>
                <w:sz w:val="18"/>
                <w:szCs w:val="18"/>
              </w:rPr>
              <w:sym w:font="Webdings" w:char="F067"/>
            </w:r>
          </w:p>
          <w:p w14:paraId="58AD758D" w14:textId="77777777" w:rsidR="00B97810" w:rsidRPr="004F78AA" w:rsidRDefault="00B97810" w:rsidP="009F4768">
            <w:pPr>
              <w:pStyle w:val="TableDataEntries"/>
              <w:spacing w:before="60" w:after="60"/>
              <w:jc w:val="center"/>
            </w:pPr>
            <w:r>
              <w:rPr>
                <w:color w:val="FFCC00"/>
                <w:sz w:val="18"/>
                <w:szCs w:val="18"/>
              </w:rPr>
              <w:t>4</w:t>
            </w:r>
          </w:p>
        </w:tc>
        <w:tc>
          <w:tcPr>
            <w:tcW w:w="480" w:type="dxa"/>
          </w:tcPr>
          <w:p w14:paraId="11839923" w14:textId="77777777" w:rsidR="00B97810" w:rsidRDefault="00B97810" w:rsidP="009F4768">
            <w:pPr>
              <w:pStyle w:val="TableDataEntries"/>
              <w:spacing w:before="60" w:after="60"/>
              <w:jc w:val="center"/>
              <w:rPr>
                <w:color w:val="FFCC00"/>
                <w:sz w:val="18"/>
                <w:szCs w:val="18"/>
              </w:rPr>
            </w:pPr>
            <w:r w:rsidRPr="00BE1B5C">
              <w:rPr>
                <w:color w:val="FFCC00"/>
                <w:sz w:val="18"/>
                <w:szCs w:val="18"/>
              </w:rPr>
              <w:sym w:font="Webdings" w:char="F067"/>
            </w:r>
          </w:p>
          <w:p w14:paraId="0096914F" w14:textId="77777777" w:rsidR="00B97810" w:rsidRPr="004F78AA" w:rsidRDefault="00B97810" w:rsidP="009F4768">
            <w:pPr>
              <w:pStyle w:val="TableDataEntries"/>
              <w:spacing w:before="60" w:after="60"/>
              <w:jc w:val="center"/>
            </w:pPr>
            <w:r>
              <w:rPr>
                <w:color w:val="FFCC00"/>
                <w:sz w:val="18"/>
                <w:szCs w:val="18"/>
              </w:rPr>
              <w:t>4</w:t>
            </w:r>
          </w:p>
        </w:tc>
        <w:tc>
          <w:tcPr>
            <w:tcW w:w="600" w:type="dxa"/>
          </w:tcPr>
          <w:p w14:paraId="2B514304" w14:textId="77777777" w:rsidR="00B97810" w:rsidRDefault="00B97810" w:rsidP="009F4768">
            <w:pPr>
              <w:pStyle w:val="TableDataEntries"/>
              <w:spacing w:before="60" w:after="60"/>
              <w:jc w:val="center"/>
              <w:rPr>
                <w:color w:val="FF9900"/>
                <w:sz w:val="18"/>
                <w:szCs w:val="18"/>
              </w:rPr>
            </w:pPr>
            <w:r w:rsidRPr="00BE1B5C">
              <w:rPr>
                <w:color w:val="FF9900"/>
                <w:sz w:val="18"/>
                <w:szCs w:val="18"/>
              </w:rPr>
              <w:sym w:font="Webdings" w:char="F067"/>
            </w:r>
          </w:p>
          <w:p w14:paraId="6784B696" w14:textId="77777777" w:rsidR="00B97810" w:rsidRPr="004F78AA" w:rsidRDefault="00B97810" w:rsidP="009F4768">
            <w:pPr>
              <w:pStyle w:val="TableDataEntries"/>
              <w:spacing w:before="60" w:after="60"/>
              <w:jc w:val="center"/>
            </w:pPr>
            <w:r>
              <w:rPr>
                <w:color w:val="FF9900"/>
                <w:sz w:val="18"/>
                <w:szCs w:val="18"/>
              </w:rPr>
              <w:t>3</w:t>
            </w:r>
          </w:p>
        </w:tc>
        <w:tc>
          <w:tcPr>
            <w:tcW w:w="480" w:type="dxa"/>
          </w:tcPr>
          <w:p w14:paraId="695D7E6E" w14:textId="77777777" w:rsidR="00B97810" w:rsidRDefault="00B97810" w:rsidP="009F4768">
            <w:pPr>
              <w:pStyle w:val="TableDataEntries"/>
              <w:spacing w:before="60" w:after="60"/>
              <w:jc w:val="center"/>
              <w:rPr>
                <w:color w:val="FFCC00"/>
                <w:sz w:val="18"/>
                <w:szCs w:val="18"/>
              </w:rPr>
            </w:pPr>
            <w:r w:rsidRPr="00BE1B5C">
              <w:rPr>
                <w:color w:val="FFCC00"/>
                <w:sz w:val="18"/>
                <w:szCs w:val="18"/>
              </w:rPr>
              <w:sym w:font="Webdings" w:char="F067"/>
            </w:r>
          </w:p>
          <w:p w14:paraId="42C833B4" w14:textId="77777777" w:rsidR="00B97810" w:rsidRPr="004F78AA" w:rsidRDefault="00B97810" w:rsidP="009F4768">
            <w:pPr>
              <w:pStyle w:val="TableDataEntries"/>
              <w:spacing w:before="60" w:after="60"/>
              <w:jc w:val="center"/>
            </w:pPr>
            <w:r>
              <w:rPr>
                <w:color w:val="FFCC00"/>
                <w:sz w:val="18"/>
                <w:szCs w:val="18"/>
              </w:rPr>
              <w:t>4</w:t>
            </w:r>
          </w:p>
        </w:tc>
        <w:tc>
          <w:tcPr>
            <w:tcW w:w="583" w:type="dxa"/>
          </w:tcPr>
          <w:p w14:paraId="15744FE4" w14:textId="77777777" w:rsidR="00B97810" w:rsidRDefault="00B97810" w:rsidP="009F4768">
            <w:pPr>
              <w:pStyle w:val="TableDataEntries"/>
              <w:spacing w:before="60" w:after="60"/>
              <w:jc w:val="center"/>
              <w:rPr>
                <w:color w:val="99CC00"/>
                <w:sz w:val="18"/>
                <w:szCs w:val="18"/>
              </w:rPr>
            </w:pPr>
            <w:r w:rsidRPr="00DF1246">
              <w:rPr>
                <w:color w:val="99CC00"/>
                <w:sz w:val="18"/>
                <w:szCs w:val="18"/>
              </w:rPr>
              <w:sym w:font="Webdings" w:char="F067"/>
            </w:r>
          </w:p>
          <w:p w14:paraId="2A29ACF4" w14:textId="77777777" w:rsidR="00B97810" w:rsidRPr="004F78AA" w:rsidRDefault="00B97810" w:rsidP="009F4768">
            <w:pPr>
              <w:pStyle w:val="TableDataEntries"/>
              <w:spacing w:before="60" w:after="60"/>
              <w:jc w:val="center"/>
            </w:pPr>
            <w:r>
              <w:rPr>
                <w:color w:val="99CC00"/>
                <w:sz w:val="18"/>
                <w:szCs w:val="18"/>
              </w:rPr>
              <w:t>5</w:t>
            </w:r>
          </w:p>
        </w:tc>
        <w:tc>
          <w:tcPr>
            <w:tcW w:w="535" w:type="dxa"/>
          </w:tcPr>
          <w:p w14:paraId="1BDCDF4A" w14:textId="77777777" w:rsidR="00B97810" w:rsidRDefault="00B97810" w:rsidP="00E523EF">
            <w:pPr>
              <w:pStyle w:val="TableDataEntries"/>
              <w:spacing w:before="60" w:after="60"/>
              <w:jc w:val="center"/>
              <w:rPr>
                <w:color w:val="FFCC00"/>
                <w:sz w:val="18"/>
                <w:szCs w:val="18"/>
              </w:rPr>
            </w:pPr>
            <w:r w:rsidRPr="00BE1B5C">
              <w:rPr>
                <w:color w:val="FFCC00"/>
                <w:sz w:val="18"/>
                <w:szCs w:val="18"/>
              </w:rPr>
              <w:sym w:font="Webdings" w:char="F067"/>
            </w:r>
          </w:p>
          <w:p w14:paraId="036EDAC6" w14:textId="77777777" w:rsidR="00B97810" w:rsidRPr="00BE1B5C" w:rsidRDefault="00B97810" w:rsidP="009F4768">
            <w:pPr>
              <w:pStyle w:val="TableDataEntries"/>
              <w:spacing w:before="60" w:after="60"/>
              <w:jc w:val="center"/>
              <w:rPr>
                <w:color w:val="FFCC00"/>
                <w:sz w:val="18"/>
                <w:szCs w:val="18"/>
              </w:rPr>
            </w:pPr>
            <w:r>
              <w:rPr>
                <w:color w:val="FFCC00"/>
                <w:sz w:val="18"/>
                <w:szCs w:val="18"/>
              </w:rPr>
              <w:t>4.1</w:t>
            </w:r>
          </w:p>
        </w:tc>
        <w:tc>
          <w:tcPr>
            <w:tcW w:w="535" w:type="dxa"/>
          </w:tcPr>
          <w:p w14:paraId="4ECB9CF2" w14:textId="77777777" w:rsidR="00B97810" w:rsidRDefault="00B97810" w:rsidP="009F4768">
            <w:pPr>
              <w:pStyle w:val="TableDataEntries"/>
              <w:spacing w:before="60" w:after="60"/>
              <w:jc w:val="center"/>
              <w:rPr>
                <w:color w:val="FFCC00"/>
                <w:sz w:val="18"/>
                <w:szCs w:val="18"/>
              </w:rPr>
            </w:pPr>
            <w:r w:rsidRPr="00BE1B5C">
              <w:rPr>
                <w:color w:val="FFCC00"/>
                <w:sz w:val="18"/>
                <w:szCs w:val="18"/>
              </w:rPr>
              <w:sym w:font="Webdings" w:char="F067"/>
            </w:r>
          </w:p>
          <w:p w14:paraId="7450C089" w14:textId="77777777" w:rsidR="00B97810" w:rsidRPr="000C4C3C" w:rsidRDefault="00B97810" w:rsidP="00E523EF">
            <w:pPr>
              <w:pStyle w:val="TableDataEntries"/>
              <w:spacing w:before="60" w:after="60"/>
              <w:jc w:val="center"/>
              <w:rPr>
                <w:color w:val="99CC00"/>
                <w:sz w:val="22"/>
                <w:szCs w:val="22"/>
              </w:rPr>
            </w:pPr>
            <w:r>
              <w:rPr>
                <w:color w:val="FFCC00"/>
                <w:sz w:val="18"/>
                <w:szCs w:val="18"/>
              </w:rPr>
              <w:t>4.5</w:t>
            </w:r>
          </w:p>
        </w:tc>
      </w:tr>
      <w:tr w:rsidR="00B97810" w:rsidRPr="00FD3D0A" w14:paraId="311B76FB" w14:textId="77777777" w:rsidTr="00CB328F">
        <w:tc>
          <w:tcPr>
            <w:tcW w:w="3240" w:type="dxa"/>
          </w:tcPr>
          <w:p w14:paraId="1E6091EF" w14:textId="3737F71C" w:rsidR="00B97810" w:rsidRDefault="00B97810" w:rsidP="009F4768">
            <w:pPr>
              <w:pStyle w:val="TableTextEntries"/>
              <w:spacing w:line="240" w:lineRule="auto"/>
            </w:pPr>
            <w:r w:rsidRPr="00887FD1">
              <w:t xml:space="preserve">Outcome 2: Workforce </w:t>
            </w:r>
            <w:r w:rsidR="00764EC7">
              <w:t>s</w:t>
            </w:r>
            <w:r w:rsidR="00764EC7" w:rsidRPr="00887FD1">
              <w:t xml:space="preserve">kills </w:t>
            </w:r>
            <w:r w:rsidR="00764EC7">
              <w:t>d</w:t>
            </w:r>
            <w:r w:rsidR="00764EC7" w:rsidRPr="00887FD1">
              <w:t>evelopment</w:t>
            </w:r>
          </w:p>
          <w:p w14:paraId="79CB4B4C" w14:textId="790FC55C" w:rsidR="00B97810" w:rsidRPr="00887FD1" w:rsidRDefault="00B97810" w:rsidP="009F4768">
            <w:pPr>
              <w:pStyle w:val="TableTextEntries"/>
              <w:spacing w:line="240" w:lineRule="auto"/>
            </w:pPr>
          </w:p>
        </w:tc>
        <w:tc>
          <w:tcPr>
            <w:tcW w:w="1200" w:type="dxa"/>
          </w:tcPr>
          <w:p w14:paraId="07149BC6" w14:textId="77777777" w:rsidR="00B97810" w:rsidRPr="00887FD1" w:rsidRDefault="00B97810" w:rsidP="009F4768">
            <w:pPr>
              <w:pStyle w:val="TableTextEntries"/>
              <w:spacing w:line="240" w:lineRule="auto"/>
            </w:pPr>
            <w:r w:rsidRPr="00887FD1">
              <w:t>$6.</w:t>
            </w:r>
            <w:r>
              <w:t>5</w:t>
            </w:r>
            <w:r w:rsidRPr="00887FD1">
              <w:t xml:space="preserve"> million</w:t>
            </w:r>
          </w:p>
        </w:tc>
        <w:tc>
          <w:tcPr>
            <w:tcW w:w="480" w:type="dxa"/>
          </w:tcPr>
          <w:p w14:paraId="3CA8A377" w14:textId="77777777" w:rsidR="00B97810" w:rsidRDefault="00B97810" w:rsidP="009F4768">
            <w:pPr>
              <w:pStyle w:val="TableDataEntries"/>
              <w:spacing w:before="60" w:after="60"/>
              <w:jc w:val="center"/>
              <w:rPr>
                <w:color w:val="99CC00"/>
                <w:sz w:val="18"/>
                <w:szCs w:val="18"/>
              </w:rPr>
            </w:pPr>
            <w:r w:rsidRPr="00DF1246">
              <w:rPr>
                <w:color w:val="99CC00"/>
                <w:sz w:val="18"/>
                <w:szCs w:val="18"/>
              </w:rPr>
              <w:sym w:font="Webdings" w:char="F067"/>
            </w:r>
          </w:p>
          <w:p w14:paraId="2C93F056" w14:textId="77777777" w:rsidR="00B97810" w:rsidRPr="004F78AA" w:rsidRDefault="00B97810" w:rsidP="009F4768">
            <w:pPr>
              <w:pStyle w:val="TableDataEntries"/>
              <w:spacing w:before="60" w:after="60"/>
              <w:jc w:val="center"/>
            </w:pPr>
            <w:r>
              <w:rPr>
                <w:color w:val="99CC00"/>
                <w:sz w:val="18"/>
                <w:szCs w:val="18"/>
              </w:rPr>
              <w:t>5</w:t>
            </w:r>
          </w:p>
        </w:tc>
        <w:tc>
          <w:tcPr>
            <w:tcW w:w="480" w:type="dxa"/>
          </w:tcPr>
          <w:p w14:paraId="4277E07E" w14:textId="77777777" w:rsidR="00B97810" w:rsidRDefault="00B97810" w:rsidP="009F4768">
            <w:pPr>
              <w:pStyle w:val="TableDataEntries"/>
              <w:spacing w:before="60" w:after="60"/>
              <w:jc w:val="center"/>
              <w:rPr>
                <w:color w:val="FFCC00"/>
                <w:sz w:val="18"/>
                <w:szCs w:val="18"/>
              </w:rPr>
            </w:pPr>
            <w:r w:rsidRPr="00BE1B5C">
              <w:rPr>
                <w:color w:val="FFCC00"/>
                <w:sz w:val="18"/>
                <w:szCs w:val="18"/>
              </w:rPr>
              <w:sym w:font="Webdings" w:char="F067"/>
            </w:r>
          </w:p>
          <w:p w14:paraId="0BEC2608" w14:textId="77777777" w:rsidR="00B97810" w:rsidRPr="004F78AA" w:rsidRDefault="00B97810" w:rsidP="009F4768">
            <w:pPr>
              <w:pStyle w:val="TableDataEntries"/>
              <w:spacing w:before="60" w:after="60"/>
              <w:jc w:val="center"/>
            </w:pPr>
            <w:r>
              <w:rPr>
                <w:color w:val="FFCC00"/>
                <w:sz w:val="18"/>
                <w:szCs w:val="18"/>
              </w:rPr>
              <w:t>4</w:t>
            </w:r>
          </w:p>
        </w:tc>
        <w:tc>
          <w:tcPr>
            <w:tcW w:w="480" w:type="dxa"/>
          </w:tcPr>
          <w:p w14:paraId="7D7BB5BA" w14:textId="77777777" w:rsidR="00B97810" w:rsidRDefault="00B97810" w:rsidP="009F4768">
            <w:pPr>
              <w:pStyle w:val="TableDataEntries"/>
              <w:spacing w:before="60" w:after="60"/>
              <w:jc w:val="center"/>
              <w:rPr>
                <w:color w:val="99CC00"/>
                <w:sz w:val="18"/>
                <w:szCs w:val="18"/>
              </w:rPr>
            </w:pPr>
            <w:r w:rsidRPr="00DF1246">
              <w:rPr>
                <w:color w:val="99CC00"/>
                <w:sz w:val="18"/>
                <w:szCs w:val="18"/>
              </w:rPr>
              <w:sym w:font="Webdings" w:char="F067"/>
            </w:r>
          </w:p>
          <w:p w14:paraId="0DF7A2F3" w14:textId="77777777" w:rsidR="00B97810" w:rsidRPr="004F78AA" w:rsidRDefault="00B97810" w:rsidP="009F4768">
            <w:pPr>
              <w:pStyle w:val="TableDataEntries"/>
              <w:spacing w:before="60" w:after="60"/>
              <w:jc w:val="center"/>
            </w:pPr>
            <w:r>
              <w:rPr>
                <w:color w:val="99CC00"/>
                <w:sz w:val="18"/>
                <w:szCs w:val="18"/>
              </w:rPr>
              <w:t>6</w:t>
            </w:r>
          </w:p>
        </w:tc>
        <w:tc>
          <w:tcPr>
            <w:tcW w:w="600" w:type="dxa"/>
          </w:tcPr>
          <w:p w14:paraId="7032F9D9" w14:textId="77777777" w:rsidR="00B97810" w:rsidRDefault="00B97810" w:rsidP="009F4768">
            <w:pPr>
              <w:pStyle w:val="TableDataEntries"/>
              <w:spacing w:before="60" w:after="60"/>
              <w:jc w:val="center"/>
              <w:rPr>
                <w:color w:val="FF9900"/>
                <w:sz w:val="18"/>
                <w:szCs w:val="18"/>
              </w:rPr>
            </w:pPr>
            <w:r w:rsidRPr="00BE1B5C">
              <w:rPr>
                <w:color w:val="FF9900"/>
                <w:sz w:val="18"/>
                <w:szCs w:val="18"/>
              </w:rPr>
              <w:sym w:font="Webdings" w:char="F067"/>
            </w:r>
          </w:p>
          <w:p w14:paraId="6EA7F529" w14:textId="77777777" w:rsidR="00B97810" w:rsidRPr="004F78AA" w:rsidRDefault="00B97810" w:rsidP="009F4768">
            <w:pPr>
              <w:pStyle w:val="TableDataEntries"/>
              <w:spacing w:before="60" w:after="60"/>
              <w:jc w:val="center"/>
            </w:pPr>
            <w:r>
              <w:rPr>
                <w:color w:val="FF9900"/>
                <w:sz w:val="18"/>
                <w:szCs w:val="18"/>
              </w:rPr>
              <w:t>3</w:t>
            </w:r>
          </w:p>
        </w:tc>
        <w:tc>
          <w:tcPr>
            <w:tcW w:w="480" w:type="dxa"/>
          </w:tcPr>
          <w:p w14:paraId="3C75257F" w14:textId="77777777" w:rsidR="00B97810" w:rsidRDefault="00B97810" w:rsidP="009F4768">
            <w:pPr>
              <w:pStyle w:val="TableDataEntries"/>
              <w:spacing w:before="60" w:after="60"/>
              <w:jc w:val="center"/>
              <w:rPr>
                <w:color w:val="FFCC00"/>
                <w:sz w:val="18"/>
                <w:szCs w:val="18"/>
              </w:rPr>
            </w:pPr>
            <w:r w:rsidRPr="00BE1B5C">
              <w:rPr>
                <w:color w:val="FFCC00"/>
                <w:sz w:val="18"/>
                <w:szCs w:val="18"/>
              </w:rPr>
              <w:sym w:font="Webdings" w:char="F067"/>
            </w:r>
          </w:p>
          <w:p w14:paraId="752C5FDC" w14:textId="77777777" w:rsidR="00B97810" w:rsidRPr="004F78AA" w:rsidRDefault="00B97810" w:rsidP="009F4768">
            <w:pPr>
              <w:pStyle w:val="TableDataEntries"/>
              <w:spacing w:before="60" w:after="60"/>
              <w:jc w:val="center"/>
            </w:pPr>
            <w:r>
              <w:rPr>
                <w:color w:val="FFCC00"/>
                <w:sz w:val="18"/>
                <w:szCs w:val="18"/>
              </w:rPr>
              <w:t>4</w:t>
            </w:r>
          </w:p>
        </w:tc>
        <w:tc>
          <w:tcPr>
            <w:tcW w:w="583" w:type="dxa"/>
          </w:tcPr>
          <w:p w14:paraId="42667C40" w14:textId="77777777" w:rsidR="00B97810" w:rsidRDefault="00B97810" w:rsidP="009F4768">
            <w:pPr>
              <w:pStyle w:val="TableDataEntries"/>
              <w:spacing w:before="60" w:after="60"/>
              <w:jc w:val="center"/>
              <w:rPr>
                <w:color w:val="FF9900"/>
                <w:sz w:val="18"/>
                <w:szCs w:val="18"/>
              </w:rPr>
            </w:pPr>
            <w:r w:rsidRPr="00BE1B5C">
              <w:rPr>
                <w:color w:val="FF9900"/>
                <w:sz w:val="18"/>
                <w:szCs w:val="18"/>
              </w:rPr>
              <w:sym w:font="Webdings" w:char="F067"/>
            </w:r>
          </w:p>
          <w:p w14:paraId="70B96A81" w14:textId="77777777" w:rsidR="00B97810" w:rsidRPr="004F78AA" w:rsidRDefault="00B97810" w:rsidP="009F4768">
            <w:pPr>
              <w:pStyle w:val="TableDataEntries"/>
              <w:spacing w:before="60" w:after="60"/>
              <w:jc w:val="center"/>
            </w:pPr>
            <w:r>
              <w:rPr>
                <w:color w:val="FF9900"/>
                <w:sz w:val="18"/>
                <w:szCs w:val="18"/>
              </w:rPr>
              <w:t>3</w:t>
            </w:r>
          </w:p>
        </w:tc>
        <w:tc>
          <w:tcPr>
            <w:tcW w:w="535" w:type="dxa"/>
          </w:tcPr>
          <w:p w14:paraId="1437CD1A" w14:textId="77777777" w:rsidR="00B97810" w:rsidRDefault="00B97810" w:rsidP="009F4768">
            <w:pPr>
              <w:pStyle w:val="TableDataEntries"/>
              <w:spacing w:before="60" w:after="60"/>
              <w:jc w:val="center"/>
              <w:rPr>
                <w:color w:val="FFCC00"/>
                <w:sz w:val="18"/>
                <w:szCs w:val="18"/>
              </w:rPr>
            </w:pPr>
            <w:r w:rsidRPr="00474019">
              <w:rPr>
                <w:color w:val="FFCC00"/>
                <w:sz w:val="18"/>
                <w:szCs w:val="18"/>
              </w:rPr>
              <w:sym w:font="Webdings" w:char="F067"/>
            </w:r>
          </w:p>
          <w:p w14:paraId="3BC42A33" w14:textId="77777777" w:rsidR="00B97810" w:rsidRPr="00BE1B5C" w:rsidRDefault="00B97810" w:rsidP="009F4768">
            <w:pPr>
              <w:pStyle w:val="TableDataEntries"/>
              <w:spacing w:before="60" w:after="60"/>
              <w:jc w:val="center"/>
              <w:rPr>
                <w:color w:val="FFCC00"/>
                <w:sz w:val="18"/>
                <w:szCs w:val="18"/>
              </w:rPr>
            </w:pPr>
            <w:r>
              <w:rPr>
                <w:color w:val="FFCC00"/>
                <w:sz w:val="18"/>
                <w:szCs w:val="18"/>
              </w:rPr>
              <w:t>4.1</w:t>
            </w:r>
          </w:p>
        </w:tc>
        <w:tc>
          <w:tcPr>
            <w:tcW w:w="535" w:type="dxa"/>
          </w:tcPr>
          <w:p w14:paraId="6F93B281" w14:textId="77777777" w:rsidR="00B97810" w:rsidRDefault="00B97810" w:rsidP="009F4768">
            <w:pPr>
              <w:pStyle w:val="TableDataEntries"/>
              <w:spacing w:before="60" w:after="60"/>
              <w:jc w:val="center"/>
              <w:rPr>
                <w:color w:val="FFCC00"/>
                <w:sz w:val="18"/>
                <w:szCs w:val="18"/>
              </w:rPr>
            </w:pPr>
            <w:r w:rsidRPr="00BE1B5C">
              <w:rPr>
                <w:color w:val="FFCC00"/>
                <w:sz w:val="18"/>
                <w:szCs w:val="18"/>
              </w:rPr>
              <w:sym w:font="Webdings" w:char="F067"/>
            </w:r>
          </w:p>
          <w:p w14:paraId="1033DFC0" w14:textId="77777777" w:rsidR="00B97810" w:rsidRPr="004F78AA" w:rsidRDefault="00B97810" w:rsidP="009F4768">
            <w:pPr>
              <w:pStyle w:val="TableDataEntries"/>
              <w:spacing w:before="60" w:after="60"/>
              <w:jc w:val="center"/>
              <w:rPr>
                <w:color w:val="FFCC00"/>
                <w:sz w:val="22"/>
                <w:szCs w:val="22"/>
              </w:rPr>
            </w:pPr>
            <w:r>
              <w:rPr>
                <w:color w:val="FFCC00"/>
                <w:sz w:val="18"/>
                <w:szCs w:val="18"/>
              </w:rPr>
              <w:t>4.5</w:t>
            </w:r>
          </w:p>
        </w:tc>
      </w:tr>
      <w:tr w:rsidR="00B97810" w:rsidRPr="00FD3D0A" w14:paraId="314A5A2F" w14:textId="77777777" w:rsidTr="00CB328F">
        <w:tc>
          <w:tcPr>
            <w:tcW w:w="3240" w:type="dxa"/>
          </w:tcPr>
          <w:p w14:paraId="05B057CD" w14:textId="67585AE6" w:rsidR="00B97810" w:rsidRPr="00887FD1" w:rsidRDefault="00764EC7">
            <w:pPr>
              <w:pStyle w:val="TableTextEntries"/>
              <w:spacing w:line="240" w:lineRule="auto"/>
            </w:pPr>
            <w:r>
              <w:t>Australian Development</w:t>
            </w:r>
            <w:r w:rsidRPr="00887FD1">
              <w:t xml:space="preserve"> </w:t>
            </w:r>
            <w:r>
              <w:t>S</w:t>
            </w:r>
            <w:r w:rsidRPr="00887FD1">
              <w:t>cholarships</w:t>
            </w:r>
            <w:r>
              <w:t xml:space="preserve"> and</w:t>
            </w:r>
            <w:r w:rsidRPr="00887FD1">
              <w:t xml:space="preserve"> </w:t>
            </w:r>
            <w:r w:rsidRPr="00764EC7">
              <w:t xml:space="preserve">Australian Regional Development Scholarships </w:t>
            </w:r>
          </w:p>
        </w:tc>
        <w:tc>
          <w:tcPr>
            <w:tcW w:w="1200" w:type="dxa"/>
          </w:tcPr>
          <w:p w14:paraId="5924F411" w14:textId="5DD04C4B" w:rsidR="00B97810" w:rsidRPr="00887FD1" w:rsidRDefault="00B97810" w:rsidP="009F4768">
            <w:pPr>
              <w:pStyle w:val="TableTextEntries"/>
              <w:spacing w:line="240" w:lineRule="auto"/>
            </w:pPr>
            <w:r w:rsidRPr="00887FD1">
              <w:t>$</w:t>
            </w:r>
            <w:r>
              <w:t>11.2</w:t>
            </w:r>
            <w:r w:rsidR="00764EC7">
              <w:t xml:space="preserve"> </w:t>
            </w:r>
            <w:r w:rsidRPr="00887FD1">
              <w:t>million</w:t>
            </w:r>
          </w:p>
        </w:tc>
        <w:tc>
          <w:tcPr>
            <w:tcW w:w="480" w:type="dxa"/>
          </w:tcPr>
          <w:p w14:paraId="79B40A89" w14:textId="77777777" w:rsidR="00B97810" w:rsidRDefault="00B97810" w:rsidP="009F4768">
            <w:pPr>
              <w:pStyle w:val="TableDataEntries"/>
              <w:spacing w:before="60" w:after="60"/>
              <w:jc w:val="center"/>
              <w:rPr>
                <w:color w:val="99CC00"/>
                <w:sz w:val="18"/>
                <w:szCs w:val="18"/>
              </w:rPr>
            </w:pPr>
            <w:r w:rsidRPr="00DF1246">
              <w:rPr>
                <w:color w:val="99CC00"/>
                <w:sz w:val="18"/>
                <w:szCs w:val="18"/>
              </w:rPr>
              <w:sym w:font="Webdings" w:char="F067"/>
            </w:r>
          </w:p>
          <w:p w14:paraId="0B052C39" w14:textId="77777777" w:rsidR="00B97810" w:rsidRPr="004F78AA" w:rsidRDefault="00B97810" w:rsidP="009F4768">
            <w:pPr>
              <w:pStyle w:val="TableDataEntries"/>
              <w:spacing w:before="60" w:after="60"/>
              <w:jc w:val="center"/>
            </w:pPr>
            <w:r>
              <w:rPr>
                <w:color w:val="99CC00"/>
                <w:sz w:val="18"/>
                <w:szCs w:val="18"/>
              </w:rPr>
              <w:t>5</w:t>
            </w:r>
          </w:p>
        </w:tc>
        <w:tc>
          <w:tcPr>
            <w:tcW w:w="480" w:type="dxa"/>
          </w:tcPr>
          <w:p w14:paraId="607E4353" w14:textId="77777777" w:rsidR="00B97810" w:rsidRDefault="00B97810" w:rsidP="009F4768">
            <w:pPr>
              <w:pStyle w:val="TableDataEntries"/>
              <w:spacing w:before="60" w:after="60"/>
              <w:jc w:val="center"/>
              <w:rPr>
                <w:color w:val="FFCC00"/>
                <w:sz w:val="18"/>
                <w:szCs w:val="18"/>
              </w:rPr>
            </w:pPr>
            <w:r w:rsidRPr="00BE1B5C">
              <w:rPr>
                <w:color w:val="FFCC00"/>
                <w:sz w:val="18"/>
                <w:szCs w:val="18"/>
              </w:rPr>
              <w:sym w:font="Webdings" w:char="F067"/>
            </w:r>
          </w:p>
          <w:p w14:paraId="66E99EF7" w14:textId="77777777" w:rsidR="00B97810" w:rsidRPr="004F78AA" w:rsidRDefault="00B97810" w:rsidP="009F4768">
            <w:pPr>
              <w:pStyle w:val="TableDataEntries"/>
              <w:spacing w:before="60" w:after="60"/>
              <w:jc w:val="center"/>
            </w:pPr>
            <w:r>
              <w:rPr>
                <w:color w:val="FFCC00"/>
                <w:sz w:val="18"/>
                <w:szCs w:val="18"/>
              </w:rPr>
              <w:t>4</w:t>
            </w:r>
          </w:p>
        </w:tc>
        <w:tc>
          <w:tcPr>
            <w:tcW w:w="480" w:type="dxa"/>
          </w:tcPr>
          <w:p w14:paraId="2B846570" w14:textId="77777777" w:rsidR="00B97810" w:rsidRDefault="00B97810" w:rsidP="009F4768">
            <w:pPr>
              <w:pStyle w:val="TableDataEntries"/>
              <w:spacing w:before="60" w:after="60"/>
              <w:jc w:val="center"/>
              <w:rPr>
                <w:color w:val="FF9900"/>
                <w:sz w:val="18"/>
                <w:szCs w:val="18"/>
              </w:rPr>
            </w:pPr>
            <w:r w:rsidRPr="00BE1B5C">
              <w:rPr>
                <w:color w:val="FF9900"/>
                <w:sz w:val="18"/>
                <w:szCs w:val="18"/>
              </w:rPr>
              <w:sym w:font="Webdings" w:char="F067"/>
            </w:r>
          </w:p>
          <w:p w14:paraId="11344F42" w14:textId="77777777" w:rsidR="00B97810" w:rsidRPr="004F78AA" w:rsidRDefault="00B97810" w:rsidP="009F4768">
            <w:pPr>
              <w:pStyle w:val="TableDataEntries"/>
              <w:spacing w:before="60" w:after="60"/>
              <w:jc w:val="center"/>
            </w:pPr>
            <w:r>
              <w:rPr>
                <w:color w:val="FF9900"/>
                <w:sz w:val="18"/>
                <w:szCs w:val="18"/>
              </w:rPr>
              <w:t>3</w:t>
            </w:r>
          </w:p>
        </w:tc>
        <w:tc>
          <w:tcPr>
            <w:tcW w:w="600" w:type="dxa"/>
          </w:tcPr>
          <w:p w14:paraId="1ED15B17" w14:textId="77777777" w:rsidR="00B97810" w:rsidRDefault="00B97810" w:rsidP="009F4768">
            <w:pPr>
              <w:pStyle w:val="TableDataEntries"/>
              <w:spacing w:before="60" w:after="60"/>
              <w:jc w:val="center"/>
              <w:rPr>
                <w:color w:val="FF9900"/>
                <w:sz w:val="18"/>
                <w:szCs w:val="18"/>
              </w:rPr>
            </w:pPr>
            <w:r w:rsidRPr="00BE1B5C">
              <w:rPr>
                <w:color w:val="FF9900"/>
                <w:sz w:val="18"/>
                <w:szCs w:val="18"/>
              </w:rPr>
              <w:sym w:font="Webdings" w:char="F067"/>
            </w:r>
          </w:p>
          <w:p w14:paraId="60A0391A" w14:textId="77777777" w:rsidR="00B97810" w:rsidRPr="004F78AA" w:rsidRDefault="00B97810" w:rsidP="009F4768">
            <w:pPr>
              <w:pStyle w:val="TableDataEntries"/>
              <w:spacing w:before="60" w:after="60"/>
              <w:jc w:val="center"/>
            </w:pPr>
            <w:r>
              <w:rPr>
                <w:color w:val="FF9900"/>
                <w:sz w:val="18"/>
                <w:szCs w:val="18"/>
              </w:rPr>
              <w:t>3</w:t>
            </w:r>
          </w:p>
        </w:tc>
        <w:tc>
          <w:tcPr>
            <w:tcW w:w="480" w:type="dxa"/>
          </w:tcPr>
          <w:p w14:paraId="7DBB79AD" w14:textId="77777777" w:rsidR="00B97810" w:rsidRDefault="00B97810" w:rsidP="009F4768">
            <w:pPr>
              <w:pStyle w:val="TableDataEntries"/>
              <w:spacing w:before="60" w:after="60"/>
              <w:jc w:val="center"/>
              <w:rPr>
                <w:color w:val="FFCC00"/>
                <w:sz w:val="18"/>
                <w:szCs w:val="18"/>
              </w:rPr>
            </w:pPr>
            <w:r w:rsidRPr="00BE1B5C">
              <w:rPr>
                <w:color w:val="FFCC00"/>
                <w:sz w:val="18"/>
                <w:szCs w:val="18"/>
              </w:rPr>
              <w:sym w:font="Webdings" w:char="F067"/>
            </w:r>
          </w:p>
          <w:p w14:paraId="1C37DCE2" w14:textId="77777777" w:rsidR="00B97810" w:rsidRPr="004F78AA" w:rsidRDefault="00B97810" w:rsidP="009F4768">
            <w:pPr>
              <w:pStyle w:val="TableDataEntries"/>
              <w:spacing w:before="60" w:after="60"/>
              <w:jc w:val="center"/>
            </w:pPr>
            <w:r>
              <w:rPr>
                <w:color w:val="FFCC00"/>
                <w:sz w:val="18"/>
                <w:szCs w:val="18"/>
              </w:rPr>
              <w:t>4</w:t>
            </w:r>
          </w:p>
        </w:tc>
        <w:tc>
          <w:tcPr>
            <w:tcW w:w="583" w:type="dxa"/>
          </w:tcPr>
          <w:p w14:paraId="26218778" w14:textId="77777777" w:rsidR="00B97810" w:rsidRDefault="00B97810" w:rsidP="009F4768">
            <w:pPr>
              <w:pStyle w:val="TableDataEntries"/>
              <w:spacing w:before="60" w:after="60"/>
              <w:jc w:val="center"/>
              <w:rPr>
                <w:color w:val="FFCC00"/>
                <w:sz w:val="18"/>
                <w:szCs w:val="18"/>
              </w:rPr>
            </w:pPr>
            <w:r w:rsidRPr="00BE1B5C">
              <w:rPr>
                <w:color w:val="FFCC00"/>
                <w:sz w:val="18"/>
                <w:szCs w:val="18"/>
              </w:rPr>
              <w:sym w:font="Webdings" w:char="F067"/>
            </w:r>
          </w:p>
          <w:p w14:paraId="6F56D75D" w14:textId="77777777" w:rsidR="00B97810" w:rsidRPr="004F78AA" w:rsidRDefault="00B97810" w:rsidP="009F4768">
            <w:pPr>
              <w:pStyle w:val="TableDataEntries"/>
              <w:spacing w:before="60" w:after="60"/>
              <w:jc w:val="center"/>
            </w:pPr>
            <w:r>
              <w:rPr>
                <w:color w:val="FFCC00"/>
                <w:sz w:val="18"/>
                <w:szCs w:val="18"/>
              </w:rPr>
              <w:t>4</w:t>
            </w:r>
          </w:p>
        </w:tc>
        <w:tc>
          <w:tcPr>
            <w:tcW w:w="535" w:type="dxa"/>
          </w:tcPr>
          <w:p w14:paraId="719103A4" w14:textId="77777777" w:rsidR="00B97810" w:rsidRDefault="00B97810" w:rsidP="009F4768">
            <w:pPr>
              <w:pStyle w:val="TableDataEntries"/>
              <w:spacing w:before="60" w:after="60"/>
              <w:jc w:val="center"/>
              <w:rPr>
                <w:color w:val="FF9900"/>
                <w:sz w:val="18"/>
                <w:szCs w:val="18"/>
              </w:rPr>
            </w:pPr>
            <w:r w:rsidRPr="00474019">
              <w:rPr>
                <w:color w:val="FFCC00"/>
                <w:sz w:val="18"/>
                <w:szCs w:val="18"/>
              </w:rPr>
              <w:sym w:font="Webdings" w:char="F067"/>
            </w:r>
          </w:p>
          <w:p w14:paraId="6345AA54" w14:textId="77777777" w:rsidR="00B97810" w:rsidRPr="00BE1B5C" w:rsidRDefault="00B97810" w:rsidP="009F4768">
            <w:pPr>
              <w:pStyle w:val="TableDataEntries"/>
              <w:spacing w:before="60" w:after="60"/>
              <w:jc w:val="center"/>
              <w:rPr>
                <w:color w:val="FF9900"/>
                <w:sz w:val="18"/>
                <w:szCs w:val="18"/>
              </w:rPr>
            </w:pPr>
            <w:r>
              <w:rPr>
                <w:color w:val="FF9900"/>
                <w:sz w:val="18"/>
                <w:szCs w:val="18"/>
              </w:rPr>
              <w:t>3.8</w:t>
            </w:r>
          </w:p>
        </w:tc>
        <w:tc>
          <w:tcPr>
            <w:tcW w:w="535" w:type="dxa"/>
          </w:tcPr>
          <w:p w14:paraId="02A44D2F" w14:textId="77777777" w:rsidR="00B97810" w:rsidRDefault="00B97810" w:rsidP="009F4768">
            <w:pPr>
              <w:pStyle w:val="TableDataEntries"/>
              <w:spacing w:before="60" w:after="60"/>
              <w:jc w:val="center"/>
              <w:rPr>
                <w:color w:val="FF9900"/>
                <w:sz w:val="18"/>
                <w:szCs w:val="18"/>
              </w:rPr>
            </w:pPr>
            <w:r w:rsidRPr="00BE1B5C">
              <w:rPr>
                <w:color w:val="FF9900"/>
                <w:sz w:val="18"/>
                <w:szCs w:val="18"/>
              </w:rPr>
              <w:sym w:font="Webdings" w:char="F067"/>
            </w:r>
          </w:p>
          <w:p w14:paraId="7431B06E" w14:textId="77777777" w:rsidR="00B97810" w:rsidRPr="004F78AA" w:rsidRDefault="00B97810" w:rsidP="009F4768">
            <w:pPr>
              <w:pStyle w:val="TableDataEntries"/>
              <w:spacing w:before="60" w:after="60"/>
              <w:jc w:val="center"/>
            </w:pPr>
            <w:r>
              <w:rPr>
                <w:color w:val="FF9900"/>
                <w:sz w:val="18"/>
                <w:szCs w:val="18"/>
              </w:rPr>
              <w:t>3.1</w:t>
            </w:r>
          </w:p>
        </w:tc>
      </w:tr>
      <w:tr w:rsidR="00B97810" w:rsidRPr="00FD3D0A" w14:paraId="34329687" w14:textId="77777777" w:rsidTr="00CB328F">
        <w:tc>
          <w:tcPr>
            <w:tcW w:w="3240" w:type="dxa"/>
          </w:tcPr>
          <w:p w14:paraId="0C728EF9" w14:textId="43A410BB" w:rsidR="00B97810" w:rsidRPr="00887FD1" w:rsidRDefault="00B97810" w:rsidP="009F4768">
            <w:pPr>
              <w:pStyle w:val="TableTextEntries"/>
              <w:spacing w:line="240" w:lineRule="auto"/>
            </w:pPr>
            <w:r>
              <w:t>Kiribati-Australia Nursing Initiative</w:t>
            </w:r>
          </w:p>
        </w:tc>
        <w:tc>
          <w:tcPr>
            <w:tcW w:w="1200" w:type="dxa"/>
          </w:tcPr>
          <w:p w14:paraId="21E3AE64" w14:textId="77777777" w:rsidR="00B97810" w:rsidRPr="00887FD1" w:rsidRDefault="00B97810" w:rsidP="009F4768">
            <w:pPr>
              <w:pStyle w:val="TableTextEntries"/>
              <w:spacing w:line="240" w:lineRule="auto"/>
            </w:pPr>
            <w:r w:rsidRPr="00887FD1">
              <w:t>$</w:t>
            </w:r>
            <w:r>
              <w:t>19.9</w:t>
            </w:r>
            <w:r w:rsidRPr="00887FD1">
              <w:t xml:space="preserve"> million</w:t>
            </w:r>
          </w:p>
        </w:tc>
        <w:tc>
          <w:tcPr>
            <w:tcW w:w="480" w:type="dxa"/>
          </w:tcPr>
          <w:p w14:paraId="36A5F431" w14:textId="77777777" w:rsidR="00B97810" w:rsidRDefault="00B97810" w:rsidP="009F4768">
            <w:pPr>
              <w:pStyle w:val="TableDataEntries"/>
              <w:spacing w:before="60" w:after="60"/>
              <w:jc w:val="center"/>
              <w:rPr>
                <w:color w:val="99CC00"/>
                <w:sz w:val="18"/>
                <w:szCs w:val="18"/>
              </w:rPr>
            </w:pPr>
            <w:r w:rsidRPr="00DF1246">
              <w:rPr>
                <w:color w:val="99CC00"/>
                <w:sz w:val="18"/>
                <w:szCs w:val="18"/>
              </w:rPr>
              <w:sym w:font="Webdings" w:char="F067"/>
            </w:r>
          </w:p>
          <w:p w14:paraId="1795C8AE" w14:textId="77777777" w:rsidR="00B97810" w:rsidRPr="004F78AA" w:rsidRDefault="00B97810" w:rsidP="009F4768">
            <w:pPr>
              <w:pStyle w:val="TableDataEntries"/>
              <w:spacing w:before="60" w:after="60"/>
              <w:jc w:val="center"/>
            </w:pPr>
            <w:r>
              <w:rPr>
                <w:color w:val="99CC00"/>
                <w:sz w:val="18"/>
                <w:szCs w:val="18"/>
              </w:rPr>
              <w:t>5</w:t>
            </w:r>
            <w:r>
              <w:rPr>
                <w:rStyle w:val="FootnoteReference"/>
              </w:rPr>
              <w:footnoteReference w:id="11"/>
            </w:r>
          </w:p>
        </w:tc>
        <w:tc>
          <w:tcPr>
            <w:tcW w:w="480" w:type="dxa"/>
          </w:tcPr>
          <w:p w14:paraId="68407C9F" w14:textId="77777777" w:rsidR="00B97810" w:rsidRDefault="00B97810" w:rsidP="009F4768">
            <w:pPr>
              <w:pStyle w:val="TableDataEntries"/>
              <w:spacing w:before="60" w:after="60"/>
              <w:jc w:val="center"/>
              <w:rPr>
                <w:color w:val="FF9900"/>
                <w:sz w:val="18"/>
                <w:szCs w:val="18"/>
              </w:rPr>
            </w:pPr>
            <w:r w:rsidRPr="00BE1B5C">
              <w:rPr>
                <w:color w:val="FF9900"/>
                <w:sz w:val="18"/>
                <w:szCs w:val="18"/>
              </w:rPr>
              <w:sym w:font="Webdings" w:char="F067"/>
            </w:r>
          </w:p>
          <w:p w14:paraId="0CF9CF8F" w14:textId="77777777" w:rsidR="00B97810" w:rsidRPr="004F78AA" w:rsidRDefault="00B97810" w:rsidP="009F4768">
            <w:pPr>
              <w:pStyle w:val="TableDataEntries"/>
              <w:spacing w:before="60" w:after="60"/>
              <w:jc w:val="center"/>
            </w:pPr>
            <w:r>
              <w:rPr>
                <w:color w:val="FF9900"/>
                <w:sz w:val="18"/>
                <w:szCs w:val="18"/>
              </w:rPr>
              <w:t>3</w:t>
            </w:r>
          </w:p>
        </w:tc>
        <w:tc>
          <w:tcPr>
            <w:tcW w:w="480" w:type="dxa"/>
          </w:tcPr>
          <w:p w14:paraId="669C54B9" w14:textId="77777777" w:rsidR="00B97810" w:rsidRDefault="00B97810" w:rsidP="009F4768">
            <w:pPr>
              <w:pStyle w:val="TableDataEntries"/>
              <w:spacing w:before="60" w:after="60"/>
              <w:jc w:val="center"/>
              <w:rPr>
                <w:color w:val="FF0000"/>
                <w:sz w:val="18"/>
                <w:szCs w:val="18"/>
              </w:rPr>
            </w:pPr>
            <w:r w:rsidRPr="00BE1B5C">
              <w:rPr>
                <w:color w:val="FF0000"/>
                <w:sz w:val="18"/>
                <w:szCs w:val="18"/>
              </w:rPr>
              <w:sym w:font="Webdings" w:char="F067"/>
            </w:r>
          </w:p>
          <w:p w14:paraId="166B2AC1" w14:textId="77777777" w:rsidR="00B97810" w:rsidRPr="004F78AA" w:rsidRDefault="00B97810" w:rsidP="009F4768">
            <w:pPr>
              <w:pStyle w:val="TableDataEntries"/>
              <w:spacing w:before="60" w:after="60"/>
              <w:jc w:val="center"/>
              <w:rPr>
                <w:color w:val="000000"/>
              </w:rPr>
            </w:pPr>
            <w:r>
              <w:rPr>
                <w:color w:val="FF0000"/>
                <w:sz w:val="18"/>
                <w:szCs w:val="18"/>
              </w:rPr>
              <w:t>2</w:t>
            </w:r>
          </w:p>
        </w:tc>
        <w:tc>
          <w:tcPr>
            <w:tcW w:w="600" w:type="dxa"/>
          </w:tcPr>
          <w:p w14:paraId="2853F705" w14:textId="77777777" w:rsidR="00B97810" w:rsidRDefault="00B97810" w:rsidP="009F4768">
            <w:pPr>
              <w:pStyle w:val="TableDataEntries"/>
              <w:spacing w:before="60" w:after="60"/>
              <w:jc w:val="center"/>
              <w:rPr>
                <w:color w:val="FF0000"/>
                <w:sz w:val="18"/>
                <w:szCs w:val="18"/>
              </w:rPr>
            </w:pPr>
            <w:r w:rsidRPr="00BE1B5C">
              <w:rPr>
                <w:color w:val="FF0000"/>
                <w:sz w:val="18"/>
                <w:szCs w:val="18"/>
              </w:rPr>
              <w:sym w:font="Webdings" w:char="F067"/>
            </w:r>
          </w:p>
          <w:p w14:paraId="38384A8A" w14:textId="77777777" w:rsidR="00B97810" w:rsidRPr="004F78AA" w:rsidRDefault="00B97810" w:rsidP="009F4768">
            <w:pPr>
              <w:pStyle w:val="TableDataEntries"/>
              <w:spacing w:before="60" w:after="60"/>
              <w:jc w:val="center"/>
              <w:rPr>
                <w:color w:val="000000"/>
              </w:rPr>
            </w:pPr>
            <w:r>
              <w:rPr>
                <w:color w:val="FF0000"/>
                <w:sz w:val="18"/>
                <w:szCs w:val="18"/>
              </w:rPr>
              <w:t>2</w:t>
            </w:r>
          </w:p>
        </w:tc>
        <w:tc>
          <w:tcPr>
            <w:tcW w:w="480" w:type="dxa"/>
          </w:tcPr>
          <w:p w14:paraId="62907429" w14:textId="77777777" w:rsidR="00B97810" w:rsidRDefault="00B97810" w:rsidP="009F4768">
            <w:pPr>
              <w:pStyle w:val="TableDataEntries"/>
              <w:spacing w:before="60" w:after="60"/>
              <w:jc w:val="center"/>
              <w:rPr>
                <w:color w:val="FF0000"/>
                <w:sz w:val="18"/>
                <w:szCs w:val="18"/>
              </w:rPr>
            </w:pPr>
            <w:r w:rsidRPr="00BE1B5C">
              <w:rPr>
                <w:color w:val="FF0000"/>
                <w:sz w:val="18"/>
                <w:szCs w:val="18"/>
              </w:rPr>
              <w:sym w:font="Webdings" w:char="F067"/>
            </w:r>
          </w:p>
          <w:p w14:paraId="5AC5358A" w14:textId="77777777" w:rsidR="00B97810" w:rsidRPr="004F78AA" w:rsidRDefault="00B97810" w:rsidP="009F4768">
            <w:pPr>
              <w:pStyle w:val="TableDataEntries"/>
              <w:spacing w:before="60" w:after="60"/>
              <w:jc w:val="center"/>
              <w:rPr>
                <w:color w:val="000000"/>
              </w:rPr>
            </w:pPr>
            <w:r>
              <w:rPr>
                <w:color w:val="FF0000"/>
                <w:sz w:val="18"/>
                <w:szCs w:val="18"/>
              </w:rPr>
              <w:t>2</w:t>
            </w:r>
          </w:p>
        </w:tc>
        <w:tc>
          <w:tcPr>
            <w:tcW w:w="583" w:type="dxa"/>
          </w:tcPr>
          <w:p w14:paraId="5AA3D782" w14:textId="77777777" w:rsidR="00B97810" w:rsidRDefault="00B97810" w:rsidP="009F4768">
            <w:pPr>
              <w:pStyle w:val="TableDataEntries"/>
              <w:spacing w:before="60" w:after="60"/>
              <w:jc w:val="center"/>
              <w:rPr>
                <w:color w:val="99CC00"/>
                <w:sz w:val="18"/>
                <w:szCs w:val="18"/>
              </w:rPr>
            </w:pPr>
            <w:r w:rsidRPr="00DF1246">
              <w:rPr>
                <w:color w:val="99CC00"/>
                <w:sz w:val="18"/>
                <w:szCs w:val="18"/>
              </w:rPr>
              <w:sym w:font="Webdings" w:char="F067"/>
            </w:r>
          </w:p>
          <w:p w14:paraId="5A8F710A" w14:textId="77777777" w:rsidR="00B97810" w:rsidRPr="004F78AA" w:rsidRDefault="00B97810" w:rsidP="009F4768">
            <w:pPr>
              <w:pStyle w:val="TableDataEntries"/>
              <w:spacing w:before="60" w:after="60"/>
              <w:jc w:val="center"/>
              <w:rPr>
                <w:color w:val="000000"/>
              </w:rPr>
            </w:pPr>
            <w:r>
              <w:rPr>
                <w:color w:val="99CC00"/>
                <w:sz w:val="18"/>
                <w:szCs w:val="18"/>
              </w:rPr>
              <w:t>5</w:t>
            </w:r>
          </w:p>
        </w:tc>
        <w:tc>
          <w:tcPr>
            <w:tcW w:w="535" w:type="dxa"/>
          </w:tcPr>
          <w:p w14:paraId="4BF06C2A" w14:textId="77777777" w:rsidR="00B97810" w:rsidRDefault="00B97810" w:rsidP="009F4768">
            <w:pPr>
              <w:pStyle w:val="TableDataEntries"/>
              <w:spacing w:before="60" w:after="60"/>
              <w:jc w:val="center"/>
              <w:rPr>
                <w:color w:val="FFCC00"/>
                <w:sz w:val="18"/>
                <w:szCs w:val="18"/>
              </w:rPr>
            </w:pPr>
            <w:r w:rsidRPr="00474019">
              <w:rPr>
                <w:color w:val="FF9900"/>
                <w:sz w:val="18"/>
                <w:szCs w:val="18"/>
              </w:rPr>
              <w:sym w:font="Webdings" w:char="F067"/>
            </w:r>
          </w:p>
          <w:p w14:paraId="617277CC" w14:textId="77777777" w:rsidR="00B97810" w:rsidRPr="00BE1B5C" w:rsidRDefault="00B97810" w:rsidP="009F4768">
            <w:pPr>
              <w:pStyle w:val="TableDataEntries"/>
              <w:spacing w:before="60" w:after="60"/>
              <w:jc w:val="center"/>
              <w:rPr>
                <w:color w:val="FFCC00"/>
                <w:sz w:val="18"/>
                <w:szCs w:val="18"/>
              </w:rPr>
            </w:pPr>
            <w:r>
              <w:rPr>
                <w:color w:val="FFCC00"/>
                <w:sz w:val="18"/>
                <w:szCs w:val="18"/>
              </w:rPr>
              <w:t>3.1</w:t>
            </w:r>
          </w:p>
        </w:tc>
        <w:tc>
          <w:tcPr>
            <w:tcW w:w="535" w:type="dxa"/>
          </w:tcPr>
          <w:p w14:paraId="7F6AC691" w14:textId="77777777" w:rsidR="00B97810" w:rsidRDefault="00B97810" w:rsidP="009F4768">
            <w:pPr>
              <w:pStyle w:val="TableDataEntries"/>
              <w:spacing w:before="60" w:after="60"/>
              <w:jc w:val="center"/>
              <w:rPr>
                <w:color w:val="FFCC00"/>
                <w:sz w:val="18"/>
                <w:szCs w:val="18"/>
              </w:rPr>
            </w:pPr>
            <w:r w:rsidRPr="00BE1B5C">
              <w:rPr>
                <w:color w:val="FFCC00"/>
                <w:sz w:val="18"/>
                <w:szCs w:val="18"/>
              </w:rPr>
              <w:sym w:font="Webdings" w:char="F067"/>
            </w:r>
          </w:p>
          <w:p w14:paraId="3E509360" w14:textId="77777777" w:rsidR="00B97810" w:rsidRPr="004F78AA" w:rsidRDefault="00B97810" w:rsidP="009F4768">
            <w:pPr>
              <w:pStyle w:val="TableDataEntries"/>
              <w:spacing w:before="60" w:after="60"/>
              <w:jc w:val="center"/>
              <w:rPr>
                <w:color w:val="99CC00"/>
                <w:sz w:val="22"/>
                <w:szCs w:val="22"/>
              </w:rPr>
            </w:pPr>
            <w:r>
              <w:rPr>
                <w:color w:val="FFCC00"/>
                <w:sz w:val="18"/>
                <w:szCs w:val="18"/>
              </w:rPr>
              <w:t>3.8</w:t>
            </w:r>
          </w:p>
        </w:tc>
      </w:tr>
      <w:tr w:rsidR="00B97810" w:rsidRPr="00FD3D0A" w14:paraId="068223DD" w14:textId="77777777" w:rsidTr="00CB328F">
        <w:tc>
          <w:tcPr>
            <w:tcW w:w="3240" w:type="dxa"/>
          </w:tcPr>
          <w:p w14:paraId="13C58BEB" w14:textId="1E56F8AB" w:rsidR="00B97810" w:rsidRPr="00887FD1" w:rsidRDefault="00B97810">
            <w:pPr>
              <w:pStyle w:val="TableTextEntries"/>
              <w:spacing w:line="240" w:lineRule="auto"/>
              <w:ind w:right="-108"/>
            </w:pPr>
            <w:r w:rsidRPr="00887FD1">
              <w:t xml:space="preserve">Outcome 3: Growth </w:t>
            </w:r>
            <w:r w:rsidR="00764EC7">
              <w:t>and e</w:t>
            </w:r>
            <w:r w:rsidRPr="00887FD1">
              <w:t xml:space="preserve">conomic </w:t>
            </w:r>
            <w:r w:rsidR="00764EC7">
              <w:t>m</w:t>
            </w:r>
            <w:r w:rsidR="00764EC7" w:rsidRPr="00887FD1">
              <w:t>anagement</w:t>
            </w:r>
          </w:p>
        </w:tc>
        <w:tc>
          <w:tcPr>
            <w:tcW w:w="1200" w:type="dxa"/>
          </w:tcPr>
          <w:p w14:paraId="1C9565CE" w14:textId="77777777" w:rsidR="00B97810" w:rsidRPr="00887FD1" w:rsidRDefault="00B97810" w:rsidP="009F4768">
            <w:pPr>
              <w:pStyle w:val="TableTextEntries"/>
              <w:spacing w:line="240" w:lineRule="auto"/>
            </w:pPr>
            <w:r w:rsidRPr="00887FD1">
              <w:t>$</w:t>
            </w:r>
            <w:r>
              <w:t>4</w:t>
            </w:r>
            <w:r w:rsidRPr="00887FD1">
              <w:t xml:space="preserve"> million</w:t>
            </w:r>
          </w:p>
        </w:tc>
        <w:tc>
          <w:tcPr>
            <w:tcW w:w="480" w:type="dxa"/>
          </w:tcPr>
          <w:p w14:paraId="2A6F427D" w14:textId="77777777" w:rsidR="00B97810" w:rsidRDefault="00B97810" w:rsidP="009F4768">
            <w:pPr>
              <w:pStyle w:val="TableDataEntries"/>
              <w:spacing w:before="60" w:after="60"/>
              <w:jc w:val="center"/>
              <w:rPr>
                <w:color w:val="99CC00"/>
                <w:sz w:val="18"/>
                <w:szCs w:val="18"/>
              </w:rPr>
            </w:pPr>
            <w:r>
              <w:rPr>
                <w:color w:val="99CC00"/>
                <w:sz w:val="18"/>
                <w:szCs w:val="18"/>
              </w:rPr>
              <w:sym w:font="Webdings" w:char="F067"/>
            </w:r>
          </w:p>
          <w:p w14:paraId="09568729" w14:textId="77777777" w:rsidR="00B97810" w:rsidRPr="004F78AA" w:rsidRDefault="00B97810" w:rsidP="009F4768">
            <w:pPr>
              <w:pStyle w:val="TableDataEntries"/>
              <w:spacing w:before="60" w:after="60"/>
              <w:jc w:val="center"/>
              <w:rPr>
                <w:color w:val="000000"/>
              </w:rPr>
            </w:pPr>
            <w:r>
              <w:rPr>
                <w:color w:val="99CC00"/>
                <w:sz w:val="18"/>
                <w:szCs w:val="18"/>
              </w:rPr>
              <w:t>6</w:t>
            </w:r>
          </w:p>
        </w:tc>
        <w:tc>
          <w:tcPr>
            <w:tcW w:w="480" w:type="dxa"/>
          </w:tcPr>
          <w:p w14:paraId="578BE9E3" w14:textId="77777777" w:rsidR="00B97810" w:rsidRDefault="00B97810" w:rsidP="009F4768">
            <w:pPr>
              <w:pStyle w:val="TableDataEntries"/>
              <w:spacing w:before="60" w:after="60"/>
              <w:jc w:val="center"/>
              <w:rPr>
                <w:color w:val="FFCC00"/>
                <w:sz w:val="18"/>
                <w:szCs w:val="18"/>
              </w:rPr>
            </w:pPr>
            <w:r w:rsidRPr="00BE1B5C">
              <w:rPr>
                <w:color w:val="FFCC00"/>
                <w:sz w:val="18"/>
                <w:szCs w:val="18"/>
              </w:rPr>
              <w:sym w:font="Webdings" w:char="F067"/>
            </w:r>
          </w:p>
          <w:p w14:paraId="2D9899EF" w14:textId="77777777" w:rsidR="00B97810" w:rsidRPr="004F78AA" w:rsidRDefault="00B97810" w:rsidP="009F4768">
            <w:pPr>
              <w:pStyle w:val="TableDataEntries"/>
              <w:spacing w:before="60" w:after="60"/>
              <w:jc w:val="center"/>
              <w:rPr>
                <w:color w:val="000000"/>
              </w:rPr>
            </w:pPr>
            <w:r>
              <w:rPr>
                <w:color w:val="FFCC00"/>
                <w:sz w:val="18"/>
                <w:szCs w:val="18"/>
              </w:rPr>
              <w:t>4</w:t>
            </w:r>
          </w:p>
        </w:tc>
        <w:tc>
          <w:tcPr>
            <w:tcW w:w="480" w:type="dxa"/>
          </w:tcPr>
          <w:p w14:paraId="525631F3" w14:textId="77777777" w:rsidR="00B97810" w:rsidRPr="004F78AA" w:rsidRDefault="00B97810" w:rsidP="009F4768">
            <w:pPr>
              <w:pStyle w:val="TableDataEntries"/>
              <w:spacing w:before="60" w:after="60"/>
              <w:jc w:val="center"/>
              <w:rPr>
                <w:color w:val="000000"/>
              </w:rPr>
            </w:pPr>
            <w:r w:rsidRPr="00BE1B5C">
              <w:rPr>
                <w:color w:val="FF9900"/>
                <w:sz w:val="18"/>
                <w:szCs w:val="18"/>
              </w:rPr>
              <w:sym w:font="Webdings" w:char="F067"/>
            </w:r>
            <w:r>
              <w:rPr>
                <w:color w:val="FF9900"/>
                <w:sz w:val="18"/>
                <w:szCs w:val="18"/>
              </w:rPr>
              <w:t>3</w:t>
            </w:r>
          </w:p>
        </w:tc>
        <w:tc>
          <w:tcPr>
            <w:tcW w:w="600" w:type="dxa"/>
          </w:tcPr>
          <w:p w14:paraId="4FC72618" w14:textId="77777777" w:rsidR="00B97810" w:rsidRDefault="00B97810" w:rsidP="009F4768">
            <w:pPr>
              <w:pStyle w:val="TableDataEntries"/>
              <w:spacing w:before="60" w:after="60"/>
              <w:jc w:val="center"/>
              <w:rPr>
                <w:color w:val="FF9900"/>
                <w:sz w:val="18"/>
                <w:szCs w:val="18"/>
              </w:rPr>
            </w:pPr>
            <w:r w:rsidRPr="00BE1B5C">
              <w:rPr>
                <w:color w:val="FF9900"/>
                <w:sz w:val="18"/>
                <w:szCs w:val="18"/>
              </w:rPr>
              <w:sym w:font="Webdings" w:char="F067"/>
            </w:r>
          </w:p>
          <w:p w14:paraId="260D595C" w14:textId="77777777" w:rsidR="00B97810" w:rsidRPr="004F78AA" w:rsidRDefault="00B97810" w:rsidP="009F4768">
            <w:pPr>
              <w:pStyle w:val="TableDataEntries"/>
              <w:spacing w:before="60" w:after="60"/>
              <w:jc w:val="center"/>
              <w:rPr>
                <w:color w:val="000000"/>
              </w:rPr>
            </w:pPr>
            <w:r>
              <w:rPr>
                <w:color w:val="FF9900"/>
                <w:sz w:val="18"/>
                <w:szCs w:val="18"/>
              </w:rPr>
              <w:t>3</w:t>
            </w:r>
          </w:p>
        </w:tc>
        <w:tc>
          <w:tcPr>
            <w:tcW w:w="480" w:type="dxa"/>
          </w:tcPr>
          <w:p w14:paraId="6929F4D0" w14:textId="77777777" w:rsidR="00B97810" w:rsidRDefault="00B97810" w:rsidP="009F4768">
            <w:pPr>
              <w:pStyle w:val="TableDataEntries"/>
              <w:spacing w:before="60" w:after="60"/>
              <w:jc w:val="center"/>
              <w:rPr>
                <w:color w:val="99CC00"/>
                <w:sz w:val="18"/>
                <w:szCs w:val="18"/>
              </w:rPr>
            </w:pPr>
            <w:r w:rsidRPr="00DF1246">
              <w:rPr>
                <w:color w:val="99CC00"/>
                <w:sz w:val="18"/>
                <w:szCs w:val="18"/>
              </w:rPr>
              <w:sym w:font="Webdings" w:char="F067"/>
            </w:r>
          </w:p>
          <w:p w14:paraId="09A1B9F7" w14:textId="77777777" w:rsidR="00B97810" w:rsidRPr="004F78AA" w:rsidRDefault="00B97810" w:rsidP="009F4768">
            <w:pPr>
              <w:pStyle w:val="TableDataEntries"/>
              <w:spacing w:before="60" w:after="60"/>
              <w:jc w:val="center"/>
              <w:rPr>
                <w:color w:val="000000"/>
              </w:rPr>
            </w:pPr>
            <w:r>
              <w:rPr>
                <w:color w:val="99CC00"/>
                <w:sz w:val="18"/>
                <w:szCs w:val="18"/>
              </w:rPr>
              <w:t>5</w:t>
            </w:r>
          </w:p>
        </w:tc>
        <w:tc>
          <w:tcPr>
            <w:tcW w:w="583" w:type="dxa"/>
          </w:tcPr>
          <w:p w14:paraId="1C67E983" w14:textId="77777777" w:rsidR="00B97810" w:rsidRDefault="00B97810" w:rsidP="009F4768">
            <w:pPr>
              <w:pStyle w:val="TableDataEntries"/>
              <w:spacing w:before="60" w:after="60"/>
              <w:jc w:val="center"/>
              <w:rPr>
                <w:color w:val="FFCC00"/>
                <w:sz w:val="18"/>
                <w:szCs w:val="18"/>
              </w:rPr>
            </w:pPr>
            <w:r w:rsidRPr="00BE1B5C">
              <w:rPr>
                <w:color w:val="FFCC00"/>
                <w:sz w:val="18"/>
                <w:szCs w:val="18"/>
              </w:rPr>
              <w:sym w:font="Webdings" w:char="F067"/>
            </w:r>
          </w:p>
          <w:p w14:paraId="59760395" w14:textId="77777777" w:rsidR="00B97810" w:rsidRPr="004F78AA" w:rsidRDefault="00B97810" w:rsidP="009F4768">
            <w:pPr>
              <w:pStyle w:val="TableDataEntries"/>
              <w:spacing w:before="60" w:after="60"/>
              <w:jc w:val="center"/>
              <w:rPr>
                <w:color w:val="000000"/>
              </w:rPr>
            </w:pPr>
            <w:r>
              <w:rPr>
                <w:color w:val="FFCC00"/>
                <w:sz w:val="18"/>
                <w:szCs w:val="18"/>
              </w:rPr>
              <w:t>4</w:t>
            </w:r>
          </w:p>
        </w:tc>
        <w:tc>
          <w:tcPr>
            <w:tcW w:w="535" w:type="dxa"/>
          </w:tcPr>
          <w:p w14:paraId="1F743F6D" w14:textId="77777777" w:rsidR="00B97810" w:rsidRDefault="00B97810" w:rsidP="009F4768">
            <w:pPr>
              <w:pStyle w:val="TableDataEntries"/>
              <w:spacing w:before="120" w:after="60"/>
              <w:jc w:val="center"/>
              <w:rPr>
                <w:color w:val="FF9900"/>
                <w:sz w:val="18"/>
                <w:szCs w:val="18"/>
              </w:rPr>
            </w:pPr>
            <w:r w:rsidRPr="00474019">
              <w:rPr>
                <w:color w:val="FFCC00"/>
                <w:sz w:val="18"/>
                <w:szCs w:val="18"/>
              </w:rPr>
              <w:sym w:font="Webdings" w:char="F067"/>
            </w:r>
            <w:r>
              <w:rPr>
                <w:szCs w:val="14"/>
              </w:rPr>
              <w:t xml:space="preserve"> </w:t>
            </w:r>
          </w:p>
          <w:p w14:paraId="49B1F956" w14:textId="77777777" w:rsidR="00B97810" w:rsidRPr="00BE1B5C" w:rsidRDefault="00B97810" w:rsidP="009F4768">
            <w:pPr>
              <w:pStyle w:val="TableDataEntries"/>
              <w:spacing w:before="120" w:after="60"/>
              <w:jc w:val="center"/>
              <w:rPr>
                <w:color w:val="FF9900"/>
                <w:sz w:val="18"/>
                <w:szCs w:val="18"/>
              </w:rPr>
            </w:pPr>
            <w:r>
              <w:rPr>
                <w:color w:val="FF9900"/>
                <w:sz w:val="18"/>
                <w:szCs w:val="18"/>
              </w:rPr>
              <w:t>4.1</w:t>
            </w:r>
          </w:p>
        </w:tc>
        <w:tc>
          <w:tcPr>
            <w:tcW w:w="535" w:type="dxa"/>
          </w:tcPr>
          <w:p w14:paraId="4BB72FAF" w14:textId="77777777" w:rsidR="00B97810" w:rsidRDefault="00B97810" w:rsidP="009F4768">
            <w:pPr>
              <w:pStyle w:val="TableDataEntries"/>
              <w:spacing w:before="120" w:after="60"/>
              <w:jc w:val="center"/>
              <w:rPr>
                <w:color w:val="FF9900"/>
                <w:sz w:val="18"/>
                <w:szCs w:val="18"/>
              </w:rPr>
            </w:pPr>
            <w:r w:rsidRPr="00BE1B5C">
              <w:rPr>
                <w:color w:val="FF9900"/>
                <w:sz w:val="18"/>
                <w:szCs w:val="18"/>
              </w:rPr>
              <w:sym w:font="Webdings" w:char="F067"/>
            </w:r>
          </w:p>
          <w:p w14:paraId="4DAD2570" w14:textId="77777777" w:rsidR="00B97810" w:rsidRPr="00BF3B32" w:rsidRDefault="00B97810" w:rsidP="009F4768">
            <w:pPr>
              <w:pStyle w:val="TableDataEntries"/>
              <w:spacing w:before="120" w:after="60"/>
              <w:jc w:val="center"/>
              <w:rPr>
                <w:color w:val="FF0000"/>
                <w:sz w:val="22"/>
                <w:szCs w:val="22"/>
              </w:rPr>
            </w:pPr>
            <w:r>
              <w:rPr>
                <w:color w:val="FF9900"/>
                <w:sz w:val="18"/>
                <w:szCs w:val="18"/>
              </w:rPr>
              <w:t>2.6</w:t>
            </w:r>
          </w:p>
        </w:tc>
      </w:tr>
      <w:tr w:rsidR="00B97810" w:rsidRPr="00FD3D0A" w14:paraId="1A7E777F" w14:textId="77777777" w:rsidTr="00CB328F">
        <w:tc>
          <w:tcPr>
            <w:tcW w:w="3240" w:type="dxa"/>
          </w:tcPr>
          <w:p w14:paraId="49A69786" w14:textId="3971CADB" w:rsidR="00B97810" w:rsidRPr="00887FD1" w:rsidRDefault="00B97810">
            <w:pPr>
              <w:pStyle w:val="TableTextColumnHeading"/>
              <w:spacing w:before="40" w:after="40" w:line="240" w:lineRule="auto"/>
              <w:ind w:right="-108"/>
              <w:rPr>
                <w:rFonts w:ascii="Franklin Gothic Book" w:hAnsi="Franklin Gothic Book"/>
              </w:rPr>
            </w:pPr>
            <w:r>
              <w:rPr>
                <w:rFonts w:ascii="Franklin Gothic Book" w:hAnsi="Franklin Gothic Book"/>
              </w:rPr>
              <w:t xml:space="preserve">Climate </w:t>
            </w:r>
            <w:r w:rsidR="00764EC7">
              <w:rPr>
                <w:rFonts w:ascii="Franklin Gothic Book" w:hAnsi="Franklin Gothic Book"/>
              </w:rPr>
              <w:t xml:space="preserve">change </w:t>
            </w:r>
            <w:r>
              <w:rPr>
                <w:rFonts w:ascii="Franklin Gothic Book" w:hAnsi="Franklin Gothic Book"/>
              </w:rPr>
              <w:t xml:space="preserve">and </w:t>
            </w:r>
            <w:r w:rsidR="00764EC7">
              <w:rPr>
                <w:rFonts w:ascii="Franklin Gothic Book" w:hAnsi="Franklin Gothic Book"/>
              </w:rPr>
              <w:t>infrastructure</w:t>
            </w:r>
            <w:r>
              <w:rPr>
                <w:rStyle w:val="FootnoteReference"/>
                <w:szCs w:val="12"/>
              </w:rPr>
              <w:footnoteReference w:id="12"/>
            </w:r>
          </w:p>
        </w:tc>
        <w:tc>
          <w:tcPr>
            <w:tcW w:w="1200" w:type="dxa"/>
          </w:tcPr>
          <w:p w14:paraId="170FB90A" w14:textId="6093A539" w:rsidR="00B97810" w:rsidRPr="00887FD1" w:rsidRDefault="00B97810" w:rsidP="009F4768">
            <w:pPr>
              <w:pStyle w:val="TableTextEntries"/>
              <w:spacing w:line="240" w:lineRule="auto"/>
            </w:pPr>
            <w:r w:rsidRPr="00887FD1">
              <w:t>$</w:t>
            </w:r>
            <w:r>
              <w:t>19.5</w:t>
            </w:r>
            <w:r w:rsidR="00764EC7">
              <w:t xml:space="preserve"> </w:t>
            </w:r>
            <w:r w:rsidRPr="00887FD1">
              <w:t>million</w:t>
            </w:r>
          </w:p>
        </w:tc>
        <w:tc>
          <w:tcPr>
            <w:tcW w:w="480" w:type="dxa"/>
          </w:tcPr>
          <w:p w14:paraId="513A6170" w14:textId="77777777" w:rsidR="00B97810" w:rsidRDefault="00B97810" w:rsidP="009F4768">
            <w:pPr>
              <w:pStyle w:val="TableDataEntries"/>
              <w:jc w:val="center"/>
              <w:rPr>
                <w:color w:val="99CC00"/>
                <w:sz w:val="18"/>
                <w:szCs w:val="18"/>
              </w:rPr>
            </w:pPr>
            <w:r>
              <w:rPr>
                <w:color w:val="99CC00"/>
                <w:sz w:val="18"/>
                <w:szCs w:val="18"/>
              </w:rPr>
              <w:sym w:font="Webdings" w:char="F067"/>
            </w:r>
          </w:p>
          <w:p w14:paraId="47B8F75B" w14:textId="77777777" w:rsidR="00B97810" w:rsidRPr="004F78AA" w:rsidRDefault="00B97810" w:rsidP="009F4768">
            <w:pPr>
              <w:pStyle w:val="TableDataEntries"/>
              <w:jc w:val="center"/>
              <w:rPr>
                <w:color w:val="99CC00"/>
                <w:sz w:val="22"/>
                <w:szCs w:val="22"/>
              </w:rPr>
            </w:pPr>
            <w:r>
              <w:rPr>
                <w:color w:val="99CC00"/>
                <w:sz w:val="18"/>
                <w:szCs w:val="18"/>
              </w:rPr>
              <w:t>6</w:t>
            </w:r>
          </w:p>
        </w:tc>
        <w:tc>
          <w:tcPr>
            <w:tcW w:w="480" w:type="dxa"/>
          </w:tcPr>
          <w:p w14:paraId="1DF62697" w14:textId="77777777" w:rsidR="00B97810" w:rsidRDefault="00B97810" w:rsidP="009F4768">
            <w:pPr>
              <w:pStyle w:val="TableDataEntries"/>
              <w:jc w:val="center"/>
              <w:rPr>
                <w:color w:val="FFCC00"/>
                <w:sz w:val="18"/>
                <w:szCs w:val="18"/>
              </w:rPr>
            </w:pPr>
            <w:r w:rsidRPr="00BE1B5C">
              <w:rPr>
                <w:color w:val="FFCC00"/>
                <w:sz w:val="18"/>
                <w:szCs w:val="18"/>
              </w:rPr>
              <w:sym w:font="Webdings" w:char="F067"/>
            </w:r>
          </w:p>
          <w:p w14:paraId="0733421B" w14:textId="77777777" w:rsidR="00B97810" w:rsidRPr="004F78AA" w:rsidRDefault="00B97810" w:rsidP="009F4768">
            <w:pPr>
              <w:pStyle w:val="TableDataEntries"/>
              <w:jc w:val="center"/>
              <w:rPr>
                <w:color w:val="99CC00"/>
                <w:sz w:val="22"/>
                <w:szCs w:val="22"/>
              </w:rPr>
            </w:pPr>
            <w:r>
              <w:rPr>
                <w:color w:val="FFCC00"/>
                <w:sz w:val="18"/>
                <w:szCs w:val="18"/>
              </w:rPr>
              <w:t>4</w:t>
            </w:r>
          </w:p>
        </w:tc>
        <w:tc>
          <w:tcPr>
            <w:tcW w:w="480" w:type="dxa"/>
          </w:tcPr>
          <w:p w14:paraId="547BB1B7" w14:textId="77777777" w:rsidR="00B97810" w:rsidRDefault="00B97810" w:rsidP="009F4768">
            <w:pPr>
              <w:pStyle w:val="TableDataEntries"/>
              <w:jc w:val="center"/>
              <w:rPr>
                <w:color w:val="FFCC00"/>
                <w:sz w:val="18"/>
                <w:szCs w:val="18"/>
              </w:rPr>
            </w:pPr>
            <w:r w:rsidRPr="00BE1B5C">
              <w:rPr>
                <w:color w:val="FFCC00"/>
                <w:sz w:val="18"/>
                <w:szCs w:val="18"/>
              </w:rPr>
              <w:sym w:font="Webdings" w:char="F067"/>
            </w:r>
          </w:p>
          <w:p w14:paraId="285DA441" w14:textId="77777777" w:rsidR="00B97810" w:rsidRPr="004F78AA" w:rsidRDefault="00B97810" w:rsidP="009F4768">
            <w:pPr>
              <w:pStyle w:val="TableDataEntries"/>
              <w:jc w:val="center"/>
              <w:rPr>
                <w:color w:val="000000"/>
              </w:rPr>
            </w:pPr>
            <w:r>
              <w:rPr>
                <w:color w:val="FFCC00"/>
                <w:sz w:val="18"/>
                <w:szCs w:val="18"/>
              </w:rPr>
              <w:t>4</w:t>
            </w:r>
          </w:p>
        </w:tc>
        <w:tc>
          <w:tcPr>
            <w:tcW w:w="600" w:type="dxa"/>
          </w:tcPr>
          <w:p w14:paraId="2B73253C" w14:textId="77777777" w:rsidR="00B97810" w:rsidRDefault="00B97810" w:rsidP="009F4768">
            <w:pPr>
              <w:pStyle w:val="TableDataEntries"/>
              <w:jc w:val="center"/>
              <w:rPr>
                <w:color w:val="FFCC00"/>
                <w:sz w:val="18"/>
                <w:szCs w:val="18"/>
              </w:rPr>
            </w:pPr>
            <w:r w:rsidRPr="00BE1B5C">
              <w:rPr>
                <w:color w:val="FFCC00"/>
                <w:sz w:val="18"/>
                <w:szCs w:val="18"/>
              </w:rPr>
              <w:sym w:font="Webdings" w:char="F067"/>
            </w:r>
          </w:p>
          <w:p w14:paraId="7B683D8B" w14:textId="77777777" w:rsidR="00B97810" w:rsidRPr="004F78AA" w:rsidRDefault="00B97810" w:rsidP="009F4768">
            <w:pPr>
              <w:pStyle w:val="TableDataEntries"/>
              <w:jc w:val="center"/>
              <w:rPr>
                <w:color w:val="FFCC00"/>
                <w:sz w:val="22"/>
                <w:szCs w:val="22"/>
              </w:rPr>
            </w:pPr>
            <w:r>
              <w:rPr>
                <w:color w:val="FFCC00"/>
                <w:sz w:val="18"/>
                <w:szCs w:val="18"/>
              </w:rPr>
              <w:t>4</w:t>
            </w:r>
          </w:p>
        </w:tc>
        <w:tc>
          <w:tcPr>
            <w:tcW w:w="480" w:type="dxa"/>
          </w:tcPr>
          <w:p w14:paraId="690DFA06" w14:textId="77777777" w:rsidR="00B97810" w:rsidRDefault="00B97810" w:rsidP="009F4768">
            <w:pPr>
              <w:pStyle w:val="TableDataEntries"/>
              <w:jc w:val="center"/>
              <w:rPr>
                <w:color w:val="99CC00"/>
                <w:sz w:val="18"/>
                <w:szCs w:val="18"/>
              </w:rPr>
            </w:pPr>
            <w:r w:rsidRPr="00DF1246">
              <w:rPr>
                <w:color w:val="99CC00"/>
                <w:sz w:val="18"/>
                <w:szCs w:val="18"/>
              </w:rPr>
              <w:sym w:font="Webdings" w:char="F067"/>
            </w:r>
          </w:p>
          <w:p w14:paraId="583DB42F" w14:textId="77777777" w:rsidR="00B97810" w:rsidRPr="004F78AA" w:rsidRDefault="00B97810" w:rsidP="009F4768">
            <w:pPr>
              <w:pStyle w:val="TableDataEntries"/>
              <w:jc w:val="center"/>
              <w:rPr>
                <w:color w:val="000000"/>
              </w:rPr>
            </w:pPr>
            <w:r>
              <w:rPr>
                <w:color w:val="99CC00"/>
                <w:sz w:val="18"/>
                <w:szCs w:val="18"/>
              </w:rPr>
              <w:t>5</w:t>
            </w:r>
          </w:p>
        </w:tc>
        <w:tc>
          <w:tcPr>
            <w:tcW w:w="583" w:type="dxa"/>
          </w:tcPr>
          <w:p w14:paraId="52366084" w14:textId="77777777" w:rsidR="00B97810" w:rsidRDefault="00B97810" w:rsidP="009F4768">
            <w:pPr>
              <w:pStyle w:val="TableDataEntries"/>
              <w:jc w:val="center"/>
              <w:rPr>
                <w:color w:val="FFCC00"/>
                <w:sz w:val="18"/>
                <w:szCs w:val="18"/>
              </w:rPr>
            </w:pPr>
            <w:r w:rsidRPr="00BE1B5C">
              <w:rPr>
                <w:color w:val="FFCC00"/>
                <w:sz w:val="18"/>
                <w:szCs w:val="18"/>
              </w:rPr>
              <w:sym w:font="Webdings" w:char="F067"/>
            </w:r>
          </w:p>
          <w:p w14:paraId="0B2181F2" w14:textId="77777777" w:rsidR="00B97810" w:rsidRPr="004F78AA" w:rsidRDefault="00B97810" w:rsidP="009F4768">
            <w:pPr>
              <w:pStyle w:val="TableDataEntries"/>
              <w:jc w:val="center"/>
              <w:rPr>
                <w:color w:val="FFCC00"/>
                <w:sz w:val="22"/>
                <w:szCs w:val="22"/>
              </w:rPr>
            </w:pPr>
            <w:r>
              <w:rPr>
                <w:color w:val="FFCC00"/>
                <w:sz w:val="18"/>
                <w:szCs w:val="18"/>
              </w:rPr>
              <w:t>4</w:t>
            </w:r>
          </w:p>
        </w:tc>
        <w:tc>
          <w:tcPr>
            <w:tcW w:w="535" w:type="dxa"/>
          </w:tcPr>
          <w:p w14:paraId="180BB41C" w14:textId="77777777" w:rsidR="00326B4C" w:rsidRDefault="00326B4C" w:rsidP="00326B4C">
            <w:pPr>
              <w:pStyle w:val="TableDataEntries"/>
              <w:jc w:val="center"/>
              <w:rPr>
                <w:color w:val="99CC00"/>
                <w:sz w:val="18"/>
                <w:szCs w:val="18"/>
              </w:rPr>
            </w:pPr>
            <w:r w:rsidRPr="00DF1246">
              <w:rPr>
                <w:color w:val="99CC00"/>
                <w:sz w:val="18"/>
                <w:szCs w:val="18"/>
              </w:rPr>
              <w:sym w:font="Webdings" w:char="F067"/>
            </w:r>
          </w:p>
          <w:p w14:paraId="79F8280A" w14:textId="468E721E" w:rsidR="00B97810" w:rsidRPr="00BE1B5C" w:rsidRDefault="00326B4C" w:rsidP="00326B4C">
            <w:pPr>
              <w:pStyle w:val="TableDataEntries"/>
              <w:spacing w:before="120"/>
              <w:jc w:val="center"/>
              <w:rPr>
                <w:color w:val="FFCC00"/>
                <w:sz w:val="18"/>
                <w:szCs w:val="18"/>
              </w:rPr>
            </w:pPr>
            <w:r>
              <w:rPr>
                <w:color w:val="99CC00"/>
                <w:sz w:val="18"/>
                <w:szCs w:val="18"/>
              </w:rPr>
              <w:t>4.5</w:t>
            </w:r>
          </w:p>
        </w:tc>
        <w:tc>
          <w:tcPr>
            <w:tcW w:w="535" w:type="dxa"/>
          </w:tcPr>
          <w:p w14:paraId="3DEA057A" w14:textId="77777777" w:rsidR="00326B4C" w:rsidRDefault="00326B4C" w:rsidP="00326B4C">
            <w:pPr>
              <w:pStyle w:val="TableDataEntries"/>
              <w:spacing w:before="60" w:after="60"/>
              <w:jc w:val="center"/>
              <w:rPr>
                <w:color w:val="FFCC00"/>
                <w:sz w:val="18"/>
                <w:szCs w:val="18"/>
              </w:rPr>
            </w:pPr>
            <w:r w:rsidRPr="00BE1B5C">
              <w:rPr>
                <w:color w:val="FFCC00"/>
                <w:sz w:val="18"/>
                <w:szCs w:val="18"/>
              </w:rPr>
              <w:sym w:font="Webdings" w:char="F067"/>
            </w:r>
          </w:p>
          <w:p w14:paraId="6609A150" w14:textId="55E0F51B" w:rsidR="00B97810" w:rsidRPr="004F78AA" w:rsidRDefault="00326B4C" w:rsidP="00326B4C">
            <w:pPr>
              <w:pStyle w:val="TableDataEntries"/>
              <w:spacing w:before="120"/>
              <w:jc w:val="center"/>
              <w:rPr>
                <w:color w:val="FFCC00"/>
                <w:sz w:val="22"/>
                <w:szCs w:val="22"/>
              </w:rPr>
            </w:pPr>
            <w:r>
              <w:rPr>
                <w:color w:val="FFCC00"/>
                <w:sz w:val="18"/>
                <w:szCs w:val="18"/>
              </w:rPr>
              <w:t>4.1</w:t>
            </w:r>
          </w:p>
        </w:tc>
      </w:tr>
    </w:tbl>
    <w:p w14:paraId="00BAF92A" w14:textId="77777777" w:rsidR="00B97810" w:rsidRDefault="00B97810" w:rsidP="002F18A6">
      <w:pPr>
        <w:pStyle w:val="Note"/>
        <w:rPr>
          <w:rFonts w:ascii="Franklin Gothic Medium" w:hAnsi="Franklin Gothic Medium"/>
        </w:rPr>
      </w:pPr>
    </w:p>
    <w:p w14:paraId="1FF57250" w14:textId="77777777" w:rsidR="00B97810" w:rsidRPr="00AF63F8" w:rsidRDefault="00B97810" w:rsidP="002F18A6">
      <w:pPr>
        <w:pStyle w:val="Note"/>
        <w:rPr>
          <w:rFonts w:ascii="Franklin Gothic Medium" w:hAnsi="Franklin Gothic Medium"/>
        </w:rPr>
      </w:pPr>
      <w:r w:rsidRPr="00AF63F8">
        <w:rPr>
          <w:rFonts w:ascii="Franklin Gothic Medium" w:hAnsi="Franklin Gothic Medium"/>
        </w:rPr>
        <w:t>Definitions of rating scale</w:t>
      </w:r>
      <w:r>
        <w:rPr>
          <w:rFonts w:ascii="Franklin Gothic Medium" w:hAnsi="Franklin Gothic Medium"/>
        </w:rPr>
        <w:t>:</w:t>
      </w:r>
    </w:p>
    <w:tbl>
      <w:tblPr>
        <w:tblW w:w="7938"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3946"/>
        <w:gridCol w:w="3992"/>
      </w:tblGrid>
      <w:tr w:rsidR="00B97810" w:rsidRPr="00AF63F8" w14:paraId="2F66A692" w14:textId="77777777" w:rsidTr="009F4768">
        <w:trPr>
          <w:cantSplit/>
        </w:trPr>
        <w:tc>
          <w:tcPr>
            <w:tcW w:w="3946" w:type="dxa"/>
            <w:tcBorders>
              <w:top w:val="nil"/>
              <w:left w:val="nil"/>
              <w:bottom w:val="nil"/>
              <w:right w:val="nil"/>
            </w:tcBorders>
            <w:noWrap/>
            <w:vAlign w:val="bottom"/>
          </w:tcPr>
          <w:p w14:paraId="262F276E" w14:textId="77777777" w:rsidR="00B97810" w:rsidRPr="003359A1" w:rsidRDefault="00B97810" w:rsidP="009F4768">
            <w:pPr>
              <w:pStyle w:val="Note"/>
              <w:spacing w:before="20" w:after="20"/>
              <w:ind w:left="-57"/>
              <w:rPr>
                <w:rFonts w:ascii="Franklin Gothic Medium" w:hAnsi="Franklin Gothic Medium"/>
                <w:szCs w:val="14"/>
                <w:lang w:eastAsia="en-US"/>
              </w:rPr>
            </w:pPr>
            <w:r w:rsidRPr="003359A1">
              <w:rPr>
                <w:rFonts w:ascii="Franklin Gothic Medium" w:hAnsi="Franklin Gothic Medium"/>
                <w:szCs w:val="14"/>
                <w:lang w:eastAsia="en-US"/>
              </w:rPr>
              <w:t>Satisfactory (4, 5 and 6)</w:t>
            </w:r>
          </w:p>
        </w:tc>
        <w:tc>
          <w:tcPr>
            <w:tcW w:w="3992" w:type="dxa"/>
            <w:tcBorders>
              <w:top w:val="nil"/>
              <w:left w:val="nil"/>
              <w:bottom w:val="nil"/>
              <w:right w:val="nil"/>
            </w:tcBorders>
            <w:noWrap/>
            <w:vAlign w:val="bottom"/>
          </w:tcPr>
          <w:p w14:paraId="7A08670F" w14:textId="77777777" w:rsidR="00B97810" w:rsidRPr="003359A1" w:rsidRDefault="00B97810" w:rsidP="009F4768">
            <w:pPr>
              <w:pStyle w:val="Note"/>
              <w:spacing w:before="20" w:after="20"/>
              <w:ind w:left="-57"/>
              <w:rPr>
                <w:rFonts w:ascii="Franklin Gothic Medium" w:hAnsi="Franklin Gothic Medium"/>
                <w:szCs w:val="14"/>
                <w:lang w:eastAsia="en-US"/>
              </w:rPr>
            </w:pPr>
            <w:r w:rsidRPr="003359A1">
              <w:rPr>
                <w:rFonts w:ascii="Franklin Gothic Medium" w:hAnsi="Franklin Gothic Medium"/>
                <w:szCs w:val="14"/>
                <w:lang w:eastAsia="en-US"/>
              </w:rPr>
              <w:t>Less than satisfactory (1, 2 and 3)</w:t>
            </w:r>
          </w:p>
        </w:tc>
      </w:tr>
      <w:tr w:rsidR="00B97810" w:rsidRPr="00D7139C" w14:paraId="25D094A6" w14:textId="77777777" w:rsidTr="009F4768">
        <w:trPr>
          <w:cantSplit/>
          <w:trHeight w:val="227"/>
        </w:trPr>
        <w:tc>
          <w:tcPr>
            <w:tcW w:w="3946" w:type="dxa"/>
            <w:tcBorders>
              <w:top w:val="nil"/>
              <w:left w:val="nil"/>
              <w:bottom w:val="nil"/>
              <w:right w:val="nil"/>
            </w:tcBorders>
            <w:tcMar>
              <w:top w:w="0" w:type="dxa"/>
              <w:bottom w:w="0" w:type="dxa"/>
            </w:tcMar>
            <w:vAlign w:val="bottom"/>
          </w:tcPr>
          <w:p w14:paraId="1010F181" w14:textId="77777777" w:rsidR="00B97810" w:rsidRPr="003359A1" w:rsidRDefault="00B97810" w:rsidP="009F4768">
            <w:pPr>
              <w:pStyle w:val="Note"/>
              <w:spacing w:before="0"/>
              <w:rPr>
                <w:szCs w:val="14"/>
                <w:lang w:eastAsia="en-US"/>
              </w:rPr>
            </w:pPr>
            <w:r w:rsidRPr="003359A1">
              <w:rPr>
                <w:color w:val="99CC00"/>
                <w:sz w:val="18"/>
                <w:szCs w:val="18"/>
                <w:lang w:eastAsia="en-US"/>
              </w:rPr>
              <w:sym w:font="Webdings" w:char="F067"/>
            </w:r>
            <w:r w:rsidRPr="003359A1">
              <w:rPr>
                <w:szCs w:val="14"/>
                <w:lang w:eastAsia="en-US"/>
              </w:rPr>
              <w:t xml:space="preserve"> = 6 = Very high quality</w:t>
            </w:r>
          </w:p>
        </w:tc>
        <w:tc>
          <w:tcPr>
            <w:tcW w:w="3992" w:type="dxa"/>
            <w:tcBorders>
              <w:top w:val="nil"/>
              <w:left w:val="nil"/>
              <w:bottom w:val="nil"/>
              <w:right w:val="nil"/>
            </w:tcBorders>
            <w:noWrap/>
            <w:tcMar>
              <w:top w:w="0" w:type="dxa"/>
              <w:bottom w:w="0" w:type="dxa"/>
            </w:tcMar>
            <w:vAlign w:val="bottom"/>
          </w:tcPr>
          <w:p w14:paraId="750D99C2" w14:textId="77777777" w:rsidR="00B97810" w:rsidRPr="003359A1" w:rsidRDefault="00B97810" w:rsidP="009F4768">
            <w:pPr>
              <w:pStyle w:val="Note"/>
              <w:spacing w:before="0"/>
              <w:rPr>
                <w:szCs w:val="14"/>
                <w:lang w:eastAsia="en-US"/>
              </w:rPr>
            </w:pPr>
            <w:r w:rsidRPr="003359A1">
              <w:rPr>
                <w:color w:val="FF9900"/>
                <w:sz w:val="18"/>
                <w:szCs w:val="18"/>
                <w:lang w:eastAsia="en-US"/>
              </w:rPr>
              <w:sym w:font="Webdings" w:char="F067"/>
            </w:r>
            <w:r w:rsidRPr="003359A1">
              <w:rPr>
                <w:szCs w:val="14"/>
                <w:lang w:eastAsia="en-US"/>
              </w:rPr>
              <w:t xml:space="preserve"> = 3 = Less than adequate quality; needs significant work</w:t>
            </w:r>
          </w:p>
        </w:tc>
      </w:tr>
      <w:tr w:rsidR="00B97810" w:rsidRPr="00D7139C" w14:paraId="1B394864" w14:textId="77777777" w:rsidTr="009F4768">
        <w:trPr>
          <w:cantSplit/>
          <w:trHeight w:val="227"/>
        </w:trPr>
        <w:tc>
          <w:tcPr>
            <w:tcW w:w="3946" w:type="dxa"/>
            <w:tcBorders>
              <w:top w:val="nil"/>
              <w:left w:val="nil"/>
              <w:bottom w:val="nil"/>
              <w:right w:val="nil"/>
            </w:tcBorders>
            <w:tcMar>
              <w:top w:w="0" w:type="dxa"/>
              <w:bottom w:w="0" w:type="dxa"/>
            </w:tcMar>
            <w:vAlign w:val="bottom"/>
          </w:tcPr>
          <w:p w14:paraId="4DE370CE" w14:textId="77777777" w:rsidR="00B97810" w:rsidRPr="003359A1" w:rsidRDefault="00B97810" w:rsidP="009F4768">
            <w:pPr>
              <w:pStyle w:val="Note"/>
              <w:spacing w:before="0"/>
              <w:rPr>
                <w:szCs w:val="14"/>
                <w:lang w:eastAsia="en-US"/>
              </w:rPr>
            </w:pPr>
            <w:r w:rsidRPr="003359A1">
              <w:rPr>
                <w:color w:val="99CC00"/>
                <w:sz w:val="18"/>
                <w:szCs w:val="18"/>
                <w:lang w:eastAsia="en-US"/>
              </w:rPr>
              <w:sym w:font="Webdings" w:char="F067"/>
            </w:r>
            <w:r w:rsidRPr="003359A1">
              <w:rPr>
                <w:szCs w:val="14"/>
                <w:lang w:eastAsia="en-US"/>
              </w:rPr>
              <w:t xml:space="preserve"> = 5 = Good quality</w:t>
            </w:r>
          </w:p>
        </w:tc>
        <w:tc>
          <w:tcPr>
            <w:tcW w:w="3992" w:type="dxa"/>
            <w:tcBorders>
              <w:top w:val="nil"/>
              <w:left w:val="nil"/>
              <w:bottom w:val="nil"/>
              <w:right w:val="nil"/>
            </w:tcBorders>
            <w:noWrap/>
            <w:tcMar>
              <w:top w:w="0" w:type="dxa"/>
              <w:bottom w:w="0" w:type="dxa"/>
            </w:tcMar>
            <w:vAlign w:val="bottom"/>
          </w:tcPr>
          <w:p w14:paraId="296B7A23" w14:textId="77777777" w:rsidR="00B97810" w:rsidRPr="003359A1" w:rsidRDefault="00B97810" w:rsidP="009F4768">
            <w:pPr>
              <w:pStyle w:val="Note"/>
              <w:spacing w:before="0"/>
              <w:rPr>
                <w:szCs w:val="14"/>
                <w:lang w:eastAsia="en-US"/>
              </w:rPr>
            </w:pPr>
            <w:r w:rsidRPr="003359A1">
              <w:rPr>
                <w:color w:val="FF0000"/>
                <w:sz w:val="18"/>
                <w:szCs w:val="18"/>
                <w:lang w:eastAsia="en-US"/>
              </w:rPr>
              <w:sym w:font="Webdings" w:char="F067"/>
            </w:r>
            <w:r w:rsidRPr="003359A1">
              <w:rPr>
                <w:szCs w:val="14"/>
                <w:lang w:eastAsia="en-US"/>
              </w:rPr>
              <w:t xml:space="preserve"> = 2 = Poor quality; needs major work</w:t>
            </w:r>
          </w:p>
        </w:tc>
      </w:tr>
      <w:tr w:rsidR="00B97810" w:rsidRPr="00D7139C" w14:paraId="54A663FC" w14:textId="77777777" w:rsidTr="009F4768">
        <w:trPr>
          <w:cantSplit/>
          <w:trHeight w:val="227"/>
        </w:trPr>
        <w:tc>
          <w:tcPr>
            <w:tcW w:w="3946" w:type="dxa"/>
            <w:tcBorders>
              <w:top w:val="nil"/>
              <w:left w:val="nil"/>
              <w:bottom w:val="nil"/>
              <w:right w:val="nil"/>
            </w:tcBorders>
            <w:tcMar>
              <w:top w:w="0" w:type="dxa"/>
              <w:bottom w:w="0" w:type="dxa"/>
            </w:tcMar>
            <w:vAlign w:val="bottom"/>
          </w:tcPr>
          <w:p w14:paraId="7F9AD63A" w14:textId="77777777" w:rsidR="00B97810" w:rsidRPr="003359A1" w:rsidRDefault="00B97810" w:rsidP="009F4768">
            <w:pPr>
              <w:pStyle w:val="Note"/>
              <w:spacing w:before="0"/>
              <w:rPr>
                <w:szCs w:val="14"/>
                <w:lang w:eastAsia="en-US"/>
              </w:rPr>
            </w:pPr>
            <w:r w:rsidRPr="003359A1">
              <w:rPr>
                <w:color w:val="FFCC00"/>
                <w:sz w:val="18"/>
                <w:szCs w:val="18"/>
                <w:lang w:eastAsia="en-US"/>
              </w:rPr>
              <w:sym w:font="Webdings" w:char="F067"/>
            </w:r>
            <w:r w:rsidRPr="003359A1">
              <w:rPr>
                <w:szCs w:val="14"/>
                <w:lang w:eastAsia="en-US"/>
              </w:rPr>
              <w:t xml:space="preserve"> = 4 = Adequate quality; needs some work</w:t>
            </w:r>
          </w:p>
        </w:tc>
        <w:tc>
          <w:tcPr>
            <w:tcW w:w="3992" w:type="dxa"/>
            <w:tcBorders>
              <w:top w:val="nil"/>
              <w:left w:val="nil"/>
              <w:bottom w:val="nil"/>
              <w:right w:val="nil"/>
            </w:tcBorders>
            <w:noWrap/>
            <w:tcMar>
              <w:top w:w="0" w:type="dxa"/>
              <w:bottom w:w="0" w:type="dxa"/>
            </w:tcMar>
            <w:vAlign w:val="bottom"/>
          </w:tcPr>
          <w:p w14:paraId="72196E39" w14:textId="77777777" w:rsidR="00B97810" w:rsidRPr="003359A1" w:rsidRDefault="00B97810" w:rsidP="009F4768">
            <w:pPr>
              <w:pStyle w:val="Note"/>
              <w:spacing w:before="0"/>
              <w:rPr>
                <w:szCs w:val="14"/>
                <w:lang w:eastAsia="en-US"/>
              </w:rPr>
            </w:pPr>
            <w:r w:rsidRPr="003359A1">
              <w:rPr>
                <w:color w:val="FF0000"/>
                <w:sz w:val="18"/>
                <w:szCs w:val="18"/>
                <w:lang w:eastAsia="en-US"/>
              </w:rPr>
              <w:sym w:font="Webdings" w:char="F067"/>
            </w:r>
            <w:r w:rsidRPr="003359A1">
              <w:rPr>
                <w:szCs w:val="14"/>
                <w:lang w:eastAsia="en-US"/>
              </w:rPr>
              <w:t xml:space="preserve"> = 1 = Very poor quality; needs major overhaul</w:t>
            </w:r>
          </w:p>
        </w:tc>
      </w:tr>
    </w:tbl>
    <w:p w14:paraId="0E56AE50" w14:textId="40ACA0CA" w:rsidR="00B97810" w:rsidRDefault="00B97810" w:rsidP="002F18A6">
      <w:pPr>
        <w:pStyle w:val="BodyText"/>
        <w:rPr>
          <w:sz w:val="20"/>
          <w:szCs w:val="20"/>
        </w:rPr>
      </w:pPr>
      <w:r w:rsidRPr="003D7576">
        <w:rPr>
          <w:sz w:val="20"/>
          <w:szCs w:val="20"/>
        </w:rPr>
        <w:t>Overall</w:t>
      </w:r>
      <w:r w:rsidR="00417DA1">
        <w:rPr>
          <w:sz w:val="20"/>
          <w:szCs w:val="20"/>
        </w:rPr>
        <w:t>,</w:t>
      </w:r>
      <w:r w:rsidRPr="003D7576">
        <w:rPr>
          <w:sz w:val="20"/>
          <w:szCs w:val="20"/>
        </w:rPr>
        <w:t xml:space="preserve"> the QAI ratings improved from 2010 to 2011.</w:t>
      </w:r>
      <w:r w:rsidR="00E92460" w:rsidRPr="003D7576">
        <w:rPr>
          <w:sz w:val="20"/>
          <w:szCs w:val="20"/>
        </w:rPr>
        <w:t xml:space="preserve"> </w:t>
      </w:r>
      <w:r w:rsidRPr="003D7576">
        <w:rPr>
          <w:sz w:val="20"/>
          <w:szCs w:val="20"/>
        </w:rPr>
        <w:t>There were some small decreases in</w:t>
      </w:r>
      <w:r>
        <w:rPr>
          <w:sz w:val="20"/>
          <w:szCs w:val="20"/>
        </w:rPr>
        <w:t xml:space="preserve"> ratings in </w:t>
      </w:r>
      <w:r w:rsidR="003D7576">
        <w:rPr>
          <w:sz w:val="20"/>
          <w:szCs w:val="20"/>
        </w:rPr>
        <w:t xml:space="preserve">outcomes </w:t>
      </w:r>
      <w:r>
        <w:rPr>
          <w:sz w:val="20"/>
          <w:szCs w:val="20"/>
        </w:rPr>
        <w:t>1 and 2, however as 2011 was the first year for both new programs</w:t>
      </w:r>
      <w:r w:rsidR="003D7576">
        <w:rPr>
          <w:sz w:val="20"/>
          <w:szCs w:val="20"/>
        </w:rPr>
        <w:t>,</w:t>
      </w:r>
      <w:r>
        <w:rPr>
          <w:sz w:val="20"/>
          <w:szCs w:val="20"/>
        </w:rPr>
        <w:t xml:space="preserve"> </w:t>
      </w:r>
      <w:r w:rsidR="00417DA1">
        <w:rPr>
          <w:sz w:val="20"/>
          <w:szCs w:val="20"/>
        </w:rPr>
        <w:t xml:space="preserve">this </w:t>
      </w:r>
      <w:r>
        <w:rPr>
          <w:sz w:val="20"/>
          <w:szCs w:val="20"/>
        </w:rPr>
        <w:t>reflect</w:t>
      </w:r>
      <w:r w:rsidR="00417DA1">
        <w:rPr>
          <w:sz w:val="20"/>
          <w:szCs w:val="20"/>
        </w:rPr>
        <w:t>s</w:t>
      </w:r>
      <w:r>
        <w:rPr>
          <w:sz w:val="20"/>
          <w:szCs w:val="20"/>
        </w:rPr>
        <w:t xml:space="preserve"> the fact that </w:t>
      </w:r>
      <w:r w:rsidR="000A3A3D">
        <w:rPr>
          <w:sz w:val="20"/>
          <w:szCs w:val="20"/>
        </w:rPr>
        <w:t>new programs tend to have lower QAI ratings in the early years</w:t>
      </w:r>
      <w:r>
        <w:rPr>
          <w:sz w:val="20"/>
          <w:szCs w:val="20"/>
        </w:rPr>
        <w:t>.</w:t>
      </w:r>
      <w:r w:rsidR="00E92460">
        <w:rPr>
          <w:sz w:val="20"/>
          <w:szCs w:val="20"/>
        </w:rPr>
        <w:t xml:space="preserve"> </w:t>
      </w:r>
      <w:r>
        <w:rPr>
          <w:sz w:val="20"/>
          <w:szCs w:val="20"/>
        </w:rPr>
        <w:t xml:space="preserve">The ratings for </w:t>
      </w:r>
      <w:r w:rsidR="003D7576">
        <w:rPr>
          <w:sz w:val="20"/>
          <w:szCs w:val="20"/>
        </w:rPr>
        <w:t xml:space="preserve">the </w:t>
      </w:r>
      <w:r w:rsidR="003D7576">
        <w:t>Kiribati Australia Nursing Initiative</w:t>
      </w:r>
      <w:r w:rsidR="003D7576">
        <w:rPr>
          <w:sz w:val="20"/>
          <w:szCs w:val="20"/>
        </w:rPr>
        <w:t xml:space="preserve"> </w:t>
      </w:r>
      <w:r>
        <w:rPr>
          <w:sz w:val="20"/>
          <w:szCs w:val="20"/>
        </w:rPr>
        <w:t>decreased significantly</w:t>
      </w:r>
      <w:r w:rsidR="003D7576">
        <w:rPr>
          <w:sz w:val="20"/>
          <w:szCs w:val="20"/>
        </w:rPr>
        <w:t>,</w:t>
      </w:r>
      <w:r>
        <w:rPr>
          <w:sz w:val="20"/>
          <w:szCs w:val="20"/>
        </w:rPr>
        <w:t xml:space="preserve"> particularly in effectiveness and efficiency.</w:t>
      </w:r>
      <w:r w:rsidR="00E92460">
        <w:rPr>
          <w:sz w:val="20"/>
          <w:szCs w:val="20"/>
        </w:rPr>
        <w:t xml:space="preserve"> </w:t>
      </w:r>
      <w:r>
        <w:rPr>
          <w:sz w:val="20"/>
          <w:szCs w:val="20"/>
        </w:rPr>
        <w:t xml:space="preserve">As discussed in the </w:t>
      </w:r>
      <w:r w:rsidR="003D7576">
        <w:rPr>
          <w:sz w:val="20"/>
          <w:szCs w:val="20"/>
        </w:rPr>
        <w:t xml:space="preserve">progress </w:t>
      </w:r>
      <w:r>
        <w:rPr>
          <w:sz w:val="20"/>
          <w:szCs w:val="20"/>
        </w:rPr>
        <w:t xml:space="preserve">against </w:t>
      </w:r>
      <w:r w:rsidR="003D7576">
        <w:rPr>
          <w:sz w:val="20"/>
          <w:szCs w:val="20"/>
        </w:rPr>
        <w:t xml:space="preserve">objectives </w:t>
      </w:r>
      <w:r>
        <w:rPr>
          <w:sz w:val="20"/>
          <w:szCs w:val="20"/>
        </w:rPr>
        <w:t xml:space="preserve">section, in 2012 there will be an evaluation of the effectiveness of </w:t>
      </w:r>
      <w:r w:rsidR="003D7576">
        <w:rPr>
          <w:sz w:val="20"/>
          <w:szCs w:val="20"/>
        </w:rPr>
        <w:t xml:space="preserve">the initiative </w:t>
      </w:r>
      <w:r>
        <w:rPr>
          <w:sz w:val="20"/>
          <w:szCs w:val="20"/>
        </w:rPr>
        <w:t>to address these concerns.</w:t>
      </w:r>
      <w:r w:rsidR="00E92460">
        <w:rPr>
          <w:sz w:val="20"/>
          <w:szCs w:val="20"/>
        </w:rPr>
        <w:t xml:space="preserve"> </w:t>
      </w:r>
    </w:p>
    <w:p w14:paraId="2E69FEE4" w14:textId="1B7B6298" w:rsidR="00B97810" w:rsidRDefault="00B97810" w:rsidP="002F18A6">
      <w:pPr>
        <w:pStyle w:val="BodyText"/>
        <w:rPr>
          <w:sz w:val="20"/>
          <w:szCs w:val="20"/>
        </w:rPr>
      </w:pPr>
      <w:r>
        <w:rPr>
          <w:sz w:val="20"/>
          <w:szCs w:val="20"/>
        </w:rPr>
        <w:t xml:space="preserve">The ratings for </w:t>
      </w:r>
      <w:r w:rsidR="003D7576">
        <w:rPr>
          <w:sz w:val="20"/>
          <w:szCs w:val="20"/>
        </w:rPr>
        <w:t>scholarships</w:t>
      </w:r>
      <w:r>
        <w:rPr>
          <w:sz w:val="20"/>
          <w:szCs w:val="20"/>
        </w:rPr>
        <w:t xml:space="preserve">, </w:t>
      </w:r>
      <w:r w:rsidR="003D7576">
        <w:rPr>
          <w:sz w:val="20"/>
          <w:szCs w:val="20"/>
        </w:rPr>
        <w:t>climate change</w:t>
      </w:r>
      <w:r w:rsidR="00326B4C">
        <w:rPr>
          <w:sz w:val="20"/>
          <w:szCs w:val="20"/>
        </w:rPr>
        <w:t>,</w:t>
      </w:r>
      <w:r w:rsidR="003D7576">
        <w:rPr>
          <w:sz w:val="20"/>
          <w:szCs w:val="20"/>
        </w:rPr>
        <w:t xml:space="preserve"> infrastructure</w:t>
      </w:r>
      <w:r w:rsidR="00417DA1">
        <w:rPr>
          <w:sz w:val="20"/>
          <w:szCs w:val="20"/>
        </w:rPr>
        <w:t>,</w:t>
      </w:r>
      <w:r w:rsidR="003D7576">
        <w:rPr>
          <w:sz w:val="20"/>
          <w:szCs w:val="20"/>
        </w:rPr>
        <w:t xml:space="preserve"> </w:t>
      </w:r>
      <w:r>
        <w:rPr>
          <w:sz w:val="20"/>
          <w:szCs w:val="20"/>
        </w:rPr>
        <w:t xml:space="preserve">and </w:t>
      </w:r>
      <w:r w:rsidR="00326B4C">
        <w:rPr>
          <w:sz w:val="20"/>
          <w:szCs w:val="20"/>
        </w:rPr>
        <w:t>O</w:t>
      </w:r>
      <w:r w:rsidR="003D7576">
        <w:rPr>
          <w:sz w:val="20"/>
          <w:szCs w:val="20"/>
        </w:rPr>
        <w:t xml:space="preserve">utcome </w:t>
      </w:r>
      <w:r>
        <w:rPr>
          <w:sz w:val="20"/>
          <w:szCs w:val="20"/>
        </w:rPr>
        <w:t>3 all improved.</w:t>
      </w:r>
      <w:r w:rsidR="00E92460">
        <w:rPr>
          <w:sz w:val="20"/>
          <w:szCs w:val="20"/>
        </w:rPr>
        <w:t xml:space="preserve"> </w:t>
      </w:r>
      <w:r>
        <w:rPr>
          <w:sz w:val="20"/>
          <w:szCs w:val="20"/>
        </w:rPr>
        <w:t xml:space="preserve">In particular, </w:t>
      </w:r>
      <w:r w:rsidR="00326B4C">
        <w:rPr>
          <w:sz w:val="20"/>
          <w:szCs w:val="20"/>
        </w:rPr>
        <w:t>O</w:t>
      </w:r>
      <w:r w:rsidR="003D7576">
        <w:rPr>
          <w:sz w:val="20"/>
          <w:szCs w:val="20"/>
        </w:rPr>
        <w:t xml:space="preserve">utcome </w:t>
      </w:r>
      <w:r>
        <w:rPr>
          <w:sz w:val="20"/>
          <w:szCs w:val="20"/>
        </w:rPr>
        <w:t>3 showed significant improvement reflecting a steady change in the economic reform process</w:t>
      </w:r>
      <w:r w:rsidR="00326B4C">
        <w:rPr>
          <w:sz w:val="20"/>
          <w:szCs w:val="20"/>
        </w:rPr>
        <w:t>.</w:t>
      </w:r>
      <w:r w:rsidR="00AD7CED">
        <w:rPr>
          <w:rStyle w:val="FootnoteReference"/>
          <w:szCs w:val="20"/>
        </w:rPr>
        <w:footnoteReference w:id="13"/>
      </w:r>
    </w:p>
    <w:p w14:paraId="336443C6" w14:textId="1A539533" w:rsidR="00B97810" w:rsidRDefault="00B97810" w:rsidP="002F18A6">
      <w:pPr>
        <w:pStyle w:val="BodyText"/>
      </w:pPr>
      <w:r>
        <w:rPr>
          <w:sz w:val="20"/>
          <w:szCs w:val="20"/>
        </w:rPr>
        <w:t xml:space="preserve">The Kiribati </w:t>
      </w:r>
      <w:r w:rsidR="003D7576">
        <w:rPr>
          <w:sz w:val="20"/>
          <w:szCs w:val="20"/>
        </w:rPr>
        <w:t xml:space="preserve">program </w:t>
      </w:r>
      <w:r>
        <w:rPr>
          <w:sz w:val="20"/>
          <w:szCs w:val="20"/>
        </w:rPr>
        <w:t>continues to grow in terms of scope and funding</w:t>
      </w:r>
      <w:r w:rsidRPr="006D1E43">
        <w:rPr>
          <w:sz w:val="20"/>
          <w:szCs w:val="20"/>
        </w:rPr>
        <w:t>.</w:t>
      </w:r>
      <w:r w:rsidR="00E92460">
        <w:t xml:space="preserve"> </w:t>
      </w:r>
      <w:r w:rsidRPr="006D1E43">
        <w:t xml:space="preserve">It has doubled in the last five years ($15 million total </w:t>
      </w:r>
      <w:r w:rsidR="00326B4C">
        <w:t>official development assistance</w:t>
      </w:r>
      <w:r w:rsidRPr="006D1E43">
        <w:t xml:space="preserve"> in 2007</w:t>
      </w:r>
      <w:r w:rsidR="003D7576">
        <w:t>–</w:t>
      </w:r>
      <w:r w:rsidRPr="006D1E43">
        <w:t>08 to $</w:t>
      </w:r>
      <w:r>
        <w:t xml:space="preserve">27.45 </w:t>
      </w:r>
      <w:r w:rsidRPr="006D1E43">
        <w:t xml:space="preserve">million in </w:t>
      </w:r>
      <w:r>
        <w:t>2011</w:t>
      </w:r>
      <w:r w:rsidR="003D7576">
        <w:t>–</w:t>
      </w:r>
      <w:r>
        <w:t>12</w:t>
      </w:r>
      <w:r w:rsidRPr="006D1E43">
        <w:t xml:space="preserve">) but staffing levels at </w:t>
      </w:r>
      <w:r w:rsidR="00326B4C">
        <w:t>P</w:t>
      </w:r>
      <w:r w:rsidRPr="006D1E43">
        <w:t>ost have not increased accordingly.</w:t>
      </w:r>
      <w:r w:rsidR="00E92460">
        <w:t xml:space="preserve"> </w:t>
      </w:r>
      <w:r>
        <w:t>The pipeline for Kiribati continues to grow, particularly in infrastructure and climate change.</w:t>
      </w:r>
      <w:r w:rsidR="00E92460">
        <w:t xml:space="preserve"> </w:t>
      </w:r>
      <w:r>
        <w:t xml:space="preserve">The ability of </w:t>
      </w:r>
      <w:proofErr w:type="spellStart"/>
      <w:r>
        <w:lastRenderedPageBreak/>
        <w:t>AusAID</w:t>
      </w:r>
      <w:proofErr w:type="spellEnd"/>
      <w:r>
        <w:t xml:space="preserve"> staff to engage in meaningful policy dialogue, strategically influence program directions, monitor progress and generate performance information is becoming increasingly limited by resourcing constraints.</w:t>
      </w:r>
    </w:p>
    <w:p w14:paraId="2888DFB1" w14:textId="32843E20" w:rsidR="00B97810" w:rsidRDefault="00B97810" w:rsidP="002F18A6">
      <w:pPr>
        <w:pStyle w:val="BodyText"/>
      </w:pPr>
      <w:r>
        <w:t xml:space="preserve">After a significant </w:t>
      </w:r>
      <w:r w:rsidR="003D7576">
        <w:t xml:space="preserve">review </w:t>
      </w:r>
      <w:r>
        <w:t xml:space="preserve">of the </w:t>
      </w:r>
      <w:r w:rsidR="003D7576">
        <w:t>p</w:t>
      </w:r>
      <w:r>
        <w:t>rogram in 2009, the three outcome areas</w:t>
      </w:r>
      <w:r w:rsidR="003D7576">
        <w:t xml:space="preserve"> became the focus</w:t>
      </w:r>
      <w:r>
        <w:t>.</w:t>
      </w:r>
      <w:r w:rsidR="00E92460">
        <w:t xml:space="preserve"> </w:t>
      </w:r>
      <w:r>
        <w:t xml:space="preserve">However, due to both Australian and Kiribati </w:t>
      </w:r>
      <w:r w:rsidR="003D7576">
        <w:t xml:space="preserve">government </w:t>
      </w:r>
      <w:r>
        <w:t>priorities</w:t>
      </w:r>
      <w:r w:rsidR="003D7576">
        <w:t>,</w:t>
      </w:r>
      <w:r>
        <w:t xml:space="preserve"> the program is again being stretched to cover many different sectors.</w:t>
      </w:r>
      <w:r w:rsidR="00E92460">
        <w:t xml:space="preserve"> </w:t>
      </w:r>
      <w:r>
        <w:t xml:space="preserve">Climate </w:t>
      </w:r>
      <w:r w:rsidR="003D7576">
        <w:t xml:space="preserve">change </w:t>
      </w:r>
      <w:r>
        <w:t xml:space="preserve">and </w:t>
      </w:r>
      <w:r w:rsidR="003D7576">
        <w:t xml:space="preserve">infrastructure </w:t>
      </w:r>
      <w:r>
        <w:t>(as mentioned above) are the sectors with the most significant funding resources attached to them</w:t>
      </w:r>
      <w:r w:rsidR="00417DA1">
        <w:t>,</w:t>
      </w:r>
      <w:r>
        <w:t xml:space="preserve"> but health, disability and gender programs </w:t>
      </w:r>
      <w:r w:rsidR="003D7576">
        <w:t xml:space="preserve">are also being funded </w:t>
      </w:r>
      <w:r>
        <w:t xml:space="preserve">outside the </w:t>
      </w:r>
      <w:r w:rsidR="003D7576">
        <w:t>partnership outcomes</w:t>
      </w:r>
      <w:r>
        <w:t>.</w:t>
      </w:r>
      <w:r w:rsidR="00E92460">
        <w:t xml:space="preserve"> </w:t>
      </w:r>
    </w:p>
    <w:p w14:paraId="25FA5E32" w14:textId="149AB614" w:rsidR="00B97810" w:rsidRDefault="00B97810" w:rsidP="002F18A6">
      <w:pPr>
        <w:pStyle w:val="BodyText"/>
      </w:pPr>
      <w:r>
        <w:t xml:space="preserve">The </w:t>
      </w:r>
      <w:r w:rsidRPr="0081098E">
        <w:rPr>
          <w:i/>
        </w:rPr>
        <w:t xml:space="preserve">Independent </w:t>
      </w:r>
      <w:r w:rsidR="003D7576" w:rsidRPr="0081098E">
        <w:rPr>
          <w:i/>
        </w:rPr>
        <w:t xml:space="preserve">review of aid effectiveness </w:t>
      </w:r>
      <w:r w:rsidRPr="0081098E">
        <w:rPr>
          <w:i/>
        </w:rPr>
        <w:t>2011</w:t>
      </w:r>
      <w:r>
        <w:t xml:space="preserve"> highlighted the need for increased, long-term involvement in the Microstates particularly Kiribati</w:t>
      </w:r>
      <w:r w:rsidR="003D7576">
        <w:t>.</w:t>
      </w:r>
      <w:r>
        <w:rPr>
          <w:rStyle w:val="FootnoteReference"/>
          <w:szCs w:val="12"/>
        </w:rPr>
        <w:footnoteReference w:id="14"/>
      </w:r>
      <w:r w:rsidR="00E92460">
        <w:t xml:space="preserve"> </w:t>
      </w:r>
      <w:r>
        <w:t xml:space="preserve">If the Kiribati </w:t>
      </w:r>
      <w:r w:rsidR="003D7576">
        <w:t xml:space="preserve">program </w:t>
      </w:r>
      <w:r>
        <w:t xml:space="preserve">is to continue </w:t>
      </w:r>
      <w:r w:rsidR="003D7576">
        <w:t>increasing</w:t>
      </w:r>
      <w:r>
        <w:t xml:space="preserve">, </w:t>
      </w:r>
      <w:r w:rsidR="003D7576">
        <w:t>a review</w:t>
      </w:r>
      <w:r>
        <w:t xml:space="preserve"> </w:t>
      </w:r>
      <w:r w:rsidR="003D7576">
        <w:t xml:space="preserve">must be undertaken to determine </w:t>
      </w:r>
      <w:r>
        <w:t xml:space="preserve">where funding needs to </w:t>
      </w:r>
      <w:r w:rsidR="003D7576">
        <w:t xml:space="preserve">be directed </w:t>
      </w:r>
      <w:r>
        <w:t>and the capacity of all of the partners.</w:t>
      </w:r>
      <w:r w:rsidR="003D7576">
        <w:t xml:space="preserve"> </w:t>
      </w:r>
      <w:r>
        <w:t xml:space="preserve">Kiribati </w:t>
      </w:r>
      <w:r w:rsidR="003D7576">
        <w:t xml:space="preserve">has limited </w:t>
      </w:r>
      <w:r>
        <w:t>capacity to continue scale up</w:t>
      </w:r>
      <w:r w:rsidR="003D7576">
        <w:t xml:space="preserve">, and </w:t>
      </w:r>
      <w:r>
        <w:t xml:space="preserve">the large amount of infrastructure and climate change investment is already putting a strain on </w:t>
      </w:r>
      <w:r w:rsidR="003D7576">
        <w:t xml:space="preserve">its government </w:t>
      </w:r>
      <w:r>
        <w:t>systems.</w:t>
      </w:r>
      <w:r w:rsidR="003D7576">
        <w:t xml:space="preserve"> </w:t>
      </w:r>
      <w:r>
        <w:t>In 2012</w:t>
      </w:r>
      <w:r w:rsidR="003D7576">
        <w:t>–</w:t>
      </w:r>
      <w:r>
        <w:t xml:space="preserve">13, an update of the Kiribati </w:t>
      </w:r>
      <w:r w:rsidR="003D7576">
        <w:t xml:space="preserve">country situation analysis </w:t>
      </w:r>
      <w:r>
        <w:t>will examine these issues.</w:t>
      </w:r>
    </w:p>
    <w:p w14:paraId="10FC764A" w14:textId="39C3AA59" w:rsidR="00B97810" w:rsidRDefault="00B97810" w:rsidP="00792C5F">
      <w:pPr>
        <w:pStyle w:val="BodyText"/>
      </w:pPr>
      <w:r>
        <w:t xml:space="preserve">During 2011, </w:t>
      </w:r>
      <w:proofErr w:type="spellStart"/>
      <w:r w:rsidR="00E92460">
        <w:t>AusAID</w:t>
      </w:r>
      <w:proofErr w:type="spellEnd"/>
      <w:r>
        <w:t xml:space="preserve"> continued work </w:t>
      </w:r>
      <w:r w:rsidR="00417DA1">
        <w:t xml:space="preserve">with </w:t>
      </w:r>
      <w:r w:rsidR="003D7576">
        <w:t xml:space="preserve">Kiribati’s government </w:t>
      </w:r>
      <w:r>
        <w:t>and other donor partners to improve aid effectiveness in line with the recommendations under the Cairns Compact Review in 2010.</w:t>
      </w:r>
      <w:r w:rsidR="00E92460">
        <w:t xml:space="preserve"> </w:t>
      </w:r>
      <w:proofErr w:type="spellStart"/>
      <w:r>
        <w:t>AusAID</w:t>
      </w:r>
      <w:proofErr w:type="spellEnd"/>
      <w:r>
        <w:t xml:space="preserve"> programs aligned with sector strategies (such as the </w:t>
      </w:r>
      <w:r w:rsidR="003D7576">
        <w:t xml:space="preserve">education sector </w:t>
      </w:r>
      <w:r w:rsidR="00417DA1">
        <w:t xml:space="preserve">support </w:t>
      </w:r>
      <w:r w:rsidR="003D7576">
        <w:t xml:space="preserve">plan </w:t>
      </w:r>
      <w:r>
        <w:t xml:space="preserve">and the </w:t>
      </w:r>
      <w:r w:rsidR="003D7576">
        <w:t>economic reform plan</w:t>
      </w:r>
      <w:r>
        <w:t>) and encouraged other donors to do the same.</w:t>
      </w:r>
      <w:r w:rsidR="00E92460">
        <w:t xml:space="preserve"> </w:t>
      </w:r>
      <w:r>
        <w:t>In 2011, donors continued to harmonise efforts.</w:t>
      </w:r>
      <w:r w:rsidR="00E92460">
        <w:t xml:space="preserve"> </w:t>
      </w:r>
      <w:r>
        <w:t xml:space="preserve">The core economic working group approach to the </w:t>
      </w:r>
      <w:r w:rsidR="003D7576">
        <w:t>economic reform plan</w:t>
      </w:r>
      <w:r w:rsidR="003D7576" w:rsidDel="003D7576">
        <w:t xml:space="preserve"> </w:t>
      </w:r>
      <w:r>
        <w:t xml:space="preserve">is an example of </w:t>
      </w:r>
      <w:r w:rsidR="003D7576">
        <w:t xml:space="preserve">Kiribati </w:t>
      </w:r>
      <w:r>
        <w:t>leading donors to align with its reform agenda.</w:t>
      </w:r>
      <w:r w:rsidR="00E92460">
        <w:t xml:space="preserve"> </w:t>
      </w:r>
    </w:p>
    <w:p w14:paraId="3E849DEC" w14:textId="77777777" w:rsidR="00B97810" w:rsidRPr="00410CE5" w:rsidRDefault="00B97810" w:rsidP="00410CE5">
      <w:pPr>
        <w:pStyle w:val="BodyText"/>
      </w:pPr>
      <w:r>
        <w:rPr>
          <w:i/>
        </w:rPr>
        <w:t>Risks</w:t>
      </w:r>
    </w:p>
    <w:p w14:paraId="00AB34BD" w14:textId="1C36BD73" w:rsidR="00B97810" w:rsidRDefault="00B97810" w:rsidP="00AA518A">
      <w:pPr>
        <w:pStyle w:val="BodyText"/>
      </w:pPr>
      <w:r>
        <w:t xml:space="preserve">A key risk of the Kiribati </w:t>
      </w:r>
      <w:r w:rsidR="003D7576">
        <w:t xml:space="preserve">program </w:t>
      </w:r>
      <w:r>
        <w:t>is that the rapid expansion will lead to a reduction in quality.</w:t>
      </w:r>
      <w:r w:rsidR="00E92460">
        <w:t xml:space="preserve"> </w:t>
      </w:r>
      <w:r>
        <w:t xml:space="preserve">The Kiribati team will work to mitigate this risk by ensuring projects are targeted to </w:t>
      </w:r>
      <w:r w:rsidR="00AD7CED">
        <w:t>Government of Kiribati</w:t>
      </w:r>
      <w:r w:rsidR="003D7576">
        <w:t xml:space="preserve"> </w:t>
      </w:r>
      <w:r>
        <w:t xml:space="preserve">priorities, and that </w:t>
      </w:r>
      <w:proofErr w:type="spellStart"/>
      <w:r>
        <w:t>AusAID</w:t>
      </w:r>
      <w:proofErr w:type="spellEnd"/>
      <w:r>
        <w:t xml:space="preserve"> (and implementing partners) has the appropriate staff and expertise to manage them. </w:t>
      </w:r>
    </w:p>
    <w:p w14:paraId="4312ED82" w14:textId="4975CA0E" w:rsidR="00B97810" w:rsidRDefault="00B97810" w:rsidP="00AA518A">
      <w:pPr>
        <w:pStyle w:val="BodyText"/>
      </w:pPr>
      <w:r>
        <w:t xml:space="preserve">Absorptive capacity of </w:t>
      </w:r>
      <w:r w:rsidR="00AD7CED">
        <w:t>Government of Kiribati</w:t>
      </w:r>
      <w:r w:rsidR="003D7576">
        <w:t xml:space="preserve"> </w:t>
      </w:r>
      <w:r>
        <w:t xml:space="preserve">along with the capacity to coordinate the large number of donor programs in Kiribati is a large risk for </w:t>
      </w:r>
      <w:proofErr w:type="spellStart"/>
      <w:r>
        <w:t>AusAID</w:t>
      </w:r>
      <w:proofErr w:type="spellEnd"/>
      <w:r w:rsidR="003D7576">
        <w:t>,</w:t>
      </w:r>
      <w:r>
        <w:t xml:space="preserve"> both currently and if the program continues to expand.</w:t>
      </w:r>
      <w:r w:rsidR="00E92460">
        <w:t xml:space="preserve"> </w:t>
      </w:r>
      <w:proofErr w:type="spellStart"/>
      <w:r>
        <w:t>AusAID</w:t>
      </w:r>
      <w:proofErr w:type="spellEnd"/>
      <w:r>
        <w:t xml:space="preserve"> will need to analys</w:t>
      </w:r>
      <w:r w:rsidR="003D7576">
        <w:t>e</w:t>
      </w:r>
      <w:r>
        <w:t xml:space="preserve"> this issue and </w:t>
      </w:r>
      <w:r w:rsidR="003D7576">
        <w:t>determine</w:t>
      </w:r>
      <w:r>
        <w:t xml:space="preserve"> the optimal funding amount for Kiribati given these issues.</w:t>
      </w:r>
    </w:p>
    <w:p w14:paraId="482E6C91" w14:textId="321B2488" w:rsidR="00B97810" w:rsidRDefault="00B97810" w:rsidP="002F18A6">
      <w:pPr>
        <w:pStyle w:val="BodyText"/>
      </w:pPr>
      <w:r>
        <w:t>Poor financial management</w:t>
      </w:r>
      <w:r w:rsidR="00E92460">
        <w:t xml:space="preserve"> </w:t>
      </w:r>
      <w:r>
        <w:t xml:space="preserve">within </w:t>
      </w:r>
      <w:r w:rsidR="003D7576">
        <w:t xml:space="preserve">Kiribati </w:t>
      </w:r>
      <w:r>
        <w:t>is also a risk. The Assessment of National Systems</w:t>
      </w:r>
      <w:r w:rsidRPr="00AA518A">
        <w:rPr>
          <w:rStyle w:val="FootnoteReference"/>
          <w:szCs w:val="12"/>
          <w:lang w:eastAsia="en-US"/>
        </w:rPr>
        <w:footnoteReference w:id="15"/>
      </w:r>
      <w:r w:rsidRPr="00AA518A">
        <w:rPr>
          <w:rStyle w:val="FootnoteReference"/>
          <w:szCs w:val="12"/>
          <w:lang w:eastAsia="en-US"/>
        </w:rPr>
        <w:t xml:space="preserve"> </w:t>
      </w:r>
      <w:r w:rsidRPr="005740A6">
        <w:t xml:space="preserve">concludes that the use of partner government systems in Kiribati should be restricted to the current limited use of the Kiribati Government Development Fund, but subject to a more detailed assessment of </w:t>
      </w:r>
      <w:proofErr w:type="spellStart"/>
      <w:r w:rsidRPr="005740A6">
        <w:t>AusAID’s</w:t>
      </w:r>
      <w:proofErr w:type="spellEnd"/>
      <w:r w:rsidRPr="005740A6">
        <w:t xml:space="preserve"> recent experiences in using the </w:t>
      </w:r>
      <w:r w:rsidR="003D7576">
        <w:t>f</w:t>
      </w:r>
      <w:r w:rsidR="003D7576" w:rsidRPr="005740A6">
        <w:t>und</w:t>
      </w:r>
      <w:r w:rsidRPr="005740A6">
        <w:t>, and the efficacy of the existing mitigation measures, as outlined in the Accountable Cash Grant funding agreement</w:t>
      </w:r>
      <w:r w:rsidR="003D7576">
        <w:t>.</w:t>
      </w:r>
      <w:r w:rsidRPr="00AA518A">
        <w:rPr>
          <w:rStyle w:val="FootnoteReference"/>
          <w:szCs w:val="12"/>
          <w:lang w:eastAsia="en-US"/>
        </w:rPr>
        <w:footnoteReference w:id="16"/>
      </w:r>
      <w:r w:rsidRPr="00AA518A">
        <w:rPr>
          <w:rStyle w:val="FootnoteReference"/>
          <w:szCs w:val="12"/>
          <w:lang w:eastAsia="en-US"/>
        </w:rPr>
        <w:t>.</w:t>
      </w:r>
      <w:r w:rsidR="00E92460">
        <w:t xml:space="preserve"> </w:t>
      </w:r>
      <w:r w:rsidRPr="005740A6">
        <w:t xml:space="preserve">It recommends that </w:t>
      </w:r>
      <w:proofErr w:type="spellStart"/>
      <w:r w:rsidRPr="005740A6">
        <w:t>AusAID</w:t>
      </w:r>
      <w:proofErr w:type="spellEnd"/>
      <w:r w:rsidRPr="005740A6">
        <w:t xml:space="preserve"> work with other </w:t>
      </w:r>
      <w:r w:rsidR="003D7576">
        <w:t>development partner</w:t>
      </w:r>
      <w:r w:rsidR="003D7576" w:rsidRPr="005740A6">
        <w:t xml:space="preserve">s </w:t>
      </w:r>
      <w:r w:rsidRPr="005740A6">
        <w:t xml:space="preserve">to </w:t>
      </w:r>
      <w:r w:rsidR="003D7576">
        <w:t>help the government</w:t>
      </w:r>
      <w:r w:rsidRPr="005740A6">
        <w:t xml:space="preserve"> refine and implement its comprehensive public financial management </w:t>
      </w:r>
      <w:r>
        <w:t>program</w:t>
      </w:r>
      <w:r w:rsidRPr="005740A6">
        <w:t>, ensuring that it is</w:t>
      </w:r>
      <w:r w:rsidR="00E92460">
        <w:t xml:space="preserve"> </w:t>
      </w:r>
      <w:r w:rsidRPr="005740A6">
        <w:t>owned by the Government of Kiribati and that it is realistic in its strategies, sequencing and timeframes.</w:t>
      </w:r>
      <w:r w:rsidR="00E92460">
        <w:t xml:space="preserve"> </w:t>
      </w:r>
    </w:p>
    <w:p w14:paraId="3807E1E6" w14:textId="77777777" w:rsidR="00B97810" w:rsidRPr="003E479D" w:rsidRDefault="00B97810" w:rsidP="002F18A6">
      <w:pPr>
        <w:pStyle w:val="BodyText"/>
      </w:pPr>
    </w:p>
    <w:p w14:paraId="35D0CC92" w14:textId="77777777" w:rsidR="00326B4C" w:rsidRDefault="00326B4C">
      <w:pPr>
        <w:rPr>
          <w:rFonts w:ascii="Georgia" w:hAnsi="Georgia"/>
          <w:i/>
          <w:sz w:val="19"/>
          <w:szCs w:val="19"/>
        </w:rPr>
      </w:pPr>
      <w:r>
        <w:rPr>
          <w:i/>
        </w:rPr>
        <w:lastRenderedPageBreak/>
        <w:br w:type="page"/>
      </w:r>
    </w:p>
    <w:p w14:paraId="21720BA0" w14:textId="568E8D55" w:rsidR="00B97810" w:rsidRPr="009122B6" w:rsidRDefault="00B97810" w:rsidP="002F18A6">
      <w:pPr>
        <w:pStyle w:val="BodyText"/>
        <w:rPr>
          <w:i/>
        </w:rPr>
      </w:pPr>
      <w:r w:rsidRPr="009122B6">
        <w:rPr>
          <w:i/>
        </w:rPr>
        <w:lastRenderedPageBreak/>
        <w:t xml:space="preserve">Multilateral </w:t>
      </w:r>
      <w:r w:rsidR="003D7576">
        <w:rPr>
          <w:i/>
        </w:rPr>
        <w:t>p</w:t>
      </w:r>
      <w:r w:rsidR="003D7576" w:rsidRPr="009122B6">
        <w:rPr>
          <w:i/>
        </w:rPr>
        <w:t xml:space="preserve">erformance </w:t>
      </w:r>
      <w:r w:rsidR="003D7576">
        <w:rPr>
          <w:i/>
        </w:rPr>
        <w:t>a</w:t>
      </w:r>
      <w:r w:rsidR="003D7576" w:rsidRPr="009122B6">
        <w:rPr>
          <w:i/>
        </w:rPr>
        <w:t>ssessment</w:t>
      </w:r>
    </w:p>
    <w:p w14:paraId="2F34AF26" w14:textId="0AE428EC" w:rsidR="00B97810" w:rsidRDefault="003D7576" w:rsidP="002F18A6">
      <w:pPr>
        <w:pStyle w:val="BodyText"/>
      </w:pPr>
      <w:r>
        <w:t>M</w:t>
      </w:r>
      <w:r w:rsidR="00B97810">
        <w:t>ultilateral agencies are now increasingly involved in the Kiribati program</w:t>
      </w:r>
      <w:r w:rsidR="00417DA1">
        <w:t>,</w:t>
      </w:r>
      <w:r w:rsidR="00B97810">
        <w:t xml:space="preserve"> particularly in </w:t>
      </w:r>
      <w:r>
        <w:t>infrastructure</w:t>
      </w:r>
      <w:r w:rsidR="00B97810">
        <w:t xml:space="preserve">, </w:t>
      </w:r>
      <w:r>
        <w:t xml:space="preserve">economic </w:t>
      </w:r>
      <w:r w:rsidR="00B97810">
        <w:t xml:space="preserve">reform and </w:t>
      </w:r>
      <w:r>
        <w:t>climate change</w:t>
      </w:r>
      <w:r w:rsidR="00B97810">
        <w:t>.</w:t>
      </w:r>
    </w:p>
    <w:p w14:paraId="13301D39" w14:textId="1DEF4C70" w:rsidR="00B97810" w:rsidRDefault="00B97810" w:rsidP="002F18A6">
      <w:pPr>
        <w:pStyle w:val="BodyText"/>
      </w:pPr>
      <w:r>
        <w:t>While there are significant advantages to having the multilateral agencies involved in Kiribati</w:t>
      </w:r>
      <w:r w:rsidR="003D7576">
        <w:t xml:space="preserve">—including </w:t>
      </w:r>
      <w:r>
        <w:t>increased access to technical advice, broader expertise</w:t>
      </w:r>
      <w:r w:rsidR="003D7576">
        <w:t xml:space="preserve"> and an </w:t>
      </w:r>
      <w:r>
        <w:t>increased donor funding base</w:t>
      </w:r>
      <w:r w:rsidR="003D7576">
        <w:t>—</w:t>
      </w:r>
      <w:r>
        <w:t>there are also some resource implications.</w:t>
      </w:r>
      <w:r w:rsidR="00E92460">
        <w:t xml:space="preserve"> </w:t>
      </w:r>
      <w:r>
        <w:t xml:space="preserve">The resource constraints for Post to doing business in areas </w:t>
      </w:r>
      <w:r w:rsidR="00417DA1">
        <w:t xml:space="preserve">where </w:t>
      </w:r>
      <w:r w:rsidR="003D7576">
        <w:t>it</w:t>
      </w:r>
      <w:r>
        <w:t xml:space="preserve"> may not have expertise is significant</w:t>
      </w:r>
      <w:r w:rsidR="00417DA1">
        <w:t>,</w:t>
      </w:r>
      <w:r>
        <w:t xml:space="preserve"> as is the constant pressure to keep the </w:t>
      </w:r>
      <w:r w:rsidR="00417DA1">
        <w:t xml:space="preserve">international financial institutions </w:t>
      </w:r>
      <w:r>
        <w:t>engaged.</w:t>
      </w:r>
      <w:r w:rsidR="00E92460">
        <w:t xml:space="preserve"> </w:t>
      </w:r>
      <w:r>
        <w:t>In 2011, there were several delays in implement</w:t>
      </w:r>
      <w:r w:rsidR="003D7576">
        <w:t xml:space="preserve">ing </w:t>
      </w:r>
      <w:r>
        <w:t xml:space="preserve">key programs causing increased levels of frustration from </w:t>
      </w:r>
      <w:r w:rsidR="003D7576">
        <w:t>Kiribati’s government</w:t>
      </w:r>
      <w:r>
        <w:t>.</w:t>
      </w:r>
      <w:r w:rsidR="00E92460">
        <w:t xml:space="preserve"> </w:t>
      </w:r>
      <w:r>
        <w:t xml:space="preserve">Due to </w:t>
      </w:r>
      <w:proofErr w:type="spellStart"/>
      <w:r>
        <w:t>AusAID’s</w:t>
      </w:r>
      <w:proofErr w:type="spellEnd"/>
      <w:r>
        <w:t xml:space="preserve"> continued presence on the ground, there has been an increased brokerage role for staff.</w:t>
      </w:r>
      <w:r w:rsidR="00E92460">
        <w:t xml:space="preserve"> </w:t>
      </w:r>
      <w:r>
        <w:t>It is hoped that the A</w:t>
      </w:r>
      <w:r w:rsidR="003D7576">
        <w:t xml:space="preserve">sian </w:t>
      </w:r>
      <w:r>
        <w:t>D</w:t>
      </w:r>
      <w:r w:rsidR="003D7576">
        <w:t xml:space="preserve">evelopment </w:t>
      </w:r>
      <w:r>
        <w:t>B</w:t>
      </w:r>
      <w:r w:rsidR="003D7576">
        <w:t>ank</w:t>
      </w:r>
      <w:r>
        <w:t xml:space="preserve">/World Bank </w:t>
      </w:r>
      <w:r w:rsidR="003D7576">
        <w:t xml:space="preserve">office </w:t>
      </w:r>
      <w:r>
        <w:t>in Kiribati</w:t>
      </w:r>
      <w:r w:rsidR="003D7576">
        <w:t>,</w:t>
      </w:r>
      <w:r>
        <w:t xml:space="preserve"> as well has regular management level talks</w:t>
      </w:r>
      <w:r w:rsidR="003D7576">
        <w:t>,</w:t>
      </w:r>
      <w:r>
        <w:t xml:space="preserve"> will alleviate some of these issues.</w:t>
      </w:r>
    </w:p>
    <w:p w14:paraId="4B5B195F" w14:textId="46827086" w:rsidR="00223220" w:rsidRDefault="00B97810" w:rsidP="00254B91">
      <w:pPr>
        <w:pStyle w:val="BodyText"/>
      </w:pPr>
      <w:proofErr w:type="spellStart"/>
      <w:r>
        <w:t>AusAID</w:t>
      </w:r>
      <w:proofErr w:type="spellEnd"/>
      <w:r>
        <w:t xml:space="preserve"> has had small programs with UNICEF</w:t>
      </w:r>
      <w:r w:rsidR="003D7576">
        <w:t xml:space="preserve"> and </w:t>
      </w:r>
      <w:r>
        <w:t xml:space="preserve">UNESCO and has been developing a program with </w:t>
      </w:r>
      <w:r w:rsidR="003D7576">
        <w:t>the World Health Organization</w:t>
      </w:r>
      <w:r>
        <w:t>.</w:t>
      </w:r>
      <w:r w:rsidR="00E92460">
        <w:t xml:space="preserve"> </w:t>
      </w:r>
      <w:r>
        <w:t>In all three cases there has been some difficulty in engaging with these agencies and working in a collaborative way to meet the demands of the relevant sector</w:t>
      </w:r>
      <w:r w:rsidR="003D7576">
        <w:t>s</w:t>
      </w:r>
      <w:r>
        <w:t xml:space="preserve"> (education and health).</w:t>
      </w:r>
      <w:r w:rsidR="00E92460">
        <w:t xml:space="preserve"> </w:t>
      </w:r>
      <w:proofErr w:type="spellStart"/>
      <w:r>
        <w:t>AusAID</w:t>
      </w:r>
      <w:proofErr w:type="spellEnd"/>
      <w:r>
        <w:t xml:space="preserve"> needs to look at the core work of these three agencies in Kiribati and </w:t>
      </w:r>
      <w:r w:rsidR="00254B91">
        <w:t xml:space="preserve">how we can best work together. </w:t>
      </w:r>
    </w:p>
    <w:p w14:paraId="1523AE08" w14:textId="77777777" w:rsidR="00254B91" w:rsidRDefault="00254B91" w:rsidP="00254B91">
      <w:pPr>
        <w:pStyle w:val="BodyText"/>
      </w:pPr>
    </w:p>
    <w:p w14:paraId="50F88889" w14:textId="127E29BB" w:rsidR="00B97810" w:rsidRDefault="00B97810" w:rsidP="001A3443">
      <w:pPr>
        <w:pStyle w:val="H1A"/>
      </w:pPr>
      <w:bookmarkStart w:id="13" w:name="_Toc360732552"/>
      <w:r>
        <w:t xml:space="preserve">Management </w:t>
      </w:r>
      <w:r w:rsidR="003D7576">
        <w:t>consequences</w:t>
      </w:r>
      <w:bookmarkEnd w:id="13"/>
    </w:p>
    <w:p w14:paraId="73ADC666" w14:textId="46FB596F" w:rsidR="00B97810" w:rsidRPr="00326B4C" w:rsidRDefault="00B97810" w:rsidP="00AB71D0">
      <w:pPr>
        <w:pStyle w:val="GuidanceText"/>
        <w:spacing w:before="240"/>
        <w:rPr>
          <w:rFonts w:ascii="Georgia" w:hAnsi="Georgia"/>
          <w:i/>
          <w:color w:val="auto"/>
          <w:sz w:val="19"/>
          <w:szCs w:val="19"/>
        </w:rPr>
      </w:pPr>
      <w:r w:rsidRPr="00326B4C">
        <w:rPr>
          <w:rFonts w:ascii="Georgia" w:hAnsi="Georgia"/>
          <w:i/>
          <w:color w:val="auto"/>
          <w:sz w:val="19"/>
          <w:szCs w:val="19"/>
        </w:rPr>
        <w:t xml:space="preserve">Management </w:t>
      </w:r>
      <w:r w:rsidR="003D7576" w:rsidRPr="00326B4C">
        <w:rPr>
          <w:rFonts w:ascii="Georgia" w:hAnsi="Georgia"/>
          <w:i/>
          <w:color w:val="auto"/>
          <w:sz w:val="19"/>
          <w:szCs w:val="19"/>
        </w:rPr>
        <w:t xml:space="preserve">consequences </w:t>
      </w:r>
      <w:r w:rsidRPr="00326B4C">
        <w:rPr>
          <w:rFonts w:ascii="Georgia" w:hAnsi="Georgia"/>
          <w:i/>
          <w:color w:val="auto"/>
          <w:sz w:val="19"/>
          <w:szCs w:val="19"/>
        </w:rPr>
        <w:t xml:space="preserve">from 2011 </w:t>
      </w:r>
      <w:r w:rsidR="003D7576" w:rsidRPr="00326B4C">
        <w:rPr>
          <w:rFonts w:ascii="Georgia" w:hAnsi="Georgia"/>
          <w:i/>
          <w:color w:val="auto"/>
          <w:sz w:val="19"/>
          <w:szCs w:val="19"/>
        </w:rPr>
        <w:t>review</w:t>
      </w:r>
      <w:r w:rsidRPr="00326B4C">
        <w:rPr>
          <w:rFonts w:ascii="Georgia" w:hAnsi="Georgia"/>
          <w:i/>
          <w:color w:val="auto"/>
          <w:sz w:val="19"/>
          <w:szCs w:val="19"/>
        </w:rPr>
        <w:t>:</w:t>
      </w:r>
    </w:p>
    <w:p w14:paraId="6CA13408" w14:textId="53E080B2" w:rsidR="00B97810" w:rsidRPr="00326B4C" w:rsidRDefault="00B97810" w:rsidP="00AF07EF">
      <w:pPr>
        <w:pStyle w:val="GuidanceText"/>
        <w:numPr>
          <w:ilvl w:val="0"/>
          <w:numId w:val="2"/>
        </w:numPr>
        <w:ind w:left="284" w:hanging="284"/>
        <w:rPr>
          <w:rFonts w:ascii="Georgia" w:hAnsi="Georgia"/>
          <w:color w:val="auto"/>
          <w:sz w:val="19"/>
          <w:szCs w:val="19"/>
        </w:rPr>
      </w:pPr>
      <w:proofErr w:type="spellStart"/>
      <w:r w:rsidRPr="00326B4C">
        <w:rPr>
          <w:rFonts w:ascii="Georgia" w:hAnsi="Georgia"/>
          <w:color w:val="auto"/>
          <w:sz w:val="19"/>
          <w:szCs w:val="19"/>
        </w:rPr>
        <w:t>AusAID</w:t>
      </w:r>
      <w:proofErr w:type="spellEnd"/>
      <w:r w:rsidRPr="00326B4C">
        <w:rPr>
          <w:rFonts w:ascii="Georgia" w:hAnsi="Georgia"/>
          <w:color w:val="auto"/>
          <w:sz w:val="19"/>
          <w:szCs w:val="19"/>
        </w:rPr>
        <w:t xml:space="preserve"> to discuss with </w:t>
      </w:r>
      <w:r w:rsidR="003D7576" w:rsidRPr="00326B4C">
        <w:rPr>
          <w:rFonts w:ascii="Georgia" w:hAnsi="Georgia"/>
          <w:color w:val="auto"/>
          <w:sz w:val="19"/>
          <w:szCs w:val="19"/>
        </w:rPr>
        <w:t xml:space="preserve">the Government of Kiribati </w:t>
      </w:r>
      <w:r w:rsidRPr="00326B4C">
        <w:rPr>
          <w:rFonts w:ascii="Georgia" w:hAnsi="Georgia"/>
          <w:color w:val="auto"/>
          <w:sz w:val="19"/>
          <w:szCs w:val="19"/>
        </w:rPr>
        <w:t xml:space="preserve">in 2012 </w:t>
      </w:r>
      <w:r w:rsidR="003D7576" w:rsidRPr="00326B4C">
        <w:rPr>
          <w:rFonts w:ascii="Georgia" w:hAnsi="Georgia"/>
          <w:color w:val="auto"/>
          <w:sz w:val="19"/>
          <w:szCs w:val="19"/>
        </w:rPr>
        <w:t>partnership talks</w:t>
      </w:r>
      <w:r w:rsidRPr="00326B4C">
        <w:rPr>
          <w:rFonts w:ascii="Georgia" w:hAnsi="Georgia"/>
          <w:color w:val="auto"/>
          <w:sz w:val="19"/>
          <w:szCs w:val="19"/>
        </w:rPr>
        <w:t>:</w:t>
      </w:r>
    </w:p>
    <w:p w14:paraId="7F561635" w14:textId="68921B37" w:rsidR="00B97810" w:rsidRPr="00326B4C" w:rsidRDefault="00B97810" w:rsidP="000A3A3D">
      <w:pPr>
        <w:pStyle w:val="GuidanceText"/>
        <w:numPr>
          <w:ilvl w:val="1"/>
          <w:numId w:val="2"/>
        </w:numPr>
        <w:rPr>
          <w:rFonts w:ascii="Georgia" w:hAnsi="Georgia"/>
          <w:color w:val="auto"/>
          <w:sz w:val="19"/>
          <w:szCs w:val="19"/>
        </w:rPr>
      </w:pPr>
      <w:r w:rsidRPr="00326B4C">
        <w:rPr>
          <w:rFonts w:ascii="Georgia" w:hAnsi="Georgia"/>
          <w:color w:val="auto"/>
          <w:sz w:val="19"/>
          <w:szCs w:val="19"/>
        </w:rPr>
        <w:t xml:space="preserve">making </w:t>
      </w:r>
      <w:r w:rsidR="00A61630" w:rsidRPr="00326B4C">
        <w:rPr>
          <w:rFonts w:ascii="Georgia" w:hAnsi="Georgia"/>
          <w:color w:val="auto"/>
          <w:sz w:val="19"/>
          <w:szCs w:val="19"/>
        </w:rPr>
        <w:t>infrastructure</w:t>
      </w:r>
      <w:r w:rsidRPr="00326B4C">
        <w:rPr>
          <w:rFonts w:ascii="Georgia" w:hAnsi="Georgia"/>
          <w:color w:val="auto"/>
          <w:sz w:val="19"/>
          <w:szCs w:val="19"/>
        </w:rPr>
        <w:t>/</w:t>
      </w:r>
      <w:r w:rsidR="00A61630" w:rsidRPr="00326B4C">
        <w:rPr>
          <w:rFonts w:ascii="Georgia" w:hAnsi="Georgia"/>
          <w:color w:val="auto"/>
          <w:sz w:val="19"/>
          <w:szCs w:val="19"/>
        </w:rPr>
        <w:t xml:space="preserve">climate change </w:t>
      </w:r>
      <w:r w:rsidRPr="00326B4C">
        <w:rPr>
          <w:rFonts w:ascii="Georgia" w:hAnsi="Georgia"/>
          <w:color w:val="auto"/>
          <w:sz w:val="19"/>
          <w:szCs w:val="19"/>
        </w:rPr>
        <w:t>a separate priority outcome under the Partnership for Development considering the increased funding in this sector</w:t>
      </w:r>
    </w:p>
    <w:p w14:paraId="249EE079" w14:textId="3ADD1CEF" w:rsidR="00B97810" w:rsidRPr="00326B4C" w:rsidRDefault="00A61630" w:rsidP="000A3A3D">
      <w:pPr>
        <w:pStyle w:val="GuidanceText"/>
        <w:numPr>
          <w:ilvl w:val="1"/>
          <w:numId w:val="2"/>
        </w:numPr>
        <w:rPr>
          <w:rFonts w:ascii="Georgia" w:hAnsi="Georgia"/>
          <w:color w:val="auto"/>
          <w:sz w:val="19"/>
          <w:szCs w:val="19"/>
        </w:rPr>
      </w:pPr>
      <w:r w:rsidRPr="00326B4C">
        <w:rPr>
          <w:rFonts w:ascii="Georgia" w:hAnsi="Georgia"/>
          <w:color w:val="auto"/>
          <w:sz w:val="19"/>
          <w:szCs w:val="19"/>
        </w:rPr>
        <w:t xml:space="preserve">updating </w:t>
      </w:r>
      <w:r w:rsidR="00B97810" w:rsidRPr="00326B4C">
        <w:rPr>
          <w:rFonts w:ascii="Georgia" w:hAnsi="Georgia"/>
          <w:color w:val="auto"/>
          <w:sz w:val="19"/>
          <w:szCs w:val="19"/>
        </w:rPr>
        <w:t xml:space="preserve">the </w:t>
      </w:r>
      <w:r w:rsidRPr="00326B4C">
        <w:rPr>
          <w:rFonts w:ascii="Georgia" w:hAnsi="Georgia"/>
          <w:color w:val="auto"/>
          <w:sz w:val="19"/>
          <w:szCs w:val="19"/>
        </w:rPr>
        <w:t xml:space="preserve">partnership schedules </w:t>
      </w:r>
      <w:r w:rsidR="00B97810" w:rsidRPr="00326B4C">
        <w:rPr>
          <w:rFonts w:ascii="Georgia" w:hAnsi="Georgia"/>
          <w:color w:val="auto"/>
          <w:sz w:val="19"/>
          <w:szCs w:val="19"/>
        </w:rPr>
        <w:t xml:space="preserve">for </w:t>
      </w:r>
      <w:r w:rsidR="00326B4C">
        <w:rPr>
          <w:rFonts w:ascii="Georgia" w:hAnsi="Georgia"/>
          <w:color w:val="auto"/>
          <w:sz w:val="19"/>
          <w:szCs w:val="19"/>
        </w:rPr>
        <w:t>O</w:t>
      </w:r>
      <w:r w:rsidRPr="00326B4C">
        <w:rPr>
          <w:rFonts w:ascii="Georgia" w:hAnsi="Georgia"/>
          <w:color w:val="auto"/>
          <w:sz w:val="19"/>
          <w:szCs w:val="19"/>
        </w:rPr>
        <w:t xml:space="preserve">utcomes </w:t>
      </w:r>
      <w:r w:rsidR="00B97810" w:rsidRPr="00326B4C">
        <w:rPr>
          <w:rFonts w:ascii="Georgia" w:hAnsi="Georgia"/>
          <w:color w:val="auto"/>
          <w:sz w:val="19"/>
          <w:szCs w:val="19"/>
        </w:rPr>
        <w:t>1</w:t>
      </w:r>
      <w:r w:rsidRPr="00326B4C">
        <w:rPr>
          <w:rFonts w:ascii="Georgia" w:hAnsi="Georgia"/>
          <w:color w:val="auto"/>
          <w:sz w:val="19"/>
          <w:szCs w:val="19"/>
        </w:rPr>
        <w:t xml:space="preserve"> to </w:t>
      </w:r>
      <w:r w:rsidR="00B97810" w:rsidRPr="00326B4C">
        <w:rPr>
          <w:rFonts w:ascii="Georgia" w:hAnsi="Georgia"/>
          <w:color w:val="auto"/>
          <w:sz w:val="19"/>
          <w:szCs w:val="19"/>
        </w:rPr>
        <w:t xml:space="preserve">3 to make them more relevant to </w:t>
      </w:r>
      <w:proofErr w:type="spellStart"/>
      <w:r w:rsidR="00B97810" w:rsidRPr="00326B4C">
        <w:rPr>
          <w:rFonts w:ascii="Georgia" w:hAnsi="Georgia"/>
          <w:color w:val="auto"/>
          <w:sz w:val="19"/>
          <w:szCs w:val="19"/>
        </w:rPr>
        <w:t>AusAID</w:t>
      </w:r>
      <w:proofErr w:type="spellEnd"/>
      <w:r w:rsidR="00B97810" w:rsidRPr="00326B4C">
        <w:rPr>
          <w:rFonts w:ascii="Georgia" w:hAnsi="Georgia"/>
          <w:color w:val="auto"/>
          <w:sz w:val="19"/>
          <w:szCs w:val="19"/>
        </w:rPr>
        <w:t>/</w:t>
      </w:r>
      <w:r w:rsidRPr="00326B4C">
        <w:rPr>
          <w:rFonts w:ascii="Georgia" w:hAnsi="Georgia"/>
          <w:color w:val="auto"/>
          <w:sz w:val="19"/>
          <w:szCs w:val="19"/>
        </w:rPr>
        <w:t xml:space="preserve">Kiribati </w:t>
      </w:r>
      <w:r w:rsidR="00B97810" w:rsidRPr="00326B4C">
        <w:rPr>
          <w:rFonts w:ascii="Georgia" w:hAnsi="Georgia"/>
          <w:color w:val="auto"/>
          <w:sz w:val="19"/>
          <w:szCs w:val="19"/>
        </w:rPr>
        <w:t>programs and priorities</w:t>
      </w:r>
    </w:p>
    <w:p w14:paraId="7E16471D" w14:textId="351593F6" w:rsidR="00B97810" w:rsidRPr="00326B4C" w:rsidRDefault="00A61630" w:rsidP="000A3A3D">
      <w:pPr>
        <w:pStyle w:val="GuidanceText"/>
        <w:numPr>
          <w:ilvl w:val="1"/>
          <w:numId w:val="2"/>
        </w:numPr>
        <w:rPr>
          <w:rFonts w:ascii="Georgia" w:hAnsi="Georgia"/>
          <w:color w:val="auto"/>
          <w:sz w:val="19"/>
          <w:szCs w:val="19"/>
        </w:rPr>
      </w:pPr>
      <w:r w:rsidRPr="00326B4C">
        <w:rPr>
          <w:rFonts w:ascii="Georgia" w:hAnsi="Georgia"/>
          <w:color w:val="auto"/>
          <w:sz w:val="19"/>
          <w:szCs w:val="19"/>
        </w:rPr>
        <w:t xml:space="preserve">issues </w:t>
      </w:r>
      <w:r w:rsidR="00B97810" w:rsidRPr="00326B4C">
        <w:rPr>
          <w:rFonts w:ascii="Georgia" w:hAnsi="Georgia"/>
          <w:color w:val="auto"/>
          <w:sz w:val="19"/>
          <w:szCs w:val="19"/>
        </w:rPr>
        <w:t>surrounding the health sector</w:t>
      </w:r>
    </w:p>
    <w:p w14:paraId="37B3167A" w14:textId="26CE1D08" w:rsidR="00B97810" w:rsidRPr="00326B4C" w:rsidRDefault="00A61630" w:rsidP="000A3A3D">
      <w:pPr>
        <w:pStyle w:val="GuidanceText"/>
        <w:numPr>
          <w:ilvl w:val="1"/>
          <w:numId w:val="2"/>
        </w:numPr>
        <w:rPr>
          <w:rFonts w:ascii="Georgia" w:hAnsi="Georgia"/>
          <w:color w:val="auto"/>
          <w:sz w:val="19"/>
          <w:szCs w:val="19"/>
        </w:rPr>
      </w:pPr>
      <w:r w:rsidRPr="00326B4C">
        <w:rPr>
          <w:rFonts w:ascii="Georgia" w:hAnsi="Georgia"/>
          <w:color w:val="auto"/>
          <w:sz w:val="19"/>
          <w:szCs w:val="19"/>
        </w:rPr>
        <w:t xml:space="preserve">ensuring </w:t>
      </w:r>
      <w:r w:rsidR="00B97810" w:rsidRPr="00326B4C">
        <w:rPr>
          <w:rFonts w:ascii="Georgia" w:hAnsi="Georgia"/>
          <w:color w:val="auto"/>
          <w:sz w:val="19"/>
          <w:szCs w:val="19"/>
        </w:rPr>
        <w:t>government ownership</w:t>
      </w:r>
      <w:r w:rsidRPr="00326B4C">
        <w:rPr>
          <w:rFonts w:ascii="Georgia" w:hAnsi="Georgia"/>
          <w:color w:val="auto"/>
          <w:sz w:val="19"/>
          <w:szCs w:val="19"/>
        </w:rPr>
        <w:t>,</w:t>
      </w:r>
      <w:r w:rsidR="00B97810" w:rsidRPr="00326B4C">
        <w:rPr>
          <w:rFonts w:ascii="Georgia" w:hAnsi="Georgia"/>
          <w:color w:val="auto"/>
          <w:sz w:val="19"/>
          <w:szCs w:val="19"/>
        </w:rPr>
        <w:t xml:space="preserve"> leadership and engagement with programs</w:t>
      </w:r>
    </w:p>
    <w:p w14:paraId="6C72125F" w14:textId="46250D4A" w:rsidR="00B97810" w:rsidRPr="00326B4C" w:rsidRDefault="00A61630" w:rsidP="000A3A3D">
      <w:pPr>
        <w:pStyle w:val="GuidanceText"/>
        <w:numPr>
          <w:ilvl w:val="1"/>
          <w:numId w:val="2"/>
        </w:numPr>
        <w:rPr>
          <w:rFonts w:ascii="Georgia" w:hAnsi="Georgia"/>
          <w:color w:val="auto"/>
          <w:sz w:val="19"/>
          <w:szCs w:val="19"/>
        </w:rPr>
      </w:pPr>
      <w:r w:rsidRPr="00326B4C">
        <w:rPr>
          <w:rFonts w:ascii="Georgia" w:hAnsi="Georgia"/>
          <w:color w:val="auto"/>
          <w:sz w:val="19"/>
          <w:szCs w:val="19"/>
        </w:rPr>
        <w:t xml:space="preserve">Kiribati </w:t>
      </w:r>
      <w:r w:rsidR="00B97810" w:rsidRPr="00326B4C">
        <w:rPr>
          <w:rFonts w:ascii="Georgia" w:hAnsi="Georgia"/>
          <w:color w:val="auto"/>
          <w:sz w:val="19"/>
          <w:szCs w:val="19"/>
        </w:rPr>
        <w:t xml:space="preserve">coordination of the infrastructure program and where </w:t>
      </w:r>
      <w:proofErr w:type="spellStart"/>
      <w:r w:rsidR="00B97810" w:rsidRPr="00326B4C">
        <w:rPr>
          <w:rFonts w:ascii="Georgia" w:hAnsi="Georgia"/>
          <w:color w:val="auto"/>
          <w:sz w:val="19"/>
          <w:szCs w:val="19"/>
        </w:rPr>
        <w:t>AusAID</w:t>
      </w:r>
      <w:proofErr w:type="spellEnd"/>
      <w:r w:rsidR="00B97810" w:rsidRPr="00326B4C">
        <w:rPr>
          <w:rFonts w:ascii="Georgia" w:hAnsi="Georgia"/>
          <w:color w:val="auto"/>
          <w:sz w:val="19"/>
          <w:szCs w:val="19"/>
        </w:rPr>
        <w:t xml:space="preserve"> can add value</w:t>
      </w:r>
      <w:r w:rsidRPr="00326B4C">
        <w:rPr>
          <w:rFonts w:ascii="Georgia" w:hAnsi="Georgia"/>
          <w:color w:val="auto"/>
          <w:sz w:val="19"/>
          <w:szCs w:val="19"/>
        </w:rPr>
        <w:t>.</w:t>
      </w:r>
    </w:p>
    <w:p w14:paraId="6F37AE5C" w14:textId="6F2D4AB9" w:rsidR="00B97810" w:rsidRPr="00326B4C" w:rsidRDefault="00B97810" w:rsidP="00041F6B">
      <w:pPr>
        <w:pStyle w:val="GuidanceText"/>
        <w:numPr>
          <w:ilvl w:val="0"/>
          <w:numId w:val="2"/>
        </w:numPr>
        <w:ind w:left="284" w:hanging="284"/>
        <w:rPr>
          <w:rFonts w:ascii="Georgia" w:hAnsi="Georgia"/>
          <w:color w:val="auto"/>
          <w:sz w:val="19"/>
          <w:szCs w:val="19"/>
        </w:rPr>
      </w:pPr>
      <w:proofErr w:type="spellStart"/>
      <w:r w:rsidRPr="00326B4C">
        <w:rPr>
          <w:rFonts w:ascii="Georgia" w:hAnsi="Georgia"/>
          <w:color w:val="auto"/>
          <w:sz w:val="19"/>
          <w:szCs w:val="19"/>
        </w:rPr>
        <w:t>AusAID</w:t>
      </w:r>
      <w:proofErr w:type="spellEnd"/>
      <w:r w:rsidRPr="00326B4C">
        <w:rPr>
          <w:rFonts w:ascii="Georgia" w:hAnsi="Georgia"/>
          <w:color w:val="auto"/>
          <w:sz w:val="19"/>
          <w:szCs w:val="19"/>
        </w:rPr>
        <w:t xml:space="preserve"> will revise its country situational analysis to include analysis on absorptive capacity, priority areas for engagement and resource constraints.</w:t>
      </w:r>
      <w:r w:rsidR="00E92460" w:rsidRPr="00326B4C">
        <w:rPr>
          <w:rFonts w:ascii="Georgia" w:hAnsi="Georgia"/>
          <w:color w:val="auto"/>
          <w:sz w:val="19"/>
          <w:szCs w:val="19"/>
        </w:rPr>
        <w:t xml:space="preserve"> </w:t>
      </w:r>
      <w:r w:rsidRPr="00326B4C">
        <w:rPr>
          <w:rFonts w:ascii="Georgia" w:hAnsi="Georgia"/>
          <w:color w:val="auto"/>
          <w:sz w:val="19"/>
          <w:szCs w:val="19"/>
        </w:rPr>
        <w:t xml:space="preserve">This will inform the development of a new </w:t>
      </w:r>
      <w:r w:rsidR="00326B4C">
        <w:rPr>
          <w:rFonts w:ascii="Georgia" w:hAnsi="Georgia"/>
          <w:color w:val="auto"/>
          <w:sz w:val="19"/>
          <w:szCs w:val="19"/>
        </w:rPr>
        <w:t>p</w:t>
      </w:r>
      <w:r w:rsidRPr="00326B4C">
        <w:rPr>
          <w:rFonts w:ascii="Georgia" w:hAnsi="Georgia"/>
          <w:color w:val="auto"/>
          <w:sz w:val="19"/>
          <w:szCs w:val="19"/>
        </w:rPr>
        <w:t xml:space="preserve">artnership for </w:t>
      </w:r>
      <w:r w:rsidR="00326B4C">
        <w:rPr>
          <w:rFonts w:ascii="Georgia" w:hAnsi="Georgia"/>
          <w:color w:val="auto"/>
          <w:sz w:val="19"/>
          <w:szCs w:val="19"/>
        </w:rPr>
        <w:t>d</w:t>
      </w:r>
      <w:r w:rsidRPr="00326B4C">
        <w:rPr>
          <w:rFonts w:ascii="Georgia" w:hAnsi="Georgia"/>
          <w:color w:val="auto"/>
          <w:sz w:val="19"/>
          <w:szCs w:val="19"/>
        </w:rPr>
        <w:t>evelopment for endorsement at the 201</w:t>
      </w:r>
      <w:r w:rsidR="00CA0DFE" w:rsidRPr="00326B4C">
        <w:rPr>
          <w:rFonts w:ascii="Georgia" w:hAnsi="Georgia"/>
          <w:color w:val="auto"/>
          <w:sz w:val="19"/>
          <w:szCs w:val="19"/>
        </w:rPr>
        <w:t>4</w:t>
      </w:r>
      <w:r w:rsidRPr="00326B4C">
        <w:rPr>
          <w:rFonts w:ascii="Georgia" w:hAnsi="Georgia"/>
          <w:color w:val="auto"/>
          <w:sz w:val="19"/>
          <w:szCs w:val="19"/>
        </w:rPr>
        <w:t xml:space="preserve"> </w:t>
      </w:r>
      <w:r w:rsidR="00A61630" w:rsidRPr="00326B4C">
        <w:rPr>
          <w:rFonts w:ascii="Georgia" w:hAnsi="Georgia"/>
          <w:color w:val="auto"/>
          <w:sz w:val="19"/>
          <w:szCs w:val="19"/>
        </w:rPr>
        <w:t>partnership talks</w:t>
      </w:r>
      <w:r w:rsidRPr="00326B4C">
        <w:rPr>
          <w:rFonts w:ascii="Georgia" w:hAnsi="Georgia"/>
          <w:color w:val="auto"/>
          <w:sz w:val="19"/>
          <w:szCs w:val="19"/>
        </w:rPr>
        <w:t xml:space="preserve">. It will also examine the current sectors of focus and if these are the </w:t>
      </w:r>
      <w:r w:rsidR="00A61630" w:rsidRPr="00326B4C">
        <w:rPr>
          <w:rFonts w:ascii="Georgia" w:hAnsi="Georgia"/>
          <w:color w:val="auto"/>
          <w:sz w:val="19"/>
          <w:szCs w:val="19"/>
        </w:rPr>
        <w:t xml:space="preserve">right </w:t>
      </w:r>
      <w:r w:rsidRPr="00326B4C">
        <w:rPr>
          <w:rFonts w:ascii="Georgia" w:hAnsi="Georgia"/>
          <w:color w:val="auto"/>
          <w:sz w:val="19"/>
          <w:szCs w:val="19"/>
        </w:rPr>
        <w:t>areas.</w:t>
      </w:r>
    </w:p>
    <w:p w14:paraId="4628F655" w14:textId="32DC3395" w:rsidR="00B97810" w:rsidRPr="00326B4C" w:rsidRDefault="00E67FCD" w:rsidP="00041F6B">
      <w:pPr>
        <w:pStyle w:val="GuidanceText"/>
        <w:numPr>
          <w:ilvl w:val="0"/>
          <w:numId w:val="2"/>
        </w:numPr>
        <w:ind w:left="284" w:hanging="284"/>
        <w:rPr>
          <w:rFonts w:ascii="Georgia" w:hAnsi="Georgia"/>
          <w:color w:val="auto"/>
          <w:sz w:val="19"/>
          <w:szCs w:val="19"/>
        </w:rPr>
      </w:pPr>
      <w:proofErr w:type="spellStart"/>
      <w:r w:rsidRPr="00326B4C">
        <w:rPr>
          <w:rFonts w:ascii="Georgia" w:hAnsi="Georgia"/>
          <w:color w:val="auto"/>
          <w:sz w:val="19"/>
          <w:szCs w:val="19"/>
        </w:rPr>
        <w:t>AusAID</w:t>
      </w:r>
      <w:proofErr w:type="spellEnd"/>
      <w:r w:rsidRPr="00326B4C">
        <w:rPr>
          <w:rFonts w:ascii="Georgia" w:hAnsi="Georgia"/>
          <w:color w:val="auto"/>
          <w:sz w:val="19"/>
          <w:szCs w:val="19"/>
        </w:rPr>
        <w:t xml:space="preserve"> to r</w:t>
      </w:r>
      <w:r w:rsidR="00B97810" w:rsidRPr="00326B4C">
        <w:rPr>
          <w:rFonts w:ascii="Georgia" w:hAnsi="Georgia"/>
          <w:color w:val="auto"/>
          <w:sz w:val="19"/>
          <w:szCs w:val="19"/>
        </w:rPr>
        <w:t xml:space="preserve">eview </w:t>
      </w:r>
      <w:r w:rsidRPr="00326B4C">
        <w:rPr>
          <w:rFonts w:ascii="Georgia" w:hAnsi="Georgia"/>
          <w:color w:val="auto"/>
          <w:sz w:val="19"/>
          <w:szCs w:val="19"/>
        </w:rPr>
        <w:t xml:space="preserve">the </w:t>
      </w:r>
      <w:r w:rsidR="00A61630" w:rsidRPr="00326B4C">
        <w:rPr>
          <w:rFonts w:ascii="Georgia" w:hAnsi="Georgia"/>
          <w:color w:val="auto"/>
          <w:sz w:val="19"/>
          <w:szCs w:val="19"/>
        </w:rPr>
        <w:t xml:space="preserve">Kiribati Australia Nursing Initiative </w:t>
      </w:r>
      <w:r w:rsidR="00B97810" w:rsidRPr="00326B4C">
        <w:rPr>
          <w:rFonts w:ascii="Georgia" w:hAnsi="Georgia"/>
          <w:color w:val="auto"/>
          <w:sz w:val="19"/>
          <w:szCs w:val="19"/>
        </w:rPr>
        <w:t>including its cost-effectiveness</w:t>
      </w:r>
      <w:r w:rsidR="00A61630" w:rsidRPr="00326B4C">
        <w:rPr>
          <w:rFonts w:ascii="Georgia" w:hAnsi="Georgia"/>
          <w:color w:val="auto"/>
          <w:sz w:val="19"/>
          <w:szCs w:val="19"/>
        </w:rPr>
        <w:t>.</w:t>
      </w:r>
      <w:r w:rsidR="00B97810" w:rsidRPr="00326B4C">
        <w:rPr>
          <w:rFonts w:ascii="Georgia" w:hAnsi="Georgia"/>
          <w:color w:val="auto"/>
          <w:sz w:val="19"/>
          <w:szCs w:val="19"/>
        </w:rPr>
        <w:t xml:space="preserve"> </w:t>
      </w:r>
    </w:p>
    <w:p w14:paraId="2C7EFEE9" w14:textId="4874DF8B" w:rsidR="00B97810" w:rsidRPr="00326B4C" w:rsidRDefault="00B97810" w:rsidP="00041F6B">
      <w:pPr>
        <w:pStyle w:val="GuidanceText"/>
        <w:numPr>
          <w:ilvl w:val="0"/>
          <w:numId w:val="2"/>
        </w:numPr>
        <w:ind w:left="284" w:hanging="284"/>
        <w:rPr>
          <w:rFonts w:ascii="Georgia" w:hAnsi="Georgia"/>
          <w:color w:val="auto"/>
          <w:sz w:val="19"/>
          <w:szCs w:val="19"/>
        </w:rPr>
      </w:pPr>
      <w:proofErr w:type="spellStart"/>
      <w:r w:rsidRPr="00326B4C">
        <w:rPr>
          <w:rFonts w:ascii="Georgia" w:hAnsi="Georgia"/>
          <w:color w:val="auto"/>
          <w:sz w:val="19"/>
          <w:szCs w:val="19"/>
        </w:rPr>
        <w:t>AusAID</w:t>
      </w:r>
      <w:proofErr w:type="spellEnd"/>
      <w:r w:rsidRPr="00326B4C">
        <w:rPr>
          <w:rFonts w:ascii="Georgia" w:hAnsi="Georgia"/>
          <w:color w:val="auto"/>
          <w:sz w:val="19"/>
          <w:szCs w:val="19"/>
        </w:rPr>
        <w:t xml:space="preserve"> to support </w:t>
      </w:r>
      <w:r w:rsidR="00E67FCD" w:rsidRPr="00326B4C">
        <w:rPr>
          <w:rFonts w:ascii="Georgia" w:hAnsi="Georgia"/>
          <w:color w:val="auto"/>
          <w:sz w:val="19"/>
          <w:szCs w:val="19"/>
        </w:rPr>
        <w:t xml:space="preserve">the Kiribati Government </w:t>
      </w:r>
      <w:r w:rsidRPr="00326B4C">
        <w:rPr>
          <w:rFonts w:ascii="Georgia" w:hAnsi="Georgia"/>
          <w:color w:val="auto"/>
          <w:sz w:val="19"/>
          <w:szCs w:val="19"/>
        </w:rPr>
        <w:t xml:space="preserve">to audit all </w:t>
      </w:r>
      <w:proofErr w:type="spellStart"/>
      <w:r w:rsidRPr="00326B4C">
        <w:rPr>
          <w:rFonts w:ascii="Georgia" w:hAnsi="Georgia"/>
          <w:color w:val="auto"/>
          <w:sz w:val="19"/>
          <w:szCs w:val="19"/>
        </w:rPr>
        <w:t>AusAID’s</w:t>
      </w:r>
      <w:proofErr w:type="spellEnd"/>
      <w:r w:rsidRPr="00326B4C">
        <w:rPr>
          <w:rFonts w:ascii="Georgia" w:hAnsi="Georgia"/>
          <w:color w:val="auto"/>
          <w:sz w:val="19"/>
          <w:szCs w:val="19"/>
        </w:rPr>
        <w:t xml:space="preserve"> </w:t>
      </w:r>
      <w:proofErr w:type="gramStart"/>
      <w:r w:rsidR="00E67FCD" w:rsidRPr="00326B4C">
        <w:rPr>
          <w:rFonts w:ascii="Georgia" w:hAnsi="Georgia"/>
          <w:color w:val="auto"/>
          <w:sz w:val="19"/>
          <w:szCs w:val="19"/>
        </w:rPr>
        <w:t>accountable</w:t>
      </w:r>
      <w:proofErr w:type="gramEnd"/>
      <w:r w:rsidR="00E67FCD" w:rsidRPr="00326B4C">
        <w:rPr>
          <w:rFonts w:ascii="Georgia" w:hAnsi="Georgia"/>
          <w:color w:val="auto"/>
          <w:sz w:val="19"/>
          <w:szCs w:val="19"/>
        </w:rPr>
        <w:t xml:space="preserve"> cash grants </w:t>
      </w:r>
      <w:r w:rsidRPr="00326B4C">
        <w:rPr>
          <w:rFonts w:ascii="Georgia" w:hAnsi="Georgia"/>
          <w:color w:val="auto"/>
          <w:sz w:val="19"/>
          <w:szCs w:val="19"/>
        </w:rPr>
        <w:t xml:space="preserve">and recommend, </w:t>
      </w:r>
      <w:r w:rsidR="00E67FCD" w:rsidRPr="00326B4C">
        <w:rPr>
          <w:rFonts w:ascii="Georgia" w:hAnsi="Georgia"/>
          <w:color w:val="auto"/>
          <w:sz w:val="19"/>
          <w:szCs w:val="19"/>
        </w:rPr>
        <w:t xml:space="preserve">where </w:t>
      </w:r>
      <w:r w:rsidRPr="00326B4C">
        <w:rPr>
          <w:rFonts w:ascii="Georgia" w:hAnsi="Georgia"/>
          <w:color w:val="auto"/>
          <w:sz w:val="19"/>
          <w:szCs w:val="19"/>
        </w:rPr>
        <w:t xml:space="preserve">necessary, ways </w:t>
      </w:r>
      <w:r w:rsidR="00E67FCD" w:rsidRPr="00326B4C">
        <w:rPr>
          <w:rFonts w:ascii="Georgia" w:hAnsi="Georgia"/>
          <w:color w:val="auto"/>
          <w:sz w:val="19"/>
          <w:szCs w:val="19"/>
        </w:rPr>
        <w:t xml:space="preserve">to </w:t>
      </w:r>
      <w:r w:rsidRPr="00326B4C">
        <w:rPr>
          <w:rFonts w:ascii="Georgia" w:hAnsi="Georgia"/>
          <w:color w:val="auto"/>
          <w:sz w:val="19"/>
          <w:szCs w:val="19"/>
        </w:rPr>
        <w:t>improv</w:t>
      </w:r>
      <w:r w:rsidR="00E67FCD" w:rsidRPr="00326B4C">
        <w:rPr>
          <w:rFonts w:ascii="Georgia" w:hAnsi="Georgia"/>
          <w:color w:val="auto"/>
          <w:sz w:val="19"/>
          <w:szCs w:val="19"/>
        </w:rPr>
        <w:t>e</w:t>
      </w:r>
      <w:r w:rsidRPr="00326B4C">
        <w:rPr>
          <w:rFonts w:ascii="Georgia" w:hAnsi="Georgia"/>
          <w:color w:val="auto"/>
          <w:sz w:val="19"/>
          <w:szCs w:val="19"/>
        </w:rPr>
        <w:t xml:space="preserve"> expenditure through this mechanism</w:t>
      </w:r>
      <w:r w:rsidR="00E67FCD" w:rsidRPr="00326B4C">
        <w:rPr>
          <w:rFonts w:ascii="Georgia" w:hAnsi="Georgia"/>
          <w:color w:val="auto"/>
          <w:sz w:val="19"/>
          <w:szCs w:val="19"/>
        </w:rPr>
        <w:t>.</w:t>
      </w:r>
    </w:p>
    <w:p w14:paraId="1F05F6EE" w14:textId="77777777" w:rsidR="00B97810" w:rsidRDefault="00B97810" w:rsidP="00AD7CED">
      <w:pPr>
        <w:pStyle w:val="GuidanceText"/>
        <w:ind w:left="284"/>
        <w:rPr>
          <w:rFonts w:ascii="Georgia" w:hAnsi="Georgia"/>
          <w:i/>
          <w:color w:val="auto"/>
          <w:sz w:val="19"/>
          <w:szCs w:val="19"/>
        </w:rPr>
      </w:pPr>
    </w:p>
    <w:p w14:paraId="42DECA79" w14:textId="77777777" w:rsidR="00B97810" w:rsidRDefault="00B97810" w:rsidP="002F18A6">
      <w:pPr>
        <w:keepNext/>
        <w:spacing w:after="100" w:line="320" w:lineRule="atLeast"/>
        <w:outlineLvl w:val="0"/>
        <w:rPr>
          <w:rFonts w:ascii="Franklin Gothic Demi" w:hAnsi="Franklin Gothic Demi"/>
          <w:color w:val="AD495D"/>
          <w:kern w:val="28"/>
          <w:sz w:val="28"/>
          <w:szCs w:val="28"/>
        </w:rPr>
      </w:pPr>
    </w:p>
    <w:p w14:paraId="780A5EC4" w14:textId="77777777" w:rsidR="00B97810" w:rsidRDefault="00B97810" w:rsidP="002F18A6">
      <w:pPr>
        <w:keepNext/>
        <w:spacing w:after="100" w:line="320" w:lineRule="atLeast"/>
        <w:outlineLvl w:val="0"/>
        <w:rPr>
          <w:rFonts w:ascii="Franklin Gothic Demi" w:hAnsi="Franklin Gothic Demi"/>
          <w:color w:val="AD495D"/>
          <w:kern w:val="28"/>
          <w:sz w:val="28"/>
          <w:szCs w:val="28"/>
        </w:rPr>
        <w:sectPr w:rsidR="00B97810" w:rsidSect="00750CFB">
          <w:headerReference w:type="even" r:id="rId13"/>
          <w:footerReference w:type="even" r:id="rId14"/>
          <w:footerReference w:type="default" r:id="rId15"/>
          <w:footerReference w:type="first" r:id="rId16"/>
          <w:pgSz w:w="11907" w:h="16840" w:code="9"/>
          <w:pgMar w:top="2381" w:right="2155" w:bottom="851" w:left="1814" w:header="851" w:footer="340" w:gutter="0"/>
          <w:cols w:space="720"/>
          <w:titlePg/>
        </w:sectPr>
      </w:pPr>
    </w:p>
    <w:p w14:paraId="40E28B1A" w14:textId="77777777" w:rsidR="00B97810" w:rsidRDefault="00B97810" w:rsidP="001A3443">
      <w:pPr>
        <w:pStyle w:val="H1A"/>
      </w:pPr>
      <w:bookmarkStart w:id="14" w:name="_Toc360732553"/>
      <w:r>
        <w:lastRenderedPageBreak/>
        <w:t>Annex A:</w:t>
      </w:r>
      <w:bookmarkEnd w:id="14"/>
    </w:p>
    <w:p w14:paraId="4DFF2EB3" w14:textId="5151D589" w:rsidR="00B97810" w:rsidRDefault="00B97810" w:rsidP="002F18A6">
      <w:pPr>
        <w:pStyle w:val="BodyText"/>
        <w:ind w:left="284"/>
        <w:rPr>
          <w:b/>
        </w:rPr>
      </w:pPr>
      <w:r>
        <w:rPr>
          <w:b/>
        </w:rPr>
        <w:t xml:space="preserve">Headline </w:t>
      </w:r>
      <w:r w:rsidR="006A52C1">
        <w:rPr>
          <w:b/>
        </w:rPr>
        <w:t>results summary</w:t>
      </w:r>
      <w:r>
        <w:rPr>
          <w:b/>
        </w:rPr>
        <w:t xml:space="preserve">: </w:t>
      </w:r>
      <w:r w:rsidR="006A52C1">
        <w:rPr>
          <w:b/>
        </w:rPr>
        <w:t>country</w:t>
      </w:r>
      <w:r>
        <w:rPr>
          <w:b/>
        </w:rPr>
        <w:t>/</w:t>
      </w:r>
      <w:r w:rsidR="006A52C1">
        <w:rPr>
          <w:b/>
        </w:rPr>
        <w:t>regional program</w:t>
      </w:r>
    </w:p>
    <w:p w14:paraId="51AF6317" w14:textId="77777777" w:rsidR="00B97810" w:rsidRPr="00B46DDB" w:rsidRDefault="00B97810" w:rsidP="002F18A6">
      <w:pPr>
        <w:ind w:left="852"/>
        <w:rPr>
          <w:b/>
          <w:sz w:val="24"/>
        </w:rPr>
      </w:pPr>
    </w:p>
    <w:tbl>
      <w:tblPr>
        <w:tblW w:w="1442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9"/>
        <w:gridCol w:w="2578"/>
        <w:gridCol w:w="2883"/>
        <w:gridCol w:w="2677"/>
        <w:gridCol w:w="2388"/>
      </w:tblGrid>
      <w:tr w:rsidR="00B97810" w14:paraId="5CDC5063" w14:textId="77777777" w:rsidTr="00AB71D0">
        <w:trPr>
          <w:cantSplit/>
          <w:tblHeader/>
        </w:trPr>
        <w:tc>
          <w:tcPr>
            <w:tcW w:w="3899" w:type="dxa"/>
            <w:shd w:val="clear" w:color="auto" w:fill="4BACC6"/>
          </w:tcPr>
          <w:p w14:paraId="50794FEE" w14:textId="1CBDC338" w:rsidR="00B97810" w:rsidRPr="00F90DF9" w:rsidRDefault="00B97810">
            <w:pPr>
              <w:rPr>
                <w:b/>
                <w:sz w:val="24"/>
              </w:rPr>
            </w:pPr>
            <w:r w:rsidRPr="00F90DF9">
              <w:rPr>
                <w:b/>
                <w:sz w:val="24"/>
              </w:rPr>
              <w:t xml:space="preserve">Headline </w:t>
            </w:r>
            <w:r w:rsidR="006A52C1">
              <w:rPr>
                <w:b/>
                <w:sz w:val="24"/>
              </w:rPr>
              <w:t>r</w:t>
            </w:r>
            <w:r w:rsidR="006A52C1" w:rsidRPr="00F90DF9">
              <w:rPr>
                <w:b/>
                <w:sz w:val="24"/>
              </w:rPr>
              <w:t xml:space="preserve">esult </w:t>
            </w:r>
            <w:r w:rsidR="006A52C1">
              <w:rPr>
                <w:b/>
                <w:sz w:val="24"/>
              </w:rPr>
              <w:t>i</w:t>
            </w:r>
            <w:r w:rsidR="006A52C1" w:rsidRPr="00F90DF9">
              <w:rPr>
                <w:b/>
                <w:sz w:val="24"/>
              </w:rPr>
              <w:t>ndicator</w:t>
            </w:r>
          </w:p>
        </w:tc>
        <w:tc>
          <w:tcPr>
            <w:tcW w:w="2578" w:type="dxa"/>
            <w:shd w:val="clear" w:color="auto" w:fill="4BACC6"/>
          </w:tcPr>
          <w:p w14:paraId="58FC50D9" w14:textId="36F70E97" w:rsidR="00B97810" w:rsidRPr="00F90DF9" w:rsidRDefault="00B97810">
            <w:pPr>
              <w:rPr>
                <w:b/>
                <w:sz w:val="24"/>
              </w:rPr>
            </w:pPr>
            <w:r w:rsidRPr="00F90DF9">
              <w:rPr>
                <w:b/>
                <w:sz w:val="24"/>
              </w:rPr>
              <w:t xml:space="preserve">2011 </w:t>
            </w:r>
            <w:r w:rsidR="006A52C1">
              <w:rPr>
                <w:b/>
                <w:sz w:val="24"/>
              </w:rPr>
              <w:t>r</w:t>
            </w:r>
            <w:r w:rsidR="006A52C1" w:rsidRPr="00F90DF9">
              <w:rPr>
                <w:b/>
                <w:sz w:val="24"/>
              </w:rPr>
              <w:t>esult</w:t>
            </w:r>
          </w:p>
        </w:tc>
        <w:tc>
          <w:tcPr>
            <w:tcW w:w="2883" w:type="dxa"/>
            <w:shd w:val="clear" w:color="auto" w:fill="4BACC6"/>
          </w:tcPr>
          <w:p w14:paraId="62B68A8B" w14:textId="77777777" w:rsidR="00B97810" w:rsidRPr="00F90DF9" w:rsidRDefault="00B97810" w:rsidP="009F4768">
            <w:pPr>
              <w:rPr>
                <w:b/>
                <w:sz w:val="24"/>
              </w:rPr>
            </w:pPr>
            <w:r w:rsidRPr="00F90DF9">
              <w:rPr>
                <w:b/>
                <w:sz w:val="24"/>
              </w:rPr>
              <w:t xml:space="preserve">How Australia contributes </w:t>
            </w:r>
            <w:r w:rsidRPr="00F90DF9">
              <w:rPr>
                <w:b/>
                <w:sz w:val="24"/>
              </w:rPr>
              <w:br/>
              <w:t>(type of aid)</w:t>
            </w:r>
          </w:p>
        </w:tc>
        <w:tc>
          <w:tcPr>
            <w:tcW w:w="2677" w:type="dxa"/>
            <w:shd w:val="clear" w:color="auto" w:fill="4BACC6"/>
          </w:tcPr>
          <w:p w14:paraId="0FEDDE0D" w14:textId="77777777" w:rsidR="00B97810" w:rsidRPr="00F90DF9" w:rsidRDefault="00B97810" w:rsidP="009F4768">
            <w:pPr>
              <w:rPr>
                <w:b/>
                <w:sz w:val="24"/>
              </w:rPr>
            </w:pPr>
            <w:r w:rsidRPr="00F90DF9">
              <w:rPr>
                <w:b/>
                <w:sz w:val="24"/>
              </w:rPr>
              <w:t>Method of calculation</w:t>
            </w:r>
          </w:p>
        </w:tc>
        <w:tc>
          <w:tcPr>
            <w:tcW w:w="2388" w:type="dxa"/>
            <w:shd w:val="clear" w:color="auto" w:fill="4BACC6"/>
          </w:tcPr>
          <w:p w14:paraId="336C4D40" w14:textId="77777777" w:rsidR="00B97810" w:rsidRPr="00F90DF9" w:rsidRDefault="00B97810" w:rsidP="009F4768">
            <w:pPr>
              <w:rPr>
                <w:b/>
                <w:sz w:val="24"/>
              </w:rPr>
            </w:pPr>
            <w:r w:rsidRPr="00F90DF9">
              <w:rPr>
                <w:b/>
                <w:sz w:val="24"/>
              </w:rPr>
              <w:t>Data source</w:t>
            </w:r>
          </w:p>
        </w:tc>
      </w:tr>
      <w:tr w:rsidR="00B97810" w14:paraId="5CB19F83" w14:textId="77777777" w:rsidTr="00AB71D0">
        <w:trPr>
          <w:cantSplit/>
        </w:trPr>
        <w:tc>
          <w:tcPr>
            <w:tcW w:w="3899" w:type="dxa"/>
          </w:tcPr>
          <w:p w14:paraId="0B04D264" w14:textId="77777777" w:rsidR="00B97810" w:rsidRDefault="00B97810">
            <w:pPr>
              <w:rPr>
                <w:rFonts w:ascii="Calibri" w:hAnsi="Calibri" w:cs="Calibri"/>
                <w:color w:val="000000"/>
                <w:szCs w:val="20"/>
              </w:rPr>
            </w:pPr>
            <w:r>
              <w:rPr>
                <w:rFonts w:ascii="Calibri" w:hAnsi="Calibri" w:cs="Calibri"/>
                <w:color w:val="000000"/>
                <w:szCs w:val="20"/>
              </w:rPr>
              <w:t>Kiribati</w:t>
            </w:r>
          </w:p>
        </w:tc>
        <w:tc>
          <w:tcPr>
            <w:tcW w:w="2578" w:type="dxa"/>
          </w:tcPr>
          <w:p w14:paraId="5307F36F" w14:textId="77777777" w:rsidR="00B97810" w:rsidRDefault="00B97810">
            <w:pPr>
              <w:rPr>
                <w:rFonts w:ascii="Calibri" w:hAnsi="Calibri" w:cs="Calibri"/>
                <w:color w:val="000000"/>
                <w:szCs w:val="20"/>
              </w:rPr>
            </w:pPr>
            <w:r>
              <w:rPr>
                <w:rFonts w:ascii="Calibri" w:hAnsi="Calibri" w:cs="Calibri"/>
                <w:color w:val="000000"/>
                <w:szCs w:val="20"/>
              </w:rPr>
              <w:t>10. Number (x) of teachers trained*</w:t>
            </w:r>
          </w:p>
        </w:tc>
        <w:tc>
          <w:tcPr>
            <w:tcW w:w="2883" w:type="dxa"/>
          </w:tcPr>
          <w:p w14:paraId="7312D07F" w14:textId="39547B66" w:rsidR="00B97810" w:rsidRDefault="00B97810">
            <w:pPr>
              <w:jc w:val="right"/>
              <w:rPr>
                <w:rFonts w:ascii="Calibri" w:hAnsi="Calibri" w:cs="Calibri"/>
                <w:color w:val="000000"/>
                <w:szCs w:val="20"/>
              </w:rPr>
            </w:pPr>
            <w:r>
              <w:rPr>
                <w:rFonts w:ascii="Calibri" w:hAnsi="Calibri" w:cs="Calibri"/>
                <w:color w:val="000000"/>
                <w:szCs w:val="20"/>
              </w:rPr>
              <w:t xml:space="preserve">113 (85 </w:t>
            </w:r>
            <w:r w:rsidR="001538BA">
              <w:rPr>
                <w:rFonts w:ascii="Calibri" w:hAnsi="Calibri" w:cs="Calibri"/>
                <w:color w:val="000000"/>
                <w:szCs w:val="20"/>
              </w:rPr>
              <w:t xml:space="preserve">women </w:t>
            </w:r>
            <w:r>
              <w:rPr>
                <w:rFonts w:ascii="Calibri" w:hAnsi="Calibri" w:cs="Calibri"/>
                <w:color w:val="000000"/>
                <w:szCs w:val="20"/>
              </w:rPr>
              <w:t xml:space="preserve">and 28 </w:t>
            </w:r>
            <w:r w:rsidR="001538BA">
              <w:rPr>
                <w:rFonts w:ascii="Calibri" w:hAnsi="Calibri" w:cs="Calibri"/>
                <w:color w:val="000000"/>
                <w:szCs w:val="20"/>
              </w:rPr>
              <w:t>men</w:t>
            </w:r>
            <w:r>
              <w:rPr>
                <w:rFonts w:ascii="Calibri" w:hAnsi="Calibri" w:cs="Calibri"/>
                <w:color w:val="000000"/>
                <w:szCs w:val="20"/>
              </w:rPr>
              <w:t>)</w:t>
            </w:r>
          </w:p>
        </w:tc>
        <w:tc>
          <w:tcPr>
            <w:tcW w:w="2677" w:type="dxa"/>
          </w:tcPr>
          <w:p w14:paraId="33D59CE9" w14:textId="5B2163EB" w:rsidR="00B97810" w:rsidRDefault="00B97810">
            <w:pPr>
              <w:rPr>
                <w:rFonts w:ascii="Calibri" w:hAnsi="Calibri" w:cs="Calibri"/>
                <w:color w:val="000000"/>
                <w:szCs w:val="20"/>
              </w:rPr>
            </w:pPr>
            <w:proofErr w:type="spellStart"/>
            <w:r>
              <w:rPr>
                <w:rFonts w:ascii="Calibri" w:hAnsi="Calibri" w:cs="Calibri"/>
                <w:color w:val="000000"/>
                <w:szCs w:val="20"/>
              </w:rPr>
              <w:t>AusAID</w:t>
            </w:r>
            <w:proofErr w:type="spellEnd"/>
            <w:r>
              <w:rPr>
                <w:rFonts w:ascii="Calibri" w:hAnsi="Calibri" w:cs="Calibri"/>
                <w:color w:val="000000"/>
                <w:szCs w:val="20"/>
              </w:rPr>
              <w:t xml:space="preserve"> works through a </w:t>
            </w:r>
            <w:r w:rsidR="001538BA">
              <w:rPr>
                <w:rFonts w:ascii="Calibri" w:hAnsi="Calibri" w:cs="Calibri"/>
                <w:color w:val="000000"/>
                <w:szCs w:val="20"/>
              </w:rPr>
              <w:t xml:space="preserve">managing contractor </w:t>
            </w:r>
            <w:r>
              <w:rPr>
                <w:rFonts w:ascii="Calibri" w:hAnsi="Calibri" w:cs="Calibri"/>
                <w:color w:val="000000"/>
                <w:szCs w:val="20"/>
              </w:rPr>
              <w:t>(Coffey) within the framework of the Kiribati Education Improvement Program</w:t>
            </w:r>
            <w:r w:rsidR="001538BA">
              <w:rPr>
                <w:rFonts w:ascii="Calibri" w:hAnsi="Calibri" w:cs="Calibri"/>
                <w:color w:val="000000"/>
                <w:szCs w:val="20"/>
              </w:rPr>
              <w:t>,</w:t>
            </w:r>
            <w:r>
              <w:rPr>
                <w:rFonts w:ascii="Calibri" w:hAnsi="Calibri" w:cs="Calibri"/>
                <w:color w:val="000000"/>
                <w:szCs w:val="20"/>
              </w:rPr>
              <w:t xml:space="preserve"> which identifies and provides support to the Ministry of Education.</w:t>
            </w:r>
          </w:p>
        </w:tc>
        <w:tc>
          <w:tcPr>
            <w:tcW w:w="2388" w:type="dxa"/>
          </w:tcPr>
          <w:p w14:paraId="24F16B64" w14:textId="77777777" w:rsidR="00B97810" w:rsidRDefault="00B97810">
            <w:pPr>
              <w:rPr>
                <w:rFonts w:ascii="Calibri" w:hAnsi="Calibri" w:cs="Calibri"/>
                <w:color w:val="000000"/>
                <w:szCs w:val="20"/>
              </w:rPr>
            </w:pPr>
            <w:r>
              <w:rPr>
                <w:rFonts w:ascii="Calibri" w:hAnsi="Calibri" w:cs="Calibri"/>
                <w:color w:val="000000"/>
                <w:szCs w:val="20"/>
              </w:rPr>
              <w:t>Calculated through completion records of the courses.</w:t>
            </w:r>
          </w:p>
        </w:tc>
      </w:tr>
      <w:tr w:rsidR="00B97810" w14:paraId="0D4ABCCF" w14:textId="77777777" w:rsidTr="00AB71D0">
        <w:trPr>
          <w:cantSplit/>
        </w:trPr>
        <w:tc>
          <w:tcPr>
            <w:tcW w:w="3899" w:type="dxa"/>
          </w:tcPr>
          <w:p w14:paraId="254149AC" w14:textId="77777777" w:rsidR="00B97810" w:rsidRDefault="00B97810">
            <w:pPr>
              <w:rPr>
                <w:rFonts w:ascii="Calibri" w:hAnsi="Calibri" w:cs="Calibri"/>
                <w:color w:val="000000"/>
                <w:szCs w:val="20"/>
              </w:rPr>
            </w:pPr>
            <w:r>
              <w:rPr>
                <w:rFonts w:ascii="Calibri" w:hAnsi="Calibri" w:cs="Calibri"/>
                <w:color w:val="000000"/>
                <w:szCs w:val="20"/>
              </w:rPr>
              <w:t>Kiribati</w:t>
            </w:r>
          </w:p>
        </w:tc>
        <w:tc>
          <w:tcPr>
            <w:tcW w:w="2578" w:type="dxa"/>
          </w:tcPr>
          <w:p w14:paraId="54B4003C" w14:textId="77777777" w:rsidR="00B97810" w:rsidRDefault="00B97810">
            <w:pPr>
              <w:rPr>
                <w:rFonts w:ascii="Calibri" w:hAnsi="Calibri" w:cs="Calibri"/>
                <w:color w:val="000000"/>
                <w:szCs w:val="20"/>
              </w:rPr>
            </w:pPr>
            <w:r>
              <w:rPr>
                <w:rFonts w:ascii="Calibri" w:hAnsi="Calibri" w:cs="Calibri"/>
                <w:color w:val="000000"/>
                <w:szCs w:val="20"/>
              </w:rPr>
              <w:t>11. Number (x) of school officials trained*</w:t>
            </w:r>
          </w:p>
        </w:tc>
        <w:tc>
          <w:tcPr>
            <w:tcW w:w="2883" w:type="dxa"/>
          </w:tcPr>
          <w:p w14:paraId="1879D2D8" w14:textId="2FB20208" w:rsidR="00B97810" w:rsidRDefault="00B97810">
            <w:pPr>
              <w:jc w:val="right"/>
              <w:rPr>
                <w:rFonts w:ascii="Calibri" w:hAnsi="Calibri" w:cs="Calibri"/>
                <w:color w:val="000000"/>
                <w:szCs w:val="20"/>
              </w:rPr>
            </w:pPr>
            <w:r>
              <w:rPr>
                <w:rFonts w:ascii="Calibri" w:hAnsi="Calibri" w:cs="Calibri"/>
                <w:color w:val="000000"/>
                <w:szCs w:val="20"/>
              </w:rPr>
              <w:t xml:space="preserve">149 (111 </w:t>
            </w:r>
            <w:r w:rsidR="001538BA">
              <w:rPr>
                <w:rFonts w:ascii="Calibri" w:hAnsi="Calibri" w:cs="Calibri"/>
                <w:color w:val="000000"/>
                <w:szCs w:val="20"/>
              </w:rPr>
              <w:t xml:space="preserve">women </w:t>
            </w:r>
            <w:r>
              <w:rPr>
                <w:rFonts w:ascii="Calibri" w:hAnsi="Calibri" w:cs="Calibri"/>
                <w:color w:val="000000"/>
                <w:szCs w:val="20"/>
              </w:rPr>
              <w:t xml:space="preserve">and 38 </w:t>
            </w:r>
            <w:r w:rsidR="001538BA">
              <w:rPr>
                <w:rFonts w:ascii="Calibri" w:hAnsi="Calibri" w:cs="Calibri"/>
                <w:color w:val="000000"/>
                <w:szCs w:val="20"/>
              </w:rPr>
              <w:t>men</w:t>
            </w:r>
            <w:r>
              <w:rPr>
                <w:rFonts w:ascii="Calibri" w:hAnsi="Calibri" w:cs="Calibri"/>
                <w:color w:val="000000"/>
                <w:szCs w:val="20"/>
              </w:rPr>
              <w:t>)</w:t>
            </w:r>
          </w:p>
        </w:tc>
        <w:tc>
          <w:tcPr>
            <w:tcW w:w="2677" w:type="dxa"/>
          </w:tcPr>
          <w:p w14:paraId="149A622B" w14:textId="5D6947BE" w:rsidR="00B97810" w:rsidRDefault="00B97810">
            <w:pPr>
              <w:rPr>
                <w:rFonts w:ascii="Calibri" w:hAnsi="Calibri" w:cs="Calibri"/>
                <w:color w:val="000000"/>
                <w:szCs w:val="20"/>
              </w:rPr>
            </w:pPr>
            <w:proofErr w:type="spellStart"/>
            <w:r>
              <w:rPr>
                <w:rFonts w:ascii="Calibri" w:hAnsi="Calibri" w:cs="Calibri"/>
                <w:color w:val="000000"/>
                <w:szCs w:val="20"/>
              </w:rPr>
              <w:t>AusAID</w:t>
            </w:r>
            <w:proofErr w:type="spellEnd"/>
            <w:r>
              <w:rPr>
                <w:rFonts w:ascii="Calibri" w:hAnsi="Calibri" w:cs="Calibri"/>
                <w:color w:val="000000"/>
                <w:szCs w:val="20"/>
              </w:rPr>
              <w:t xml:space="preserve"> works through a </w:t>
            </w:r>
            <w:r w:rsidR="00223220">
              <w:rPr>
                <w:rFonts w:ascii="Calibri" w:hAnsi="Calibri" w:cs="Calibri"/>
                <w:color w:val="000000"/>
                <w:szCs w:val="20"/>
              </w:rPr>
              <w:t>managing c</w:t>
            </w:r>
            <w:r>
              <w:rPr>
                <w:rFonts w:ascii="Calibri" w:hAnsi="Calibri" w:cs="Calibri"/>
                <w:color w:val="000000"/>
                <w:szCs w:val="20"/>
              </w:rPr>
              <w:t>ontractor within the framework of the Kiribati Education Improvement Program</w:t>
            </w:r>
            <w:r w:rsidR="001538BA">
              <w:rPr>
                <w:rFonts w:ascii="Calibri" w:hAnsi="Calibri" w:cs="Calibri"/>
                <w:color w:val="000000"/>
                <w:szCs w:val="20"/>
              </w:rPr>
              <w:t>,</w:t>
            </w:r>
            <w:r>
              <w:rPr>
                <w:rFonts w:ascii="Calibri" w:hAnsi="Calibri" w:cs="Calibri"/>
                <w:color w:val="000000"/>
                <w:szCs w:val="20"/>
              </w:rPr>
              <w:t xml:space="preserve"> which identifies and provides support to the Ministry of Education.</w:t>
            </w:r>
          </w:p>
        </w:tc>
        <w:tc>
          <w:tcPr>
            <w:tcW w:w="2388" w:type="dxa"/>
          </w:tcPr>
          <w:p w14:paraId="01B4B9DB" w14:textId="77777777" w:rsidR="00B97810" w:rsidRDefault="00B97810">
            <w:pPr>
              <w:rPr>
                <w:rFonts w:ascii="Calibri" w:hAnsi="Calibri" w:cs="Calibri"/>
                <w:color w:val="000000"/>
                <w:szCs w:val="20"/>
              </w:rPr>
            </w:pPr>
            <w:r>
              <w:rPr>
                <w:rFonts w:ascii="Calibri" w:hAnsi="Calibri" w:cs="Calibri"/>
                <w:color w:val="000000"/>
                <w:szCs w:val="20"/>
              </w:rPr>
              <w:t>Calculated through completion records of the courses.</w:t>
            </w:r>
          </w:p>
        </w:tc>
      </w:tr>
      <w:tr w:rsidR="00B97810" w14:paraId="6BCA416F" w14:textId="77777777" w:rsidTr="00AB71D0">
        <w:trPr>
          <w:cantSplit/>
        </w:trPr>
        <w:tc>
          <w:tcPr>
            <w:tcW w:w="3899" w:type="dxa"/>
          </w:tcPr>
          <w:p w14:paraId="073A182A" w14:textId="77777777" w:rsidR="00B97810" w:rsidRDefault="00B97810">
            <w:pPr>
              <w:rPr>
                <w:rFonts w:ascii="Calibri" w:hAnsi="Calibri" w:cs="Calibri"/>
                <w:color w:val="000000"/>
                <w:szCs w:val="20"/>
              </w:rPr>
            </w:pPr>
            <w:r>
              <w:rPr>
                <w:rFonts w:ascii="Calibri" w:hAnsi="Calibri" w:cs="Calibri"/>
                <w:color w:val="000000"/>
                <w:szCs w:val="20"/>
              </w:rPr>
              <w:lastRenderedPageBreak/>
              <w:t>Kiribati</w:t>
            </w:r>
          </w:p>
        </w:tc>
        <w:tc>
          <w:tcPr>
            <w:tcW w:w="2578" w:type="dxa"/>
          </w:tcPr>
          <w:p w14:paraId="5ABDA7E3" w14:textId="77777777" w:rsidR="00B97810" w:rsidRDefault="00B97810">
            <w:pPr>
              <w:rPr>
                <w:rFonts w:ascii="Calibri" w:hAnsi="Calibri" w:cs="Calibri"/>
                <w:color w:val="000000"/>
                <w:szCs w:val="20"/>
              </w:rPr>
            </w:pPr>
            <w:r>
              <w:rPr>
                <w:rFonts w:ascii="Calibri" w:hAnsi="Calibri" w:cs="Calibri"/>
                <w:color w:val="000000"/>
                <w:szCs w:val="20"/>
              </w:rPr>
              <w:t>16. Number (x) of people awarded tertiary scholarships*</w:t>
            </w:r>
          </w:p>
        </w:tc>
        <w:tc>
          <w:tcPr>
            <w:tcW w:w="2883" w:type="dxa"/>
          </w:tcPr>
          <w:p w14:paraId="38DE9998" w14:textId="0B9BA725" w:rsidR="00B97810" w:rsidRDefault="00B97810">
            <w:pPr>
              <w:jc w:val="right"/>
              <w:rPr>
                <w:rFonts w:ascii="Calibri" w:hAnsi="Calibri" w:cs="Calibri"/>
                <w:color w:val="000000"/>
                <w:szCs w:val="20"/>
              </w:rPr>
            </w:pPr>
            <w:r>
              <w:rPr>
                <w:rFonts w:ascii="Calibri" w:hAnsi="Calibri" w:cs="Calibri"/>
                <w:color w:val="000000"/>
                <w:szCs w:val="20"/>
              </w:rPr>
              <w:t>29 (</w:t>
            </w:r>
            <w:r w:rsidR="001538BA">
              <w:rPr>
                <w:rFonts w:ascii="Calibri" w:hAnsi="Calibri" w:cs="Calibri"/>
                <w:color w:val="000000"/>
                <w:szCs w:val="20"/>
              </w:rPr>
              <w:t xml:space="preserve">18 women, </w:t>
            </w:r>
            <w:r>
              <w:rPr>
                <w:rFonts w:ascii="Calibri" w:hAnsi="Calibri" w:cs="Calibri"/>
                <w:color w:val="000000"/>
                <w:szCs w:val="20"/>
              </w:rPr>
              <w:t xml:space="preserve">11 </w:t>
            </w:r>
            <w:r w:rsidR="001538BA">
              <w:rPr>
                <w:rFonts w:ascii="Calibri" w:hAnsi="Calibri" w:cs="Calibri"/>
                <w:color w:val="000000"/>
                <w:szCs w:val="20"/>
              </w:rPr>
              <w:t>men</w:t>
            </w:r>
            <w:r>
              <w:rPr>
                <w:rFonts w:ascii="Calibri" w:hAnsi="Calibri" w:cs="Calibri"/>
                <w:color w:val="000000"/>
                <w:szCs w:val="20"/>
              </w:rPr>
              <w:t xml:space="preserve"> and </w:t>
            </w:r>
            <w:r w:rsidR="001538BA">
              <w:rPr>
                <w:rFonts w:ascii="Calibri" w:hAnsi="Calibri" w:cs="Calibri"/>
                <w:color w:val="000000"/>
                <w:szCs w:val="20"/>
              </w:rPr>
              <w:t xml:space="preserve">no </w:t>
            </w:r>
            <w:r>
              <w:rPr>
                <w:rFonts w:ascii="Calibri" w:hAnsi="Calibri" w:cs="Calibri"/>
                <w:color w:val="000000"/>
                <w:szCs w:val="20"/>
              </w:rPr>
              <w:t>people with disability)</w:t>
            </w:r>
          </w:p>
        </w:tc>
        <w:tc>
          <w:tcPr>
            <w:tcW w:w="2677" w:type="dxa"/>
          </w:tcPr>
          <w:p w14:paraId="4EB71EE8" w14:textId="6D67F1B5" w:rsidR="00B97810" w:rsidRDefault="00B97810">
            <w:pPr>
              <w:rPr>
                <w:rFonts w:ascii="Calibri" w:hAnsi="Calibri" w:cs="Calibri"/>
                <w:color w:val="000000"/>
                <w:szCs w:val="20"/>
              </w:rPr>
            </w:pPr>
            <w:r>
              <w:rPr>
                <w:rFonts w:ascii="Calibri" w:hAnsi="Calibri" w:cs="Calibri"/>
                <w:color w:val="000000"/>
                <w:szCs w:val="20"/>
              </w:rPr>
              <w:t>These scholarships are delivered through Australian Development Scholarships, Australian Leadership Award Scholarships and Australian Regional Development Scholarships</w:t>
            </w:r>
            <w:r w:rsidR="001538BA">
              <w:rPr>
                <w:rFonts w:ascii="Calibri" w:hAnsi="Calibri" w:cs="Calibri"/>
                <w:color w:val="000000"/>
                <w:szCs w:val="20"/>
              </w:rPr>
              <w:t xml:space="preserve">. They are </w:t>
            </w:r>
            <w:r>
              <w:rPr>
                <w:rFonts w:ascii="Calibri" w:hAnsi="Calibri" w:cs="Calibri"/>
                <w:color w:val="000000"/>
                <w:szCs w:val="20"/>
              </w:rPr>
              <w:t xml:space="preserve">managed by </w:t>
            </w:r>
            <w:proofErr w:type="spellStart"/>
            <w:r>
              <w:rPr>
                <w:rFonts w:ascii="Calibri" w:hAnsi="Calibri" w:cs="Calibri"/>
                <w:color w:val="000000"/>
                <w:szCs w:val="20"/>
              </w:rPr>
              <w:t>AusAID</w:t>
            </w:r>
            <w:proofErr w:type="spellEnd"/>
            <w:r>
              <w:rPr>
                <w:rFonts w:ascii="Calibri" w:hAnsi="Calibri" w:cs="Calibri"/>
                <w:color w:val="000000"/>
                <w:szCs w:val="20"/>
              </w:rPr>
              <w:t xml:space="preserve"> under the banner of the Australia Awards.</w:t>
            </w:r>
          </w:p>
        </w:tc>
        <w:tc>
          <w:tcPr>
            <w:tcW w:w="2388" w:type="dxa"/>
          </w:tcPr>
          <w:p w14:paraId="62297715" w14:textId="4FABBA05" w:rsidR="00B97810" w:rsidRDefault="00B97810">
            <w:pPr>
              <w:rPr>
                <w:rFonts w:ascii="Calibri" w:hAnsi="Calibri" w:cs="Calibri"/>
                <w:color w:val="000000"/>
                <w:szCs w:val="20"/>
              </w:rPr>
            </w:pPr>
            <w:r>
              <w:rPr>
                <w:rFonts w:ascii="Calibri" w:hAnsi="Calibri" w:cs="Calibri"/>
                <w:color w:val="000000"/>
                <w:szCs w:val="20"/>
              </w:rPr>
              <w:t>This result includes all in-Australia long-term development scholarships plus the Australian Regional Development Scholarships. Numbers are of scholarships awarded.</w:t>
            </w:r>
            <w:r w:rsidR="00E92460">
              <w:rPr>
                <w:rFonts w:ascii="Calibri" w:hAnsi="Calibri" w:cs="Calibri"/>
                <w:color w:val="000000"/>
                <w:szCs w:val="20"/>
              </w:rPr>
              <w:t xml:space="preserve"> </w:t>
            </w:r>
            <w:r>
              <w:rPr>
                <w:rFonts w:ascii="Calibri" w:hAnsi="Calibri" w:cs="Calibri"/>
                <w:color w:val="000000"/>
                <w:szCs w:val="20"/>
              </w:rPr>
              <w:t>Numbers are calculated for 2011, which is the calendar year the scholar commenced</w:t>
            </w:r>
          </w:p>
        </w:tc>
      </w:tr>
      <w:tr w:rsidR="00B97810" w14:paraId="3F99C392" w14:textId="77777777" w:rsidTr="00AB71D0">
        <w:trPr>
          <w:cantSplit/>
        </w:trPr>
        <w:tc>
          <w:tcPr>
            <w:tcW w:w="3899" w:type="dxa"/>
          </w:tcPr>
          <w:p w14:paraId="493D333D" w14:textId="77777777" w:rsidR="00B97810" w:rsidRDefault="00B97810">
            <w:pPr>
              <w:rPr>
                <w:rFonts w:ascii="Calibri" w:hAnsi="Calibri" w:cs="Calibri"/>
                <w:color w:val="000000"/>
                <w:szCs w:val="20"/>
              </w:rPr>
            </w:pPr>
            <w:r>
              <w:rPr>
                <w:rFonts w:ascii="Calibri" w:hAnsi="Calibri" w:cs="Calibri"/>
                <w:color w:val="000000"/>
                <w:szCs w:val="20"/>
              </w:rPr>
              <w:t>Kiribati</w:t>
            </w:r>
          </w:p>
        </w:tc>
        <w:tc>
          <w:tcPr>
            <w:tcW w:w="2578" w:type="dxa"/>
          </w:tcPr>
          <w:p w14:paraId="4BE38500" w14:textId="755AF3C8" w:rsidR="00B97810" w:rsidRDefault="00B97810">
            <w:pPr>
              <w:rPr>
                <w:rFonts w:ascii="Calibri" w:hAnsi="Calibri" w:cs="Calibri"/>
                <w:color w:val="000000"/>
                <w:szCs w:val="20"/>
              </w:rPr>
            </w:pPr>
            <w:r>
              <w:rPr>
                <w:rFonts w:ascii="Calibri" w:hAnsi="Calibri" w:cs="Calibri"/>
                <w:color w:val="000000"/>
                <w:szCs w:val="20"/>
              </w:rPr>
              <w:t>P.5. Number (x) of students with disabilit</w:t>
            </w:r>
            <w:r w:rsidR="001538BA">
              <w:rPr>
                <w:rFonts w:ascii="Calibri" w:hAnsi="Calibri" w:cs="Calibri"/>
                <w:color w:val="000000"/>
                <w:szCs w:val="20"/>
              </w:rPr>
              <w:t>y</w:t>
            </w:r>
            <w:r>
              <w:rPr>
                <w:rFonts w:ascii="Calibri" w:hAnsi="Calibri" w:cs="Calibri"/>
                <w:color w:val="000000"/>
                <w:szCs w:val="20"/>
              </w:rPr>
              <w:t xml:space="preserve"> equipped to attend school (this </w:t>
            </w:r>
            <w:r w:rsidR="001538BA">
              <w:rPr>
                <w:rFonts w:ascii="Calibri" w:hAnsi="Calibri" w:cs="Calibri"/>
                <w:color w:val="000000"/>
                <w:szCs w:val="20"/>
              </w:rPr>
              <w:t>is similar to</w:t>
            </w:r>
            <w:r w:rsidR="00326B4C">
              <w:rPr>
                <w:rFonts w:ascii="Calibri" w:hAnsi="Calibri" w:cs="Calibri"/>
                <w:color w:val="000000"/>
                <w:szCs w:val="20"/>
              </w:rPr>
              <w:t>,</w:t>
            </w:r>
            <w:r w:rsidR="001538BA">
              <w:rPr>
                <w:rFonts w:ascii="Calibri" w:hAnsi="Calibri" w:cs="Calibri"/>
                <w:color w:val="000000"/>
                <w:szCs w:val="20"/>
              </w:rPr>
              <w:t xml:space="preserve"> </w:t>
            </w:r>
            <w:r>
              <w:rPr>
                <w:rFonts w:ascii="Calibri" w:hAnsi="Calibri" w:cs="Calibri"/>
                <w:color w:val="000000"/>
                <w:szCs w:val="20"/>
              </w:rPr>
              <w:t>but different from</w:t>
            </w:r>
            <w:r w:rsidR="00326B4C">
              <w:rPr>
                <w:rFonts w:ascii="Calibri" w:hAnsi="Calibri" w:cs="Calibri"/>
                <w:color w:val="000000"/>
                <w:szCs w:val="20"/>
              </w:rPr>
              <w:t>,</w:t>
            </w:r>
            <w:r>
              <w:rPr>
                <w:rFonts w:ascii="Calibri" w:hAnsi="Calibri" w:cs="Calibri"/>
                <w:color w:val="000000"/>
                <w:szCs w:val="20"/>
              </w:rPr>
              <w:t xml:space="preserve"> </w:t>
            </w:r>
            <w:r w:rsidR="00223220">
              <w:rPr>
                <w:rFonts w:ascii="Calibri" w:hAnsi="Calibri" w:cs="Calibri"/>
                <w:color w:val="000000"/>
                <w:szCs w:val="20"/>
              </w:rPr>
              <w:t xml:space="preserve">agency </w:t>
            </w:r>
            <w:r>
              <w:rPr>
                <w:rFonts w:ascii="Calibri" w:hAnsi="Calibri" w:cs="Calibri"/>
                <w:color w:val="000000"/>
                <w:szCs w:val="20"/>
              </w:rPr>
              <w:t xml:space="preserve">headline of </w:t>
            </w:r>
            <w:r w:rsidR="00223220">
              <w:rPr>
                <w:rFonts w:ascii="Calibri" w:hAnsi="Calibri" w:cs="Calibri"/>
                <w:color w:val="000000"/>
                <w:szCs w:val="20"/>
              </w:rPr>
              <w:t xml:space="preserve">number </w:t>
            </w:r>
            <w:r>
              <w:rPr>
                <w:rFonts w:ascii="Calibri" w:hAnsi="Calibri" w:cs="Calibri"/>
                <w:color w:val="000000"/>
                <w:szCs w:val="20"/>
              </w:rPr>
              <w:t xml:space="preserve">(x) of children able to access schools that have been made more accessible to children with </w:t>
            </w:r>
            <w:r w:rsidR="00E92460">
              <w:rPr>
                <w:rFonts w:ascii="Calibri" w:hAnsi="Calibri" w:cs="Calibri"/>
                <w:color w:val="000000"/>
                <w:szCs w:val="20"/>
              </w:rPr>
              <w:t>disability</w:t>
            </w:r>
            <w:r w:rsidR="001538BA">
              <w:rPr>
                <w:rFonts w:ascii="Calibri" w:hAnsi="Calibri" w:cs="Calibri"/>
                <w:color w:val="000000"/>
                <w:szCs w:val="20"/>
              </w:rPr>
              <w:t>)</w:t>
            </w:r>
            <w:r>
              <w:rPr>
                <w:rFonts w:ascii="Calibri" w:hAnsi="Calibri" w:cs="Calibri"/>
                <w:color w:val="000000"/>
                <w:szCs w:val="20"/>
              </w:rPr>
              <w:t>*</w:t>
            </w:r>
          </w:p>
        </w:tc>
        <w:tc>
          <w:tcPr>
            <w:tcW w:w="2883" w:type="dxa"/>
          </w:tcPr>
          <w:p w14:paraId="727222AB" w14:textId="77777777" w:rsidR="00B97810" w:rsidRDefault="00B97810">
            <w:pPr>
              <w:jc w:val="right"/>
              <w:rPr>
                <w:rFonts w:ascii="Calibri" w:hAnsi="Calibri" w:cs="Calibri"/>
                <w:color w:val="000000"/>
                <w:szCs w:val="20"/>
              </w:rPr>
            </w:pPr>
            <w:r>
              <w:rPr>
                <w:rFonts w:ascii="Calibri" w:hAnsi="Calibri" w:cs="Calibri"/>
                <w:color w:val="000000"/>
                <w:szCs w:val="20"/>
              </w:rPr>
              <w:t>101</w:t>
            </w:r>
          </w:p>
        </w:tc>
        <w:tc>
          <w:tcPr>
            <w:tcW w:w="2677" w:type="dxa"/>
          </w:tcPr>
          <w:p w14:paraId="1FA8F9E0" w14:textId="41FCBA6D" w:rsidR="00B97810" w:rsidRDefault="00B97810">
            <w:pPr>
              <w:rPr>
                <w:rFonts w:ascii="Calibri" w:hAnsi="Calibri" w:cs="Calibri"/>
                <w:color w:val="000000"/>
                <w:szCs w:val="20"/>
              </w:rPr>
            </w:pPr>
            <w:r>
              <w:rPr>
                <w:rFonts w:ascii="Calibri" w:hAnsi="Calibri" w:cs="Calibri"/>
                <w:color w:val="000000"/>
                <w:szCs w:val="20"/>
              </w:rPr>
              <w:t xml:space="preserve">Australian provides core funding to the School </w:t>
            </w:r>
            <w:r w:rsidR="001538BA">
              <w:rPr>
                <w:rFonts w:ascii="Calibri" w:hAnsi="Calibri" w:cs="Calibri"/>
                <w:color w:val="000000"/>
                <w:szCs w:val="20"/>
              </w:rPr>
              <w:t xml:space="preserve">and </w:t>
            </w:r>
            <w:r>
              <w:rPr>
                <w:rFonts w:ascii="Calibri" w:hAnsi="Calibri" w:cs="Calibri"/>
                <w:color w:val="000000"/>
                <w:szCs w:val="20"/>
              </w:rPr>
              <w:t xml:space="preserve">Centre for Children with Special Needs, </w:t>
            </w:r>
            <w:r w:rsidR="001538BA">
              <w:rPr>
                <w:rFonts w:ascii="Calibri" w:hAnsi="Calibri" w:cs="Calibri"/>
                <w:color w:val="000000"/>
                <w:szCs w:val="20"/>
              </w:rPr>
              <w:t xml:space="preserve">which is </w:t>
            </w:r>
            <w:r>
              <w:rPr>
                <w:rFonts w:ascii="Calibri" w:hAnsi="Calibri" w:cs="Calibri"/>
                <w:color w:val="000000"/>
                <w:szCs w:val="20"/>
              </w:rPr>
              <w:t xml:space="preserve">the only institution in Kiribati that provides for the needs of children </w:t>
            </w:r>
            <w:r w:rsidR="001538BA">
              <w:rPr>
                <w:rFonts w:ascii="Calibri" w:hAnsi="Calibri" w:cs="Calibri"/>
                <w:color w:val="000000"/>
                <w:szCs w:val="20"/>
              </w:rPr>
              <w:t xml:space="preserve">with disability </w:t>
            </w:r>
            <w:r>
              <w:rPr>
                <w:rFonts w:ascii="Calibri" w:hAnsi="Calibri" w:cs="Calibri"/>
                <w:color w:val="000000"/>
                <w:szCs w:val="20"/>
              </w:rPr>
              <w:t>and their families.</w:t>
            </w:r>
          </w:p>
        </w:tc>
        <w:tc>
          <w:tcPr>
            <w:tcW w:w="2388" w:type="dxa"/>
          </w:tcPr>
          <w:p w14:paraId="3086D4AD" w14:textId="77777777" w:rsidR="00B97810" w:rsidRDefault="00B97810">
            <w:pPr>
              <w:rPr>
                <w:rFonts w:ascii="Calibri" w:hAnsi="Calibri" w:cs="Calibri"/>
                <w:color w:val="000000"/>
                <w:szCs w:val="20"/>
              </w:rPr>
            </w:pPr>
            <w:r>
              <w:rPr>
                <w:rFonts w:ascii="Calibri" w:hAnsi="Calibri" w:cs="Calibri"/>
                <w:color w:val="000000"/>
                <w:szCs w:val="20"/>
              </w:rPr>
              <w:t>Calculated through enrolment records.</w:t>
            </w:r>
          </w:p>
        </w:tc>
      </w:tr>
    </w:tbl>
    <w:p w14:paraId="08F07FE6" w14:textId="77777777" w:rsidR="00B97810" w:rsidRPr="00EC3418" w:rsidRDefault="00B97810" w:rsidP="002F18A6">
      <w:pPr>
        <w:ind w:left="852"/>
        <w:rPr>
          <w:b/>
        </w:rPr>
      </w:pPr>
    </w:p>
    <w:p w14:paraId="0D675574" w14:textId="77777777" w:rsidR="00B97810" w:rsidRDefault="00B97810" w:rsidP="002F18A6">
      <w:pPr>
        <w:pStyle w:val="BodyText"/>
        <w:ind w:left="284"/>
        <w:rPr>
          <w:b/>
        </w:rPr>
        <w:sectPr w:rsidR="00B97810" w:rsidSect="00750CFB">
          <w:pgSz w:w="16840" w:h="11907" w:orient="landscape" w:code="9"/>
          <w:pgMar w:top="1814" w:right="2381" w:bottom="2155" w:left="851" w:header="851" w:footer="340" w:gutter="0"/>
          <w:cols w:space="720"/>
          <w:titlePg/>
          <w:docGrid w:linePitch="272"/>
        </w:sectPr>
      </w:pPr>
    </w:p>
    <w:p w14:paraId="5045EDC6" w14:textId="77777777" w:rsidR="00B97810" w:rsidRDefault="00B97810" w:rsidP="00AA518A">
      <w:pPr>
        <w:keepNext/>
        <w:spacing w:after="100" w:line="320" w:lineRule="atLeast"/>
        <w:ind w:left="284"/>
        <w:outlineLvl w:val="0"/>
        <w:rPr>
          <w:rFonts w:ascii="Franklin Gothic Demi" w:hAnsi="Franklin Gothic Demi"/>
          <w:color w:val="AD495D"/>
          <w:kern w:val="28"/>
          <w:sz w:val="28"/>
          <w:szCs w:val="28"/>
        </w:rPr>
      </w:pPr>
      <w:bookmarkStart w:id="15" w:name="_Toc360732554"/>
      <w:r>
        <w:rPr>
          <w:rFonts w:ascii="Franklin Gothic Demi" w:hAnsi="Franklin Gothic Demi"/>
          <w:color w:val="AD495D"/>
          <w:kern w:val="28"/>
          <w:sz w:val="28"/>
          <w:szCs w:val="28"/>
        </w:rPr>
        <w:lastRenderedPageBreak/>
        <w:t>Annex B:</w:t>
      </w:r>
      <w:bookmarkEnd w:id="15"/>
    </w:p>
    <w:p w14:paraId="454305D5" w14:textId="7194B856" w:rsidR="00B97810" w:rsidRDefault="00B97810" w:rsidP="00AA518A">
      <w:pPr>
        <w:pStyle w:val="Caption"/>
        <w:spacing w:before="240"/>
      </w:pPr>
      <w:r>
        <w:t xml:space="preserve">Table 6: Status of 2010 APPR </w:t>
      </w:r>
      <w:r w:rsidR="001538BA">
        <w:t xml:space="preserve">management consequences </w:t>
      </w:r>
    </w:p>
    <w:tbl>
      <w:tblPr>
        <w:tblW w:w="7920" w:type="dxa"/>
        <w:tblInd w:w="57" w:type="dxa"/>
        <w:tblLayout w:type="fixed"/>
        <w:tblLook w:val="0000" w:firstRow="0" w:lastRow="0" w:firstColumn="0" w:lastColumn="0" w:noHBand="0" w:noVBand="0"/>
      </w:tblPr>
      <w:tblGrid>
        <w:gridCol w:w="4320"/>
        <w:gridCol w:w="840"/>
        <w:gridCol w:w="2760"/>
      </w:tblGrid>
      <w:tr w:rsidR="000A3A3D" w14:paraId="278DEB73" w14:textId="77777777" w:rsidTr="00AB71D0">
        <w:trPr>
          <w:cantSplit/>
          <w:tblHeader/>
        </w:trPr>
        <w:tc>
          <w:tcPr>
            <w:tcW w:w="4320" w:type="dxa"/>
            <w:tcBorders>
              <w:top w:val="single" w:sz="12" w:space="0" w:color="auto"/>
              <w:left w:val="single" w:sz="4" w:space="0" w:color="auto"/>
              <w:bottom w:val="single" w:sz="2" w:space="0" w:color="auto"/>
            </w:tcBorders>
            <w:tcMar>
              <w:left w:w="57" w:type="dxa"/>
              <w:right w:w="57" w:type="dxa"/>
            </w:tcMar>
          </w:tcPr>
          <w:p w14:paraId="374384C3" w14:textId="7170A3B1" w:rsidR="000A3A3D" w:rsidRDefault="000A3A3D">
            <w:pPr>
              <w:pStyle w:val="TableTextColumnHeading"/>
            </w:pPr>
            <w:bookmarkStart w:id="16" w:name="OLE_LINK27"/>
            <w:bookmarkStart w:id="17" w:name="OLE_LINK28"/>
            <w:r>
              <w:t xml:space="preserve">Management </w:t>
            </w:r>
            <w:r w:rsidR="001538BA">
              <w:t>consequence</w:t>
            </w:r>
          </w:p>
        </w:tc>
        <w:tc>
          <w:tcPr>
            <w:tcW w:w="840" w:type="dxa"/>
            <w:tcBorders>
              <w:top w:val="single" w:sz="12" w:space="0" w:color="auto"/>
              <w:bottom w:val="single" w:sz="2" w:space="0" w:color="auto"/>
            </w:tcBorders>
            <w:tcMar>
              <w:left w:w="57" w:type="dxa"/>
              <w:right w:w="57" w:type="dxa"/>
            </w:tcMar>
          </w:tcPr>
          <w:p w14:paraId="3448F226" w14:textId="77777777" w:rsidR="000A3A3D" w:rsidRDefault="000A3A3D" w:rsidP="00682785">
            <w:pPr>
              <w:pStyle w:val="TableTextColumnHeading"/>
            </w:pPr>
            <w:r>
              <w:t>Status</w:t>
            </w:r>
          </w:p>
        </w:tc>
        <w:tc>
          <w:tcPr>
            <w:tcW w:w="2760" w:type="dxa"/>
            <w:tcBorders>
              <w:top w:val="single" w:sz="12" w:space="0" w:color="auto"/>
              <w:bottom w:val="single" w:sz="2" w:space="0" w:color="auto"/>
              <w:right w:val="single" w:sz="4" w:space="0" w:color="auto"/>
            </w:tcBorders>
            <w:tcMar>
              <w:left w:w="57" w:type="dxa"/>
              <w:right w:w="57" w:type="dxa"/>
            </w:tcMar>
          </w:tcPr>
          <w:p w14:paraId="6D7E7651" w14:textId="77777777" w:rsidR="000A3A3D" w:rsidRDefault="000A3A3D" w:rsidP="00682785">
            <w:pPr>
              <w:pStyle w:val="TableTextColumnHeading"/>
            </w:pPr>
            <w:r>
              <w:t>Next steps</w:t>
            </w:r>
          </w:p>
        </w:tc>
      </w:tr>
      <w:tr w:rsidR="000A3A3D" w14:paraId="03DEB520" w14:textId="77777777" w:rsidTr="00AB71D0">
        <w:trPr>
          <w:cantSplit/>
        </w:trPr>
        <w:tc>
          <w:tcPr>
            <w:tcW w:w="4320" w:type="dxa"/>
            <w:tcBorders>
              <w:top w:val="single" w:sz="2" w:space="0" w:color="auto"/>
              <w:left w:val="single" w:sz="4" w:space="0" w:color="auto"/>
            </w:tcBorders>
            <w:tcMar>
              <w:left w:w="57" w:type="dxa"/>
              <w:right w:w="57" w:type="dxa"/>
            </w:tcMar>
          </w:tcPr>
          <w:p w14:paraId="0A8E7585" w14:textId="09449F3C" w:rsidR="000A3A3D" w:rsidRPr="00FE555D" w:rsidRDefault="000A3A3D">
            <w:pPr>
              <w:pStyle w:val="TableTextEntries"/>
              <w:rPr>
                <w:b/>
              </w:rPr>
            </w:pPr>
            <w:r w:rsidRPr="00FE555D">
              <w:rPr>
                <w:b/>
              </w:rPr>
              <w:t>Priority Outcome 1</w:t>
            </w:r>
            <w:r w:rsidR="001538BA">
              <w:rPr>
                <w:b/>
              </w:rPr>
              <w:t xml:space="preserve"> – </w:t>
            </w:r>
            <w:r w:rsidRPr="00FE555D">
              <w:rPr>
                <w:b/>
              </w:rPr>
              <w:t>Education</w:t>
            </w:r>
          </w:p>
        </w:tc>
        <w:tc>
          <w:tcPr>
            <w:tcW w:w="840" w:type="dxa"/>
            <w:tcBorders>
              <w:top w:val="single" w:sz="2" w:space="0" w:color="auto"/>
              <w:bottom w:val="single" w:sz="2" w:space="0" w:color="auto"/>
            </w:tcBorders>
            <w:tcMar>
              <w:left w:w="57" w:type="dxa"/>
              <w:right w:w="57" w:type="dxa"/>
            </w:tcMar>
          </w:tcPr>
          <w:p w14:paraId="163F2185" w14:textId="77777777" w:rsidR="000A3A3D" w:rsidRDefault="000A3A3D" w:rsidP="00682785">
            <w:pPr>
              <w:pStyle w:val="TableTextEntries"/>
            </w:pPr>
          </w:p>
        </w:tc>
        <w:tc>
          <w:tcPr>
            <w:tcW w:w="2760" w:type="dxa"/>
            <w:tcBorders>
              <w:top w:val="single" w:sz="2" w:space="0" w:color="auto"/>
              <w:right w:val="single" w:sz="4" w:space="0" w:color="auto"/>
            </w:tcBorders>
            <w:tcMar>
              <w:left w:w="57" w:type="dxa"/>
              <w:right w:w="57" w:type="dxa"/>
            </w:tcMar>
          </w:tcPr>
          <w:p w14:paraId="0EF5B99F" w14:textId="77777777" w:rsidR="000A3A3D" w:rsidRDefault="000A3A3D" w:rsidP="00682785">
            <w:pPr>
              <w:pStyle w:val="TableTextEntries"/>
            </w:pPr>
          </w:p>
        </w:tc>
      </w:tr>
      <w:tr w:rsidR="000A3A3D" w14:paraId="15AE57FF" w14:textId="77777777" w:rsidTr="00AB71D0">
        <w:trPr>
          <w:cantSplit/>
        </w:trPr>
        <w:tc>
          <w:tcPr>
            <w:tcW w:w="4320" w:type="dxa"/>
            <w:tcBorders>
              <w:top w:val="single" w:sz="2" w:space="0" w:color="auto"/>
              <w:left w:val="single" w:sz="4" w:space="0" w:color="auto"/>
            </w:tcBorders>
            <w:tcMar>
              <w:left w:w="57" w:type="dxa"/>
              <w:right w:w="57" w:type="dxa"/>
            </w:tcMar>
          </w:tcPr>
          <w:p w14:paraId="11D72E1F" w14:textId="3DD85834" w:rsidR="000A3A3D" w:rsidRDefault="000A3A3D" w:rsidP="00682785">
            <w:pPr>
              <w:pStyle w:val="TableTextEntries"/>
              <w:rPr>
                <w:sz w:val="20"/>
                <w:szCs w:val="20"/>
              </w:rPr>
            </w:pPr>
            <w:r w:rsidRPr="009C1C1F">
              <w:t>Respond to declining enrolment rates</w:t>
            </w:r>
            <w:r>
              <w:t xml:space="preserve"> </w:t>
            </w:r>
            <w:r w:rsidR="00120C85">
              <w:t>by</w:t>
            </w:r>
            <w:r>
              <w:t>:</w:t>
            </w:r>
            <w:r w:rsidRPr="00334DF7">
              <w:rPr>
                <w:sz w:val="20"/>
                <w:szCs w:val="20"/>
              </w:rPr>
              <w:t xml:space="preserve"> </w:t>
            </w:r>
          </w:p>
          <w:p w14:paraId="4E02E2F8" w14:textId="72C2A51B" w:rsidR="00120C85" w:rsidRDefault="000A3A3D" w:rsidP="00AD7CED">
            <w:pPr>
              <w:pStyle w:val="TableTextEntries"/>
              <w:numPr>
                <w:ilvl w:val="0"/>
                <w:numId w:val="23"/>
              </w:numPr>
            </w:pPr>
            <w:r w:rsidRPr="009C1C1F">
              <w:t>Engag</w:t>
            </w:r>
            <w:r w:rsidR="00120C85">
              <w:t>ing</w:t>
            </w:r>
            <w:r w:rsidRPr="009C1C1F">
              <w:t xml:space="preserve"> with Ministry of Education and </w:t>
            </w:r>
            <w:r w:rsidR="00120C85">
              <w:t>m</w:t>
            </w:r>
            <w:r w:rsidR="00120C85" w:rsidRPr="009C1C1F">
              <w:t xml:space="preserve">anaging </w:t>
            </w:r>
            <w:r w:rsidR="00120C85">
              <w:t>c</w:t>
            </w:r>
            <w:r w:rsidRPr="009C1C1F">
              <w:t xml:space="preserve">ontractor </w:t>
            </w:r>
            <w:r w:rsidR="00120C85">
              <w:t xml:space="preserve">for the </w:t>
            </w:r>
            <w:r w:rsidR="00120C85" w:rsidRPr="00120C85">
              <w:t>Kiribat</w:t>
            </w:r>
            <w:r w:rsidR="00120C85">
              <w:t>i Education Improvement Program</w:t>
            </w:r>
            <w:r w:rsidRPr="009C1C1F">
              <w:t xml:space="preserve"> to improve data quality from the </w:t>
            </w:r>
            <w:r w:rsidR="00120C85" w:rsidRPr="009C1C1F">
              <w:t>education information management system</w:t>
            </w:r>
            <w:r w:rsidR="00120C85">
              <w:t>, and</w:t>
            </w:r>
            <w:r w:rsidRPr="009C1C1F">
              <w:t xml:space="preserve"> to better measure enrolment and retention rates in schools. </w:t>
            </w:r>
          </w:p>
          <w:p w14:paraId="07111629" w14:textId="06FE1538" w:rsidR="000A3A3D" w:rsidRPr="009C1C1F" w:rsidRDefault="000A3A3D" w:rsidP="00AD7CED">
            <w:pPr>
              <w:pStyle w:val="TableTextEntries"/>
              <w:numPr>
                <w:ilvl w:val="0"/>
                <w:numId w:val="23"/>
              </w:numPr>
            </w:pPr>
            <w:r w:rsidRPr="009C1C1F">
              <w:t>Confirm</w:t>
            </w:r>
            <w:r w:rsidR="00120C85">
              <w:t>ing</w:t>
            </w:r>
            <w:r w:rsidRPr="009C1C1F">
              <w:t xml:space="preserve"> Kiribati’s participation in </w:t>
            </w:r>
            <w:proofErr w:type="spellStart"/>
            <w:r w:rsidRPr="009C1C1F">
              <w:t>AusAID’s</w:t>
            </w:r>
            <w:proofErr w:type="spellEnd"/>
            <w:r w:rsidRPr="009C1C1F">
              <w:t xml:space="preserve"> rapid review of Pacific </w:t>
            </w:r>
            <w:r w:rsidR="00223220" w:rsidRPr="00AD7CED">
              <w:rPr>
                <w:lang w:val="en-US"/>
              </w:rPr>
              <w:t>Education Management Information System</w:t>
            </w:r>
            <w:r w:rsidR="00223220" w:rsidRPr="00AD7CED" w:rsidDel="00223220">
              <w:t xml:space="preserve"> </w:t>
            </w:r>
            <w:r w:rsidRPr="00223220">
              <w:t xml:space="preserve">(as part of </w:t>
            </w:r>
            <w:r w:rsidR="00223220" w:rsidRPr="00AD7CED">
              <w:rPr>
                <w:lang w:val="en-US"/>
              </w:rPr>
              <w:t>Pacific Education and Skills Development Agenda</w:t>
            </w:r>
            <w:r w:rsidRPr="00223220">
              <w:t>)</w:t>
            </w:r>
            <w:r w:rsidR="00120C85" w:rsidRPr="00223220">
              <w:t>.</w:t>
            </w:r>
            <w:r w:rsidR="00E92460">
              <w:t xml:space="preserve"> </w:t>
            </w:r>
          </w:p>
          <w:p w14:paraId="358BCD88" w14:textId="03648D74" w:rsidR="000A3A3D" w:rsidRPr="00B02FEE" w:rsidRDefault="000A3A3D" w:rsidP="00AD7CED">
            <w:pPr>
              <w:pStyle w:val="TableTextEntries"/>
              <w:numPr>
                <w:ilvl w:val="0"/>
                <w:numId w:val="23"/>
              </w:numPr>
            </w:pPr>
            <w:r w:rsidRPr="009C1C1F">
              <w:t>Engag</w:t>
            </w:r>
            <w:r w:rsidR="00120C85">
              <w:t>ing</w:t>
            </w:r>
            <w:r w:rsidRPr="009C1C1F">
              <w:t xml:space="preserve"> with </w:t>
            </w:r>
            <w:r w:rsidR="00223220">
              <w:t>the managing contractor</w:t>
            </w:r>
            <w:r w:rsidR="00223220" w:rsidRPr="009C1C1F">
              <w:t xml:space="preserve"> </w:t>
            </w:r>
            <w:r w:rsidRPr="009C1C1F">
              <w:t>to analys</w:t>
            </w:r>
            <w:r w:rsidR="00120C85">
              <w:t>e</w:t>
            </w:r>
            <w:r w:rsidRPr="009C1C1F">
              <w:t xml:space="preserve"> the factors impacting on enrolment rates. Build consensus between </w:t>
            </w:r>
            <w:r w:rsidR="00120C85">
              <w:t>Kiribati</w:t>
            </w:r>
            <w:r w:rsidR="00120C85" w:rsidRPr="009C1C1F">
              <w:t xml:space="preserve"> </w:t>
            </w:r>
            <w:r w:rsidRPr="009C1C1F">
              <w:t xml:space="preserve">and </w:t>
            </w:r>
            <w:proofErr w:type="spellStart"/>
            <w:r w:rsidRPr="009C1C1F">
              <w:t>AusAID</w:t>
            </w:r>
            <w:proofErr w:type="spellEnd"/>
            <w:r w:rsidRPr="009C1C1F">
              <w:t xml:space="preserve"> on reasons for low enrolment and retention rates, and how </w:t>
            </w:r>
            <w:r w:rsidR="00120C85">
              <w:t xml:space="preserve">these can be </w:t>
            </w:r>
            <w:r w:rsidRPr="009C1C1F">
              <w:t>improve</w:t>
            </w:r>
            <w:r w:rsidR="00120C85">
              <w:t>d</w:t>
            </w:r>
            <w:r w:rsidRPr="009C1C1F">
              <w:t xml:space="preserve">. This analysis will inform the design of </w:t>
            </w:r>
            <w:r w:rsidR="00120C85">
              <w:t xml:space="preserve">the </w:t>
            </w:r>
            <w:r w:rsidR="00120C85" w:rsidRPr="00120C85">
              <w:t>Kiribati Education Improvement Program</w:t>
            </w:r>
            <w:r w:rsidR="00120C85" w:rsidRPr="009C1C1F">
              <w:t xml:space="preserve"> </w:t>
            </w:r>
            <w:r w:rsidRPr="009C1C1F">
              <w:t>Phase II.</w:t>
            </w:r>
          </w:p>
        </w:tc>
        <w:tc>
          <w:tcPr>
            <w:tcW w:w="840" w:type="dxa"/>
            <w:tcBorders>
              <w:top w:val="single" w:sz="2" w:space="0" w:color="auto"/>
              <w:bottom w:val="single" w:sz="2" w:space="0" w:color="auto"/>
            </w:tcBorders>
            <w:tcMar>
              <w:left w:w="57" w:type="dxa"/>
              <w:right w:w="57" w:type="dxa"/>
            </w:tcMar>
          </w:tcPr>
          <w:p w14:paraId="4F589B72" w14:textId="77777777" w:rsidR="000A3A3D" w:rsidRDefault="000A3A3D" w:rsidP="00682785">
            <w:pPr>
              <w:pStyle w:val="TableTextEntries"/>
            </w:pPr>
            <w:r>
              <w:t>Partly achieved</w:t>
            </w:r>
          </w:p>
        </w:tc>
        <w:tc>
          <w:tcPr>
            <w:tcW w:w="2760" w:type="dxa"/>
            <w:tcBorders>
              <w:top w:val="single" w:sz="2" w:space="0" w:color="auto"/>
              <w:right w:val="single" w:sz="4" w:space="0" w:color="auto"/>
            </w:tcBorders>
            <w:tcMar>
              <w:left w:w="57" w:type="dxa"/>
              <w:right w:w="57" w:type="dxa"/>
            </w:tcMar>
          </w:tcPr>
          <w:p w14:paraId="1550315E" w14:textId="32969085" w:rsidR="000A3A3D" w:rsidRDefault="00120C85" w:rsidP="00AD7CED">
            <w:pPr>
              <w:pStyle w:val="TableTextEntries"/>
              <w:numPr>
                <w:ilvl w:val="0"/>
                <w:numId w:val="24"/>
              </w:numPr>
            </w:pPr>
            <w:r>
              <w:t>I</w:t>
            </w:r>
            <w:r w:rsidR="000A3A3D">
              <w:t>mprov</w:t>
            </w:r>
            <w:r>
              <w:t>ing</w:t>
            </w:r>
            <w:r w:rsidR="000A3A3D">
              <w:t xml:space="preserve"> </w:t>
            </w:r>
            <w:r w:rsidR="00223220">
              <w:t xml:space="preserve">the </w:t>
            </w:r>
            <w:r w:rsidR="00223220" w:rsidRPr="00AD7CED">
              <w:rPr>
                <w:lang w:val="en-US"/>
              </w:rPr>
              <w:t>Kiribati Education Management Information System</w:t>
            </w:r>
            <w:r w:rsidR="00223220" w:rsidRPr="00AD7CED" w:rsidDel="00120C85">
              <w:t xml:space="preserve"> </w:t>
            </w:r>
            <w:r w:rsidR="000A3A3D">
              <w:t xml:space="preserve">and data quality will be ongoing throughout </w:t>
            </w:r>
            <w:r>
              <w:t xml:space="preserve">the </w:t>
            </w:r>
            <w:r w:rsidRPr="00120C85">
              <w:t>Kiribati Education Improvement Program</w:t>
            </w:r>
            <w:r w:rsidR="000A3A3D">
              <w:t>.</w:t>
            </w:r>
          </w:p>
          <w:p w14:paraId="4082AB88" w14:textId="381D97F6" w:rsidR="000A3A3D" w:rsidRDefault="000A3A3D" w:rsidP="00AD7CED">
            <w:pPr>
              <w:pStyle w:val="TableTextEntries"/>
              <w:numPr>
                <w:ilvl w:val="0"/>
                <w:numId w:val="24"/>
              </w:numPr>
            </w:pPr>
            <w:r>
              <w:t>Further research will be undertaken in 2012 to identify specific reasons impacting on enrolment and attendance rates</w:t>
            </w:r>
            <w:r w:rsidR="00120C85">
              <w:t>.</w:t>
            </w:r>
          </w:p>
          <w:p w14:paraId="6FFB45B6" w14:textId="77777777" w:rsidR="000A3A3D" w:rsidRDefault="000A3A3D" w:rsidP="00682785">
            <w:pPr>
              <w:pStyle w:val="TableTextEntries"/>
            </w:pPr>
            <w:r>
              <w:t xml:space="preserve"> </w:t>
            </w:r>
          </w:p>
        </w:tc>
      </w:tr>
      <w:tr w:rsidR="000A3A3D" w14:paraId="77B328F6" w14:textId="77777777" w:rsidTr="00AB71D0">
        <w:trPr>
          <w:cantSplit/>
        </w:trPr>
        <w:tc>
          <w:tcPr>
            <w:tcW w:w="4320" w:type="dxa"/>
            <w:tcBorders>
              <w:top w:val="single" w:sz="2" w:space="0" w:color="auto"/>
              <w:left w:val="single" w:sz="4" w:space="0" w:color="auto"/>
            </w:tcBorders>
            <w:tcMar>
              <w:left w:w="57" w:type="dxa"/>
              <w:right w:w="57" w:type="dxa"/>
            </w:tcMar>
          </w:tcPr>
          <w:p w14:paraId="5C72954C" w14:textId="6EAFA6E0" w:rsidR="000A3A3D" w:rsidRPr="00FE555D" w:rsidRDefault="000A3A3D">
            <w:pPr>
              <w:pStyle w:val="TableTextEntries"/>
              <w:rPr>
                <w:b/>
              </w:rPr>
            </w:pPr>
            <w:r w:rsidRPr="00FE555D">
              <w:rPr>
                <w:b/>
              </w:rPr>
              <w:t>Priority Outcome 2</w:t>
            </w:r>
            <w:r w:rsidR="00120C85">
              <w:rPr>
                <w:b/>
              </w:rPr>
              <w:t xml:space="preserve"> –</w:t>
            </w:r>
            <w:r w:rsidR="00120C85" w:rsidRPr="00FE555D">
              <w:rPr>
                <w:b/>
              </w:rPr>
              <w:t xml:space="preserve"> </w:t>
            </w:r>
            <w:r w:rsidR="00120C85">
              <w:rPr>
                <w:b/>
              </w:rPr>
              <w:t>T</w:t>
            </w:r>
            <w:r w:rsidR="00120C85" w:rsidRPr="00120C85">
              <w:rPr>
                <w:b/>
              </w:rPr>
              <w:t>echnical and Vocational Education and Training Sector Strengthening Program</w:t>
            </w:r>
            <w:r w:rsidR="00120C85">
              <w:rPr>
                <w:b/>
              </w:rPr>
              <w:t xml:space="preserve"> </w:t>
            </w:r>
            <w:r w:rsidRPr="00FE555D">
              <w:rPr>
                <w:b/>
              </w:rPr>
              <w:t xml:space="preserve">and </w:t>
            </w:r>
            <w:r w:rsidR="00120C85" w:rsidRPr="00120C85">
              <w:rPr>
                <w:b/>
              </w:rPr>
              <w:t>Kiribati Australia Nursing Initiative</w:t>
            </w:r>
          </w:p>
        </w:tc>
        <w:tc>
          <w:tcPr>
            <w:tcW w:w="840" w:type="dxa"/>
            <w:tcBorders>
              <w:top w:val="single" w:sz="2" w:space="0" w:color="auto"/>
              <w:bottom w:val="single" w:sz="2" w:space="0" w:color="auto"/>
            </w:tcBorders>
            <w:tcMar>
              <w:left w:w="57" w:type="dxa"/>
              <w:right w:w="57" w:type="dxa"/>
            </w:tcMar>
          </w:tcPr>
          <w:p w14:paraId="32D65F46" w14:textId="77777777" w:rsidR="000A3A3D" w:rsidRDefault="000A3A3D" w:rsidP="00682785">
            <w:pPr>
              <w:pStyle w:val="TableTextEntries"/>
            </w:pPr>
          </w:p>
        </w:tc>
        <w:tc>
          <w:tcPr>
            <w:tcW w:w="2760" w:type="dxa"/>
            <w:tcBorders>
              <w:top w:val="single" w:sz="2" w:space="0" w:color="auto"/>
              <w:right w:val="single" w:sz="4" w:space="0" w:color="auto"/>
            </w:tcBorders>
            <w:tcMar>
              <w:left w:w="57" w:type="dxa"/>
              <w:right w:w="57" w:type="dxa"/>
            </w:tcMar>
          </w:tcPr>
          <w:p w14:paraId="6511D206" w14:textId="77777777" w:rsidR="000A3A3D" w:rsidRDefault="000A3A3D" w:rsidP="00682785">
            <w:pPr>
              <w:pStyle w:val="TableTextEntries"/>
            </w:pPr>
          </w:p>
        </w:tc>
      </w:tr>
      <w:tr w:rsidR="000A3A3D" w14:paraId="0E29E7F1" w14:textId="77777777" w:rsidTr="00AB71D0">
        <w:trPr>
          <w:cantSplit/>
        </w:trPr>
        <w:tc>
          <w:tcPr>
            <w:tcW w:w="4320" w:type="dxa"/>
            <w:tcBorders>
              <w:top w:val="single" w:sz="2" w:space="0" w:color="auto"/>
              <w:left w:val="single" w:sz="4" w:space="0" w:color="auto"/>
            </w:tcBorders>
            <w:tcMar>
              <w:left w:w="57" w:type="dxa"/>
              <w:right w:w="57" w:type="dxa"/>
            </w:tcMar>
          </w:tcPr>
          <w:p w14:paraId="2F375E14" w14:textId="6C7424ED" w:rsidR="000A3A3D" w:rsidRPr="00B02FEE" w:rsidRDefault="000A3A3D" w:rsidP="00AD7CED">
            <w:pPr>
              <w:pStyle w:val="TableTextEntries"/>
              <w:numPr>
                <w:ilvl w:val="0"/>
                <w:numId w:val="25"/>
              </w:numPr>
            </w:pPr>
            <w:r w:rsidRPr="009C1C1F">
              <w:t xml:space="preserve">Support </w:t>
            </w:r>
            <w:r w:rsidR="00120C85">
              <w:t>Kiribati’s</w:t>
            </w:r>
            <w:r w:rsidRPr="009C1C1F">
              <w:t xml:space="preserve"> desire to increas</w:t>
            </w:r>
            <w:r w:rsidR="00120C85">
              <w:t>e</w:t>
            </w:r>
            <w:r w:rsidRPr="009C1C1F">
              <w:t xml:space="preserve"> the number of </w:t>
            </w:r>
            <w:r w:rsidR="00223220">
              <w:br/>
            </w:r>
            <w:r w:rsidRPr="009C1C1F">
              <w:t xml:space="preserve">I-Kiribati accessing </w:t>
            </w:r>
            <w:r w:rsidR="00120C85">
              <w:t xml:space="preserve">overseas </w:t>
            </w:r>
            <w:r w:rsidRPr="009C1C1F">
              <w:t>employment opportunities</w:t>
            </w:r>
            <w:r w:rsidR="002F2931">
              <w:t>.</w:t>
            </w:r>
            <w:r w:rsidRPr="009C1C1F">
              <w:t xml:space="preserve"> </w:t>
            </w:r>
          </w:p>
        </w:tc>
        <w:tc>
          <w:tcPr>
            <w:tcW w:w="840" w:type="dxa"/>
            <w:tcBorders>
              <w:top w:val="single" w:sz="2" w:space="0" w:color="auto"/>
              <w:bottom w:val="single" w:sz="2" w:space="0" w:color="auto"/>
            </w:tcBorders>
            <w:tcMar>
              <w:left w:w="57" w:type="dxa"/>
              <w:right w:w="57" w:type="dxa"/>
            </w:tcMar>
          </w:tcPr>
          <w:p w14:paraId="7A20F0B7" w14:textId="77777777" w:rsidR="000A3A3D" w:rsidRDefault="000A3A3D" w:rsidP="00682785">
            <w:pPr>
              <w:pStyle w:val="TableTextEntries"/>
            </w:pPr>
            <w:r>
              <w:t>Achieved</w:t>
            </w:r>
          </w:p>
        </w:tc>
        <w:tc>
          <w:tcPr>
            <w:tcW w:w="2760" w:type="dxa"/>
            <w:tcBorders>
              <w:top w:val="single" w:sz="2" w:space="0" w:color="auto"/>
              <w:right w:val="single" w:sz="4" w:space="0" w:color="auto"/>
            </w:tcBorders>
            <w:tcMar>
              <w:left w:w="57" w:type="dxa"/>
              <w:right w:w="57" w:type="dxa"/>
            </w:tcMar>
          </w:tcPr>
          <w:p w14:paraId="5CBF994F" w14:textId="7FBC1717" w:rsidR="000A3A3D" w:rsidRDefault="00120C85" w:rsidP="00AD7CED">
            <w:pPr>
              <w:pStyle w:val="TableTextEntries"/>
              <w:numPr>
                <w:ilvl w:val="0"/>
                <w:numId w:val="25"/>
              </w:numPr>
            </w:pPr>
            <w:r>
              <w:t>The technical and vocational education and training program</w:t>
            </w:r>
            <w:r w:rsidR="000A3A3D">
              <w:t xml:space="preserve"> is ongoing</w:t>
            </w:r>
            <w:r>
              <w:t>.</w:t>
            </w:r>
            <w:r w:rsidR="000A3A3D">
              <w:t xml:space="preserve"> Phase II </w:t>
            </w:r>
            <w:r>
              <w:t>will emphasise</w:t>
            </w:r>
            <w:r w:rsidR="000A3A3D">
              <w:t xml:space="preserve"> domestic and international labour market researc</w:t>
            </w:r>
            <w:r>
              <w:t>h.</w:t>
            </w:r>
          </w:p>
          <w:p w14:paraId="3D695D37" w14:textId="324911C5" w:rsidR="000A3A3D" w:rsidRDefault="000A3A3D" w:rsidP="00AD7CED">
            <w:pPr>
              <w:pStyle w:val="TableTextEntries"/>
              <w:numPr>
                <w:ilvl w:val="0"/>
                <w:numId w:val="25"/>
              </w:numPr>
            </w:pPr>
            <w:r>
              <w:t>Pacific Seasonal Worker Pilot Scheme converts to the Seasonal Worker Program on 1 July 2012 and expands sectors of employment.</w:t>
            </w:r>
          </w:p>
        </w:tc>
      </w:tr>
      <w:tr w:rsidR="000A3A3D" w14:paraId="32E94433" w14:textId="77777777" w:rsidTr="00AB71D0">
        <w:trPr>
          <w:cantSplit/>
        </w:trPr>
        <w:tc>
          <w:tcPr>
            <w:tcW w:w="4320" w:type="dxa"/>
            <w:tcBorders>
              <w:top w:val="single" w:sz="2" w:space="0" w:color="auto"/>
              <w:left w:val="single" w:sz="4" w:space="0" w:color="auto"/>
              <w:bottom w:val="single" w:sz="2" w:space="0" w:color="auto"/>
            </w:tcBorders>
            <w:tcMar>
              <w:left w:w="57" w:type="dxa"/>
              <w:right w:w="57" w:type="dxa"/>
            </w:tcMar>
          </w:tcPr>
          <w:p w14:paraId="78B3BDAC" w14:textId="5B7B7202" w:rsidR="000A3A3D" w:rsidRPr="00B02FEE" w:rsidRDefault="000A3A3D" w:rsidP="00AD7CED">
            <w:pPr>
              <w:pStyle w:val="TableTextEntries"/>
              <w:numPr>
                <w:ilvl w:val="0"/>
                <w:numId w:val="25"/>
              </w:numPr>
            </w:pPr>
            <w:r w:rsidRPr="008C20D2">
              <w:t>Decid</w:t>
            </w:r>
            <w:r w:rsidR="002F2931">
              <w:t>e</w:t>
            </w:r>
            <w:r w:rsidRPr="008C20D2">
              <w:t xml:space="preserve"> whether to continue the </w:t>
            </w:r>
            <w:r w:rsidR="002F2931" w:rsidRPr="002F2931">
              <w:t xml:space="preserve">Kiribati Australia Nursing Initiative </w:t>
            </w:r>
            <w:r w:rsidRPr="008C20D2">
              <w:t>Component 1 – international undergraduate nursing scholarships</w:t>
            </w:r>
            <w:r w:rsidR="002F2931">
              <w:t>.</w:t>
            </w:r>
          </w:p>
        </w:tc>
        <w:tc>
          <w:tcPr>
            <w:tcW w:w="840" w:type="dxa"/>
            <w:tcBorders>
              <w:top w:val="single" w:sz="2" w:space="0" w:color="auto"/>
              <w:bottom w:val="single" w:sz="2" w:space="0" w:color="auto"/>
            </w:tcBorders>
            <w:tcMar>
              <w:left w:w="57" w:type="dxa"/>
              <w:right w:w="57" w:type="dxa"/>
            </w:tcMar>
          </w:tcPr>
          <w:p w14:paraId="2280675F" w14:textId="77777777" w:rsidR="000A3A3D" w:rsidRDefault="000A3A3D" w:rsidP="00682785">
            <w:pPr>
              <w:pStyle w:val="TableTextEntries"/>
            </w:pPr>
            <w:r>
              <w:t>Partly achieved</w:t>
            </w:r>
          </w:p>
        </w:tc>
        <w:tc>
          <w:tcPr>
            <w:tcW w:w="2760" w:type="dxa"/>
            <w:tcBorders>
              <w:top w:val="single" w:sz="2" w:space="0" w:color="auto"/>
              <w:bottom w:val="single" w:sz="2" w:space="0" w:color="auto"/>
              <w:right w:val="single" w:sz="4" w:space="0" w:color="auto"/>
            </w:tcBorders>
            <w:tcMar>
              <w:left w:w="57" w:type="dxa"/>
              <w:right w:w="57" w:type="dxa"/>
            </w:tcMar>
          </w:tcPr>
          <w:p w14:paraId="330A72F7" w14:textId="2D40EAC4" w:rsidR="000A3A3D" w:rsidRDefault="000A3A3D" w:rsidP="00AD7CED">
            <w:pPr>
              <w:pStyle w:val="TableTextEntries"/>
              <w:numPr>
                <w:ilvl w:val="0"/>
                <w:numId w:val="27"/>
              </w:numPr>
            </w:pPr>
            <w:r>
              <w:t xml:space="preserve">The </w:t>
            </w:r>
            <w:r w:rsidR="002F2931">
              <w:t xml:space="preserve">review </w:t>
            </w:r>
            <w:r>
              <w:t xml:space="preserve">will take place </w:t>
            </w:r>
            <w:r w:rsidR="002F2931">
              <w:t xml:space="preserve">from </w:t>
            </w:r>
            <w:r>
              <w:t xml:space="preserve">July </w:t>
            </w:r>
            <w:r w:rsidR="002F2931">
              <w:t xml:space="preserve">to </w:t>
            </w:r>
            <w:r>
              <w:t>December 2012</w:t>
            </w:r>
            <w:r w:rsidR="002F2931">
              <w:t>.</w:t>
            </w:r>
          </w:p>
        </w:tc>
      </w:tr>
      <w:tr w:rsidR="000A3A3D" w14:paraId="4D8D9F4A" w14:textId="77777777" w:rsidTr="00AB71D0">
        <w:trPr>
          <w:cantSplit/>
        </w:trPr>
        <w:tc>
          <w:tcPr>
            <w:tcW w:w="4320" w:type="dxa"/>
            <w:tcBorders>
              <w:top w:val="single" w:sz="2" w:space="0" w:color="auto"/>
              <w:left w:val="single" w:sz="4" w:space="0" w:color="auto"/>
              <w:bottom w:val="single" w:sz="2" w:space="0" w:color="auto"/>
            </w:tcBorders>
            <w:tcMar>
              <w:left w:w="57" w:type="dxa"/>
              <w:right w:w="57" w:type="dxa"/>
            </w:tcMar>
          </w:tcPr>
          <w:p w14:paraId="39EA2388" w14:textId="1690EFAE" w:rsidR="000A3A3D" w:rsidRPr="00B02FEE" w:rsidRDefault="000A3A3D" w:rsidP="00AD7CED">
            <w:pPr>
              <w:pStyle w:val="TableTextEntries"/>
              <w:numPr>
                <w:ilvl w:val="0"/>
                <w:numId w:val="26"/>
              </w:numPr>
            </w:pPr>
            <w:r w:rsidRPr="001E08E2">
              <w:t>Improv</w:t>
            </w:r>
            <w:r w:rsidR="002F2931">
              <w:t>e</w:t>
            </w:r>
            <w:r w:rsidRPr="001E08E2">
              <w:t xml:space="preserve"> data for </w:t>
            </w:r>
            <w:r w:rsidR="002F2931">
              <w:t>t</w:t>
            </w:r>
            <w:r w:rsidRPr="001E08E2">
              <w:t xml:space="preserve">ertiary and </w:t>
            </w:r>
            <w:r w:rsidR="002F2931">
              <w:t xml:space="preserve">technical and vocational education and training </w:t>
            </w:r>
            <w:r w:rsidRPr="001E08E2">
              <w:t>institutions</w:t>
            </w:r>
            <w:r w:rsidR="002F2931">
              <w:t xml:space="preserve">, including </w:t>
            </w:r>
            <w:r w:rsidRPr="001E08E2">
              <w:t xml:space="preserve">enrolment rates, completion and performance rates, </w:t>
            </w:r>
            <w:r w:rsidR="002F2931">
              <w:t xml:space="preserve">and </w:t>
            </w:r>
            <w:r w:rsidRPr="001E08E2">
              <w:t>pathways to employment</w:t>
            </w:r>
            <w:r w:rsidR="002F2931">
              <w:t>.</w:t>
            </w:r>
          </w:p>
        </w:tc>
        <w:tc>
          <w:tcPr>
            <w:tcW w:w="840" w:type="dxa"/>
            <w:tcBorders>
              <w:top w:val="single" w:sz="2" w:space="0" w:color="auto"/>
              <w:bottom w:val="single" w:sz="2" w:space="0" w:color="auto"/>
            </w:tcBorders>
            <w:tcMar>
              <w:left w:w="57" w:type="dxa"/>
              <w:right w:w="57" w:type="dxa"/>
            </w:tcMar>
          </w:tcPr>
          <w:p w14:paraId="6661EB6D" w14:textId="77777777" w:rsidR="000A3A3D" w:rsidRDefault="000A3A3D" w:rsidP="00682785">
            <w:pPr>
              <w:pStyle w:val="TableTextEntries"/>
            </w:pPr>
            <w:r>
              <w:t>Partly achieved</w:t>
            </w:r>
          </w:p>
        </w:tc>
        <w:tc>
          <w:tcPr>
            <w:tcW w:w="2760" w:type="dxa"/>
            <w:tcBorders>
              <w:top w:val="single" w:sz="2" w:space="0" w:color="auto"/>
              <w:bottom w:val="single" w:sz="2" w:space="0" w:color="auto"/>
              <w:right w:val="single" w:sz="4" w:space="0" w:color="auto"/>
            </w:tcBorders>
            <w:tcMar>
              <w:left w:w="57" w:type="dxa"/>
              <w:right w:w="57" w:type="dxa"/>
            </w:tcMar>
          </w:tcPr>
          <w:p w14:paraId="55919854" w14:textId="468BBC52" w:rsidR="000A3A3D" w:rsidRDefault="000A3A3D" w:rsidP="00AD7CED">
            <w:pPr>
              <w:pStyle w:val="TableTextEntries"/>
              <w:numPr>
                <w:ilvl w:val="0"/>
                <w:numId w:val="26"/>
              </w:numPr>
              <w:ind w:left="453" w:hanging="425"/>
            </w:pPr>
            <w:r>
              <w:t xml:space="preserve">Institutionalisation of data collection and use for policy development will be a focus of </w:t>
            </w:r>
            <w:r w:rsidR="002F2931">
              <w:t>p</w:t>
            </w:r>
            <w:r>
              <w:t>hase II</w:t>
            </w:r>
            <w:r w:rsidR="002F2931">
              <w:t xml:space="preserve"> of the program.</w:t>
            </w:r>
          </w:p>
        </w:tc>
      </w:tr>
      <w:tr w:rsidR="000A3A3D" w14:paraId="0E919258" w14:textId="77777777" w:rsidTr="00AB71D0">
        <w:trPr>
          <w:cantSplit/>
        </w:trPr>
        <w:tc>
          <w:tcPr>
            <w:tcW w:w="4320" w:type="dxa"/>
            <w:tcBorders>
              <w:top w:val="single" w:sz="2" w:space="0" w:color="auto"/>
              <w:left w:val="single" w:sz="4" w:space="0" w:color="auto"/>
              <w:bottom w:val="single" w:sz="2" w:space="0" w:color="auto"/>
            </w:tcBorders>
            <w:tcMar>
              <w:left w:w="57" w:type="dxa"/>
              <w:right w:w="57" w:type="dxa"/>
            </w:tcMar>
          </w:tcPr>
          <w:p w14:paraId="4D24AC61" w14:textId="304E023D" w:rsidR="000A3A3D" w:rsidRPr="001E08E2" w:rsidRDefault="000A3A3D" w:rsidP="00326B4C">
            <w:pPr>
              <w:pStyle w:val="TableTextEntries"/>
              <w:rPr>
                <w:b/>
              </w:rPr>
            </w:pPr>
            <w:r w:rsidRPr="001E08E2">
              <w:rPr>
                <w:b/>
              </w:rPr>
              <w:t>Priority Outcomes 3</w:t>
            </w:r>
            <w:r w:rsidR="002F2931">
              <w:rPr>
                <w:b/>
              </w:rPr>
              <w:t xml:space="preserve"> –</w:t>
            </w:r>
            <w:r w:rsidR="002F2931" w:rsidRPr="001E08E2">
              <w:rPr>
                <w:b/>
              </w:rPr>
              <w:t xml:space="preserve"> </w:t>
            </w:r>
            <w:r w:rsidRPr="001E08E2">
              <w:rPr>
                <w:b/>
              </w:rPr>
              <w:t xml:space="preserve">Growth and </w:t>
            </w:r>
            <w:r w:rsidR="00326B4C">
              <w:rPr>
                <w:b/>
              </w:rPr>
              <w:t>e</w:t>
            </w:r>
            <w:r w:rsidRPr="001E08E2">
              <w:rPr>
                <w:b/>
              </w:rPr>
              <w:t xml:space="preserve">conomic </w:t>
            </w:r>
            <w:r w:rsidR="00326B4C">
              <w:rPr>
                <w:b/>
              </w:rPr>
              <w:t>m</w:t>
            </w:r>
            <w:r w:rsidRPr="001E08E2">
              <w:rPr>
                <w:b/>
              </w:rPr>
              <w:t>anagement</w:t>
            </w:r>
          </w:p>
        </w:tc>
        <w:tc>
          <w:tcPr>
            <w:tcW w:w="840" w:type="dxa"/>
            <w:tcBorders>
              <w:top w:val="single" w:sz="2" w:space="0" w:color="auto"/>
              <w:bottom w:val="single" w:sz="2" w:space="0" w:color="auto"/>
            </w:tcBorders>
            <w:tcMar>
              <w:left w:w="57" w:type="dxa"/>
              <w:right w:w="57" w:type="dxa"/>
            </w:tcMar>
          </w:tcPr>
          <w:p w14:paraId="12F5DE8E" w14:textId="77777777" w:rsidR="000A3A3D" w:rsidRDefault="000A3A3D" w:rsidP="00682785">
            <w:pPr>
              <w:pStyle w:val="TableTextEntries"/>
            </w:pPr>
          </w:p>
        </w:tc>
        <w:tc>
          <w:tcPr>
            <w:tcW w:w="2760" w:type="dxa"/>
            <w:tcBorders>
              <w:top w:val="single" w:sz="2" w:space="0" w:color="auto"/>
              <w:bottom w:val="single" w:sz="2" w:space="0" w:color="auto"/>
              <w:right w:val="single" w:sz="4" w:space="0" w:color="auto"/>
            </w:tcBorders>
            <w:tcMar>
              <w:left w:w="57" w:type="dxa"/>
              <w:right w:w="57" w:type="dxa"/>
            </w:tcMar>
          </w:tcPr>
          <w:p w14:paraId="7D67B4D7" w14:textId="77777777" w:rsidR="000A3A3D" w:rsidRDefault="000A3A3D" w:rsidP="00682785">
            <w:pPr>
              <w:pStyle w:val="TableTextEntries"/>
            </w:pPr>
          </w:p>
        </w:tc>
      </w:tr>
      <w:tr w:rsidR="000A3A3D" w14:paraId="077FD67A" w14:textId="77777777" w:rsidTr="00AB71D0">
        <w:trPr>
          <w:cantSplit/>
        </w:trPr>
        <w:tc>
          <w:tcPr>
            <w:tcW w:w="4320" w:type="dxa"/>
            <w:tcBorders>
              <w:top w:val="single" w:sz="2" w:space="0" w:color="auto"/>
              <w:left w:val="single" w:sz="4" w:space="0" w:color="auto"/>
              <w:bottom w:val="single" w:sz="2" w:space="0" w:color="auto"/>
            </w:tcBorders>
            <w:tcMar>
              <w:left w:w="57" w:type="dxa"/>
              <w:right w:w="57" w:type="dxa"/>
            </w:tcMar>
          </w:tcPr>
          <w:p w14:paraId="01A805BA" w14:textId="5011B11F" w:rsidR="000A3A3D" w:rsidRPr="00B02FEE" w:rsidRDefault="000A3A3D" w:rsidP="00AD7CED">
            <w:pPr>
              <w:pStyle w:val="TableTextEntries"/>
              <w:numPr>
                <w:ilvl w:val="0"/>
                <w:numId w:val="26"/>
              </w:numPr>
            </w:pPr>
            <w:r w:rsidRPr="001E08E2">
              <w:t>Rethink engagement in fisheries</w:t>
            </w:r>
            <w:r w:rsidR="002F2931">
              <w:t>.</w:t>
            </w:r>
          </w:p>
        </w:tc>
        <w:tc>
          <w:tcPr>
            <w:tcW w:w="840" w:type="dxa"/>
            <w:tcBorders>
              <w:top w:val="single" w:sz="2" w:space="0" w:color="auto"/>
              <w:bottom w:val="single" w:sz="2" w:space="0" w:color="auto"/>
            </w:tcBorders>
            <w:tcMar>
              <w:left w:w="57" w:type="dxa"/>
              <w:right w:w="57" w:type="dxa"/>
            </w:tcMar>
          </w:tcPr>
          <w:p w14:paraId="25F05630" w14:textId="51C4D34B" w:rsidR="000A3A3D" w:rsidRDefault="000A3A3D">
            <w:pPr>
              <w:pStyle w:val="TableTextEntries"/>
            </w:pPr>
            <w:r>
              <w:t xml:space="preserve">Fully </w:t>
            </w:r>
            <w:r w:rsidR="002F2931">
              <w:t>achieved</w:t>
            </w:r>
          </w:p>
        </w:tc>
        <w:tc>
          <w:tcPr>
            <w:tcW w:w="2760" w:type="dxa"/>
            <w:tcBorders>
              <w:top w:val="single" w:sz="2" w:space="0" w:color="auto"/>
              <w:bottom w:val="single" w:sz="2" w:space="0" w:color="auto"/>
              <w:right w:val="single" w:sz="4" w:space="0" w:color="auto"/>
            </w:tcBorders>
            <w:tcMar>
              <w:left w:w="57" w:type="dxa"/>
              <w:right w:w="57" w:type="dxa"/>
            </w:tcMar>
          </w:tcPr>
          <w:p w14:paraId="65218BC8" w14:textId="10751819" w:rsidR="002F2931" w:rsidRDefault="002F2931" w:rsidP="00AD7CED">
            <w:pPr>
              <w:pStyle w:val="TableTextEntries"/>
              <w:numPr>
                <w:ilvl w:val="0"/>
                <w:numId w:val="26"/>
              </w:numPr>
            </w:pPr>
            <w:r>
              <w:t xml:space="preserve">Australia </w:t>
            </w:r>
            <w:r w:rsidR="000A3A3D">
              <w:t xml:space="preserve">continues to support </w:t>
            </w:r>
            <w:r>
              <w:t>Kiribati</w:t>
            </w:r>
            <w:r w:rsidR="000A3A3D">
              <w:t xml:space="preserve"> in its </w:t>
            </w:r>
            <w:r>
              <w:t xml:space="preserve">fisheries policy </w:t>
            </w:r>
            <w:r w:rsidR="000A3A3D">
              <w:t xml:space="preserve">development. </w:t>
            </w:r>
          </w:p>
          <w:p w14:paraId="102729F6" w14:textId="772A259C" w:rsidR="000A3A3D" w:rsidRDefault="000A3A3D" w:rsidP="00AD7CED">
            <w:pPr>
              <w:pStyle w:val="TableTextEntries"/>
              <w:numPr>
                <w:ilvl w:val="0"/>
                <w:numId w:val="26"/>
              </w:numPr>
            </w:pPr>
            <w:r>
              <w:t>New Australian funded fisheries programs start in 2012</w:t>
            </w:r>
            <w:r w:rsidR="002F2931">
              <w:t>.</w:t>
            </w:r>
          </w:p>
          <w:p w14:paraId="49817C06" w14:textId="77777777" w:rsidR="000A3A3D" w:rsidRDefault="000A3A3D" w:rsidP="000A3A3D">
            <w:pPr>
              <w:pStyle w:val="TableTextEntries"/>
            </w:pPr>
          </w:p>
        </w:tc>
      </w:tr>
      <w:tr w:rsidR="000A3A3D" w14:paraId="042B6603" w14:textId="77777777" w:rsidTr="00AB71D0">
        <w:trPr>
          <w:cantSplit/>
        </w:trPr>
        <w:tc>
          <w:tcPr>
            <w:tcW w:w="4320" w:type="dxa"/>
            <w:tcBorders>
              <w:top w:val="single" w:sz="2" w:space="0" w:color="auto"/>
              <w:left w:val="single" w:sz="4" w:space="0" w:color="auto"/>
              <w:bottom w:val="single" w:sz="2" w:space="0" w:color="auto"/>
            </w:tcBorders>
            <w:tcMar>
              <w:left w:w="57" w:type="dxa"/>
              <w:right w:w="57" w:type="dxa"/>
            </w:tcMar>
          </w:tcPr>
          <w:p w14:paraId="4E53AB7C" w14:textId="59E27C47" w:rsidR="000A3A3D" w:rsidRPr="001E08E2" w:rsidRDefault="000A3A3D" w:rsidP="00682785">
            <w:pPr>
              <w:pStyle w:val="TableTextEntries"/>
              <w:rPr>
                <w:b/>
              </w:rPr>
            </w:pPr>
            <w:r w:rsidRPr="001E08E2">
              <w:rPr>
                <w:b/>
              </w:rPr>
              <w:t xml:space="preserve">Support to </w:t>
            </w:r>
            <w:r w:rsidR="002F2931" w:rsidRPr="001E08E2">
              <w:rPr>
                <w:b/>
              </w:rPr>
              <w:t>non-priority outcome areas: climate change, health, ending violence against women, infrastructure</w:t>
            </w:r>
          </w:p>
        </w:tc>
        <w:tc>
          <w:tcPr>
            <w:tcW w:w="840" w:type="dxa"/>
            <w:tcBorders>
              <w:top w:val="single" w:sz="2" w:space="0" w:color="auto"/>
              <w:bottom w:val="single" w:sz="2" w:space="0" w:color="auto"/>
            </w:tcBorders>
            <w:tcMar>
              <w:left w:w="57" w:type="dxa"/>
              <w:right w:w="57" w:type="dxa"/>
            </w:tcMar>
          </w:tcPr>
          <w:p w14:paraId="7AE6917B" w14:textId="77777777" w:rsidR="000A3A3D" w:rsidRDefault="000A3A3D" w:rsidP="00682785">
            <w:pPr>
              <w:pStyle w:val="TableTextEntries"/>
            </w:pPr>
          </w:p>
        </w:tc>
        <w:tc>
          <w:tcPr>
            <w:tcW w:w="2760" w:type="dxa"/>
            <w:tcBorders>
              <w:top w:val="single" w:sz="2" w:space="0" w:color="auto"/>
              <w:bottom w:val="single" w:sz="2" w:space="0" w:color="auto"/>
              <w:right w:val="single" w:sz="4" w:space="0" w:color="auto"/>
            </w:tcBorders>
            <w:tcMar>
              <w:left w:w="57" w:type="dxa"/>
              <w:right w:w="57" w:type="dxa"/>
            </w:tcMar>
          </w:tcPr>
          <w:p w14:paraId="7A6808ED" w14:textId="77777777" w:rsidR="000A3A3D" w:rsidRDefault="000A3A3D" w:rsidP="00682785">
            <w:pPr>
              <w:pStyle w:val="TableTextEntries"/>
            </w:pPr>
          </w:p>
        </w:tc>
      </w:tr>
      <w:tr w:rsidR="000A3A3D" w14:paraId="3F0059C5" w14:textId="77777777" w:rsidTr="00AB71D0">
        <w:trPr>
          <w:cantSplit/>
        </w:trPr>
        <w:tc>
          <w:tcPr>
            <w:tcW w:w="4320" w:type="dxa"/>
            <w:tcBorders>
              <w:top w:val="single" w:sz="2" w:space="0" w:color="auto"/>
              <w:left w:val="single" w:sz="4" w:space="0" w:color="auto"/>
              <w:bottom w:val="single" w:sz="2" w:space="0" w:color="auto"/>
            </w:tcBorders>
            <w:tcMar>
              <w:left w:w="57" w:type="dxa"/>
              <w:right w:w="57" w:type="dxa"/>
            </w:tcMar>
          </w:tcPr>
          <w:p w14:paraId="0FF52296" w14:textId="09701B04" w:rsidR="000A3A3D" w:rsidRPr="001E08E2" w:rsidRDefault="000A3A3D" w:rsidP="00AD7CED">
            <w:pPr>
              <w:pStyle w:val="TableTextEntries"/>
              <w:numPr>
                <w:ilvl w:val="0"/>
                <w:numId w:val="28"/>
              </w:numPr>
            </w:pPr>
            <w:r w:rsidRPr="001E08E2">
              <w:t>Ensur</w:t>
            </w:r>
            <w:r w:rsidR="002F2931">
              <w:t>e</w:t>
            </w:r>
            <w:r w:rsidRPr="001E08E2">
              <w:t xml:space="preserve"> support is not spread too thin</w:t>
            </w:r>
            <w:r w:rsidR="002F2931">
              <w:t>ly</w:t>
            </w:r>
            <w:r w:rsidRPr="001E08E2">
              <w:t xml:space="preserve"> and we have capacity to appropriately engage with </w:t>
            </w:r>
            <w:r w:rsidR="002F2931">
              <w:t>Kiribati</w:t>
            </w:r>
            <w:r w:rsidR="002F2931" w:rsidRPr="001E08E2">
              <w:t xml:space="preserve"> </w:t>
            </w:r>
            <w:r w:rsidRPr="001E08E2">
              <w:t>and delivery partners in these sectors</w:t>
            </w:r>
            <w:r w:rsidR="002F2931">
              <w:t>.</w:t>
            </w:r>
          </w:p>
        </w:tc>
        <w:tc>
          <w:tcPr>
            <w:tcW w:w="840" w:type="dxa"/>
            <w:tcBorders>
              <w:top w:val="single" w:sz="2" w:space="0" w:color="auto"/>
              <w:bottom w:val="single" w:sz="2" w:space="0" w:color="auto"/>
            </w:tcBorders>
            <w:tcMar>
              <w:left w:w="57" w:type="dxa"/>
              <w:right w:w="57" w:type="dxa"/>
            </w:tcMar>
          </w:tcPr>
          <w:p w14:paraId="4A3C8F63" w14:textId="2CC91017" w:rsidR="000A3A3D" w:rsidRDefault="000A3A3D">
            <w:pPr>
              <w:pStyle w:val="TableTextEntries"/>
            </w:pPr>
            <w:r>
              <w:t xml:space="preserve">Not </w:t>
            </w:r>
            <w:r w:rsidR="002F2931">
              <w:t>achieved</w:t>
            </w:r>
          </w:p>
        </w:tc>
        <w:tc>
          <w:tcPr>
            <w:tcW w:w="2760" w:type="dxa"/>
            <w:tcBorders>
              <w:top w:val="single" w:sz="2" w:space="0" w:color="auto"/>
              <w:bottom w:val="single" w:sz="2" w:space="0" w:color="auto"/>
              <w:right w:val="single" w:sz="4" w:space="0" w:color="auto"/>
            </w:tcBorders>
            <w:tcMar>
              <w:left w:w="57" w:type="dxa"/>
              <w:right w:w="57" w:type="dxa"/>
            </w:tcMar>
          </w:tcPr>
          <w:p w14:paraId="105599F7" w14:textId="6676D604" w:rsidR="000A3A3D" w:rsidRDefault="002F2931" w:rsidP="00AD7CED">
            <w:pPr>
              <w:pStyle w:val="TableTextEntries"/>
              <w:numPr>
                <w:ilvl w:val="0"/>
                <w:numId w:val="28"/>
              </w:numPr>
            </w:pPr>
            <w:r>
              <w:t>S</w:t>
            </w:r>
            <w:r w:rsidR="000A3A3D">
              <w:t>eek additional resourcing</w:t>
            </w:r>
            <w:r>
              <w:t>.</w:t>
            </w:r>
          </w:p>
        </w:tc>
      </w:tr>
      <w:tr w:rsidR="000A3A3D" w14:paraId="77141EC1" w14:textId="77777777" w:rsidTr="00AB71D0">
        <w:trPr>
          <w:cantSplit/>
        </w:trPr>
        <w:tc>
          <w:tcPr>
            <w:tcW w:w="4320" w:type="dxa"/>
            <w:tcBorders>
              <w:top w:val="single" w:sz="2" w:space="0" w:color="auto"/>
              <w:left w:val="single" w:sz="4" w:space="0" w:color="auto"/>
              <w:bottom w:val="single" w:sz="2" w:space="0" w:color="auto"/>
            </w:tcBorders>
            <w:tcMar>
              <w:left w:w="57" w:type="dxa"/>
              <w:right w:w="57" w:type="dxa"/>
            </w:tcMar>
          </w:tcPr>
          <w:p w14:paraId="0B80A785" w14:textId="77777777" w:rsidR="000A3A3D" w:rsidRPr="001E08E2" w:rsidRDefault="000A3A3D" w:rsidP="00682785">
            <w:pPr>
              <w:pStyle w:val="TableTextEntries"/>
              <w:rPr>
                <w:b/>
              </w:rPr>
            </w:pPr>
            <w:r>
              <w:rPr>
                <w:b/>
              </w:rPr>
              <w:t>General</w:t>
            </w:r>
          </w:p>
        </w:tc>
        <w:tc>
          <w:tcPr>
            <w:tcW w:w="840" w:type="dxa"/>
            <w:tcBorders>
              <w:top w:val="single" w:sz="2" w:space="0" w:color="auto"/>
              <w:bottom w:val="single" w:sz="2" w:space="0" w:color="auto"/>
            </w:tcBorders>
            <w:tcMar>
              <w:left w:w="57" w:type="dxa"/>
              <w:right w:w="57" w:type="dxa"/>
            </w:tcMar>
          </w:tcPr>
          <w:p w14:paraId="61A761B2" w14:textId="77777777" w:rsidR="000A3A3D" w:rsidRDefault="000A3A3D" w:rsidP="00682785">
            <w:pPr>
              <w:pStyle w:val="TableTextEntries"/>
            </w:pPr>
          </w:p>
        </w:tc>
        <w:tc>
          <w:tcPr>
            <w:tcW w:w="2760" w:type="dxa"/>
            <w:tcBorders>
              <w:top w:val="single" w:sz="2" w:space="0" w:color="auto"/>
              <w:bottom w:val="single" w:sz="2" w:space="0" w:color="auto"/>
              <w:right w:val="single" w:sz="4" w:space="0" w:color="auto"/>
            </w:tcBorders>
            <w:tcMar>
              <w:left w:w="57" w:type="dxa"/>
              <w:right w:w="57" w:type="dxa"/>
            </w:tcMar>
          </w:tcPr>
          <w:p w14:paraId="6D5BD555" w14:textId="77777777" w:rsidR="000A3A3D" w:rsidRDefault="000A3A3D" w:rsidP="00682785">
            <w:pPr>
              <w:pStyle w:val="TableTextEntries"/>
            </w:pPr>
          </w:p>
        </w:tc>
      </w:tr>
      <w:tr w:rsidR="000A3A3D" w14:paraId="5EE94D0D" w14:textId="77777777" w:rsidTr="00AB71D0">
        <w:trPr>
          <w:cantSplit/>
        </w:trPr>
        <w:tc>
          <w:tcPr>
            <w:tcW w:w="4320" w:type="dxa"/>
            <w:tcBorders>
              <w:top w:val="single" w:sz="2" w:space="0" w:color="auto"/>
              <w:left w:val="single" w:sz="4" w:space="0" w:color="auto"/>
              <w:bottom w:val="single" w:sz="2" w:space="0" w:color="auto"/>
            </w:tcBorders>
            <w:tcMar>
              <w:left w:w="57" w:type="dxa"/>
              <w:right w:w="57" w:type="dxa"/>
            </w:tcMar>
          </w:tcPr>
          <w:p w14:paraId="59ECBC23" w14:textId="483BF1B3" w:rsidR="000A3A3D" w:rsidRPr="001E08E2" w:rsidRDefault="000A3A3D" w:rsidP="00AD7CED">
            <w:pPr>
              <w:pStyle w:val="TableTextEntries"/>
              <w:numPr>
                <w:ilvl w:val="0"/>
                <w:numId w:val="28"/>
              </w:numPr>
            </w:pPr>
            <w:r w:rsidRPr="001E08E2">
              <w:lastRenderedPageBreak/>
              <w:t xml:space="preserve">Strengthen mutual understanding and accountability, as well as the effectiveness of the </w:t>
            </w:r>
            <w:r w:rsidR="002F2931">
              <w:t>p</w:t>
            </w:r>
            <w:r w:rsidR="002F2931" w:rsidRPr="001E08E2">
              <w:t>artnership</w:t>
            </w:r>
            <w:r w:rsidR="002F2931">
              <w:t>.</w:t>
            </w:r>
          </w:p>
        </w:tc>
        <w:tc>
          <w:tcPr>
            <w:tcW w:w="840" w:type="dxa"/>
            <w:tcBorders>
              <w:top w:val="single" w:sz="2" w:space="0" w:color="auto"/>
              <w:bottom w:val="single" w:sz="2" w:space="0" w:color="auto"/>
            </w:tcBorders>
            <w:tcMar>
              <w:left w:w="57" w:type="dxa"/>
              <w:right w:w="57" w:type="dxa"/>
            </w:tcMar>
          </w:tcPr>
          <w:p w14:paraId="69FA6573" w14:textId="3EB44D33" w:rsidR="000A3A3D" w:rsidRDefault="000A3A3D">
            <w:pPr>
              <w:pStyle w:val="TableTextEntries"/>
            </w:pPr>
            <w:r>
              <w:t xml:space="preserve">Partly </w:t>
            </w:r>
            <w:r w:rsidR="002F2931">
              <w:t>achieved</w:t>
            </w:r>
          </w:p>
        </w:tc>
        <w:tc>
          <w:tcPr>
            <w:tcW w:w="2760" w:type="dxa"/>
            <w:tcBorders>
              <w:top w:val="single" w:sz="2" w:space="0" w:color="auto"/>
              <w:bottom w:val="single" w:sz="2" w:space="0" w:color="auto"/>
              <w:right w:val="single" w:sz="4" w:space="0" w:color="auto"/>
            </w:tcBorders>
            <w:tcMar>
              <w:left w:w="57" w:type="dxa"/>
              <w:right w:w="57" w:type="dxa"/>
            </w:tcMar>
          </w:tcPr>
          <w:p w14:paraId="4612EBB5" w14:textId="49CAA140" w:rsidR="000A3A3D" w:rsidRDefault="002F2931" w:rsidP="00AD7CED">
            <w:pPr>
              <w:pStyle w:val="TableTextEntries"/>
              <w:numPr>
                <w:ilvl w:val="0"/>
                <w:numId w:val="28"/>
              </w:numPr>
            </w:pPr>
            <w:r>
              <w:t>2012 p</w:t>
            </w:r>
            <w:r w:rsidR="000A3A3D">
              <w:t xml:space="preserve">artnership </w:t>
            </w:r>
            <w:r>
              <w:t xml:space="preserve">talks </w:t>
            </w:r>
            <w:r w:rsidR="000A3A3D">
              <w:t>provide further opportunities to discuss these issues</w:t>
            </w:r>
            <w:r>
              <w:t>.</w:t>
            </w:r>
          </w:p>
        </w:tc>
      </w:tr>
      <w:tr w:rsidR="000A3A3D" w14:paraId="21B93BF8" w14:textId="77777777" w:rsidTr="00AB71D0">
        <w:trPr>
          <w:cantSplit/>
        </w:trPr>
        <w:tc>
          <w:tcPr>
            <w:tcW w:w="4320" w:type="dxa"/>
            <w:tcBorders>
              <w:top w:val="single" w:sz="2" w:space="0" w:color="auto"/>
              <w:left w:val="single" w:sz="4" w:space="0" w:color="auto"/>
              <w:bottom w:val="single" w:sz="2" w:space="0" w:color="auto"/>
            </w:tcBorders>
            <w:tcMar>
              <w:left w:w="57" w:type="dxa"/>
              <w:right w:w="57" w:type="dxa"/>
            </w:tcMar>
          </w:tcPr>
          <w:p w14:paraId="373DE4CF" w14:textId="3F60B4DA" w:rsidR="000A3A3D" w:rsidRPr="001E08E2" w:rsidRDefault="000A3A3D" w:rsidP="00AD7CED">
            <w:pPr>
              <w:pStyle w:val="TableTextEntries"/>
              <w:numPr>
                <w:ilvl w:val="0"/>
                <w:numId w:val="28"/>
              </w:numPr>
            </w:pPr>
            <w:r w:rsidRPr="001E08E2">
              <w:t xml:space="preserve">Identify with </w:t>
            </w:r>
            <w:r w:rsidR="00FA3CFE">
              <w:t>Kiribati</w:t>
            </w:r>
            <w:r w:rsidR="00FA3CFE" w:rsidRPr="001E08E2">
              <w:t xml:space="preserve"> </w:t>
            </w:r>
            <w:r w:rsidRPr="001E08E2">
              <w:t>new opportunities for using performance-linked aid in the future</w:t>
            </w:r>
            <w:r w:rsidR="00FA3CFE">
              <w:t>,</w:t>
            </w:r>
            <w:r w:rsidRPr="001E08E2">
              <w:t xml:space="preserve"> and as efforts to improve </w:t>
            </w:r>
            <w:r w:rsidR="00FA3CFE">
              <w:t>public financial management</w:t>
            </w:r>
            <w:r w:rsidR="00FA3CFE" w:rsidRPr="001E08E2">
              <w:t xml:space="preserve"> </w:t>
            </w:r>
            <w:r w:rsidRPr="001E08E2">
              <w:t>systems progress</w:t>
            </w:r>
            <w:r w:rsidR="00FA3CFE">
              <w:t>.</w:t>
            </w:r>
          </w:p>
        </w:tc>
        <w:tc>
          <w:tcPr>
            <w:tcW w:w="840" w:type="dxa"/>
            <w:tcBorders>
              <w:top w:val="single" w:sz="2" w:space="0" w:color="auto"/>
              <w:bottom w:val="single" w:sz="2" w:space="0" w:color="auto"/>
            </w:tcBorders>
            <w:tcMar>
              <w:left w:w="57" w:type="dxa"/>
              <w:right w:w="57" w:type="dxa"/>
            </w:tcMar>
          </w:tcPr>
          <w:p w14:paraId="5C7FA10E" w14:textId="77777777" w:rsidR="000A3A3D" w:rsidRDefault="000A3A3D" w:rsidP="00682785">
            <w:pPr>
              <w:pStyle w:val="TableTextEntries"/>
            </w:pPr>
            <w:r>
              <w:t>Achieved</w:t>
            </w:r>
          </w:p>
        </w:tc>
        <w:tc>
          <w:tcPr>
            <w:tcW w:w="2760" w:type="dxa"/>
            <w:tcBorders>
              <w:top w:val="single" w:sz="2" w:space="0" w:color="auto"/>
              <w:bottom w:val="single" w:sz="2" w:space="0" w:color="auto"/>
              <w:right w:val="single" w:sz="4" w:space="0" w:color="auto"/>
            </w:tcBorders>
            <w:tcMar>
              <w:left w:w="57" w:type="dxa"/>
              <w:right w:w="57" w:type="dxa"/>
            </w:tcMar>
          </w:tcPr>
          <w:p w14:paraId="27527758" w14:textId="314EE29F" w:rsidR="000A3A3D" w:rsidRDefault="000A3A3D" w:rsidP="00AD7CED">
            <w:pPr>
              <w:pStyle w:val="TableTextEntries"/>
              <w:numPr>
                <w:ilvl w:val="0"/>
                <w:numId w:val="28"/>
              </w:numPr>
            </w:pPr>
            <w:r>
              <w:t>Further opportunities are being pursued in collaboration with the proposed World Bank budget support program</w:t>
            </w:r>
            <w:r w:rsidR="00FA3CFE">
              <w:t>.</w:t>
            </w:r>
          </w:p>
        </w:tc>
      </w:tr>
      <w:tr w:rsidR="000A3A3D" w14:paraId="18F7D5AF" w14:textId="77777777" w:rsidTr="00AB71D0">
        <w:trPr>
          <w:cantSplit/>
        </w:trPr>
        <w:tc>
          <w:tcPr>
            <w:tcW w:w="4320" w:type="dxa"/>
            <w:tcBorders>
              <w:top w:val="single" w:sz="2" w:space="0" w:color="auto"/>
              <w:left w:val="single" w:sz="4" w:space="0" w:color="auto"/>
              <w:bottom w:val="single" w:sz="2" w:space="0" w:color="auto"/>
            </w:tcBorders>
            <w:tcMar>
              <w:left w:w="57" w:type="dxa"/>
              <w:right w:w="57" w:type="dxa"/>
            </w:tcMar>
          </w:tcPr>
          <w:p w14:paraId="5A3E5A21" w14:textId="7A80F587" w:rsidR="000A3A3D" w:rsidRPr="001E08E2" w:rsidRDefault="000A3A3D" w:rsidP="00AD7CED">
            <w:pPr>
              <w:pStyle w:val="TableTextEntries"/>
              <w:numPr>
                <w:ilvl w:val="0"/>
                <w:numId w:val="28"/>
              </w:numPr>
            </w:pPr>
            <w:r w:rsidRPr="001E08E2">
              <w:t>Increase staff resources for the Kiribati program to enhance capacity for policy dialogue</w:t>
            </w:r>
            <w:r w:rsidR="00FA3CFE">
              <w:t>,</w:t>
            </w:r>
            <w:r w:rsidRPr="001E08E2">
              <w:t xml:space="preserve"> analysis and monitoring</w:t>
            </w:r>
            <w:r w:rsidR="00FA3CFE">
              <w:t>,</w:t>
            </w:r>
            <w:r w:rsidRPr="001E08E2">
              <w:t xml:space="preserve"> as well as to deliver on existing and new commitments. </w:t>
            </w:r>
          </w:p>
          <w:p w14:paraId="2514974E" w14:textId="2F812146" w:rsidR="000A3A3D" w:rsidRPr="001E08E2" w:rsidRDefault="000A3A3D" w:rsidP="00AD7CED">
            <w:pPr>
              <w:pStyle w:val="TableTextEntries"/>
              <w:numPr>
                <w:ilvl w:val="0"/>
                <w:numId w:val="28"/>
              </w:numPr>
            </w:pPr>
            <w:r w:rsidRPr="001E08E2">
              <w:t>Increas</w:t>
            </w:r>
            <w:r w:rsidR="00FA3CFE">
              <w:t>e</w:t>
            </w:r>
            <w:r w:rsidRPr="001E08E2">
              <w:t xml:space="preserve"> the engagement of senior management in policy dialogue with </w:t>
            </w:r>
            <w:r w:rsidR="00FA3CFE">
              <w:t>Kiribati</w:t>
            </w:r>
            <w:r w:rsidR="00FA3CFE" w:rsidRPr="001E08E2">
              <w:t xml:space="preserve"> </w:t>
            </w:r>
            <w:r w:rsidRPr="001E08E2">
              <w:t>and other donors.</w:t>
            </w:r>
          </w:p>
        </w:tc>
        <w:tc>
          <w:tcPr>
            <w:tcW w:w="840" w:type="dxa"/>
            <w:tcBorders>
              <w:top w:val="single" w:sz="2" w:space="0" w:color="auto"/>
              <w:bottom w:val="single" w:sz="2" w:space="0" w:color="auto"/>
            </w:tcBorders>
            <w:tcMar>
              <w:left w:w="57" w:type="dxa"/>
              <w:right w:w="57" w:type="dxa"/>
            </w:tcMar>
          </w:tcPr>
          <w:p w14:paraId="21FD53B8" w14:textId="77777777" w:rsidR="000A3A3D" w:rsidRDefault="000A3A3D" w:rsidP="00682785">
            <w:pPr>
              <w:pStyle w:val="TableTextEntries"/>
            </w:pPr>
            <w:r>
              <w:t>Partly achieved</w:t>
            </w:r>
          </w:p>
        </w:tc>
        <w:tc>
          <w:tcPr>
            <w:tcW w:w="2760" w:type="dxa"/>
            <w:tcBorders>
              <w:top w:val="single" w:sz="2" w:space="0" w:color="auto"/>
              <w:bottom w:val="single" w:sz="2" w:space="0" w:color="auto"/>
              <w:right w:val="single" w:sz="4" w:space="0" w:color="auto"/>
            </w:tcBorders>
            <w:tcMar>
              <w:left w:w="57" w:type="dxa"/>
              <w:right w:w="57" w:type="dxa"/>
            </w:tcMar>
          </w:tcPr>
          <w:p w14:paraId="0E817F28" w14:textId="2364CDB1" w:rsidR="000A3A3D" w:rsidRDefault="000A3A3D" w:rsidP="00AD7CED">
            <w:pPr>
              <w:pStyle w:val="TableTextEntries"/>
              <w:numPr>
                <w:ilvl w:val="0"/>
                <w:numId w:val="28"/>
              </w:numPr>
            </w:pPr>
            <w:r>
              <w:t xml:space="preserve">Corporate </w:t>
            </w:r>
            <w:r w:rsidR="00223220">
              <w:t xml:space="preserve">senior project manager </w:t>
            </w:r>
            <w:r>
              <w:t>position has freed up First Secretary, although this has been negated by the amount of ongoing scope creep of the program</w:t>
            </w:r>
            <w:r w:rsidR="00FA3CFE">
              <w:t>.</w:t>
            </w:r>
          </w:p>
        </w:tc>
      </w:tr>
      <w:tr w:rsidR="000A3A3D" w14:paraId="464A5565" w14:textId="77777777" w:rsidTr="00AB71D0">
        <w:trPr>
          <w:cantSplit/>
        </w:trPr>
        <w:tc>
          <w:tcPr>
            <w:tcW w:w="4320" w:type="dxa"/>
            <w:tcBorders>
              <w:top w:val="single" w:sz="2" w:space="0" w:color="auto"/>
              <w:left w:val="single" w:sz="4" w:space="0" w:color="auto"/>
              <w:bottom w:val="single" w:sz="2" w:space="0" w:color="auto"/>
            </w:tcBorders>
            <w:tcMar>
              <w:left w:w="57" w:type="dxa"/>
              <w:right w:w="57" w:type="dxa"/>
            </w:tcMar>
          </w:tcPr>
          <w:p w14:paraId="76CD5E3B" w14:textId="3EAF3465" w:rsidR="000A3A3D" w:rsidRPr="001E08E2" w:rsidRDefault="000A3A3D" w:rsidP="00AD7CED">
            <w:pPr>
              <w:pStyle w:val="TableTextEntries"/>
              <w:numPr>
                <w:ilvl w:val="0"/>
                <w:numId w:val="28"/>
              </w:numPr>
            </w:pPr>
            <w:r w:rsidRPr="001E08E2">
              <w:t xml:space="preserve">Strengthen </w:t>
            </w:r>
            <w:r w:rsidR="00FA3CFE">
              <w:t>Kiribati’s</w:t>
            </w:r>
            <w:r w:rsidR="00FA3CFE" w:rsidRPr="001E08E2">
              <w:t xml:space="preserve"> </w:t>
            </w:r>
            <w:r w:rsidR="00FA3CFE">
              <w:t>public financial management</w:t>
            </w:r>
            <w:r w:rsidR="00FA3CFE" w:rsidRPr="001E08E2">
              <w:t xml:space="preserve"> </w:t>
            </w:r>
            <w:r w:rsidRPr="001E08E2">
              <w:t>systems</w:t>
            </w:r>
            <w:r w:rsidR="00FA3CFE">
              <w:t>. This will enable t</w:t>
            </w:r>
            <w:r w:rsidRPr="001E08E2">
              <w:t xml:space="preserve">he proportion of donor programs working with </w:t>
            </w:r>
            <w:r w:rsidR="00FA3CFE">
              <w:t>Kiribati’s</w:t>
            </w:r>
            <w:r w:rsidR="00FA3CFE" w:rsidRPr="001E08E2">
              <w:t xml:space="preserve"> </w:t>
            </w:r>
            <w:r w:rsidRPr="001E08E2">
              <w:t>systems</w:t>
            </w:r>
            <w:r w:rsidR="00FA3CFE">
              <w:t xml:space="preserve"> to increase.</w:t>
            </w:r>
          </w:p>
        </w:tc>
        <w:tc>
          <w:tcPr>
            <w:tcW w:w="840" w:type="dxa"/>
            <w:tcBorders>
              <w:top w:val="single" w:sz="2" w:space="0" w:color="auto"/>
              <w:bottom w:val="single" w:sz="2" w:space="0" w:color="auto"/>
            </w:tcBorders>
            <w:tcMar>
              <w:left w:w="57" w:type="dxa"/>
              <w:right w:w="57" w:type="dxa"/>
            </w:tcMar>
          </w:tcPr>
          <w:p w14:paraId="3FA4FE76" w14:textId="77777777" w:rsidR="000A3A3D" w:rsidRDefault="000A3A3D" w:rsidP="00682785">
            <w:pPr>
              <w:pStyle w:val="TableTextEntries"/>
            </w:pPr>
            <w:r>
              <w:t>Partly achieved</w:t>
            </w:r>
          </w:p>
        </w:tc>
        <w:tc>
          <w:tcPr>
            <w:tcW w:w="2760" w:type="dxa"/>
            <w:tcBorders>
              <w:top w:val="single" w:sz="2" w:space="0" w:color="auto"/>
              <w:bottom w:val="single" w:sz="2" w:space="0" w:color="auto"/>
              <w:right w:val="single" w:sz="4" w:space="0" w:color="auto"/>
            </w:tcBorders>
            <w:tcMar>
              <w:left w:w="57" w:type="dxa"/>
              <w:right w:w="57" w:type="dxa"/>
            </w:tcMar>
          </w:tcPr>
          <w:p w14:paraId="37C2C69D" w14:textId="764BEE3C" w:rsidR="000A3A3D" w:rsidRDefault="00FA3CFE" w:rsidP="00AD7CED">
            <w:pPr>
              <w:pStyle w:val="TableTextEntries"/>
              <w:numPr>
                <w:ilvl w:val="0"/>
                <w:numId w:val="28"/>
              </w:numPr>
            </w:pPr>
            <w:r>
              <w:t>Public financial management</w:t>
            </w:r>
            <w:r w:rsidRPr="001E08E2">
              <w:t xml:space="preserve"> </w:t>
            </w:r>
            <w:r w:rsidR="000A3A3D">
              <w:t>reform program is ongoing</w:t>
            </w:r>
            <w:r>
              <w:t>.</w:t>
            </w:r>
          </w:p>
        </w:tc>
      </w:tr>
      <w:tr w:rsidR="000A3A3D" w14:paraId="756404AC" w14:textId="77777777" w:rsidTr="00AB71D0">
        <w:trPr>
          <w:cantSplit/>
        </w:trPr>
        <w:tc>
          <w:tcPr>
            <w:tcW w:w="4320" w:type="dxa"/>
            <w:tcBorders>
              <w:top w:val="single" w:sz="2" w:space="0" w:color="auto"/>
              <w:left w:val="single" w:sz="4" w:space="0" w:color="auto"/>
              <w:bottom w:val="single" w:sz="2" w:space="0" w:color="auto"/>
            </w:tcBorders>
            <w:tcMar>
              <w:left w:w="57" w:type="dxa"/>
              <w:right w:w="57" w:type="dxa"/>
            </w:tcMar>
          </w:tcPr>
          <w:p w14:paraId="2CBACDCC" w14:textId="59FF629D" w:rsidR="000A3A3D" w:rsidRPr="001E08E2" w:rsidRDefault="000A3A3D" w:rsidP="00AD7CED">
            <w:pPr>
              <w:pStyle w:val="TableTextEntries"/>
              <w:numPr>
                <w:ilvl w:val="0"/>
                <w:numId w:val="28"/>
              </w:numPr>
            </w:pPr>
            <w:r w:rsidRPr="001E08E2">
              <w:t>Manag</w:t>
            </w:r>
            <w:r w:rsidR="004556CF">
              <w:t xml:space="preserve">e </w:t>
            </w:r>
            <w:r w:rsidRPr="001E08E2">
              <w:t>corporate reporting requirements</w:t>
            </w:r>
            <w:r w:rsidR="004556CF">
              <w:t>.</w:t>
            </w:r>
          </w:p>
        </w:tc>
        <w:tc>
          <w:tcPr>
            <w:tcW w:w="840" w:type="dxa"/>
            <w:tcBorders>
              <w:top w:val="single" w:sz="2" w:space="0" w:color="auto"/>
              <w:bottom w:val="single" w:sz="2" w:space="0" w:color="auto"/>
            </w:tcBorders>
            <w:tcMar>
              <w:left w:w="57" w:type="dxa"/>
              <w:right w:w="57" w:type="dxa"/>
            </w:tcMar>
          </w:tcPr>
          <w:p w14:paraId="1575D73D" w14:textId="77777777" w:rsidR="000A3A3D" w:rsidRDefault="000A3A3D" w:rsidP="00682785">
            <w:pPr>
              <w:pStyle w:val="TableTextEntries"/>
            </w:pPr>
            <w:r>
              <w:t>Fully achieved</w:t>
            </w:r>
          </w:p>
        </w:tc>
        <w:tc>
          <w:tcPr>
            <w:tcW w:w="2760" w:type="dxa"/>
            <w:tcBorders>
              <w:top w:val="single" w:sz="2" w:space="0" w:color="auto"/>
              <w:bottom w:val="single" w:sz="2" w:space="0" w:color="auto"/>
              <w:right w:val="single" w:sz="4" w:space="0" w:color="auto"/>
            </w:tcBorders>
            <w:tcMar>
              <w:left w:w="57" w:type="dxa"/>
              <w:right w:w="57" w:type="dxa"/>
            </w:tcMar>
          </w:tcPr>
          <w:p w14:paraId="64CF079D" w14:textId="357713C0" w:rsidR="000A3A3D" w:rsidRDefault="004556CF" w:rsidP="00AD7CED">
            <w:pPr>
              <w:pStyle w:val="TableTextEntries"/>
              <w:numPr>
                <w:ilvl w:val="0"/>
                <w:numId w:val="29"/>
              </w:numPr>
            </w:pPr>
            <w:r>
              <w:t>O</w:t>
            </w:r>
            <w:r w:rsidR="000A3A3D">
              <w:t>ngoing</w:t>
            </w:r>
            <w:r>
              <w:t>.</w:t>
            </w:r>
          </w:p>
        </w:tc>
      </w:tr>
      <w:tr w:rsidR="000A3A3D" w14:paraId="170BE19B" w14:textId="77777777" w:rsidTr="00AB71D0">
        <w:trPr>
          <w:cantSplit/>
        </w:trPr>
        <w:tc>
          <w:tcPr>
            <w:tcW w:w="4320" w:type="dxa"/>
            <w:tcBorders>
              <w:top w:val="single" w:sz="2" w:space="0" w:color="auto"/>
              <w:left w:val="single" w:sz="4" w:space="0" w:color="auto"/>
              <w:bottom w:val="single" w:sz="4" w:space="0" w:color="auto"/>
            </w:tcBorders>
            <w:tcMar>
              <w:left w:w="57" w:type="dxa"/>
              <w:right w:w="57" w:type="dxa"/>
            </w:tcMar>
          </w:tcPr>
          <w:p w14:paraId="1914373E" w14:textId="383B4C63" w:rsidR="000A3A3D" w:rsidRPr="005F6896" w:rsidRDefault="000A3A3D" w:rsidP="00326B4C">
            <w:pPr>
              <w:pStyle w:val="TableTextEntries"/>
              <w:rPr>
                <w:b/>
              </w:rPr>
            </w:pPr>
            <w:r w:rsidRPr="005F6896">
              <w:rPr>
                <w:b/>
              </w:rPr>
              <w:t>200</w:t>
            </w:r>
            <w:r>
              <w:rPr>
                <w:b/>
              </w:rPr>
              <w:t xml:space="preserve">9 </w:t>
            </w:r>
            <w:r w:rsidRPr="005F6896">
              <w:rPr>
                <w:b/>
              </w:rPr>
              <w:t xml:space="preserve">Management </w:t>
            </w:r>
            <w:r w:rsidR="00326B4C">
              <w:rPr>
                <w:b/>
              </w:rPr>
              <w:t>c</w:t>
            </w:r>
            <w:r w:rsidRPr="005F6896">
              <w:rPr>
                <w:b/>
              </w:rPr>
              <w:t>onsequences</w:t>
            </w:r>
          </w:p>
        </w:tc>
        <w:tc>
          <w:tcPr>
            <w:tcW w:w="840" w:type="dxa"/>
            <w:tcBorders>
              <w:top w:val="single" w:sz="2" w:space="0" w:color="auto"/>
              <w:bottom w:val="single" w:sz="4" w:space="0" w:color="auto"/>
            </w:tcBorders>
            <w:tcMar>
              <w:left w:w="57" w:type="dxa"/>
              <w:right w:w="57" w:type="dxa"/>
            </w:tcMar>
          </w:tcPr>
          <w:p w14:paraId="379809A2" w14:textId="77777777" w:rsidR="000A3A3D" w:rsidRDefault="000A3A3D" w:rsidP="00682785">
            <w:pPr>
              <w:pStyle w:val="TableTextEntries"/>
            </w:pPr>
          </w:p>
        </w:tc>
        <w:tc>
          <w:tcPr>
            <w:tcW w:w="2760" w:type="dxa"/>
            <w:tcBorders>
              <w:top w:val="single" w:sz="2" w:space="0" w:color="auto"/>
              <w:bottom w:val="single" w:sz="4" w:space="0" w:color="auto"/>
              <w:right w:val="single" w:sz="4" w:space="0" w:color="auto"/>
            </w:tcBorders>
            <w:tcMar>
              <w:left w:w="57" w:type="dxa"/>
              <w:right w:w="57" w:type="dxa"/>
            </w:tcMar>
          </w:tcPr>
          <w:p w14:paraId="5EB669F6" w14:textId="77777777" w:rsidR="000A3A3D" w:rsidRDefault="000A3A3D" w:rsidP="00682785">
            <w:pPr>
              <w:pStyle w:val="TableTextEntries"/>
            </w:pPr>
          </w:p>
        </w:tc>
      </w:tr>
      <w:tr w:rsidR="000A3A3D" w14:paraId="2CF8FB89" w14:textId="77777777" w:rsidTr="00AB71D0">
        <w:trPr>
          <w:cantSplit/>
          <w:trHeight w:val="562"/>
        </w:trPr>
        <w:tc>
          <w:tcPr>
            <w:tcW w:w="4320" w:type="dxa"/>
            <w:tcBorders>
              <w:top w:val="single" w:sz="4" w:space="0" w:color="auto"/>
              <w:left w:val="single" w:sz="4" w:space="0" w:color="auto"/>
              <w:bottom w:val="single" w:sz="4" w:space="0" w:color="auto"/>
            </w:tcBorders>
            <w:tcMar>
              <w:left w:w="57" w:type="dxa"/>
              <w:right w:w="57" w:type="dxa"/>
            </w:tcMar>
          </w:tcPr>
          <w:p w14:paraId="3DDAA59D" w14:textId="059D7B52" w:rsidR="000A3A3D" w:rsidRPr="00C66B78" w:rsidRDefault="000A3A3D" w:rsidP="00AD7CED">
            <w:pPr>
              <w:pStyle w:val="TableTextEntries"/>
              <w:numPr>
                <w:ilvl w:val="0"/>
                <w:numId w:val="29"/>
              </w:numPr>
            </w:pPr>
            <w:r w:rsidRPr="00B02FEE">
              <w:t>Broaden policy engagement on Kiribati</w:t>
            </w:r>
            <w:r w:rsidR="00E92460">
              <w:t xml:space="preserve"> </w:t>
            </w:r>
            <w:r w:rsidRPr="00B02FEE">
              <w:t xml:space="preserve">through involvement of relevant </w:t>
            </w:r>
            <w:r w:rsidR="004556CF" w:rsidRPr="00B02FEE">
              <w:t>whole</w:t>
            </w:r>
            <w:r w:rsidR="004556CF">
              <w:t>-</w:t>
            </w:r>
            <w:r w:rsidR="004556CF" w:rsidRPr="00B02FEE">
              <w:t>of</w:t>
            </w:r>
            <w:r w:rsidR="004556CF">
              <w:t>-</w:t>
            </w:r>
            <w:r w:rsidRPr="00B02FEE">
              <w:t>government partners</w:t>
            </w:r>
            <w:r w:rsidR="004556CF">
              <w:t>.</w:t>
            </w:r>
            <w:r>
              <w:t xml:space="preserve"> </w:t>
            </w:r>
          </w:p>
        </w:tc>
        <w:tc>
          <w:tcPr>
            <w:tcW w:w="840" w:type="dxa"/>
            <w:tcBorders>
              <w:top w:val="single" w:sz="4" w:space="0" w:color="auto"/>
              <w:bottom w:val="single" w:sz="4" w:space="0" w:color="auto"/>
            </w:tcBorders>
            <w:tcMar>
              <w:left w:w="57" w:type="dxa"/>
              <w:right w:w="57" w:type="dxa"/>
            </w:tcMar>
          </w:tcPr>
          <w:p w14:paraId="08105B9E" w14:textId="77777777" w:rsidR="000A3A3D" w:rsidRDefault="000A3A3D" w:rsidP="00682785">
            <w:pPr>
              <w:pStyle w:val="TableTextEntries"/>
            </w:pPr>
            <w:r>
              <w:t>Partly achieved</w:t>
            </w:r>
          </w:p>
        </w:tc>
        <w:tc>
          <w:tcPr>
            <w:tcW w:w="2760" w:type="dxa"/>
            <w:tcBorders>
              <w:top w:val="single" w:sz="4" w:space="0" w:color="auto"/>
              <w:bottom w:val="single" w:sz="4" w:space="0" w:color="auto"/>
              <w:right w:val="single" w:sz="4" w:space="0" w:color="auto"/>
            </w:tcBorders>
            <w:tcMar>
              <w:left w:w="57" w:type="dxa"/>
              <w:right w:w="57" w:type="dxa"/>
            </w:tcMar>
          </w:tcPr>
          <w:p w14:paraId="76977F3B" w14:textId="77777777" w:rsidR="000A3A3D" w:rsidRDefault="000A3A3D" w:rsidP="00682785">
            <w:pPr>
              <w:pStyle w:val="TableTextEntries"/>
            </w:pPr>
          </w:p>
        </w:tc>
      </w:tr>
      <w:bookmarkEnd w:id="16"/>
      <w:bookmarkEnd w:id="17"/>
    </w:tbl>
    <w:p w14:paraId="66D68F68" w14:textId="77777777" w:rsidR="00B97810" w:rsidRPr="006F3973" w:rsidRDefault="00B97810" w:rsidP="002F18A6">
      <w:pPr>
        <w:pStyle w:val="Subtitle"/>
      </w:pPr>
    </w:p>
    <w:sectPr w:rsidR="00B97810" w:rsidRPr="006F3973" w:rsidSect="00750CFB">
      <w:pgSz w:w="11907" w:h="16840" w:code="9"/>
      <w:pgMar w:top="2381" w:right="2155" w:bottom="851" w:left="1814" w:header="851" w:footer="3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13FD7" w14:textId="77777777" w:rsidR="00A85498" w:rsidRDefault="00A85498" w:rsidP="002F18A6">
      <w:r>
        <w:separator/>
      </w:r>
    </w:p>
    <w:p w14:paraId="33EAE4C3" w14:textId="77777777" w:rsidR="00A85498" w:rsidRDefault="00A85498"/>
    <w:p w14:paraId="5556D585" w14:textId="77777777" w:rsidR="00A85498" w:rsidRDefault="00A85498" w:rsidP="003971B1"/>
  </w:endnote>
  <w:endnote w:type="continuationSeparator" w:id="0">
    <w:p w14:paraId="5C336887" w14:textId="77777777" w:rsidR="00A85498" w:rsidRDefault="00A85498" w:rsidP="002F18A6">
      <w:r>
        <w:continuationSeparator/>
      </w:r>
    </w:p>
    <w:p w14:paraId="3B3DEE91" w14:textId="77777777" w:rsidR="00A85498" w:rsidRDefault="00A85498"/>
    <w:p w14:paraId="51F5FD40" w14:textId="77777777" w:rsidR="00A85498" w:rsidRDefault="00A85498" w:rsidP="00397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Demi">
    <w:altName w:val="Arial Narrow Bold Italic"/>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auto"/>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0163B" w14:textId="77777777" w:rsidR="0053432A" w:rsidRPr="00AD612A" w:rsidRDefault="0053432A">
    <w:pPr>
      <w:pStyle w:val="Footer"/>
    </w:pPr>
    <w:r>
      <w:rPr>
        <w:noProof/>
        <w:lang w:val="en-US" w:eastAsia="en-US"/>
      </w:rPr>
      <w:drawing>
        <wp:anchor distT="0" distB="0" distL="114300" distR="114300" simplePos="0" relativeHeight="251656704" behindDoc="1" locked="0" layoutInCell="0" allowOverlap="1" wp14:anchorId="3407E612" wp14:editId="2E121FA0">
          <wp:simplePos x="0" y="0"/>
          <wp:positionH relativeFrom="page">
            <wp:posOffset>0</wp:posOffset>
          </wp:positionH>
          <wp:positionV relativeFrom="page">
            <wp:posOffset>8821420</wp:posOffset>
          </wp:positionV>
          <wp:extent cx="396240" cy="1508125"/>
          <wp:effectExtent l="0" t="0" r="3810" b="0"/>
          <wp:wrapNone/>
          <wp:docPr id="12" name="Picture 3"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pic:spPr>
              </pic:pic>
            </a:graphicData>
          </a:graphic>
          <wp14:sizeRelH relativeFrom="page">
            <wp14:pctWidth>0</wp14:pctWidth>
          </wp14:sizeRelH>
          <wp14:sizeRelV relativeFrom="page">
            <wp14:pctHeight>0</wp14:pctHeight>
          </wp14:sizeRelV>
        </wp:anchor>
      </w:drawing>
    </w:r>
    <w:r w:rsidRPr="007C1ECE">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95C7F" w14:textId="77777777" w:rsidR="0053432A" w:rsidRPr="004A4B6B" w:rsidRDefault="0053432A" w:rsidP="009F4768">
    <w:pPr>
      <w:pStyle w:val="Footer"/>
    </w:pPr>
    <w:r>
      <w:rPr>
        <w:noProof/>
        <w:lang w:val="en-US" w:eastAsia="en-US"/>
      </w:rPr>
      <w:drawing>
        <wp:anchor distT="0" distB="0" distL="114300" distR="114300" simplePos="0" relativeHeight="251658752" behindDoc="1" locked="0" layoutInCell="1" allowOverlap="1" wp14:anchorId="085403DC" wp14:editId="1A24D462">
          <wp:simplePos x="0" y="0"/>
          <wp:positionH relativeFrom="page">
            <wp:posOffset>0</wp:posOffset>
          </wp:positionH>
          <wp:positionV relativeFrom="page">
            <wp:posOffset>0</wp:posOffset>
          </wp:positionV>
          <wp:extent cx="7560310" cy="10694035"/>
          <wp:effectExtent l="0" t="0" r="2540" b="0"/>
          <wp:wrapNone/>
          <wp:docPr id="13" name="Picture 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pic:spPr>
              </pic:pic>
            </a:graphicData>
          </a:graphic>
          <wp14:sizeRelH relativeFrom="page">
            <wp14:pctWidth>0</wp14:pctWidth>
          </wp14:sizeRelH>
          <wp14:sizeRelV relativeFrom="page">
            <wp14:pctHeight>0</wp14:pctHeight>
          </wp14:sizeRelV>
        </wp:anchor>
      </w:drawing>
    </w:r>
    <w:r>
      <w:tab/>
    </w:r>
    <w:r>
      <w:fldChar w:fldCharType="begin"/>
    </w:r>
    <w:r>
      <w:instrText xml:space="preserve"> STYLEREF  Title </w:instrText>
    </w:r>
    <w:r>
      <w:fldChar w:fldCharType="separate"/>
    </w:r>
    <w:r w:rsidR="00AB71D0">
      <w:rPr>
        <w:noProof/>
      </w:rPr>
      <w:t>Kiribati Annual Program Performance Report 2011</w:t>
    </w:r>
    <w:r>
      <w:rPr>
        <w:noProof/>
      </w:rPr>
      <w:fldChar w:fldCharType="end"/>
    </w:r>
    <w:r>
      <w:rPr>
        <w:rStyle w:val="PageNumber"/>
      </w:rPr>
      <w:tab/>
    </w:r>
    <w:r>
      <w:rPr>
        <w:rStyle w:val="PageNumber"/>
      </w:rPr>
      <w:tab/>
    </w:r>
    <w:r w:rsidRPr="004A26C9">
      <w:rPr>
        <w:rStyle w:val="PageNumber"/>
      </w:rPr>
      <w:fldChar w:fldCharType="begin"/>
    </w:r>
    <w:r w:rsidRPr="004A26C9">
      <w:rPr>
        <w:rStyle w:val="PageNumber"/>
      </w:rPr>
      <w:instrText xml:space="preserve"> PAGE </w:instrText>
    </w:r>
    <w:r w:rsidRPr="004A26C9">
      <w:rPr>
        <w:rStyle w:val="PageNumber"/>
      </w:rPr>
      <w:fldChar w:fldCharType="separate"/>
    </w:r>
    <w:r w:rsidR="00AB71D0">
      <w:rPr>
        <w:rStyle w:val="PageNumber"/>
        <w:noProof/>
      </w:rPr>
      <w:t>3</w:t>
    </w:r>
    <w:r w:rsidRPr="004A26C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4FC02" w14:textId="77777777" w:rsidR="0053432A" w:rsidRDefault="0053432A">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AB71D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2C7BF" w14:textId="77777777" w:rsidR="00A85498" w:rsidRDefault="00A85498" w:rsidP="002F18A6">
      <w:r>
        <w:separator/>
      </w:r>
    </w:p>
    <w:p w14:paraId="1E6591E0" w14:textId="77777777" w:rsidR="00A85498" w:rsidRDefault="00A85498"/>
    <w:p w14:paraId="399A0DA6" w14:textId="77777777" w:rsidR="00A85498" w:rsidRDefault="00A85498" w:rsidP="003971B1"/>
  </w:footnote>
  <w:footnote w:type="continuationSeparator" w:id="0">
    <w:p w14:paraId="3AF2D879" w14:textId="77777777" w:rsidR="00A85498" w:rsidRDefault="00A85498" w:rsidP="002F18A6">
      <w:r>
        <w:continuationSeparator/>
      </w:r>
    </w:p>
    <w:p w14:paraId="11678016" w14:textId="77777777" w:rsidR="00A85498" w:rsidRDefault="00A85498"/>
    <w:p w14:paraId="4AA99592" w14:textId="77777777" w:rsidR="00A85498" w:rsidRDefault="00A85498" w:rsidP="003971B1"/>
  </w:footnote>
  <w:footnote w:id="1">
    <w:p w14:paraId="11F475B1" w14:textId="5851CE5A" w:rsidR="0053432A" w:rsidRDefault="0053432A" w:rsidP="00271E69">
      <w:pPr>
        <w:pStyle w:val="FootnoteText"/>
        <w:ind w:left="0" w:firstLine="0"/>
      </w:pPr>
      <w:r>
        <w:rPr>
          <w:rStyle w:val="FootnoteReference"/>
        </w:rPr>
        <w:footnoteRef/>
      </w:r>
      <w:r>
        <w:t xml:space="preserve"> The estimates in this table differ from other funding tables because they are based on a calendar year—other expenditure is based on the Australian financial year. Also, some of Australia’s multilateral/regional funding has not been captured.</w:t>
      </w:r>
    </w:p>
  </w:footnote>
  <w:footnote w:id="2">
    <w:p w14:paraId="00D8935B" w14:textId="77777777" w:rsidR="0053432A" w:rsidRDefault="0053432A" w:rsidP="00271E69">
      <w:pPr>
        <w:pStyle w:val="FootnoteText"/>
      </w:pPr>
      <w:r>
        <w:rPr>
          <w:rStyle w:val="FootnoteReference"/>
        </w:rPr>
        <w:footnoteRef/>
      </w:r>
      <w:r>
        <w:t xml:space="preserve"> Note that targets will be updated in the next partnership discussions to reflect the new phase of the education program.</w:t>
      </w:r>
    </w:p>
  </w:footnote>
  <w:footnote w:id="3">
    <w:p w14:paraId="0F99C2DC" w14:textId="77777777" w:rsidR="0053432A" w:rsidRDefault="0053432A" w:rsidP="00271E69">
      <w:pPr>
        <w:pStyle w:val="FootnoteText"/>
      </w:pPr>
      <w:r>
        <w:rPr>
          <w:rStyle w:val="FootnoteReference"/>
        </w:rPr>
        <w:footnoteRef/>
      </w:r>
      <w:r>
        <w:t xml:space="preserve"> This target was set before the 2009 baseline</w:t>
      </w:r>
      <w:r w:rsidRPr="00D95BBC">
        <w:t xml:space="preserve"> </w:t>
      </w:r>
      <w:r>
        <w:t>was measured.</w:t>
      </w:r>
    </w:p>
  </w:footnote>
  <w:footnote w:id="4">
    <w:p w14:paraId="18D51943" w14:textId="77777777" w:rsidR="0053432A" w:rsidRDefault="0053432A" w:rsidP="00271E69">
      <w:pPr>
        <w:pStyle w:val="FootnoteText"/>
        <w:ind w:left="0" w:firstLine="0"/>
      </w:pPr>
      <w:r>
        <w:rPr>
          <w:rStyle w:val="FootnoteReference"/>
        </w:rPr>
        <w:footnoteRef/>
      </w:r>
      <w:r>
        <w:t xml:space="preserve"> Indicators are drawn from the 2009 Standard Tests of Achievement for Kiribati. It is reported on six levels, 0 to 5, with 5 being the highest. The student performance level indicates</w:t>
      </w:r>
      <w:r w:rsidRPr="00D1171D">
        <w:t xml:space="preserve"> students who are achieving the learning outcomes at or above satisfactory</w:t>
      </w:r>
      <w:r>
        <w:t xml:space="preserve"> (levels 3 to 5).</w:t>
      </w:r>
    </w:p>
  </w:footnote>
  <w:footnote w:id="5">
    <w:p w14:paraId="77598EFA" w14:textId="3A8DE619" w:rsidR="0053432A" w:rsidRDefault="0053432A" w:rsidP="002F18A6">
      <w:pPr>
        <w:pStyle w:val="FootnoteText"/>
      </w:pPr>
      <w:r>
        <w:rPr>
          <w:rStyle w:val="FootnoteReference"/>
          <w:szCs w:val="12"/>
        </w:rPr>
        <w:footnoteRef/>
      </w:r>
      <w:r>
        <w:t xml:space="preserve"> </w:t>
      </w:r>
      <w:r>
        <w:tab/>
      </w:r>
      <w:r w:rsidRPr="00024139">
        <w:t xml:space="preserve">The International English Language Testing System is an international </w:t>
      </w:r>
      <w:hyperlink r:id="rId1" w:tooltip="Standardised test" w:history="1">
        <w:r w:rsidRPr="00024139">
          <w:t>standardised test</w:t>
        </w:r>
      </w:hyperlink>
      <w:r w:rsidRPr="00024139">
        <w:t xml:space="preserve"> of </w:t>
      </w:r>
      <w:hyperlink r:id="rId2" w:tooltip="English language" w:history="1">
        <w:r w:rsidRPr="00024139">
          <w:t>English language</w:t>
        </w:r>
      </w:hyperlink>
      <w:r w:rsidRPr="00024139">
        <w:t xml:space="preserve"> proficiency. </w:t>
      </w:r>
      <w:r>
        <w:t>The system</w:t>
      </w:r>
      <w:r w:rsidRPr="00024139">
        <w:t xml:space="preserve"> is accepted by most academic institutions and various professional organisations. It is also a requirement for </w:t>
      </w:r>
      <w:r>
        <w:t xml:space="preserve">certain categories of </w:t>
      </w:r>
      <w:r w:rsidRPr="00024139">
        <w:t>immigration to Australia.</w:t>
      </w:r>
      <w:r>
        <w:rPr>
          <w:rFonts w:ascii="Times New Roman" w:hAnsi="Times New Roman"/>
          <w:sz w:val="18"/>
          <w:szCs w:val="18"/>
        </w:rPr>
        <w:t xml:space="preserve"> </w:t>
      </w:r>
    </w:p>
  </w:footnote>
  <w:footnote w:id="6">
    <w:p w14:paraId="41CF0947" w14:textId="7BFE4A60" w:rsidR="0053432A" w:rsidRPr="00265831" w:rsidRDefault="0053432A" w:rsidP="002F18A6">
      <w:pPr>
        <w:pStyle w:val="FootnoteText"/>
        <w:rPr>
          <w:szCs w:val="14"/>
        </w:rPr>
      </w:pPr>
      <w:r>
        <w:rPr>
          <w:rStyle w:val="FootnoteReference"/>
          <w:szCs w:val="12"/>
        </w:rPr>
        <w:footnoteRef/>
      </w:r>
      <w:r>
        <w:t xml:space="preserve"> </w:t>
      </w:r>
      <w:r>
        <w:tab/>
      </w:r>
      <w:r w:rsidRPr="00AD7CED">
        <w:rPr>
          <w:szCs w:val="14"/>
        </w:rPr>
        <w:t>As a percentage of GDP and based on data compiled by the International Monetary Fund 2011 Article IV consultation.</w:t>
      </w:r>
      <w:r w:rsidRPr="00265831">
        <w:rPr>
          <w:szCs w:val="14"/>
        </w:rPr>
        <w:t xml:space="preserve"> </w:t>
      </w:r>
    </w:p>
  </w:footnote>
  <w:footnote w:id="7">
    <w:p w14:paraId="3EA3B765" w14:textId="7B08A23D" w:rsidR="0053432A" w:rsidRDefault="0053432A">
      <w:pPr>
        <w:pStyle w:val="FootnoteText"/>
      </w:pPr>
      <w:r>
        <w:rPr>
          <w:rStyle w:val="FootnoteReference"/>
        </w:rPr>
        <w:footnoteRef/>
      </w:r>
      <w:r>
        <w:t xml:space="preserve"> </w:t>
      </w:r>
      <w:r>
        <w:tab/>
        <w:t xml:space="preserve">For example, fishery revenue </w:t>
      </w:r>
      <w:proofErr w:type="gramStart"/>
      <w:r>
        <w:t>decreased,</w:t>
      </w:r>
      <w:proofErr w:type="gramEnd"/>
      <w:r>
        <w:t xml:space="preserve"> however this is mainly due to the El Nino and La Nina effects which affected fish stocks from migrating through Kiribati waters.</w:t>
      </w:r>
    </w:p>
  </w:footnote>
  <w:footnote w:id="8">
    <w:p w14:paraId="29BF65ED" w14:textId="1545099B" w:rsidR="0053432A" w:rsidRDefault="0053432A" w:rsidP="00B9050D">
      <w:pPr>
        <w:pStyle w:val="FootnoteText"/>
      </w:pPr>
      <w:r>
        <w:rPr>
          <w:rStyle w:val="FootnoteReference"/>
          <w:szCs w:val="12"/>
        </w:rPr>
        <w:footnoteRef/>
      </w:r>
      <w:r>
        <w:t xml:space="preserve"> </w:t>
      </w:r>
      <w:proofErr w:type="gramStart"/>
      <w:r>
        <w:t>Secretariat of the Pacific Community</w:t>
      </w:r>
      <w:r w:rsidRPr="006C0E4D">
        <w:t xml:space="preserve"> </w:t>
      </w:r>
      <w:r>
        <w:t>Tuberculosis Epidemic Control Program Phase II Mid-Term-Review.</w:t>
      </w:r>
      <w:proofErr w:type="gramEnd"/>
    </w:p>
  </w:footnote>
  <w:footnote w:id="9">
    <w:p w14:paraId="2EB5EC79" w14:textId="148E3423" w:rsidR="0053432A" w:rsidRDefault="0053432A">
      <w:pPr>
        <w:pStyle w:val="FootnoteText"/>
      </w:pPr>
      <w:r>
        <w:rPr>
          <w:rStyle w:val="FootnoteReference"/>
        </w:rPr>
        <w:footnoteRef/>
      </w:r>
      <w:r>
        <w:t xml:space="preserve"> </w:t>
      </w:r>
      <w:proofErr w:type="gramStart"/>
      <w:r>
        <w:t>Diphtheria, Typhoid and Pertussis third dose.</w:t>
      </w:r>
      <w:proofErr w:type="gramEnd"/>
      <w:r>
        <w:t xml:space="preserve"> </w:t>
      </w:r>
    </w:p>
  </w:footnote>
  <w:footnote w:id="10">
    <w:p w14:paraId="143D9A5A" w14:textId="04BFAEE8" w:rsidR="0053432A" w:rsidRDefault="0053432A" w:rsidP="00326B4C">
      <w:pPr>
        <w:pStyle w:val="TableDataColumnHeading"/>
        <w:keepNext/>
        <w:spacing w:before="0" w:after="0"/>
        <w:ind w:left="142" w:hanging="142"/>
        <w:jc w:val="left"/>
      </w:pPr>
      <w:r>
        <w:rPr>
          <w:rStyle w:val="FootnoteReference"/>
          <w:szCs w:val="12"/>
        </w:rPr>
        <w:footnoteRef/>
      </w:r>
      <w:r>
        <w:t xml:space="preserve"> </w:t>
      </w:r>
      <w:r w:rsidRPr="00DE6B08">
        <w:rPr>
          <w:rFonts w:ascii="Franklin Gothic Book" w:hAnsi="Franklin Gothic Book"/>
          <w:sz w:val="14"/>
          <w:szCs w:val="14"/>
          <w:lang w:eastAsia="en-AU"/>
        </w:rPr>
        <w:t xml:space="preserve">QAIs are undertaken for significant activities under the </w:t>
      </w:r>
      <w:r>
        <w:rPr>
          <w:rFonts w:ascii="Franklin Gothic Book" w:hAnsi="Franklin Gothic Book"/>
          <w:sz w:val="14"/>
          <w:szCs w:val="14"/>
          <w:lang w:eastAsia="en-AU"/>
        </w:rPr>
        <w:t>p</w:t>
      </w:r>
      <w:r w:rsidRPr="00DE6B08">
        <w:rPr>
          <w:rFonts w:ascii="Franklin Gothic Book" w:hAnsi="Franklin Gothic Book"/>
          <w:sz w:val="14"/>
          <w:szCs w:val="14"/>
          <w:lang w:eastAsia="en-AU"/>
        </w:rPr>
        <w:t xml:space="preserve">artnership </w:t>
      </w:r>
      <w:r>
        <w:rPr>
          <w:rFonts w:ascii="Franklin Gothic Book" w:hAnsi="Franklin Gothic Book"/>
          <w:sz w:val="14"/>
          <w:szCs w:val="14"/>
          <w:lang w:eastAsia="en-AU"/>
        </w:rPr>
        <w:t>p</w:t>
      </w:r>
      <w:r w:rsidRPr="00DE6B08">
        <w:rPr>
          <w:rFonts w:ascii="Franklin Gothic Book" w:hAnsi="Franklin Gothic Book"/>
          <w:sz w:val="14"/>
          <w:szCs w:val="14"/>
          <w:lang w:eastAsia="en-AU"/>
        </w:rPr>
        <w:t xml:space="preserve">riority </w:t>
      </w:r>
      <w:r>
        <w:rPr>
          <w:rFonts w:ascii="Franklin Gothic Book" w:hAnsi="Franklin Gothic Book"/>
          <w:sz w:val="14"/>
          <w:szCs w:val="14"/>
          <w:lang w:eastAsia="en-AU"/>
        </w:rPr>
        <w:t>o</w:t>
      </w:r>
      <w:r w:rsidRPr="00DE6B08">
        <w:rPr>
          <w:rFonts w:ascii="Franklin Gothic Book" w:hAnsi="Franklin Gothic Book"/>
          <w:sz w:val="14"/>
          <w:szCs w:val="14"/>
          <w:lang w:eastAsia="en-AU"/>
        </w:rPr>
        <w:t>utcomes and for significant funding provided to other sectors through other donor and government activities. Financial in</w:t>
      </w:r>
      <w:r>
        <w:rPr>
          <w:rFonts w:ascii="Franklin Gothic Book" w:hAnsi="Franklin Gothic Book"/>
          <w:sz w:val="14"/>
          <w:szCs w:val="14"/>
          <w:lang w:eastAsia="en-AU"/>
        </w:rPr>
        <w:t>formation is at February 2012</w:t>
      </w:r>
      <w:r w:rsidRPr="00DE6B08">
        <w:rPr>
          <w:rFonts w:ascii="Franklin Gothic Book" w:hAnsi="Franklin Gothic Book"/>
          <w:sz w:val="14"/>
          <w:szCs w:val="14"/>
          <w:lang w:eastAsia="en-AU"/>
        </w:rPr>
        <w:t xml:space="preserve"> when QAIs were prepared.</w:t>
      </w:r>
    </w:p>
  </w:footnote>
  <w:footnote w:id="11">
    <w:p w14:paraId="1A57319C" w14:textId="4EB1E67B" w:rsidR="0053432A" w:rsidRDefault="0053432A" w:rsidP="00326B4C">
      <w:pPr>
        <w:pStyle w:val="FootnoteText"/>
        <w:ind w:left="142" w:hanging="142"/>
      </w:pPr>
      <w:r>
        <w:rPr>
          <w:rStyle w:val="FootnoteReference"/>
        </w:rPr>
        <w:footnoteRef/>
      </w:r>
      <w:r>
        <w:t xml:space="preserve"> APPR peer reviewers have disputed the rating of 5 for relevance and feel that this rating should have been much lower in the QAI. This would therefore mean a much lower average rating.</w:t>
      </w:r>
    </w:p>
  </w:footnote>
  <w:footnote w:id="12">
    <w:p w14:paraId="1E16E904" w14:textId="750F176B" w:rsidR="0053432A" w:rsidRDefault="0053432A" w:rsidP="002F18A6">
      <w:pPr>
        <w:pStyle w:val="FootnoteText"/>
      </w:pPr>
      <w:r>
        <w:rPr>
          <w:rStyle w:val="FootnoteReference"/>
          <w:szCs w:val="12"/>
        </w:rPr>
        <w:footnoteRef/>
      </w:r>
      <w:r>
        <w:t xml:space="preserve"> Note last year this QAI just assessed climate change funding.</w:t>
      </w:r>
    </w:p>
  </w:footnote>
  <w:footnote w:id="13">
    <w:p w14:paraId="16F50C9B" w14:textId="3ACC9C22" w:rsidR="0053432A" w:rsidRDefault="0053432A" w:rsidP="00326B4C">
      <w:pPr>
        <w:pStyle w:val="FootnoteText"/>
        <w:ind w:left="142" w:hanging="142"/>
      </w:pPr>
      <w:r>
        <w:rPr>
          <w:rStyle w:val="FootnoteReference"/>
        </w:rPr>
        <w:footnoteRef/>
      </w:r>
      <w:r>
        <w:t xml:space="preserve"> Note that this differs from the ratings under the Progress against Objectives section which measure progress against the partnership indicators.</w:t>
      </w:r>
    </w:p>
  </w:footnote>
  <w:footnote w:id="14">
    <w:p w14:paraId="6FF612E5" w14:textId="79A03F8E" w:rsidR="0053432A" w:rsidRDefault="0053432A" w:rsidP="002F18A6">
      <w:pPr>
        <w:pStyle w:val="FootnoteText"/>
      </w:pPr>
      <w:r>
        <w:rPr>
          <w:rStyle w:val="FootnoteReference"/>
          <w:szCs w:val="12"/>
        </w:rPr>
        <w:footnoteRef/>
      </w:r>
      <w:r>
        <w:t xml:space="preserve"> </w:t>
      </w:r>
      <w:proofErr w:type="gramStart"/>
      <w:r>
        <w:t>And Tuvalu and Nauru.</w:t>
      </w:r>
      <w:proofErr w:type="gramEnd"/>
    </w:p>
  </w:footnote>
  <w:footnote w:id="15">
    <w:p w14:paraId="4E3FD03B" w14:textId="15BAB7B7" w:rsidR="0053432A" w:rsidRDefault="0053432A" w:rsidP="00286FD7">
      <w:pPr>
        <w:pStyle w:val="FootnoteText"/>
      </w:pPr>
      <w:r>
        <w:rPr>
          <w:rStyle w:val="FootnoteReference"/>
          <w:szCs w:val="12"/>
        </w:rPr>
        <w:footnoteRef/>
      </w:r>
      <w:r>
        <w:t xml:space="preserve"> </w:t>
      </w:r>
      <w:proofErr w:type="gramStart"/>
      <w:r>
        <w:t>Finalised June 2012.</w:t>
      </w:r>
      <w:proofErr w:type="gramEnd"/>
    </w:p>
  </w:footnote>
  <w:footnote w:id="16">
    <w:p w14:paraId="012436C9" w14:textId="5F02528A" w:rsidR="0053432A" w:rsidRDefault="0053432A" w:rsidP="00286FD7">
      <w:pPr>
        <w:pStyle w:val="FootnoteText"/>
      </w:pPr>
      <w:r>
        <w:rPr>
          <w:rStyle w:val="FootnoteReference"/>
          <w:szCs w:val="12"/>
        </w:rPr>
        <w:footnoteRef/>
      </w:r>
      <w:r>
        <w:t xml:space="preserve"> This assessment will be conducted by Post with the support of Canberra-based officers if required.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D6791" w14:textId="77777777" w:rsidR="0053432A" w:rsidRDefault="0053432A" w:rsidP="009F4768">
    <w:pPr>
      <w:pStyle w:val="Header"/>
      <w:jc w:val="left"/>
    </w:pPr>
    <w:r>
      <w:rPr>
        <w:noProof/>
        <w:lang w:val="en-US" w:eastAsia="en-US"/>
      </w:rPr>
      <w:drawing>
        <wp:anchor distT="0" distB="0" distL="114300" distR="114300" simplePos="0" relativeHeight="251657728" behindDoc="1" locked="0" layoutInCell="1" allowOverlap="1" wp14:anchorId="7D851727" wp14:editId="75D629A0">
          <wp:simplePos x="0" y="0"/>
          <wp:positionH relativeFrom="page">
            <wp:posOffset>0</wp:posOffset>
          </wp:positionH>
          <wp:positionV relativeFrom="page">
            <wp:posOffset>0</wp:posOffset>
          </wp:positionV>
          <wp:extent cx="7560310" cy="10694035"/>
          <wp:effectExtent l="0" t="0" r="2540" b="0"/>
          <wp:wrapNone/>
          <wp:docPr id="11" name="Picture 11"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7461FEC"/>
    <w:lvl w:ilvl="0">
      <w:start w:val="1"/>
      <w:numFmt w:val="bullet"/>
      <w:pStyle w:val="Bullet"/>
      <w:lvlText w:val=""/>
      <w:lvlJc w:val="left"/>
      <w:pPr>
        <w:tabs>
          <w:tab w:val="num" w:pos="643"/>
        </w:tabs>
        <w:ind w:left="643" w:hanging="360"/>
      </w:pPr>
      <w:rPr>
        <w:rFonts w:ascii="Symbol" w:hAnsi="Symbol" w:hint="default"/>
      </w:rPr>
    </w:lvl>
  </w:abstractNum>
  <w:abstractNum w:abstractNumId="1">
    <w:nsid w:val="036E417F"/>
    <w:multiLevelType w:val="hybridMultilevel"/>
    <w:tmpl w:val="AE6047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96268C"/>
    <w:multiLevelType w:val="hybridMultilevel"/>
    <w:tmpl w:val="8904ED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7DD54DF"/>
    <w:multiLevelType w:val="hybridMultilevel"/>
    <w:tmpl w:val="672A2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2457FB"/>
    <w:multiLevelType w:val="hybridMultilevel"/>
    <w:tmpl w:val="29B0A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DC4814"/>
    <w:multiLevelType w:val="hybridMultilevel"/>
    <w:tmpl w:val="CEF4ECDA"/>
    <w:lvl w:ilvl="0" w:tplc="1EA28006">
      <w:numFmt w:val="bullet"/>
      <w:lvlText w:val=""/>
      <w:lvlJc w:val="left"/>
      <w:pPr>
        <w:ind w:left="720" w:hanging="360"/>
      </w:pPr>
      <w:rPr>
        <w:rFonts w:ascii="Symbol" w:eastAsia="Times New Roman"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6">
    <w:nsid w:val="1E77626F"/>
    <w:multiLevelType w:val="hybridMultilevel"/>
    <w:tmpl w:val="E69C96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20477547"/>
    <w:multiLevelType w:val="hybridMultilevel"/>
    <w:tmpl w:val="F3ACC1B6"/>
    <w:lvl w:ilvl="0" w:tplc="0C090011">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nsid w:val="23065E99"/>
    <w:multiLevelType w:val="hybridMultilevel"/>
    <w:tmpl w:val="A3801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132904"/>
    <w:multiLevelType w:val="hybridMultilevel"/>
    <w:tmpl w:val="650A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344FD3"/>
    <w:multiLevelType w:val="hybridMultilevel"/>
    <w:tmpl w:val="36E2E232"/>
    <w:lvl w:ilvl="0" w:tplc="9FB442A2">
      <w:numFmt w:val="bullet"/>
      <w:lvlText w:val="-"/>
      <w:lvlJc w:val="left"/>
      <w:pPr>
        <w:ind w:left="720" w:hanging="360"/>
      </w:pPr>
      <w:rPr>
        <w:rFonts w:ascii="Book Antiqua" w:eastAsia="Times New Roman" w:hAnsi="Book Antiqu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233B5A"/>
    <w:multiLevelType w:val="hybridMultilevel"/>
    <w:tmpl w:val="39AE148A"/>
    <w:lvl w:ilvl="0" w:tplc="0C090001">
      <w:start w:val="1"/>
      <w:numFmt w:val="bullet"/>
      <w:lvlText w:val=""/>
      <w:lvlJc w:val="left"/>
      <w:pPr>
        <w:ind w:left="1440" w:hanging="360"/>
      </w:pPr>
      <w:rPr>
        <w:rFonts w:ascii="Symbol" w:hAnsi="Symbol" w:hint="default"/>
      </w:rPr>
    </w:lvl>
    <w:lvl w:ilvl="1" w:tplc="416059B2">
      <w:numFmt w:val="bullet"/>
      <w:lvlText w:val="-"/>
      <w:lvlJc w:val="left"/>
      <w:pPr>
        <w:ind w:left="2160" w:hanging="360"/>
      </w:pPr>
      <w:rPr>
        <w:rFonts w:ascii="Georgia" w:eastAsia="Times New Roman" w:hAnsi="Georgia" w:cs="Times New Roman"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D5478D7"/>
    <w:multiLevelType w:val="hybridMultilevel"/>
    <w:tmpl w:val="13B67480"/>
    <w:lvl w:ilvl="0" w:tplc="4D4A6CEC">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2DB113D"/>
    <w:multiLevelType w:val="hybridMultilevel"/>
    <w:tmpl w:val="57D88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2E2A4F"/>
    <w:multiLevelType w:val="multilevel"/>
    <w:tmpl w:val="4BD835A2"/>
    <w:lvl w:ilvl="0">
      <w:numFmt w:val="bullet"/>
      <w:lvlText w:val="-"/>
      <w:lvlJc w:val="left"/>
      <w:pPr>
        <w:ind w:left="720" w:hanging="360"/>
      </w:pPr>
      <w:rPr>
        <w:rFonts w:ascii="Georgia" w:eastAsia="Times New Roman" w:hAnsi="Georgia" w:cs="Times New Roman" w:hint="default"/>
      </w:rPr>
    </w:lvl>
    <w:lvl w:ilvl="1">
      <w:start w:val="1"/>
      <w:numFmt w:val="bullet"/>
      <w:lvlText w:val="o"/>
      <w:lvlJc w:val="left"/>
      <w:pPr>
        <w:ind w:left="0" w:hanging="360"/>
      </w:pPr>
      <w:rPr>
        <w:rFonts w:ascii="Courier New" w:hAnsi="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hint="default"/>
      </w:rPr>
    </w:lvl>
    <w:lvl w:ilvl="8">
      <w:start w:val="1"/>
      <w:numFmt w:val="bullet"/>
      <w:lvlText w:val=""/>
      <w:lvlJc w:val="left"/>
      <w:pPr>
        <w:ind w:left="5040" w:hanging="360"/>
      </w:pPr>
      <w:rPr>
        <w:rFonts w:ascii="Wingdings" w:hAnsi="Wingdings" w:hint="default"/>
      </w:rPr>
    </w:lvl>
  </w:abstractNum>
  <w:abstractNum w:abstractNumId="15">
    <w:nsid w:val="4D5615A0"/>
    <w:multiLevelType w:val="hybridMultilevel"/>
    <w:tmpl w:val="2D02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0B3F5E"/>
    <w:multiLevelType w:val="hybridMultilevel"/>
    <w:tmpl w:val="595E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E7C41D8"/>
    <w:multiLevelType w:val="hybridMultilevel"/>
    <w:tmpl w:val="A3D8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D52A28"/>
    <w:multiLevelType w:val="hybridMultilevel"/>
    <w:tmpl w:val="D20CA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8806541"/>
    <w:multiLevelType w:val="hybridMultilevel"/>
    <w:tmpl w:val="73BEA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98A5214"/>
    <w:multiLevelType w:val="hybridMultilevel"/>
    <w:tmpl w:val="0B5AC610"/>
    <w:lvl w:ilvl="0" w:tplc="FFFFFFFF">
      <w:start w:val="1"/>
      <w:numFmt w:val="decimal"/>
      <w:pStyle w:val="TableListNumber"/>
      <w:lvlText w:val="%1."/>
      <w:lvlJc w:val="left"/>
      <w:pPr>
        <w:tabs>
          <w:tab w:val="num" w:pos="227"/>
        </w:tabs>
        <w:ind w:left="227" w:hanging="22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5E9B2CF2"/>
    <w:multiLevelType w:val="hybridMultilevel"/>
    <w:tmpl w:val="E5C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2">
    <w:nsid w:val="60626816"/>
    <w:multiLevelType w:val="hybridMultilevel"/>
    <w:tmpl w:val="A41EC09A"/>
    <w:lvl w:ilvl="0" w:tplc="4D4A6CEC">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4F264CF"/>
    <w:multiLevelType w:val="multilevel"/>
    <w:tmpl w:val="8D264F3E"/>
    <w:lvl w:ilvl="0">
      <w:start w:val="1"/>
      <w:numFmt w:val="none"/>
      <w:suff w:val="nothing"/>
      <w:lvlText w:val=""/>
      <w:lvlJc w:val="left"/>
      <w:rPr>
        <w:rFonts w:cs="Times New Roman" w:hint="default"/>
        <w:b w:val="0"/>
        <w:i w:val="0"/>
        <w:color w:val="54534A"/>
      </w:rPr>
    </w:lvl>
    <w:lvl w:ilvl="1">
      <w:start w:val="1"/>
      <w:numFmt w:val="none"/>
      <w:pStyle w:val="Heading2"/>
      <w:suff w:val="nothing"/>
      <w:lvlText w:val=""/>
      <w:lvlJc w:val="left"/>
      <w:rPr>
        <w:rFonts w:cs="Times New Roman" w:hint="default"/>
      </w:rPr>
    </w:lvl>
    <w:lvl w:ilvl="2">
      <w:start w:val="1"/>
      <w:numFmt w:val="none"/>
      <w:lvlRestart w:val="0"/>
      <w:pStyle w:val="Heading3"/>
      <w:suff w:val="nothing"/>
      <w:lvlText w:val=""/>
      <w:lvlJc w:val="left"/>
      <w:rPr>
        <w:rFonts w:cs="Times New Roman" w:hint="default"/>
      </w:rPr>
    </w:lvl>
    <w:lvl w:ilvl="3">
      <w:start w:val="1"/>
      <w:numFmt w:val="none"/>
      <w:lvlRestart w:val="0"/>
      <w:pStyle w:val="Heading4"/>
      <w:suff w:val="nothing"/>
      <w:lvlText w:val=""/>
      <w:lvlJc w:val="left"/>
      <w:rPr>
        <w:rFonts w:cs="Times New Roman" w:hint="default"/>
      </w:rPr>
    </w:lvl>
    <w:lvl w:ilvl="4">
      <w:start w:val="1"/>
      <w:numFmt w:val="none"/>
      <w:lvlRestart w:val="0"/>
      <w:pStyle w:val="Heading5"/>
      <w:suff w:val="nothing"/>
      <w:lvlText w:val=""/>
      <w:lvlJc w:val="left"/>
      <w:rPr>
        <w:rFonts w:cs="Times New Roman"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cs="Times New Roman" w:hint="default"/>
        <w:b w:val="0"/>
        <w:i w:val="0"/>
        <w:caps w:val="0"/>
        <w:color w:val="54534A"/>
        <w:position w:val="0"/>
        <w:sz w:val="50"/>
        <w:szCs w:val="50"/>
      </w:rPr>
    </w:lvl>
    <w:lvl w:ilvl="6">
      <w:start w:val="1"/>
      <w:numFmt w:val="none"/>
      <w:lvlRestart w:val="0"/>
      <w:pStyle w:val="Heading7"/>
      <w:suff w:val="nothing"/>
      <w:lvlText w:val=""/>
      <w:lvlJc w:val="left"/>
      <w:rPr>
        <w:rFonts w:cs="Times New Roman" w:hint="default"/>
        <w:caps/>
        <w:sz w:val="22"/>
        <w:szCs w:val="22"/>
      </w:rPr>
    </w:lvl>
    <w:lvl w:ilvl="7">
      <w:start w:val="1"/>
      <w:numFmt w:val="none"/>
      <w:lvlRestart w:val="0"/>
      <w:pStyle w:val="Heading8"/>
      <w:suff w:val="nothing"/>
      <w:lvlText w:val=""/>
      <w:lvlJc w:val="left"/>
      <w:rPr>
        <w:rFonts w:cs="Times New Roman" w:hint="default"/>
      </w:rPr>
    </w:lvl>
    <w:lvl w:ilvl="8">
      <w:start w:val="1"/>
      <w:numFmt w:val="none"/>
      <w:lvlRestart w:val="0"/>
      <w:pStyle w:val="Heading9"/>
      <w:suff w:val="nothing"/>
      <w:lvlText w:val=""/>
      <w:lvlJc w:val="left"/>
      <w:rPr>
        <w:rFonts w:cs="Times New Roman" w:hint="default"/>
      </w:rPr>
    </w:lvl>
  </w:abstractNum>
  <w:abstractNum w:abstractNumId="24">
    <w:nsid w:val="66692240"/>
    <w:multiLevelType w:val="hybridMultilevel"/>
    <w:tmpl w:val="4BD835A2"/>
    <w:lvl w:ilvl="0" w:tplc="416059B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5">
    <w:nsid w:val="677421DD"/>
    <w:multiLevelType w:val="hybridMultilevel"/>
    <w:tmpl w:val="7C3A1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B8C286A"/>
    <w:multiLevelType w:val="hybridMultilevel"/>
    <w:tmpl w:val="C428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DD0265"/>
    <w:multiLevelType w:val="hybridMultilevel"/>
    <w:tmpl w:val="CD722550"/>
    <w:lvl w:ilvl="0" w:tplc="0C090011">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nsid w:val="7B9B4874"/>
    <w:multiLevelType w:val="hybridMultilevel"/>
    <w:tmpl w:val="B678A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
  </w:num>
  <w:num w:numId="3">
    <w:abstractNumId w:val="11"/>
  </w:num>
  <w:num w:numId="4">
    <w:abstractNumId w:val="25"/>
  </w:num>
  <w:num w:numId="5">
    <w:abstractNumId w:val="16"/>
  </w:num>
  <w:num w:numId="6">
    <w:abstractNumId w:val="12"/>
  </w:num>
  <w:num w:numId="7">
    <w:abstractNumId w:val="10"/>
  </w:num>
  <w:num w:numId="8">
    <w:abstractNumId w:val="22"/>
  </w:num>
  <w:num w:numId="9">
    <w:abstractNumId w:val="23"/>
  </w:num>
  <w:num w:numId="10">
    <w:abstractNumId w:val="20"/>
  </w:num>
  <w:num w:numId="11">
    <w:abstractNumId w:val="0"/>
  </w:num>
  <w:num w:numId="12">
    <w:abstractNumId w:val="6"/>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7"/>
  </w:num>
  <w:num w:numId="16">
    <w:abstractNumId w:val="1"/>
  </w:num>
  <w:num w:numId="17">
    <w:abstractNumId w:val="26"/>
  </w:num>
  <w:num w:numId="18">
    <w:abstractNumId w:val="17"/>
  </w:num>
  <w:num w:numId="19">
    <w:abstractNumId w:val="15"/>
  </w:num>
  <w:num w:numId="20">
    <w:abstractNumId w:val="24"/>
  </w:num>
  <w:num w:numId="21">
    <w:abstractNumId w:val="14"/>
  </w:num>
  <w:num w:numId="22">
    <w:abstractNumId w:val="21"/>
  </w:num>
  <w:num w:numId="23">
    <w:abstractNumId w:val="28"/>
  </w:num>
  <w:num w:numId="24">
    <w:abstractNumId w:val="8"/>
  </w:num>
  <w:num w:numId="25">
    <w:abstractNumId w:val="13"/>
  </w:num>
  <w:num w:numId="26">
    <w:abstractNumId w:val="3"/>
  </w:num>
  <w:num w:numId="27">
    <w:abstractNumId w:val="19"/>
  </w:num>
  <w:num w:numId="28">
    <w:abstractNumId w:val="4"/>
  </w:num>
  <w:num w:numId="29">
    <w:abstractNumId w:val="18"/>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8A6"/>
    <w:rsid w:val="00000109"/>
    <w:rsid w:val="00003C86"/>
    <w:rsid w:val="00004FE4"/>
    <w:rsid w:val="000131B1"/>
    <w:rsid w:val="00024139"/>
    <w:rsid w:val="0003259C"/>
    <w:rsid w:val="00032EB6"/>
    <w:rsid w:val="00041F6B"/>
    <w:rsid w:val="00047622"/>
    <w:rsid w:val="00056DE0"/>
    <w:rsid w:val="0006649B"/>
    <w:rsid w:val="00071BE5"/>
    <w:rsid w:val="00074AAE"/>
    <w:rsid w:val="00074EF7"/>
    <w:rsid w:val="0008569F"/>
    <w:rsid w:val="00090129"/>
    <w:rsid w:val="000A3A3D"/>
    <w:rsid w:val="000B2384"/>
    <w:rsid w:val="000B6093"/>
    <w:rsid w:val="000B75B5"/>
    <w:rsid w:val="000C4C3C"/>
    <w:rsid w:val="000D0344"/>
    <w:rsid w:val="000D22E5"/>
    <w:rsid w:val="000E347B"/>
    <w:rsid w:val="000F5DEB"/>
    <w:rsid w:val="0011395C"/>
    <w:rsid w:val="001165B4"/>
    <w:rsid w:val="00120C85"/>
    <w:rsid w:val="001231B0"/>
    <w:rsid w:val="001411F9"/>
    <w:rsid w:val="0014249B"/>
    <w:rsid w:val="0014362D"/>
    <w:rsid w:val="001538BA"/>
    <w:rsid w:val="00157BD3"/>
    <w:rsid w:val="00170916"/>
    <w:rsid w:val="00174585"/>
    <w:rsid w:val="00177C69"/>
    <w:rsid w:val="00184478"/>
    <w:rsid w:val="001A3382"/>
    <w:rsid w:val="001A3403"/>
    <w:rsid w:val="001A3443"/>
    <w:rsid w:val="001B1881"/>
    <w:rsid w:val="001C7E6F"/>
    <w:rsid w:val="001D4A52"/>
    <w:rsid w:val="001E08E2"/>
    <w:rsid w:val="001E2A79"/>
    <w:rsid w:val="001F68CD"/>
    <w:rsid w:val="001F7553"/>
    <w:rsid w:val="00201E71"/>
    <w:rsid w:val="002068C4"/>
    <w:rsid w:val="0021007E"/>
    <w:rsid w:val="00212039"/>
    <w:rsid w:val="00212B25"/>
    <w:rsid w:val="002164BA"/>
    <w:rsid w:val="00216E1E"/>
    <w:rsid w:val="00223220"/>
    <w:rsid w:val="0022399E"/>
    <w:rsid w:val="002275CF"/>
    <w:rsid w:val="00231B22"/>
    <w:rsid w:val="00236865"/>
    <w:rsid w:val="00241D1D"/>
    <w:rsid w:val="002444A0"/>
    <w:rsid w:val="00244E50"/>
    <w:rsid w:val="002452D0"/>
    <w:rsid w:val="00246682"/>
    <w:rsid w:val="00250744"/>
    <w:rsid w:val="00254B91"/>
    <w:rsid w:val="00265831"/>
    <w:rsid w:val="00270273"/>
    <w:rsid w:val="00271E69"/>
    <w:rsid w:val="00275604"/>
    <w:rsid w:val="0027794B"/>
    <w:rsid w:val="002816B6"/>
    <w:rsid w:val="00286FD7"/>
    <w:rsid w:val="00294075"/>
    <w:rsid w:val="002A072D"/>
    <w:rsid w:val="002A28CD"/>
    <w:rsid w:val="002A5A44"/>
    <w:rsid w:val="002B7278"/>
    <w:rsid w:val="002C1967"/>
    <w:rsid w:val="002D0CDD"/>
    <w:rsid w:val="002D1666"/>
    <w:rsid w:val="002E2E35"/>
    <w:rsid w:val="002F18A6"/>
    <w:rsid w:val="002F2931"/>
    <w:rsid w:val="00307927"/>
    <w:rsid w:val="0031173E"/>
    <w:rsid w:val="00313B40"/>
    <w:rsid w:val="00326B4C"/>
    <w:rsid w:val="0033339C"/>
    <w:rsid w:val="00334DF7"/>
    <w:rsid w:val="0033505F"/>
    <w:rsid w:val="003359A1"/>
    <w:rsid w:val="003446CB"/>
    <w:rsid w:val="003456D0"/>
    <w:rsid w:val="00351078"/>
    <w:rsid w:val="00351707"/>
    <w:rsid w:val="00371313"/>
    <w:rsid w:val="0037669A"/>
    <w:rsid w:val="003904FA"/>
    <w:rsid w:val="003952D2"/>
    <w:rsid w:val="003971B1"/>
    <w:rsid w:val="003B2537"/>
    <w:rsid w:val="003C20D1"/>
    <w:rsid w:val="003D7576"/>
    <w:rsid w:val="003E479D"/>
    <w:rsid w:val="003E4C57"/>
    <w:rsid w:val="003E6321"/>
    <w:rsid w:val="003F4073"/>
    <w:rsid w:val="003F68BB"/>
    <w:rsid w:val="00410CE5"/>
    <w:rsid w:val="00412A65"/>
    <w:rsid w:val="0041715E"/>
    <w:rsid w:val="00417DA1"/>
    <w:rsid w:val="00427F0E"/>
    <w:rsid w:val="00450135"/>
    <w:rsid w:val="004556CF"/>
    <w:rsid w:val="004569A8"/>
    <w:rsid w:val="004572D3"/>
    <w:rsid w:val="00462194"/>
    <w:rsid w:val="00474019"/>
    <w:rsid w:val="00485409"/>
    <w:rsid w:val="00487F93"/>
    <w:rsid w:val="00493494"/>
    <w:rsid w:val="004A213C"/>
    <w:rsid w:val="004A26C9"/>
    <w:rsid w:val="004A4B6B"/>
    <w:rsid w:val="004B5DC3"/>
    <w:rsid w:val="004C0D97"/>
    <w:rsid w:val="004C0E15"/>
    <w:rsid w:val="004D0A80"/>
    <w:rsid w:val="004E647C"/>
    <w:rsid w:val="004F0540"/>
    <w:rsid w:val="004F461A"/>
    <w:rsid w:val="004F58D0"/>
    <w:rsid w:val="004F78AA"/>
    <w:rsid w:val="005022A8"/>
    <w:rsid w:val="00506014"/>
    <w:rsid w:val="00507F1A"/>
    <w:rsid w:val="00511543"/>
    <w:rsid w:val="00531667"/>
    <w:rsid w:val="0053290D"/>
    <w:rsid w:val="0053432A"/>
    <w:rsid w:val="00536E50"/>
    <w:rsid w:val="00540382"/>
    <w:rsid w:val="00543F26"/>
    <w:rsid w:val="0054528F"/>
    <w:rsid w:val="00557259"/>
    <w:rsid w:val="005740A6"/>
    <w:rsid w:val="00576515"/>
    <w:rsid w:val="0058301B"/>
    <w:rsid w:val="0058469E"/>
    <w:rsid w:val="005879FD"/>
    <w:rsid w:val="00593ED0"/>
    <w:rsid w:val="005B33D6"/>
    <w:rsid w:val="005C4ACE"/>
    <w:rsid w:val="005C5EB4"/>
    <w:rsid w:val="005D7539"/>
    <w:rsid w:val="005E5C60"/>
    <w:rsid w:val="005E793A"/>
    <w:rsid w:val="005F6896"/>
    <w:rsid w:val="00603278"/>
    <w:rsid w:val="0061407A"/>
    <w:rsid w:val="00624846"/>
    <w:rsid w:val="006256BA"/>
    <w:rsid w:val="0063085F"/>
    <w:rsid w:val="006465AB"/>
    <w:rsid w:val="006468C5"/>
    <w:rsid w:val="006520D2"/>
    <w:rsid w:val="00667ED7"/>
    <w:rsid w:val="00672B8F"/>
    <w:rsid w:val="00673DC9"/>
    <w:rsid w:val="00676389"/>
    <w:rsid w:val="0067772C"/>
    <w:rsid w:val="00682785"/>
    <w:rsid w:val="00697122"/>
    <w:rsid w:val="006A3D0A"/>
    <w:rsid w:val="006A52C1"/>
    <w:rsid w:val="006C0E4D"/>
    <w:rsid w:val="006C0ED3"/>
    <w:rsid w:val="006D1E43"/>
    <w:rsid w:val="006D6682"/>
    <w:rsid w:val="006D7AC4"/>
    <w:rsid w:val="006E1F82"/>
    <w:rsid w:val="006F0C44"/>
    <w:rsid w:val="006F0F23"/>
    <w:rsid w:val="006F3973"/>
    <w:rsid w:val="0070590F"/>
    <w:rsid w:val="0071413D"/>
    <w:rsid w:val="0071534E"/>
    <w:rsid w:val="00717F37"/>
    <w:rsid w:val="007259E6"/>
    <w:rsid w:val="007416FE"/>
    <w:rsid w:val="00744918"/>
    <w:rsid w:val="00745012"/>
    <w:rsid w:val="00745D89"/>
    <w:rsid w:val="00750CFB"/>
    <w:rsid w:val="00751AAA"/>
    <w:rsid w:val="00764EC7"/>
    <w:rsid w:val="00773794"/>
    <w:rsid w:val="007903AF"/>
    <w:rsid w:val="00790E95"/>
    <w:rsid w:val="0079139D"/>
    <w:rsid w:val="00792C5F"/>
    <w:rsid w:val="0079750C"/>
    <w:rsid w:val="007A040C"/>
    <w:rsid w:val="007A0B76"/>
    <w:rsid w:val="007A57DF"/>
    <w:rsid w:val="007A58E6"/>
    <w:rsid w:val="007B4668"/>
    <w:rsid w:val="007B474F"/>
    <w:rsid w:val="007C1ECE"/>
    <w:rsid w:val="007C5CA4"/>
    <w:rsid w:val="007C5D12"/>
    <w:rsid w:val="007D00EC"/>
    <w:rsid w:val="007D3C11"/>
    <w:rsid w:val="007E311C"/>
    <w:rsid w:val="007E50A6"/>
    <w:rsid w:val="007F0548"/>
    <w:rsid w:val="007F6447"/>
    <w:rsid w:val="00801A2B"/>
    <w:rsid w:val="00802006"/>
    <w:rsid w:val="008030D5"/>
    <w:rsid w:val="00804C88"/>
    <w:rsid w:val="0081032C"/>
    <w:rsid w:val="0081098E"/>
    <w:rsid w:val="00815832"/>
    <w:rsid w:val="0083214B"/>
    <w:rsid w:val="00835AA7"/>
    <w:rsid w:val="00851544"/>
    <w:rsid w:val="0087557A"/>
    <w:rsid w:val="0088795A"/>
    <w:rsid w:val="00887FD1"/>
    <w:rsid w:val="008C20D2"/>
    <w:rsid w:val="008D1704"/>
    <w:rsid w:val="008D71CB"/>
    <w:rsid w:val="008E6C64"/>
    <w:rsid w:val="008F29B7"/>
    <w:rsid w:val="009011DF"/>
    <w:rsid w:val="009122B6"/>
    <w:rsid w:val="00913507"/>
    <w:rsid w:val="00917DC7"/>
    <w:rsid w:val="009201BE"/>
    <w:rsid w:val="00934759"/>
    <w:rsid w:val="00944983"/>
    <w:rsid w:val="009517FF"/>
    <w:rsid w:val="0097725E"/>
    <w:rsid w:val="0098006B"/>
    <w:rsid w:val="00986FF8"/>
    <w:rsid w:val="00993D4D"/>
    <w:rsid w:val="00994782"/>
    <w:rsid w:val="00994FF8"/>
    <w:rsid w:val="009C1C1F"/>
    <w:rsid w:val="009C3F8D"/>
    <w:rsid w:val="009E7F0F"/>
    <w:rsid w:val="009F4106"/>
    <w:rsid w:val="009F4768"/>
    <w:rsid w:val="00A178BE"/>
    <w:rsid w:val="00A25E59"/>
    <w:rsid w:val="00A36A95"/>
    <w:rsid w:val="00A5072A"/>
    <w:rsid w:val="00A519C5"/>
    <w:rsid w:val="00A521AE"/>
    <w:rsid w:val="00A52C7B"/>
    <w:rsid w:val="00A57DB8"/>
    <w:rsid w:val="00A61630"/>
    <w:rsid w:val="00A6320C"/>
    <w:rsid w:val="00A6377B"/>
    <w:rsid w:val="00A63B59"/>
    <w:rsid w:val="00A769ED"/>
    <w:rsid w:val="00A85498"/>
    <w:rsid w:val="00A94EFF"/>
    <w:rsid w:val="00AA0B7C"/>
    <w:rsid w:val="00AA29AA"/>
    <w:rsid w:val="00AA33F9"/>
    <w:rsid w:val="00AA518A"/>
    <w:rsid w:val="00AA5648"/>
    <w:rsid w:val="00AA7310"/>
    <w:rsid w:val="00AB179F"/>
    <w:rsid w:val="00AB2450"/>
    <w:rsid w:val="00AB5430"/>
    <w:rsid w:val="00AB71D0"/>
    <w:rsid w:val="00AC354D"/>
    <w:rsid w:val="00AD0E9F"/>
    <w:rsid w:val="00AD26F5"/>
    <w:rsid w:val="00AD5615"/>
    <w:rsid w:val="00AD612A"/>
    <w:rsid w:val="00AD7CED"/>
    <w:rsid w:val="00AE1E47"/>
    <w:rsid w:val="00AE63D1"/>
    <w:rsid w:val="00AE6E09"/>
    <w:rsid w:val="00AF07EF"/>
    <w:rsid w:val="00AF1561"/>
    <w:rsid w:val="00AF63F8"/>
    <w:rsid w:val="00B01F36"/>
    <w:rsid w:val="00B02FEE"/>
    <w:rsid w:val="00B07739"/>
    <w:rsid w:val="00B2444B"/>
    <w:rsid w:val="00B41294"/>
    <w:rsid w:val="00B46DDB"/>
    <w:rsid w:val="00B64025"/>
    <w:rsid w:val="00B73F1E"/>
    <w:rsid w:val="00B7690E"/>
    <w:rsid w:val="00B8002A"/>
    <w:rsid w:val="00B82283"/>
    <w:rsid w:val="00B831DA"/>
    <w:rsid w:val="00B9050D"/>
    <w:rsid w:val="00B90EFF"/>
    <w:rsid w:val="00B97810"/>
    <w:rsid w:val="00BA20E3"/>
    <w:rsid w:val="00BA6040"/>
    <w:rsid w:val="00BC220E"/>
    <w:rsid w:val="00BC2843"/>
    <w:rsid w:val="00BC36DE"/>
    <w:rsid w:val="00BC7C8D"/>
    <w:rsid w:val="00BD2FB2"/>
    <w:rsid w:val="00BE1B5C"/>
    <w:rsid w:val="00BF3B32"/>
    <w:rsid w:val="00C032EC"/>
    <w:rsid w:val="00C05EB3"/>
    <w:rsid w:val="00C130DF"/>
    <w:rsid w:val="00C137FC"/>
    <w:rsid w:val="00C1593F"/>
    <w:rsid w:val="00C22926"/>
    <w:rsid w:val="00C4040E"/>
    <w:rsid w:val="00C6259F"/>
    <w:rsid w:val="00C66B78"/>
    <w:rsid w:val="00C744FA"/>
    <w:rsid w:val="00C76E50"/>
    <w:rsid w:val="00C84DA0"/>
    <w:rsid w:val="00C84F09"/>
    <w:rsid w:val="00CA0DFE"/>
    <w:rsid w:val="00CA0FDE"/>
    <w:rsid w:val="00CA49F8"/>
    <w:rsid w:val="00CB0F1E"/>
    <w:rsid w:val="00CB328F"/>
    <w:rsid w:val="00CB6221"/>
    <w:rsid w:val="00CB6290"/>
    <w:rsid w:val="00CC2F6E"/>
    <w:rsid w:val="00CE02C9"/>
    <w:rsid w:val="00CE1CA1"/>
    <w:rsid w:val="00CE51CD"/>
    <w:rsid w:val="00CE5C01"/>
    <w:rsid w:val="00CE5C31"/>
    <w:rsid w:val="00CE71F6"/>
    <w:rsid w:val="00D04E80"/>
    <w:rsid w:val="00D1171D"/>
    <w:rsid w:val="00D14C7F"/>
    <w:rsid w:val="00D40A86"/>
    <w:rsid w:val="00D50554"/>
    <w:rsid w:val="00D53935"/>
    <w:rsid w:val="00D64D63"/>
    <w:rsid w:val="00D7045B"/>
    <w:rsid w:val="00D7139C"/>
    <w:rsid w:val="00D8349B"/>
    <w:rsid w:val="00D9593E"/>
    <w:rsid w:val="00D95BBC"/>
    <w:rsid w:val="00DA2480"/>
    <w:rsid w:val="00DA30E7"/>
    <w:rsid w:val="00DA5BB4"/>
    <w:rsid w:val="00DB2035"/>
    <w:rsid w:val="00DB4307"/>
    <w:rsid w:val="00DB5763"/>
    <w:rsid w:val="00DC5594"/>
    <w:rsid w:val="00DD782B"/>
    <w:rsid w:val="00DE6B08"/>
    <w:rsid w:val="00DF1246"/>
    <w:rsid w:val="00E271CD"/>
    <w:rsid w:val="00E30B06"/>
    <w:rsid w:val="00E32688"/>
    <w:rsid w:val="00E37508"/>
    <w:rsid w:val="00E41B9E"/>
    <w:rsid w:val="00E523EF"/>
    <w:rsid w:val="00E65BB7"/>
    <w:rsid w:val="00E67FCD"/>
    <w:rsid w:val="00E72264"/>
    <w:rsid w:val="00E73F10"/>
    <w:rsid w:val="00E756D2"/>
    <w:rsid w:val="00E84E14"/>
    <w:rsid w:val="00E87AB4"/>
    <w:rsid w:val="00E92460"/>
    <w:rsid w:val="00EA0B1B"/>
    <w:rsid w:val="00EA332D"/>
    <w:rsid w:val="00EA7FA0"/>
    <w:rsid w:val="00EC25AA"/>
    <w:rsid w:val="00EC3418"/>
    <w:rsid w:val="00EE6306"/>
    <w:rsid w:val="00EF74FA"/>
    <w:rsid w:val="00F03C72"/>
    <w:rsid w:val="00F13E6B"/>
    <w:rsid w:val="00F22500"/>
    <w:rsid w:val="00F32A29"/>
    <w:rsid w:val="00F63A7B"/>
    <w:rsid w:val="00F847D2"/>
    <w:rsid w:val="00F90DF9"/>
    <w:rsid w:val="00F932A8"/>
    <w:rsid w:val="00FA015E"/>
    <w:rsid w:val="00FA3CFE"/>
    <w:rsid w:val="00FA752A"/>
    <w:rsid w:val="00FB31A5"/>
    <w:rsid w:val="00FD3D0A"/>
    <w:rsid w:val="00FE0E1E"/>
    <w:rsid w:val="00FE55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D7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F18A6"/>
    <w:rPr>
      <w:rFonts w:ascii="Times New Roman" w:eastAsia="Times New Roman" w:hAnsi="Times New Roman"/>
      <w:sz w:val="20"/>
      <w:szCs w:val="24"/>
    </w:rPr>
  </w:style>
  <w:style w:type="paragraph" w:styleId="Heading1">
    <w:name w:val="heading 1"/>
    <w:basedOn w:val="Normal"/>
    <w:next w:val="Normal"/>
    <w:link w:val="Heading1Char"/>
    <w:uiPriority w:val="99"/>
    <w:qFormat/>
    <w:rsid w:val="002F18A6"/>
    <w:pPr>
      <w:keepNext/>
      <w:keepLines/>
      <w:spacing w:before="480"/>
      <w:outlineLvl w:val="0"/>
    </w:pPr>
    <w:rPr>
      <w:rFonts w:ascii="Cambria" w:hAnsi="Cambria"/>
      <w:b/>
      <w:bCs/>
      <w:color w:val="365F91"/>
      <w:sz w:val="28"/>
      <w:szCs w:val="28"/>
    </w:rPr>
  </w:style>
  <w:style w:type="paragraph" w:styleId="Heading2">
    <w:name w:val="heading 2"/>
    <w:basedOn w:val="Heading1"/>
    <w:next w:val="BodyText"/>
    <w:link w:val="Heading2Char"/>
    <w:uiPriority w:val="99"/>
    <w:qFormat/>
    <w:rsid w:val="002F18A6"/>
    <w:pPr>
      <w:keepNext w:val="0"/>
      <w:keepLines w:val="0"/>
      <w:numPr>
        <w:ilvl w:val="1"/>
        <w:numId w:val="1"/>
      </w:numPr>
      <w:spacing w:before="380" w:line="280" w:lineRule="atLeast"/>
      <w:outlineLvl w:val="1"/>
    </w:pPr>
    <w:rPr>
      <w:rFonts w:ascii="Franklin Gothic Medium" w:hAnsi="Franklin Gothic Medium"/>
      <w:b w:val="0"/>
      <w:bCs w:val="0"/>
      <w:color w:val="5A9A98"/>
      <w:sz w:val="24"/>
      <w:szCs w:val="24"/>
    </w:rPr>
  </w:style>
  <w:style w:type="paragraph" w:styleId="Heading3">
    <w:name w:val="heading 3"/>
    <w:basedOn w:val="Heading2"/>
    <w:next w:val="BodyText"/>
    <w:link w:val="Heading3Char"/>
    <w:uiPriority w:val="99"/>
    <w:qFormat/>
    <w:rsid w:val="002F18A6"/>
    <w:pPr>
      <w:numPr>
        <w:ilvl w:val="2"/>
      </w:numPr>
      <w:spacing w:before="300" w:line="260" w:lineRule="atLeast"/>
      <w:outlineLvl w:val="2"/>
    </w:pPr>
    <w:rPr>
      <w:color w:val="54534A"/>
      <w:sz w:val="22"/>
      <w:szCs w:val="22"/>
    </w:rPr>
  </w:style>
  <w:style w:type="paragraph" w:styleId="Heading4">
    <w:name w:val="heading 4"/>
    <w:basedOn w:val="BodyText"/>
    <w:next w:val="BodyText"/>
    <w:link w:val="Heading4Char"/>
    <w:uiPriority w:val="99"/>
    <w:qFormat/>
    <w:rsid w:val="002F18A6"/>
    <w:pPr>
      <w:numPr>
        <w:ilvl w:val="3"/>
        <w:numId w:val="1"/>
      </w:numPr>
      <w:spacing w:before="320" w:after="0"/>
      <w:outlineLvl w:val="3"/>
    </w:pPr>
    <w:rPr>
      <w:b/>
      <w:color w:val="54534A"/>
      <w:sz w:val="22"/>
      <w:szCs w:val="22"/>
    </w:rPr>
  </w:style>
  <w:style w:type="paragraph" w:styleId="Heading5">
    <w:name w:val="heading 5"/>
    <w:basedOn w:val="BodyText"/>
    <w:next w:val="BodyText"/>
    <w:link w:val="Heading5Char"/>
    <w:uiPriority w:val="99"/>
    <w:qFormat/>
    <w:rsid w:val="002F18A6"/>
    <w:pPr>
      <w:keepNext/>
      <w:numPr>
        <w:ilvl w:val="4"/>
        <w:numId w:val="1"/>
      </w:numPr>
      <w:spacing w:before="320" w:after="0"/>
      <w:outlineLvl w:val="4"/>
    </w:pPr>
    <w:rPr>
      <w:b/>
      <w:color w:val="54534A"/>
    </w:rPr>
  </w:style>
  <w:style w:type="paragraph" w:styleId="Heading6">
    <w:name w:val="heading 6"/>
    <w:basedOn w:val="Heading1"/>
    <w:next w:val="BodyText"/>
    <w:link w:val="Heading6Char"/>
    <w:uiPriority w:val="99"/>
    <w:qFormat/>
    <w:rsid w:val="002F18A6"/>
    <w:pPr>
      <w:keepNext w:val="0"/>
      <w:keepLines w:val="0"/>
      <w:numPr>
        <w:ilvl w:val="5"/>
        <w:numId w:val="1"/>
      </w:numPr>
      <w:spacing w:before="80" w:after="80" w:line="280" w:lineRule="atLeast"/>
      <w:outlineLvl w:val="5"/>
    </w:pPr>
    <w:rPr>
      <w:rFonts w:ascii="Georgia" w:hAnsi="Georgia"/>
      <w:b w:val="0"/>
      <w:color w:val="auto"/>
      <w:sz w:val="19"/>
      <w:szCs w:val="19"/>
    </w:rPr>
  </w:style>
  <w:style w:type="paragraph" w:styleId="Heading7">
    <w:name w:val="heading 7"/>
    <w:basedOn w:val="Heading2"/>
    <w:next w:val="BodyText"/>
    <w:link w:val="Heading7Char"/>
    <w:uiPriority w:val="99"/>
    <w:qFormat/>
    <w:rsid w:val="002F18A6"/>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uiPriority w:val="99"/>
    <w:qFormat/>
    <w:rsid w:val="002F18A6"/>
    <w:pPr>
      <w:numPr>
        <w:ilvl w:val="7"/>
      </w:numPr>
      <w:outlineLvl w:val="7"/>
    </w:pPr>
  </w:style>
  <w:style w:type="paragraph" w:styleId="Heading9">
    <w:name w:val="heading 9"/>
    <w:basedOn w:val="Heading4"/>
    <w:next w:val="BodyText"/>
    <w:link w:val="Heading9Char"/>
    <w:uiPriority w:val="99"/>
    <w:qFormat/>
    <w:rsid w:val="002F18A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18A6"/>
    <w:rPr>
      <w:rFonts w:ascii="Cambria" w:hAnsi="Cambria" w:cs="Times New Roman"/>
      <w:b/>
      <w:bCs/>
      <w:color w:val="365F91"/>
      <w:sz w:val="28"/>
      <w:szCs w:val="28"/>
      <w:lang w:eastAsia="en-AU"/>
    </w:rPr>
  </w:style>
  <w:style w:type="character" w:customStyle="1" w:styleId="Heading2Char">
    <w:name w:val="Heading 2 Char"/>
    <w:basedOn w:val="DefaultParagraphFont"/>
    <w:link w:val="Heading2"/>
    <w:uiPriority w:val="99"/>
    <w:locked/>
    <w:rsid w:val="002F18A6"/>
    <w:rPr>
      <w:rFonts w:ascii="Franklin Gothic Medium" w:hAnsi="Franklin Gothic Medium" w:cs="Times New Roman"/>
      <w:color w:val="5A9A98"/>
      <w:sz w:val="24"/>
      <w:szCs w:val="24"/>
    </w:rPr>
  </w:style>
  <w:style w:type="character" w:customStyle="1" w:styleId="Heading3Char">
    <w:name w:val="Heading 3 Char"/>
    <w:basedOn w:val="DefaultParagraphFont"/>
    <w:link w:val="Heading3"/>
    <w:uiPriority w:val="99"/>
    <w:locked/>
    <w:rsid w:val="002F18A6"/>
    <w:rPr>
      <w:rFonts w:ascii="Franklin Gothic Medium" w:hAnsi="Franklin Gothic Medium" w:cs="Times New Roman"/>
      <w:color w:val="54534A"/>
      <w:lang w:eastAsia="en-AU"/>
    </w:rPr>
  </w:style>
  <w:style w:type="character" w:customStyle="1" w:styleId="Heading4Char">
    <w:name w:val="Heading 4 Char"/>
    <w:basedOn w:val="DefaultParagraphFont"/>
    <w:link w:val="Heading4"/>
    <w:uiPriority w:val="99"/>
    <w:locked/>
    <w:rsid w:val="002F18A6"/>
    <w:rPr>
      <w:rFonts w:ascii="Georgia" w:hAnsi="Georgia" w:cs="Times New Roman"/>
      <w:b/>
      <w:color w:val="54534A"/>
      <w:lang w:eastAsia="en-AU"/>
    </w:rPr>
  </w:style>
  <w:style w:type="character" w:customStyle="1" w:styleId="Heading5Char">
    <w:name w:val="Heading 5 Char"/>
    <w:basedOn w:val="DefaultParagraphFont"/>
    <w:link w:val="Heading5"/>
    <w:uiPriority w:val="99"/>
    <w:locked/>
    <w:rsid w:val="002F18A6"/>
    <w:rPr>
      <w:rFonts w:ascii="Georgia" w:hAnsi="Georgia" w:cs="Times New Roman"/>
      <w:b/>
      <w:color w:val="54534A"/>
      <w:sz w:val="19"/>
      <w:szCs w:val="19"/>
      <w:lang w:eastAsia="en-AU"/>
    </w:rPr>
  </w:style>
  <w:style w:type="character" w:customStyle="1" w:styleId="Heading6Char">
    <w:name w:val="Heading 6 Char"/>
    <w:basedOn w:val="DefaultParagraphFont"/>
    <w:link w:val="Heading6"/>
    <w:uiPriority w:val="99"/>
    <w:locked/>
    <w:rsid w:val="002F18A6"/>
    <w:rPr>
      <w:rFonts w:ascii="Georgia" w:hAnsi="Georgia" w:cs="Times New Roman"/>
      <w:bCs/>
      <w:sz w:val="19"/>
      <w:szCs w:val="19"/>
      <w:lang w:eastAsia="en-AU"/>
    </w:rPr>
  </w:style>
  <w:style w:type="character" w:customStyle="1" w:styleId="Heading7Char">
    <w:name w:val="Heading 7 Char"/>
    <w:basedOn w:val="DefaultParagraphFont"/>
    <w:link w:val="Heading7"/>
    <w:uiPriority w:val="99"/>
    <w:locked/>
    <w:rsid w:val="002F18A6"/>
    <w:rPr>
      <w:rFonts w:ascii="Franklin Gothic Demi" w:hAnsi="Franklin Gothic Demi" w:cs="Times New Roman"/>
      <w:color w:val="5A9A98"/>
      <w:sz w:val="28"/>
      <w:szCs w:val="28"/>
      <w:lang w:eastAsia="en-AU"/>
    </w:rPr>
  </w:style>
  <w:style w:type="character" w:customStyle="1" w:styleId="Heading8Char">
    <w:name w:val="Heading 8 Char"/>
    <w:basedOn w:val="DefaultParagraphFont"/>
    <w:link w:val="Heading8"/>
    <w:uiPriority w:val="99"/>
    <w:locked/>
    <w:rsid w:val="002F18A6"/>
    <w:rPr>
      <w:rFonts w:ascii="Franklin Gothic Medium" w:hAnsi="Franklin Gothic Medium" w:cs="Times New Roman"/>
      <w:color w:val="54534A"/>
      <w:lang w:eastAsia="en-AU"/>
    </w:rPr>
  </w:style>
  <w:style w:type="character" w:customStyle="1" w:styleId="Heading9Char">
    <w:name w:val="Heading 9 Char"/>
    <w:basedOn w:val="DefaultParagraphFont"/>
    <w:link w:val="Heading9"/>
    <w:uiPriority w:val="99"/>
    <w:locked/>
    <w:rsid w:val="002F18A6"/>
    <w:rPr>
      <w:rFonts w:ascii="Georgia" w:hAnsi="Georgia" w:cs="Times New Roman"/>
      <w:b/>
      <w:color w:val="54534A"/>
      <w:lang w:eastAsia="en-AU"/>
    </w:rPr>
  </w:style>
  <w:style w:type="paragraph" w:styleId="BodyText">
    <w:name w:val="Body Text"/>
    <w:basedOn w:val="Normal"/>
    <w:link w:val="BodyTextChar"/>
    <w:uiPriority w:val="99"/>
    <w:rsid w:val="002F18A6"/>
    <w:pPr>
      <w:spacing w:before="80" w:after="80" w:line="280" w:lineRule="atLeast"/>
    </w:pPr>
    <w:rPr>
      <w:rFonts w:ascii="Georgia" w:hAnsi="Georgia"/>
      <w:sz w:val="19"/>
      <w:szCs w:val="19"/>
    </w:rPr>
  </w:style>
  <w:style w:type="character" w:customStyle="1" w:styleId="BodyTextChar">
    <w:name w:val="Body Text Char"/>
    <w:basedOn w:val="DefaultParagraphFont"/>
    <w:link w:val="BodyText"/>
    <w:uiPriority w:val="99"/>
    <w:locked/>
    <w:rsid w:val="002F18A6"/>
    <w:rPr>
      <w:rFonts w:ascii="Georgia" w:hAnsi="Georgia" w:cs="Times New Roman"/>
      <w:sz w:val="19"/>
      <w:szCs w:val="19"/>
      <w:lang w:eastAsia="en-AU"/>
    </w:rPr>
  </w:style>
  <w:style w:type="paragraph" w:styleId="Title">
    <w:name w:val="Title"/>
    <w:basedOn w:val="Normal"/>
    <w:next w:val="Subtitle"/>
    <w:link w:val="TitleChar"/>
    <w:uiPriority w:val="99"/>
    <w:qFormat/>
    <w:rsid w:val="002F18A6"/>
    <w:pPr>
      <w:pageBreakBefore/>
      <w:spacing w:line="540" w:lineRule="atLeast"/>
    </w:pPr>
    <w:rPr>
      <w:rFonts w:ascii="Franklin Gothic Book" w:hAnsi="Franklin Gothic Book"/>
      <w:color w:val="FFFFFF"/>
      <w:spacing w:val="-10"/>
      <w:kern w:val="28"/>
      <w:sz w:val="46"/>
      <w:szCs w:val="46"/>
    </w:rPr>
  </w:style>
  <w:style w:type="character" w:customStyle="1" w:styleId="TitleChar">
    <w:name w:val="Title Char"/>
    <w:basedOn w:val="DefaultParagraphFont"/>
    <w:link w:val="Title"/>
    <w:uiPriority w:val="99"/>
    <w:locked/>
    <w:rsid w:val="002F18A6"/>
    <w:rPr>
      <w:rFonts w:ascii="Franklin Gothic Book" w:hAnsi="Franklin Gothic Book" w:cs="Times New Roman"/>
      <w:color w:val="FFFFFF"/>
      <w:spacing w:val="-10"/>
      <w:kern w:val="28"/>
      <w:sz w:val="46"/>
      <w:szCs w:val="46"/>
      <w:lang w:eastAsia="en-AU"/>
    </w:rPr>
  </w:style>
  <w:style w:type="paragraph" w:styleId="Subtitle">
    <w:name w:val="Subtitle"/>
    <w:basedOn w:val="Title"/>
    <w:next w:val="Date"/>
    <w:link w:val="SubtitleChar"/>
    <w:uiPriority w:val="99"/>
    <w:qFormat/>
    <w:rsid w:val="002F18A6"/>
    <w:pPr>
      <w:pageBreakBefore w:val="0"/>
      <w:spacing w:before="120" w:line="380" w:lineRule="atLeast"/>
    </w:pPr>
    <w:rPr>
      <w:sz w:val="32"/>
      <w:szCs w:val="32"/>
    </w:rPr>
  </w:style>
  <w:style w:type="character" w:customStyle="1" w:styleId="SubtitleChar">
    <w:name w:val="Subtitle Char"/>
    <w:basedOn w:val="DefaultParagraphFont"/>
    <w:link w:val="Subtitle"/>
    <w:uiPriority w:val="99"/>
    <w:locked/>
    <w:rsid w:val="002F18A6"/>
    <w:rPr>
      <w:rFonts w:ascii="Franklin Gothic Book" w:hAnsi="Franklin Gothic Book" w:cs="Times New Roman"/>
      <w:color w:val="FFFFFF"/>
      <w:spacing w:val="-10"/>
      <w:kern w:val="28"/>
      <w:sz w:val="32"/>
      <w:szCs w:val="32"/>
      <w:lang w:eastAsia="en-AU"/>
    </w:rPr>
  </w:style>
  <w:style w:type="paragraph" w:styleId="Date">
    <w:name w:val="Date"/>
    <w:basedOn w:val="Subtitle"/>
    <w:next w:val="Normal"/>
    <w:link w:val="DateChar"/>
    <w:uiPriority w:val="99"/>
    <w:semiHidden/>
    <w:rsid w:val="002F18A6"/>
    <w:pPr>
      <w:spacing w:after="1000"/>
    </w:pPr>
    <w:rPr>
      <w:sz w:val="24"/>
      <w:szCs w:val="24"/>
    </w:rPr>
  </w:style>
  <w:style w:type="character" w:customStyle="1" w:styleId="DateChar">
    <w:name w:val="Date Char"/>
    <w:basedOn w:val="DefaultParagraphFont"/>
    <w:link w:val="Date"/>
    <w:uiPriority w:val="99"/>
    <w:semiHidden/>
    <w:locked/>
    <w:rsid w:val="002F18A6"/>
    <w:rPr>
      <w:rFonts w:ascii="Franklin Gothic Book" w:hAnsi="Franklin Gothic Book" w:cs="Times New Roman"/>
      <w:color w:val="FFFFFF"/>
      <w:spacing w:val="-10"/>
      <w:kern w:val="28"/>
      <w:sz w:val="24"/>
      <w:szCs w:val="24"/>
      <w:lang w:eastAsia="en-AU"/>
    </w:rPr>
  </w:style>
  <w:style w:type="paragraph" w:styleId="Footer">
    <w:name w:val="footer"/>
    <w:basedOn w:val="Normal"/>
    <w:link w:val="FooterChar"/>
    <w:uiPriority w:val="99"/>
    <w:semiHidden/>
    <w:rsid w:val="002F18A6"/>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character" w:customStyle="1" w:styleId="FooterChar">
    <w:name w:val="Footer Char"/>
    <w:basedOn w:val="DefaultParagraphFont"/>
    <w:link w:val="Footer"/>
    <w:uiPriority w:val="99"/>
    <w:semiHidden/>
    <w:locked/>
    <w:rsid w:val="002F18A6"/>
    <w:rPr>
      <w:rFonts w:ascii="Franklin Gothic Medium" w:hAnsi="Franklin Gothic Medium" w:cs="Times New Roman"/>
      <w:color w:val="5A9A98"/>
      <w:sz w:val="14"/>
      <w:szCs w:val="14"/>
      <w:lang w:eastAsia="en-AU"/>
    </w:rPr>
  </w:style>
  <w:style w:type="paragraph" w:styleId="Header">
    <w:name w:val="header"/>
    <w:basedOn w:val="Normal"/>
    <w:link w:val="HeaderChar"/>
    <w:uiPriority w:val="99"/>
    <w:semiHidden/>
    <w:rsid w:val="002F18A6"/>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semiHidden/>
    <w:locked/>
    <w:rsid w:val="002F18A6"/>
    <w:rPr>
      <w:rFonts w:ascii="Franklin Gothic Medium" w:hAnsi="Franklin Gothic Medium" w:cs="Times New Roman"/>
      <w:sz w:val="14"/>
      <w:szCs w:val="14"/>
      <w:lang w:eastAsia="en-AU"/>
    </w:rPr>
  </w:style>
  <w:style w:type="character" w:styleId="PageNumber">
    <w:name w:val="page number"/>
    <w:basedOn w:val="DefaultParagraphFont"/>
    <w:uiPriority w:val="99"/>
    <w:semiHidden/>
    <w:rsid w:val="002F18A6"/>
    <w:rPr>
      <w:rFonts w:ascii="Franklin Gothic Medium" w:hAnsi="Franklin Gothic Medium" w:cs="Times New Roman"/>
      <w:color w:val="54534A"/>
      <w:sz w:val="14"/>
    </w:rPr>
  </w:style>
  <w:style w:type="paragraph" w:styleId="Caption">
    <w:name w:val="caption"/>
    <w:basedOn w:val="Normal"/>
    <w:next w:val="BodyText"/>
    <w:uiPriority w:val="99"/>
    <w:qFormat/>
    <w:rsid w:val="002F18A6"/>
    <w:pPr>
      <w:keepNext/>
      <w:spacing w:before="320" w:after="80" w:line="230" w:lineRule="exact"/>
    </w:pPr>
    <w:rPr>
      <w:rFonts w:ascii="Franklin Gothic Demi" w:hAnsi="Franklin Gothic Demi"/>
      <w:color w:val="7E6D5F"/>
      <w:sz w:val="19"/>
      <w:szCs w:val="19"/>
    </w:rPr>
  </w:style>
  <w:style w:type="paragraph" w:customStyle="1" w:styleId="Note">
    <w:name w:val="Note"/>
    <w:basedOn w:val="TableTextEntries"/>
    <w:next w:val="Normal"/>
    <w:link w:val="NoteCharChar"/>
    <w:uiPriority w:val="99"/>
    <w:rsid w:val="002F18A6"/>
    <w:pPr>
      <w:spacing w:after="0" w:line="180" w:lineRule="atLeast"/>
    </w:pPr>
    <w:rPr>
      <w:rFonts w:eastAsia="Calibri"/>
      <w:sz w:val="14"/>
      <w:szCs w:val="20"/>
      <w:lang w:eastAsia="en-AU"/>
    </w:rPr>
  </w:style>
  <w:style w:type="paragraph" w:customStyle="1" w:styleId="TableTextEntries">
    <w:name w:val="Table Text Entries"/>
    <w:basedOn w:val="Normal"/>
    <w:uiPriority w:val="99"/>
    <w:rsid w:val="002F18A6"/>
    <w:pPr>
      <w:keepLines/>
      <w:spacing w:before="40" w:after="40" w:line="200" w:lineRule="atLeast"/>
    </w:pPr>
    <w:rPr>
      <w:rFonts w:ascii="Franklin Gothic Book" w:hAnsi="Franklin Gothic Book"/>
      <w:sz w:val="17"/>
      <w:szCs w:val="17"/>
      <w:lang w:eastAsia="en-US"/>
    </w:rPr>
  </w:style>
  <w:style w:type="character" w:styleId="CommentReference">
    <w:name w:val="annotation reference"/>
    <w:basedOn w:val="DefaultParagraphFont"/>
    <w:uiPriority w:val="99"/>
    <w:semiHidden/>
    <w:rsid w:val="002F18A6"/>
    <w:rPr>
      <w:rFonts w:ascii="Franklin Gothic Medium" w:hAnsi="Franklin Gothic Medium" w:cs="Times New Roman"/>
      <w:vanish/>
      <w:color w:val="FF00FF"/>
      <w:sz w:val="16"/>
    </w:rPr>
  </w:style>
  <w:style w:type="paragraph" w:styleId="CommentText">
    <w:name w:val="annotation text"/>
    <w:basedOn w:val="BodyText"/>
    <w:link w:val="CommentTextChar"/>
    <w:uiPriority w:val="99"/>
    <w:semiHidden/>
    <w:rsid w:val="002F18A6"/>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locked/>
    <w:rsid w:val="002F18A6"/>
    <w:rPr>
      <w:rFonts w:ascii="Calibri" w:hAnsi="Calibri" w:cs="Times New Roman"/>
      <w:sz w:val="18"/>
      <w:szCs w:val="18"/>
      <w:lang w:eastAsia="en-AU"/>
    </w:rPr>
  </w:style>
  <w:style w:type="character" w:styleId="FootnoteReference">
    <w:name w:val="footnote reference"/>
    <w:aliases w:val="ftref,fr,16 Point,Superscript 6 Point,Normal + Font:9 Point,Superscript 3 Point Times"/>
    <w:basedOn w:val="DefaultParagraphFont"/>
    <w:uiPriority w:val="99"/>
    <w:semiHidden/>
    <w:rsid w:val="002F18A6"/>
    <w:rPr>
      <w:rFonts w:ascii="Franklin Gothic Book" w:hAnsi="Franklin Gothic Book" w:cs="Times New Roman"/>
      <w:w w:val="100"/>
      <w:position w:val="6"/>
      <w:sz w:val="12"/>
      <w:vertAlign w:val="baseline"/>
    </w:rPr>
  </w:style>
  <w:style w:type="paragraph" w:styleId="FootnoteText">
    <w:name w:val="footnote text"/>
    <w:aliases w:val="ADB,ft,Fußnotentextf,fn,single space,FOOTNOTES,Fußnotentext Char,Footnote text,Footnote Text Char1,Footnote Text Char2 Char,Footnote Text Char1 Char Char,Footnote Text Char2 Char Char Char,Footno,Char Char3,ALTS FOOTNOTE"/>
    <w:basedOn w:val="BodyText"/>
    <w:link w:val="FootnoteTextChar2"/>
    <w:uiPriority w:val="99"/>
    <w:semiHidden/>
    <w:rsid w:val="002F18A6"/>
    <w:pPr>
      <w:spacing w:before="0" w:after="0" w:line="180" w:lineRule="atLeast"/>
      <w:ind w:left="284" w:hanging="284"/>
    </w:pPr>
    <w:rPr>
      <w:rFonts w:ascii="Franklin Gothic Book" w:eastAsia="Calibri" w:hAnsi="Franklin Gothic Book"/>
      <w:sz w:val="14"/>
      <w:szCs w:val="20"/>
    </w:rPr>
  </w:style>
  <w:style w:type="character" w:customStyle="1" w:styleId="FootnoteTextChar">
    <w:name w:val="Footnote Text Char"/>
    <w:aliases w:val="ADB Char,ft Char,Fußnotentextf Char,fn Char,single space Char,FOOTNOTES Char,Fußnotentext Char Char,Footnote text Char,Footnote Text Char1 Char,Footnote Text Char2 Char Char,Footnote Text Char1 Char Char Char,Footno Char"/>
    <w:basedOn w:val="DefaultParagraphFont"/>
    <w:uiPriority w:val="99"/>
    <w:locked/>
    <w:rsid w:val="00F847D2"/>
    <w:rPr>
      <w:rFonts w:ascii="Times New Roman" w:hAnsi="Times New Roman" w:cs="Times New Roman"/>
      <w:sz w:val="20"/>
      <w:szCs w:val="20"/>
    </w:rPr>
  </w:style>
  <w:style w:type="character" w:customStyle="1" w:styleId="FootnoteTextChar3">
    <w:name w:val="Footnote Text Char3"/>
    <w:aliases w:val="single space Char2,FOOTNOTES Char2,fn Char2,ALTS FOOTNOTE Char,footnote text Char,Footnote Text Char1 Char2,Footnote Text Char2 Char Char2,Footnote Text Char1 Char Char Char2,Footnote Text Char2 Char Char Char Char,ADB Char2,ft Char2"/>
    <w:basedOn w:val="DefaultParagraphFont"/>
    <w:uiPriority w:val="99"/>
    <w:rsid w:val="002F18A6"/>
    <w:rPr>
      <w:rFonts w:ascii="Times New Roman" w:hAnsi="Times New Roman" w:cs="Times New Roman"/>
      <w:sz w:val="20"/>
      <w:szCs w:val="20"/>
      <w:lang w:eastAsia="en-AU"/>
    </w:rPr>
  </w:style>
  <w:style w:type="paragraph" w:customStyle="1" w:styleId="TableDataEntries">
    <w:name w:val="Table Data Entries"/>
    <w:basedOn w:val="TableTextEntries"/>
    <w:uiPriority w:val="99"/>
    <w:rsid w:val="002F18A6"/>
    <w:pPr>
      <w:jc w:val="right"/>
    </w:pPr>
  </w:style>
  <w:style w:type="paragraph" w:customStyle="1" w:styleId="TableDataColumnHeading">
    <w:name w:val="Table Data Column Heading"/>
    <w:basedOn w:val="TableDataEntries"/>
    <w:uiPriority w:val="99"/>
    <w:rsid w:val="002F18A6"/>
    <w:pPr>
      <w:spacing w:before="80" w:after="80"/>
    </w:pPr>
    <w:rPr>
      <w:rFonts w:ascii="Franklin Gothic Medium" w:hAnsi="Franklin Gothic Medium"/>
    </w:rPr>
  </w:style>
  <w:style w:type="paragraph" w:customStyle="1" w:styleId="TableTextColumnHeading">
    <w:name w:val="Table Text Column Heading"/>
    <w:basedOn w:val="TableDataColumnHeading"/>
    <w:uiPriority w:val="99"/>
    <w:rsid w:val="002F18A6"/>
    <w:pPr>
      <w:jc w:val="left"/>
    </w:pPr>
  </w:style>
  <w:style w:type="character" w:customStyle="1" w:styleId="NoteCharChar">
    <w:name w:val="Note Char Char"/>
    <w:link w:val="Note"/>
    <w:uiPriority w:val="99"/>
    <w:locked/>
    <w:rsid w:val="002F18A6"/>
    <w:rPr>
      <w:rFonts w:ascii="Franklin Gothic Book" w:hAnsi="Franklin Gothic Book"/>
      <w:sz w:val="14"/>
    </w:rPr>
  </w:style>
  <w:style w:type="paragraph" w:customStyle="1" w:styleId="CharChar">
    <w:name w:val="Char Char"/>
    <w:basedOn w:val="Normal"/>
    <w:uiPriority w:val="99"/>
    <w:semiHidden/>
    <w:rsid w:val="002F18A6"/>
    <w:pPr>
      <w:spacing w:before="180" w:line="280" w:lineRule="atLeast"/>
    </w:pPr>
    <w:rPr>
      <w:rFonts w:ascii="Arial" w:hAnsi="Arial"/>
      <w:sz w:val="22"/>
      <w:szCs w:val="20"/>
      <w:lang w:eastAsia="en-US"/>
    </w:rPr>
  </w:style>
  <w:style w:type="paragraph" w:customStyle="1" w:styleId="Ratingbullet">
    <w:name w:val="Rating bullet"/>
    <w:basedOn w:val="TableTextEntries"/>
    <w:uiPriority w:val="99"/>
    <w:semiHidden/>
    <w:rsid w:val="002F18A6"/>
    <w:pPr>
      <w:jc w:val="center"/>
    </w:pPr>
    <w:rPr>
      <w:sz w:val="22"/>
      <w:szCs w:val="22"/>
    </w:rPr>
  </w:style>
  <w:style w:type="paragraph" w:customStyle="1" w:styleId="GuidanceText">
    <w:name w:val="Guidance Text"/>
    <w:basedOn w:val="BodyText"/>
    <w:uiPriority w:val="99"/>
    <w:semiHidden/>
    <w:rsid w:val="002F18A6"/>
    <w:pPr>
      <w:spacing w:before="60" w:after="60" w:line="240" w:lineRule="atLeast"/>
    </w:pPr>
    <w:rPr>
      <w:rFonts w:ascii="Calibri" w:hAnsi="Calibri"/>
      <w:color w:val="0000FF"/>
      <w:sz w:val="20"/>
      <w:szCs w:val="20"/>
    </w:rPr>
  </w:style>
  <w:style w:type="character" w:customStyle="1" w:styleId="FootnoteTextChar2">
    <w:name w:val="Footnote Text Char2"/>
    <w:aliases w:val="ADB Char1,ft Char1,Fußnotentextf Char1,fn Char1,single space Char1,FOOTNOTES Char1,Fußnotentext Char Char1,Footnote text Char1,Footnote Text Char1 Char1,Footnote Text Char2 Char Char1,Footnote Text Char1 Char Char Char1,Footno Char1"/>
    <w:link w:val="FootnoteText"/>
    <w:uiPriority w:val="99"/>
    <w:semiHidden/>
    <w:locked/>
    <w:rsid w:val="002F18A6"/>
    <w:rPr>
      <w:rFonts w:ascii="Franklin Gothic Book" w:hAnsi="Franklin Gothic Book"/>
      <w:sz w:val="14"/>
      <w:lang w:eastAsia="en-AU"/>
    </w:rPr>
  </w:style>
  <w:style w:type="paragraph" w:customStyle="1" w:styleId="gray">
    <w:name w:val="gray"/>
    <w:basedOn w:val="Normal"/>
    <w:rsid w:val="002F18A6"/>
    <w:pPr>
      <w:spacing w:before="136" w:after="136" w:line="288" w:lineRule="auto"/>
      <w:ind w:left="136" w:right="136"/>
    </w:pPr>
    <w:rPr>
      <w:rFonts w:ascii="Arial" w:hAnsi="Arial" w:cs="Arial"/>
      <w:color w:val="333333"/>
      <w:sz w:val="16"/>
      <w:szCs w:val="16"/>
    </w:rPr>
  </w:style>
  <w:style w:type="paragraph" w:customStyle="1" w:styleId="Default">
    <w:name w:val="Default"/>
    <w:uiPriority w:val="99"/>
    <w:rsid w:val="002F18A6"/>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rsid w:val="002F18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18A6"/>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E65BB7"/>
    <w:pPr>
      <w:spacing w:before="0"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locked/>
    <w:rsid w:val="00E65BB7"/>
    <w:rPr>
      <w:rFonts w:ascii="Times New Roman" w:hAnsi="Times New Roman" w:cs="Times New Roman"/>
      <w:b/>
      <w:bCs/>
      <w:sz w:val="20"/>
      <w:szCs w:val="20"/>
      <w:lang w:eastAsia="en-AU"/>
    </w:rPr>
  </w:style>
  <w:style w:type="paragraph" w:styleId="ListParagraph">
    <w:name w:val="List Paragraph"/>
    <w:aliases w:val="List Paragraph1,Recommendation,List Paragraph11"/>
    <w:basedOn w:val="Normal"/>
    <w:link w:val="ListParagraphChar"/>
    <w:uiPriority w:val="99"/>
    <w:qFormat/>
    <w:rsid w:val="005740A6"/>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List Paragraph1 Char,Recommendation Char,List Paragraph11 Char"/>
    <w:basedOn w:val="DefaultParagraphFont"/>
    <w:link w:val="ListParagraph"/>
    <w:uiPriority w:val="99"/>
    <w:locked/>
    <w:rsid w:val="005740A6"/>
    <w:rPr>
      <w:rFonts w:cs="Times New Roman"/>
    </w:rPr>
  </w:style>
  <w:style w:type="paragraph" w:customStyle="1" w:styleId="CharChar1">
    <w:name w:val="Char Char1"/>
    <w:basedOn w:val="Normal"/>
    <w:uiPriority w:val="99"/>
    <w:semiHidden/>
    <w:rsid w:val="00986FF8"/>
    <w:pPr>
      <w:spacing w:before="180" w:line="280" w:lineRule="atLeast"/>
    </w:pPr>
    <w:rPr>
      <w:rFonts w:ascii="Arial" w:hAnsi="Arial"/>
      <w:sz w:val="22"/>
      <w:szCs w:val="20"/>
      <w:lang w:eastAsia="en-US"/>
    </w:rPr>
  </w:style>
  <w:style w:type="table" w:styleId="TableGrid">
    <w:name w:val="Table Grid"/>
    <w:basedOn w:val="TableNormal"/>
    <w:uiPriority w:val="99"/>
    <w:rsid w:val="00804C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1ptBlack">
    <w:name w:val="Style 11 pt Black"/>
    <w:uiPriority w:val="99"/>
    <w:rsid w:val="00B9050D"/>
    <w:rPr>
      <w:rFonts w:ascii="Arial" w:hAnsi="Arial"/>
      <w:color w:val="000000"/>
      <w:sz w:val="21"/>
    </w:rPr>
  </w:style>
  <w:style w:type="paragraph" w:customStyle="1" w:styleId="TableListNumber">
    <w:name w:val="Table List Number"/>
    <w:basedOn w:val="TableTextEntries"/>
    <w:uiPriority w:val="99"/>
    <w:rsid w:val="0088795A"/>
    <w:pPr>
      <w:numPr>
        <w:numId w:val="10"/>
      </w:numPr>
    </w:pPr>
  </w:style>
  <w:style w:type="character" w:customStyle="1" w:styleId="BulletChar">
    <w:name w:val="Bullet Char"/>
    <w:aliases w:val="b Char"/>
    <w:link w:val="Bullet"/>
    <w:uiPriority w:val="99"/>
    <w:locked/>
    <w:rsid w:val="003B2537"/>
    <w:rPr>
      <w:rFonts w:ascii="Palatino" w:hAnsi="Palatino"/>
      <w:color w:val="000000"/>
    </w:rPr>
  </w:style>
  <w:style w:type="paragraph" w:customStyle="1" w:styleId="Bullet">
    <w:name w:val="Bullet"/>
    <w:aliases w:val="b"/>
    <w:basedOn w:val="Normal"/>
    <w:link w:val="BulletChar"/>
    <w:uiPriority w:val="99"/>
    <w:rsid w:val="003B2537"/>
    <w:pPr>
      <w:numPr>
        <w:numId w:val="11"/>
      </w:numPr>
      <w:spacing w:after="240" w:line="320" w:lineRule="exact"/>
    </w:pPr>
    <w:rPr>
      <w:rFonts w:ascii="Palatino" w:eastAsia="Calibri" w:hAnsi="Palatino"/>
      <w:color w:val="000000"/>
      <w:szCs w:val="20"/>
    </w:rPr>
  </w:style>
  <w:style w:type="paragraph" w:styleId="NormalWeb">
    <w:name w:val="Normal (Web)"/>
    <w:basedOn w:val="Normal"/>
    <w:uiPriority w:val="99"/>
    <w:semiHidden/>
    <w:unhideWhenUsed/>
    <w:locked/>
    <w:rsid w:val="00CB328F"/>
    <w:pPr>
      <w:spacing w:before="100" w:beforeAutospacing="1" w:after="100" w:afterAutospacing="1"/>
    </w:pPr>
    <w:rPr>
      <w:rFonts w:eastAsia="Calibri"/>
      <w:sz w:val="24"/>
    </w:rPr>
  </w:style>
  <w:style w:type="paragraph" w:customStyle="1" w:styleId="H1">
    <w:name w:val="H1"/>
    <w:basedOn w:val="Heading2"/>
    <w:qFormat/>
    <w:rsid w:val="0053432A"/>
  </w:style>
  <w:style w:type="paragraph" w:customStyle="1" w:styleId="H1A">
    <w:name w:val="H1 A"/>
    <w:basedOn w:val="Normal"/>
    <w:qFormat/>
    <w:rsid w:val="0053432A"/>
    <w:pPr>
      <w:keepNext/>
      <w:spacing w:after="100" w:line="320" w:lineRule="atLeast"/>
      <w:outlineLvl w:val="0"/>
    </w:pPr>
    <w:rPr>
      <w:rFonts w:ascii="Franklin Gothic Demi" w:hAnsi="Franklin Gothic Demi"/>
      <w:color w:val="AD495D"/>
      <w:kern w:val="28"/>
      <w:sz w:val="28"/>
      <w:szCs w:val="28"/>
    </w:rPr>
  </w:style>
  <w:style w:type="paragraph" w:customStyle="1" w:styleId="H2">
    <w:name w:val="H2"/>
    <w:basedOn w:val="gray"/>
    <w:qFormat/>
    <w:rsid w:val="0053432A"/>
    <w:pPr>
      <w:spacing w:before="240" w:after="0" w:line="280" w:lineRule="atLeast"/>
      <w:ind w:left="0" w:right="272"/>
    </w:pPr>
    <w:rPr>
      <w:rFonts w:ascii="Georgia" w:hAnsi="Georgia"/>
      <w:b/>
      <w:sz w:val="19"/>
      <w:szCs w:val="19"/>
    </w:rPr>
  </w:style>
  <w:style w:type="paragraph" w:customStyle="1" w:styleId="H3">
    <w:name w:val="H3"/>
    <w:basedOn w:val="gray"/>
    <w:qFormat/>
    <w:rsid w:val="0053432A"/>
    <w:pPr>
      <w:tabs>
        <w:tab w:val="left" w:pos="5448"/>
        <w:tab w:val="left" w:pos="7526"/>
      </w:tabs>
      <w:spacing w:before="240" w:after="120" w:line="280" w:lineRule="atLeast"/>
      <w:ind w:left="0" w:right="272"/>
    </w:pPr>
    <w:rPr>
      <w:rFonts w:ascii="Georgia" w:hAnsi="Georgia"/>
      <w:b/>
      <w:sz w:val="19"/>
      <w:szCs w:val="19"/>
    </w:rPr>
  </w:style>
  <w:style w:type="paragraph" w:styleId="TOCHeading">
    <w:name w:val="TOC Heading"/>
    <w:basedOn w:val="Heading1"/>
    <w:next w:val="Normal"/>
    <w:uiPriority w:val="39"/>
    <w:semiHidden/>
    <w:unhideWhenUsed/>
    <w:qFormat/>
    <w:rsid w:val="00254B91"/>
    <w:pPr>
      <w:spacing w:line="276" w:lineRule="auto"/>
      <w:outlineLvl w:val="9"/>
    </w:pPr>
    <w:rPr>
      <w:rFonts w:asciiTheme="majorHAnsi" w:eastAsiaTheme="majorEastAsia" w:hAnsiTheme="majorHAnsi" w:cstheme="majorBidi"/>
      <w:color w:val="365F91" w:themeColor="accent1" w:themeShade="BF"/>
      <w:lang w:val="en-US" w:eastAsia="ja-JP"/>
    </w:rPr>
  </w:style>
  <w:style w:type="paragraph" w:styleId="TOC2">
    <w:name w:val="toc 2"/>
    <w:basedOn w:val="Normal"/>
    <w:next w:val="Normal"/>
    <w:autoRedefine/>
    <w:uiPriority w:val="39"/>
    <w:rsid w:val="00254B91"/>
    <w:pPr>
      <w:spacing w:after="100"/>
      <w:ind w:left="200"/>
    </w:pPr>
  </w:style>
  <w:style w:type="paragraph" w:styleId="TOC1">
    <w:name w:val="toc 1"/>
    <w:basedOn w:val="Normal"/>
    <w:next w:val="Normal"/>
    <w:autoRedefine/>
    <w:uiPriority w:val="39"/>
    <w:rsid w:val="00254B91"/>
    <w:pPr>
      <w:spacing w:after="100"/>
    </w:pPr>
  </w:style>
  <w:style w:type="character" w:styleId="Hyperlink">
    <w:name w:val="Hyperlink"/>
    <w:basedOn w:val="DefaultParagraphFont"/>
    <w:uiPriority w:val="99"/>
    <w:unhideWhenUsed/>
    <w:locked/>
    <w:rsid w:val="00254B91"/>
    <w:rPr>
      <w:color w:val="0000FF" w:themeColor="hyperlink"/>
      <w:u w:val="single"/>
    </w:rPr>
  </w:style>
  <w:style w:type="paragraph" w:customStyle="1" w:styleId="H1B">
    <w:name w:val="H1 B"/>
    <w:basedOn w:val="TOCHeading"/>
    <w:qFormat/>
    <w:rsid w:val="00254B91"/>
  </w:style>
  <w:style w:type="paragraph" w:customStyle="1" w:styleId="H4">
    <w:name w:val="H4"/>
    <w:basedOn w:val="gray"/>
    <w:qFormat/>
    <w:rsid w:val="00AB71D0"/>
    <w:pPr>
      <w:tabs>
        <w:tab w:val="left" w:pos="5448"/>
        <w:tab w:val="left" w:pos="7526"/>
      </w:tabs>
      <w:spacing w:before="240" w:after="120" w:line="280" w:lineRule="atLeast"/>
      <w:ind w:left="0" w:right="272"/>
    </w:pPr>
    <w:rPr>
      <w:rFonts w:ascii="Georgia" w:hAnsi="Georgia"/>
      <w: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F18A6"/>
    <w:rPr>
      <w:rFonts w:ascii="Times New Roman" w:eastAsia="Times New Roman" w:hAnsi="Times New Roman"/>
      <w:sz w:val="20"/>
      <w:szCs w:val="24"/>
    </w:rPr>
  </w:style>
  <w:style w:type="paragraph" w:styleId="Heading1">
    <w:name w:val="heading 1"/>
    <w:basedOn w:val="Normal"/>
    <w:next w:val="Normal"/>
    <w:link w:val="Heading1Char"/>
    <w:uiPriority w:val="99"/>
    <w:qFormat/>
    <w:rsid w:val="002F18A6"/>
    <w:pPr>
      <w:keepNext/>
      <w:keepLines/>
      <w:spacing w:before="480"/>
      <w:outlineLvl w:val="0"/>
    </w:pPr>
    <w:rPr>
      <w:rFonts w:ascii="Cambria" w:hAnsi="Cambria"/>
      <w:b/>
      <w:bCs/>
      <w:color w:val="365F91"/>
      <w:sz w:val="28"/>
      <w:szCs w:val="28"/>
    </w:rPr>
  </w:style>
  <w:style w:type="paragraph" w:styleId="Heading2">
    <w:name w:val="heading 2"/>
    <w:basedOn w:val="Heading1"/>
    <w:next w:val="BodyText"/>
    <w:link w:val="Heading2Char"/>
    <w:uiPriority w:val="99"/>
    <w:qFormat/>
    <w:rsid w:val="002F18A6"/>
    <w:pPr>
      <w:keepNext w:val="0"/>
      <w:keepLines w:val="0"/>
      <w:numPr>
        <w:ilvl w:val="1"/>
        <w:numId w:val="1"/>
      </w:numPr>
      <w:spacing w:before="380" w:line="280" w:lineRule="atLeast"/>
      <w:outlineLvl w:val="1"/>
    </w:pPr>
    <w:rPr>
      <w:rFonts w:ascii="Franklin Gothic Medium" w:hAnsi="Franklin Gothic Medium"/>
      <w:b w:val="0"/>
      <w:bCs w:val="0"/>
      <w:color w:val="5A9A98"/>
      <w:sz w:val="24"/>
      <w:szCs w:val="24"/>
    </w:rPr>
  </w:style>
  <w:style w:type="paragraph" w:styleId="Heading3">
    <w:name w:val="heading 3"/>
    <w:basedOn w:val="Heading2"/>
    <w:next w:val="BodyText"/>
    <w:link w:val="Heading3Char"/>
    <w:uiPriority w:val="99"/>
    <w:qFormat/>
    <w:rsid w:val="002F18A6"/>
    <w:pPr>
      <w:numPr>
        <w:ilvl w:val="2"/>
      </w:numPr>
      <w:spacing w:before="300" w:line="260" w:lineRule="atLeast"/>
      <w:outlineLvl w:val="2"/>
    </w:pPr>
    <w:rPr>
      <w:color w:val="54534A"/>
      <w:sz w:val="22"/>
      <w:szCs w:val="22"/>
    </w:rPr>
  </w:style>
  <w:style w:type="paragraph" w:styleId="Heading4">
    <w:name w:val="heading 4"/>
    <w:basedOn w:val="BodyText"/>
    <w:next w:val="BodyText"/>
    <w:link w:val="Heading4Char"/>
    <w:uiPriority w:val="99"/>
    <w:qFormat/>
    <w:rsid w:val="002F18A6"/>
    <w:pPr>
      <w:numPr>
        <w:ilvl w:val="3"/>
        <w:numId w:val="1"/>
      </w:numPr>
      <w:spacing w:before="320" w:after="0"/>
      <w:outlineLvl w:val="3"/>
    </w:pPr>
    <w:rPr>
      <w:b/>
      <w:color w:val="54534A"/>
      <w:sz w:val="22"/>
      <w:szCs w:val="22"/>
    </w:rPr>
  </w:style>
  <w:style w:type="paragraph" w:styleId="Heading5">
    <w:name w:val="heading 5"/>
    <w:basedOn w:val="BodyText"/>
    <w:next w:val="BodyText"/>
    <w:link w:val="Heading5Char"/>
    <w:uiPriority w:val="99"/>
    <w:qFormat/>
    <w:rsid w:val="002F18A6"/>
    <w:pPr>
      <w:keepNext/>
      <w:numPr>
        <w:ilvl w:val="4"/>
        <w:numId w:val="1"/>
      </w:numPr>
      <w:spacing w:before="320" w:after="0"/>
      <w:outlineLvl w:val="4"/>
    </w:pPr>
    <w:rPr>
      <w:b/>
      <w:color w:val="54534A"/>
    </w:rPr>
  </w:style>
  <w:style w:type="paragraph" w:styleId="Heading6">
    <w:name w:val="heading 6"/>
    <w:basedOn w:val="Heading1"/>
    <w:next w:val="BodyText"/>
    <w:link w:val="Heading6Char"/>
    <w:uiPriority w:val="99"/>
    <w:qFormat/>
    <w:rsid w:val="002F18A6"/>
    <w:pPr>
      <w:keepNext w:val="0"/>
      <w:keepLines w:val="0"/>
      <w:numPr>
        <w:ilvl w:val="5"/>
        <w:numId w:val="1"/>
      </w:numPr>
      <w:spacing w:before="80" w:after="80" w:line="280" w:lineRule="atLeast"/>
      <w:outlineLvl w:val="5"/>
    </w:pPr>
    <w:rPr>
      <w:rFonts w:ascii="Georgia" w:hAnsi="Georgia"/>
      <w:b w:val="0"/>
      <w:color w:val="auto"/>
      <w:sz w:val="19"/>
      <w:szCs w:val="19"/>
    </w:rPr>
  </w:style>
  <w:style w:type="paragraph" w:styleId="Heading7">
    <w:name w:val="heading 7"/>
    <w:basedOn w:val="Heading2"/>
    <w:next w:val="BodyText"/>
    <w:link w:val="Heading7Char"/>
    <w:uiPriority w:val="99"/>
    <w:qFormat/>
    <w:rsid w:val="002F18A6"/>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uiPriority w:val="99"/>
    <w:qFormat/>
    <w:rsid w:val="002F18A6"/>
    <w:pPr>
      <w:numPr>
        <w:ilvl w:val="7"/>
      </w:numPr>
      <w:outlineLvl w:val="7"/>
    </w:pPr>
  </w:style>
  <w:style w:type="paragraph" w:styleId="Heading9">
    <w:name w:val="heading 9"/>
    <w:basedOn w:val="Heading4"/>
    <w:next w:val="BodyText"/>
    <w:link w:val="Heading9Char"/>
    <w:uiPriority w:val="99"/>
    <w:qFormat/>
    <w:rsid w:val="002F18A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18A6"/>
    <w:rPr>
      <w:rFonts w:ascii="Cambria" w:hAnsi="Cambria" w:cs="Times New Roman"/>
      <w:b/>
      <w:bCs/>
      <w:color w:val="365F91"/>
      <w:sz w:val="28"/>
      <w:szCs w:val="28"/>
      <w:lang w:eastAsia="en-AU"/>
    </w:rPr>
  </w:style>
  <w:style w:type="character" w:customStyle="1" w:styleId="Heading2Char">
    <w:name w:val="Heading 2 Char"/>
    <w:basedOn w:val="DefaultParagraphFont"/>
    <w:link w:val="Heading2"/>
    <w:uiPriority w:val="99"/>
    <w:locked/>
    <w:rsid w:val="002F18A6"/>
    <w:rPr>
      <w:rFonts w:ascii="Franklin Gothic Medium" w:hAnsi="Franklin Gothic Medium" w:cs="Times New Roman"/>
      <w:color w:val="5A9A98"/>
      <w:sz w:val="24"/>
      <w:szCs w:val="24"/>
    </w:rPr>
  </w:style>
  <w:style w:type="character" w:customStyle="1" w:styleId="Heading3Char">
    <w:name w:val="Heading 3 Char"/>
    <w:basedOn w:val="DefaultParagraphFont"/>
    <w:link w:val="Heading3"/>
    <w:uiPriority w:val="99"/>
    <w:locked/>
    <w:rsid w:val="002F18A6"/>
    <w:rPr>
      <w:rFonts w:ascii="Franklin Gothic Medium" w:hAnsi="Franklin Gothic Medium" w:cs="Times New Roman"/>
      <w:color w:val="54534A"/>
      <w:lang w:eastAsia="en-AU"/>
    </w:rPr>
  </w:style>
  <w:style w:type="character" w:customStyle="1" w:styleId="Heading4Char">
    <w:name w:val="Heading 4 Char"/>
    <w:basedOn w:val="DefaultParagraphFont"/>
    <w:link w:val="Heading4"/>
    <w:uiPriority w:val="99"/>
    <w:locked/>
    <w:rsid w:val="002F18A6"/>
    <w:rPr>
      <w:rFonts w:ascii="Georgia" w:hAnsi="Georgia" w:cs="Times New Roman"/>
      <w:b/>
      <w:color w:val="54534A"/>
      <w:lang w:eastAsia="en-AU"/>
    </w:rPr>
  </w:style>
  <w:style w:type="character" w:customStyle="1" w:styleId="Heading5Char">
    <w:name w:val="Heading 5 Char"/>
    <w:basedOn w:val="DefaultParagraphFont"/>
    <w:link w:val="Heading5"/>
    <w:uiPriority w:val="99"/>
    <w:locked/>
    <w:rsid w:val="002F18A6"/>
    <w:rPr>
      <w:rFonts w:ascii="Georgia" w:hAnsi="Georgia" w:cs="Times New Roman"/>
      <w:b/>
      <w:color w:val="54534A"/>
      <w:sz w:val="19"/>
      <w:szCs w:val="19"/>
      <w:lang w:eastAsia="en-AU"/>
    </w:rPr>
  </w:style>
  <w:style w:type="character" w:customStyle="1" w:styleId="Heading6Char">
    <w:name w:val="Heading 6 Char"/>
    <w:basedOn w:val="DefaultParagraphFont"/>
    <w:link w:val="Heading6"/>
    <w:uiPriority w:val="99"/>
    <w:locked/>
    <w:rsid w:val="002F18A6"/>
    <w:rPr>
      <w:rFonts w:ascii="Georgia" w:hAnsi="Georgia" w:cs="Times New Roman"/>
      <w:bCs/>
      <w:sz w:val="19"/>
      <w:szCs w:val="19"/>
      <w:lang w:eastAsia="en-AU"/>
    </w:rPr>
  </w:style>
  <w:style w:type="character" w:customStyle="1" w:styleId="Heading7Char">
    <w:name w:val="Heading 7 Char"/>
    <w:basedOn w:val="DefaultParagraphFont"/>
    <w:link w:val="Heading7"/>
    <w:uiPriority w:val="99"/>
    <w:locked/>
    <w:rsid w:val="002F18A6"/>
    <w:rPr>
      <w:rFonts w:ascii="Franklin Gothic Demi" w:hAnsi="Franklin Gothic Demi" w:cs="Times New Roman"/>
      <w:color w:val="5A9A98"/>
      <w:sz w:val="28"/>
      <w:szCs w:val="28"/>
      <w:lang w:eastAsia="en-AU"/>
    </w:rPr>
  </w:style>
  <w:style w:type="character" w:customStyle="1" w:styleId="Heading8Char">
    <w:name w:val="Heading 8 Char"/>
    <w:basedOn w:val="DefaultParagraphFont"/>
    <w:link w:val="Heading8"/>
    <w:uiPriority w:val="99"/>
    <w:locked/>
    <w:rsid w:val="002F18A6"/>
    <w:rPr>
      <w:rFonts w:ascii="Franklin Gothic Medium" w:hAnsi="Franklin Gothic Medium" w:cs="Times New Roman"/>
      <w:color w:val="54534A"/>
      <w:lang w:eastAsia="en-AU"/>
    </w:rPr>
  </w:style>
  <w:style w:type="character" w:customStyle="1" w:styleId="Heading9Char">
    <w:name w:val="Heading 9 Char"/>
    <w:basedOn w:val="DefaultParagraphFont"/>
    <w:link w:val="Heading9"/>
    <w:uiPriority w:val="99"/>
    <w:locked/>
    <w:rsid w:val="002F18A6"/>
    <w:rPr>
      <w:rFonts w:ascii="Georgia" w:hAnsi="Georgia" w:cs="Times New Roman"/>
      <w:b/>
      <w:color w:val="54534A"/>
      <w:lang w:eastAsia="en-AU"/>
    </w:rPr>
  </w:style>
  <w:style w:type="paragraph" w:styleId="BodyText">
    <w:name w:val="Body Text"/>
    <w:basedOn w:val="Normal"/>
    <w:link w:val="BodyTextChar"/>
    <w:uiPriority w:val="99"/>
    <w:rsid w:val="002F18A6"/>
    <w:pPr>
      <w:spacing w:before="80" w:after="80" w:line="280" w:lineRule="atLeast"/>
    </w:pPr>
    <w:rPr>
      <w:rFonts w:ascii="Georgia" w:hAnsi="Georgia"/>
      <w:sz w:val="19"/>
      <w:szCs w:val="19"/>
    </w:rPr>
  </w:style>
  <w:style w:type="character" w:customStyle="1" w:styleId="BodyTextChar">
    <w:name w:val="Body Text Char"/>
    <w:basedOn w:val="DefaultParagraphFont"/>
    <w:link w:val="BodyText"/>
    <w:uiPriority w:val="99"/>
    <w:locked/>
    <w:rsid w:val="002F18A6"/>
    <w:rPr>
      <w:rFonts w:ascii="Georgia" w:hAnsi="Georgia" w:cs="Times New Roman"/>
      <w:sz w:val="19"/>
      <w:szCs w:val="19"/>
      <w:lang w:eastAsia="en-AU"/>
    </w:rPr>
  </w:style>
  <w:style w:type="paragraph" w:styleId="Title">
    <w:name w:val="Title"/>
    <w:basedOn w:val="Normal"/>
    <w:next w:val="Subtitle"/>
    <w:link w:val="TitleChar"/>
    <w:uiPriority w:val="99"/>
    <w:qFormat/>
    <w:rsid w:val="002F18A6"/>
    <w:pPr>
      <w:pageBreakBefore/>
      <w:spacing w:line="540" w:lineRule="atLeast"/>
    </w:pPr>
    <w:rPr>
      <w:rFonts w:ascii="Franklin Gothic Book" w:hAnsi="Franklin Gothic Book"/>
      <w:color w:val="FFFFFF"/>
      <w:spacing w:val="-10"/>
      <w:kern w:val="28"/>
      <w:sz w:val="46"/>
      <w:szCs w:val="46"/>
    </w:rPr>
  </w:style>
  <w:style w:type="character" w:customStyle="1" w:styleId="TitleChar">
    <w:name w:val="Title Char"/>
    <w:basedOn w:val="DefaultParagraphFont"/>
    <w:link w:val="Title"/>
    <w:uiPriority w:val="99"/>
    <w:locked/>
    <w:rsid w:val="002F18A6"/>
    <w:rPr>
      <w:rFonts w:ascii="Franklin Gothic Book" w:hAnsi="Franklin Gothic Book" w:cs="Times New Roman"/>
      <w:color w:val="FFFFFF"/>
      <w:spacing w:val="-10"/>
      <w:kern w:val="28"/>
      <w:sz w:val="46"/>
      <w:szCs w:val="46"/>
      <w:lang w:eastAsia="en-AU"/>
    </w:rPr>
  </w:style>
  <w:style w:type="paragraph" w:styleId="Subtitle">
    <w:name w:val="Subtitle"/>
    <w:basedOn w:val="Title"/>
    <w:next w:val="Date"/>
    <w:link w:val="SubtitleChar"/>
    <w:uiPriority w:val="99"/>
    <w:qFormat/>
    <w:rsid w:val="002F18A6"/>
    <w:pPr>
      <w:pageBreakBefore w:val="0"/>
      <w:spacing w:before="120" w:line="380" w:lineRule="atLeast"/>
    </w:pPr>
    <w:rPr>
      <w:sz w:val="32"/>
      <w:szCs w:val="32"/>
    </w:rPr>
  </w:style>
  <w:style w:type="character" w:customStyle="1" w:styleId="SubtitleChar">
    <w:name w:val="Subtitle Char"/>
    <w:basedOn w:val="DefaultParagraphFont"/>
    <w:link w:val="Subtitle"/>
    <w:uiPriority w:val="99"/>
    <w:locked/>
    <w:rsid w:val="002F18A6"/>
    <w:rPr>
      <w:rFonts w:ascii="Franklin Gothic Book" w:hAnsi="Franklin Gothic Book" w:cs="Times New Roman"/>
      <w:color w:val="FFFFFF"/>
      <w:spacing w:val="-10"/>
      <w:kern w:val="28"/>
      <w:sz w:val="32"/>
      <w:szCs w:val="32"/>
      <w:lang w:eastAsia="en-AU"/>
    </w:rPr>
  </w:style>
  <w:style w:type="paragraph" w:styleId="Date">
    <w:name w:val="Date"/>
    <w:basedOn w:val="Subtitle"/>
    <w:next w:val="Normal"/>
    <w:link w:val="DateChar"/>
    <w:uiPriority w:val="99"/>
    <w:semiHidden/>
    <w:rsid w:val="002F18A6"/>
    <w:pPr>
      <w:spacing w:after="1000"/>
    </w:pPr>
    <w:rPr>
      <w:sz w:val="24"/>
      <w:szCs w:val="24"/>
    </w:rPr>
  </w:style>
  <w:style w:type="character" w:customStyle="1" w:styleId="DateChar">
    <w:name w:val="Date Char"/>
    <w:basedOn w:val="DefaultParagraphFont"/>
    <w:link w:val="Date"/>
    <w:uiPriority w:val="99"/>
    <w:semiHidden/>
    <w:locked/>
    <w:rsid w:val="002F18A6"/>
    <w:rPr>
      <w:rFonts w:ascii="Franklin Gothic Book" w:hAnsi="Franklin Gothic Book" w:cs="Times New Roman"/>
      <w:color w:val="FFFFFF"/>
      <w:spacing w:val="-10"/>
      <w:kern w:val="28"/>
      <w:sz w:val="24"/>
      <w:szCs w:val="24"/>
      <w:lang w:eastAsia="en-AU"/>
    </w:rPr>
  </w:style>
  <w:style w:type="paragraph" w:styleId="Footer">
    <w:name w:val="footer"/>
    <w:basedOn w:val="Normal"/>
    <w:link w:val="FooterChar"/>
    <w:uiPriority w:val="99"/>
    <w:semiHidden/>
    <w:rsid w:val="002F18A6"/>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character" w:customStyle="1" w:styleId="FooterChar">
    <w:name w:val="Footer Char"/>
    <w:basedOn w:val="DefaultParagraphFont"/>
    <w:link w:val="Footer"/>
    <w:uiPriority w:val="99"/>
    <w:semiHidden/>
    <w:locked/>
    <w:rsid w:val="002F18A6"/>
    <w:rPr>
      <w:rFonts w:ascii="Franklin Gothic Medium" w:hAnsi="Franklin Gothic Medium" w:cs="Times New Roman"/>
      <w:color w:val="5A9A98"/>
      <w:sz w:val="14"/>
      <w:szCs w:val="14"/>
      <w:lang w:eastAsia="en-AU"/>
    </w:rPr>
  </w:style>
  <w:style w:type="paragraph" w:styleId="Header">
    <w:name w:val="header"/>
    <w:basedOn w:val="Normal"/>
    <w:link w:val="HeaderChar"/>
    <w:uiPriority w:val="99"/>
    <w:semiHidden/>
    <w:rsid w:val="002F18A6"/>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semiHidden/>
    <w:locked/>
    <w:rsid w:val="002F18A6"/>
    <w:rPr>
      <w:rFonts w:ascii="Franklin Gothic Medium" w:hAnsi="Franklin Gothic Medium" w:cs="Times New Roman"/>
      <w:sz w:val="14"/>
      <w:szCs w:val="14"/>
      <w:lang w:eastAsia="en-AU"/>
    </w:rPr>
  </w:style>
  <w:style w:type="character" w:styleId="PageNumber">
    <w:name w:val="page number"/>
    <w:basedOn w:val="DefaultParagraphFont"/>
    <w:uiPriority w:val="99"/>
    <w:semiHidden/>
    <w:rsid w:val="002F18A6"/>
    <w:rPr>
      <w:rFonts w:ascii="Franklin Gothic Medium" w:hAnsi="Franklin Gothic Medium" w:cs="Times New Roman"/>
      <w:color w:val="54534A"/>
      <w:sz w:val="14"/>
    </w:rPr>
  </w:style>
  <w:style w:type="paragraph" w:styleId="Caption">
    <w:name w:val="caption"/>
    <w:basedOn w:val="Normal"/>
    <w:next w:val="BodyText"/>
    <w:uiPriority w:val="99"/>
    <w:qFormat/>
    <w:rsid w:val="002F18A6"/>
    <w:pPr>
      <w:keepNext/>
      <w:spacing w:before="320" w:after="80" w:line="230" w:lineRule="exact"/>
    </w:pPr>
    <w:rPr>
      <w:rFonts w:ascii="Franklin Gothic Demi" w:hAnsi="Franklin Gothic Demi"/>
      <w:color w:val="7E6D5F"/>
      <w:sz w:val="19"/>
      <w:szCs w:val="19"/>
    </w:rPr>
  </w:style>
  <w:style w:type="paragraph" w:customStyle="1" w:styleId="Note">
    <w:name w:val="Note"/>
    <w:basedOn w:val="TableTextEntries"/>
    <w:next w:val="Normal"/>
    <w:link w:val="NoteCharChar"/>
    <w:uiPriority w:val="99"/>
    <w:rsid w:val="002F18A6"/>
    <w:pPr>
      <w:spacing w:after="0" w:line="180" w:lineRule="atLeast"/>
    </w:pPr>
    <w:rPr>
      <w:rFonts w:eastAsia="Calibri"/>
      <w:sz w:val="14"/>
      <w:szCs w:val="20"/>
      <w:lang w:eastAsia="en-AU"/>
    </w:rPr>
  </w:style>
  <w:style w:type="paragraph" w:customStyle="1" w:styleId="TableTextEntries">
    <w:name w:val="Table Text Entries"/>
    <w:basedOn w:val="Normal"/>
    <w:uiPriority w:val="99"/>
    <w:rsid w:val="002F18A6"/>
    <w:pPr>
      <w:keepLines/>
      <w:spacing w:before="40" w:after="40" w:line="200" w:lineRule="atLeast"/>
    </w:pPr>
    <w:rPr>
      <w:rFonts w:ascii="Franklin Gothic Book" w:hAnsi="Franklin Gothic Book"/>
      <w:sz w:val="17"/>
      <w:szCs w:val="17"/>
      <w:lang w:eastAsia="en-US"/>
    </w:rPr>
  </w:style>
  <w:style w:type="character" w:styleId="CommentReference">
    <w:name w:val="annotation reference"/>
    <w:basedOn w:val="DefaultParagraphFont"/>
    <w:uiPriority w:val="99"/>
    <w:semiHidden/>
    <w:rsid w:val="002F18A6"/>
    <w:rPr>
      <w:rFonts w:ascii="Franklin Gothic Medium" w:hAnsi="Franklin Gothic Medium" w:cs="Times New Roman"/>
      <w:vanish/>
      <w:color w:val="FF00FF"/>
      <w:sz w:val="16"/>
    </w:rPr>
  </w:style>
  <w:style w:type="paragraph" w:styleId="CommentText">
    <w:name w:val="annotation text"/>
    <w:basedOn w:val="BodyText"/>
    <w:link w:val="CommentTextChar"/>
    <w:uiPriority w:val="99"/>
    <w:semiHidden/>
    <w:rsid w:val="002F18A6"/>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locked/>
    <w:rsid w:val="002F18A6"/>
    <w:rPr>
      <w:rFonts w:ascii="Calibri" w:hAnsi="Calibri" w:cs="Times New Roman"/>
      <w:sz w:val="18"/>
      <w:szCs w:val="18"/>
      <w:lang w:eastAsia="en-AU"/>
    </w:rPr>
  </w:style>
  <w:style w:type="character" w:styleId="FootnoteReference">
    <w:name w:val="footnote reference"/>
    <w:aliases w:val="ftref,fr,16 Point,Superscript 6 Point,Normal + Font:9 Point,Superscript 3 Point Times"/>
    <w:basedOn w:val="DefaultParagraphFont"/>
    <w:uiPriority w:val="99"/>
    <w:semiHidden/>
    <w:rsid w:val="002F18A6"/>
    <w:rPr>
      <w:rFonts w:ascii="Franklin Gothic Book" w:hAnsi="Franklin Gothic Book" w:cs="Times New Roman"/>
      <w:w w:val="100"/>
      <w:position w:val="6"/>
      <w:sz w:val="12"/>
      <w:vertAlign w:val="baseline"/>
    </w:rPr>
  </w:style>
  <w:style w:type="paragraph" w:styleId="FootnoteText">
    <w:name w:val="footnote text"/>
    <w:aliases w:val="ADB,ft,Fußnotentextf,fn,single space,FOOTNOTES,Fußnotentext Char,Footnote text,Footnote Text Char1,Footnote Text Char2 Char,Footnote Text Char1 Char Char,Footnote Text Char2 Char Char Char,Footno,Char Char3,ALTS FOOTNOTE"/>
    <w:basedOn w:val="BodyText"/>
    <w:link w:val="FootnoteTextChar2"/>
    <w:uiPriority w:val="99"/>
    <w:semiHidden/>
    <w:rsid w:val="002F18A6"/>
    <w:pPr>
      <w:spacing w:before="0" w:after="0" w:line="180" w:lineRule="atLeast"/>
      <w:ind w:left="284" w:hanging="284"/>
    </w:pPr>
    <w:rPr>
      <w:rFonts w:ascii="Franklin Gothic Book" w:eastAsia="Calibri" w:hAnsi="Franklin Gothic Book"/>
      <w:sz w:val="14"/>
      <w:szCs w:val="20"/>
    </w:rPr>
  </w:style>
  <w:style w:type="character" w:customStyle="1" w:styleId="FootnoteTextChar">
    <w:name w:val="Footnote Text Char"/>
    <w:aliases w:val="ADB Char,ft Char,Fußnotentextf Char,fn Char,single space Char,FOOTNOTES Char,Fußnotentext Char Char,Footnote text Char,Footnote Text Char1 Char,Footnote Text Char2 Char Char,Footnote Text Char1 Char Char Char,Footno Char"/>
    <w:basedOn w:val="DefaultParagraphFont"/>
    <w:uiPriority w:val="99"/>
    <w:locked/>
    <w:rsid w:val="00F847D2"/>
    <w:rPr>
      <w:rFonts w:ascii="Times New Roman" w:hAnsi="Times New Roman" w:cs="Times New Roman"/>
      <w:sz w:val="20"/>
      <w:szCs w:val="20"/>
    </w:rPr>
  </w:style>
  <w:style w:type="character" w:customStyle="1" w:styleId="FootnoteTextChar3">
    <w:name w:val="Footnote Text Char3"/>
    <w:aliases w:val="single space Char2,FOOTNOTES Char2,fn Char2,ALTS FOOTNOTE Char,footnote text Char,Footnote Text Char1 Char2,Footnote Text Char2 Char Char2,Footnote Text Char1 Char Char Char2,Footnote Text Char2 Char Char Char Char,ADB Char2,ft Char2"/>
    <w:basedOn w:val="DefaultParagraphFont"/>
    <w:uiPriority w:val="99"/>
    <w:rsid w:val="002F18A6"/>
    <w:rPr>
      <w:rFonts w:ascii="Times New Roman" w:hAnsi="Times New Roman" w:cs="Times New Roman"/>
      <w:sz w:val="20"/>
      <w:szCs w:val="20"/>
      <w:lang w:eastAsia="en-AU"/>
    </w:rPr>
  </w:style>
  <w:style w:type="paragraph" w:customStyle="1" w:styleId="TableDataEntries">
    <w:name w:val="Table Data Entries"/>
    <w:basedOn w:val="TableTextEntries"/>
    <w:uiPriority w:val="99"/>
    <w:rsid w:val="002F18A6"/>
    <w:pPr>
      <w:jc w:val="right"/>
    </w:pPr>
  </w:style>
  <w:style w:type="paragraph" w:customStyle="1" w:styleId="TableDataColumnHeading">
    <w:name w:val="Table Data Column Heading"/>
    <w:basedOn w:val="TableDataEntries"/>
    <w:uiPriority w:val="99"/>
    <w:rsid w:val="002F18A6"/>
    <w:pPr>
      <w:spacing w:before="80" w:after="80"/>
    </w:pPr>
    <w:rPr>
      <w:rFonts w:ascii="Franklin Gothic Medium" w:hAnsi="Franklin Gothic Medium"/>
    </w:rPr>
  </w:style>
  <w:style w:type="paragraph" w:customStyle="1" w:styleId="TableTextColumnHeading">
    <w:name w:val="Table Text Column Heading"/>
    <w:basedOn w:val="TableDataColumnHeading"/>
    <w:uiPriority w:val="99"/>
    <w:rsid w:val="002F18A6"/>
    <w:pPr>
      <w:jc w:val="left"/>
    </w:pPr>
  </w:style>
  <w:style w:type="character" w:customStyle="1" w:styleId="NoteCharChar">
    <w:name w:val="Note Char Char"/>
    <w:link w:val="Note"/>
    <w:uiPriority w:val="99"/>
    <w:locked/>
    <w:rsid w:val="002F18A6"/>
    <w:rPr>
      <w:rFonts w:ascii="Franklin Gothic Book" w:hAnsi="Franklin Gothic Book"/>
      <w:sz w:val="14"/>
    </w:rPr>
  </w:style>
  <w:style w:type="paragraph" w:customStyle="1" w:styleId="CharChar">
    <w:name w:val="Char Char"/>
    <w:basedOn w:val="Normal"/>
    <w:uiPriority w:val="99"/>
    <w:semiHidden/>
    <w:rsid w:val="002F18A6"/>
    <w:pPr>
      <w:spacing w:before="180" w:line="280" w:lineRule="atLeast"/>
    </w:pPr>
    <w:rPr>
      <w:rFonts w:ascii="Arial" w:hAnsi="Arial"/>
      <w:sz w:val="22"/>
      <w:szCs w:val="20"/>
      <w:lang w:eastAsia="en-US"/>
    </w:rPr>
  </w:style>
  <w:style w:type="paragraph" w:customStyle="1" w:styleId="Ratingbullet">
    <w:name w:val="Rating bullet"/>
    <w:basedOn w:val="TableTextEntries"/>
    <w:uiPriority w:val="99"/>
    <w:semiHidden/>
    <w:rsid w:val="002F18A6"/>
    <w:pPr>
      <w:jc w:val="center"/>
    </w:pPr>
    <w:rPr>
      <w:sz w:val="22"/>
      <w:szCs w:val="22"/>
    </w:rPr>
  </w:style>
  <w:style w:type="paragraph" w:customStyle="1" w:styleId="GuidanceText">
    <w:name w:val="Guidance Text"/>
    <w:basedOn w:val="BodyText"/>
    <w:uiPriority w:val="99"/>
    <w:semiHidden/>
    <w:rsid w:val="002F18A6"/>
    <w:pPr>
      <w:spacing w:before="60" w:after="60" w:line="240" w:lineRule="atLeast"/>
    </w:pPr>
    <w:rPr>
      <w:rFonts w:ascii="Calibri" w:hAnsi="Calibri"/>
      <w:color w:val="0000FF"/>
      <w:sz w:val="20"/>
      <w:szCs w:val="20"/>
    </w:rPr>
  </w:style>
  <w:style w:type="character" w:customStyle="1" w:styleId="FootnoteTextChar2">
    <w:name w:val="Footnote Text Char2"/>
    <w:aliases w:val="ADB Char1,ft Char1,Fußnotentextf Char1,fn Char1,single space Char1,FOOTNOTES Char1,Fußnotentext Char Char1,Footnote text Char1,Footnote Text Char1 Char1,Footnote Text Char2 Char Char1,Footnote Text Char1 Char Char Char1,Footno Char1"/>
    <w:link w:val="FootnoteText"/>
    <w:uiPriority w:val="99"/>
    <w:semiHidden/>
    <w:locked/>
    <w:rsid w:val="002F18A6"/>
    <w:rPr>
      <w:rFonts w:ascii="Franklin Gothic Book" w:hAnsi="Franklin Gothic Book"/>
      <w:sz w:val="14"/>
      <w:lang w:eastAsia="en-AU"/>
    </w:rPr>
  </w:style>
  <w:style w:type="paragraph" w:customStyle="1" w:styleId="gray">
    <w:name w:val="gray"/>
    <w:basedOn w:val="Normal"/>
    <w:rsid w:val="002F18A6"/>
    <w:pPr>
      <w:spacing w:before="136" w:after="136" w:line="288" w:lineRule="auto"/>
      <w:ind w:left="136" w:right="136"/>
    </w:pPr>
    <w:rPr>
      <w:rFonts w:ascii="Arial" w:hAnsi="Arial" w:cs="Arial"/>
      <w:color w:val="333333"/>
      <w:sz w:val="16"/>
      <w:szCs w:val="16"/>
    </w:rPr>
  </w:style>
  <w:style w:type="paragraph" w:customStyle="1" w:styleId="Default">
    <w:name w:val="Default"/>
    <w:uiPriority w:val="99"/>
    <w:rsid w:val="002F18A6"/>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rsid w:val="002F18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18A6"/>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E65BB7"/>
    <w:pPr>
      <w:spacing w:before="0"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locked/>
    <w:rsid w:val="00E65BB7"/>
    <w:rPr>
      <w:rFonts w:ascii="Times New Roman" w:hAnsi="Times New Roman" w:cs="Times New Roman"/>
      <w:b/>
      <w:bCs/>
      <w:sz w:val="20"/>
      <w:szCs w:val="20"/>
      <w:lang w:eastAsia="en-AU"/>
    </w:rPr>
  </w:style>
  <w:style w:type="paragraph" w:styleId="ListParagraph">
    <w:name w:val="List Paragraph"/>
    <w:aliases w:val="List Paragraph1,Recommendation,List Paragraph11"/>
    <w:basedOn w:val="Normal"/>
    <w:link w:val="ListParagraphChar"/>
    <w:uiPriority w:val="99"/>
    <w:qFormat/>
    <w:rsid w:val="005740A6"/>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List Paragraph1 Char,Recommendation Char,List Paragraph11 Char"/>
    <w:basedOn w:val="DefaultParagraphFont"/>
    <w:link w:val="ListParagraph"/>
    <w:uiPriority w:val="99"/>
    <w:locked/>
    <w:rsid w:val="005740A6"/>
    <w:rPr>
      <w:rFonts w:cs="Times New Roman"/>
    </w:rPr>
  </w:style>
  <w:style w:type="paragraph" w:customStyle="1" w:styleId="CharChar1">
    <w:name w:val="Char Char1"/>
    <w:basedOn w:val="Normal"/>
    <w:uiPriority w:val="99"/>
    <w:semiHidden/>
    <w:rsid w:val="00986FF8"/>
    <w:pPr>
      <w:spacing w:before="180" w:line="280" w:lineRule="atLeast"/>
    </w:pPr>
    <w:rPr>
      <w:rFonts w:ascii="Arial" w:hAnsi="Arial"/>
      <w:sz w:val="22"/>
      <w:szCs w:val="20"/>
      <w:lang w:eastAsia="en-US"/>
    </w:rPr>
  </w:style>
  <w:style w:type="table" w:styleId="TableGrid">
    <w:name w:val="Table Grid"/>
    <w:basedOn w:val="TableNormal"/>
    <w:uiPriority w:val="99"/>
    <w:rsid w:val="00804C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1ptBlack">
    <w:name w:val="Style 11 pt Black"/>
    <w:uiPriority w:val="99"/>
    <w:rsid w:val="00B9050D"/>
    <w:rPr>
      <w:rFonts w:ascii="Arial" w:hAnsi="Arial"/>
      <w:color w:val="000000"/>
      <w:sz w:val="21"/>
    </w:rPr>
  </w:style>
  <w:style w:type="paragraph" w:customStyle="1" w:styleId="TableListNumber">
    <w:name w:val="Table List Number"/>
    <w:basedOn w:val="TableTextEntries"/>
    <w:uiPriority w:val="99"/>
    <w:rsid w:val="0088795A"/>
    <w:pPr>
      <w:numPr>
        <w:numId w:val="10"/>
      </w:numPr>
    </w:pPr>
  </w:style>
  <w:style w:type="character" w:customStyle="1" w:styleId="BulletChar">
    <w:name w:val="Bullet Char"/>
    <w:aliases w:val="b Char"/>
    <w:link w:val="Bullet"/>
    <w:uiPriority w:val="99"/>
    <w:locked/>
    <w:rsid w:val="003B2537"/>
    <w:rPr>
      <w:rFonts w:ascii="Palatino" w:hAnsi="Palatino"/>
      <w:color w:val="000000"/>
    </w:rPr>
  </w:style>
  <w:style w:type="paragraph" w:customStyle="1" w:styleId="Bullet">
    <w:name w:val="Bullet"/>
    <w:aliases w:val="b"/>
    <w:basedOn w:val="Normal"/>
    <w:link w:val="BulletChar"/>
    <w:uiPriority w:val="99"/>
    <w:rsid w:val="003B2537"/>
    <w:pPr>
      <w:numPr>
        <w:numId w:val="11"/>
      </w:numPr>
      <w:spacing w:after="240" w:line="320" w:lineRule="exact"/>
    </w:pPr>
    <w:rPr>
      <w:rFonts w:ascii="Palatino" w:eastAsia="Calibri" w:hAnsi="Palatino"/>
      <w:color w:val="000000"/>
      <w:szCs w:val="20"/>
    </w:rPr>
  </w:style>
  <w:style w:type="paragraph" w:styleId="NormalWeb">
    <w:name w:val="Normal (Web)"/>
    <w:basedOn w:val="Normal"/>
    <w:uiPriority w:val="99"/>
    <w:semiHidden/>
    <w:unhideWhenUsed/>
    <w:locked/>
    <w:rsid w:val="00CB328F"/>
    <w:pPr>
      <w:spacing w:before="100" w:beforeAutospacing="1" w:after="100" w:afterAutospacing="1"/>
    </w:pPr>
    <w:rPr>
      <w:rFonts w:eastAsia="Calibri"/>
      <w:sz w:val="24"/>
    </w:rPr>
  </w:style>
  <w:style w:type="paragraph" w:customStyle="1" w:styleId="H1">
    <w:name w:val="H1"/>
    <w:basedOn w:val="Heading2"/>
    <w:qFormat/>
    <w:rsid w:val="0053432A"/>
  </w:style>
  <w:style w:type="paragraph" w:customStyle="1" w:styleId="H1A">
    <w:name w:val="H1 A"/>
    <w:basedOn w:val="Normal"/>
    <w:qFormat/>
    <w:rsid w:val="0053432A"/>
    <w:pPr>
      <w:keepNext/>
      <w:spacing w:after="100" w:line="320" w:lineRule="atLeast"/>
      <w:outlineLvl w:val="0"/>
    </w:pPr>
    <w:rPr>
      <w:rFonts w:ascii="Franklin Gothic Demi" w:hAnsi="Franklin Gothic Demi"/>
      <w:color w:val="AD495D"/>
      <w:kern w:val="28"/>
      <w:sz w:val="28"/>
      <w:szCs w:val="28"/>
    </w:rPr>
  </w:style>
  <w:style w:type="paragraph" w:customStyle="1" w:styleId="H2">
    <w:name w:val="H2"/>
    <w:basedOn w:val="gray"/>
    <w:qFormat/>
    <w:rsid w:val="0053432A"/>
    <w:pPr>
      <w:spacing w:before="240" w:after="0" w:line="280" w:lineRule="atLeast"/>
      <w:ind w:left="0" w:right="272"/>
    </w:pPr>
    <w:rPr>
      <w:rFonts w:ascii="Georgia" w:hAnsi="Georgia"/>
      <w:b/>
      <w:sz w:val="19"/>
      <w:szCs w:val="19"/>
    </w:rPr>
  </w:style>
  <w:style w:type="paragraph" w:customStyle="1" w:styleId="H3">
    <w:name w:val="H3"/>
    <w:basedOn w:val="gray"/>
    <w:qFormat/>
    <w:rsid w:val="0053432A"/>
    <w:pPr>
      <w:tabs>
        <w:tab w:val="left" w:pos="5448"/>
        <w:tab w:val="left" w:pos="7526"/>
      </w:tabs>
      <w:spacing w:before="240" w:after="120" w:line="280" w:lineRule="atLeast"/>
      <w:ind w:left="0" w:right="272"/>
    </w:pPr>
    <w:rPr>
      <w:rFonts w:ascii="Georgia" w:hAnsi="Georgia"/>
      <w:b/>
      <w:sz w:val="19"/>
      <w:szCs w:val="19"/>
    </w:rPr>
  </w:style>
  <w:style w:type="paragraph" w:styleId="TOCHeading">
    <w:name w:val="TOC Heading"/>
    <w:basedOn w:val="Heading1"/>
    <w:next w:val="Normal"/>
    <w:uiPriority w:val="39"/>
    <w:semiHidden/>
    <w:unhideWhenUsed/>
    <w:qFormat/>
    <w:rsid w:val="00254B91"/>
    <w:pPr>
      <w:spacing w:line="276" w:lineRule="auto"/>
      <w:outlineLvl w:val="9"/>
    </w:pPr>
    <w:rPr>
      <w:rFonts w:asciiTheme="majorHAnsi" w:eastAsiaTheme="majorEastAsia" w:hAnsiTheme="majorHAnsi" w:cstheme="majorBidi"/>
      <w:color w:val="365F91" w:themeColor="accent1" w:themeShade="BF"/>
      <w:lang w:val="en-US" w:eastAsia="ja-JP"/>
    </w:rPr>
  </w:style>
  <w:style w:type="paragraph" w:styleId="TOC2">
    <w:name w:val="toc 2"/>
    <w:basedOn w:val="Normal"/>
    <w:next w:val="Normal"/>
    <w:autoRedefine/>
    <w:uiPriority w:val="39"/>
    <w:rsid w:val="00254B91"/>
    <w:pPr>
      <w:spacing w:after="100"/>
      <w:ind w:left="200"/>
    </w:pPr>
  </w:style>
  <w:style w:type="paragraph" w:styleId="TOC1">
    <w:name w:val="toc 1"/>
    <w:basedOn w:val="Normal"/>
    <w:next w:val="Normal"/>
    <w:autoRedefine/>
    <w:uiPriority w:val="39"/>
    <w:rsid w:val="00254B91"/>
    <w:pPr>
      <w:spacing w:after="100"/>
    </w:pPr>
  </w:style>
  <w:style w:type="character" w:styleId="Hyperlink">
    <w:name w:val="Hyperlink"/>
    <w:basedOn w:val="DefaultParagraphFont"/>
    <w:uiPriority w:val="99"/>
    <w:unhideWhenUsed/>
    <w:locked/>
    <w:rsid w:val="00254B91"/>
    <w:rPr>
      <w:color w:val="0000FF" w:themeColor="hyperlink"/>
      <w:u w:val="single"/>
    </w:rPr>
  </w:style>
  <w:style w:type="paragraph" w:customStyle="1" w:styleId="H1B">
    <w:name w:val="H1 B"/>
    <w:basedOn w:val="TOCHeading"/>
    <w:qFormat/>
    <w:rsid w:val="00254B91"/>
  </w:style>
  <w:style w:type="paragraph" w:customStyle="1" w:styleId="H4">
    <w:name w:val="H4"/>
    <w:basedOn w:val="gray"/>
    <w:qFormat/>
    <w:rsid w:val="00AB71D0"/>
    <w:pPr>
      <w:tabs>
        <w:tab w:val="left" w:pos="5448"/>
        <w:tab w:val="left" w:pos="7526"/>
      </w:tabs>
      <w:spacing w:before="240" w:after="120" w:line="280" w:lineRule="atLeast"/>
      <w:ind w:left="0" w:right="272"/>
    </w:pPr>
    <w:rPr>
      <w:rFonts w:ascii="Georgia" w:hAnsi="Georgia"/>
      <w: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676456">
      <w:bodyDiv w:val="1"/>
      <w:marLeft w:val="0"/>
      <w:marRight w:val="0"/>
      <w:marTop w:val="0"/>
      <w:marBottom w:val="0"/>
      <w:divBdr>
        <w:top w:val="none" w:sz="0" w:space="0" w:color="auto"/>
        <w:left w:val="none" w:sz="0" w:space="0" w:color="auto"/>
        <w:bottom w:val="none" w:sz="0" w:space="0" w:color="auto"/>
        <w:right w:val="none" w:sz="0" w:space="0" w:color="auto"/>
      </w:divBdr>
    </w:div>
    <w:div w:id="470950687">
      <w:bodyDiv w:val="1"/>
      <w:marLeft w:val="0"/>
      <w:marRight w:val="0"/>
      <w:marTop w:val="0"/>
      <w:marBottom w:val="0"/>
      <w:divBdr>
        <w:top w:val="none" w:sz="0" w:space="0" w:color="auto"/>
        <w:left w:val="none" w:sz="0" w:space="0" w:color="auto"/>
        <w:bottom w:val="none" w:sz="0" w:space="0" w:color="auto"/>
        <w:right w:val="none" w:sz="0" w:space="0" w:color="auto"/>
      </w:divBdr>
    </w:div>
    <w:div w:id="820925061">
      <w:bodyDiv w:val="1"/>
      <w:marLeft w:val="0"/>
      <w:marRight w:val="0"/>
      <w:marTop w:val="0"/>
      <w:marBottom w:val="0"/>
      <w:divBdr>
        <w:top w:val="none" w:sz="0" w:space="0" w:color="auto"/>
        <w:left w:val="none" w:sz="0" w:space="0" w:color="auto"/>
        <w:bottom w:val="none" w:sz="0" w:space="0" w:color="auto"/>
        <w:right w:val="none" w:sz="0" w:space="0" w:color="auto"/>
      </w:divBdr>
    </w:div>
    <w:div w:id="966351180">
      <w:bodyDiv w:val="1"/>
      <w:marLeft w:val="0"/>
      <w:marRight w:val="0"/>
      <w:marTop w:val="0"/>
      <w:marBottom w:val="0"/>
      <w:divBdr>
        <w:top w:val="none" w:sz="0" w:space="0" w:color="auto"/>
        <w:left w:val="none" w:sz="0" w:space="0" w:color="auto"/>
        <w:bottom w:val="none" w:sz="0" w:space="0" w:color="auto"/>
        <w:right w:val="none" w:sz="0" w:space="0" w:color="auto"/>
      </w:divBdr>
    </w:div>
    <w:div w:id="1149400869">
      <w:marLeft w:val="0"/>
      <w:marRight w:val="0"/>
      <w:marTop w:val="0"/>
      <w:marBottom w:val="0"/>
      <w:divBdr>
        <w:top w:val="none" w:sz="0" w:space="0" w:color="auto"/>
        <w:left w:val="none" w:sz="0" w:space="0" w:color="auto"/>
        <w:bottom w:val="none" w:sz="0" w:space="0" w:color="auto"/>
        <w:right w:val="none" w:sz="0" w:space="0" w:color="auto"/>
      </w:divBdr>
    </w:div>
    <w:div w:id="1149400870">
      <w:marLeft w:val="0"/>
      <w:marRight w:val="0"/>
      <w:marTop w:val="0"/>
      <w:marBottom w:val="0"/>
      <w:divBdr>
        <w:top w:val="none" w:sz="0" w:space="0" w:color="auto"/>
        <w:left w:val="none" w:sz="0" w:space="0" w:color="auto"/>
        <w:bottom w:val="none" w:sz="0" w:space="0" w:color="auto"/>
        <w:right w:val="none" w:sz="0" w:space="0" w:color="auto"/>
      </w:divBdr>
    </w:div>
    <w:div w:id="1149400871">
      <w:marLeft w:val="0"/>
      <w:marRight w:val="0"/>
      <w:marTop w:val="0"/>
      <w:marBottom w:val="0"/>
      <w:divBdr>
        <w:top w:val="none" w:sz="0" w:space="0" w:color="auto"/>
        <w:left w:val="none" w:sz="0" w:space="0" w:color="auto"/>
        <w:bottom w:val="none" w:sz="0" w:space="0" w:color="auto"/>
        <w:right w:val="none" w:sz="0" w:space="0" w:color="auto"/>
      </w:divBdr>
    </w:div>
    <w:div w:id="1149400872">
      <w:marLeft w:val="0"/>
      <w:marRight w:val="0"/>
      <w:marTop w:val="0"/>
      <w:marBottom w:val="0"/>
      <w:divBdr>
        <w:top w:val="none" w:sz="0" w:space="0" w:color="auto"/>
        <w:left w:val="none" w:sz="0" w:space="0" w:color="auto"/>
        <w:bottom w:val="none" w:sz="0" w:space="0" w:color="auto"/>
        <w:right w:val="none" w:sz="0" w:space="0" w:color="auto"/>
      </w:divBdr>
    </w:div>
    <w:div w:id="11494008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en.wikipedia.org/wiki/English_language" TargetMode="External"/><Relationship Id="rId1" Type="http://schemas.openxmlformats.org/officeDocument/2006/relationships/hyperlink" Target="http://en.wikipedia.org/wiki/Standardised_t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00A03-4679-40F9-BB3E-23EA3694B0A8}"/>
</file>

<file path=customXml/itemProps2.xml><?xml version="1.0" encoding="utf-8"?>
<ds:datastoreItem xmlns:ds="http://schemas.openxmlformats.org/officeDocument/2006/customXml" ds:itemID="{E6DB575E-1348-4300-9BD6-83374CBCFDA6}"/>
</file>

<file path=customXml/itemProps3.xml><?xml version="1.0" encoding="utf-8"?>
<ds:datastoreItem xmlns:ds="http://schemas.openxmlformats.org/officeDocument/2006/customXml" ds:itemID="{A53FF471-DD70-4F65-B4EE-C168DE740B21}"/>
</file>

<file path=customXml/itemProps4.xml><?xml version="1.0" encoding="utf-8"?>
<ds:datastoreItem xmlns:ds="http://schemas.openxmlformats.org/officeDocument/2006/customXml" ds:itemID="{04AF2A1B-4540-4B5F-B2DE-385DF0536E16}"/>
</file>

<file path=docProps/app.xml><?xml version="1.0" encoding="utf-8"?>
<Properties xmlns="http://schemas.openxmlformats.org/officeDocument/2006/extended-properties" xmlns:vt="http://schemas.openxmlformats.org/officeDocument/2006/docPropsVTypes">
  <Template>Normal.dotm</Template>
  <TotalTime>48</TotalTime>
  <Pages>23</Pages>
  <Words>7627</Words>
  <Characters>45392</Characters>
  <Application>Microsoft Office Word</Application>
  <DocSecurity>0</DocSecurity>
  <Lines>378</Lines>
  <Paragraphs>105</Paragraphs>
  <ScaleCrop>false</ScaleCrop>
  <HeadingPairs>
    <vt:vector size="2" baseType="variant">
      <vt:variant>
        <vt:lpstr>Title</vt:lpstr>
      </vt:variant>
      <vt:variant>
        <vt:i4>1</vt:i4>
      </vt:variant>
    </vt:vector>
  </HeadingPairs>
  <TitlesOfParts>
    <vt:vector size="1" baseType="lpstr">
      <vt:lpstr>Kiribati Annual Program Performance Report 2011</vt:lpstr>
    </vt:vector>
  </TitlesOfParts>
  <Company>AusAID</Company>
  <LinksUpToDate>false</LinksUpToDate>
  <CharactersWithSpaces>52914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Kiribati Annual Program Performance Report 2011</dc:title>
  <dc:creator>Freya Beaumont</dc:creator>
  <cp:lastModifiedBy>Muhammad Khattab</cp:lastModifiedBy>
  <cp:revision>12</cp:revision>
  <cp:lastPrinted>2012-09-21T05:18:00Z</cp:lastPrinted>
  <dcterms:created xsi:type="dcterms:W3CDTF">2012-10-17T01:14:00Z</dcterms:created>
  <dcterms:modified xsi:type="dcterms:W3CDTF">2013-07-04T18:20:00Z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