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1CA78" w14:textId="51167BEE" w:rsidR="00F635AE" w:rsidRDefault="00EF1A30" w:rsidP="006C580D">
      <w:pPr>
        <w:pStyle w:val="Heading1"/>
        <w:spacing w:after="120"/>
        <w:contextualSpacing w:val="0"/>
        <w:rPr>
          <w:color w:val="auto"/>
        </w:rPr>
      </w:pPr>
      <w:bookmarkStart w:id="0" w:name="_Toc475348267"/>
      <w:bookmarkStart w:id="1" w:name="_GoBack"/>
      <w:bookmarkEnd w:id="1"/>
      <w:r>
        <w:rPr>
          <w:color w:val="auto"/>
        </w:rPr>
        <w:t xml:space="preserve">INDEPENDENT EVALUATION </w:t>
      </w:r>
      <w:r w:rsidR="00F635AE" w:rsidRPr="007451B9">
        <w:rPr>
          <w:color w:val="auto"/>
        </w:rPr>
        <w:t xml:space="preserve">Management Response </w:t>
      </w:r>
      <w:bookmarkEnd w:id="0"/>
    </w:p>
    <w:p w14:paraId="5BEA1459" w14:textId="5B6B58A8" w:rsidR="00EF1A30" w:rsidRPr="00EF1A30" w:rsidRDefault="00EF1A30" w:rsidP="00EF1A30">
      <w:pPr>
        <w:rPr>
          <w:rFonts w:asciiTheme="majorHAnsi" w:eastAsiaTheme="majorEastAsia" w:hAnsiTheme="majorHAnsi" w:cstheme="majorBidi"/>
          <w:b/>
          <w:bCs/>
          <w:caps/>
          <w:color w:val="auto"/>
          <w:sz w:val="32"/>
          <w:szCs w:val="32"/>
        </w:rPr>
      </w:pPr>
      <w:r w:rsidRPr="00EF1A30">
        <w:rPr>
          <w:rFonts w:asciiTheme="majorHAnsi" w:eastAsiaTheme="majorEastAsia" w:hAnsiTheme="majorHAnsi" w:cstheme="majorBidi"/>
          <w:b/>
          <w:bCs/>
          <w:caps/>
          <w:color w:val="auto"/>
          <w:sz w:val="32"/>
          <w:szCs w:val="32"/>
        </w:rPr>
        <w:t>KIRIBATI EDUCATION IMPROVEMENT PROGRAM</w:t>
      </w:r>
    </w:p>
    <w:p w14:paraId="2E7143B9" w14:textId="77777777" w:rsidR="00F635AE" w:rsidRPr="002B1079" w:rsidRDefault="00F635AE" w:rsidP="00F635AE">
      <w:pPr>
        <w:pStyle w:val="Heading3"/>
        <w:contextualSpacing w:val="0"/>
      </w:pPr>
      <w:r>
        <w:t>Summary of management r</w:t>
      </w:r>
      <w:r w:rsidRPr="002B1079">
        <w:t xml:space="preserve">esponse </w:t>
      </w:r>
    </w:p>
    <w:p w14:paraId="4A3FD9C9" w14:textId="2456C441" w:rsidR="00F635AE" w:rsidRDefault="003644B7" w:rsidP="00F635AE">
      <w:pPr>
        <w:pStyle w:val="BodyText"/>
      </w:pPr>
      <w:r>
        <w:t xml:space="preserve">We (Tarawa Post) agree with the broad thrust of the evaluation’s findings, conclusions and recommendations with most being used to either guide activities over the balance of the program’s current phase or </w:t>
      </w:r>
      <w:r w:rsidR="003E59EF">
        <w:t xml:space="preserve">to </w:t>
      </w:r>
      <w:r>
        <w:t>inform the design of our future support to Kiribati’s education sector.</w:t>
      </w:r>
    </w:p>
    <w:p w14:paraId="0E92DC19" w14:textId="77777777" w:rsidR="00F635AE" w:rsidRDefault="00F635AE" w:rsidP="003E59EF">
      <w:pPr>
        <w:pStyle w:val="Heading3"/>
        <w:spacing w:before="240"/>
      </w:pPr>
      <w:r>
        <w:t>Individual m</w:t>
      </w:r>
      <w:r w:rsidRPr="002B1079">
        <w:t xml:space="preserve">anagement response to the recommendations </w:t>
      </w:r>
    </w:p>
    <w:tbl>
      <w:tblPr>
        <w:tblStyle w:val="TableGrid"/>
        <w:tblW w:w="13603" w:type="dxa"/>
        <w:tblLook w:val="04A0" w:firstRow="1" w:lastRow="0" w:firstColumn="1" w:lastColumn="0" w:noHBand="0" w:noVBand="1"/>
      </w:tblPr>
      <w:tblGrid>
        <w:gridCol w:w="562"/>
        <w:gridCol w:w="2552"/>
        <w:gridCol w:w="3969"/>
        <w:gridCol w:w="3969"/>
        <w:gridCol w:w="2551"/>
      </w:tblGrid>
      <w:tr w:rsidR="00DE56E2" w:rsidRPr="00DE56E2" w14:paraId="7C1E8013" w14:textId="77777777" w:rsidTr="00C66C68">
        <w:trPr>
          <w:trHeight w:val="511"/>
        </w:trPr>
        <w:tc>
          <w:tcPr>
            <w:tcW w:w="562" w:type="dxa"/>
            <w:shd w:val="clear" w:color="auto" w:fill="F2F2F2" w:themeFill="background1" w:themeFillShade="F2"/>
          </w:tcPr>
          <w:p w14:paraId="33126A06" w14:textId="77777777" w:rsidR="004E5993" w:rsidRPr="00DE56E2" w:rsidRDefault="009F1045" w:rsidP="004E5993">
            <w:pPr>
              <w:rPr>
                <w:b/>
                <w:color w:val="auto"/>
                <w:lang w:val="en-AU"/>
              </w:rPr>
            </w:pPr>
            <w:r w:rsidRPr="00DE56E2">
              <w:rPr>
                <w:b/>
                <w:color w:val="auto"/>
                <w:lang w:val="en-AU"/>
              </w:rPr>
              <w:t>#</w:t>
            </w:r>
          </w:p>
        </w:tc>
        <w:tc>
          <w:tcPr>
            <w:tcW w:w="2552" w:type="dxa"/>
            <w:shd w:val="clear" w:color="auto" w:fill="F2F2F2" w:themeFill="background1" w:themeFillShade="F2"/>
          </w:tcPr>
          <w:p w14:paraId="647A31D5" w14:textId="77777777" w:rsidR="004E5993" w:rsidRPr="00DE56E2" w:rsidRDefault="00D6363A" w:rsidP="004E5993">
            <w:pPr>
              <w:rPr>
                <w:b/>
                <w:color w:val="auto"/>
                <w:lang w:val="en-AU"/>
              </w:rPr>
            </w:pPr>
            <w:r w:rsidRPr="00DE56E2">
              <w:rPr>
                <w:b/>
                <w:color w:val="auto"/>
                <w:lang w:val="en-AU"/>
              </w:rPr>
              <w:t>R</w:t>
            </w:r>
            <w:r w:rsidR="004E5993" w:rsidRPr="00DE56E2">
              <w:rPr>
                <w:b/>
                <w:color w:val="auto"/>
                <w:lang w:val="en-AU"/>
              </w:rPr>
              <w:t>ecommendation</w:t>
            </w:r>
          </w:p>
        </w:tc>
        <w:tc>
          <w:tcPr>
            <w:tcW w:w="3969" w:type="dxa"/>
            <w:shd w:val="clear" w:color="auto" w:fill="F2F2F2" w:themeFill="background1" w:themeFillShade="F2"/>
          </w:tcPr>
          <w:p w14:paraId="3ED6A76C" w14:textId="77777777" w:rsidR="004E5993" w:rsidRPr="00DE56E2" w:rsidRDefault="004E5993" w:rsidP="004E5993">
            <w:pPr>
              <w:rPr>
                <w:b/>
                <w:color w:val="auto"/>
                <w:lang w:val="en-AU"/>
              </w:rPr>
            </w:pPr>
            <w:r w:rsidRPr="00DE56E2">
              <w:rPr>
                <w:b/>
                <w:color w:val="auto"/>
                <w:lang w:val="en-AU"/>
              </w:rPr>
              <w:t>Response and explanation</w:t>
            </w:r>
          </w:p>
        </w:tc>
        <w:tc>
          <w:tcPr>
            <w:tcW w:w="3969" w:type="dxa"/>
            <w:shd w:val="clear" w:color="auto" w:fill="F2F2F2" w:themeFill="background1" w:themeFillShade="F2"/>
          </w:tcPr>
          <w:p w14:paraId="4BE1BB6A" w14:textId="77777777" w:rsidR="004E5993" w:rsidRPr="00DE56E2" w:rsidRDefault="004E5993" w:rsidP="004E5993">
            <w:pPr>
              <w:rPr>
                <w:b/>
                <w:color w:val="auto"/>
                <w:lang w:val="en-AU"/>
              </w:rPr>
            </w:pPr>
            <w:r w:rsidRPr="00DE56E2">
              <w:rPr>
                <w:b/>
                <w:color w:val="auto"/>
                <w:lang w:val="en-AU"/>
              </w:rPr>
              <w:t>Action plan</w:t>
            </w:r>
          </w:p>
        </w:tc>
        <w:tc>
          <w:tcPr>
            <w:tcW w:w="2551" w:type="dxa"/>
            <w:shd w:val="clear" w:color="auto" w:fill="F2F2F2" w:themeFill="background1" w:themeFillShade="F2"/>
          </w:tcPr>
          <w:p w14:paraId="2DDFC1E7" w14:textId="77777777" w:rsidR="004E5993" w:rsidRPr="00DE56E2" w:rsidRDefault="004E5993" w:rsidP="003205EA">
            <w:pPr>
              <w:rPr>
                <w:b/>
                <w:color w:val="auto"/>
                <w:lang w:val="en-AU"/>
              </w:rPr>
            </w:pPr>
            <w:r w:rsidRPr="00DE56E2">
              <w:rPr>
                <w:b/>
                <w:color w:val="auto"/>
                <w:lang w:val="en-AU"/>
              </w:rPr>
              <w:t xml:space="preserve">Timeframe </w:t>
            </w:r>
          </w:p>
        </w:tc>
      </w:tr>
      <w:tr w:rsidR="00DE56E2" w:rsidRPr="00DE56E2" w14:paraId="5F59B34C" w14:textId="77777777" w:rsidTr="0038060A">
        <w:trPr>
          <w:trHeight w:val="2408"/>
        </w:trPr>
        <w:tc>
          <w:tcPr>
            <w:tcW w:w="562" w:type="dxa"/>
          </w:tcPr>
          <w:p w14:paraId="39244BD8" w14:textId="77777777" w:rsidR="004E5993" w:rsidRPr="00DE56E2" w:rsidRDefault="004E5993" w:rsidP="004E5993">
            <w:pPr>
              <w:pStyle w:val="BodyText"/>
              <w:rPr>
                <w:rFonts w:cstheme="minorHAnsi"/>
                <w:b/>
                <w:color w:val="auto"/>
              </w:rPr>
            </w:pPr>
            <w:r w:rsidRPr="00DE56E2">
              <w:rPr>
                <w:rFonts w:cstheme="minorHAnsi"/>
                <w:b/>
                <w:color w:val="auto"/>
              </w:rPr>
              <w:t>1</w:t>
            </w:r>
          </w:p>
        </w:tc>
        <w:tc>
          <w:tcPr>
            <w:tcW w:w="2552" w:type="dxa"/>
          </w:tcPr>
          <w:p w14:paraId="407E6985" w14:textId="77777777" w:rsidR="004E5993" w:rsidRPr="00DE56E2" w:rsidRDefault="004E5993" w:rsidP="003710A1">
            <w:pPr>
              <w:pStyle w:val="BodyText"/>
              <w:rPr>
                <w:rFonts w:cstheme="minorHAnsi"/>
                <w:color w:val="auto"/>
              </w:rPr>
            </w:pPr>
            <w:r w:rsidRPr="00DE56E2">
              <w:rPr>
                <w:rFonts w:cstheme="minorHAnsi"/>
                <w:color w:val="auto"/>
              </w:rPr>
              <w:t>Establish policy dialogue process</w:t>
            </w:r>
            <w:r w:rsidR="00183861" w:rsidRPr="00DE56E2">
              <w:rPr>
                <w:rFonts w:cstheme="minorHAnsi"/>
                <w:color w:val="auto"/>
              </w:rPr>
              <w:t>es</w:t>
            </w:r>
            <w:r w:rsidRPr="00DE56E2">
              <w:rPr>
                <w:rFonts w:cstheme="minorHAnsi"/>
                <w:color w:val="auto"/>
              </w:rPr>
              <w:t xml:space="preserve"> that will </w:t>
            </w:r>
            <w:r w:rsidR="003710A1" w:rsidRPr="00DE56E2">
              <w:rPr>
                <w:rFonts w:cstheme="minorHAnsi"/>
                <w:color w:val="auto"/>
              </w:rPr>
              <w:t xml:space="preserve">be of mutual benefit to the Ministry of Education </w:t>
            </w:r>
            <w:r w:rsidRPr="00DE56E2">
              <w:rPr>
                <w:rFonts w:cstheme="minorHAnsi"/>
                <w:color w:val="auto"/>
              </w:rPr>
              <w:t>and DFAT, ensuring issues, priority needs and policy agendas are discussed</w:t>
            </w:r>
          </w:p>
        </w:tc>
        <w:tc>
          <w:tcPr>
            <w:tcW w:w="3969" w:type="dxa"/>
          </w:tcPr>
          <w:p w14:paraId="4CA2FB2B" w14:textId="0E5B1626" w:rsidR="004E5993" w:rsidRPr="00DE56E2" w:rsidRDefault="004E5993" w:rsidP="00183861">
            <w:pPr>
              <w:spacing w:after="0"/>
              <w:rPr>
                <w:rFonts w:cstheme="minorHAnsi"/>
                <w:b/>
                <w:color w:val="auto"/>
                <w:lang w:val="en-AU"/>
              </w:rPr>
            </w:pPr>
            <w:r w:rsidRPr="00DE56E2">
              <w:rPr>
                <w:rFonts w:cstheme="minorHAnsi"/>
                <w:b/>
                <w:color w:val="auto"/>
                <w:lang w:val="en-AU"/>
              </w:rPr>
              <w:t>Agree</w:t>
            </w:r>
            <w:r w:rsidR="00183861" w:rsidRPr="00DE56E2">
              <w:rPr>
                <w:rFonts w:cstheme="minorHAnsi"/>
                <w:b/>
                <w:color w:val="auto"/>
                <w:lang w:val="en-AU"/>
              </w:rPr>
              <w:t xml:space="preserve">: </w:t>
            </w:r>
            <w:r w:rsidR="000C6BAB" w:rsidRPr="00DE56E2">
              <w:rPr>
                <w:rFonts w:cstheme="minorHAnsi"/>
                <w:color w:val="auto"/>
                <w:lang w:val="en-AU"/>
              </w:rPr>
              <w:t>DFAT and the ministry</w:t>
            </w:r>
            <w:r w:rsidR="003205EA" w:rsidRPr="00DE56E2">
              <w:rPr>
                <w:rFonts w:cstheme="minorHAnsi"/>
                <w:color w:val="auto"/>
                <w:lang w:val="en-AU"/>
              </w:rPr>
              <w:t>’s executive</w:t>
            </w:r>
            <w:r w:rsidR="000C6BAB" w:rsidRPr="00DE56E2">
              <w:rPr>
                <w:rFonts w:cstheme="minorHAnsi"/>
                <w:color w:val="auto"/>
                <w:lang w:val="en-AU"/>
              </w:rPr>
              <w:t xml:space="preserve"> (along with</w:t>
            </w:r>
            <w:r w:rsidR="00BC1005">
              <w:rPr>
                <w:rFonts w:cstheme="minorHAnsi"/>
                <w:color w:val="auto"/>
                <w:lang w:val="en-AU"/>
              </w:rPr>
              <w:t xml:space="preserve"> the program</w:t>
            </w:r>
            <w:r w:rsidR="000C6BAB" w:rsidRPr="00DE56E2">
              <w:rPr>
                <w:rFonts w:cstheme="minorHAnsi"/>
                <w:color w:val="auto"/>
                <w:lang w:val="en-AU"/>
              </w:rPr>
              <w:t xml:space="preserve"> implementing partner) will meet quarterly to discu</w:t>
            </w:r>
            <w:r w:rsidR="003710A1" w:rsidRPr="00DE56E2">
              <w:rPr>
                <w:rFonts w:cstheme="minorHAnsi"/>
                <w:color w:val="auto"/>
                <w:lang w:val="en-AU"/>
              </w:rPr>
              <w:t xml:space="preserve">ss strategic matters, and on an </w:t>
            </w:r>
            <w:r w:rsidR="000C6BAB" w:rsidRPr="00DE56E2">
              <w:rPr>
                <w:rFonts w:cstheme="minorHAnsi"/>
                <w:color w:val="auto"/>
                <w:lang w:val="en-AU"/>
              </w:rPr>
              <w:t>‘exception’</w:t>
            </w:r>
            <w:r w:rsidR="003205EA" w:rsidRPr="00DE56E2">
              <w:rPr>
                <w:rFonts w:cstheme="minorHAnsi"/>
                <w:color w:val="auto"/>
                <w:lang w:val="en-AU"/>
              </w:rPr>
              <w:t xml:space="preserve"> basis beyond that. Both </w:t>
            </w:r>
            <w:r w:rsidR="00D17A79" w:rsidRPr="00DE56E2">
              <w:rPr>
                <w:rFonts w:cstheme="minorHAnsi"/>
                <w:color w:val="auto"/>
                <w:lang w:val="en-AU"/>
              </w:rPr>
              <w:t xml:space="preserve">will be </w:t>
            </w:r>
            <w:r w:rsidR="003205EA" w:rsidRPr="00DE56E2">
              <w:rPr>
                <w:rFonts w:cstheme="minorHAnsi"/>
                <w:color w:val="auto"/>
                <w:lang w:val="en-AU"/>
              </w:rPr>
              <w:t>in addition to senior officials’ talks, development partner forums; and sectoral coordination meetings.</w:t>
            </w:r>
          </w:p>
        </w:tc>
        <w:tc>
          <w:tcPr>
            <w:tcW w:w="3969" w:type="dxa"/>
          </w:tcPr>
          <w:p w14:paraId="238A7105" w14:textId="793B02B7" w:rsidR="00DD57C7" w:rsidRPr="00DE56E2" w:rsidRDefault="003205EA" w:rsidP="007D33E0">
            <w:pPr>
              <w:spacing w:after="0"/>
              <w:rPr>
                <w:rFonts w:cstheme="minorHAnsi"/>
                <w:color w:val="auto"/>
              </w:rPr>
            </w:pPr>
            <w:r w:rsidRPr="00DE56E2">
              <w:rPr>
                <w:rFonts w:cstheme="minorHAnsi"/>
                <w:b/>
                <w:color w:val="auto"/>
              </w:rPr>
              <w:t>Underway</w:t>
            </w:r>
            <w:r w:rsidR="00183861" w:rsidRPr="00DE56E2">
              <w:rPr>
                <w:rFonts w:cstheme="minorHAnsi"/>
                <w:color w:val="auto"/>
              </w:rPr>
              <w:t xml:space="preserve">: </w:t>
            </w:r>
            <w:r w:rsidR="0085285C" w:rsidRPr="00DE56E2">
              <w:rPr>
                <w:rFonts w:cstheme="minorHAnsi"/>
                <w:color w:val="auto"/>
              </w:rPr>
              <w:t>T</w:t>
            </w:r>
            <w:r w:rsidRPr="00DE56E2">
              <w:rPr>
                <w:rFonts w:cstheme="minorHAnsi"/>
                <w:color w:val="auto"/>
              </w:rPr>
              <w:t>he first quarterly</w:t>
            </w:r>
            <w:r w:rsidR="0085285C" w:rsidRPr="00DE56E2">
              <w:rPr>
                <w:rFonts w:cstheme="minorHAnsi"/>
                <w:color w:val="auto"/>
              </w:rPr>
              <w:t xml:space="preserve"> </w:t>
            </w:r>
            <w:r w:rsidR="00D17A79" w:rsidRPr="00DE56E2">
              <w:rPr>
                <w:rFonts w:cstheme="minorHAnsi"/>
                <w:color w:val="auto"/>
              </w:rPr>
              <w:t xml:space="preserve">tripartite </w:t>
            </w:r>
            <w:r w:rsidR="0085285C" w:rsidRPr="00DE56E2">
              <w:rPr>
                <w:rFonts w:cstheme="minorHAnsi"/>
                <w:color w:val="auto"/>
              </w:rPr>
              <w:t>meeting</w:t>
            </w:r>
            <w:r w:rsidR="00183861" w:rsidRPr="00DE56E2">
              <w:rPr>
                <w:rFonts w:cstheme="minorHAnsi"/>
                <w:color w:val="auto"/>
              </w:rPr>
              <w:t xml:space="preserve"> was</w:t>
            </w:r>
            <w:r w:rsidR="0085285C" w:rsidRPr="00DE56E2">
              <w:rPr>
                <w:rFonts w:cstheme="minorHAnsi"/>
                <w:color w:val="auto"/>
              </w:rPr>
              <w:t xml:space="preserve"> held in March 2019, with senior officials’ talks scheduled for May</w:t>
            </w:r>
            <w:r w:rsidR="007D33E0">
              <w:rPr>
                <w:rFonts w:cstheme="minorHAnsi"/>
                <w:color w:val="auto"/>
              </w:rPr>
              <w:t xml:space="preserve"> 2019</w:t>
            </w:r>
            <w:r w:rsidR="0085285C" w:rsidRPr="00DE56E2">
              <w:rPr>
                <w:rFonts w:cstheme="minorHAnsi"/>
                <w:color w:val="auto"/>
              </w:rPr>
              <w:t xml:space="preserve"> and the Education Partners in Kiribati forum scheduled for </w:t>
            </w:r>
            <w:r w:rsidR="007D33E0">
              <w:rPr>
                <w:rFonts w:cstheme="minorHAnsi"/>
                <w:color w:val="auto"/>
              </w:rPr>
              <w:t>the second half of the year</w:t>
            </w:r>
            <w:r w:rsidR="0085285C" w:rsidRPr="00DE56E2">
              <w:rPr>
                <w:rFonts w:cstheme="minorHAnsi"/>
                <w:color w:val="auto"/>
              </w:rPr>
              <w:t xml:space="preserve">. </w:t>
            </w:r>
            <w:r w:rsidR="00D17A79" w:rsidRPr="00DE56E2">
              <w:rPr>
                <w:rFonts w:cstheme="minorHAnsi"/>
                <w:color w:val="auto"/>
              </w:rPr>
              <w:t>Two ‘exception’ meeting</w:t>
            </w:r>
            <w:r w:rsidR="00BC1005">
              <w:rPr>
                <w:rFonts w:cstheme="minorHAnsi"/>
                <w:color w:val="auto"/>
              </w:rPr>
              <w:t>s have been</w:t>
            </w:r>
            <w:r w:rsidR="00D17A79" w:rsidRPr="00DE56E2">
              <w:rPr>
                <w:rFonts w:cstheme="minorHAnsi"/>
                <w:color w:val="auto"/>
              </w:rPr>
              <w:t xml:space="preserve"> held beyond that.</w:t>
            </w:r>
          </w:p>
        </w:tc>
        <w:tc>
          <w:tcPr>
            <w:tcW w:w="2551" w:type="dxa"/>
          </w:tcPr>
          <w:p w14:paraId="111EA2D6" w14:textId="77777777" w:rsidR="004E5993" w:rsidRPr="00DE56E2" w:rsidRDefault="00D17A79" w:rsidP="004E5993">
            <w:pPr>
              <w:rPr>
                <w:rFonts w:cstheme="minorHAnsi"/>
                <w:color w:val="auto"/>
                <w:lang w:val="en-AU"/>
              </w:rPr>
            </w:pPr>
            <w:r w:rsidRPr="00DE56E2">
              <w:rPr>
                <w:rFonts w:cstheme="minorHAnsi"/>
                <w:color w:val="auto"/>
                <w:lang w:val="en-AU"/>
              </w:rPr>
              <w:t>Tripartite m</w:t>
            </w:r>
            <w:r w:rsidR="003205EA" w:rsidRPr="00DE56E2">
              <w:rPr>
                <w:rFonts w:cstheme="minorHAnsi"/>
                <w:color w:val="auto"/>
                <w:lang w:val="en-AU"/>
              </w:rPr>
              <w:t>eetings will be held in March, June, September and December over the balance of this phase of the investment</w:t>
            </w:r>
          </w:p>
        </w:tc>
      </w:tr>
      <w:tr w:rsidR="007D33E0" w:rsidRPr="00DE56E2" w14:paraId="7EC23E1B" w14:textId="77777777" w:rsidTr="007D33E0">
        <w:trPr>
          <w:trHeight w:val="2496"/>
        </w:trPr>
        <w:tc>
          <w:tcPr>
            <w:tcW w:w="562" w:type="dxa"/>
          </w:tcPr>
          <w:p w14:paraId="0F40565C" w14:textId="77777777" w:rsidR="004E5993" w:rsidRPr="00DE56E2" w:rsidRDefault="004E5993" w:rsidP="004E5993">
            <w:pPr>
              <w:rPr>
                <w:rFonts w:cstheme="minorHAnsi"/>
                <w:b/>
                <w:color w:val="auto"/>
                <w:lang w:val="en-AU"/>
              </w:rPr>
            </w:pPr>
            <w:r w:rsidRPr="00DE56E2">
              <w:rPr>
                <w:rFonts w:cstheme="minorHAnsi"/>
                <w:b/>
                <w:color w:val="auto"/>
                <w:lang w:val="en-AU"/>
              </w:rPr>
              <w:t>2</w:t>
            </w:r>
          </w:p>
        </w:tc>
        <w:tc>
          <w:tcPr>
            <w:tcW w:w="2552" w:type="dxa"/>
          </w:tcPr>
          <w:p w14:paraId="323DC28B" w14:textId="77777777" w:rsidR="004E5993" w:rsidRPr="00DE56E2" w:rsidRDefault="00183861" w:rsidP="00D17A79">
            <w:pPr>
              <w:pStyle w:val="BodyText"/>
              <w:rPr>
                <w:rFonts w:cstheme="minorHAnsi"/>
                <w:color w:val="auto"/>
              </w:rPr>
            </w:pPr>
            <w:r w:rsidRPr="00DE56E2">
              <w:rPr>
                <w:rFonts w:cstheme="minorHAnsi"/>
                <w:color w:val="auto"/>
              </w:rPr>
              <w:t xml:space="preserve">The </w:t>
            </w:r>
            <w:r w:rsidR="00D17A79" w:rsidRPr="00DE56E2">
              <w:rPr>
                <w:rFonts w:cstheme="minorHAnsi"/>
                <w:color w:val="auto"/>
              </w:rPr>
              <w:t>design of future education investments</w:t>
            </w:r>
            <w:r w:rsidR="004E5993" w:rsidRPr="00DE56E2">
              <w:rPr>
                <w:rFonts w:cstheme="minorHAnsi"/>
                <w:color w:val="auto"/>
              </w:rPr>
              <w:t xml:space="preserve"> needs to be premised on </w:t>
            </w:r>
            <w:r w:rsidR="00016DB7" w:rsidRPr="00DE56E2">
              <w:rPr>
                <w:rFonts w:cstheme="minorHAnsi"/>
                <w:color w:val="auto"/>
              </w:rPr>
              <w:t>a</w:t>
            </w:r>
            <w:r w:rsidR="004E5993" w:rsidRPr="00DE56E2">
              <w:rPr>
                <w:rFonts w:cstheme="minorHAnsi"/>
                <w:color w:val="auto"/>
              </w:rPr>
              <w:t xml:space="preserve"> revised </w:t>
            </w:r>
            <w:r w:rsidR="003205EA" w:rsidRPr="00DE56E2">
              <w:rPr>
                <w:rFonts w:cstheme="minorHAnsi"/>
                <w:color w:val="auto"/>
              </w:rPr>
              <w:t>education sector strategic plan</w:t>
            </w:r>
            <w:r w:rsidR="004E5993" w:rsidRPr="00DE56E2">
              <w:rPr>
                <w:rFonts w:cstheme="minorHAnsi"/>
                <w:color w:val="auto"/>
              </w:rPr>
              <w:t xml:space="preserve"> to ensure there is strong alignment </w:t>
            </w:r>
            <w:r w:rsidR="003205EA" w:rsidRPr="00DE56E2">
              <w:rPr>
                <w:rFonts w:cstheme="minorHAnsi"/>
                <w:color w:val="auto"/>
              </w:rPr>
              <w:t xml:space="preserve">with such a plan’s </w:t>
            </w:r>
            <w:r w:rsidR="004E5993" w:rsidRPr="00DE56E2">
              <w:rPr>
                <w:rFonts w:cstheme="minorHAnsi"/>
                <w:color w:val="auto"/>
              </w:rPr>
              <w:t>outcome areas</w:t>
            </w:r>
          </w:p>
        </w:tc>
        <w:tc>
          <w:tcPr>
            <w:tcW w:w="3969" w:type="dxa"/>
          </w:tcPr>
          <w:p w14:paraId="065D0E0A" w14:textId="77777777" w:rsidR="004E5993" w:rsidRPr="00DE56E2" w:rsidRDefault="008B4F66" w:rsidP="00183861">
            <w:pPr>
              <w:spacing w:after="0"/>
              <w:rPr>
                <w:rFonts w:cstheme="minorHAnsi"/>
                <w:b/>
                <w:color w:val="auto"/>
              </w:rPr>
            </w:pPr>
            <w:r w:rsidRPr="00DE56E2">
              <w:rPr>
                <w:rFonts w:cstheme="minorHAnsi"/>
                <w:b/>
                <w:color w:val="auto"/>
              </w:rPr>
              <w:t>Agree</w:t>
            </w:r>
            <w:r w:rsidR="00183861" w:rsidRPr="00DE56E2">
              <w:rPr>
                <w:rFonts w:cstheme="minorHAnsi"/>
                <w:b/>
                <w:color w:val="auto"/>
              </w:rPr>
              <w:t xml:space="preserve">: </w:t>
            </w:r>
            <w:r w:rsidR="003205EA" w:rsidRPr="00DE56E2">
              <w:rPr>
                <w:rFonts w:cstheme="minorHAnsi"/>
                <w:color w:val="auto"/>
              </w:rPr>
              <w:t xml:space="preserve">DFAT has long sort to integrate </w:t>
            </w:r>
            <w:r w:rsidR="0085285C" w:rsidRPr="00DE56E2">
              <w:rPr>
                <w:rFonts w:cstheme="minorHAnsi"/>
                <w:color w:val="auto"/>
              </w:rPr>
              <w:t xml:space="preserve">education </w:t>
            </w:r>
            <w:r w:rsidR="003205EA" w:rsidRPr="00DE56E2">
              <w:rPr>
                <w:rFonts w:cstheme="minorHAnsi"/>
                <w:color w:val="auto"/>
              </w:rPr>
              <w:t>investments with domestic planning cycles</w:t>
            </w:r>
            <w:r w:rsidR="0085285C" w:rsidRPr="00DE56E2">
              <w:rPr>
                <w:rFonts w:cstheme="minorHAnsi"/>
                <w:color w:val="auto"/>
              </w:rPr>
              <w:t>.</w:t>
            </w:r>
          </w:p>
        </w:tc>
        <w:tc>
          <w:tcPr>
            <w:tcW w:w="3969" w:type="dxa"/>
          </w:tcPr>
          <w:p w14:paraId="3AF04A4F" w14:textId="12C2E400" w:rsidR="0085285C" w:rsidRPr="00DE56E2" w:rsidRDefault="0085285C" w:rsidP="0058304E">
            <w:pPr>
              <w:spacing w:after="0"/>
              <w:rPr>
                <w:rFonts w:cstheme="minorHAnsi"/>
                <w:b/>
                <w:color w:val="auto"/>
                <w:lang w:val="en-AU"/>
              </w:rPr>
            </w:pPr>
            <w:r w:rsidRPr="00DE56E2">
              <w:rPr>
                <w:rFonts w:cstheme="minorHAnsi"/>
                <w:b/>
                <w:color w:val="auto"/>
                <w:lang w:val="en-AU"/>
              </w:rPr>
              <w:t>Underway</w:t>
            </w:r>
            <w:r w:rsidR="0058304E" w:rsidRPr="00DE56E2">
              <w:rPr>
                <w:rFonts w:cstheme="minorHAnsi"/>
                <w:b/>
                <w:color w:val="auto"/>
                <w:lang w:val="en-AU"/>
              </w:rPr>
              <w:t xml:space="preserve">: </w:t>
            </w:r>
            <w:r w:rsidR="00494EA8" w:rsidRPr="00DE56E2">
              <w:rPr>
                <w:rFonts w:cstheme="minorHAnsi"/>
                <w:color w:val="auto"/>
                <w:lang w:val="en-AU"/>
              </w:rPr>
              <w:t xml:space="preserve">DFAT is pursuing an option to find the programming space to allow the sector plan to be developed in advance of the design </w:t>
            </w:r>
            <w:r w:rsidR="008F38D0">
              <w:rPr>
                <w:rFonts w:cstheme="minorHAnsi"/>
                <w:color w:val="auto"/>
                <w:lang w:val="en-AU"/>
              </w:rPr>
              <w:t xml:space="preserve">of </w:t>
            </w:r>
            <w:r w:rsidR="00494EA8" w:rsidRPr="00DE56E2">
              <w:rPr>
                <w:rFonts w:cstheme="minorHAnsi"/>
                <w:color w:val="auto"/>
                <w:lang w:val="en-AU"/>
              </w:rPr>
              <w:t>any new education investment (subject to delegate approval).</w:t>
            </w:r>
          </w:p>
        </w:tc>
        <w:tc>
          <w:tcPr>
            <w:tcW w:w="2551" w:type="dxa"/>
          </w:tcPr>
          <w:p w14:paraId="2F5F86C7" w14:textId="71026CF6" w:rsidR="004E5993" w:rsidRPr="00DE56E2" w:rsidRDefault="00183861" w:rsidP="007D33E0">
            <w:pPr>
              <w:rPr>
                <w:rFonts w:cstheme="minorHAnsi"/>
                <w:color w:val="auto"/>
                <w:lang w:val="en-AU"/>
              </w:rPr>
            </w:pPr>
            <w:r w:rsidRPr="00DE56E2">
              <w:rPr>
                <w:rFonts w:cstheme="minorHAnsi"/>
                <w:color w:val="auto"/>
                <w:lang w:val="en-AU"/>
              </w:rPr>
              <w:t xml:space="preserve">It is anticipated the new education sector strategic plan will be developed during the third </w:t>
            </w:r>
            <w:r w:rsidR="007D33E0">
              <w:rPr>
                <w:rFonts w:cstheme="minorHAnsi"/>
                <w:color w:val="auto"/>
                <w:lang w:val="en-AU"/>
              </w:rPr>
              <w:t xml:space="preserve">and fourth </w:t>
            </w:r>
            <w:r w:rsidRPr="00DE56E2">
              <w:rPr>
                <w:rFonts w:cstheme="minorHAnsi"/>
                <w:color w:val="auto"/>
                <w:lang w:val="en-AU"/>
              </w:rPr>
              <w:t>quarters of 2019, with a design to follow soon after.</w:t>
            </w:r>
            <w:r w:rsidR="00494EA8" w:rsidRPr="00DE56E2">
              <w:rPr>
                <w:rFonts w:cstheme="minorHAnsi"/>
                <w:color w:val="auto"/>
                <w:lang w:val="en-AU"/>
              </w:rPr>
              <w:t xml:space="preserve"> </w:t>
            </w:r>
          </w:p>
        </w:tc>
      </w:tr>
    </w:tbl>
    <w:p w14:paraId="0C815D30" w14:textId="77777777" w:rsidR="0038060A" w:rsidRPr="00DE56E2" w:rsidRDefault="0038060A">
      <w:pPr>
        <w:rPr>
          <w:rFonts w:cstheme="minorHAnsi"/>
          <w:color w:val="auto"/>
        </w:rPr>
      </w:pPr>
    </w:p>
    <w:tbl>
      <w:tblPr>
        <w:tblStyle w:val="TableGrid"/>
        <w:tblW w:w="13603" w:type="dxa"/>
        <w:tblLook w:val="04A0" w:firstRow="1" w:lastRow="0" w:firstColumn="1" w:lastColumn="0" w:noHBand="0" w:noVBand="1"/>
      </w:tblPr>
      <w:tblGrid>
        <w:gridCol w:w="562"/>
        <w:gridCol w:w="2523"/>
        <w:gridCol w:w="3969"/>
        <w:gridCol w:w="3969"/>
        <w:gridCol w:w="2580"/>
      </w:tblGrid>
      <w:tr w:rsidR="00DE56E2" w:rsidRPr="00DE56E2" w14:paraId="1A6C4653" w14:textId="77777777" w:rsidTr="00C66C68">
        <w:trPr>
          <w:trHeight w:val="556"/>
        </w:trPr>
        <w:tc>
          <w:tcPr>
            <w:tcW w:w="562" w:type="dxa"/>
            <w:shd w:val="clear" w:color="auto" w:fill="F2F2F2" w:themeFill="background1" w:themeFillShade="F2"/>
          </w:tcPr>
          <w:p w14:paraId="2777B877" w14:textId="77777777" w:rsidR="00274339" w:rsidRPr="00DE56E2" w:rsidRDefault="00274339" w:rsidP="004E6104">
            <w:pPr>
              <w:rPr>
                <w:rFonts w:cstheme="minorHAnsi"/>
                <w:b/>
                <w:color w:val="auto"/>
                <w:lang w:val="en-AU"/>
              </w:rPr>
            </w:pPr>
            <w:r w:rsidRPr="00DE56E2">
              <w:rPr>
                <w:rFonts w:cstheme="minorHAnsi"/>
                <w:b/>
                <w:color w:val="auto"/>
                <w:lang w:val="en-AU"/>
              </w:rPr>
              <w:lastRenderedPageBreak/>
              <w:t>#</w:t>
            </w:r>
          </w:p>
        </w:tc>
        <w:tc>
          <w:tcPr>
            <w:tcW w:w="2523" w:type="dxa"/>
            <w:shd w:val="clear" w:color="auto" w:fill="F2F2F2" w:themeFill="background1" w:themeFillShade="F2"/>
          </w:tcPr>
          <w:p w14:paraId="36EC6281" w14:textId="77777777" w:rsidR="00274339" w:rsidRPr="00DE56E2" w:rsidRDefault="00274339" w:rsidP="004E6104">
            <w:pPr>
              <w:rPr>
                <w:rFonts w:cstheme="minorHAnsi"/>
                <w:b/>
                <w:color w:val="auto"/>
                <w:lang w:val="en-AU"/>
              </w:rPr>
            </w:pPr>
            <w:r w:rsidRPr="00DE56E2">
              <w:rPr>
                <w:rFonts w:cstheme="minorHAnsi"/>
                <w:b/>
                <w:color w:val="auto"/>
                <w:lang w:val="en-AU"/>
              </w:rPr>
              <w:t>Recommendation</w:t>
            </w:r>
          </w:p>
        </w:tc>
        <w:tc>
          <w:tcPr>
            <w:tcW w:w="3969" w:type="dxa"/>
            <w:shd w:val="clear" w:color="auto" w:fill="F2F2F2" w:themeFill="background1" w:themeFillShade="F2"/>
          </w:tcPr>
          <w:p w14:paraId="258BCE53" w14:textId="77777777" w:rsidR="00274339" w:rsidRPr="00DE56E2" w:rsidRDefault="00274339" w:rsidP="004E6104">
            <w:pPr>
              <w:rPr>
                <w:rFonts w:cstheme="minorHAnsi"/>
                <w:b/>
                <w:color w:val="auto"/>
                <w:lang w:val="en-AU"/>
              </w:rPr>
            </w:pPr>
            <w:r w:rsidRPr="00DE56E2">
              <w:rPr>
                <w:rFonts w:cstheme="minorHAnsi"/>
                <w:b/>
                <w:color w:val="auto"/>
                <w:lang w:val="en-AU"/>
              </w:rPr>
              <w:t>Response and explanation</w:t>
            </w:r>
          </w:p>
        </w:tc>
        <w:tc>
          <w:tcPr>
            <w:tcW w:w="3969" w:type="dxa"/>
            <w:shd w:val="clear" w:color="auto" w:fill="F2F2F2" w:themeFill="background1" w:themeFillShade="F2"/>
          </w:tcPr>
          <w:p w14:paraId="7F77095C" w14:textId="77777777" w:rsidR="00274339" w:rsidRPr="00DE56E2" w:rsidRDefault="00274339" w:rsidP="004E6104">
            <w:pPr>
              <w:rPr>
                <w:rFonts w:cstheme="minorHAnsi"/>
                <w:b/>
                <w:color w:val="auto"/>
                <w:lang w:val="en-AU"/>
              </w:rPr>
            </w:pPr>
            <w:r w:rsidRPr="00DE56E2">
              <w:rPr>
                <w:rFonts w:cstheme="minorHAnsi"/>
                <w:b/>
                <w:color w:val="auto"/>
                <w:lang w:val="en-AU"/>
              </w:rPr>
              <w:t>Action plan</w:t>
            </w:r>
          </w:p>
        </w:tc>
        <w:tc>
          <w:tcPr>
            <w:tcW w:w="2580" w:type="dxa"/>
            <w:shd w:val="clear" w:color="auto" w:fill="F2F2F2" w:themeFill="background1" w:themeFillShade="F2"/>
          </w:tcPr>
          <w:p w14:paraId="14AF0C01" w14:textId="77777777" w:rsidR="00274339" w:rsidRPr="00DE56E2" w:rsidRDefault="00274339" w:rsidP="004E6104">
            <w:pPr>
              <w:rPr>
                <w:rFonts w:cstheme="minorHAnsi"/>
                <w:b/>
                <w:color w:val="auto"/>
                <w:lang w:val="en-AU"/>
              </w:rPr>
            </w:pPr>
            <w:r w:rsidRPr="00DE56E2">
              <w:rPr>
                <w:rFonts w:cstheme="minorHAnsi"/>
                <w:b/>
                <w:color w:val="auto"/>
                <w:lang w:val="en-AU"/>
              </w:rPr>
              <w:t xml:space="preserve">Timeframe </w:t>
            </w:r>
          </w:p>
        </w:tc>
      </w:tr>
      <w:tr w:rsidR="00DE56E2" w:rsidRPr="00DE56E2" w14:paraId="0A1A842A" w14:textId="77777777" w:rsidTr="00987ACF">
        <w:trPr>
          <w:trHeight w:val="3854"/>
        </w:trPr>
        <w:tc>
          <w:tcPr>
            <w:tcW w:w="562" w:type="dxa"/>
          </w:tcPr>
          <w:p w14:paraId="46D2AE53" w14:textId="77777777" w:rsidR="004E5993" w:rsidRPr="00DE56E2" w:rsidRDefault="00D6363A" w:rsidP="004E5993">
            <w:pPr>
              <w:rPr>
                <w:rFonts w:cstheme="minorHAnsi"/>
                <w:b/>
                <w:color w:val="auto"/>
                <w:lang w:val="en-AU"/>
              </w:rPr>
            </w:pPr>
            <w:r w:rsidRPr="00DE56E2">
              <w:rPr>
                <w:rFonts w:cstheme="minorHAnsi"/>
                <w:b/>
                <w:color w:val="auto"/>
                <w:lang w:val="en-AU"/>
              </w:rPr>
              <w:t>3</w:t>
            </w:r>
          </w:p>
        </w:tc>
        <w:tc>
          <w:tcPr>
            <w:tcW w:w="2523" w:type="dxa"/>
          </w:tcPr>
          <w:p w14:paraId="1B768DA2" w14:textId="77777777" w:rsidR="004E5993" w:rsidRPr="00DE56E2" w:rsidRDefault="00D6363A" w:rsidP="00415E63">
            <w:pPr>
              <w:pStyle w:val="BodyText"/>
              <w:rPr>
                <w:rFonts w:cstheme="minorHAnsi"/>
                <w:color w:val="auto"/>
                <w:lang w:val="en-AU"/>
              </w:rPr>
            </w:pPr>
            <w:r w:rsidRPr="00DE56E2">
              <w:rPr>
                <w:rFonts w:cstheme="minorHAnsi"/>
                <w:color w:val="auto"/>
              </w:rPr>
              <w:t xml:space="preserve">Agree on indicators and support systems for measuring </w:t>
            </w:r>
            <w:r w:rsidR="00183861" w:rsidRPr="00DE56E2">
              <w:rPr>
                <w:rFonts w:cstheme="minorHAnsi"/>
                <w:color w:val="auto"/>
              </w:rPr>
              <w:t>end of program</w:t>
            </w:r>
            <w:r w:rsidRPr="00DE56E2">
              <w:rPr>
                <w:rFonts w:cstheme="minorHAnsi"/>
                <w:color w:val="auto"/>
              </w:rPr>
              <w:t xml:space="preserve"> </w:t>
            </w:r>
            <w:r w:rsidR="00183861" w:rsidRPr="00DE56E2">
              <w:rPr>
                <w:rFonts w:cstheme="minorHAnsi"/>
                <w:color w:val="auto"/>
              </w:rPr>
              <w:t>outcomes</w:t>
            </w:r>
            <w:r w:rsidRPr="00DE56E2">
              <w:rPr>
                <w:rFonts w:cstheme="minorHAnsi"/>
                <w:color w:val="auto"/>
              </w:rPr>
              <w:t xml:space="preserve"> that can inform both </w:t>
            </w:r>
            <w:r w:rsidR="0058304E" w:rsidRPr="00DE56E2">
              <w:rPr>
                <w:rFonts w:cstheme="minorHAnsi"/>
                <w:color w:val="auto"/>
              </w:rPr>
              <w:t>program, ministry</w:t>
            </w:r>
            <w:r w:rsidRPr="00DE56E2">
              <w:rPr>
                <w:rFonts w:cstheme="minorHAnsi"/>
                <w:color w:val="auto"/>
              </w:rPr>
              <w:t xml:space="preserve"> </w:t>
            </w:r>
            <w:r w:rsidR="0058304E" w:rsidRPr="00DE56E2">
              <w:rPr>
                <w:rFonts w:cstheme="minorHAnsi"/>
                <w:color w:val="auto"/>
              </w:rPr>
              <w:t xml:space="preserve">and national </w:t>
            </w:r>
            <w:r w:rsidRPr="00DE56E2">
              <w:rPr>
                <w:rFonts w:cstheme="minorHAnsi"/>
                <w:color w:val="auto"/>
              </w:rPr>
              <w:t xml:space="preserve">reporting and decision-making. </w:t>
            </w:r>
          </w:p>
        </w:tc>
        <w:tc>
          <w:tcPr>
            <w:tcW w:w="3969" w:type="dxa"/>
          </w:tcPr>
          <w:p w14:paraId="3CEED968" w14:textId="7FA3AF48" w:rsidR="004E5993" w:rsidRPr="00DE56E2" w:rsidRDefault="00FE0BCE" w:rsidP="00893A19">
            <w:pPr>
              <w:pStyle w:val="Heading3"/>
              <w:spacing w:before="120" w:after="60" w:line="260" w:lineRule="atLeast"/>
              <w:outlineLvl w:val="2"/>
              <w:rPr>
                <w:rFonts w:asciiTheme="minorHAnsi" w:eastAsiaTheme="minorHAnsi" w:hAnsiTheme="minorHAnsi" w:cstheme="minorHAnsi"/>
                <w:bCs w:val="0"/>
                <w:color w:val="auto"/>
                <w:sz w:val="22"/>
                <w:szCs w:val="22"/>
                <w:lang w:val="en-GB"/>
              </w:rPr>
            </w:pPr>
            <w:r w:rsidRPr="00DE56E2">
              <w:rPr>
                <w:rFonts w:asciiTheme="minorHAnsi" w:eastAsiaTheme="minorHAnsi" w:hAnsiTheme="minorHAnsi" w:cstheme="minorHAnsi"/>
                <w:b/>
                <w:bCs w:val="0"/>
                <w:color w:val="auto"/>
                <w:sz w:val="22"/>
                <w:szCs w:val="22"/>
                <w:lang w:val="en-GB"/>
              </w:rPr>
              <w:t>Agree</w:t>
            </w:r>
            <w:r w:rsidR="0058304E" w:rsidRPr="00DE56E2">
              <w:rPr>
                <w:rFonts w:asciiTheme="minorHAnsi" w:eastAsiaTheme="minorHAnsi" w:hAnsiTheme="minorHAnsi" w:cstheme="minorHAnsi"/>
                <w:b/>
                <w:bCs w:val="0"/>
                <w:color w:val="auto"/>
                <w:sz w:val="22"/>
                <w:szCs w:val="22"/>
                <w:lang w:val="en-GB"/>
              </w:rPr>
              <w:t xml:space="preserve">: </w:t>
            </w:r>
            <w:r w:rsidR="001D70BC" w:rsidRPr="00DE56E2">
              <w:rPr>
                <w:rFonts w:asciiTheme="minorHAnsi" w:eastAsiaTheme="minorHAnsi" w:hAnsiTheme="minorHAnsi" w:cstheme="minorHAnsi"/>
                <w:bCs w:val="0"/>
                <w:color w:val="auto"/>
                <w:sz w:val="22"/>
                <w:szCs w:val="22"/>
                <w:lang w:val="en-GB"/>
              </w:rPr>
              <w:t xml:space="preserve">The KEIP management team was able to ‘retrofit’ program outcomes and outputs to align with a sector plan that was developed after </w:t>
            </w:r>
            <w:r w:rsidR="006B592B" w:rsidRPr="00DE56E2">
              <w:rPr>
                <w:rFonts w:asciiTheme="minorHAnsi" w:eastAsiaTheme="minorHAnsi" w:hAnsiTheme="minorHAnsi" w:cstheme="minorHAnsi"/>
                <w:bCs w:val="0"/>
                <w:color w:val="auto"/>
                <w:sz w:val="22"/>
                <w:szCs w:val="22"/>
                <w:lang w:val="en-GB"/>
              </w:rPr>
              <w:t>KEIP</w:t>
            </w:r>
            <w:r w:rsidR="001D70BC" w:rsidRPr="00DE56E2">
              <w:rPr>
                <w:rFonts w:asciiTheme="minorHAnsi" w:eastAsiaTheme="minorHAnsi" w:hAnsiTheme="minorHAnsi" w:cstheme="minorHAnsi"/>
                <w:bCs w:val="0"/>
                <w:color w:val="auto"/>
                <w:sz w:val="22"/>
                <w:szCs w:val="22"/>
                <w:lang w:val="en-GB"/>
              </w:rPr>
              <w:t xml:space="preserve"> was designed. </w:t>
            </w:r>
            <w:r w:rsidR="00BB616C" w:rsidRPr="00DE56E2">
              <w:rPr>
                <w:rFonts w:asciiTheme="minorHAnsi" w:eastAsiaTheme="minorHAnsi" w:hAnsiTheme="minorHAnsi" w:cstheme="minorHAnsi"/>
                <w:bCs w:val="0"/>
                <w:color w:val="auto"/>
                <w:sz w:val="22"/>
                <w:szCs w:val="22"/>
                <w:lang w:val="en-GB"/>
              </w:rPr>
              <w:t>The program team has</w:t>
            </w:r>
            <w:r w:rsidR="006B592B" w:rsidRPr="00DE56E2">
              <w:rPr>
                <w:rFonts w:asciiTheme="minorHAnsi" w:eastAsiaTheme="minorHAnsi" w:hAnsiTheme="minorHAnsi" w:cstheme="minorHAnsi"/>
                <w:bCs w:val="0"/>
                <w:color w:val="auto"/>
                <w:sz w:val="22"/>
                <w:szCs w:val="22"/>
                <w:lang w:val="en-GB"/>
              </w:rPr>
              <w:t xml:space="preserve"> also worked with ministry officials to ensure national and international reporting is based on robust data.</w:t>
            </w:r>
          </w:p>
        </w:tc>
        <w:tc>
          <w:tcPr>
            <w:tcW w:w="3969" w:type="dxa"/>
          </w:tcPr>
          <w:p w14:paraId="7160546B" w14:textId="775045CC" w:rsidR="006B592B" w:rsidRPr="00DE56E2" w:rsidRDefault="0038060A" w:rsidP="00227286">
            <w:pPr>
              <w:rPr>
                <w:rFonts w:cstheme="minorHAnsi"/>
                <w:b/>
                <w:color w:val="auto"/>
                <w:lang w:val="en-AU"/>
              </w:rPr>
            </w:pPr>
            <w:r w:rsidRPr="00DE56E2">
              <w:rPr>
                <w:rFonts w:cstheme="minorHAnsi"/>
                <w:b/>
                <w:color w:val="auto"/>
                <w:lang w:val="en-AU"/>
              </w:rPr>
              <w:t xml:space="preserve">Underway: </w:t>
            </w:r>
            <w:r w:rsidR="006B592B" w:rsidRPr="00DE56E2">
              <w:rPr>
                <w:rFonts w:cstheme="minorHAnsi"/>
                <w:color w:val="auto"/>
                <w:lang w:val="en-AU"/>
              </w:rPr>
              <w:t>The program</w:t>
            </w:r>
            <w:r w:rsidR="00BB616C" w:rsidRPr="00DE56E2">
              <w:rPr>
                <w:rFonts w:cstheme="minorHAnsi"/>
                <w:color w:val="auto"/>
                <w:lang w:val="en-AU"/>
              </w:rPr>
              <w:t>’s monitoring and evaluation adviser, along with ministry counterparts,</w:t>
            </w:r>
            <w:r w:rsidR="006B592B" w:rsidRPr="00DE56E2">
              <w:rPr>
                <w:rFonts w:cstheme="minorHAnsi"/>
                <w:color w:val="auto"/>
                <w:lang w:val="en-AU"/>
              </w:rPr>
              <w:t xml:space="preserve"> will continue to review and adap</w:t>
            </w:r>
            <w:r w:rsidR="00BB616C" w:rsidRPr="00DE56E2">
              <w:rPr>
                <w:rFonts w:cstheme="minorHAnsi"/>
                <w:color w:val="auto"/>
                <w:lang w:val="en-AU"/>
              </w:rPr>
              <w:t>t monitoring and evaluation plans to capture rigorous and reliable outcome level data</w:t>
            </w:r>
            <w:r w:rsidR="00987ACF" w:rsidRPr="00DE56E2">
              <w:rPr>
                <w:rFonts w:cstheme="minorHAnsi"/>
                <w:color w:val="auto"/>
                <w:lang w:val="en-AU"/>
              </w:rPr>
              <w:t xml:space="preserve"> </w:t>
            </w:r>
            <w:r w:rsidR="00BB616C" w:rsidRPr="00DE56E2">
              <w:rPr>
                <w:rFonts w:cstheme="minorHAnsi"/>
                <w:color w:val="auto"/>
                <w:lang w:val="en-AU"/>
              </w:rPr>
              <w:t xml:space="preserve">that is able to inform decision making and serve multiple reporting requirements. </w:t>
            </w:r>
          </w:p>
          <w:p w14:paraId="3EAB1C39" w14:textId="79CFE475" w:rsidR="00BD5C8E" w:rsidRPr="00DE56E2" w:rsidRDefault="00BB616C" w:rsidP="007D33E0">
            <w:pPr>
              <w:rPr>
                <w:rFonts w:cstheme="minorHAnsi"/>
                <w:color w:val="auto"/>
                <w:lang w:val="en-AU"/>
              </w:rPr>
            </w:pPr>
            <w:r w:rsidRPr="00DE56E2">
              <w:rPr>
                <w:rFonts w:cstheme="minorHAnsi"/>
                <w:color w:val="auto"/>
                <w:lang w:val="en-AU"/>
              </w:rPr>
              <w:t xml:space="preserve">The program and the ministry will continue to work with regional partners </w:t>
            </w:r>
            <w:r w:rsidR="007D33E0">
              <w:rPr>
                <w:rFonts w:cstheme="minorHAnsi"/>
                <w:color w:val="auto"/>
                <w:lang w:val="en-AU"/>
              </w:rPr>
              <w:t>to</w:t>
            </w:r>
            <w:r w:rsidRPr="00DE56E2">
              <w:rPr>
                <w:rFonts w:cstheme="minorHAnsi"/>
                <w:color w:val="auto"/>
                <w:lang w:val="en-AU"/>
              </w:rPr>
              <w:t xml:space="preserve"> </w:t>
            </w:r>
            <w:r w:rsidR="007D33E0">
              <w:rPr>
                <w:rFonts w:cstheme="minorHAnsi"/>
                <w:color w:val="auto"/>
                <w:lang w:val="en-AU"/>
              </w:rPr>
              <w:t>improve</w:t>
            </w:r>
            <w:r w:rsidR="00987ACF" w:rsidRPr="00DE56E2">
              <w:rPr>
                <w:rFonts w:cstheme="minorHAnsi"/>
                <w:color w:val="auto"/>
                <w:lang w:val="en-AU"/>
              </w:rPr>
              <w:t xml:space="preserve"> </w:t>
            </w:r>
            <w:r w:rsidRPr="00DE56E2">
              <w:rPr>
                <w:rFonts w:cstheme="minorHAnsi"/>
                <w:color w:val="auto"/>
                <w:lang w:val="en-AU"/>
              </w:rPr>
              <w:t>the Kiribati Educatio</w:t>
            </w:r>
            <w:r w:rsidR="00987ACF" w:rsidRPr="00DE56E2">
              <w:rPr>
                <w:rFonts w:cstheme="minorHAnsi"/>
                <w:color w:val="auto"/>
                <w:lang w:val="en-AU"/>
              </w:rPr>
              <w:t>n Management Information System</w:t>
            </w:r>
            <w:r w:rsidR="002F1BF1" w:rsidRPr="00DE56E2">
              <w:rPr>
                <w:rFonts w:cstheme="minorHAnsi"/>
                <w:color w:val="auto"/>
                <w:lang w:val="en-AU"/>
              </w:rPr>
              <w:t xml:space="preserve">. </w:t>
            </w:r>
          </w:p>
        </w:tc>
        <w:tc>
          <w:tcPr>
            <w:tcW w:w="2580" w:type="dxa"/>
          </w:tcPr>
          <w:p w14:paraId="6464E852" w14:textId="77777777" w:rsidR="004E5993" w:rsidRPr="00DE56E2" w:rsidRDefault="00987ACF" w:rsidP="004E5993">
            <w:pPr>
              <w:rPr>
                <w:rFonts w:cstheme="minorHAnsi"/>
                <w:color w:val="auto"/>
                <w:lang w:val="en-AU"/>
              </w:rPr>
            </w:pPr>
            <w:r w:rsidRPr="00DE56E2">
              <w:rPr>
                <w:rFonts w:cstheme="minorHAnsi"/>
                <w:color w:val="auto"/>
                <w:lang w:val="en-AU"/>
              </w:rPr>
              <w:t>Work has commenced and will continue for the remainder of the program (and probably into the next).</w:t>
            </w:r>
          </w:p>
          <w:p w14:paraId="45668C20" w14:textId="76B82A55" w:rsidR="00987ACF" w:rsidRPr="00DE56E2" w:rsidRDefault="00987ACF" w:rsidP="004E5993">
            <w:pPr>
              <w:rPr>
                <w:rFonts w:cstheme="minorHAnsi"/>
                <w:color w:val="auto"/>
                <w:lang w:val="en-AU"/>
              </w:rPr>
            </w:pPr>
            <w:r w:rsidRPr="00DE56E2">
              <w:rPr>
                <w:rFonts w:cstheme="minorHAnsi"/>
                <w:color w:val="auto"/>
                <w:lang w:val="en-AU"/>
              </w:rPr>
              <w:t>During 2019, the program’s monitoring and evaluation team, along with the ministry’s research unit will</w:t>
            </w:r>
            <w:r w:rsidR="00BC1005">
              <w:rPr>
                <w:rFonts w:cstheme="minorHAnsi"/>
                <w:color w:val="auto"/>
                <w:lang w:val="en-AU"/>
              </w:rPr>
              <w:t xml:space="preserve"> also</w:t>
            </w:r>
            <w:r w:rsidRPr="00DE56E2">
              <w:rPr>
                <w:rFonts w:cstheme="minorHAnsi"/>
                <w:color w:val="auto"/>
                <w:lang w:val="en-AU"/>
              </w:rPr>
              <w:t xml:space="preserve"> investigate the program’s impact on the education system in Kiribati </w:t>
            </w:r>
          </w:p>
        </w:tc>
      </w:tr>
      <w:tr w:rsidR="00DE56E2" w:rsidRPr="00DE56E2" w14:paraId="230B404B" w14:textId="77777777" w:rsidTr="00987ACF">
        <w:tc>
          <w:tcPr>
            <w:tcW w:w="562" w:type="dxa"/>
          </w:tcPr>
          <w:p w14:paraId="364CFF3F" w14:textId="77777777" w:rsidR="004E5993" w:rsidRPr="00DE56E2" w:rsidRDefault="00D6363A" w:rsidP="004E5993">
            <w:pPr>
              <w:rPr>
                <w:rFonts w:cstheme="minorHAnsi"/>
                <w:b/>
                <w:color w:val="auto"/>
                <w:lang w:val="en-AU"/>
              </w:rPr>
            </w:pPr>
            <w:r w:rsidRPr="00DE56E2">
              <w:rPr>
                <w:rFonts w:cstheme="minorHAnsi"/>
                <w:b/>
                <w:color w:val="auto"/>
                <w:lang w:val="en-AU"/>
              </w:rPr>
              <w:t>4</w:t>
            </w:r>
          </w:p>
        </w:tc>
        <w:tc>
          <w:tcPr>
            <w:tcW w:w="2523" w:type="dxa"/>
          </w:tcPr>
          <w:p w14:paraId="42E8F25F" w14:textId="77777777" w:rsidR="00D6363A" w:rsidRPr="00DE56E2" w:rsidRDefault="00D6363A" w:rsidP="00D6363A">
            <w:pPr>
              <w:pStyle w:val="BodyText"/>
              <w:rPr>
                <w:rFonts w:cstheme="minorHAnsi"/>
                <w:color w:val="auto"/>
              </w:rPr>
            </w:pPr>
            <w:r w:rsidRPr="00DE56E2">
              <w:rPr>
                <w:rFonts w:cstheme="minorHAnsi"/>
                <w:color w:val="auto"/>
              </w:rPr>
              <w:t>A long-term plan is required for data managem</w:t>
            </w:r>
            <w:r w:rsidR="00C611C6" w:rsidRPr="00DE56E2">
              <w:rPr>
                <w:rFonts w:cstheme="minorHAnsi"/>
                <w:color w:val="auto"/>
              </w:rPr>
              <w:t xml:space="preserve">ent in the sector </w:t>
            </w:r>
            <w:r w:rsidRPr="00DE56E2">
              <w:rPr>
                <w:rFonts w:cstheme="minorHAnsi"/>
                <w:color w:val="auto"/>
              </w:rPr>
              <w:t xml:space="preserve">based on </w:t>
            </w:r>
            <w:r w:rsidR="00B761A1" w:rsidRPr="00DE56E2">
              <w:rPr>
                <w:rFonts w:cstheme="minorHAnsi"/>
                <w:color w:val="auto"/>
              </w:rPr>
              <w:t>the ministry’s</w:t>
            </w:r>
            <w:r w:rsidRPr="00DE56E2">
              <w:rPr>
                <w:rFonts w:cstheme="minorHAnsi"/>
                <w:color w:val="auto"/>
              </w:rPr>
              <w:t xml:space="preserve"> information needs. This plan must be strongly articulated and communicated to development partners</w:t>
            </w:r>
          </w:p>
          <w:p w14:paraId="7DA70238" w14:textId="77777777" w:rsidR="004E5993" w:rsidRPr="00DE56E2" w:rsidRDefault="004E5993" w:rsidP="004E5993">
            <w:pPr>
              <w:rPr>
                <w:rFonts w:cstheme="minorHAnsi"/>
                <w:color w:val="auto"/>
                <w:lang w:val="en-AU"/>
              </w:rPr>
            </w:pPr>
          </w:p>
        </w:tc>
        <w:tc>
          <w:tcPr>
            <w:tcW w:w="3969" w:type="dxa"/>
          </w:tcPr>
          <w:p w14:paraId="0B0D2B23" w14:textId="42163728" w:rsidR="004E5993" w:rsidRPr="00DE56E2" w:rsidRDefault="00C611C6" w:rsidP="00BE0866">
            <w:pPr>
              <w:spacing w:after="0"/>
              <w:rPr>
                <w:rFonts w:cstheme="minorHAnsi"/>
                <w:color w:val="auto"/>
                <w:lang w:val="en-AU"/>
              </w:rPr>
            </w:pPr>
            <w:r w:rsidRPr="00DE56E2">
              <w:rPr>
                <w:rFonts w:cstheme="minorHAnsi"/>
                <w:b/>
                <w:color w:val="auto"/>
                <w:lang w:val="en-AU"/>
              </w:rPr>
              <w:t>Agree</w:t>
            </w:r>
            <w:r w:rsidR="0058304E" w:rsidRPr="00DE56E2">
              <w:rPr>
                <w:rFonts w:cstheme="minorHAnsi"/>
                <w:b/>
                <w:color w:val="auto"/>
                <w:lang w:val="en-AU"/>
              </w:rPr>
              <w:t xml:space="preserve">: </w:t>
            </w:r>
            <w:r w:rsidR="008F38D0">
              <w:rPr>
                <w:rFonts w:cstheme="minorHAnsi"/>
                <w:color w:val="auto"/>
                <w:lang w:val="en-AU"/>
              </w:rPr>
              <w:t>Timely d</w:t>
            </w:r>
            <w:r w:rsidR="00E759B2" w:rsidRPr="00DE56E2">
              <w:rPr>
                <w:rFonts w:cstheme="minorHAnsi"/>
                <w:color w:val="auto"/>
                <w:lang w:val="en-AU"/>
              </w:rPr>
              <w:t xml:space="preserve">ata </w:t>
            </w:r>
            <w:r w:rsidR="008F38D0">
              <w:rPr>
                <w:rFonts w:cstheme="minorHAnsi"/>
                <w:color w:val="auto"/>
                <w:lang w:val="en-AU"/>
              </w:rPr>
              <w:t xml:space="preserve">collection, validation </w:t>
            </w:r>
            <w:r w:rsidR="00E759B2" w:rsidRPr="00DE56E2">
              <w:rPr>
                <w:rFonts w:cstheme="minorHAnsi"/>
                <w:color w:val="auto"/>
                <w:lang w:val="en-AU"/>
              </w:rPr>
              <w:t>and data management</w:t>
            </w:r>
            <w:r w:rsidR="00E759B2" w:rsidRPr="00DE56E2">
              <w:rPr>
                <w:rFonts w:cstheme="minorHAnsi"/>
                <w:b/>
                <w:color w:val="auto"/>
                <w:lang w:val="en-AU"/>
              </w:rPr>
              <w:t xml:space="preserve"> </w:t>
            </w:r>
            <w:r w:rsidR="00E759B2" w:rsidRPr="00DE56E2">
              <w:rPr>
                <w:rFonts w:cstheme="minorHAnsi"/>
                <w:color w:val="auto"/>
                <w:lang w:val="en-AU"/>
              </w:rPr>
              <w:t>continues to present challenges for the sector.</w:t>
            </w:r>
          </w:p>
        </w:tc>
        <w:tc>
          <w:tcPr>
            <w:tcW w:w="3969" w:type="dxa"/>
          </w:tcPr>
          <w:p w14:paraId="362EBDD5" w14:textId="694ECCC6" w:rsidR="007D33E0" w:rsidRDefault="00BE0866" w:rsidP="00BC1005">
            <w:pPr>
              <w:rPr>
                <w:rFonts w:cstheme="minorHAnsi"/>
                <w:color w:val="auto"/>
                <w:lang w:val="en-AU"/>
              </w:rPr>
            </w:pPr>
            <w:r w:rsidRPr="00DE56E2">
              <w:rPr>
                <w:rFonts w:cstheme="minorHAnsi"/>
                <w:b/>
                <w:color w:val="auto"/>
                <w:lang w:val="en-AU"/>
              </w:rPr>
              <w:t xml:space="preserve">Underway: </w:t>
            </w:r>
            <w:r w:rsidR="00E759B2" w:rsidRPr="00DE56E2">
              <w:rPr>
                <w:rFonts w:cstheme="minorHAnsi"/>
                <w:color w:val="auto"/>
                <w:lang w:val="en-AU"/>
              </w:rPr>
              <w:t xml:space="preserve"> </w:t>
            </w:r>
            <w:r w:rsidRPr="00DE56E2">
              <w:rPr>
                <w:rFonts w:cstheme="minorHAnsi"/>
                <w:color w:val="auto"/>
                <w:lang w:val="en-AU"/>
              </w:rPr>
              <w:t xml:space="preserve">In 2018 </w:t>
            </w:r>
            <w:r w:rsidR="00BC1005" w:rsidRPr="00BC1005">
              <w:rPr>
                <w:rFonts w:cstheme="minorHAnsi"/>
                <w:color w:val="auto"/>
                <w:lang w:val="en-AU"/>
              </w:rPr>
              <w:t>the program</w:t>
            </w:r>
            <w:r w:rsidR="00BC1005">
              <w:rPr>
                <w:rFonts w:cstheme="minorHAnsi"/>
                <w:i/>
                <w:color w:val="auto"/>
                <w:lang w:val="en-AU"/>
              </w:rPr>
              <w:t xml:space="preserve"> </w:t>
            </w:r>
            <w:r w:rsidRPr="00DE56E2">
              <w:rPr>
                <w:rFonts w:cstheme="minorHAnsi"/>
                <w:color w:val="auto"/>
                <w:lang w:val="en-AU"/>
              </w:rPr>
              <w:t xml:space="preserve">developed a data reporting portal </w:t>
            </w:r>
            <w:r w:rsidR="00484D04" w:rsidRPr="00DE56E2">
              <w:rPr>
                <w:rFonts w:cstheme="minorHAnsi"/>
                <w:color w:val="auto"/>
                <w:lang w:val="en-AU"/>
              </w:rPr>
              <w:t xml:space="preserve">to enable the ministry to have ready access to useful information for decision-making. KEIP will continue to develop this portal during 2019 in parallel with </w:t>
            </w:r>
            <w:r w:rsidR="00484D04" w:rsidRPr="00BC1005">
              <w:rPr>
                <w:rFonts w:cstheme="minorHAnsi"/>
                <w:color w:val="auto"/>
                <w:lang w:val="en-AU"/>
              </w:rPr>
              <w:t>regional efforts</w:t>
            </w:r>
            <w:r w:rsidR="00484D04" w:rsidRPr="00DE56E2">
              <w:rPr>
                <w:rFonts w:cstheme="minorHAnsi"/>
                <w:color w:val="auto"/>
                <w:lang w:val="en-AU"/>
              </w:rPr>
              <w:t xml:space="preserve"> to strengthen the Kiribati Education Management Information System (through SPC/UIS).</w:t>
            </w:r>
          </w:p>
          <w:p w14:paraId="133C9CE2" w14:textId="5A5C3554" w:rsidR="00D85631" w:rsidRPr="00DE56E2" w:rsidRDefault="002A58F8" w:rsidP="00BC1005">
            <w:pPr>
              <w:rPr>
                <w:rFonts w:cstheme="minorHAnsi"/>
                <w:color w:val="auto"/>
                <w:lang w:val="en-AU"/>
              </w:rPr>
            </w:pPr>
            <w:r w:rsidRPr="00DE56E2">
              <w:rPr>
                <w:rFonts w:cstheme="minorHAnsi"/>
                <w:color w:val="auto"/>
                <w:lang w:val="en-AU"/>
              </w:rPr>
              <w:t xml:space="preserve">In addition, the new </w:t>
            </w:r>
            <w:r w:rsidR="00484D04" w:rsidRPr="00DE56E2">
              <w:rPr>
                <w:rFonts w:cstheme="minorHAnsi"/>
                <w:i/>
                <w:color w:val="auto"/>
                <w:lang w:val="en-AU"/>
              </w:rPr>
              <w:t>education sector strategic plan</w:t>
            </w:r>
            <w:r w:rsidRPr="00DE56E2">
              <w:rPr>
                <w:rFonts w:cstheme="minorHAnsi"/>
                <w:color w:val="auto"/>
                <w:lang w:val="en-AU"/>
              </w:rPr>
              <w:t xml:space="preserve"> (in development) will include</w:t>
            </w:r>
            <w:r w:rsidR="00484D04" w:rsidRPr="00DE56E2">
              <w:rPr>
                <w:rFonts w:cstheme="minorHAnsi"/>
                <w:color w:val="auto"/>
                <w:lang w:val="en-AU"/>
              </w:rPr>
              <w:t xml:space="preserve"> </w:t>
            </w:r>
            <w:r w:rsidRPr="00DE56E2">
              <w:rPr>
                <w:rFonts w:cstheme="minorHAnsi"/>
                <w:color w:val="auto"/>
                <w:lang w:val="en-AU"/>
              </w:rPr>
              <w:t xml:space="preserve">a focus on strengthening </w:t>
            </w:r>
            <w:r w:rsidR="007D33E0">
              <w:rPr>
                <w:rFonts w:cstheme="minorHAnsi"/>
                <w:color w:val="auto"/>
                <w:lang w:val="en-AU"/>
              </w:rPr>
              <w:t>sectoral information management.</w:t>
            </w:r>
            <w:r w:rsidR="00484D04" w:rsidRPr="00DE56E2">
              <w:rPr>
                <w:rFonts w:cstheme="minorHAnsi"/>
                <w:color w:val="auto"/>
                <w:lang w:val="en-AU"/>
              </w:rPr>
              <w:t xml:space="preserve">  </w:t>
            </w:r>
            <w:r w:rsidR="00E759B2" w:rsidRPr="00DE56E2">
              <w:rPr>
                <w:rFonts w:cstheme="minorHAnsi"/>
                <w:color w:val="auto"/>
                <w:lang w:val="en-AU"/>
              </w:rPr>
              <w:t xml:space="preserve"> </w:t>
            </w:r>
          </w:p>
        </w:tc>
        <w:tc>
          <w:tcPr>
            <w:tcW w:w="2580" w:type="dxa"/>
          </w:tcPr>
          <w:p w14:paraId="175B424D" w14:textId="755DDA62" w:rsidR="004E5993" w:rsidRPr="00DE56E2" w:rsidRDefault="00A35589" w:rsidP="00484D04">
            <w:pPr>
              <w:rPr>
                <w:rFonts w:cstheme="minorHAnsi"/>
                <w:color w:val="auto"/>
                <w:lang w:val="en-AU"/>
              </w:rPr>
            </w:pPr>
            <w:r w:rsidRPr="00DE56E2">
              <w:rPr>
                <w:rFonts w:cstheme="minorHAnsi"/>
                <w:color w:val="auto"/>
                <w:lang w:val="en-AU"/>
              </w:rPr>
              <w:t>W</w:t>
            </w:r>
            <w:r w:rsidR="004E6104" w:rsidRPr="00DE56E2">
              <w:rPr>
                <w:rFonts w:cstheme="minorHAnsi"/>
                <w:color w:val="auto"/>
                <w:lang w:val="en-AU"/>
              </w:rPr>
              <w:t xml:space="preserve">ork has commenced and will continue for the remainder of the program (and </w:t>
            </w:r>
            <w:r w:rsidR="003644B7" w:rsidRPr="00DE56E2">
              <w:rPr>
                <w:rFonts w:cstheme="minorHAnsi"/>
                <w:color w:val="auto"/>
                <w:lang w:val="en-AU"/>
              </w:rPr>
              <w:t xml:space="preserve">probably </w:t>
            </w:r>
            <w:r w:rsidR="004E6104" w:rsidRPr="00DE56E2">
              <w:rPr>
                <w:rFonts w:cstheme="minorHAnsi"/>
                <w:color w:val="auto"/>
                <w:lang w:val="en-AU"/>
              </w:rPr>
              <w:t>into the next).</w:t>
            </w:r>
          </w:p>
        </w:tc>
      </w:tr>
    </w:tbl>
    <w:p w14:paraId="629D1283" w14:textId="7E3C21F0" w:rsidR="00987ACF" w:rsidRDefault="00987ACF"/>
    <w:p w14:paraId="63EEE76D" w14:textId="3478E12B" w:rsidR="00987ACF" w:rsidRDefault="00987ACF"/>
    <w:p w14:paraId="1C630684" w14:textId="77777777" w:rsidR="00DE56E2" w:rsidRDefault="00DE56E2"/>
    <w:tbl>
      <w:tblPr>
        <w:tblStyle w:val="TableGrid"/>
        <w:tblW w:w="13603" w:type="dxa"/>
        <w:tblLook w:val="04A0" w:firstRow="1" w:lastRow="0" w:firstColumn="1" w:lastColumn="0" w:noHBand="0" w:noVBand="1"/>
      </w:tblPr>
      <w:tblGrid>
        <w:gridCol w:w="562"/>
        <w:gridCol w:w="2523"/>
        <w:gridCol w:w="3969"/>
        <w:gridCol w:w="3969"/>
        <w:gridCol w:w="2580"/>
      </w:tblGrid>
      <w:tr w:rsidR="00987ACF" w:rsidRPr="0038060A" w14:paraId="20FB4CB4" w14:textId="77777777" w:rsidTr="00C66C68">
        <w:trPr>
          <w:trHeight w:val="653"/>
        </w:trPr>
        <w:tc>
          <w:tcPr>
            <w:tcW w:w="562" w:type="dxa"/>
            <w:shd w:val="clear" w:color="auto" w:fill="F2F2F2" w:themeFill="background1" w:themeFillShade="F2"/>
          </w:tcPr>
          <w:p w14:paraId="3D5A6F42" w14:textId="3FDC3723" w:rsidR="00987ACF" w:rsidRPr="0038060A" w:rsidRDefault="00987ACF" w:rsidP="008E4060">
            <w:pPr>
              <w:rPr>
                <w:rFonts w:cstheme="minorHAnsi"/>
                <w:b/>
                <w:lang w:val="en-AU"/>
              </w:rPr>
            </w:pPr>
            <w:r>
              <w:lastRenderedPageBreak/>
              <w:br w:type="column"/>
            </w:r>
            <w:r>
              <w:br w:type="column"/>
            </w:r>
            <w:r w:rsidRPr="0038060A">
              <w:rPr>
                <w:rFonts w:cstheme="minorHAnsi"/>
                <w:b/>
                <w:lang w:val="en-AU"/>
              </w:rPr>
              <w:t>#</w:t>
            </w:r>
          </w:p>
        </w:tc>
        <w:tc>
          <w:tcPr>
            <w:tcW w:w="2523" w:type="dxa"/>
            <w:shd w:val="clear" w:color="auto" w:fill="F2F2F2" w:themeFill="background1" w:themeFillShade="F2"/>
          </w:tcPr>
          <w:p w14:paraId="516B0A99" w14:textId="77777777" w:rsidR="00987ACF" w:rsidRPr="0038060A" w:rsidRDefault="00987ACF" w:rsidP="008E4060">
            <w:pPr>
              <w:rPr>
                <w:rFonts w:cstheme="minorHAnsi"/>
                <w:b/>
                <w:lang w:val="en-AU"/>
              </w:rPr>
            </w:pPr>
            <w:r w:rsidRPr="0038060A">
              <w:rPr>
                <w:rFonts w:cstheme="minorHAnsi"/>
                <w:b/>
                <w:lang w:val="en-AU"/>
              </w:rPr>
              <w:t>Recommendation</w:t>
            </w:r>
          </w:p>
        </w:tc>
        <w:tc>
          <w:tcPr>
            <w:tcW w:w="3969" w:type="dxa"/>
            <w:shd w:val="clear" w:color="auto" w:fill="F2F2F2" w:themeFill="background1" w:themeFillShade="F2"/>
          </w:tcPr>
          <w:p w14:paraId="12825E56" w14:textId="77777777" w:rsidR="00987ACF" w:rsidRPr="0038060A" w:rsidRDefault="00987ACF" w:rsidP="008E4060">
            <w:pPr>
              <w:rPr>
                <w:rFonts w:cstheme="minorHAnsi"/>
                <w:b/>
                <w:lang w:val="en-AU"/>
              </w:rPr>
            </w:pPr>
            <w:r w:rsidRPr="0038060A">
              <w:rPr>
                <w:rFonts w:cstheme="minorHAnsi"/>
                <w:b/>
                <w:lang w:val="en-AU"/>
              </w:rPr>
              <w:t>Response and explanation</w:t>
            </w:r>
          </w:p>
        </w:tc>
        <w:tc>
          <w:tcPr>
            <w:tcW w:w="3969" w:type="dxa"/>
            <w:shd w:val="clear" w:color="auto" w:fill="F2F2F2" w:themeFill="background1" w:themeFillShade="F2"/>
          </w:tcPr>
          <w:p w14:paraId="2E69B90C" w14:textId="77777777" w:rsidR="00987ACF" w:rsidRPr="0038060A" w:rsidRDefault="00987ACF" w:rsidP="008E4060">
            <w:pPr>
              <w:rPr>
                <w:rFonts w:cstheme="minorHAnsi"/>
                <w:b/>
                <w:lang w:val="en-AU"/>
              </w:rPr>
            </w:pPr>
            <w:r w:rsidRPr="0038060A">
              <w:rPr>
                <w:rFonts w:cstheme="minorHAnsi"/>
                <w:b/>
                <w:lang w:val="en-AU"/>
              </w:rPr>
              <w:t>Action plan</w:t>
            </w:r>
          </w:p>
        </w:tc>
        <w:tc>
          <w:tcPr>
            <w:tcW w:w="2580" w:type="dxa"/>
            <w:shd w:val="clear" w:color="auto" w:fill="F2F2F2" w:themeFill="background1" w:themeFillShade="F2"/>
          </w:tcPr>
          <w:p w14:paraId="28ECD6DB" w14:textId="77777777" w:rsidR="00987ACF" w:rsidRPr="0038060A" w:rsidRDefault="00987ACF" w:rsidP="008E4060">
            <w:pPr>
              <w:rPr>
                <w:rFonts w:cstheme="minorHAnsi"/>
                <w:b/>
                <w:lang w:val="en-AU"/>
              </w:rPr>
            </w:pPr>
            <w:r w:rsidRPr="0038060A">
              <w:rPr>
                <w:rFonts w:cstheme="minorHAnsi"/>
                <w:b/>
                <w:lang w:val="en-AU"/>
              </w:rPr>
              <w:t xml:space="preserve">Timeframe </w:t>
            </w:r>
          </w:p>
        </w:tc>
      </w:tr>
      <w:tr w:rsidR="0041643F" w:rsidRPr="0038060A" w14:paraId="60A82C34" w14:textId="77777777" w:rsidTr="00987ACF">
        <w:tc>
          <w:tcPr>
            <w:tcW w:w="562" w:type="dxa"/>
          </w:tcPr>
          <w:p w14:paraId="01AE3931" w14:textId="77777777" w:rsidR="004E5993" w:rsidRPr="00DE56E2" w:rsidRDefault="00D6363A" w:rsidP="004E5993">
            <w:pPr>
              <w:rPr>
                <w:rFonts w:cstheme="minorHAnsi"/>
                <w:b/>
                <w:color w:val="auto"/>
                <w:lang w:val="en-AU"/>
              </w:rPr>
            </w:pPr>
            <w:r w:rsidRPr="00DE56E2">
              <w:rPr>
                <w:rFonts w:cstheme="minorHAnsi"/>
                <w:b/>
                <w:color w:val="auto"/>
                <w:lang w:val="en-AU"/>
              </w:rPr>
              <w:t>5</w:t>
            </w:r>
          </w:p>
        </w:tc>
        <w:tc>
          <w:tcPr>
            <w:tcW w:w="2523" w:type="dxa"/>
          </w:tcPr>
          <w:p w14:paraId="13D4CC45" w14:textId="77777777" w:rsidR="004E5993" w:rsidRPr="00DE56E2" w:rsidRDefault="00D6363A" w:rsidP="008E5466">
            <w:pPr>
              <w:pStyle w:val="BodyText"/>
              <w:rPr>
                <w:rFonts w:cstheme="minorHAnsi"/>
                <w:color w:val="auto"/>
                <w:lang w:val="en-AU"/>
              </w:rPr>
            </w:pPr>
            <w:r w:rsidRPr="00DE56E2">
              <w:rPr>
                <w:rFonts w:cstheme="minorHAnsi"/>
                <w:color w:val="auto"/>
              </w:rPr>
              <w:t xml:space="preserve">Agree on principles for joint planning and budgeting </w:t>
            </w:r>
          </w:p>
        </w:tc>
        <w:tc>
          <w:tcPr>
            <w:tcW w:w="3969" w:type="dxa"/>
          </w:tcPr>
          <w:p w14:paraId="65AD20C6" w14:textId="77777777" w:rsidR="00FB5CB8" w:rsidRPr="00DE56E2" w:rsidRDefault="004650C3" w:rsidP="00FB5CB8">
            <w:pPr>
              <w:rPr>
                <w:rFonts w:cstheme="minorHAnsi"/>
                <w:b/>
                <w:color w:val="auto"/>
                <w:lang w:val="en-AU"/>
              </w:rPr>
            </w:pPr>
            <w:r w:rsidRPr="00DE56E2">
              <w:rPr>
                <w:rFonts w:cstheme="minorHAnsi"/>
                <w:b/>
                <w:color w:val="auto"/>
                <w:lang w:val="en-AU"/>
              </w:rPr>
              <w:t>Agree</w:t>
            </w:r>
            <w:r w:rsidR="00B761A1" w:rsidRPr="00DE56E2">
              <w:rPr>
                <w:rFonts w:cstheme="minorHAnsi"/>
                <w:b/>
                <w:color w:val="auto"/>
                <w:lang w:val="en-AU"/>
              </w:rPr>
              <w:t>:</w:t>
            </w:r>
            <w:r w:rsidRPr="00DE56E2">
              <w:rPr>
                <w:rFonts w:cstheme="minorHAnsi"/>
                <w:b/>
                <w:color w:val="auto"/>
                <w:lang w:val="en-AU"/>
              </w:rPr>
              <w:t xml:space="preserve"> </w:t>
            </w:r>
            <w:r w:rsidR="0055445D" w:rsidRPr="00DE56E2">
              <w:rPr>
                <w:rFonts w:cstheme="minorHAnsi"/>
                <w:color w:val="auto"/>
                <w:lang w:val="en-AU"/>
              </w:rPr>
              <w:t>We agree with the recommendation, and are satisfied that existing arrangements for program planning and resource allocation are transparent, widely understood and integrated with divisional and ministerial operational plans</w:t>
            </w:r>
            <w:r w:rsidR="00FB5CB8" w:rsidRPr="00DE56E2">
              <w:rPr>
                <w:rFonts w:cstheme="minorHAnsi"/>
                <w:color w:val="auto"/>
                <w:lang w:val="en-AU"/>
              </w:rPr>
              <w:t xml:space="preserve">. </w:t>
            </w:r>
          </w:p>
          <w:p w14:paraId="3DCF3521" w14:textId="77777777" w:rsidR="0055445D" w:rsidRPr="00DE56E2" w:rsidRDefault="0055445D" w:rsidP="008A04B1">
            <w:pPr>
              <w:rPr>
                <w:rFonts w:cstheme="minorHAnsi"/>
                <w:color w:val="auto"/>
                <w:lang w:val="en-AU"/>
              </w:rPr>
            </w:pPr>
          </w:p>
          <w:p w14:paraId="51360DBA" w14:textId="77777777" w:rsidR="004E5993" w:rsidRPr="00DE56E2" w:rsidRDefault="006A63DB" w:rsidP="00842D5D">
            <w:pPr>
              <w:rPr>
                <w:rFonts w:cstheme="minorHAnsi"/>
                <w:color w:val="auto"/>
                <w:lang w:val="en-AU"/>
              </w:rPr>
            </w:pPr>
            <w:r w:rsidRPr="00DE56E2">
              <w:rPr>
                <w:rFonts w:cstheme="minorHAnsi"/>
                <w:color w:val="auto"/>
                <w:lang w:val="en-AU"/>
              </w:rPr>
              <w:t xml:space="preserve"> </w:t>
            </w:r>
          </w:p>
        </w:tc>
        <w:tc>
          <w:tcPr>
            <w:tcW w:w="3969" w:type="dxa"/>
          </w:tcPr>
          <w:p w14:paraId="62361A03" w14:textId="1B3773B1" w:rsidR="00D85631" w:rsidRPr="00DE56E2" w:rsidRDefault="00EB7FF9" w:rsidP="007D33E0">
            <w:pPr>
              <w:rPr>
                <w:rFonts w:cstheme="minorHAnsi"/>
                <w:color w:val="auto"/>
                <w:lang w:val="en-AU"/>
              </w:rPr>
            </w:pPr>
            <w:r w:rsidRPr="00DE56E2">
              <w:rPr>
                <w:rFonts w:cstheme="minorHAnsi"/>
                <w:b/>
                <w:color w:val="auto"/>
                <w:lang w:val="en-AU"/>
              </w:rPr>
              <w:t>Underway:</w:t>
            </w:r>
            <w:r w:rsidR="008A04B1" w:rsidRPr="00DE56E2">
              <w:rPr>
                <w:rFonts w:cstheme="minorHAnsi"/>
                <w:color w:val="auto"/>
                <w:lang w:val="en-AU"/>
              </w:rPr>
              <w:t xml:space="preserve"> </w:t>
            </w:r>
            <w:r w:rsidR="003644B7" w:rsidRPr="00DE56E2">
              <w:rPr>
                <w:rFonts w:cstheme="minorHAnsi"/>
                <w:color w:val="auto"/>
                <w:lang w:val="en-AU"/>
              </w:rPr>
              <w:t>KEIP leadership</w:t>
            </w:r>
            <w:r w:rsidR="0055445D" w:rsidRPr="00DE56E2">
              <w:rPr>
                <w:rFonts w:cstheme="minorHAnsi"/>
                <w:color w:val="auto"/>
                <w:lang w:val="en-AU"/>
              </w:rPr>
              <w:t xml:space="preserve"> will continue to consult with the ministry’s executive about program activities and resource allocat</w:t>
            </w:r>
            <w:r w:rsidR="00331BC4" w:rsidRPr="00DE56E2">
              <w:rPr>
                <w:rFonts w:cstheme="minorHAnsi"/>
                <w:color w:val="auto"/>
                <w:lang w:val="en-AU"/>
              </w:rPr>
              <w:t>ion. Joint planning exercises late in 2018 ensured 2019 operational plans for KEIP, divisions and the minist</w:t>
            </w:r>
            <w:r w:rsidR="007D33E0">
              <w:rPr>
                <w:rFonts w:cstheme="minorHAnsi"/>
                <w:color w:val="auto"/>
                <w:lang w:val="en-AU"/>
              </w:rPr>
              <w:t xml:space="preserve">ry were aligned and integrated and gained </w:t>
            </w:r>
            <w:r w:rsidR="00331BC4" w:rsidRPr="00DE56E2">
              <w:rPr>
                <w:rFonts w:cstheme="minorHAnsi"/>
                <w:color w:val="auto"/>
                <w:lang w:val="en-AU"/>
              </w:rPr>
              <w:t xml:space="preserve">executive sign-off. </w:t>
            </w:r>
            <w:r w:rsidRPr="00DE56E2">
              <w:rPr>
                <w:rFonts w:cstheme="minorHAnsi"/>
                <w:color w:val="auto"/>
                <w:lang w:val="en-AU"/>
              </w:rPr>
              <w:t xml:space="preserve">Executive will be engaged in, and/or briefed on, </w:t>
            </w:r>
            <w:r w:rsidR="007D33E0">
              <w:rPr>
                <w:rFonts w:cstheme="minorHAnsi"/>
                <w:color w:val="auto"/>
                <w:lang w:val="en-AU"/>
              </w:rPr>
              <w:t>future planning</w:t>
            </w:r>
            <w:r w:rsidRPr="00DE56E2">
              <w:rPr>
                <w:rFonts w:cstheme="minorHAnsi"/>
                <w:color w:val="auto"/>
                <w:lang w:val="en-AU"/>
              </w:rPr>
              <w:t xml:space="preserve"> activities.</w:t>
            </w:r>
            <w:r w:rsidR="00331BC4" w:rsidRPr="00DE56E2">
              <w:rPr>
                <w:rFonts w:cstheme="minorHAnsi"/>
                <w:color w:val="auto"/>
                <w:lang w:val="en-AU"/>
              </w:rPr>
              <w:t xml:space="preserve"> </w:t>
            </w:r>
            <w:r w:rsidR="007D33E0">
              <w:rPr>
                <w:rFonts w:cstheme="minorHAnsi"/>
                <w:color w:val="auto"/>
                <w:lang w:val="en-AU"/>
              </w:rPr>
              <w:t>P</w:t>
            </w:r>
            <w:r w:rsidR="004D5284" w:rsidRPr="00DE56E2">
              <w:rPr>
                <w:rFonts w:cstheme="minorHAnsi"/>
                <w:color w:val="auto"/>
                <w:lang w:val="en-AU"/>
              </w:rPr>
              <w:t xml:space="preserve">lanning and resourcing decisions will </w:t>
            </w:r>
            <w:r w:rsidR="008F38D0">
              <w:rPr>
                <w:rFonts w:cstheme="minorHAnsi"/>
                <w:color w:val="auto"/>
                <w:lang w:val="en-AU"/>
              </w:rPr>
              <w:t xml:space="preserve">continue to </w:t>
            </w:r>
            <w:r w:rsidR="004D5284" w:rsidRPr="00DE56E2">
              <w:rPr>
                <w:rFonts w:cstheme="minorHAnsi"/>
                <w:color w:val="auto"/>
                <w:lang w:val="en-AU"/>
              </w:rPr>
              <w:t>be consultative and collaborative – including for decisions that will shape future investments in the education sector.</w:t>
            </w:r>
          </w:p>
        </w:tc>
        <w:tc>
          <w:tcPr>
            <w:tcW w:w="2580" w:type="dxa"/>
          </w:tcPr>
          <w:p w14:paraId="5090DE2C" w14:textId="33514926" w:rsidR="004E5993" w:rsidRPr="00DE56E2" w:rsidRDefault="00FB5CB8" w:rsidP="004D5284">
            <w:pPr>
              <w:rPr>
                <w:rFonts w:cstheme="minorHAnsi"/>
                <w:color w:val="auto"/>
                <w:lang w:val="en-AU"/>
              </w:rPr>
            </w:pPr>
            <w:r w:rsidRPr="00DE56E2">
              <w:rPr>
                <w:rFonts w:cstheme="minorHAnsi"/>
                <w:color w:val="auto"/>
                <w:lang w:val="en-AU"/>
              </w:rPr>
              <w:t xml:space="preserve">Resourcing </w:t>
            </w:r>
            <w:r w:rsidR="00331BC4" w:rsidRPr="00DE56E2">
              <w:rPr>
                <w:rFonts w:cstheme="minorHAnsi"/>
                <w:color w:val="auto"/>
                <w:lang w:val="en-AU"/>
              </w:rPr>
              <w:t xml:space="preserve">will be </w:t>
            </w:r>
            <w:r w:rsidRPr="00DE56E2">
              <w:rPr>
                <w:rFonts w:cstheme="minorHAnsi"/>
                <w:color w:val="auto"/>
                <w:lang w:val="en-AU"/>
              </w:rPr>
              <w:t>discussed</w:t>
            </w:r>
            <w:r w:rsidR="00331BC4" w:rsidRPr="00DE56E2">
              <w:rPr>
                <w:rFonts w:cstheme="minorHAnsi"/>
                <w:color w:val="auto"/>
                <w:lang w:val="en-AU"/>
              </w:rPr>
              <w:t xml:space="preserve"> during monthly management meetings, </w:t>
            </w:r>
            <w:r w:rsidRPr="00DE56E2">
              <w:rPr>
                <w:rFonts w:cstheme="minorHAnsi"/>
                <w:color w:val="auto"/>
                <w:lang w:val="en-AU"/>
              </w:rPr>
              <w:t xml:space="preserve">and </w:t>
            </w:r>
            <w:r w:rsidR="00331BC4" w:rsidRPr="00DE56E2">
              <w:rPr>
                <w:rFonts w:cstheme="minorHAnsi"/>
                <w:color w:val="auto"/>
                <w:lang w:val="en-AU"/>
              </w:rPr>
              <w:t>tripartite meetings</w:t>
            </w:r>
            <w:r w:rsidR="004D5284" w:rsidRPr="00DE56E2">
              <w:rPr>
                <w:rFonts w:cstheme="minorHAnsi"/>
                <w:color w:val="auto"/>
                <w:lang w:val="en-AU"/>
              </w:rPr>
              <w:t>. Joint annual panning exercises will continue throughout.</w:t>
            </w:r>
          </w:p>
        </w:tc>
      </w:tr>
      <w:tr w:rsidR="0041643F" w:rsidRPr="0038060A" w14:paraId="7A43F5DC" w14:textId="77777777" w:rsidTr="00987ACF">
        <w:tc>
          <w:tcPr>
            <w:tcW w:w="562" w:type="dxa"/>
          </w:tcPr>
          <w:p w14:paraId="2EB4A826" w14:textId="77777777" w:rsidR="004E5993" w:rsidRPr="00DE56E2" w:rsidRDefault="00D6363A" w:rsidP="004E5993">
            <w:pPr>
              <w:rPr>
                <w:rFonts w:cstheme="minorHAnsi"/>
                <w:b/>
                <w:color w:val="auto"/>
                <w:lang w:val="en-AU"/>
              </w:rPr>
            </w:pPr>
            <w:r w:rsidRPr="00DE56E2">
              <w:rPr>
                <w:rFonts w:cstheme="minorHAnsi"/>
                <w:b/>
                <w:color w:val="auto"/>
                <w:lang w:val="en-AU"/>
              </w:rPr>
              <w:t>6</w:t>
            </w:r>
          </w:p>
        </w:tc>
        <w:tc>
          <w:tcPr>
            <w:tcW w:w="2523" w:type="dxa"/>
          </w:tcPr>
          <w:p w14:paraId="63A38ACD" w14:textId="77777777" w:rsidR="004E5993" w:rsidRPr="00DE56E2" w:rsidRDefault="00B761A1" w:rsidP="00016DB7">
            <w:pPr>
              <w:rPr>
                <w:rFonts w:cstheme="minorHAnsi"/>
                <w:color w:val="auto"/>
                <w:lang w:val="en-AU"/>
              </w:rPr>
            </w:pPr>
            <w:r w:rsidRPr="00DE56E2">
              <w:rPr>
                <w:rFonts w:cstheme="minorHAnsi"/>
                <w:color w:val="auto"/>
                <w:lang w:val="en-AU"/>
              </w:rPr>
              <w:t>The p</w:t>
            </w:r>
            <w:r w:rsidR="00D6363A" w:rsidRPr="00DE56E2">
              <w:rPr>
                <w:rFonts w:cstheme="minorHAnsi"/>
                <w:color w:val="auto"/>
                <w:lang w:val="en-AU"/>
              </w:rPr>
              <w:t xml:space="preserve">ace and </w:t>
            </w:r>
            <w:r w:rsidR="00842D5D" w:rsidRPr="00DE56E2">
              <w:rPr>
                <w:rFonts w:cstheme="minorHAnsi"/>
                <w:color w:val="auto"/>
                <w:lang w:val="en-AU"/>
              </w:rPr>
              <w:t>sequencing of KEIP reforms need</w:t>
            </w:r>
            <w:r w:rsidR="00D6363A" w:rsidRPr="00DE56E2">
              <w:rPr>
                <w:rFonts w:cstheme="minorHAnsi"/>
                <w:color w:val="auto"/>
                <w:lang w:val="en-AU"/>
              </w:rPr>
              <w:t xml:space="preserve"> to be reviewed in line with exis</w:t>
            </w:r>
            <w:r w:rsidR="008E5466" w:rsidRPr="00DE56E2">
              <w:rPr>
                <w:rFonts w:cstheme="minorHAnsi"/>
                <w:color w:val="auto"/>
                <w:lang w:val="en-AU"/>
              </w:rPr>
              <w:t xml:space="preserve">ting </w:t>
            </w:r>
            <w:r w:rsidR="00016DB7" w:rsidRPr="00DE56E2">
              <w:rPr>
                <w:rFonts w:cstheme="minorHAnsi"/>
                <w:color w:val="auto"/>
                <w:lang w:val="en-AU"/>
              </w:rPr>
              <w:t>ministry</w:t>
            </w:r>
            <w:r w:rsidR="008E5466" w:rsidRPr="00DE56E2">
              <w:rPr>
                <w:rFonts w:cstheme="minorHAnsi"/>
                <w:color w:val="auto"/>
                <w:lang w:val="en-AU"/>
              </w:rPr>
              <w:t xml:space="preserve"> systems and processes</w:t>
            </w:r>
          </w:p>
        </w:tc>
        <w:tc>
          <w:tcPr>
            <w:tcW w:w="3969" w:type="dxa"/>
          </w:tcPr>
          <w:p w14:paraId="1410C1E0" w14:textId="45886095" w:rsidR="004E5993" w:rsidRPr="00DE56E2" w:rsidRDefault="00354F93" w:rsidP="00893A19">
            <w:pPr>
              <w:rPr>
                <w:rFonts w:cstheme="minorHAnsi"/>
                <w:color w:val="auto"/>
                <w:lang w:val="en-AU"/>
              </w:rPr>
            </w:pPr>
            <w:r w:rsidRPr="00DE56E2">
              <w:rPr>
                <w:rFonts w:cstheme="minorHAnsi"/>
                <w:b/>
                <w:color w:val="auto"/>
                <w:lang w:val="en-AU"/>
              </w:rPr>
              <w:t>A</w:t>
            </w:r>
            <w:r w:rsidR="008E5466" w:rsidRPr="00DE56E2">
              <w:rPr>
                <w:rFonts w:cstheme="minorHAnsi"/>
                <w:b/>
                <w:color w:val="auto"/>
                <w:lang w:val="en-AU"/>
              </w:rPr>
              <w:t>gree</w:t>
            </w:r>
            <w:r w:rsidR="008E5466" w:rsidRPr="00DE56E2">
              <w:rPr>
                <w:rFonts w:cstheme="minorHAnsi"/>
                <w:color w:val="auto"/>
                <w:lang w:val="en-AU"/>
              </w:rPr>
              <w:t xml:space="preserve">: </w:t>
            </w:r>
            <w:r w:rsidR="00433841" w:rsidRPr="00DE56E2">
              <w:rPr>
                <w:rFonts w:cstheme="minorHAnsi"/>
                <w:color w:val="auto"/>
                <w:lang w:val="en-AU"/>
              </w:rPr>
              <w:t xml:space="preserve">It is critical that the </w:t>
            </w:r>
            <w:r w:rsidRPr="00DE56E2">
              <w:rPr>
                <w:rFonts w:cstheme="minorHAnsi"/>
                <w:color w:val="auto"/>
                <w:lang w:val="en-AU"/>
              </w:rPr>
              <w:t xml:space="preserve">pace and sequencing of KEIP reforms </w:t>
            </w:r>
            <w:r w:rsidR="00523EA4" w:rsidRPr="00DE56E2">
              <w:rPr>
                <w:rFonts w:cstheme="minorHAnsi"/>
                <w:color w:val="auto"/>
                <w:lang w:val="en-AU"/>
              </w:rPr>
              <w:t>match</w:t>
            </w:r>
            <w:r w:rsidR="00B346E3" w:rsidRPr="00DE56E2">
              <w:rPr>
                <w:rFonts w:cstheme="minorHAnsi"/>
                <w:color w:val="auto"/>
                <w:lang w:val="en-AU"/>
              </w:rPr>
              <w:t>es</w:t>
            </w:r>
            <w:r w:rsidR="00523EA4" w:rsidRPr="00DE56E2">
              <w:rPr>
                <w:rFonts w:cstheme="minorHAnsi"/>
                <w:color w:val="auto"/>
                <w:lang w:val="en-AU"/>
              </w:rPr>
              <w:t xml:space="preserve"> the capacity of the </w:t>
            </w:r>
            <w:r w:rsidR="003A563E" w:rsidRPr="00DE56E2">
              <w:rPr>
                <w:rFonts w:cstheme="minorHAnsi"/>
                <w:color w:val="auto"/>
                <w:lang w:val="en-AU"/>
              </w:rPr>
              <w:t>national system to</w:t>
            </w:r>
            <w:r w:rsidR="00B346E3" w:rsidRPr="00DE56E2">
              <w:rPr>
                <w:rFonts w:cstheme="minorHAnsi"/>
                <w:color w:val="auto"/>
                <w:lang w:val="en-AU"/>
              </w:rPr>
              <w:t xml:space="preserve"> realise and sustain improved</w:t>
            </w:r>
            <w:r w:rsidR="003A563E" w:rsidRPr="00DE56E2">
              <w:rPr>
                <w:rFonts w:cstheme="minorHAnsi"/>
                <w:color w:val="auto"/>
                <w:lang w:val="en-AU"/>
              </w:rPr>
              <w:t xml:space="preserve"> student learning outcomes</w:t>
            </w:r>
            <w:r w:rsidR="00B346E3" w:rsidRPr="00DE56E2">
              <w:rPr>
                <w:rFonts w:cstheme="minorHAnsi"/>
                <w:color w:val="auto"/>
                <w:lang w:val="en-AU"/>
              </w:rPr>
              <w:t xml:space="preserve">. </w:t>
            </w:r>
          </w:p>
        </w:tc>
        <w:tc>
          <w:tcPr>
            <w:tcW w:w="3969" w:type="dxa"/>
          </w:tcPr>
          <w:p w14:paraId="61EA7B53" w14:textId="2A444345" w:rsidR="00B346E3" w:rsidRPr="00DE56E2" w:rsidRDefault="00EE1ADC" w:rsidP="0004085C">
            <w:pPr>
              <w:rPr>
                <w:rFonts w:cstheme="minorHAnsi"/>
                <w:color w:val="auto"/>
                <w:lang w:val="en-AU"/>
              </w:rPr>
            </w:pPr>
            <w:r w:rsidRPr="00DE56E2">
              <w:rPr>
                <w:rFonts w:cstheme="minorHAnsi"/>
                <w:b/>
                <w:color w:val="auto"/>
                <w:lang w:val="en-AU"/>
              </w:rPr>
              <w:t>Upcoming:</w:t>
            </w:r>
            <w:r w:rsidRPr="00DE56E2">
              <w:rPr>
                <w:rFonts w:cstheme="minorHAnsi"/>
                <w:color w:val="auto"/>
                <w:lang w:val="en-AU"/>
              </w:rPr>
              <w:t xml:space="preserve"> </w:t>
            </w:r>
            <w:r w:rsidR="00B346E3" w:rsidRPr="00DE56E2">
              <w:rPr>
                <w:rFonts w:cstheme="minorHAnsi"/>
                <w:color w:val="auto"/>
                <w:lang w:val="en-AU"/>
              </w:rPr>
              <w:t>There are strong links between this recommendation and our response to it</w:t>
            </w:r>
            <w:r w:rsidR="00FD5C20" w:rsidRPr="00DE56E2">
              <w:rPr>
                <w:rFonts w:cstheme="minorHAnsi"/>
                <w:color w:val="auto"/>
                <w:lang w:val="en-AU"/>
              </w:rPr>
              <w:t xml:space="preserve">, </w:t>
            </w:r>
            <w:r w:rsidR="0004085C" w:rsidRPr="00DE56E2">
              <w:rPr>
                <w:rFonts w:cstheme="minorHAnsi"/>
                <w:color w:val="auto"/>
                <w:lang w:val="en-AU"/>
              </w:rPr>
              <w:t xml:space="preserve">and </w:t>
            </w:r>
            <w:r w:rsidR="00FD5C20" w:rsidRPr="00DE56E2">
              <w:rPr>
                <w:rFonts w:cstheme="minorHAnsi"/>
                <w:color w:val="auto"/>
                <w:lang w:val="en-AU"/>
              </w:rPr>
              <w:t xml:space="preserve">recommendation #10 (the scope of our work). </w:t>
            </w:r>
            <w:r w:rsidR="00F24BB9" w:rsidRPr="00DE56E2">
              <w:rPr>
                <w:rFonts w:cstheme="minorHAnsi"/>
                <w:color w:val="auto"/>
                <w:lang w:val="en-AU"/>
              </w:rPr>
              <w:t xml:space="preserve">The scope, pace and sequencing of future work in the education sector will be considered in the </w:t>
            </w:r>
            <w:r w:rsidR="0004085C" w:rsidRPr="00DE56E2">
              <w:rPr>
                <w:rFonts w:cstheme="minorHAnsi"/>
                <w:color w:val="auto"/>
                <w:lang w:val="en-AU"/>
              </w:rPr>
              <w:t xml:space="preserve">upcoming concepts and </w:t>
            </w:r>
            <w:r w:rsidR="00F24BB9" w:rsidRPr="00DE56E2">
              <w:rPr>
                <w:rFonts w:cstheme="minorHAnsi"/>
                <w:color w:val="auto"/>
                <w:lang w:val="en-AU"/>
              </w:rPr>
              <w:t xml:space="preserve">design </w:t>
            </w:r>
            <w:r w:rsidR="0004085C" w:rsidRPr="00DE56E2">
              <w:rPr>
                <w:rFonts w:cstheme="minorHAnsi"/>
                <w:color w:val="auto"/>
                <w:lang w:val="en-AU"/>
              </w:rPr>
              <w:t>phases</w:t>
            </w:r>
            <w:r w:rsidR="00F24BB9" w:rsidRPr="00DE56E2">
              <w:rPr>
                <w:rFonts w:cstheme="minorHAnsi"/>
                <w:color w:val="auto"/>
                <w:lang w:val="en-AU"/>
              </w:rPr>
              <w:t xml:space="preserve">. </w:t>
            </w:r>
          </w:p>
        </w:tc>
        <w:tc>
          <w:tcPr>
            <w:tcW w:w="2580" w:type="dxa"/>
          </w:tcPr>
          <w:p w14:paraId="7B8A0DE5" w14:textId="77777777" w:rsidR="004E5993" w:rsidRPr="00DE56E2" w:rsidRDefault="00F24BB9" w:rsidP="00F24BB9">
            <w:pPr>
              <w:rPr>
                <w:rFonts w:cstheme="minorHAnsi"/>
                <w:color w:val="auto"/>
                <w:lang w:val="en-AU"/>
              </w:rPr>
            </w:pPr>
            <w:r w:rsidRPr="00DE56E2">
              <w:rPr>
                <w:rFonts w:cstheme="minorHAnsi"/>
                <w:color w:val="auto"/>
                <w:lang w:val="en-AU"/>
              </w:rPr>
              <w:t>Subject to delegate approval, it is envisaged design activity will start in the second half of 2019, and consider questions of scope, pace and sequencing.</w:t>
            </w:r>
          </w:p>
        </w:tc>
      </w:tr>
      <w:tr w:rsidR="0041643F" w:rsidRPr="0038060A" w14:paraId="3EA4DBDA" w14:textId="77777777" w:rsidTr="00987ACF">
        <w:tc>
          <w:tcPr>
            <w:tcW w:w="562" w:type="dxa"/>
          </w:tcPr>
          <w:p w14:paraId="1C3BF9E0" w14:textId="77777777" w:rsidR="004E5993" w:rsidRPr="00DE56E2" w:rsidRDefault="00D6363A" w:rsidP="004E5993">
            <w:pPr>
              <w:rPr>
                <w:rFonts w:cstheme="minorHAnsi"/>
                <w:b/>
                <w:color w:val="auto"/>
                <w:lang w:val="en-AU"/>
              </w:rPr>
            </w:pPr>
            <w:r w:rsidRPr="00DE56E2">
              <w:rPr>
                <w:rFonts w:cstheme="minorHAnsi"/>
                <w:b/>
                <w:color w:val="auto"/>
                <w:lang w:val="en-AU"/>
              </w:rPr>
              <w:t>7</w:t>
            </w:r>
          </w:p>
        </w:tc>
        <w:tc>
          <w:tcPr>
            <w:tcW w:w="2523" w:type="dxa"/>
          </w:tcPr>
          <w:p w14:paraId="43EDD114" w14:textId="77777777" w:rsidR="00D6363A" w:rsidRPr="00BC1005" w:rsidRDefault="00D6363A" w:rsidP="00D6363A">
            <w:pPr>
              <w:rPr>
                <w:rFonts w:cstheme="minorHAnsi"/>
                <w:color w:val="auto"/>
                <w:lang w:val="en-AU"/>
              </w:rPr>
            </w:pPr>
            <w:r w:rsidRPr="00BC1005">
              <w:rPr>
                <w:rFonts w:cstheme="minorHAnsi"/>
                <w:color w:val="auto"/>
                <w:lang w:val="en-AU"/>
              </w:rPr>
              <w:t>U</w:t>
            </w:r>
            <w:r w:rsidR="00016DB7" w:rsidRPr="00BC1005">
              <w:rPr>
                <w:rFonts w:cstheme="minorHAnsi"/>
                <w:color w:val="auto"/>
                <w:lang w:val="en-AU"/>
              </w:rPr>
              <w:t xml:space="preserve">se school outreach and school improvement planning </w:t>
            </w:r>
            <w:r w:rsidRPr="00BC1005">
              <w:rPr>
                <w:rFonts w:cstheme="minorHAnsi"/>
                <w:color w:val="auto"/>
                <w:lang w:val="en-AU"/>
              </w:rPr>
              <w:t xml:space="preserve">committees for greater </w:t>
            </w:r>
            <w:r w:rsidR="0008704D" w:rsidRPr="00BC1005">
              <w:rPr>
                <w:rFonts w:cstheme="minorHAnsi"/>
                <w:color w:val="auto"/>
                <w:lang w:val="en-AU"/>
              </w:rPr>
              <w:t xml:space="preserve">community </w:t>
            </w:r>
            <w:r w:rsidRPr="00BC1005">
              <w:rPr>
                <w:rFonts w:cstheme="minorHAnsi"/>
                <w:color w:val="auto"/>
                <w:lang w:val="en-AU"/>
              </w:rPr>
              <w:t>engagement on topics of inclusion and learning (reinforcing KEIP outcomes)</w:t>
            </w:r>
          </w:p>
          <w:p w14:paraId="157AC9C7" w14:textId="77777777" w:rsidR="004E5993" w:rsidRPr="00BC1005" w:rsidRDefault="004E5993" w:rsidP="004E5993">
            <w:pPr>
              <w:rPr>
                <w:rFonts w:cstheme="minorHAnsi"/>
                <w:color w:val="auto"/>
                <w:lang w:val="en-AU"/>
              </w:rPr>
            </w:pPr>
          </w:p>
        </w:tc>
        <w:tc>
          <w:tcPr>
            <w:tcW w:w="3969" w:type="dxa"/>
          </w:tcPr>
          <w:p w14:paraId="707C9ABA" w14:textId="2DD1AD56" w:rsidR="0004085C" w:rsidRPr="00BC1005" w:rsidRDefault="00560921" w:rsidP="00987ACF">
            <w:pPr>
              <w:rPr>
                <w:rFonts w:cstheme="minorHAnsi"/>
                <w:color w:val="auto"/>
                <w:lang w:val="en-AU"/>
              </w:rPr>
            </w:pPr>
            <w:r w:rsidRPr="00BC1005">
              <w:rPr>
                <w:rFonts w:cstheme="minorHAnsi"/>
                <w:b/>
                <w:color w:val="auto"/>
                <w:lang w:val="en-AU"/>
              </w:rPr>
              <w:t>Agree in part</w:t>
            </w:r>
            <w:r w:rsidR="0008704D" w:rsidRPr="00BC1005">
              <w:rPr>
                <w:rFonts w:cstheme="minorHAnsi"/>
                <w:b/>
                <w:color w:val="auto"/>
                <w:lang w:val="en-AU"/>
              </w:rPr>
              <w:t xml:space="preserve">: </w:t>
            </w:r>
            <w:r w:rsidR="00987ACF" w:rsidRPr="00BC1005">
              <w:rPr>
                <w:rFonts w:cstheme="minorHAnsi"/>
                <w:color w:val="auto"/>
                <w:lang w:val="en-AU"/>
              </w:rPr>
              <w:t xml:space="preserve">The program has done a good job in engaging the community, especially around access and attendance, and school refurbishments. </w:t>
            </w:r>
          </w:p>
          <w:p w14:paraId="229BA525" w14:textId="371474FF" w:rsidR="004E5993" w:rsidRPr="00BC1005" w:rsidRDefault="004E5993" w:rsidP="00987ACF">
            <w:pPr>
              <w:rPr>
                <w:rFonts w:cstheme="minorHAnsi"/>
                <w:b/>
                <w:color w:val="auto"/>
                <w:lang w:val="en-AU"/>
              </w:rPr>
            </w:pPr>
          </w:p>
        </w:tc>
        <w:tc>
          <w:tcPr>
            <w:tcW w:w="3969" w:type="dxa"/>
          </w:tcPr>
          <w:p w14:paraId="466DFE6B" w14:textId="65D16F53" w:rsidR="005B7B82" w:rsidRPr="00BC1005" w:rsidRDefault="0004085C" w:rsidP="002F78B5">
            <w:pPr>
              <w:rPr>
                <w:rFonts w:cstheme="minorHAnsi"/>
                <w:color w:val="auto"/>
                <w:lang w:val="en-AU"/>
              </w:rPr>
            </w:pPr>
            <w:r w:rsidRPr="007D33E0">
              <w:rPr>
                <w:rFonts w:cstheme="minorHAnsi"/>
                <w:b/>
                <w:color w:val="auto"/>
                <w:lang w:val="en-AU"/>
              </w:rPr>
              <w:t>Unde</w:t>
            </w:r>
            <w:r w:rsidR="00C66C68" w:rsidRPr="007D33E0">
              <w:rPr>
                <w:rFonts w:cstheme="minorHAnsi"/>
                <w:b/>
                <w:color w:val="auto"/>
                <w:lang w:val="en-AU"/>
              </w:rPr>
              <w:t>r</w:t>
            </w:r>
            <w:r w:rsidR="007D33E0">
              <w:rPr>
                <w:rFonts w:cstheme="minorHAnsi"/>
                <w:b/>
                <w:color w:val="auto"/>
                <w:lang w:val="en-AU"/>
              </w:rPr>
              <w:t>way:</w:t>
            </w:r>
            <w:r w:rsidR="00C66C68" w:rsidRPr="00BC1005">
              <w:rPr>
                <w:rFonts w:cstheme="minorHAnsi"/>
                <w:color w:val="auto"/>
                <w:lang w:val="en-AU"/>
              </w:rPr>
              <w:t xml:space="preserve"> During 2019, the program team will work with the ministry to involve the community in efforts to improve the quality of education in Kiribati. Work will proceed in four streams: school planning; learning environments; STAKI results; awareness raising. The community will </w:t>
            </w:r>
            <w:r w:rsidR="00BC1005">
              <w:rPr>
                <w:rFonts w:cstheme="minorHAnsi"/>
                <w:color w:val="auto"/>
                <w:lang w:val="en-AU"/>
              </w:rPr>
              <w:t xml:space="preserve">also </w:t>
            </w:r>
            <w:r w:rsidR="00C66C68" w:rsidRPr="00BC1005">
              <w:rPr>
                <w:rFonts w:cstheme="minorHAnsi"/>
                <w:color w:val="auto"/>
                <w:lang w:val="en-AU"/>
              </w:rPr>
              <w:t>be consulted</w:t>
            </w:r>
            <w:r w:rsidR="002F78B5">
              <w:rPr>
                <w:rFonts w:cstheme="minorHAnsi"/>
                <w:color w:val="auto"/>
                <w:lang w:val="en-AU"/>
              </w:rPr>
              <w:t xml:space="preserve"> on curriculum and learning topics</w:t>
            </w:r>
            <w:r w:rsidRPr="00BC1005">
              <w:rPr>
                <w:rFonts w:cstheme="minorHAnsi"/>
                <w:color w:val="auto"/>
                <w:lang w:val="en-AU"/>
              </w:rPr>
              <w:t xml:space="preserve">.   </w:t>
            </w:r>
          </w:p>
        </w:tc>
        <w:tc>
          <w:tcPr>
            <w:tcW w:w="2580" w:type="dxa"/>
          </w:tcPr>
          <w:p w14:paraId="04C61874" w14:textId="45929A1A" w:rsidR="004E5993" w:rsidRPr="00C66C68" w:rsidRDefault="0004085C" w:rsidP="0004085C">
            <w:pPr>
              <w:rPr>
                <w:rFonts w:cstheme="minorHAnsi"/>
                <w:lang w:val="en-AU"/>
              </w:rPr>
            </w:pPr>
            <w:r w:rsidRPr="00C66C68">
              <w:rPr>
                <w:rFonts w:cstheme="minorHAnsi"/>
                <w:color w:val="auto"/>
                <w:lang w:val="en-AU"/>
              </w:rPr>
              <w:t>This work will be undertaken over the balance of this phase of the program (and into the next subject to necessary approvals). Activity in this regard has been incorporated into the 2019 work plan.</w:t>
            </w:r>
          </w:p>
        </w:tc>
      </w:tr>
      <w:tr w:rsidR="00C66C68" w:rsidRPr="0038060A" w14:paraId="09191A72" w14:textId="77777777" w:rsidTr="00C66C68">
        <w:trPr>
          <w:trHeight w:val="653"/>
        </w:trPr>
        <w:tc>
          <w:tcPr>
            <w:tcW w:w="562" w:type="dxa"/>
            <w:shd w:val="clear" w:color="auto" w:fill="F2F2F2" w:themeFill="background1" w:themeFillShade="F2"/>
          </w:tcPr>
          <w:p w14:paraId="76CB4CEA" w14:textId="77777777" w:rsidR="00C66C68" w:rsidRPr="0038060A" w:rsidRDefault="00C66C68" w:rsidP="008E4060">
            <w:pPr>
              <w:rPr>
                <w:rFonts w:cstheme="minorHAnsi"/>
                <w:b/>
                <w:lang w:val="en-AU"/>
              </w:rPr>
            </w:pPr>
            <w:r>
              <w:lastRenderedPageBreak/>
              <w:br w:type="column"/>
            </w:r>
            <w:r>
              <w:br w:type="column"/>
            </w:r>
            <w:r w:rsidRPr="0038060A">
              <w:rPr>
                <w:rFonts w:cstheme="minorHAnsi"/>
                <w:b/>
                <w:lang w:val="en-AU"/>
              </w:rPr>
              <w:t>#</w:t>
            </w:r>
          </w:p>
        </w:tc>
        <w:tc>
          <w:tcPr>
            <w:tcW w:w="2523" w:type="dxa"/>
            <w:shd w:val="clear" w:color="auto" w:fill="F2F2F2" w:themeFill="background1" w:themeFillShade="F2"/>
          </w:tcPr>
          <w:p w14:paraId="70529694" w14:textId="77777777" w:rsidR="00C66C68" w:rsidRPr="00C66C68" w:rsidRDefault="00C66C68" w:rsidP="008E4060">
            <w:pPr>
              <w:rPr>
                <w:rFonts w:cstheme="minorHAnsi"/>
                <w:b/>
                <w:lang w:val="en-AU"/>
              </w:rPr>
            </w:pPr>
            <w:r w:rsidRPr="00C66C68">
              <w:rPr>
                <w:rFonts w:cstheme="minorHAnsi"/>
                <w:b/>
                <w:lang w:val="en-AU"/>
              </w:rPr>
              <w:t>Recommendation</w:t>
            </w:r>
          </w:p>
        </w:tc>
        <w:tc>
          <w:tcPr>
            <w:tcW w:w="3969" w:type="dxa"/>
            <w:shd w:val="clear" w:color="auto" w:fill="F2F2F2" w:themeFill="background1" w:themeFillShade="F2"/>
          </w:tcPr>
          <w:p w14:paraId="2B67A96C" w14:textId="77777777" w:rsidR="00C66C68" w:rsidRPr="00C66C68" w:rsidRDefault="00C66C68" w:rsidP="008E4060">
            <w:pPr>
              <w:rPr>
                <w:rFonts w:cstheme="minorHAnsi"/>
                <w:b/>
                <w:lang w:val="en-AU"/>
              </w:rPr>
            </w:pPr>
            <w:r w:rsidRPr="00C66C68">
              <w:rPr>
                <w:rFonts w:cstheme="minorHAnsi"/>
                <w:b/>
                <w:lang w:val="en-AU"/>
              </w:rPr>
              <w:t>Response and explanation</w:t>
            </w:r>
          </w:p>
        </w:tc>
        <w:tc>
          <w:tcPr>
            <w:tcW w:w="3969" w:type="dxa"/>
            <w:shd w:val="clear" w:color="auto" w:fill="F2F2F2" w:themeFill="background1" w:themeFillShade="F2"/>
          </w:tcPr>
          <w:p w14:paraId="42DB5F3D" w14:textId="77777777" w:rsidR="00C66C68" w:rsidRPr="00C66C68" w:rsidRDefault="00C66C68" w:rsidP="008E4060">
            <w:pPr>
              <w:rPr>
                <w:rFonts w:cstheme="minorHAnsi"/>
                <w:b/>
                <w:lang w:val="en-AU"/>
              </w:rPr>
            </w:pPr>
            <w:r w:rsidRPr="00C66C68">
              <w:rPr>
                <w:rFonts w:cstheme="minorHAnsi"/>
                <w:b/>
                <w:lang w:val="en-AU"/>
              </w:rPr>
              <w:t>Action plan</w:t>
            </w:r>
          </w:p>
        </w:tc>
        <w:tc>
          <w:tcPr>
            <w:tcW w:w="2580" w:type="dxa"/>
            <w:shd w:val="clear" w:color="auto" w:fill="F2F2F2" w:themeFill="background1" w:themeFillShade="F2"/>
          </w:tcPr>
          <w:p w14:paraId="74E17A2E" w14:textId="77777777" w:rsidR="00C66C68" w:rsidRPr="00C66C68" w:rsidRDefault="00C66C68" w:rsidP="008E4060">
            <w:pPr>
              <w:rPr>
                <w:rFonts w:cstheme="minorHAnsi"/>
                <w:b/>
                <w:lang w:val="en-AU"/>
              </w:rPr>
            </w:pPr>
            <w:r w:rsidRPr="00C66C68">
              <w:rPr>
                <w:rFonts w:cstheme="minorHAnsi"/>
                <w:b/>
                <w:lang w:val="en-AU"/>
              </w:rPr>
              <w:t xml:space="preserve">Timeframe </w:t>
            </w:r>
          </w:p>
        </w:tc>
      </w:tr>
      <w:tr w:rsidR="0041643F" w:rsidRPr="0038060A" w14:paraId="20A0FA03" w14:textId="77777777" w:rsidTr="00DE56E2">
        <w:trPr>
          <w:trHeight w:val="2116"/>
        </w:trPr>
        <w:tc>
          <w:tcPr>
            <w:tcW w:w="562" w:type="dxa"/>
          </w:tcPr>
          <w:p w14:paraId="55931F7F" w14:textId="77777777" w:rsidR="00B72DE7" w:rsidRPr="00DE56E2" w:rsidRDefault="00B72DE7" w:rsidP="004E5993">
            <w:pPr>
              <w:rPr>
                <w:rFonts w:cstheme="minorHAnsi"/>
                <w:b/>
                <w:color w:val="auto"/>
                <w:lang w:val="en-AU"/>
              </w:rPr>
            </w:pPr>
            <w:r w:rsidRPr="00DE56E2">
              <w:rPr>
                <w:rFonts w:cstheme="minorHAnsi"/>
                <w:b/>
                <w:color w:val="auto"/>
                <w:lang w:val="en-AU"/>
              </w:rPr>
              <w:t>8</w:t>
            </w:r>
          </w:p>
        </w:tc>
        <w:tc>
          <w:tcPr>
            <w:tcW w:w="2523" w:type="dxa"/>
          </w:tcPr>
          <w:p w14:paraId="23E63637" w14:textId="515D4194" w:rsidR="00B72DE7" w:rsidRPr="00DE56E2" w:rsidRDefault="00B72DE7" w:rsidP="00DE56E2">
            <w:pPr>
              <w:rPr>
                <w:rFonts w:cstheme="minorHAnsi"/>
                <w:color w:val="auto"/>
                <w:lang w:val="en-AU"/>
              </w:rPr>
            </w:pPr>
            <w:r w:rsidRPr="00DE56E2">
              <w:rPr>
                <w:rFonts w:cstheme="minorHAnsi"/>
                <w:color w:val="auto"/>
                <w:lang w:val="en-AU"/>
              </w:rPr>
              <w:t>Highlight evidence of local and or regional success with the use of vernacular in early years, and communicate these to teachers and the community</w:t>
            </w:r>
            <w:r w:rsidR="00DE56E2">
              <w:rPr>
                <w:rFonts w:cstheme="minorHAnsi"/>
                <w:color w:val="auto"/>
                <w:lang w:val="en-AU"/>
              </w:rPr>
              <w:t>.</w:t>
            </w:r>
          </w:p>
        </w:tc>
        <w:tc>
          <w:tcPr>
            <w:tcW w:w="3969" w:type="dxa"/>
            <w:vMerge w:val="restart"/>
          </w:tcPr>
          <w:p w14:paraId="51BA96CC" w14:textId="5A68C5C5" w:rsidR="00EE1ADC" w:rsidRPr="00DE56E2" w:rsidRDefault="00B72DE7" w:rsidP="004E5993">
            <w:pPr>
              <w:rPr>
                <w:rFonts w:cstheme="minorHAnsi"/>
                <w:color w:val="auto"/>
                <w:lang w:val="en-AU"/>
              </w:rPr>
            </w:pPr>
            <w:r w:rsidRPr="00DE56E2">
              <w:rPr>
                <w:rFonts w:cstheme="minorHAnsi"/>
                <w:b/>
                <w:color w:val="auto"/>
                <w:lang w:val="en-AU"/>
              </w:rPr>
              <w:t>Agree with both recommendations:</w:t>
            </w:r>
            <w:r w:rsidRPr="00DE56E2">
              <w:rPr>
                <w:rFonts w:cstheme="minorHAnsi"/>
                <w:color w:val="auto"/>
                <w:lang w:val="en-AU"/>
              </w:rPr>
              <w:t xml:space="preserve"> </w:t>
            </w:r>
            <w:r w:rsidR="00642CB6" w:rsidRPr="00DE56E2">
              <w:rPr>
                <w:rFonts w:cstheme="minorHAnsi"/>
                <w:color w:val="auto"/>
                <w:lang w:val="en-AU"/>
              </w:rPr>
              <w:t>Policies, s</w:t>
            </w:r>
            <w:r w:rsidRPr="00DE56E2">
              <w:rPr>
                <w:rFonts w:cstheme="minorHAnsi"/>
                <w:color w:val="auto"/>
                <w:lang w:val="en-AU"/>
              </w:rPr>
              <w:t>tandards</w:t>
            </w:r>
            <w:r w:rsidR="00642CB6" w:rsidRPr="00DE56E2">
              <w:rPr>
                <w:rFonts w:cstheme="minorHAnsi"/>
                <w:color w:val="auto"/>
                <w:lang w:val="en-AU"/>
              </w:rPr>
              <w:t xml:space="preserve"> and pedagogical approaches for the teaching and assessment of</w:t>
            </w:r>
            <w:r w:rsidRPr="00DE56E2">
              <w:rPr>
                <w:rFonts w:cstheme="minorHAnsi"/>
                <w:color w:val="auto"/>
                <w:lang w:val="en-AU"/>
              </w:rPr>
              <w:t xml:space="preserve"> </w:t>
            </w:r>
            <w:r w:rsidR="00642CB6" w:rsidRPr="00DE56E2">
              <w:rPr>
                <w:rFonts w:cstheme="minorHAnsi"/>
                <w:color w:val="auto"/>
                <w:lang w:val="en-AU"/>
              </w:rPr>
              <w:t>E</w:t>
            </w:r>
            <w:r w:rsidRPr="00DE56E2">
              <w:rPr>
                <w:rFonts w:cstheme="minorHAnsi"/>
                <w:color w:val="auto"/>
                <w:lang w:val="en-AU"/>
              </w:rPr>
              <w:t>nglish language</w:t>
            </w:r>
            <w:r w:rsidR="00642CB6" w:rsidRPr="00DE56E2">
              <w:rPr>
                <w:rFonts w:cstheme="minorHAnsi"/>
                <w:color w:val="auto"/>
                <w:lang w:val="en-AU"/>
              </w:rPr>
              <w:t xml:space="preserve"> -</w:t>
            </w:r>
            <w:r w:rsidRPr="00DE56E2">
              <w:rPr>
                <w:rFonts w:cstheme="minorHAnsi"/>
                <w:color w:val="auto"/>
                <w:lang w:val="en-AU"/>
              </w:rPr>
              <w:t xml:space="preserve"> for teachers</w:t>
            </w:r>
            <w:r w:rsidR="00642CB6" w:rsidRPr="00DE56E2">
              <w:rPr>
                <w:rFonts w:cstheme="minorHAnsi"/>
                <w:color w:val="auto"/>
                <w:lang w:val="en-AU"/>
              </w:rPr>
              <w:t xml:space="preserve">, trainers, lecturers </w:t>
            </w:r>
            <w:r w:rsidRPr="00DE56E2">
              <w:rPr>
                <w:rFonts w:cstheme="minorHAnsi"/>
                <w:color w:val="auto"/>
                <w:lang w:val="en-AU"/>
              </w:rPr>
              <w:t xml:space="preserve">and students </w:t>
            </w:r>
            <w:r w:rsidR="00642CB6" w:rsidRPr="00DE56E2">
              <w:rPr>
                <w:rFonts w:cstheme="minorHAnsi"/>
                <w:color w:val="auto"/>
                <w:lang w:val="en-AU"/>
              </w:rPr>
              <w:t xml:space="preserve">- </w:t>
            </w:r>
            <w:r w:rsidR="003707E2" w:rsidRPr="00DE56E2">
              <w:rPr>
                <w:rFonts w:cstheme="minorHAnsi"/>
                <w:color w:val="auto"/>
                <w:lang w:val="en-AU"/>
              </w:rPr>
              <w:t>continue</w:t>
            </w:r>
            <w:r w:rsidR="00642CB6" w:rsidRPr="00DE56E2">
              <w:rPr>
                <w:rFonts w:cstheme="minorHAnsi"/>
                <w:color w:val="auto"/>
                <w:lang w:val="en-AU"/>
              </w:rPr>
              <w:t xml:space="preserve"> to challenge the entire education sector (and this extend</w:t>
            </w:r>
            <w:r w:rsidR="007D33E0">
              <w:rPr>
                <w:rFonts w:cstheme="minorHAnsi"/>
                <w:color w:val="auto"/>
                <w:lang w:val="en-AU"/>
              </w:rPr>
              <w:t>s</w:t>
            </w:r>
            <w:r w:rsidR="00642CB6" w:rsidRPr="00DE56E2">
              <w:rPr>
                <w:rFonts w:cstheme="minorHAnsi"/>
                <w:color w:val="auto"/>
                <w:lang w:val="en-AU"/>
              </w:rPr>
              <w:t xml:space="preserve"> to our work in workforce skills development).</w:t>
            </w:r>
            <w:r w:rsidR="00EE1ADC" w:rsidRPr="00DE56E2">
              <w:rPr>
                <w:rFonts w:cstheme="minorHAnsi"/>
                <w:color w:val="auto"/>
                <w:lang w:val="en-AU"/>
              </w:rPr>
              <w:t xml:space="preserve"> </w:t>
            </w:r>
          </w:p>
          <w:p w14:paraId="7E380080" w14:textId="5D723F15" w:rsidR="00B72DE7" w:rsidRPr="00DE56E2" w:rsidRDefault="00102365" w:rsidP="007D33E0">
            <w:pPr>
              <w:rPr>
                <w:rFonts w:cstheme="minorHAnsi"/>
                <w:color w:val="auto"/>
                <w:lang w:val="en-AU"/>
              </w:rPr>
            </w:pPr>
            <w:r w:rsidRPr="00DE56E2">
              <w:rPr>
                <w:rFonts w:cstheme="minorHAnsi"/>
                <w:color w:val="auto"/>
                <w:lang w:val="en-AU"/>
              </w:rPr>
              <w:t xml:space="preserve">The policy, its implementation, and buy-in from the community </w:t>
            </w:r>
            <w:r w:rsidR="004C4842">
              <w:rPr>
                <w:rFonts w:cstheme="minorHAnsi"/>
                <w:color w:val="auto"/>
                <w:lang w:val="en-AU"/>
              </w:rPr>
              <w:t xml:space="preserve">all need strengthening. </w:t>
            </w:r>
          </w:p>
        </w:tc>
        <w:tc>
          <w:tcPr>
            <w:tcW w:w="3969" w:type="dxa"/>
            <w:vMerge w:val="restart"/>
          </w:tcPr>
          <w:p w14:paraId="45781A06" w14:textId="77777777" w:rsidR="003707E2" w:rsidRPr="00DE56E2" w:rsidRDefault="003707E2" w:rsidP="004E5993">
            <w:pPr>
              <w:rPr>
                <w:rFonts w:cstheme="minorHAnsi"/>
                <w:b/>
                <w:color w:val="auto"/>
                <w:lang w:val="en-AU"/>
              </w:rPr>
            </w:pPr>
            <w:r w:rsidRPr="00DE56E2">
              <w:rPr>
                <w:rFonts w:cstheme="minorHAnsi"/>
                <w:b/>
                <w:color w:val="auto"/>
                <w:lang w:val="en-AU"/>
              </w:rPr>
              <w:t xml:space="preserve">Ongoing: </w:t>
            </w:r>
            <w:r w:rsidRPr="00DE56E2">
              <w:rPr>
                <w:rFonts w:cstheme="minorHAnsi"/>
                <w:color w:val="auto"/>
                <w:lang w:val="en-AU"/>
              </w:rPr>
              <w:t xml:space="preserve">The program has two streams of </w:t>
            </w:r>
            <w:r w:rsidR="00CB45E4" w:rsidRPr="00DE56E2">
              <w:rPr>
                <w:rFonts w:cstheme="minorHAnsi"/>
                <w:color w:val="auto"/>
                <w:lang w:val="en-AU"/>
              </w:rPr>
              <w:t xml:space="preserve">ongoing </w:t>
            </w:r>
            <w:r w:rsidRPr="00DE56E2">
              <w:rPr>
                <w:rFonts w:cstheme="minorHAnsi"/>
                <w:color w:val="auto"/>
                <w:lang w:val="en-AU"/>
              </w:rPr>
              <w:t>activity here, one related to the</w:t>
            </w:r>
            <w:r w:rsidR="00102365" w:rsidRPr="00DE56E2">
              <w:rPr>
                <w:rFonts w:cstheme="minorHAnsi"/>
                <w:color w:val="auto"/>
                <w:lang w:val="en-AU"/>
              </w:rPr>
              <w:t xml:space="preserve"> adequacy and</w:t>
            </w:r>
            <w:r w:rsidRPr="00DE56E2">
              <w:rPr>
                <w:rFonts w:cstheme="minorHAnsi"/>
                <w:color w:val="auto"/>
                <w:lang w:val="en-AU"/>
              </w:rPr>
              <w:t xml:space="preserve"> penetration</w:t>
            </w:r>
            <w:r w:rsidR="00102365" w:rsidRPr="00DE56E2">
              <w:rPr>
                <w:rFonts w:cstheme="minorHAnsi"/>
                <w:color w:val="auto"/>
                <w:lang w:val="en-AU"/>
              </w:rPr>
              <w:t xml:space="preserve"> </w:t>
            </w:r>
            <w:r w:rsidRPr="00DE56E2">
              <w:rPr>
                <w:rFonts w:cstheme="minorHAnsi"/>
                <w:color w:val="auto"/>
                <w:lang w:val="en-AU"/>
              </w:rPr>
              <w:t>of the language-of-instruction policy, the second related to teachers’ ability to teach in English and teach English as a second language</w:t>
            </w:r>
            <w:r w:rsidR="00DD3533" w:rsidRPr="00DE56E2">
              <w:rPr>
                <w:rFonts w:cstheme="minorHAnsi"/>
                <w:color w:val="auto"/>
                <w:lang w:val="en-AU"/>
              </w:rPr>
              <w:t>.</w:t>
            </w:r>
            <w:r w:rsidRPr="00DE56E2">
              <w:rPr>
                <w:rFonts w:cstheme="minorHAnsi"/>
                <w:b/>
                <w:color w:val="auto"/>
                <w:lang w:val="en-AU"/>
              </w:rPr>
              <w:t xml:space="preserve">  </w:t>
            </w:r>
          </w:p>
          <w:p w14:paraId="1410D241" w14:textId="1F1F7006" w:rsidR="0041643F" w:rsidRPr="00DE56E2" w:rsidRDefault="00DD3533" w:rsidP="0041643F">
            <w:pPr>
              <w:rPr>
                <w:rFonts w:cstheme="minorHAnsi"/>
                <w:color w:val="auto"/>
                <w:lang w:val="en-AU"/>
              </w:rPr>
            </w:pPr>
            <w:r w:rsidRPr="00DE56E2">
              <w:rPr>
                <w:rFonts w:cstheme="minorHAnsi"/>
                <w:color w:val="auto"/>
                <w:lang w:val="en-AU"/>
              </w:rPr>
              <w:t xml:space="preserve">Whether we have got the balance between </w:t>
            </w:r>
            <w:r w:rsidR="00CB45E4" w:rsidRPr="00DE56E2">
              <w:rPr>
                <w:rFonts w:cstheme="minorHAnsi"/>
                <w:color w:val="auto"/>
                <w:lang w:val="en-AU"/>
              </w:rPr>
              <w:t>the two</w:t>
            </w:r>
            <w:r w:rsidRPr="00DE56E2">
              <w:rPr>
                <w:rFonts w:cstheme="minorHAnsi"/>
                <w:color w:val="auto"/>
                <w:lang w:val="en-AU"/>
              </w:rPr>
              <w:t xml:space="preserve"> right needs further investigation</w:t>
            </w:r>
            <w:r w:rsidR="00CB45E4" w:rsidRPr="00DE56E2">
              <w:rPr>
                <w:rFonts w:cstheme="minorHAnsi"/>
                <w:color w:val="auto"/>
                <w:lang w:val="en-AU"/>
              </w:rPr>
              <w:t xml:space="preserve">, as does the adequacy of resourcing for both. </w:t>
            </w:r>
            <w:r w:rsidR="00CE1283" w:rsidRPr="00DE56E2">
              <w:rPr>
                <w:rFonts w:cstheme="minorHAnsi"/>
                <w:color w:val="auto"/>
                <w:lang w:val="en-AU"/>
              </w:rPr>
              <w:t>These aspects will be picked up in the design of ‘what’s next’.</w:t>
            </w:r>
          </w:p>
        </w:tc>
        <w:tc>
          <w:tcPr>
            <w:tcW w:w="2580" w:type="dxa"/>
            <w:vMerge w:val="restart"/>
          </w:tcPr>
          <w:p w14:paraId="645EB70A" w14:textId="14196981" w:rsidR="0041643F" w:rsidRPr="00DE56E2" w:rsidRDefault="00225541" w:rsidP="001D70BC">
            <w:pPr>
              <w:rPr>
                <w:rFonts w:cstheme="minorHAnsi"/>
                <w:color w:val="auto"/>
                <w:lang w:val="en-AU"/>
              </w:rPr>
            </w:pPr>
            <w:r w:rsidRPr="00DE56E2">
              <w:rPr>
                <w:rFonts w:cstheme="minorHAnsi"/>
                <w:color w:val="auto"/>
                <w:lang w:val="en-AU"/>
              </w:rPr>
              <w:t>Work in support of the language-of-instruction policy will continue over 2019.</w:t>
            </w:r>
            <w:r w:rsidR="00CB45E4" w:rsidRPr="00DE56E2">
              <w:rPr>
                <w:rFonts w:cstheme="minorHAnsi"/>
                <w:color w:val="auto"/>
                <w:lang w:val="en-AU"/>
              </w:rPr>
              <w:t xml:space="preserve"> </w:t>
            </w:r>
            <w:r w:rsidR="0041643F" w:rsidRPr="00DE56E2">
              <w:rPr>
                <w:rFonts w:cstheme="minorHAnsi"/>
                <w:color w:val="auto"/>
                <w:lang w:val="en-AU"/>
              </w:rPr>
              <w:t>So will work in further building teachers’</w:t>
            </w:r>
            <w:r w:rsidR="001D70BC" w:rsidRPr="00DE56E2">
              <w:rPr>
                <w:rFonts w:cstheme="minorHAnsi"/>
                <w:color w:val="auto"/>
                <w:lang w:val="en-AU"/>
              </w:rPr>
              <w:t xml:space="preserve"> English language competencies</w:t>
            </w:r>
            <w:r w:rsidR="0041643F" w:rsidRPr="00DE56E2">
              <w:rPr>
                <w:rFonts w:cstheme="minorHAnsi"/>
                <w:color w:val="auto"/>
                <w:lang w:val="en-AU"/>
              </w:rPr>
              <w:t>.</w:t>
            </w:r>
          </w:p>
        </w:tc>
      </w:tr>
      <w:tr w:rsidR="0041643F" w:rsidRPr="0038060A" w14:paraId="36A32572" w14:textId="77777777" w:rsidTr="00DE56E2">
        <w:trPr>
          <w:trHeight w:val="1535"/>
        </w:trPr>
        <w:tc>
          <w:tcPr>
            <w:tcW w:w="562" w:type="dxa"/>
          </w:tcPr>
          <w:p w14:paraId="5AA416D6" w14:textId="77777777" w:rsidR="00B72DE7" w:rsidRPr="00DE56E2" w:rsidRDefault="00B72DE7" w:rsidP="004E5993">
            <w:pPr>
              <w:rPr>
                <w:rFonts w:cstheme="minorHAnsi"/>
                <w:b/>
                <w:color w:val="auto"/>
                <w:lang w:val="en-AU"/>
              </w:rPr>
            </w:pPr>
            <w:r w:rsidRPr="00DE56E2">
              <w:rPr>
                <w:rFonts w:cstheme="minorHAnsi"/>
                <w:b/>
                <w:color w:val="auto"/>
                <w:lang w:val="en-AU"/>
              </w:rPr>
              <w:t>9</w:t>
            </w:r>
          </w:p>
        </w:tc>
        <w:tc>
          <w:tcPr>
            <w:tcW w:w="2523" w:type="dxa"/>
          </w:tcPr>
          <w:p w14:paraId="640CF019" w14:textId="77777777" w:rsidR="00B72DE7" w:rsidRPr="00DE56E2" w:rsidRDefault="00B72DE7" w:rsidP="00B761A1">
            <w:pPr>
              <w:rPr>
                <w:rFonts w:cstheme="minorHAnsi"/>
                <w:color w:val="auto"/>
                <w:lang w:val="en-AU"/>
              </w:rPr>
            </w:pPr>
            <w:r w:rsidRPr="00DE56E2">
              <w:rPr>
                <w:rFonts w:cstheme="minorHAnsi"/>
                <w:color w:val="auto"/>
                <w:lang w:val="en-AU"/>
              </w:rPr>
              <w:t>Step up efforts to support (</w:t>
            </w:r>
            <w:r w:rsidRPr="00DE56E2">
              <w:rPr>
                <w:rFonts w:cstheme="minorHAnsi"/>
                <w:i/>
                <w:color w:val="auto"/>
                <w:lang w:val="en-AU"/>
              </w:rPr>
              <w:t>language</w:t>
            </w:r>
            <w:r w:rsidRPr="00DE56E2">
              <w:rPr>
                <w:rFonts w:cstheme="minorHAnsi"/>
                <w:color w:val="auto"/>
                <w:lang w:val="en-AU"/>
              </w:rPr>
              <w:t xml:space="preserve">) policy more comprehensively </w:t>
            </w:r>
          </w:p>
        </w:tc>
        <w:tc>
          <w:tcPr>
            <w:tcW w:w="3969" w:type="dxa"/>
            <w:vMerge/>
          </w:tcPr>
          <w:p w14:paraId="5F63DF8C" w14:textId="77777777" w:rsidR="00B72DE7" w:rsidRPr="00DE56E2" w:rsidRDefault="00B72DE7" w:rsidP="00D17A79">
            <w:pPr>
              <w:rPr>
                <w:rFonts w:cstheme="minorHAnsi"/>
                <w:color w:val="auto"/>
                <w:lang w:val="en-AU"/>
              </w:rPr>
            </w:pPr>
          </w:p>
        </w:tc>
        <w:tc>
          <w:tcPr>
            <w:tcW w:w="3969" w:type="dxa"/>
            <w:vMerge/>
          </w:tcPr>
          <w:p w14:paraId="1583F05A" w14:textId="77777777" w:rsidR="00B72DE7" w:rsidRPr="00DE56E2" w:rsidRDefault="00B72DE7" w:rsidP="00B72DE7">
            <w:pPr>
              <w:rPr>
                <w:rFonts w:cstheme="minorHAnsi"/>
                <w:color w:val="auto"/>
                <w:lang w:val="en-AU"/>
              </w:rPr>
            </w:pPr>
          </w:p>
        </w:tc>
        <w:tc>
          <w:tcPr>
            <w:tcW w:w="2580" w:type="dxa"/>
            <w:vMerge/>
          </w:tcPr>
          <w:p w14:paraId="01A87528" w14:textId="77777777" w:rsidR="00B72DE7" w:rsidRPr="00DE56E2" w:rsidRDefault="00B72DE7" w:rsidP="004E5993">
            <w:pPr>
              <w:rPr>
                <w:rFonts w:cstheme="minorHAnsi"/>
                <w:color w:val="auto"/>
                <w:lang w:val="en-AU"/>
              </w:rPr>
            </w:pPr>
          </w:p>
        </w:tc>
      </w:tr>
      <w:tr w:rsidR="002F3890" w:rsidRPr="0038060A" w14:paraId="091B9518" w14:textId="77777777" w:rsidTr="00987ACF">
        <w:tc>
          <w:tcPr>
            <w:tcW w:w="562" w:type="dxa"/>
          </w:tcPr>
          <w:p w14:paraId="2BE05CCF" w14:textId="77777777" w:rsidR="002F3890" w:rsidRPr="00DE56E2" w:rsidRDefault="002F3890" w:rsidP="002F3890">
            <w:pPr>
              <w:rPr>
                <w:rFonts w:cstheme="minorHAnsi"/>
                <w:b/>
                <w:color w:val="auto"/>
                <w:lang w:val="en-AU"/>
              </w:rPr>
            </w:pPr>
            <w:r w:rsidRPr="00DE56E2">
              <w:rPr>
                <w:rFonts w:cstheme="minorHAnsi"/>
                <w:b/>
                <w:color w:val="auto"/>
                <w:lang w:val="en-AU"/>
              </w:rPr>
              <w:t>10</w:t>
            </w:r>
          </w:p>
        </w:tc>
        <w:tc>
          <w:tcPr>
            <w:tcW w:w="2523" w:type="dxa"/>
          </w:tcPr>
          <w:p w14:paraId="595540B2" w14:textId="77777777" w:rsidR="002F3890" w:rsidRPr="00DE56E2" w:rsidRDefault="002F3890" w:rsidP="002F3890">
            <w:pPr>
              <w:rPr>
                <w:rFonts w:cstheme="minorHAnsi"/>
                <w:color w:val="auto"/>
                <w:lang w:val="en-AU"/>
              </w:rPr>
            </w:pPr>
            <w:r w:rsidRPr="00DE56E2">
              <w:rPr>
                <w:rFonts w:cstheme="minorHAnsi"/>
                <w:color w:val="auto"/>
                <w:lang w:val="en-AU"/>
              </w:rPr>
              <w:t>Consolidate gains in curriculum reform and ensure there is evidence of improved learning outcomes (</w:t>
            </w:r>
            <w:r w:rsidRPr="00DE56E2">
              <w:rPr>
                <w:rFonts w:cstheme="minorHAnsi"/>
                <w:i/>
                <w:color w:val="auto"/>
                <w:lang w:val="en-AU"/>
              </w:rPr>
              <w:t>in basic education</w:t>
            </w:r>
            <w:r w:rsidRPr="00DE56E2">
              <w:rPr>
                <w:rFonts w:cstheme="minorHAnsi"/>
                <w:color w:val="auto"/>
                <w:lang w:val="en-AU"/>
              </w:rPr>
              <w:t xml:space="preserve">) before expanding scope to senior secondary school. </w:t>
            </w:r>
          </w:p>
          <w:p w14:paraId="369FE227" w14:textId="77777777" w:rsidR="002F3890" w:rsidRPr="00DE56E2" w:rsidRDefault="002F3890" w:rsidP="002F3890">
            <w:pPr>
              <w:rPr>
                <w:rFonts w:cstheme="minorHAnsi"/>
                <w:color w:val="auto"/>
                <w:lang w:val="en-AU"/>
              </w:rPr>
            </w:pPr>
          </w:p>
        </w:tc>
        <w:tc>
          <w:tcPr>
            <w:tcW w:w="3969" w:type="dxa"/>
          </w:tcPr>
          <w:p w14:paraId="2EB3C4D1" w14:textId="3064E268" w:rsidR="002F3890" w:rsidRPr="00DE56E2" w:rsidRDefault="002F3890" w:rsidP="002F3890">
            <w:pPr>
              <w:rPr>
                <w:rFonts w:cstheme="minorHAnsi"/>
                <w:color w:val="auto"/>
                <w:lang w:val="en-AU"/>
              </w:rPr>
            </w:pPr>
            <w:r w:rsidRPr="00DE56E2">
              <w:rPr>
                <w:rFonts w:cstheme="minorHAnsi"/>
                <w:b/>
                <w:color w:val="auto"/>
                <w:lang w:val="en-AU"/>
              </w:rPr>
              <w:t>Agree in principle:</w:t>
            </w:r>
            <w:r w:rsidRPr="00DE56E2">
              <w:rPr>
                <w:rFonts w:cstheme="minorHAnsi"/>
                <w:color w:val="auto"/>
                <w:lang w:val="en-AU"/>
              </w:rPr>
              <w:t xml:space="preserve"> This makes sense, but the precise scope of our future work has yet to be decided. Questions about sequencing and the pace of reform have also yet to be resolved. They will be considered, in consultation with the ministry, in the concept and design of our future support to the Kiribati education sector. </w:t>
            </w:r>
          </w:p>
        </w:tc>
        <w:tc>
          <w:tcPr>
            <w:tcW w:w="3969" w:type="dxa"/>
          </w:tcPr>
          <w:p w14:paraId="059ECC90" w14:textId="25F673F6" w:rsidR="002F3890" w:rsidRPr="00DE56E2" w:rsidRDefault="004D5284" w:rsidP="002F3890">
            <w:pPr>
              <w:rPr>
                <w:rFonts w:cstheme="minorHAnsi"/>
                <w:color w:val="auto"/>
                <w:lang w:val="en-AU"/>
              </w:rPr>
            </w:pPr>
            <w:r w:rsidRPr="00DE56E2">
              <w:rPr>
                <w:rFonts w:cstheme="minorHAnsi"/>
                <w:b/>
                <w:color w:val="auto"/>
                <w:lang w:val="en-AU"/>
              </w:rPr>
              <w:t>Underway (in part) and upcoming:</w:t>
            </w:r>
            <w:r w:rsidRPr="00DE56E2">
              <w:rPr>
                <w:rFonts w:cstheme="minorHAnsi"/>
                <w:color w:val="auto"/>
                <w:lang w:val="en-AU"/>
              </w:rPr>
              <w:t xml:space="preserve"> </w:t>
            </w:r>
            <w:r w:rsidR="002F3890" w:rsidRPr="00DE56E2">
              <w:rPr>
                <w:rFonts w:cstheme="minorHAnsi"/>
                <w:color w:val="auto"/>
                <w:lang w:val="en-AU"/>
              </w:rPr>
              <w:t>Findings and recommendations flowing from a 2018 review into the effectiveness of curriculum reform in years one through six will be carried forward over the balance of the program with the ambition of further improving learning outcomes in numeracy and literacy.</w:t>
            </w:r>
          </w:p>
          <w:p w14:paraId="3E65859D" w14:textId="46FB5BEC" w:rsidR="002F3890" w:rsidRPr="00DE56E2" w:rsidRDefault="002F3890" w:rsidP="002F3890">
            <w:pPr>
              <w:rPr>
                <w:rFonts w:cstheme="minorHAnsi"/>
                <w:color w:val="auto"/>
                <w:lang w:val="en-AU"/>
              </w:rPr>
            </w:pPr>
          </w:p>
        </w:tc>
        <w:tc>
          <w:tcPr>
            <w:tcW w:w="2580" w:type="dxa"/>
          </w:tcPr>
          <w:p w14:paraId="34DB960D" w14:textId="77777777" w:rsidR="004D5284" w:rsidRPr="00DE56E2" w:rsidRDefault="004D5284" w:rsidP="004D5284">
            <w:pPr>
              <w:rPr>
                <w:rFonts w:cstheme="minorHAnsi"/>
                <w:color w:val="auto"/>
                <w:lang w:val="en-AU"/>
              </w:rPr>
            </w:pPr>
            <w:r w:rsidRPr="00DE56E2">
              <w:rPr>
                <w:rFonts w:cstheme="minorHAnsi"/>
                <w:color w:val="auto"/>
                <w:lang w:val="en-AU"/>
              </w:rPr>
              <w:t xml:space="preserve">Consolidation of curriculum reform in years one through six will occur throughout 2019. </w:t>
            </w:r>
          </w:p>
          <w:p w14:paraId="57C3AEF3" w14:textId="406319A5" w:rsidR="002F3890" w:rsidRPr="00DE56E2" w:rsidRDefault="004D5284" w:rsidP="004D5284">
            <w:pPr>
              <w:rPr>
                <w:rFonts w:cstheme="minorHAnsi"/>
                <w:color w:val="auto"/>
                <w:lang w:val="en-AU"/>
              </w:rPr>
            </w:pPr>
            <w:r w:rsidRPr="00DE56E2">
              <w:rPr>
                <w:rFonts w:cstheme="minorHAnsi"/>
                <w:color w:val="auto"/>
                <w:lang w:val="en-AU"/>
              </w:rPr>
              <w:t>Decisions about the scope of future programming will be made (subject to delegate approval) in the third quarter of 2019.</w:t>
            </w:r>
          </w:p>
        </w:tc>
      </w:tr>
    </w:tbl>
    <w:p w14:paraId="231831E7" w14:textId="1F29A005" w:rsidR="00C66C68" w:rsidRDefault="00C66C68"/>
    <w:p w14:paraId="1AEC92B2" w14:textId="00C476F5" w:rsidR="00C66C68" w:rsidRDefault="00C66C68"/>
    <w:p w14:paraId="0C1442A4" w14:textId="004D3273" w:rsidR="00C66C68" w:rsidRDefault="00C66C68"/>
    <w:p w14:paraId="2C950C7B" w14:textId="5BF263D3" w:rsidR="00C66C68" w:rsidRDefault="00C66C68"/>
    <w:p w14:paraId="7CEC6E97" w14:textId="77777777" w:rsidR="00C66C68" w:rsidRDefault="00C66C68"/>
    <w:tbl>
      <w:tblPr>
        <w:tblStyle w:val="TableGrid"/>
        <w:tblW w:w="13603" w:type="dxa"/>
        <w:tblLook w:val="04A0" w:firstRow="1" w:lastRow="0" w:firstColumn="1" w:lastColumn="0" w:noHBand="0" w:noVBand="1"/>
      </w:tblPr>
      <w:tblGrid>
        <w:gridCol w:w="562"/>
        <w:gridCol w:w="2523"/>
        <w:gridCol w:w="3969"/>
        <w:gridCol w:w="3969"/>
        <w:gridCol w:w="2580"/>
      </w:tblGrid>
      <w:tr w:rsidR="00C66C68" w:rsidRPr="0038060A" w14:paraId="6E01F3C9" w14:textId="77777777" w:rsidTr="00F85F54">
        <w:trPr>
          <w:trHeight w:val="558"/>
        </w:trPr>
        <w:tc>
          <w:tcPr>
            <w:tcW w:w="562" w:type="dxa"/>
          </w:tcPr>
          <w:p w14:paraId="1D38FE95" w14:textId="77777777" w:rsidR="00C66C68" w:rsidRPr="00C66C68" w:rsidRDefault="00C66C68" w:rsidP="008E4060">
            <w:pPr>
              <w:rPr>
                <w:rFonts w:cstheme="minorHAnsi"/>
                <w:b/>
                <w:lang w:val="en-AU"/>
              </w:rPr>
            </w:pPr>
            <w:r w:rsidRPr="00C66C68">
              <w:br w:type="column"/>
            </w:r>
            <w:r w:rsidRPr="00C66C68">
              <w:br w:type="column"/>
            </w:r>
            <w:r w:rsidRPr="00C66C68">
              <w:rPr>
                <w:rFonts w:cstheme="minorHAnsi"/>
                <w:b/>
                <w:lang w:val="en-AU"/>
              </w:rPr>
              <w:t>#</w:t>
            </w:r>
          </w:p>
        </w:tc>
        <w:tc>
          <w:tcPr>
            <w:tcW w:w="2523" w:type="dxa"/>
          </w:tcPr>
          <w:p w14:paraId="2E8B5E2A" w14:textId="77777777" w:rsidR="00C66C68" w:rsidRPr="00C66C68" w:rsidRDefault="00C66C68" w:rsidP="008E4060">
            <w:pPr>
              <w:rPr>
                <w:rFonts w:cstheme="minorHAnsi"/>
                <w:b/>
                <w:lang w:val="en-AU"/>
              </w:rPr>
            </w:pPr>
            <w:r w:rsidRPr="00C66C68">
              <w:rPr>
                <w:rFonts w:cstheme="minorHAnsi"/>
                <w:b/>
                <w:lang w:val="en-AU"/>
              </w:rPr>
              <w:t>Recommendation</w:t>
            </w:r>
          </w:p>
        </w:tc>
        <w:tc>
          <w:tcPr>
            <w:tcW w:w="3969" w:type="dxa"/>
          </w:tcPr>
          <w:p w14:paraId="33A84867" w14:textId="77777777" w:rsidR="00C66C68" w:rsidRPr="00C66C68" w:rsidRDefault="00C66C68" w:rsidP="008E4060">
            <w:pPr>
              <w:rPr>
                <w:rFonts w:cstheme="minorHAnsi"/>
                <w:b/>
                <w:lang w:val="en-AU"/>
              </w:rPr>
            </w:pPr>
            <w:r w:rsidRPr="00C66C68">
              <w:rPr>
                <w:rFonts w:cstheme="minorHAnsi"/>
                <w:b/>
                <w:lang w:val="en-AU"/>
              </w:rPr>
              <w:t>Response and explanation</w:t>
            </w:r>
          </w:p>
        </w:tc>
        <w:tc>
          <w:tcPr>
            <w:tcW w:w="3969" w:type="dxa"/>
          </w:tcPr>
          <w:p w14:paraId="59EE5469" w14:textId="77777777" w:rsidR="00C66C68" w:rsidRPr="00C66C68" w:rsidRDefault="00C66C68" w:rsidP="008E4060">
            <w:pPr>
              <w:rPr>
                <w:rFonts w:cstheme="minorHAnsi"/>
                <w:b/>
                <w:lang w:val="en-AU"/>
              </w:rPr>
            </w:pPr>
            <w:r w:rsidRPr="00C66C68">
              <w:rPr>
                <w:rFonts w:cstheme="minorHAnsi"/>
                <w:b/>
                <w:lang w:val="en-AU"/>
              </w:rPr>
              <w:t>Action plan</w:t>
            </w:r>
          </w:p>
        </w:tc>
        <w:tc>
          <w:tcPr>
            <w:tcW w:w="2580" w:type="dxa"/>
          </w:tcPr>
          <w:p w14:paraId="27291471" w14:textId="77777777" w:rsidR="00C66C68" w:rsidRPr="00C66C68" w:rsidRDefault="00C66C68" w:rsidP="008E4060">
            <w:pPr>
              <w:rPr>
                <w:rFonts w:cstheme="minorHAnsi"/>
                <w:b/>
                <w:lang w:val="en-AU"/>
              </w:rPr>
            </w:pPr>
            <w:r w:rsidRPr="00C66C68">
              <w:rPr>
                <w:rFonts w:cstheme="minorHAnsi"/>
                <w:b/>
                <w:lang w:val="en-AU"/>
              </w:rPr>
              <w:t xml:space="preserve">Timeframe </w:t>
            </w:r>
          </w:p>
        </w:tc>
      </w:tr>
      <w:tr w:rsidR="002F3890" w:rsidRPr="0038060A" w14:paraId="359358E2" w14:textId="77777777" w:rsidTr="00987ACF">
        <w:tc>
          <w:tcPr>
            <w:tcW w:w="562" w:type="dxa"/>
          </w:tcPr>
          <w:p w14:paraId="02337404" w14:textId="77777777" w:rsidR="002F3890" w:rsidRPr="00DE56E2" w:rsidRDefault="002F3890" w:rsidP="002F3890">
            <w:pPr>
              <w:rPr>
                <w:rFonts w:cstheme="minorHAnsi"/>
                <w:b/>
                <w:color w:val="auto"/>
                <w:lang w:val="en-AU"/>
              </w:rPr>
            </w:pPr>
            <w:r w:rsidRPr="00DE56E2">
              <w:rPr>
                <w:rFonts w:cstheme="minorHAnsi"/>
                <w:b/>
                <w:color w:val="auto"/>
                <w:lang w:val="en-AU"/>
              </w:rPr>
              <w:t>11</w:t>
            </w:r>
          </w:p>
        </w:tc>
        <w:tc>
          <w:tcPr>
            <w:tcW w:w="2523" w:type="dxa"/>
          </w:tcPr>
          <w:p w14:paraId="0AF67D12" w14:textId="77777777" w:rsidR="002F3890" w:rsidRPr="00DE56E2" w:rsidRDefault="002F3890" w:rsidP="002F3890">
            <w:pPr>
              <w:rPr>
                <w:rFonts w:cstheme="minorHAnsi"/>
                <w:color w:val="auto"/>
                <w:lang w:val="en-AU"/>
              </w:rPr>
            </w:pPr>
            <w:r w:rsidRPr="00DE56E2">
              <w:rPr>
                <w:rFonts w:cstheme="minorHAnsi"/>
                <w:color w:val="auto"/>
                <w:lang w:val="en-AU"/>
              </w:rPr>
              <w:t xml:space="preserve">If support expands to senior secondary schools, continue to promote more contextually relevant non-core subjects, practical pathways and links with the Kiribati Institute of Technology. </w:t>
            </w:r>
          </w:p>
          <w:p w14:paraId="2D28D730" w14:textId="77777777" w:rsidR="002F3890" w:rsidRPr="00DE56E2" w:rsidRDefault="002F3890" w:rsidP="002F3890">
            <w:pPr>
              <w:rPr>
                <w:rFonts w:cstheme="minorHAnsi"/>
                <w:color w:val="auto"/>
                <w:lang w:val="en-AU"/>
              </w:rPr>
            </w:pPr>
          </w:p>
        </w:tc>
        <w:tc>
          <w:tcPr>
            <w:tcW w:w="3969" w:type="dxa"/>
          </w:tcPr>
          <w:p w14:paraId="12D40706" w14:textId="5B1B4B66" w:rsidR="002F3890" w:rsidRPr="00DE56E2" w:rsidRDefault="002F3890" w:rsidP="002F3890">
            <w:pPr>
              <w:rPr>
                <w:rFonts w:cstheme="minorHAnsi"/>
                <w:color w:val="auto"/>
                <w:lang w:val="en-AU"/>
              </w:rPr>
            </w:pPr>
            <w:r w:rsidRPr="00DE56E2">
              <w:rPr>
                <w:rFonts w:cstheme="minorHAnsi"/>
                <w:b/>
                <w:color w:val="auto"/>
                <w:lang w:val="en-AU"/>
              </w:rPr>
              <w:t>Agree:</w:t>
            </w:r>
            <w:r w:rsidRPr="00DE56E2">
              <w:rPr>
                <w:rFonts w:cstheme="minorHAnsi"/>
                <w:color w:val="auto"/>
                <w:lang w:val="en-AU"/>
              </w:rPr>
              <w:t xml:space="preserve"> We agree that substantial curriculum and pedagogical reform is required to better cater for the needs of senior secondary school students. We also agree that better post-school pathways must be created for school leavers. Both particularly if and when retention rates increase.</w:t>
            </w:r>
          </w:p>
          <w:p w14:paraId="30CF11C2" w14:textId="0A8556A4" w:rsidR="002F3890" w:rsidRPr="00DE56E2" w:rsidRDefault="002F3890" w:rsidP="00F85F54">
            <w:pPr>
              <w:rPr>
                <w:rFonts w:cstheme="minorHAnsi"/>
                <w:color w:val="auto"/>
                <w:lang w:val="en-AU"/>
              </w:rPr>
            </w:pPr>
            <w:r w:rsidRPr="00DE56E2">
              <w:rPr>
                <w:rFonts w:cstheme="minorHAnsi"/>
                <w:color w:val="auto"/>
                <w:lang w:val="en-AU"/>
              </w:rPr>
              <w:t xml:space="preserve">If our support to Kiribati’s education sector strategic plan is to include the senior secondary sub-sector, what that support looks like, and </w:t>
            </w:r>
            <w:r w:rsidR="00F85F54">
              <w:rPr>
                <w:rFonts w:cstheme="minorHAnsi"/>
                <w:color w:val="auto"/>
                <w:lang w:val="en-AU"/>
              </w:rPr>
              <w:t>when it gets</w:t>
            </w:r>
            <w:r w:rsidRPr="00DE56E2">
              <w:rPr>
                <w:rFonts w:cstheme="minorHAnsi"/>
                <w:color w:val="auto"/>
                <w:lang w:val="en-AU"/>
              </w:rPr>
              <w:t xml:space="preserve"> implemented at scale needs careful consideration. Better, more inclusive teaching of the basics, taking care </w:t>
            </w:r>
            <w:r w:rsidR="00F203F3">
              <w:rPr>
                <w:rFonts w:cstheme="minorHAnsi"/>
                <w:color w:val="auto"/>
                <w:lang w:val="en-AU"/>
              </w:rPr>
              <w:t xml:space="preserve">not </w:t>
            </w:r>
            <w:r w:rsidRPr="00DE56E2">
              <w:rPr>
                <w:rFonts w:cstheme="minorHAnsi"/>
                <w:color w:val="auto"/>
                <w:lang w:val="en-AU"/>
              </w:rPr>
              <w:t xml:space="preserve">to </w:t>
            </w:r>
            <w:r w:rsidRPr="00F85F54">
              <w:rPr>
                <w:rFonts w:cstheme="minorHAnsi"/>
                <w:i/>
                <w:color w:val="auto"/>
                <w:lang w:val="en-AU"/>
              </w:rPr>
              <w:t>overly</w:t>
            </w:r>
            <w:r w:rsidRPr="00DE56E2">
              <w:rPr>
                <w:rFonts w:cstheme="minorHAnsi"/>
                <w:color w:val="auto"/>
                <w:lang w:val="en-AU"/>
              </w:rPr>
              <w:t xml:space="preserve"> vocationalise the curriculum should be foremost in our minds. </w:t>
            </w:r>
          </w:p>
        </w:tc>
        <w:tc>
          <w:tcPr>
            <w:tcW w:w="3969" w:type="dxa"/>
          </w:tcPr>
          <w:p w14:paraId="66B688D0" w14:textId="77777777" w:rsidR="00F85F54" w:rsidRDefault="002F3890" w:rsidP="00F85F54">
            <w:pPr>
              <w:rPr>
                <w:rFonts w:cstheme="minorHAnsi"/>
                <w:color w:val="auto"/>
                <w:lang w:val="en-AU"/>
              </w:rPr>
            </w:pPr>
            <w:r w:rsidRPr="00DE56E2">
              <w:rPr>
                <w:rFonts w:cstheme="minorHAnsi"/>
                <w:b/>
                <w:color w:val="auto"/>
                <w:lang w:val="en-AU"/>
              </w:rPr>
              <w:t>Underway (limited scope)</w:t>
            </w:r>
            <w:r w:rsidR="004D5284" w:rsidRPr="00DE56E2">
              <w:rPr>
                <w:rFonts w:cstheme="minorHAnsi"/>
                <w:b/>
                <w:color w:val="auto"/>
                <w:lang w:val="en-AU"/>
              </w:rPr>
              <w:t xml:space="preserve"> and upcoming</w:t>
            </w:r>
            <w:r w:rsidRPr="00DE56E2">
              <w:rPr>
                <w:rFonts w:cstheme="minorHAnsi"/>
                <w:color w:val="auto"/>
                <w:lang w:val="en-AU"/>
              </w:rPr>
              <w:t xml:space="preserve">. The ministry has requested support from the program for senior secondary curriculum reform. Given such work is outside the existing scope of work, KEIP leadership has provided advice on the process of curriculum reform, and guidance on selection of curriculum advisers and the development and or procurement of appropriate teaching and learning materials. The program will assist the ministry </w:t>
            </w:r>
            <w:r w:rsidR="00F203F3">
              <w:rPr>
                <w:rFonts w:cstheme="minorHAnsi"/>
                <w:color w:val="auto"/>
                <w:lang w:val="en-AU"/>
              </w:rPr>
              <w:t xml:space="preserve">to </w:t>
            </w:r>
            <w:r w:rsidRPr="00DE56E2">
              <w:rPr>
                <w:rFonts w:cstheme="minorHAnsi"/>
                <w:color w:val="auto"/>
                <w:lang w:val="en-AU"/>
              </w:rPr>
              <w:t>develop a work plan for senior secondary curriculum reform,</w:t>
            </w:r>
          </w:p>
          <w:p w14:paraId="7DC995B6" w14:textId="68F4E62B" w:rsidR="002F3890" w:rsidRPr="00DE56E2" w:rsidRDefault="002F3890" w:rsidP="00F85F54">
            <w:pPr>
              <w:rPr>
                <w:rFonts w:cstheme="minorHAnsi"/>
                <w:color w:val="auto"/>
                <w:lang w:val="en-AU"/>
              </w:rPr>
            </w:pPr>
            <w:r w:rsidRPr="00DE56E2">
              <w:rPr>
                <w:rFonts w:cstheme="minorHAnsi"/>
                <w:color w:val="auto"/>
                <w:lang w:val="en-AU"/>
              </w:rPr>
              <w:t xml:space="preserve">Decisions about </w:t>
            </w:r>
            <w:r w:rsidR="00F85F54">
              <w:rPr>
                <w:rFonts w:cstheme="minorHAnsi"/>
                <w:color w:val="auto"/>
                <w:lang w:val="en-AU"/>
              </w:rPr>
              <w:t>when</w:t>
            </w:r>
            <w:r w:rsidRPr="00DE56E2">
              <w:rPr>
                <w:rFonts w:cstheme="minorHAnsi"/>
                <w:color w:val="auto"/>
                <w:lang w:val="en-AU"/>
              </w:rPr>
              <w:t xml:space="preserve"> our future support to the education sector expands to include the senior secondary school and will be considered in the concept and design processes (subject approval)</w:t>
            </w:r>
            <w:r w:rsidR="00F85F54">
              <w:rPr>
                <w:rFonts w:cstheme="minorHAnsi"/>
                <w:color w:val="auto"/>
                <w:lang w:val="en-AU"/>
              </w:rPr>
              <w:t xml:space="preserve"> and in close consultation with the ministry</w:t>
            </w:r>
            <w:r w:rsidRPr="00DE56E2">
              <w:rPr>
                <w:rFonts w:cstheme="minorHAnsi"/>
                <w:color w:val="auto"/>
                <w:lang w:val="en-AU"/>
              </w:rPr>
              <w:t>.</w:t>
            </w:r>
          </w:p>
        </w:tc>
        <w:tc>
          <w:tcPr>
            <w:tcW w:w="2580" w:type="dxa"/>
          </w:tcPr>
          <w:p w14:paraId="0C221DF1" w14:textId="726CF01F" w:rsidR="002F3890" w:rsidRPr="00DE56E2" w:rsidRDefault="002F3890" w:rsidP="002F3890">
            <w:pPr>
              <w:rPr>
                <w:rFonts w:cstheme="minorHAnsi"/>
                <w:color w:val="auto"/>
                <w:lang w:val="en-AU"/>
              </w:rPr>
            </w:pPr>
            <w:r w:rsidRPr="00DE56E2">
              <w:rPr>
                <w:rFonts w:cstheme="minorHAnsi"/>
                <w:color w:val="auto"/>
                <w:lang w:val="en-AU"/>
              </w:rPr>
              <w:t>Advice on, and planning for, senior secondary curriculum reform has commenced.</w:t>
            </w:r>
          </w:p>
          <w:p w14:paraId="39816F30" w14:textId="72B18F56" w:rsidR="002F3890" w:rsidRPr="00DE56E2" w:rsidRDefault="002F3890" w:rsidP="002F3890">
            <w:pPr>
              <w:rPr>
                <w:rFonts w:cstheme="minorHAnsi"/>
                <w:color w:val="auto"/>
                <w:lang w:val="en-AU"/>
              </w:rPr>
            </w:pPr>
            <w:r w:rsidRPr="00DE56E2">
              <w:rPr>
                <w:rFonts w:cstheme="minorHAnsi"/>
                <w:color w:val="auto"/>
                <w:lang w:val="en-AU"/>
              </w:rPr>
              <w:t>It is anticipated that activity leading to the design of a new investment in the education sector will commence in June 2019 (subject to delegate approval).</w:t>
            </w:r>
          </w:p>
        </w:tc>
      </w:tr>
      <w:tr w:rsidR="002F3890" w:rsidRPr="0038060A" w14:paraId="25D70723" w14:textId="77777777" w:rsidTr="00987ACF">
        <w:tc>
          <w:tcPr>
            <w:tcW w:w="562" w:type="dxa"/>
          </w:tcPr>
          <w:p w14:paraId="70C5A4C6" w14:textId="13E36F3C" w:rsidR="002F3890" w:rsidRPr="00DE56E2" w:rsidRDefault="002F3890" w:rsidP="002F3890">
            <w:pPr>
              <w:rPr>
                <w:rFonts w:cstheme="minorHAnsi"/>
                <w:b/>
                <w:color w:val="auto"/>
                <w:lang w:val="en-AU"/>
              </w:rPr>
            </w:pPr>
            <w:r w:rsidRPr="00DE56E2">
              <w:rPr>
                <w:rFonts w:cstheme="minorHAnsi"/>
                <w:b/>
                <w:color w:val="auto"/>
                <w:lang w:val="en-AU"/>
              </w:rPr>
              <w:t>12</w:t>
            </w:r>
          </w:p>
        </w:tc>
        <w:tc>
          <w:tcPr>
            <w:tcW w:w="2523" w:type="dxa"/>
          </w:tcPr>
          <w:p w14:paraId="694F357D" w14:textId="77777777" w:rsidR="002F3890" w:rsidRPr="00DE56E2" w:rsidRDefault="002F3890" w:rsidP="002F3890">
            <w:pPr>
              <w:rPr>
                <w:rFonts w:cstheme="minorHAnsi"/>
                <w:color w:val="auto"/>
                <w:lang w:val="en-AU"/>
              </w:rPr>
            </w:pPr>
            <w:r w:rsidRPr="00DE56E2">
              <w:rPr>
                <w:rFonts w:cstheme="minorHAnsi"/>
                <w:color w:val="auto"/>
                <w:lang w:val="en-AU"/>
              </w:rPr>
              <w:t>Improving retention for both boys and girls should be a priority</w:t>
            </w:r>
          </w:p>
          <w:p w14:paraId="1EC3FC77" w14:textId="77777777" w:rsidR="002F3890" w:rsidRPr="00DE56E2" w:rsidRDefault="002F3890" w:rsidP="002F3890">
            <w:pPr>
              <w:rPr>
                <w:rFonts w:cstheme="minorHAnsi"/>
                <w:color w:val="auto"/>
                <w:lang w:val="en-AU"/>
              </w:rPr>
            </w:pPr>
          </w:p>
        </w:tc>
        <w:tc>
          <w:tcPr>
            <w:tcW w:w="3969" w:type="dxa"/>
          </w:tcPr>
          <w:p w14:paraId="5FB924F7" w14:textId="77777777" w:rsidR="002F3890" w:rsidRPr="00DE56E2" w:rsidRDefault="002F3890" w:rsidP="002F3890">
            <w:pPr>
              <w:rPr>
                <w:rFonts w:cstheme="minorHAnsi"/>
                <w:color w:val="auto"/>
                <w:lang w:val="en-AU"/>
              </w:rPr>
            </w:pPr>
            <w:r w:rsidRPr="00DE56E2">
              <w:rPr>
                <w:rFonts w:cstheme="minorHAnsi"/>
                <w:b/>
                <w:color w:val="auto"/>
                <w:lang w:val="en-AU"/>
              </w:rPr>
              <w:t>Agree:</w:t>
            </w:r>
            <w:r w:rsidRPr="00DE56E2">
              <w:rPr>
                <w:rFonts w:cstheme="minorHAnsi"/>
                <w:color w:val="auto"/>
                <w:lang w:val="en-AU"/>
              </w:rPr>
              <w:t xml:space="preserve"> Student retention rates – for boys and girls – is of concern across all subsectors. With dropout reported as early as year two, and further losses experienced at key transition points, efforts to improve student retention should be prioritised. Of those students who start year nine, only 15% make it to year thirteen (the last of senior secondary school).  </w:t>
            </w:r>
          </w:p>
        </w:tc>
        <w:tc>
          <w:tcPr>
            <w:tcW w:w="3969" w:type="dxa"/>
          </w:tcPr>
          <w:p w14:paraId="5CCBF95C" w14:textId="02EB029E" w:rsidR="002F3890" w:rsidRPr="00DE56E2" w:rsidRDefault="004D5284" w:rsidP="002F3890">
            <w:pPr>
              <w:rPr>
                <w:rFonts w:cstheme="minorHAnsi"/>
                <w:color w:val="auto"/>
                <w:lang w:val="en-AU"/>
              </w:rPr>
            </w:pPr>
            <w:r w:rsidRPr="00DE56E2">
              <w:rPr>
                <w:rFonts w:cstheme="minorHAnsi"/>
                <w:b/>
                <w:color w:val="auto"/>
                <w:lang w:val="en-AU"/>
              </w:rPr>
              <w:t>Underway:</w:t>
            </w:r>
            <w:r w:rsidRPr="00DE56E2">
              <w:rPr>
                <w:rFonts w:cstheme="minorHAnsi"/>
                <w:color w:val="auto"/>
                <w:lang w:val="en-AU"/>
              </w:rPr>
              <w:t xml:space="preserve"> </w:t>
            </w:r>
            <w:r w:rsidR="002F3890" w:rsidRPr="00DE56E2">
              <w:rPr>
                <w:rFonts w:cstheme="minorHAnsi"/>
                <w:color w:val="auto"/>
                <w:lang w:val="en-AU"/>
              </w:rPr>
              <w:t>The program will continue to support the ministry’s efforts to increase enrolment, participation and retention rates for I-Kiribati girls and boys. The program will further interrogate the challenges facing girls and boys in this regard, and consider the implications of such research for future activities (</w:t>
            </w:r>
            <w:r w:rsidR="00F203F3">
              <w:rPr>
                <w:rFonts w:cstheme="minorHAnsi"/>
                <w:color w:val="auto"/>
                <w:lang w:val="en-AU"/>
              </w:rPr>
              <w:t>which</w:t>
            </w:r>
            <w:r w:rsidR="00F203F3" w:rsidRPr="00DE56E2">
              <w:rPr>
                <w:rFonts w:cstheme="minorHAnsi"/>
                <w:color w:val="auto"/>
                <w:lang w:val="en-AU"/>
              </w:rPr>
              <w:t xml:space="preserve"> </w:t>
            </w:r>
            <w:r w:rsidR="002F3890" w:rsidRPr="00DE56E2">
              <w:rPr>
                <w:rFonts w:cstheme="minorHAnsi"/>
                <w:color w:val="auto"/>
                <w:lang w:val="en-AU"/>
              </w:rPr>
              <w:t xml:space="preserve">may include curriculum reform, pedagogical changes, and strengthening pathways for early school-leavers). </w:t>
            </w:r>
          </w:p>
        </w:tc>
        <w:tc>
          <w:tcPr>
            <w:tcW w:w="2580" w:type="dxa"/>
          </w:tcPr>
          <w:p w14:paraId="182A3244" w14:textId="2A6377F8" w:rsidR="002F3890" w:rsidRPr="00DE56E2" w:rsidRDefault="002F3890" w:rsidP="00F85F54">
            <w:pPr>
              <w:rPr>
                <w:rFonts w:cstheme="minorHAnsi"/>
                <w:color w:val="auto"/>
                <w:lang w:val="en-AU"/>
              </w:rPr>
            </w:pPr>
            <w:r w:rsidRPr="00DE56E2">
              <w:rPr>
                <w:rFonts w:cstheme="minorHAnsi"/>
                <w:color w:val="auto"/>
                <w:lang w:val="en-AU"/>
              </w:rPr>
              <w:t>This work will be undertaken over the balance of this phase of the program (and into the next subject to necessary approvals). Activity in this regard has been incorporated into the 2019 work plan.</w:t>
            </w:r>
          </w:p>
        </w:tc>
      </w:tr>
      <w:tr w:rsidR="00C66C68" w:rsidRPr="0038060A" w14:paraId="0F663FE3" w14:textId="77777777" w:rsidTr="00C66C68">
        <w:trPr>
          <w:trHeight w:val="653"/>
        </w:trPr>
        <w:tc>
          <w:tcPr>
            <w:tcW w:w="562" w:type="dxa"/>
            <w:shd w:val="clear" w:color="auto" w:fill="F2F2F2" w:themeFill="background1" w:themeFillShade="F2"/>
          </w:tcPr>
          <w:p w14:paraId="737D2643" w14:textId="77777777" w:rsidR="00C66C68" w:rsidRPr="0038060A" w:rsidRDefault="00C66C68" w:rsidP="008E4060">
            <w:pPr>
              <w:rPr>
                <w:rFonts w:cstheme="minorHAnsi"/>
                <w:b/>
                <w:lang w:val="en-AU"/>
              </w:rPr>
            </w:pPr>
            <w:r>
              <w:br w:type="column"/>
            </w:r>
            <w:r>
              <w:br w:type="column"/>
            </w:r>
            <w:r w:rsidRPr="0038060A">
              <w:rPr>
                <w:rFonts w:cstheme="minorHAnsi"/>
                <w:b/>
                <w:lang w:val="en-AU"/>
              </w:rPr>
              <w:t>#</w:t>
            </w:r>
          </w:p>
        </w:tc>
        <w:tc>
          <w:tcPr>
            <w:tcW w:w="2523" w:type="dxa"/>
            <w:shd w:val="clear" w:color="auto" w:fill="F2F2F2" w:themeFill="background1" w:themeFillShade="F2"/>
          </w:tcPr>
          <w:p w14:paraId="2331D65F" w14:textId="77777777" w:rsidR="00C66C68" w:rsidRPr="0038060A" w:rsidRDefault="00C66C68" w:rsidP="008E4060">
            <w:pPr>
              <w:rPr>
                <w:rFonts w:cstheme="minorHAnsi"/>
                <w:b/>
                <w:lang w:val="en-AU"/>
              </w:rPr>
            </w:pPr>
            <w:r w:rsidRPr="0038060A">
              <w:rPr>
                <w:rFonts w:cstheme="minorHAnsi"/>
                <w:b/>
                <w:lang w:val="en-AU"/>
              </w:rPr>
              <w:t>Recommendation</w:t>
            </w:r>
          </w:p>
        </w:tc>
        <w:tc>
          <w:tcPr>
            <w:tcW w:w="3969" w:type="dxa"/>
            <w:shd w:val="clear" w:color="auto" w:fill="F2F2F2" w:themeFill="background1" w:themeFillShade="F2"/>
          </w:tcPr>
          <w:p w14:paraId="49F9C211" w14:textId="77777777" w:rsidR="00C66C68" w:rsidRPr="0038060A" w:rsidRDefault="00C66C68" w:rsidP="008E4060">
            <w:pPr>
              <w:rPr>
                <w:rFonts w:cstheme="minorHAnsi"/>
                <w:b/>
                <w:lang w:val="en-AU"/>
              </w:rPr>
            </w:pPr>
            <w:r w:rsidRPr="0038060A">
              <w:rPr>
                <w:rFonts w:cstheme="minorHAnsi"/>
                <w:b/>
                <w:lang w:val="en-AU"/>
              </w:rPr>
              <w:t>Response and explanation</w:t>
            </w:r>
          </w:p>
        </w:tc>
        <w:tc>
          <w:tcPr>
            <w:tcW w:w="3969" w:type="dxa"/>
            <w:shd w:val="clear" w:color="auto" w:fill="F2F2F2" w:themeFill="background1" w:themeFillShade="F2"/>
          </w:tcPr>
          <w:p w14:paraId="0D96F1ED" w14:textId="77777777" w:rsidR="00C66C68" w:rsidRPr="0038060A" w:rsidRDefault="00C66C68" w:rsidP="008E4060">
            <w:pPr>
              <w:rPr>
                <w:rFonts w:cstheme="minorHAnsi"/>
                <w:b/>
                <w:lang w:val="en-AU"/>
              </w:rPr>
            </w:pPr>
            <w:r w:rsidRPr="0038060A">
              <w:rPr>
                <w:rFonts w:cstheme="minorHAnsi"/>
                <w:b/>
                <w:lang w:val="en-AU"/>
              </w:rPr>
              <w:t>Action plan</w:t>
            </w:r>
          </w:p>
        </w:tc>
        <w:tc>
          <w:tcPr>
            <w:tcW w:w="2580" w:type="dxa"/>
            <w:shd w:val="clear" w:color="auto" w:fill="F2F2F2" w:themeFill="background1" w:themeFillShade="F2"/>
          </w:tcPr>
          <w:p w14:paraId="72CBCC37" w14:textId="77777777" w:rsidR="00C66C68" w:rsidRPr="0038060A" w:rsidRDefault="00C66C68" w:rsidP="008E4060">
            <w:pPr>
              <w:rPr>
                <w:rFonts w:cstheme="minorHAnsi"/>
                <w:b/>
                <w:lang w:val="en-AU"/>
              </w:rPr>
            </w:pPr>
            <w:r w:rsidRPr="0038060A">
              <w:rPr>
                <w:rFonts w:cstheme="minorHAnsi"/>
                <w:b/>
                <w:lang w:val="en-AU"/>
              </w:rPr>
              <w:t xml:space="preserve">Timeframe </w:t>
            </w:r>
          </w:p>
        </w:tc>
      </w:tr>
      <w:tr w:rsidR="002F3890" w:rsidRPr="0038060A" w14:paraId="347D5DFA" w14:textId="77777777" w:rsidTr="00987ACF">
        <w:trPr>
          <w:trHeight w:val="3350"/>
        </w:trPr>
        <w:tc>
          <w:tcPr>
            <w:tcW w:w="562" w:type="dxa"/>
          </w:tcPr>
          <w:p w14:paraId="4539988A" w14:textId="77777777" w:rsidR="002F3890" w:rsidRPr="00DE56E2" w:rsidRDefault="002F3890" w:rsidP="002F3890">
            <w:pPr>
              <w:rPr>
                <w:rFonts w:cstheme="minorHAnsi"/>
                <w:b/>
                <w:color w:val="auto"/>
                <w:lang w:val="en-AU"/>
              </w:rPr>
            </w:pPr>
            <w:r w:rsidRPr="00DE56E2">
              <w:rPr>
                <w:rFonts w:cstheme="minorHAnsi"/>
                <w:b/>
                <w:color w:val="auto"/>
                <w:lang w:val="en-AU"/>
              </w:rPr>
              <w:t>13</w:t>
            </w:r>
          </w:p>
        </w:tc>
        <w:tc>
          <w:tcPr>
            <w:tcW w:w="2523" w:type="dxa"/>
          </w:tcPr>
          <w:p w14:paraId="4D9DC345" w14:textId="77777777" w:rsidR="002F3890" w:rsidRPr="00DE56E2" w:rsidRDefault="002F3890" w:rsidP="002F3890">
            <w:pPr>
              <w:rPr>
                <w:rFonts w:cstheme="minorHAnsi"/>
                <w:color w:val="auto"/>
                <w:lang w:val="en-AU"/>
              </w:rPr>
            </w:pPr>
            <w:r w:rsidRPr="00DE56E2">
              <w:rPr>
                <w:rFonts w:cstheme="minorHAnsi"/>
                <w:color w:val="auto"/>
                <w:lang w:val="en-AU"/>
              </w:rPr>
              <w:t xml:space="preserve">Need for clear Government policy regarding maintenance of new buildings </w:t>
            </w:r>
          </w:p>
        </w:tc>
        <w:tc>
          <w:tcPr>
            <w:tcW w:w="3969" w:type="dxa"/>
          </w:tcPr>
          <w:p w14:paraId="494C4F91" w14:textId="0F672B41" w:rsidR="002F3890" w:rsidRPr="00DE56E2" w:rsidRDefault="002F3890" w:rsidP="002F3890">
            <w:pPr>
              <w:rPr>
                <w:rFonts w:cstheme="minorHAnsi"/>
                <w:color w:val="auto"/>
                <w:lang w:val="en-AU"/>
              </w:rPr>
            </w:pPr>
            <w:r w:rsidRPr="00DE56E2">
              <w:rPr>
                <w:rFonts w:cstheme="minorHAnsi"/>
                <w:b/>
                <w:color w:val="auto"/>
                <w:lang w:val="en-AU"/>
              </w:rPr>
              <w:t xml:space="preserve">Agree in principle: </w:t>
            </w:r>
            <w:r w:rsidRPr="00DE56E2">
              <w:rPr>
                <w:rFonts w:cstheme="minorHAnsi"/>
                <w:color w:val="auto"/>
                <w:lang w:val="en-AU"/>
              </w:rPr>
              <w:t>This is a matter for the Government of Kiribati</w:t>
            </w:r>
            <w:r w:rsidRPr="00DE56E2">
              <w:rPr>
                <w:rFonts w:cstheme="minorHAnsi"/>
                <w:b/>
                <w:color w:val="auto"/>
                <w:lang w:val="en-AU"/>
              </w:rPr>
              <w:t xml:space="preserve">. </w:t>
            </w:r>
            <w:r w:rsidRPr="00DE56E2">
              <w:rPr>
                <w:rFonts w:cstheme="minorHAnsi"/>
                <w:color w:val="auto"/>
                <w:lang w:val="en-AU"/>
              </w:rPr>
              <w:t xml:space="preserve">We note that provision for school maintenance has been made in the 2019 national budget and that the Ministry of Education’s Facilities Management Unit continues to work closely with the Ministry of Infrastructure and Sustainable Energy on matters pertaining to school infrastructure (MISE is the ministry with responsibility for government building stock). </w:t>
            </w:r>
          </w:p>
        </w:tc>
        <w:tc>
          <w:tcPr>
            <w:tcW w:w="3969" w:type="dxa"/>
          </w:tcPr>
          <w:p w14:paraId="494FEAE8" w14:textId="0CD00FCA" w:rsidR="002F3890" w:rsidRPr="00DE56E2" w:rsidRDefault="004D5284" w:rsidP="002F3890">
            <w:pPr>
              <w:rPr>
                <w:rFonts w:cstheme="minorHAnsi"/>
                <w:color w:val="auto"/>
                <w:lang w:val="en-AU"/>
              </w:rPr>
            </w:pPr>
            <w:r w:rsidRPr="00DE56E2">
              <w:rPr>
                <w:rFonts w:cstheme="minorHAnsi"/>
                <w:b/>
                <w:color w:val="auto"/>
                <w:lang w:val="en-AU"/>
              </w:rPr>
              <w:t>Underway (limited scope):</w:t>
            </w:r>
            <w:r w:rsidRPr="00DE56E2">
              <w:rPr>
                <w:rFonts w:cstheme="minorHAnsi"/>
                <w:color w:val="auto"/>
                <w:lang w:val="en-AU"/>
              </w:rPr>
              <w:t xml:space="preserve"> </w:t>
            </w:r>
            <w:r w:rsidR="002F3890" w:rsidRPr="00DE56E2">
              <w:rPr>
                <w:rFonts w:cstheme="minorHAnsi"/>
                <w:color w:val="auto"/>
                <w:lang w:val="en-AU"/>
              </w:rPr>
              <w:t xml:space="preserve">The program’s infrastructure team – along with the ministry’s Facilities Management Unit and MISE counterparts - has conducted a school infrastructure maintenance survey of 28 schools (including </w:t>
            </w:r>
            <w:r w:rsidR="00F203F3">
              <w:rPr>
                <w:rFonts w:cstheme="minorHAnsi"/>
                <w:color w:val="auto"/>
                <w:lang w:val="en-AU"/>
              </w:rPr>
              <w:t xml:space="preserve">16 </w:t>
            </w:r>
            <w:r w:rsidR="002F3890" w:rsidRPr="00DE56E2">
              <w:rPr>
                <w:rFonts w:cstheme="minorHAnsi"/>
                <w:color w:val="auto"/>
                <w:lang w:val="en-AU"/>
              </w:rPr>
              <w:t>schools refurbished in the first two phases of the program). Based on this survey, the team has developed a costed, prioritised maintenance plan to inform work in this domain. The program will continue to work with school communities to care for refurbished school buildings.</w:t>
            </w:r>
          </w:p>
        </w:tc>
        <w:tc>
          <w:tcPr>
            <w:tcW w:w="2580" w:type="dxa"/>
          </w:tcPr>
          <w:p w14:paraId="19F3AE96" w14:textId="47E91BE8" w:rsidR="002F3890" w:rsidRPr="00DE56E2" w:rsidRDefault="009C40DB" w:rsidP="009C40DB">
            <w:pPr>
              <w:rPr>
                <w:rFonts w:cstheme="minorHAnsi"/>
                <w:color w:val="auto"/>
                <w:lang w:val="en-AU"/>
              </w:rPr>
            </w:pPr>
            <w:r w:rsidRPr="00DE56E2">
              <w:rPr>
                <w:rFonts w:cstheme="minorHAnsi"/>
                <w:color w:val="auto"/>
                <w:lang w:val="en-AU"/>
              </w:rPr>
              <w:t xml:space="preserve">What maintenance work that can be carried forward is </w:t>
            </w:r>
            <w:r w:rsidR="002F3890" w:rsidRPr="00DE56E2">
              <w:rPr>
                <w:rFonts w:cstheme="minorHAnsi"/>
                <w:color w:val="auto"/>
                <w:lang w:val="en-AU"/>
              </w:rPr>
              <w:t>included in the program’s 2019 work plan (</w:t>
            </w:r>
            <w:r w:rsidRPr="00DE56E2">
              <w:rPr>
                <w:rFonts w:cstheme="minorHAnsi"/>
                <w:color w:val="auto"/>
                <w:lang w:val="en-AU"/>
              </w:rPr>
              <w:t xml:space="preserve">developed </w:t>
            </w:r>
            <w:r w:rsidR="002F3890" w:rsidRPr="00DE56E2">
              <w:rPr>
                <w:rFonts w:cstheme="minorHAnsi"/>
                <w:color w:val="auto"/>
                <w:lang w:val="en-AU"/>
              </w:rPr>
              <w:t xml:space="preserve">in consultation with the ministry of education). </w:t>
            </w:r>
          </w:p>
        </w:tc>
      </w:tr>
      <w:tr w:rsidR="002F3890" w:rsidRPr="0038060A" w14:paraId="46A73F1C" w14:textId="77777777" w:rsidTr="00987ACF">
        <w:trPr>
          <w:trHeight w:val="1407"/>
        </w:trPr>
        <w:tc>
          <w:tcPr>
            <w:tcW w:w="562" w:type="dxa"/>
          </w:tcPr>
          <w:p w14:paraId="488AFD1D" w14:textId="5C2D7CF1" w:rsidR="002F3890" w:rsidRPr="00C66C68" w:rsidRDefault="002F3890" w:rsidP="002F3890">
            <w:pPr>
              <w:rPr>
                <w:rFonts w:cstheme="minorHAnsi"/>
                <w:b/>
                <w:color w:val="auto"/>
                <w:lang w:val="en-AU"/>
              </w:rPr>
            </w:pPr>
            <w:r w:rsidRPr="00C66C68">
              <w:rPr>
                <w:rFonts w:cstheme="minorHAnsi"/>
                <w:b/>
                <w:color w:val="auto"/>
                <w:lang w:val="en-AU"/>
              </w:rPr>
              <w:t>14</w:t>
            </w:r>
          </w:p>
        </w:tc>
        <w:tc>
          <w:tcPr>
            <w:tcW w:w="2523" w:type="dxa"/>
          </w:tcPr>
          <w:p w14:paraId="171D0B58" w14:textId="65E2EB40" w:rsidR="002F3890" w:rsidRPr="00C66C68" w:rsidRDefault="002F3890" w:rsidP="002F3890">
            <w:pPr>
              <w:rPr>
                <w:rFonts w:cstheme="minorHAnsi"/>
                <w:color w:val="auto"/>
                <w:lang w:val="en-AU"/>
              </w:rPr>
            </w:pPr>
            <w:r w:rsidRPr="00C66C68">
              <w:rPr>
                <w:rFonts w:cstheme="minorHAnsi"/>
                <w:color w:val="auto"/>
                <w:lang w:val="en-AU"/>
              </w:rPr>
              <w:t xml:space="preserve">Ongoing support should continue to be provided </w:t>
            </w:r>
            <w:r w:rsidR="00F203F3">
              <w:rPr>
                <w:rFonts w:cstheme="minorHAnsi"/>
                <w:color w:val="auto"/>
                <w:lang w:val="en-AU"/>
              </w:rPr>
              <w:t xml:space="preserve">to </w:t>
            </w:r>
            <w:r w:rsidRPr="00C66C68">
              <w:rPr>
                <w:rFonts w:cstheme="minorHAnsi"/>
                <w:color w:val="auto"/>
                <w:lang w:val="en-AU"/>
              </w:rPr>
              <w:t xml:space="preserve">the curriculum development resource centre to include more proactive and positive messaging around girls that challenges existing stereotypes and promotes societal change. </w:t>
            </w:r>
          </w:p>
        </w:tc>
        <w:tc>
          <w:tcPr>
            <w:tcW w:w="3969" w:type="dxa"/>
          </w:tcPr>
          <w:p w14:paraId="5048DF39" w14:textId="77777777" w:rsidR="002F3890" w:rsidRPr="00C66C68" w:rsidRDefault="002F3890" w:rsidP="002F3890">
            <w:pPr>
              <w:rPr>
                <w:rFonts w:cstheme="minorHAnsi"/>
                <w:color w:val="auto"/>
                <w:lang w:val="en-AU"/>
              </w:rPr>
            </w:pPr>
            <w:r w:rsidRPr="00C66C68">
              <w:rPr>
                <w:rFonts w:cstheme="minorHAnsi"/>
                <w:b/>
                <w:color w:val="auto"/>
                <w:lang w:val="en-AU"/>
              </w:rPr>
              <w:t xml:space="preserve">Agree: </w:t>
            </w:r>
            <w:r w:rsidRPr="00C66C68">
              <w:rPr>
                <w:rFonts w:cstheme="minorHAnsi"/>
                <w:color w:val="auto"/>
                <w:lang w:val="en-AU"/>
              </w:rPr>
              <w:t>As this recommendation implies, KEIP has been doing good work in this regard, and positive messaging in curriculum materials will continue to be an important feature.</w:t>
            </w:r>
            <w:r w:rsidRPr="00C66C68">
              <w:rPr>
                <w:rFonts w:cstheme="minorHAnsi"/>
                <w:b/>
                <w:color w:val="auto"/>
                <w:lang w:val="en-AU"/>
              </w:rPr>
              <w:t xml:space="preserve"> </w:t>
            </w:r>
          </w:p>
        </w:tc>
        <w:tc>
          <w:tcPr>
            <w:tcW w:w="3969" w:type="dxa"/>
          </w:tcPr>
          <w:p w14:paraId="16A866A6" w14:textId="77777777" w:rsidR="002F3890" w:rsidRPr="00C66C68" w:rsidRDefault="002F3890" w:rsidP="002F3890">
            <w:pPr>
              <w:rPr>
                <w:rFonts w:cstheme="minorHAnsi"/>
                <w:color w:val="auto"/>
                <w:lang w:val="en-AU"/>
              </w:rPr>
            </w:pPr>
            <w:r w:rsidRPr="00C66C68">
              <w:rPr>
                <w:rFonts w:cstheme="minorHAnsi"/>
                <w:b/>
                <w:color w:val="auto"/>
                <w:lang w:val="en-AU"/>
              </w:rPr>
              <w:t>Underway:</w:t>
            </w:r>
            <w:r w:rsidRPr="00C66C68">
              <w:rPr>
                <w:rFonts w:cstheme="minorHAnsi"/>
                <w:color w:val="auto"/>
                <w:lang w:val="en-AU"/>
              </w:rPr>
              <w:t xml:space="preserve"> The ministry, with KEIP support, will continue to train curriculum writers, proof readers and quality assurers in gender appropriate content and respectful relationships; and avoiding negative imagery, stereotyping and disrespectful tones. This work will be complemented by gender focussed research (on bullying in schools, and gender-based violence); advocacy aimed at decreasing bullying and gender-based violence, and supporting respectful relationships; and training for school leaders (use of a gender equity checklist).</w:t>
            </w:r>
          </w:p>
        </w:tc>
        <w:tc>
          <w:tcPr>
            <w:tcW w:w="2580" w:type="dxa"/>
          </w:tcPr>
          <w:p w14:paraId="5576B915" w14:textId="22665457" w:rsidR="002F3890" w:rsidRPr="00C66C68" w:rsidRDefault="002F3890" w:rsidP="002F3890">
            <w:pPr>
              <w:rPr>
                <w:rFonts w:cstheme="minorHAnsi"/>
                <w:color w:val="auto"/>
                <w:lang w:val="en-AU"/>
              </w:rPr>
            </w:pPr>
            <w:r w:rsidRPr="00C66C68">
              <w:rPr>
                <w:rFonts w:cstheme="minorHAnsi"/>
                <w:color w:val="auto"/>
                <w:lang w:val="en-AU"/>
              </w:rPr>
              <w:t>This work is ongoing and included in the program’s 2019 work plan (</w:t>
            </w:r>
            <w:r w:rsidR="009C40DB" w:rsidRPr="00C66C68">
              <w:rPr>
                <w:rFonts w:cstheme="minorHAnsi"/>
                <w:color w:val="auto"/>
                <w:lang w:val="en-AU"/>
              </w:rPr>
              <w:t xml:space="preserve">developed </w:t>
            </w:r>
            <w:r w:rsidRPr="00C66C68">
              <w:rPr>
                <w:rFonts w:cstheme="minorHAnsi"/>
                <w:color w:val="auto"/>
                <w:lang w:val="en-AU"/>
              </w:rPr>
              <w:t>in consultation with the ministry of education).</w:t>
            </w:r>
          </w:p>
        </w:tc>
      </w:tr>
    </w:tbl>
    <w:p w14:paraId="192CDEE7" w14:textId="77777777" w:rsidR="004E5993" w:rsidRPr="003F6A84" w:rsidRDefault="004E5993" w:rsidP="004E5993">
      <w:pPr>
        <w:rPr>
          <w:rFonts w:cstheme="minorHAnsi"/>
          <w:sz w:val="24"/>
          <w:szCs w:val="24"/>
          <w:lang w:val="en-AU"/>
        </w:rPr>
      </w:pPr>
    </w:p>
    <w:sectPr w:rsidR="004E5993" w:rsidRPr="003F6A84" w:rsidSect="00D54F47">
      <w:pgSz w:w="16838" w:h="11906" w:orient="landscape" w:code="9"/>
      <w:pgMar w:top="1134" w:right="1985" w:bottom="1134"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644CC" w16cid:durableId="20707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A6F0" w14:textId="77777777" w:rsidR="00C55BC8" w:rsidRDefault="00C55BC8" w:rsidP="00C55BC8">
      <w:pPr>
        <w:spacing w:before="0" w:after="0" w:line="240" w:lineRule="auto"/>
      </w:pPr>
      <w:r>
        <w:separator/>
      </w:r>
    </w:p>
  </w:endnote>
  <w:endnote w:type="continuationSeparator" w:id="0">
    <w:p w14:paraId="64AED930" w14:textId="77777777" w:rsidR="00C55BC8" w:rsidRDefault="00C55BC8" w:rsidP="00C55B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FBA82" w14:textId="77777777" w:rsidR="00C55BC8" w:rsidRDefault="00C55BC8" w:rsidP="00C55BC8">
      <w:pPr>
        <w:spacing w:before="0" w:after="0" w:line="240" w:lineRule="auto"/>
      </w:pPr>
      <w:r>
        <w:separator/>
      </w:r>
    </w:p>
  </w:footnote>
  <w:footnote w:type="continuationSeparator" w:id="0">
    <w:p w14:paraId="3F182A9F" w14:textId="77777777" w:rsidR="00C55BC8" w:rsidRDefault="00C55BC8" w:rsidP="00C55BC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A1B"/>
    <w:multiLevelType w:val="hybridMultilevel"/>
    <w:tmpl w:val="2556D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7A583E"/>
    <w:multiLevelType w:val="hybridMultilevel"/>
    <w:tmpl w:val="DF2C4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43668"/>
    <w:multiLevelType w:val="hybridMultilevel"/>
    <w:tmpl w:val="FD3C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BC4CA6"/>
    <w:multiLevelType w:val="hybridMultilevel"/>
    <w:tmpl w:val="65D4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1835BB"/>
    <w:multiLevelType w:val="hybridMultilevel"/>
    <w:tmpl w:val="0BF65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56043A"/>
    <w:multiLevelType w:val="multilevel"/>
    <w:tmpl w:val="69AEB596"/>
    <w:numStyleLink w:val="BulletsList"/>
  </w:abstractNum>
  <w:abstractNum w:abstractNumId="6"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7" w15:restartNumberingAfterBreak="0">
    <w:nsid w:val="79EC2BC3"/>
    <w:multiLevelType w:val="hybridMultilevel"/>
    <w:tmpl w:val="2A38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AE"/>
    <w:rsid w:val="00001D8D"/>
    <w:rsid w:val="00016DB7"/>
    <w:rsid w:val="000209FC"/>
    <w:rsid w:val="000240EB"/>
    <w:rsid w:val="000265AF"/>
    <w:rsid w:val="00031932"/>
    <w:rsid w:val="000356EB"/>
    <w:rsid w:val="0004085C"/>
    <w:rsid w:val="00061ACB"/>
    <w:rsid w:val="00070762"/>
    <w:rsid w:val="00072254"/>
    <w:rsid w:val="00082CAC"/>
    <w:rsid w:val="0008704D"/>
    <w:rsid w:val="000C6BAB"/>
    <w:rsid w:val="000D3441"/>
    <w:rsid w:val="000E48B9"/>
    <w:rsid w:val="000F538F"/>
    <w:rsid w:val="00102365"/>
    <w:rsid w:val="001107A0"/>
    <w:rsid w:val="00120306"/>
    <w:rsid w:val="00120519"/>
    <w:rsid w:val="00126B12"/>
    <w:rsid w:val="0013367A"/>
    <w:rsid w:val="00135AF9"/>
    <w:rsid w:val="0015154E"/>
    <w:rsid w:val="00162C22"/>
    <w:rsid w:val="00177A02"/>
    <w:rsid w:val="00183861"/>
    <w:rsid w:val="0018739C"/>
    <w:rsid w:val="001972F0"/>
    <w:rsid w:val="001A10B6"/>
    <w:rsid w:val="001D570C"/>
    <w:rsid w:val="001D70BC"/>
    <w:rsid w:val="001E35E0"/>
    <w:rsid w:val="001F394F"/>
    <w:rsid w:val="00212524"/>
    <w:rsid w:val="00225541"/>
    <w:rsid w:val="00227286"/>
    <w:rsid w:val="002408EB"/>
    <w:rsid w:val="002666FD"/>
    <w:rsid w:val="00274339"/>
    <w:rsid w:val="002A58F8"/>
    <w:rsid w:val="002B4158"/>
    <w:rsid w:val="002B5F49"/>
    <w:rsid w:val="002C29F5"/>
    <w:rsid w:val="002C7370"/>
    <w:rsid w:val="002E0574"/>
    <w:rsid w:val="002F1BF1"/>
    <w:rsid w:val="002F3890"/>
    <w:rsid w:val="002F78B5"/>
    <w:rsid w:val="003205EA"/>
    <w:rsid w:val="00331BC4"/>
    <w:rsid w:val="00354F93"/>
    <w:rsid w:val="003644B7"/>
    <w:rsid w:val="003707E2"/>
    <w:rsid w:val="003710A1"/>
    <w:rsid w:val="0038060A"/>
    <w:rsid w:val="003A44F3"/>
    <w:rsid w:val="003A563E"/>
    <w:rsid w:val="003D3EF5"/>
    <w:rsid w:val="003E080A"/>
    <w:rsid w:val="003E3337"/>
    <w:rsid w:val="003E4C5C"/>
    <w:rsid w:val="003E59EF"/>
    <w:rsid w:val="003F6098"/>
    <w:rsid w:val="003F6A84"/>
    <w:rsid w:val="00411754"/>
    <w:rsid w:val="004146D3"/>
    <w:rsid w:val="00415E63"/>
    <w:rsid w:val="0041643F"/>
    <w:rsid w:val="00417A0B"/>
    <w:rsid w:val="00430872"/>
    <w:rsid w:val="00433841"/>
    <w:rsid w:val="0043746B"/>
    <w:rsid w:val="00437D60"/>
    <w:rsid w:val="0044578D"/>
    <w:rsid w:val="00451B27"/>
    <w:rsid w:val="004650C3"/>
    <w:rsid w:val="00484D04"/>
    <w:rsid w:val="00492E79"/>
    <w:rsid w:val="00493B54"/>
    <w:rsid w:val="00494EA8"/>
    <w:rsid w:val="00497AC2"/>
    <w:rsid w:val="004A7661"/>
    <w:rsid w:val="004A7A7C"/>
    <w:rsid w:val="004C4842"/>
    <w:rsid w:val="004C6E40"/>
    <w:rsid w:val="004D5284"/>
    <w:rsid w:val="004E5993"/>
    <w:rsid w:val="004E6104"/>
    <w:rsid w:val="004E7E39"/>
    <w:rsid w:val="00523EA4"/>
    <w:rsid w:val="00544F8C"/>
    <w:rsid w:val="00551068"/>
    <w:rsid w:val="0055445D"/>
    <w:rsid w:val="0055647B"/>
    <w:rsid w:val="00560921"/>
    <w:rsid w:val="0056129C"/>
    <w:rsid w:val="0057341D"/>
    <w:rsid w:val="0058304E"/>
    <w:rsid w:val="00586F8A"/>
    <w:rsid w:val="005B4BE2"/>
    <w:rsid w:val="005B6428"/>
    <w:rsid w:val="005B7B82"/>
    <w:rsid w:val="005D3387"/>
    <w:rsid w:val="005E2D6F"/>
    <w:rsid w:val="00630C0B"/>
    <w:rsid w:val="00642CB6"/>
    <w:rsid w:val="00651D6D"/>
    <w:rsid w:val="00654C55"/>
    <w:rsid w:val="00682F58"/>
    <w:rsid w:val="006A309E"/>
    <w:rsid w:val="006A63DB"/>
    <w:rsid w:val="006B4B55"/>
    <w:rsid w:val="006B592B"/>
    <w:rsid w:val="006C580D"/>
    <w:rsid w:val="00771A9F"/>
    <w:rsid w:val="00786B57"/>
    <w:rsid w:val="007C7E8F"/>
    <w:rsid w:val="007D33E0"/>
    <w:rsid w:val="007D6849"/>
    <w:rsid w:val="00812191"/>
    <w:rsid w:val="00813FCA"/>
    <w:rsid w:val="008208E3"/>
    <w:rsid w:val="008242B1"/>
    <w:rsid w:val="0084258D"/>
    <w:rsid w:val="00842D5D"/>
    <w:rsid w:val="0085285C"/>
    <w:rsid w:val="0088698E"/>
    <w:rsid w:val="00892C2A"/>
    <w:rsid w:val="00893A19"/>
    <w:rsid w:val="008A04B1"/>
    <w:rsid w:val="008B4F66"/>
    <w:rsid w:val="008E5466"/>
    <w:rsid w:val="008F38D0"/>
    <w:rsid w:val="00946958"/>
    <w:rsid w:val="009739AE"/>
    <w:rsid w:val="00975A7E"/>
    <w:rsid w:val="00987ACF"/>
    <w:rsid w:val="00994BE1"/>
    <w:rsid w:val="009A1153"/>
    <w:rsid w:val="009A337E"/>
    <w:rsid w:val="009A5A87"/>
    <w:rsid w:val="009B32A6"/>
    <w:rsid w:val="009C32D2"/>
    <w:rsid w:val="009C40DB"/>
    <w:rsid w:val="009D0D5C"/>
    <w:rsid w:val="009D3327"/>
    <w:rsid w:val="009E1BD9"/>
    <w:rsid w:val="009F1045"/>
    <w:rsid w:val="009F5289"/>
    <w:rsid w:val="009F6AD6"/>
    <w:rsid w:val="00A032AB"/>
    <w:rsid w:val="00A25C4B"/>
    <w:rsid w:val="00A30F75"/>
    <w:rsid w:val="00A35589"/>
    <w:rsid w:val="00A3674C"/>
    <w:rsid w:val="00A91B50"/>
    <w:rsid w:val="00AC08EE"/>
    <w:rsid w:val="00AF7F43"/>
    <w:rsid w:val="00B346E3"/>
    <w:rsid w:val="00B6607C"/>
    <w:rsid w:val="00B72DE7"/>
    <w:rsid w:val="00B761A1"/>
    <w:rsid w:val="00BA72C8"/>
    <w:rsid w:val="00BB2762"/>
    <w:rsid w:val="00BB616C"/>
    <w:rsid w:val="00BC1005"/>
    <w:rsid w:val="00BD4DFF"/>
    <w:rsid w:val="00BD5C8E"/>
    <w:rsid w:val="00BE0866"/>
    <w:rsid w:val="00BF1BF8"/>
    <w:rsid w:val="00BF4E43"/>
    <w:rsid w:val="00C0499F"/>
    <w:rsid w:val="00C37E80"/>
    <w:rsid w:val="00C459EA"/>
    <w:rsid w:val="00C55BC8"/>
    <w:rsid w:val="00C611C6"/>
    <w:rsid w:val="00C61819"/>
    <w:rsid w:val="00C66C68"/>
    <w:rsid w:val="00C67EA1"/>
    <w:rsid w:val="00C80E15"/>
    <w:rsid w:val="00C86614"/>
    <w:rsid w:val="00C920E3"/>
    <w:rsid w:val="00CB45E4"/>
    <w:rsid w:val="00CB5D89"/>
    <w:rsid w:val="00CC52E6"/>
    <w:rsid w:val="00CC71E1"/>
    <w:rsid w:val="00CD0226"/>
    <w:rsid w:val="00CE1283"/>
    <w:rsid w:val="00CF0C08"/>
    <w:rsid w:val="00CF3A22"/>
    <w:rsid w:val="00CF6869"/>
    <w:rsid w:val="00D007D8"/>
    <w:rsid w:val="00D03F79"/>
    <w:rsid w:val="00D17A79"/>
    <w:rsid w:val="00D211B5"/>
    <w:rsid w:val="00D22FD2"/>
    <w:rsid w:val="00D24BFB"/>
    <w:rsid w:val="00D54F47"/>
    <w:rsid w:val="00D618AB"/>
    <w:rsid w:val="00D6363A"/>
    <w:rsid w:val="00D85631"/>
    <w:rsid w:val="00DA2170"/>
    <w:rsid w:val="00DA4630"/>
    <w:rsid w:val="00DD3533"/>
    <w:rsid w:val="00DD4FBD"/>
    <w:rsid w:val="00DD57C7"/>
    <w:rsid w:val="00DE56E2"/>
    <w:rsid w:val="00DF0E37"/>
    <w:rsid w:val="00E334A9"/>
    <w:rsid w:val="00E6284D"/>
    <w:rsid w:val="00E71BFF"/>
    <w:rsid w:val="00E753E8"/>
    <w:rsid w:val="00E759B2"/>
    <w:rsid w:val="00E8065B"/>
    <w:rsid w:val="00E824D9"/>
    <w:rsid w:val="00E853C1"/>
    <w:rsid w:val="00E91200"/>
    <w:rsid w:val="00EA1BC8"/>
    <w:rsid w:val="00EB7FF9"/>
    <w:rsid w:val="00EE0D3C"/>
    <w:rsid w:val="00EE13F6"/>
    <w:rsid w:val="00EE1ADC"/>
    <w:rsid w:val="00EF1A30"/>
    <w:rsid w:val="00F15586"/>
    <w:rsid w:val="00F203F3"/>
    <w:rsid w:val="00F24BB9"/>
    <w:rsid w:val="00F32219"/>
    <w:rsid w:val="00F50EA8"/>
    <w:rsid w:val="00F56F63"/>
    <w:rsid w:val="00F60947"/>
    <w:rsid w:val="00F635AE"/>
    <w:rsid w:val="00F85F54"/>
    <w:rsid w:val="00F87825"/>
    <w:rsid w:val="00FA78CC"/>
    <w:rsid w:val="00FB5CB8"/>
    <w:rsid w:val="00FB7A96"/>
    <w:rsid w:val="00FD5C20"/>
    <w:rsid w:val="00FE0BCE"/>
    <w:rsid w:val="00FE64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B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AE"/>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F635AE"/>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F635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F635AE"/>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5AE"/>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F635AE"/>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F635AE"/>
    <w:pPr>
      <w:numPr>
        <w:numId w:val="2"/>
      </w:numPr>
      <w:tabs>
        <w:tab w:val="left" w:pos="567"/>
      </w:tabs>
      <w:spacing w:before="60"/>
    </w:pPr>
  </w:style>
  <w:style w:type="paragraph" w:customStyle="1" w:styleId="Bullet2">
    <w:name w:val="Bullet 2"/>
    <w:basedOn w:val="Bullet1"/>
    <w:qFormat/>
    <w:rsid w:val="00F635AE"/>
    <w:pPr>
      <w:numPr>
        <w:ilvl w:val="1"/>
      </w:numPr>
      <w:tabs>
        <w:tab w:val="clear" w:pos="568"/>
        <w:tab w:val="left" w:pos="851"/>
      </w:tabs>
    </w:pPr>
  </w:style>
  <w:style w:type="paragraph" w:customStyle="1" w:styleId="Bullet3">
    <w:name w:val="Bullet 3"/>
    <w:basedOn w:val="Bullet2"/>
    <w:qFormat/>
    <w:rsid w:val="00F635AE"/>
    <w:pPr>
      <w:numPr>
        <w:ilvl w:val="2"/>
      </w:numPr>
      <w:tabs>
        <w:tab w:val="clear" w:pos="852"/>
        <w:tab w:val="left" w:pos="1134"/>
      </w:tabs>
    </w:pPr>
  </w:style>
  <w:style w:type="numbering" w:customStyle="1" w:styleId="BulletsList">
    <w:name w:val="Bullets List"/>
    <w:uiPriority w:val="99"/>
    <w:rsid w:val="00F635AE"/>
    <w:pPr>
      <w:numPr>
        <w:numId w:val="1"/>
      </w:numPr>
    </w:pPr>
  </w:style>
  <w:style w:type="paragraph" w:customStyle="1" w:styleId="TableHeaderRow">
    <w:name w:val="Table Header Row"/>
    <w:basedOn w:val="Normal"/>
    <w:qFormat/>
    <w:rsid w:val="00F635AE"/>
    <w:pPr>
      <w:spacing w:before="60"/>
    </w:pPr>
    <w:rPr>
      <w:rFonts w:ascii="Calibri" w:hAnsi="Calibri"/>
      <w:b/>
      <w:color w:val="FFFFFF" w:themeColor="background1"/>
      <w:szCs w:val="21"/>
    </w:rPr>
  </w:style>
  <w:style w:type="table" w:customStyle="1" w:styleId="DFATTable1">
    <w:name w:val="DFAT Table 1"/>
    <w:basedOn w:val="TableNormal"/>
    <w:uiPriority w:val="99"/>
    <w:rsid w:val="00F635AE"/>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F635AE"/>
  </w:style>
  <w:style w:type="character" w:customStyle="1" w:styleId="BodyTextChar">
    <w:name w:val="Body Text Char"/>
    <w:basedOn w:val="DefaultParagraphFont"/>
    <w:link w:val="BodyText"/>
    <w:uiPriority w:val="99"/>
    <w:rsid w:val="00F635AE"/>
    <w:rPr>
      <w:color w:val="44546A" w:themeColor="text2"/>
      <w:lang w:val="en-GB"/>
    </w:rPr>
  </w:style>
  <w:style w:type="character" w:customStyle="1" w:styleId="Heading2Char">
    <w:name w:val="Heading 2 Char"/>
    <w:basedOn w:val="DefaultParagraphFont"/>
    <w:link w:val="Heading2"/>
    <w:uiPriority w:val="9"/>
    <w:semiHidden/>
    <w:rsid w:val="00F635AE"/>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212524"/>
    <w:pPr>
      <w:ind w:left="720"/>
      <w:contextualSpacing/>
    </w:pPr>
  </w:style>
  <w:style w:type="table" w:styleId="TableGrid">
    <w:name w:val="Table Grid"/>
    <w:basedOn w:val="TableNormal"/>
    <w:uiPriority w:val="39"/>
    <w:rsid w:val="004E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F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F75"/>
    <w:rPr>
      <w:rFonts w:ascii="Segoe UI" w:hAnsi="Segoe UI" w:cs="Segoe UI"/>
      <w:color w:val="44546A" w:themeColor="text2"/>
      <w:sz w:val="18"/>
      <w:szCs w:val="18"/>
      <w:lang w:val="en-GB"/>
    </w:rPr>
  </w:style>
  <w:style w:type="character" w:styleId="CommentReference">
    <w:name w:val="annotation reference"/>
    <w:basedOn w:val="DefaultParagraphFont"/>
    <w:uiPriority w:val="99"/>
    <w:semiHidden/>
    <w:unhideWhenUsed/>
    <w:rsid w:val="004C4842"/>
    <w:rPr>
      <w:sz w:val="16"/>
      <w:szCs w:val="16"/>
    </w:rPr>
  </w:style>
  <w:style w:type="paragraph" w:styleId="CommentText">
    <w:name w:val="annotation text"/>
    <w:basedOn w:val="Normal"/>
    <w:link w:val="CommentTextChar"/>
    <w:uiPriority w:val="99"/>
    <w:semiHidden/>
    <w:unhideWhenUsed/>
    <w:rsid w:val="004C4842"/>
    <w:pPr>
      <w:spacing w:line="240" w:lineRule="auto"/>
    </w:pPr>
    <w:rPr>
      <w:sz w:val="20"/>
      <w:szCs w:val="20"/>
    </w:rPr>
  </w:style>
  <w:style w:type="character" w:customStyle="1" w:styleId="CommentTextChar">
    <w:name w:val="Comment Text Char"/>
    <w:basedOn w:val="DefaultParagraphFont"/>
    <w:link w:val="CommentText"/>
    <w:uiPriority w:val="99"/>
    <w:semiHidden/>
    <w:rsid w:val="004C4842"/>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4C4842"/>
    <w:rPr>
      <w:b/>
      <w:bCs/>
    </w:rPr>
  </w:style>
  <w:style w:type="character" w:customStyle="1" w:styleId="CommentSubjectChar">
    <w:name w:val="Comment Subject Char"/>
    <w:basedOn w:val="CommentTextChar"/>
    <w:link w:val="CommentSubject"/>
    <w:uiPriority w:val="99"/>
    <w:semiHidden/>
    <w:rsid w:val="004C4842"/>
    <w:rPr>
      <w:b/>
      <w:bCs/>
      <w:color w:val="44546A"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95F58-DE77-431B-8868-7D8573413C97}"/>
</file>

<file path=customXml/itemProps2.xml><?xml version="1.0" encoding="utf-8"?>
<ds:datastoreItem xmlns:ds="http://schemas.openxmlformats.org/officeDocument/2006/customXml" ds:itemID="{305702ED-556A-46C8-A4F2-FDDEC2A16B23}"/>
</file>

<file path=customXml/itemProps3.xml><?xml version="1.0" encoding="utf-8"?>
<ds:datastoreItem xmlns:ds="http://schemas.openxmlformats.org/officeDocument/2006/customXml" ds:itemID="{5841AA90-6507-41BA-BBB3-D1D0BE4EC0E0}"/>
</file>

<file path=customXml/itemProps4.xml><?xml version="1.0" encoding="utf-8"?>
<ds:datastoreItem xmlns:ds="http://schemas.openxmlformats.org/officeDocument/2006/customXml" ds:itemID="{4A9DED02-6577-465C-AB5B-E19683FAD444}"/>
</file>

<file path=docProps/app.xml><?xml version="1.0" encoding="utf-8"?>
<Properties xmlns="http://schemas.openxmlformats.org/officeDocument/2006/extended-properties" xmlns:vt="http://schemas.openxmlformats.org/officeDocument/2006/docPropsVTypes">
  <Template>Normal.dotm</Template>
  <TotalTime>0</TotalTime>
  <Pages>6</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2019-05-21T03:52:00Z</dcterms:created>
  <dcterms:modified xsi:type="dcterms:W3CDTF">2019-05-21T03:52:00Z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90802c35-65fd-4f18-b918-9234705e4a9d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1238800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