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87E7A" w14:textId="2F15FC95" w:rsidR="00750EA4" w:rsidRPr="00E22B40" w:rsidRDefault="00750EA4" w:rsidP="00A92377">
      <w:pPr>
        <w:widowControl w:val="0"/>
        <w:autoSpaceDE w:val="0"/>
        <w:autoSpaceDN w:val="0"/>
        <w:adjustRightInd w:val="0"/>
        <w:jc w:val="right"/>
        <w:rPr>
          <w:rFonts w:asciiTheme="minorHAnsi" w:hAnsiTheme="minorHAnsi" w:cs="Arial"/>
        </w:rPr>
      </w:pPr>
    </w:p>
    <w:p w14:paraId="2BD8F9D8" w14:textId="77777777" w:rsidR="00914B6A" w:rsidRPr="00E22B40" w:rsidRDefault="00750EA4">
      <w:pPr>
        <w:rPr>
          <w:rFonts w:asciiTheme="minorHAnsi" w:hAnsiTheme="minorHAnsi" w:cs="Arial"/>
        </w:rPr>
      </w:pPr>
      <w:r w:rsidRPr="00E22B40">
        <w:rPr>
          <w:rFonts w:asciiTheme="minorHAnsi" w:hAnsiTheme="minorHAnsi" w:cs="Arial"/>
        </w:rPr>
        <w:t xml:space="preserve">   </w:t>
      </w:r>
    </w:p>
    <w:p w14:paraId="3DF5A00C" w14:textId="77777777" w:rsidR="00914B6A" w:rsidRPr="00E22B40" w:rsidRDefault="00914B6A" w:rsidP="00914B6A">
      <w:pPr>
        <w:rPr>
          <w:rFonts w:asciiTheme="minorHAnsi" w:hAnsiTheme="minorHAnsi" w:cs="Arial"/>
        </w:rPr>
      </w:pPr>
    </w:p>
    <w:p w14:paraId="1309B844" w14:textId="77777777" w:rsidR="00914B6A" w:rsidRPr="00E22B40" w:rsidRDefault="00914B6A" w:rsidP="00914B6A">
      <w:pPr>
        <w:rPr>
          <w:rFonts w:asciiTheme="minorHAnsi" w:hAnsiTheme="minorHAnsi" w:cs="Arial"/>
        </w:rPr>
      </w:pPr>
    </w:p>
    <w:p w14:paraId="76EEBC40" w14:textId="77777777" w:rsidR="00914B6A" w:rsidRPr="00E22B40" w:rsidRDefault="00914B6A" w:rsidP="00914B6A">
      <w:pPr>
        <w:rPr>
          <w:rFonts w:asciiTheme="minorHAnsi" w:hAnsiTheme="minorHAnsi" w:cs="Arial"/>
        </w:rPr>
      </w:pPr>
    </w:p>
    <w:p w14:paraId="3FB8E241" w14:textId="77777777" w:rsidR="00914B6A" w:rsidRPr="00E22B40" w:rsidRDefault="00914B6A" w:rsidP="00914B6A">
      <w:pPr>
        <w:rPr>
          <w:rFonts w:asciiTheme="minorHAnsi" w:hAnsiTheme="minorHAnsi" w:cs="Arial"/>
        </w:rPr>
      </w:pPr>
    </w:p>
    <w:p w14:paraId="32CCACF5" w14:textId="77777777" w:rsidR="00914B6A" w:rsidRPr="00E22B40" w:rsidRDefault="00134DDD" w:rsidP="00914B6A">
      <w:pPr>
        <w:rPr>
          <w:rFonts w:asciiTheme="minorHAnsi" w:hAnsiTheme="minorHAnsi" w:cs="Arial"/>
        </w:rPr>
      </w:pPr>
      <w:r w:rsidRPr="00E22B40">
        <w:rPr>
          <w:rFonts w:asciiTheme="minorHAnsi" w:hAnsiTheme="minorHAnsi" w:cs="Arial"/>
          <w:b/>
          <w:noProof/>
          <w:color w:val="CF5D27"/>
          <w:sz w:val="100"/>
          <w:szCs w:val="100"/>
          <w:lang w:val="en-AU" w:eastAsia="en-AU"/>
        </w:rPr>
        <mc:AlternateContent>
          <mc:Choice Requires="wps">
            <w:drawing>
              <wp:anchor distT="0" distB="0" distL="114300" distR="114300" simplePos="0" relativeHeight="251658240" behindDoc="0" locked="0" layoutInCell="1" allowOverlap="0" wp14:anchorId="06B535F6" wp14:editId="70E3D0DE">
                <wp:simplePos x="0" y="0"/>
                <wp:positionH relativeFrom="column">
                  <wp:posOffset>-175895</wp:posOffset>
                </wp:positionH>
                <wp:positionV relativeFrom="paragraph">
                  <wp:posOffset>214630</wp:posOffset>
                </wp:positionV>
                <wp:extent cx="5871845" cy="3729990"/>
                <wp:effectExtent l="0" t="0" r="0" b="381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1845" cy="3729990"/>
                        </a:xfrm>
                        <a:prstGeom prst="rect">
                          <a:avLst/>
                        </a:prstGeom>
                        <a:noFill/>
                        <a:ln w="9525">
                          <a:noFill/>
                          <a:miter lim="800000"/>
                          <a:headEnd/>
                          <a:tailEnd/>
                        </a:ln>
                      </wps:spPr>
                      <wps:txbx>
                        <w:txbxContent>
                          <w:p w14:paraId="7ABAE996" w14:textId="59F37961" w:rsidR="008816CF" w:rsidRPr="00750EA4" w:rsidRDefault="008816CF" w:rsidP="004B5EA6">
                            <w:pPr>
                              <w:tabs>
                                <w:tab w:val="left" w:pos="6063"/>
                              </w:tabs>
                              <w:rPr>
                                <w:b/>
                                <w:color w:val="17365D" w:themeColor="text2" w:themeShade="BF"/>
                                <w:sz w:val="56"/>
                                <w:szCs w:val="56"/>
                              </w:rPr>
                            </w:pPr>
                            <w:r>
                              <w:rPr>
                                <w:b/>
                                <w:color w:val="17365D" w:themeColor="text2" w:themeShade="BF"/>
                                <w:sz w:val="56"/>
                                <w:szCs w:val="56"/>
                              </w:rPr>
                              <w:t xml:space="preserve">Final Report </w:t>
                            </w:r>
                          </w:p>
                          <w:p w14:paraId="6FA01D4C" w14:textId="6FAC52CD" w:rsidR="008816CF" w:rsidRPr="00750EA4" w:rsidRDefault="008816CF" w:rsidP="004B5EA6">
                            <w:pPr>
                              <w:tabs>
                                <w:tab w:val="left" w:pos="6063"/>
                              </w:tabs>
                              <w:rPr>
                                <w:color w:val="17365D" w:themeColor="text2" w:themeShade="BF"/>
                                <w:sz w:val="56"/>
                                <w:szCs w:val="56"/>
                              </w:rPr>
                            </w:pPr>
                            <w:bookmarkStart w:id="0" w:name="_GoBack"/>
                            <w:r>
                              <w:rPr>
                                <w:color w:val="17365D" w:themeColor="text2" w:themeShade="BF"/>
                                <w:sz w:val="56"/>
                                <w:szCs w:val="56"/>
                              </w:rPr>
                              <w:t>Mid - Term Review: Kiribati Facility</w:t>
                            </w:r>
                          </w:p>
                          <w:bookmarkEnd w:id="0"/>
                          <w:p w14:paraId="78C63DC2" w14:textId="77777777" w:rsidR="008816CF" w:rsidRDefault="008816CF" w:rsidP="007D16B2">
                            <w:pPr>
                              <w:tabs>
                                <w:tab w:val="left" w:pos="6063"/>
                              </w:tabs>
                              <w:rPr>
                                <w:color w:val="17365D" w:themeColor="text2" w:themeShade="BF"/>
                                <w:sz w:val="36"/>
                                <w:szCs w:val="36"/>
                              </w:rPr>
                            </w:pPr>
                          </w:p>
                          <w:p w14:paraId="0AB2292A" w14:textId="4C83D66F" w:rsidR="008816CF" w:rsidRPr="00750EA4" w:rsidRDefault="008816CF" w:rsidP="007D16B2">
                            <w:pPr>
                              <w:tabs>
                                <w:tab w:val="left" w:pos="6063"/>
                              </w:tabs>
                              <w:rPr>
                                <w:color w:val="17365D" w:themeColor="text2" w:themeShade="BF"/>
                                <w:sz w:val="36"/>
                                <w:szCs w:val="36"/>
                              </w:rPr>
                            </w:pPr>
                            <w:r>
                              <w:rPr>
                                <w:color w:val="17365D" w:themeColor="text2" w:themeShade="BF"/>
                                <w:sz w:val="36"/>
                                <w:szCs w:val="36"/>
                              </w:rPr>
                              <w:t>Prepared</w:t>
                            </w:r>
                            <w:r w:rsidRPr="00750EA4">
                              <w:rPr>
                                <w:color w:val="17365D" w:themeColor="text2" w:themeShade="BF"/>
                                <w:sz w:val="36"/>
                                <w:szCs w:val="36"/>
                              </w:rPr>
                              <w:t xml:space="preserve"> by </w:t>
                            </w:r>
                          </w:p>
                          <w:p w14:paraId="6CDCE75F" w14:textId="4EA19B3E" w:rsidR="008816CF" w:rsidRDefault="008816CF" w:rsidP="004B5EA6">
                            <w:pPr>
                              <w:tabs>
                                <w:tab w:val="left" w:pos="6063"/>
                              </w:tabs>
                              <w:rPr>
                                <w:b/>
                                <w:color w:val="17365D" w:themeColor="text2" w:themeShade="BF"/>
                                <w:sz w:val="49"/>
                                <w:szCs w:val="49"/>
                              </w:rPr>
                            </w:pPr>
                            <w:r>
                              <w:rPr>
                                <w:b/>
                                <w:color w:val="17365D" w:themeColor="text2" w:themeShade="BF"/>
                                <w:sz w:val="49"/>
                                <w:szCs w:val="49"/>
                              </w:rPr>
                              <w:t>Matthew Smith</w:t>
                            </w:r>
                          </w:p>
                          <w:p w14:paraId="28CD68B9" w14:textId="0318FD1A" w:rsidR="008816CF" w:rsidRDefault="008816CF" w:rsidP="004B5EA6">
                            <w:pPr>
                              <w:tabs>
                                <w:tab w:val="left" w:pos="6063"/>
                              </w:tabs>
                              <w:rPr>
                                <w:b/>
                                <w:color w:val="17365D" w:themeColor="text2" w:themeShade="BF"/>
                                <w:sz w:val="49"/>
                                <w:szCs w:val="49"/>
                              </w:rPr>
                            </w:pPr>
                            <w:r>
                              <w:rPr>
                                <w:b/>
                                <w:color w:val="17365D" w:themeColor="text2" w:themeShade="BF"/>
                                <w:sz w:val="49"/>
                                <w:szCs w:val="49"/>
                              </w:rPr>
                              <w:t>Michael Collins</w:t>
                            </w:r>
                          </w:p>
                          <w:p w14:paraId="70B28BF5" w14:textId="72D89D66" w:rsidR="008816CF" w:rsidRDefault="008816CF" w:rsidP="004B5EA6">
                            <w:pPr>
                              <w:tabs>
                                <w:tab w:val="left" w:pos="6063"/>
                              </w:tabs>
                              <w:rPr>
                                <w:b/>
                                <w:color w:val="17365D" w:themeColor="text2" w:themeShade="BF"/>
                                <w:sz w:val="49"/>
                                <w:szCs w:val="49"/>
                              </w:rPr>
                            </w:pPr>
                            <w:r>
                              <w:rPr>
                                <w:b/>
                                <w:color w:val="17365D" w:themeColor="text2" w:themeShade="BF"/>
                                <w:sz w:val="49"/>
                                <w:szCs w:val="49"/>
                              </w:rPr>
                              <w:t>Claire Harris</w:t>
                            </w:r>
                          </w:p>
                          <w:p w14:paraId="4771BA66" w14:textId="7D4802D5" w:rsidR="008816CF" w:rsidRPr="00750EA4" w:rsidRDefault="008816CF" w:rsidP="004B5EA6">
                            <w:pPr>
                              <w:tabs>
                                <w:tab w:val="left" w:pos="6063"/>
                              </w:tabs>
                              <w:rPr>
                                <w:color w:val="17365D" w:themeColor="text2" w:themeShade="BF"/>
                                <w:sz w:val="49"/>
                                <w:szCs w:val="4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B535F6" id="_x0000_t202" coordsize="21600,21600" o:spt="202" path="m,l,21600r21600,l21600,xe">
                <v:stroke joinstyle="miter"/>
                <v:path gradientshapeok="t" o:connecttype="rect"/>
              </v:shapetype>
              <v:shape id="Text Box 2" o:spid="_x0000_s1026" type="#_x0000_t202" style="position:absolute;margin-left:-13.85pt;margin-top:16.9pt;width:462.35pt;height:29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" o:allowoverlap="f" filled="f" stroked="f">
                <v:textbox>
                  <w:txbxContent>
                    <w:p w14:paraId="7ABAE996" w14:textId="59F37961" w:rsidR="008816CF" w:rsidRPr="00750EA4" w:rsidRDefault="008816CF" w:rsidP="004B5EA6">
                      <w:pPr>
                        <w:tabs>
                          <w:tab w:val="left" w:pos="6063"/>
                        </w:tabs>
                        <w:rPr>
                          <w:b/>
                          <w:color w:val="17365D" w:themeColor="text2" w:themeShade="BF"/>
                          <w:sz w:val="56"/>
                          <w:szCs w:val="56"/>
                        </w:rPr>
                      </w:pPr>
                      <w:r>
                        <w:rPr>
                          <w:b/>
                          <w:color w:val="17365D" w:themeColor="text2" w:themeShade="BF"/>
                          <w:sz w:val="56"/>
                          <w:szCs w:val="56"/>
                        </w:rPr>
                        <w:t xml:space="preserve">Final Report </w:t>
                      </w:r>
                    </w:p>
                    <w:p w14:paraId="6FA01D4C" w14:textId="6FAC52CD" w:rsidR="008816CF" w:rsidRPr="00750EA4" w:rsidRDefault="008816CF" w:rsidP="004B5EA6">
                      <w:pPr>
                        <w:tabs>
                          <w:tab w:val="left" w:pos="6063"/>
                        </w:tabs>
                        <w:rPr>
                          <w:color w:val="17365D" w:themeColor="text2" w:themeShade="BF"/>
                          <w:sz w:val="56"/>
                          <w:szCs w:val="56"/>
                        </w:rPr>
                      </w:pPr>
                      <w:r>
                        <w:rPr>
                          <w:color w:val="17365D" w:themeColor="text2" w:themeShade="BF"/>
                          <w:sz w:val="56"/>
                          <w:szCs w:val="56"/>
                        </w:rPr>
                        <w:t>Mid - Term Review: Kiribati Facility</w:t>
                      </w:r>
                    </w:p>
                    <w:p w14:paraId="78C63DC2" w14:textId="77777777" w:rsidR="008816CF" w:rsidRDefault="008816CF" w:rsidP="007D16B2">
                      <w:pPr>
                        <w:tabs>
                          <w:tab w:val="left" w:pos="6063"/>
                        </w:tabs>
                        <w:rPr>
                          <w:color w:val="17365D" w:themeColor="text2" w:themeShade="BF"/>
                          <w:sz w:val="36"/>
                          <w:szCs w:val="36"/>
                        </w:rPr>
                      </w:pPr>
                    </w:p>
                    <w:p w14:paraId="0AB2292A" w14:textId="4C83D66F" w:rsidR="008816CF" w:rsidRPr="00750EA4" w:rsidRDefault="008816CF" w:rsidP="007D16B2">
                      <w:pPr>
                        <w:tabs>
                          <w:tab w:val="left" w:pos="6063"/>
                        </w:tabs>
                        <w:rPr>
                          <w:color w:val="17365D" w:themeColor="text2" w:themeShade="BF"/>
                          <w:sz w:val="36"/>
                          <w:szCs w:val="36"/>
                        </w:rPr>
                      </w:pPr>
                      <w:r>
                        <w:rPr>
                          <w:color w:val="17365D" w:themeColor="text2" w:themeShade="BF"/>
                          <w:sz w:val="36"/>
                          <w:szCs w:val="36"/>
                        </w:rPr>
                        <w:t>Prepared</w:t>
                      </w:r>
                      <w:r w:rsidRPr="00750EA4">
                        <w:rPr>
                          <w:color w:val="17365D" w:themeColor="text2" w:themeShade="BF"/>
                          <w:sz w:val="36"/>
                          <w:szCs w:val="36"/>
                        </w:rPr>
                        <w:t xml:space="preserve"> by </w:t>
                      </w:r>
                    </w:p>
                    <w:p w14:paraId="6CDCE75F" w14:textId="4EA19B3E" w:rsidR="008816CF" w:rsidRDefault="008816CF" w:rsidP="004B5EA6">
                      <w:pPr>
                        <w:tabs>
                          <w:tab w:val="left" w:pos="6063"/>
                        </w:tabs>
                        <w:rPr>
                          <w:b/>
                          <w:color w:val="17365D" w:themeColor="text2" w:themeShade="BF"/>
                          <w:sz w:val="49"/>
                          <w:szCs w:val="49"/>
                        </w:rPr>
                      </w:pPr>
                      <w:r>
                        <w:rPr>
                          <w:b/>
                          <w:color w:val="17365D" w:themeColor="text2" w:themeShade="BF"/>
                          <w:sz w:val="49"/>
                          <w:szCs w:val="49"/>
                        </w:rPr>
                        <w:t>Matthew Smith</w:t>
                      </w:r>
                    </w:p>
                    <w:p w14:paraId="28CD68B9" w14:textId="0318FD1A" w:rsidR="008816CF" w:rsidRDefault="008816CF" w:rsidP="004B5EA6">
                      <w:pPr>
                        <w:tabs>
                          <w:tab w:val="left" w:pos="6063"/>
                        </w:tabs>
                        <w:rPr>
                          <w:b/>
                          <w:color w:val="17365D" w:themeColor="text2" w:themeShade="BF"/>
                          <w:sz w:val="49"/>
                          <w:szCs w:val="49"/>
                        </w:rPr>
                      </w:pPr>
                      <w:r>
                        <w:rPr>
                          <w:b/>
                          <w:color w:val="17365D" w:themeColor="text2" w:themeShade="BF"/>
                          <w:sz w:val="49"/>
                          <w:szCs w:val="49"/>
                        </w:rPr>
                        <w:t>Michael Collins</w:t>
                      </w:r>
                    </w:p>
                    <w:p w14:paraId="70B28BF5" w14:textId="72D89D66" w:rsidR="008816CF" w:rsidRDefault="008816CF" w:rsidP="004B5EA6">
                      <w:pPr>
                        <w:tabs>
                          <w:tab w:val="left" w:pos="6063"/>
                        </w:tabs>
                        <w:rPr>
                          <w:b/>
                          <w:color w:val="17365D" w:themeColor="text2" w:themeShade="BF"/>
                          <w:sz w:val="49"/>
                          <w:szCs w:val="49"/>
                        </w:rPr>
                      </w:pPr>
                      <w:r>
                        <w:rPr>
                          <w:b/>
                          <w:color w:val="17365D" w:themeColor="text2" w:themeShade="BF"/>
                          <w:sz w:val="49"/>
                          <w:szCs w:val="49"/>
                        </w:rPr>
                        <w:t>Claire Harris</w:t>
                      </w:r>
                    </w:p>
                    <w:p w14:paraId="4771BA66" w14:textId="7D4802D5" w:rsidR="008816CF" w:rsidRPr="00750EA4" w:rsidRDefault="008816CF" w:rsidP="004B5EA6">
                      <w:pPr>
                        <w:tabs>
                          <w:tab w:val="left" w:pos="6063"/>
                        </w:tabs>
                        <w:rPr>
                          <w:color w:val="17365D" w:themeColor="text2" w:themeShade="BF"/>
                          <w:sz w:val="49"/>
                          <w:szCs w:val="49"/>
                        </w:rPr>
                      </w:pPr>
                    </w:p>
                  </w:txbxContent>
                </v:textbox>
                <w10:wrap type="topAndBottom"/>
              </v:shape>
            </w:pict>
          </mc:Fallback>
        </mc:AlternateContent>
      </w:r>
    </w:p>
    <w:p w14:paraId="71140892" w14:textId="14FC6B7A" w:rsidR="004B5EA6" w:rsidRPr="00E22B40" w:rsidRDefault="004B5EA6">
      <w:pPr>
        <w:rPr>
          <w:rFonts w:asciiTheme="minorHAnsi" w:hAnsiTheme="minorHAnsi" w:cs="Arial"/>
          <w:color w:val="CF5D27"/>
        </w:rPr>
      </w:pPr>
    </w:p>
    <w:p w14:paraId="7C3DC1EF" w14:textId="77777777" w:rsidR="000F39B9" w:rsidRPr="00E22B40" w:rsidRDefault="000F39B9" w:rsidP="008C1B22">
      <w:pPr>
        <w:jc w:val="right"/>
        <w:rPr>
          <w:rFonts w:asciiTheme="minorHAnsi" w:hAnsiTheme="minorHAnsi" w:cs="Arial"/>
          <w:b/>
        </w:rPr>
      </w:pPr>
    </w:p>
    <w:p w14:paraId="6845DB11" w14:textId="77777777" w:rsidR="000F39B9" w:rsidRPr="00E22B40" w:rsidRDefault="000F39B9" w:rsidP="008C1B22">
      <w:pPr>
        <w:jc w:val="right"/>
        <w:rPr>
          <w:rFonts w:asciiTheme="minorHAnsi" w:hAnsiTheme="minorHAnsi" w:cs="Arial"/>
          <w:b/>
        </w:rPr>
      </w:pPr>
    </w:p>
    <w:p w14:paraId="5AF21515" w14:textId="77777777" w:rsidR="000F39B9" w:rsidRPr="00E22B40" w:rsidRDefault="000F39B9" w:rsidP="008C1B22">
      <w:pPr>
        <w:jc w:val="right"/>
        <w:rPr>
          <w:rFonts w:asciiTheme="minorHAnsi" w:hAnsiTheme="minorHAnsi" w:cs="Arial"/>
          <w:b/>
        </w:rPr>
      </w:pPr>
    </w:p>
    <w:p w14:paraId="141FB4C7" w14:textId="77777777" w:rsidR="000F39B9" w:rsidRPr="00E22B40" w:rsidRDefault="000F39B9" w:rsidP="008C1B22">
      <w:pPr>
        <w:jc w:val="right"/>
        <w:rPr>
          <w:rFonts w:asciiTheme="minorHAnsi" w:hAnsiTheme="minorHAnsi" w:cs="Arial"/>
          <w:b/>
        </w:rPr>
      </w:pPr>
    </w:p>
    <w:p w14:paraId="2899B384" w14:textId="4BA3F3C3" w:rsidR="00827746" w:rsidRPr="00E22B40" w:rsidRDefault="002B4D47" w:rsidP="000F39B9">
      <w:pPr>
        <w:tabs>
          <w:tab w:val="left" w:pos="6063"/>
        </w:tabs>
        <w:rPr>
          <w:rFonts w:asciiTheme="minorHAnsi" w:hAnsiTheme="minorHAnsi" w:cs="Arial"/>
          <w:color w:val="17365D" w:themeColor="text2" w:themeShade="BF"/>
          <w:sz w:val="36"/>
          <w:szCs w:val="36"/>
        </w:rPr>
      </w:pPr>
      <w:r>
        <w:rPr>
          <w:rFonts w:asciiTheme="minorHAnsi" w:hAnsiTheme="minorHAnsi" w:cs="Arial"/>
          <w:color w:val="17365D" w:themeColor="text2" w:themeShade="BF"/>
          <w:sz w:val="36"/>
          <w:szCs w:val="36"/>
        </w:rPr>
        <w:t>4</w:t>
      </w:r>
      <w:r w:rsidR="00156076">
        <w:rPr>
          <w:rFonts w:asciiTheme="minorHAnsi" w:hAnsiTheme="minorHAnsi" w:cs="Arial"/>
          <w:color w:val="17365D" w:themeColor="text2" w:themeShade="BF"/>
          <w:sz w:val="36"/>
          <w:szCs w:val="36"/>
        </w:rPr>
        <w:t xml:space="preserve"> October</w:t>
      </w:r>
      <w:r w:rsidR="00607937" w:rsidRPr="00E22B40">
        <w:rPr>
          <w:rFonts w:asciiTheme="minorHAnsi" w:hAnsiTheme="minorHAnsi" w:cs="Arial"/>
          <w:color w:val="17365D" w:themeColor="text2" w:themeShade="BF"/>
          <w:sz w:val="36"/>
          <w:szCs w:val="36"/>
        </w:rPr>
        <w:t xml:space="preserve"> 201</w:t>
      </w:r>
      <w:r w:rsidR="00A17633" w:rsidRPr="00E22B40">
        <w:rPr>
          <w:rFonts w:asciiTheme="minorHAnsi" w:hAnsiTheme="minorHAnsi" w:cs="Arial"/>
          <w:color w:val="17365D" w:themeColor="text2" w:themeShade="BF"/>
          <w:sz w:val="36"/>
          <w:szCs w:val="36"/>
        </w:rPr>
        <w:t>9</w:t>
      </w:r>
    </w:p>
    <w:p w14:paraId="469DF036" w14:textId="77777777" w:rsidR="00931739" w:rsidRPr="00E22B40" w:rsidRDefault="00931739">
      <w:pPr>
        <w:rPr>
          <w:rFonts w:asciiTheme="minorHAnsi" w:hAnsiTheme="minorHAnsi" w:cs="Arial"/>
          <w:b/>
          <w:smallCaps/>
          <w:color w:val="CF5D27"/>
          <w:sz w:val="60"/>
          <w:szCs w:val="60"/>
        </w:rPr>
      </w:pPr>
      <w:r w:rsidRPr="00E22B40">
        <w:rPr>
          <w:rFonts w:asciiTheme="minorHAnsi" w:hAnsiTheme="minorHAnsi" w:cs="Arial"/>
        </w:rPr>
        <w:br w:type="page"/>
      </w:r>
    </w:p>
    <w:p w14:paraId="4E4BA142" w14:textId="77777777" w:rsidR="00931739" w:rsidRPr="00E22B40" w:rsidRDefault="00931739" w:rsidP="00931739">
      <w:pPr>
        <w:pStyle w:val="SDAHeading1"/>
        <w:rPr>
          <w:rFonts w:cs="Arial"/>
        </w:rPr>
      </w:pPr>
      <w:bookmarkStart w:id="1" w:name="_Toc465077298"/>
      <w:bookmarkStart w:id="2" w:name="_Toc8623392"/>
      <w:r w:rsidRPr="00E22B40">
        <w:rPr>
          <w:rFonts w:cs="Arial"/>
        </w:rPr>
        <w:lastRenderedPageBreak/>
        <w:t>List of Acronyms</w:t>
      </w:r>
      <w:bookmarkEnd w:id="1"/>
      <w:bookmarkEnd w:id="2"/>
    </w:p>
    <w:p w14:paraId="4676302D" w14:textId="77777777" w:rsidR="00931739" w:rsidRPr="00E22B40" w:rsidRDefault="00931739" w:rsidP="00931739">
      <w:pPr>
        <w:rPr>
          <w:rFonts w:asciiTheme="minorHAnsi" w:hAnsiTheme="minorHAnsi" w:cs="Arial"/>
        </w:rPr>
      </w:pPr>
    </w:p>
    <w:tbl>
      <w:tblPr>
        <w:tblStyle w:val="TableGrid"/>
        <w:tblW w:w="0" w:type="auto"/>
        <w:tblLook w:val="04A0" w:firstRow="1" w:lastRow="0" w:firstColumn="1" w:lastColumn="0" w:noHBand="0" w:noVBand="1"/>
      </w:tblPr>
      <w:tblGrid>
        <w:gridCol w:w="1639"/>
        <w:gridCol w:w="7377"/>
      </w:tblGrid>
      <w:tr w:rsidR="00931739" w:rsidRPr="00E22B40" w14:paraId="065E2CE5" w14:textId="77777777" w:rsidTr="006645C1">
        <w:tc>
          <w:tcPr>
            <w:tcW w:w="1639" w:type="dxa"/>
          </w:tcPr>
          <w:p w14:paraId="3F2307F6" w14:textId="22F478FD" w:rsidR="00931739" w:rsidRPr="00E22B40" w:rsidRDefault="00A03157" w:rsidP="00F2356D">
            <w:pPr>
              <w:rPr>
                <w:rFonts w:asciiTheme="minorHAnsi" w:hAnsiTheme="minorHAnsi" w:cs="Arial"/>
                <w:sz w:val="22"/>
                <w:szCs w:val="22"/>
              </w:rPr>
            </w:pPr>
            <w:r w:rsidRPr="00E22B40">
              <w:rPr>
                <w:rFonts w:asciiTheme="minorHAnsi" w:hAnsiTheme="minorHAnsi" w:cs="Arial"/>
                <w:sz w:val="22"/>
                <w:szCs w:val="22"/>
              </w:rPr>
              <w:t>APTC</w:t>
            </w:r>
          </w:p>
        </w:tc>
        <w:tc>
          <w:tcPr>
            <w:tcW w:w="7377" w:type="dxa"/>
          </w:tcPr>
          <w:p w14:paraId="3DF54B7F" w14:textId="4D252F25" w:rsidR="00931739" w:rsidRPr="00E22B40" w:rsidRDefault="00A03157" w:rsidP="00F2356D">
            <w:pPr>
              <w:rPr>
                <w:rFonts w:asciiTheme="minorHAnsi" w:hAnsiTheme="minorHAnsi" w:cs="Arial"/>
                <w:sz w:val="22"/>
                <w:szCs w:val="22"/>
              </w:rPr>
            </w:pPr>
            <w:r w:rsidRPr="00E22B40">
              <w:rPr>
                <w:rFonts w:asciiTheme="minorHAnsi" w:hAnsiTheme="minorHAnsi" w:cs="Arial"/>
                <w:sz w:val="22"/>
                <w:szCs w:val="22"/>
              </w:rPr>
              <w:t>Australia Pacific Training Coalition</w:t>
            </w:r>
          </w:p>
        </w:tc>
      </w:tr>
      <w:tr w:rsidR="00A03157" w:rsidRPr="00E22B40" w14:paraId="510BC7BD" w14:textId="77777777" w:rsidTr="006645C1">
        <w:tc>
          <w:tcPr>
            <w:tcW w:w="1639" w:type="dxa"/>
          </w:tcPr>
          <w:p w14:paraId="503369FE" w14:textId="63D4FE19" w:rsidR="00A03157" w:rsidRPr="00E22B40" w:rsidRDefault="00A03157" w:rsidP="00F2356D">
            <w:pPr>
              <w:rPr>
                <w:rFonts w:asciiTheme="minorHAnsi" w:hAnsiTheme="minorHAnsi" w:cs="Arial"/>
                <w:sz w:val="22"/>
                <w:szCs w:val="22"/>
              </w:rPr>
            </w:pPr>
            <w:r w:rsidRPr="00E22B40">
              <w:rPr>
                <w:rFonts w:asciiTheme="minorHAnsi" w:hAnsiTheme="minorHAnsi" w:cs="Arial"/>
                <w:sz w:val="22"/>
                <w:szCs w:val="22"/>
              </w:rPr>
              <w:t>AQC</w:t>
            </w:r>
          </w:p>
        </w:tc>
        <w:tc>
          <w:tcPr>
            <w:tcW w:w="7377" w:type="dxa"/>
          </w:tcPr>
          <w:p w14:paraId="5F761B8D" w14:textId="55097C16" w:rsidR="00A03157" w:rsidRPr="00E22B40" w:rsidRDefault="00A03157" w:rsidP="00F2356D">
            <w:pPr>
              <w:rPr>
                <w:rFonts w:asciiTheme="minorHAnsi" w:hAnsiTheme="minorHAnsi" w:cs="Arial"/>
                <w:sz w:val="22"/>
                <w:szCs w:val="22"/>
              </w:rPr>
            </w:pPr>
            <w:r w:rsidRPr="00E22B40">
              <w:rPr>
                <w:rFonts w:asciiTheme="minorHAnsi" w:hAnsiTheme="minorHAnsi" w:cs="Arial"/>
                <w:sz w:val="22"/>
                <w:szCs w:val="22"/>
              </w:rPr>
              <w:t>Annual Quality Checks</w:t>
            </w:r>
          </w:p>
        </w:tc>
      </w:tr>
      <w:tr w:rsidR="00931739" w:rsidRPr="00E22B40" w14:paraId="723B00B8" w14:textId="77777777" w:rsidTr="006645C1">
        <w:tc>
          <w:tcPr>
            <w:tcW w:w="1639" w:type="dxa"/>
          </w:tcPr>
          <w:p w14:paraId="65ECF3ED" w14:textId="77777777" w:rsidR="00931739" w:rsidRPr="00E22B40" w:rsidRDefault="00931739" w:rsidP="00F2356D">
            <w:pPr>
              <w:rPr>
                <w:rFonts w:asciiTheme="minorHAnsi" w:hAnsiTheme="minorHAnsi" w:cs="Arial"/>
                <w:sz w:val="22"/>
                <w:szCs w:val="22"/>
              </w:rPr>
            </w:pPr>
            <w:r w:rsidRPr="00E22B40">
              <w:rPr>
                <w:rFonts w:asciiTheme="minorHAnsi" w:hAnsiTheme="minorHAnsi" w:cs="Arial"/>
                <w:sz w:val="22"/>
                <w:szCs w:val="22"/>
              </w:rPr>
              <w:t>DFAT</w:t>
            </w:r>
          </w:p>
        </w:tc>
        <w:tc>
          <w:tcPr>
            <w:tcW w:w="7377" w:type="dxa"/>
          </w:tcPr>
          <w:p w14:paraId="4E56C7C7" w14:textId="77777777" w:rsidR="00931739" w:rsidRPr="00E22B40" w:rsidRDefault="00931739" w:rsidP="00F2356D">
            <w:pPr>
              <w:rPr>
                <w:rFonts w:asciiTheme="minorHAnsi" w:hAnsiTheme="minorHAnsi" w:cs="Arial"/>
                <w:sz w:val="22"/>
                <w:szCs w:val="22"/>
              </w:rPr>
            </w:pPr>
            <w:r w:rsidRPr="00E22B40">
              <w:rPr>
                <w:rFonts w:asciiTheme="minorHAnsi" w:hAnsiTheme="minorHAnsi" w:cs="Arial"/>
                <w:sz w:val="22"/>
                <w:szCs w:val="22"/>
              </w:rPr>
              <w:t>Department of Foreign Affairs and Trade (Australia)</w:t>
            </w:r>
          </w:p>
        </w:tc>
      </w:tr>
      <w:tr w:rsidR="00931739" w:rsidRPr="00E22B40" w14:paraId="106C724C" w14:textId="77777777" w:rsidTr="006645C1">
        <w:tc>
          <w:tcPr>
            <w:tcW w:w="1639" w:type="dxa"/>
          </w:tcPr>
          <w:p w14:paraId="09C40AF0" w14:textId="2308A07E" w:rsidR="00931739" w:rsidRPr="00E22B40" w:rsidRDefault="00931739" w:rsidP="00F2356D">
            <w:pPr>
              <w:rPr>
                <w:rFonts w:asciiTheme="minorHAnsi" w:hAnsiTheme="minorHAnsi" w:cs="Arial"/>
                <w:sz w:val="22"/>
                <w:szCs w:val="22"/>
              </w:rPr>
            </w:pPr>
            <w:r w:rsidRPr="00E22B40">
              <w:rPr>
                <w:rFonts w:asciiTheme="minorHAnsi" w:hAnsiTheme="minorHAnsi" w:cs="Arial"/>
                <w:sz w:val="22"/>
                <w:szCs w:val="22"/>
              </w:rPr>
              <w:t>GoK</w:t>
            </w:r>
          </w:p>
        </w:tc>
        <w:tc>
          <w:tcPr>
            <w:tcW w:w="7377" w:type="dxa"/>
          </w:tcPr>
          <w:p w14:paraId="40E4465F" w14:textId="43F570B5" w:rsidR="00931739" w:rsidRPr="00E22B40" w:rsidRDefault="00931739" w:rsidP="00F2356D">
            <w:pPr>
              <w:rPr>
                <w:rFonts w:asciiTheme="minorHAnsi" w:hAnsiTheme="minorHAnsi" w:cs="Arial"/>
                <w:sz w:val="22"/>
                <w:szCs w:val="22"/>
              </w:rPr>
            </w:pPr>
            <w:r w:rsidRPr="00E22B40">
              <w:rPr>
                <w:rFonts w:asciiTheme="minorHAnsi" w:hAnsiTheme="minorHAnsi" w:cs="Arial"/>
                <w:sz w:val="22"/>
                <w:szCs w:val="22"/>
              </w:rPr>
              <w:t>Government of Kiribati</w:t>
            </w:r>
          </w:p>
        </w:tc>
      </w:tr>
      <w:tr w:rsidR="00931739" w:rsidRPr="00E22B40" w14:paraId="4DA66513" w14:textId="77777777" w:rsidTr="006645C1">
        <w:tc>
          <w:tcPr>
            <w:tcW w:w="1639" w:type="dxa"/>
          </w:tcPr>
          <w:p w14:paraId="5680B0BC" w14:textId="3E0FFBBE" w:rsidR="00931739" w:rsidRPr="00E22B40" w:rsidRDefault="00BA1706" w:rsidP="00F2356D">
            <w:pPr>
              <w:rPr>
                <w:rFonts w:asciiTheme="minorHAnsi" w:hAnsiTheme="minorHAnsi" w:cs="Arial"/>
                <w:sz w:val="22"/>
                <w:szCs w:val="22"/>
              </w:rPr>
            </w:pPr>
            <w:r w:rsidRPr="00E22B40">
              <w:rPr>
                <w:rFonts w:asciiTheme="minorHAnsi" w:hAnsiTheme="minorHAnsi" w:cs="Arial"/>
                <w:sz w:val="22"/>
                <w:szCs w:val="22"/>
              </w:rPr>
              <w:t>FSF</w:t>
            </w:r>
          </w:p>
        </w:tc>
        <w:tc>
          <w:tcPr>
            <w:tcW w:w="7377" w:type="dxa"/>
          </w:tcPr>
          <w:p w14:paraId="2208FB88" w14:textId="7D3F7E81" w:rsidR="00931739" w:rsidRPr="00E22B40" w:rsidRDefault="00BA1706" w:rsidP="00F2356D">
            <w:pPr>
              <w:rPr>
                <w:rFonts w:asciiTheme="minorHAnsi" w:hAnsiTheme="minorHAnsi" w:cs="Arial"/>
                <w:sz w:val="22"/>
                <w:szCs w:val="22"/>
              </w:rPr>
            </w:pPr>
            <w:r w:rsidRPr="00E22B40">
              <w:rPr>
                <w:rFonts w:asciiTheme="minorHAnsi" w:hAnsiTheme="minorHAnsi" w:cs="Arial"/>
                <w:sz w:val="22"/>
                <w:szCs w:val="22"/>
              </w:rPr>
              <w:t>Flexible Support Facility</w:t>
            </w:r>
          </w:p>
        </w:tc>
      </w:tr>
      <w:tr w:rsidR="00931739" w:rsidRPr="00E22B40" w14:paraId="3F7E44BB" w14:textId="77777777" w:rsidTr="006645C1">
        <w:tc>
          <w:tcPr>
            <w:tcW w:w="1639" w:type="dxa"/>
          </w:tcPr>
          <w:p w14:paraId="0ED69F35" w14:textId="6DED919A" w:rsidR="00931739" w:rsidRPr="00E22B40" w:rsidRDefault="00931739" w:rsidP="00F2356D">
            <w:pPr>
              <w:rPr>
                <w:rFonts w:asciiTheme="minorHAnsi" w:hAnsiTheme="minorHAnsi" w:cs="Arial"/>
                <w:sz w:val="22"/>
                <w:szCs w:val="22"/>
              </w:rPr>
            </w:pPr>
            <w:r w:rsidRPr="00E22B40">
              <w:rPr>
                <w:rFonts w:asciiTheme="minorHAnsi" w:hAnsiTheme="minorHAnsi" w:cs="Arial"/>
                <w:sz w:val="22"/>
                <w:szCs w:val="22"/>
              </w:rPr>
              <w:t>KIT</w:t>
            </w:r>
          </w:p>
        </w:tc>
        <w:tc>
          <w:tcPr>
            <w:tcW w:w="7377" w:type="dxa"/>
          </w:tcPr>
          <w:p w14:paraId="5AA67909" w14:textId="2E4CFD3B" w:rsidR="00931739" w:rsidRPr="00E22B40" w:rsidRDefault="00931739" w:rsidP="00F2356D">
            <w:pPr>
              <w:rPr>
                <w:rFonts w:asciiTheme="minorHAnsi" w:hAnsiTheme="minorHAnsi" w:cs="Arial"/>
                <w:sz w:val="22"/>
                <w:szCs w:val="22"/>
              </w:rPr>
            </w:pPr>
            <w:r w:rsidRPr="00E22B40">
              <w:rPr>
                <w:rFonts w:asciiTheme="minorHAnsi" w:hAnsiTheme="minorHAnsi" w:cs="Arial"/>
                <w:sz w:val="22"/>
                <w:szCs w:val="22"/>
              </w:rPr>
              <w:t>Kiribati Institute of Technology</w:t>
            </w:r>
          </w:p>
        </w:tc>
      </w:tr>
      <w:tr w:rsidR="00931739" w:rsidRPr="00E22B40" w14:paraId="7FC9E8D6" w14:textId="77777777" w:rsidTr="006645C1">
        <w:tc>
          <w:tcPr>
            <w:tcW w:w="1639" w:type="dxa"/>
          </w:tcPr>
          <w:p w14:paraId="03806D7C" w14:textId="4D0354D4" w:rsidR="00931739" w:rsidRPr="00E22B40" w:rsidRDefault="00BA1706" w:rsidP="00F2356D">
            <w:pPr>
              <w:rPr>
                <w:rFonts w:asciiTheme="minorHAnsi" w:hAnsiTheme="minorHAnsi" w:cs="Arial"/>
                <w:sz w:val="22"/>
                <w:szCs w:val="22"/>
              </w:rPr>
            </w:pPr>
            <w:r w:rsidRPr="00E22B40">
              <w:rPr>
                <w:rFonts w:asciiTheme="minorHAnsi" w:hAnsiTheme="minorHAnsi" w:cs="Arial"/>
                <w:sz w:val="22"/>
                <w:szCs w:val="22"/>
              </w:rPr>
              <w:t>KV20</w:t>
            </w:r>
          </w:p>
        </w:tc>
        <w:tc>
          <w:tcPr>
            <w:tcW w:w="7377" w:type="dxa"/>
          </w:tcPr>
          <w:p w14:paraId="70F4F0E1" w14:textId="54AC85D7" w:rsidR="00931739" w:rsidRPr="00E22B40" w:rsidRDefault="00BA1706" w:rsidP="00F2356D">
            <w:pPr>
              <w:rPr>
                <w:rFonts w:asciiTheme="minorHAnsi" w:hAnsiTheme="minorHAnsi" w:cs="Arial"/>
                <w:sz w:val="22"/>
                <w:szCs w:val="22"/>
              </w:rPr>
            </w:pPr>
            <w:r w:rsidRPr="00E22B40">
              <w:rPr>
                <w:rFonts w:asciiTheme="minorHAnsi" w:hAnsiTheme="minorHAnsi" w:cs="Arial"/>
                <w:sz w:val="22"/>
                <w:szCs w:val="22"/>
              </w:rPr>
              <w:t>Kiribati 20 Year Vision</w:t>
            </w:r>
          </w:p>
        </w:tc>
      </w:tr>
      <w:tr w:rsidR="00931739" w:rsidRPr="00E22B40" w14:paraId="567FEB1D" w14:textId="77777777" w:rsidTr="006645C1">
        <w:tc>
          <w:tcPr>
            <w:tcW w:w="1639" w:type="dxa"/>
          </w:tcPr>
          <w:p w14:paraId="003C53D9" w14:textId="25078E96" w:rsidR="00931739" w:rsidRPr="00E22B40" w:rsidRDefault="00931739" w:rsidP="00F2356D">
            <w:pPr>
              <w:rPr>
                <w:rFonts w:asciiTheme="minorHAnsi" w:hAnsiTheme="minorHAnsi" w:cs="Arial"/>
                <w:sz w:val="22"/>
                <w:szCs w:val="22"/>
              </w:rPr>
            </w:pPr>
            <w:r w:rsidRPr="00E22B40">
              <w:rPr>
                <w:rFonts w:asciiTheme="minorHAnsi" w:hAnsiTheme="minorHAnsi" w:cs="Arial"/>
                <w:sz w:val="22"/>
                <w:szCs w:val="22"/>
              </w:rPr>
              <w:t>M&amp;E</w:t>
            </w:r>
          </w:p>
        </w:tc>
        <w:tc>
          <w:tcPr>
            <w:tcW w:w="7377" w:type="dxa"/>
          </w:tcPr>
          <w:p w14:paraId="25695F76" w14:textId="1F272281" w:rsidR="00931739" w:rsidRPr="00E22B40" w:rsidRDefault="00931739" w:rsidP="00F2356D">
            <w:pPr>
              <w:rPr>
                <w:rFonts w:asciiTheme="minorHAnsi" w:hAnsiTheme="minorHAnsi" w:cs="Arial"/>
                <w:sz w:val="22"/>
                <w:szCs w:val="22"/>
              </w:rPr>
            </w:pPr>
            <w:r w:rsidRPr="00E22B40">
              <w:rPr>
                <w:rFonts w:asciiTheme="minorHAnsi" w:hAnsiTheme="minorHAnsi" w:cs="Arial"/>
                <w:sz w:val="22"/>
                <w:szCs w:val="22"/>
              </w:rPr>
              <w:t>Monitoring and Evaluation</w:t>
            </w:r>
          </w:p>
        </w:tc>
      </w:tr>
      <w:tr w:rsidR="00931739" w:rsidRPr="00E22B40" w14:paraId="4C2500F0" w14:textId="77777777" w:rsidTr="006645C1">
        <w:tc>
          <w:tcPr>
            <w:tcW w:w="1639" w:type="dxa"/>
          </w:tcPr>
          <w:p w14:paraId="046B9713" w14:textId="3B09C6D3" w:rsidR="00931739" w:rsidRPr="00E22B40" w:rsidRDefault="00BA1706" w:rsidP="00F2356D">
            <w:pPr>
              <w:rPr>
                <w:rFonts w:asciiTheme="minorHAnsi" w:hAnsiTheme="minorHAnsi" w:cs="Arial"/>
                <w:sz w:val="22"/>
                <w:szCs w:val="22"/>
              </w:rPr>
            </w:pPr>
            <w:r w:rsidRPr="00E22B40">
              <w:rPr>
                <w:rFonts w:asciiTheme="minorHAnsi" w:hAnsiTheme="minorHAnsi" w:cs="Arial"/>
                <w:sz w:val="22"/>
                <w:szCs w:val="22"/>
              </w:rPr>
              <w:t>MEHR</w:t>
            </w:r>
          </w:p>
        </w:tc>
        <w:tc>
          <w:tcPr>
            <w:tcW w:w="7377" w:type="dxa"/>
          </w:tcPr>
          <w:p w14:paraId="2E8F57B8" w14:textId="461C5B14" w:rsidR="00931739" w:rsidRPr="00E22B40" w:rsidRDefault="00BA1706" w:rsidP="00F2356D">
            <w:pPr>
              <w:rPr>
                <w:rFonts w:asciiTheme="minorHAnsi" w:hAnsiTheme="minorHAnsi" w:cs="Arial"/>
                <w:sz w:val="22"/>
                <w:szCs w:val="22"/>
              </w:rPr>
            </w:pPr>
            <w:r w:rsidRPr="00E22B40">
              <w:rPr>
                <w:rFonts w:asciiTheme="minorHAnsi" w:hAnsiTheme="minorHAnsi" w:cs="Arial"/>
                <w:sz w:val="22"/>
                <w:szCs w:val="22"/>
              </w:rPr>
              <w:t>Ministry of Employment and Human Resources</w:t>
            </w:r>
          </w:p>
        </w:tc>
      </w:tr>
      <w:tr w:rsidR="0057796C" w:rsidRPr="00E22B40" w14:paraId="4D7A345F" w14:textId="77777777" w:rsidTr="003D7C3C">
        <w:tc>
          <w:tcPr>
            <w:tcW w:w="1639" w:type="dxa"/>
          </w:tcPr>
          <w:p w14:paraId="271A2674" w14:textId="139F1425" w:rsidR="0057796C" w:rsidRPr="00E22B40" w:rsidRDefault="0057796C" w:rsidP="00F2356D">
            <w:pPr>
              <w:rPr>
                <w:rFonts w:asciiTheme="minorHAnsi" w:hAnsiTheme="minorHAnsi" w:cs="Arial"/>
                <w:sz w:val="22"/>
                <w:szCs w:val="22"/>
              </w:rPr>
            </w:pPr>
            <w:r w:rsidRPr="00E22B40">
              <w:rPr>
                <w:rFonts w:asciiTheme="minorHAnsi" w:hAnsiTheme="minorHAnsi" w:cs="Arial"/>
                <w:sz w:val="22"/>
                <w:szCs w:val="22"/>
              </w:rPr>
              <w:t>MTC</w:t>
            </w:r>
          </w:p>
        </w:tc>
        <w:tc>
          <w:tcPr>
            <w:tcW w:w="7377" w:type="dxa"/>
          </w:tcPr>
          <w:p w14:paraId="314209AE" w14:textId="4E59B66D" w:rsidR="0057796C" w:rsidRPr="00E22B40" w:rsidRDefault="0057796C" w:rsidP="00F2356D">
            <w:pPr>
              <w:rPr>
                <w:rFonts w:asciiTheme="minorHAnsi" w:hAnsiTheme="minorHAnsi" w:cs="Arial"/>
                <w:sz w:val="22"/>
                <w:szCs w:val="22"/>
              </w:rPr>
            </w:pPr>
            <w:r w:rsidRPr="00E22B40">
              <w:rPr>
                <w:rFonts w:asciiTheme="minorHAnsi" w:hAnsiTheme="minorHAnsi" w:cs="Arial"/>
                <w:sz w:val="22"/>
                <w:szCs w:val="22"/>
              </w:rPr>
              <w:t>Marine Training Centre</w:t>
            </w:r>
          </w:p>
        </w:tc>
      </w:tr>
      <w:tr w:rsidR="00690C24" w:rsidRPr="00E22B40" w14:paraId="398543D3" w14:textId="77777777" w:rsidTr="003D7C3C">
        <w:tc>
          <w:tcPr>
            <w:tcW w:w="1639" w:type="dxa"/>
          </w:tcPr>
          <w:p w14:paraId="5C07409D" w14:textId="55F2B95C" w:rsidR="00690C24" w:rsidRPr="00E22B40" w:rsidRDefault="00690C24" w:rsidP="00F2356D">
            <w:pPr>
              <w:rPr>
                <w:rFonts w:asciiTheme="minorHAnsi" w:hAnsiTheme="minorHAnsi" w:cs="Arial"/>
                <w:sz w:val="22"/>
                <w:szCs w:val="22"/>
              </w:rPr>
            </w:pPr>
            <w:r w:rsidRPr="00E22B40">
              <w:rPr>
                <w:rFonts w:asciiTheme="minorHAnsi" w:hAnsiTheme="minorHAnsi" w:cs="Arial"/>
                <w:sz w:val="22"/>
                <w:szCs w:val="22"/>
              </w:rPr>
              <w:t>MoH</w:t>
            </w:r>
          </w:p>
        </w:tc>
        <w:tc>
          <w:tcPr>
            <w:tcW w:w="7377" w:type="dxa"/>
          </w:tcPr>
          <w:p w14:paraId="1D46A06D" w14:textId="49B791B2" w:rsidR="00690C24" w:rsidRPr="00E22B40" w:rsidRDefault="00690C24" w:rsidP="00F2356D">
            <w:pPr>
              <w:rPr>
                <w:rFonts w:asciiTheme="minorHAnsi" w:hAnsiTheme="minorHAnsi" w:cs="Arial"/>
                <w:sz w:val="22"/>
                <w:szCs w:val="22"/>
              </w:rPr>
            </w:pPr>
            <w:r w:rsidRPr="00E22B40">
              <w:rPr>
                <w:rFonts w:asciiTheme="minorHAnsi" w:hAnsiTheme="minorHAnsi" w:cs="Arial"/>
                <w:sz w:val="22"/>
                <w:szCs w:val="22"/>
              </w:rPr>
              <w:t>Ministry of Health</w:t>
            </w:r>
          </w:p>
        </w:tc>
      </w:tr>
      <w:tr w:rsidR="00155EAD" w:rsidRPr="00E22B40" w14:paraId="74DE7CD3" w14:textId="77777777" w:rsidTr="003D7C3C">
        <w:tc>
          <w:tcPr>
            <w:tcW w:w="1639" w:type="dxa"/>
          </w:tcPr>
          <w:p w14:paraId="364B51B0" w14:textId="6F973228" w:rsidR="00155EAD" w:rsidRPr="00E22B40" w:rsidRDefault="00155EAD" w:rsidP="00F2356D">
            <w:pPr>
              <w:rPr>
                <w:rFonts w:asciiTheme="minorHAnsi" w:hAnsiTheme="minorHAnsi" w:cs="Arial"/>
                <w:sz w:val="22"/>
                <w:szCs w:val="22"/>
              </w:rPr>
            </w:pPr>
            <w:r w:rsidRPr="00155EAD">
              <w:rPr>
                <w:rFonts w:asciiTheme="minorHAnsi" w:hAnsiTheme="minorHAnsi" w:cs="Arial"/>
                <w:sz w:val="22"/>
                <w:szCs w:val="22"/>
              </w:rPr>
              <w:t>NAWPP</w:t>
            </w:r>
          </w:p>
        </w:tc>
        <w:tc>
          <w:tcPr>
            <w:tcW w:w="7377" w:type="dxa"/>
          </w:tcPr>
          <w:p w14:paraId="0289A07D" w14:textId="07059C73" w:rsidR="00155EAD" w:rsidRPr="00E22B40" w:rsidRDefault="00155EAD" w:rsidP="00F2356D">
            <w:pPr>
              <w:rPr>
                <w:rFonts w:asciiTheme="minorHAnsi" w:hAnsiTheme="minorHAnsi" w:cs="Arial"/>
                <w:sz w:val="22"/>
                <w:szCs w:val="22"/>
              </w:rPr>
            </w:pPr>
            <w:r w:rsidRPr="00155EAD">
              <w:rPr>
                <w:rFonts w:asciiTheme="minorHAnsi" w:hAnsiTheme="minorHAnsi" w:cs="Arial"/>
                <w:sz w:val="22"/>
                <w:szCs w:val="22"/>
              </w:rPr>
              <w:t>Northern Australian Worker Pilot Program</w:t>
            </w:r>
          </w:p>
        </w:tc>
      </w:tr>
      <w:tr w:rsidR="0057796C" w:rsidRPr="00E22B40" w14:paraId="5BFFCD47" w14:textId="77777777" w:rsidTr="003D7C3C">
        <w:tc>
          <w:tcPr>
            <w:tcW w:w="1639" w:type="dxa"/>
          </w:tcPr>
          <w:p w14:paraId="206F727A" w14:textId="5C9C0FF0" w:rsidR="0057796C" w:rsidRPr="00E22B40" w:rsidRDefault="0057796C" w:rsidP="00F2356D">
            <w:pPr>
              <w:rPr>
                <w:rFonts w:asciiTheme="minorHAnsi" w:hAnsiTheme="minorHAnsi" w:cs="Arial"/>
                <w:sz w:val="22"/>
                <w:szCs w:val="22"/>
              </w:rPr>
            </w:pPr>
            <w:r w:rsidRPr="00E22B40">
              <w:rPr>
                <w:rFonts w:asciiTheme="minorHAnsi" w:hAnsiTheme="minorHAnsi" w:cs="Arial"/>
                <w:sz w:val="22"/>
                <w:szCs w:val="22"/>
              </w:rPr>
              <w:t>NZ MFAT</w:t>
            </w:r>
          </w:p>
        </w:tc>
        <w:tc>
          <w:tcPr>
            <w:tcW w:w="7377" w:type="dxa"/>
          </w:tcPr>
          <w:p w14:paraId="6E876A24" w14:textId="2F359D03" w:rsidR="0057796C" w:rsidRPr="00E22B40" w:rsidRDefault="0057796C" w:rsidP="00F2356D">
            <w:pPr>
              <w:rPr>
                <w:rFonts w:asciiTheme="minorHAnsi" w:hAnsiTheme="minorHAnsi" w:cs="Arial"/>
                <w:sz w:val="22"/>
                <w:szCs w:val="22"/>
              </w:rPr>
            </w:pPr>
            <w:r w:rsidRPr="00E22B40">
              <w:rPr>
                <w:rFonts w:asciiTheme="minorHAnsi" w:hAnsiTheme="minorHAnsi" w:cs="Arial"/>
                <w:sz w:val="22"/>
                <w:szCs w:val="22"/>
              </w:rPr>
              <w:t>New Zealand Ministry of Foreign Affairs and Trade</w:t>
            </w:r>
          </w:p>
        </w:tc>
      </w:tr>
      <w:tr w:rsidR="00A03157" w:rsidRPr="00E22B40" w14:paraId="66C3DDE7" w14:textId="77777777" w:rsidTr="003D7C3C">
        <w:tc>
          <w:tcPr>
            <w:tcW w:w="1639" w:type="dxa"/>
          </w:tcPr>
          <w:p w14:paraId="446767E6" w14:textId="7072344B" w:rsidR="00A03157" w:rsidRPr="00E22B40" w:rsidRDefault="00A03157" w:rsidP="00F2356D">
            <w:pPr>
              <w:rPr>
                <w:rFonts w:asciiTheme="minorHAnsi" w:hAnsiTheme="minorHAnsi" w:cs="Arial"/>
                <w:sz w:val="22"/>
                <w:szCs w:val="22"/>
              </w:rPr>
            </w:pPr>
            <w:r w:rsidRPr="00E22B40">
              <w:rPr>
                <w:rFonts w:asciiTheme="minorHAnsi" w:hAnsiTheme="minorHAnsi" w:cs="Arial"/>
                <w:sz w:val="22"/>
                <w:szCs w:val="22"/>
              </w:rPr>
              <w:t>PLF</w:t>
            </w:r>
          </w:p>
        </w:tc>
        <w:tc>
          <w:tcPr>
            <w:tcW w:w="7377" w:type="dxa"/>
          </w:tcPr>
          <w:p w14:paraId="4E09BDD1" w14:textId="1145930B" w:rsidR="00A03157" w:rsidRPr="00E22B40" w:rsidRDefault="00A03157" w:rsidP="00F2356D">
            <w:pPr>
              <w:rPr>
                <w:rFonts w:asciiTheme="minorHAnsi" w:hAnsiTheme="minorHAnsi" w:cs="Arial"/>
                <w:sz w:val="22"/>
                <w:szCs w:val="22"/>
              </w:rPr>
            </w:pPr>
            <w:r w:rsidRPr="00E22B40">
              <w:rPr>
                <w:rFonts w:asciiTheme="minorHAnsi" w:hAnsiTheme="minorHAnsi" w:cs="Arial"/>
                <w:sz w:val="22"/>
                <w:szCs w:val="22"/>
              </w:rPr>
              <w:t>Pacific Labour Facility</w:t>
            </w:r>
          </w:p>
        </w:tc>
      </w:tr>
      <w:tr w:rsidR="003D7C3C" w:rsidRPr="00E22B40" w14:paraId="2A633E28" w14:textId="77777777" w:rsidTr="003D7C3C">
        <w:tc>
          <w:tcPr>
            <w:tcW w:w="1639" w:type="dxa"/>
          </w:tcPr>
          <w:p w14:paraId="192284E5" w14:textId="7623BC2A" w:rsidR="003D7C3C" w:rsidRPr="00E22B40" w:rsidRDefault="00A03157" w:rsidP="00F2356D">
            <w:pPr>
              <w:rPr>
                <w:rFonts w:asciiTheme="minorHAnsi" w:hAnsiTheme="minorHAnsi" w:cs="Arial"/>
                <w:sz w:val="22"/>
                <w:szCs w:val="22"/>
              </w:rPr>
            </w:pPr>
            <w:r w:rsidRPr="00E22B40">
              <w:rPr>
                <w:rFonts w:asciiTheme="minorHAnsi" w:hAnsiTheme="minorHAnsi" w:cs="Arial"/>
                <w:sz w:val="22"/>
                <w:szCs w:val="22"/>
              </w:rPr>
              <w:t>PLS</w:t>
            </w:r>
          </w:p>
        </w:tc>
        <w:tc>
          <w:tcPr>
            <w:tcW w:w="7377" w:type="dxa"/>
          </w:tcPr>
          <w:p w14:paraId="5C50FF69" w14:textId="599910DE" w:rsidR="003D7C3C" w:rsidRPr="00E22B40" w:rsidRDefault="00A03157" w:rsidP="00F2356D">
            <w:pPr>
              <w:rPr>
                <w:rFonts w:asciiTheme="minorHAnsi" w:hAnsiTheme="minorHAnsi" w:cs="Arial"/>
                <w:sz w:val="22"/>
                <w:szCs w:val="22"/>
              </w:rPr>
            </w:pPr>
            <w:r w:rsidRPr="00E22B40">
              <w:rPr>
                <w:rFonts w:asciiTheme="minorHAnsi" w:hAnsiTheme="minorHAnsi" w:cs="Arial"/>
                <w:sz w:val="22"/>
                <w:szCs w:val="22"/>
              </w:rPr>
              <w:t>Pacific Labour Scheme</w:t>
            </w:r>
          </w:p>
        </w:tc>
      </w:tr>
      <w:tr w:rsidR="00A03157" w:rsidRPr="00E22B40" w14:paraId="5B195459" w14:textId="77777777" w:rsidTr="003D7C3C">
        <w:tc>
          <w:tcPr>
            <w:tcW w:w="1639" w:type="dxa"/>
          </w:tcPr>
          <w:p w14:paraId="21F5921C" w14:textId="5D1211F6" w:rsidR="00A03157" w:rsidRPr="00E22B40" w:rsidRDefault="00A03157" w:rsidP="00F2356D">
            <w:pPr>
              <w:rPr>
                <w:rFonts w:asciiTheme="minorHAnsi" w:hAnsiTheme="minorHAnsi" w:cs="Arial"/>
                <w:sz w:val="22"/>
                <w:szCs w:val="22"/>
              </w:rPr>
            </w:pPr>
            <w:r w:rsidRPr="00E22B40">
              <w:rPr>
                <w:rFonts w:asciiTheme="minorHAnsi" w:hAnsiTheme="minorHAnsi" w:cs="Arial"/>
                <w:sz w:val="22"/>
                <w:szCs w:val="22"/>
              </w:rPr>
              <w:t>PPA</w:t>
            </w:r>
          </w:p>
        </w:tc>
        <w:tc>
          <w:tcPr>
            <w:tcW w:w="7377" w:type="dxa"/>
          </w:tcPr>
          <w:p w14:paraId="64F30BD2" w14:textId="3813AA0B" w:rsidR="00A03157" w:rsidRPr="00E22B40" w:rsidRDefault="00A03157" w:rsidP="00F2356D">
            <w:pPr>
              <w:rPr>
                <w:rFonts w:asciiTheme="minorHAnsi" w:hAnsiTheme="minorHAnsi" w:cs="Arial"/>
                <w:sz w:val="22"/>
                <w:szCs w:val="22"/>
              </w:rPr>
            </w:pPr>
            <w:r w:rsidRPr="00E22B40">
              <w:rPr>
                <w:rFonts w:asciiTheme="minorHAnsi" w:hAnsiTheme="minorHAnsi" w:cs="Arial"/>
                <w:sz w:val="22"/>
                <w:szCs w:val="22"/>
              </w:rPr>
              <w:t>Partner Performance Assessment</w:t>
            </w:r>
          </w:p>
        </w:tc>
      </w:tr>
      <w:tr w:rsidR="00155EAD" w:rsidRPr="00E22B40" w14:paraId="1933BD20" w14:textId="77777777" w:rsidTr="006645C1">
        <w:tc>
          <w:tcPr>
            <w:tcW w:w="1639" w:type="dxa"/>
          </w:tcPr>
          <w:p w14:paraId="3C79BDC3" w14:textId="470ECCFC" w:rsidR="00155EAD" w:rsidRPr="00E22B40" w:rsidRDefault="00155EAD" w:rsidP="00F2356D">
            <w:pPr>
              <w:rPr>
                <w:rFonts w:asciiTheme="minorHAnsi" w:hAnsiTheme="minorHAnsi" w:cs="Arial"/>
                <w:sz w:val="22"/>
                <w:szCs w:val="22"/>
              </w:rPr>
            </w:pPr>
            <w:r w:rsidRPr="00155EAD">
              <w:rPr>
                <w:rFonts w:asciiTheme="minorHAnsi" w:hAnsiTheme="minorHAnsi" w:cs="Arial"/>
                <w:sz w:val="22"/>
                <w:szCs w:val="22"/>
              </w:rPr>
              <w:t>RSE</w:t>
            </w:r>
          </w:p>
        </w:tc>
        <w:tc>
          <w:tcPr>
            <w:tcW w:w="7377" w:type="dxa"/>
          </w:tcPr>
          <w:p w14:paraId="2571C8DE" w14:textId="28CA612B" w:rsidR="00155EAD" w:rsidRPr="00E22B40" w:rsidRDefault="00155EAD" w:rsidP="00F2356D">
            <w:pPr>
              <w:rPr>
                <w:rFonts w:asciiTheme="minorHAnsi" w:hAnsiTheme="minorHAnsi" w:cs="Arial"/>
                <w:sz w:val="22"/>
                <w:szCs w:val="22"/>
              </w:rPr>
            </w:pPr>
            <w:r w:rsidRPr="00155EAD">
              <w:rPr>
                <w:rFonts w:asciiTheme="minorHAnsi" w:hAnsiTheme="minorHAnsi" w:cs="Arial"/>
                <w:sz w:val="22"/>
                <w:szCs w:val="22"/>
              </w:rPr>
              <w:t>Recognised Seasonal Employer</w:t>
            </w:r>
          </w:p>
        </w:tc>
      </w:tr>
      <w:tr w:rsidR="00752C5D" w:rsidRPr="00E22B40" w14:paraId="029AE825" w14:textId="77777777" w:rsidTr="006645C1">
        <w:tc>
          <w:tcPr>
            <w:tcW w:w="1639" w:type="dxa"/>
          </w:tcPr>
          <w:p w14:paraId="6ABD4454" w14:textId="1ED2D2A5" w:rsidR="00752C5D" w:rsidRPr="00E22B40" w:rsidRDefault="00BA1706" w:rsidP="00F2356D">
            <w:pPr>
              <w:rPr>
                <w:rFonts w:asciiTheme="minorHAnsi" w:hAnsiTheme="minorHAnsi" w:cs="Arial"/>
                <w:sz w:val="22"/>
                <w:szCs w:val="22"/>
              </w:rPr>
            </w:pPr>
            <w:r w:rsidRPr="00E22B40">
              <w:rPr>
                <w:rFonts w:asciiTheme="minorHAnsi" w:hAnsiTheme="minorHAnsi" w:cs="Arial"/>
                <w:sz w:val="22"/>
                <w:szCs w:val="22"/>
              </w:rPr>
              <w:t>SfEP</w:t>
            </w:r>
          </w:p>
        </w:tc>
        <w:tc>
          <w:tcPr>
            <w:tcW w:w="7377" w:type="dxa"/>
          </w:tcPr>
          <w:p w14:paraId="79F3373C" w14:textId="5E9BF00D" w:rsidR="00752C5D" w:rsidRPr="00E22B40" w:rsidRDefault="00BA1706" w:rsidP="00F2356D">
            <w:pPr>
              <w:rPr>
                <w:rFonts w:asciiTheme="minorHAnsi" w:hAnsiTheme="minorHAnsi" w:cs="Arial"/>
                <w:sz w:val="22"/>
                <w:szCs w:val="22"/>
              </w:rPr>
            </w:pPr>
            <w:r w:rsidRPr="00E22B40">
              <w:rPr>
                <w:rFonts w:asciiTheme="minorHAnsi" w:hAnsiTheme="minorHAnsi" w:cs="Arial"/>
                <w:sz w:val="22"/>
                <w:szCs w:val="22"/>
              </w:rPr>
              <w:t>Skills for Employment Program</w:t>
            </w:r>
          </w:p>
        </w:tc>
      </w:tr>
      <w:tr w:rsidR="0057796C" w:rsidRPr="00E22B40" w14:paraId="30E2A3D8" w14:textId="77777777" w:rsidTr="006645C1">
        <w:tc>
          <w:tcPr>
            <w:tcW w:w="1639" w:type="dxa"/>
          </w:tcPr>
          <w:p w14:paraId="3C93A361" w14:textId="11208C2D" w:rsidR="0057796C" w:rsidRPr="00E22B40" w:rsidRDefault="0057796C" w:rsidP="00F2356D">
            <w:pPr>
              <w:rPr>
                <w:rFonts w:asciiTheme="minorHAnsi" w:hAnsiTheme="minorHAnsi" w:cs="Arial"/>
                <w:sz w:val="22"/>
                <w:szCs w:val="22"/>
              </w:rPr>
            </w:pPr>
            <w:r w:rsidRPr="00E22B40">
              <w:rPr>
                <w:rFonts w:asciiTheme="minorHAnsi" w:hAnsiTheme="minorHAnsi" w:cs="Arial"/>
                <w:sz w:val="22"/>
                <w:szCs w:val="22"/>
              </w:rPr>
              <w:t>SPAG</w:t>
            </w:r>
          </w:p>
        </w:tc>
        <w:tc>
          <w:tcPr>
            <w:tcW w:w="7377" w:type="dxa"/>
          </w:tcPr>
          <w:p w14:paraId="06EF998E" w14:textId="3E7B4621" w:rsidR="0057796C" w:rsidRPr="00E22B40" w:rsidRDefault="0057796C" w:rsidP="00F2356D">
            <w:pPr>
              <w:rPr>
                <w:rFonts w:asciiTheme="minorHAnsi" w:hAnsiTheme="minorHAnsi" w:cs="Arial"/>
                <w:sz w:val="22"/>
                <w:szCs w:val="22"/>
              </w:rPr>
            </w:pPr>
            <w:r w:rsidRPr="00E22B40">
              <w:rPr>
                <w:rFonts w:asciiTheme="minorHAnsi" w:hAnsiTheme="minorHAnsi" w:cs="Arial"/>
                <w:sz w:val="22"/>
                <w:szCs w:val="22"/>
              </w:rPr>
              <w:t>Strategic Program Advisory Group</w:t>
            </w:r>
          </w:p>
        </w:tc>
      </w:tr>
      <w:tr w:rsidR="00155EAD" w:rsidRPr="00E22B40" w14:paraId="693D7285" w14:textId="77777777" w:rsidTr="006645C1">
        <w:tc>
          <w:tcPr>
            <w:tcW w:w="1639" w:type="dxa"/>
          </w:tcPr>
          <w:p w14:paraId="4F7AE43B" w14:textId="071870DE" w:rsidR="00155EAD" w:rsidRPr="00E22B40" w:rsidRDefault="00155EAD" w:rsidP="00F2356D">
            <w:pPr>
              <w:rPr>
                <w:rFonts w:asciiTheme="minorHAnsi" w:hAnsiTheme="minorHAnsi" w:cs="Arial"/>
                <w:sz w:val="22"/>
                <w:szCs w:val="22"/>
              </w:rPr>
            </w:pPr>
            <w:r w:rsidRPr="00155EAD">
              <w:rPr>
                <w:rFonts w:asciiTheme="minorHAnsi" w:hAnsiTheme="minorHAnsi" w:cs="Arial"/>
                <w:sz w:val="22"/>
                <w:szCs w:val="22"/>
              </w:rPr>
              <w:t>SWP</w:t>
            </w:r>
          </w:p>
        </w:tc>
        <w:tc>
          <w:tcPr>
            <w:tcW w:w="7377" w:type="dxa"/>
          </w:tcPr>
          <w:p w14:paraId="38928D24" w14:textId="739DC098" w:rsidR="00155EAD" w:rsidRPr="00E22B40" w:rsidRDefault="00155EAD" w:rsidP="00F2356D">
            <w:pPr>
              <w:rPr>
                <w:rFonts w:asciiTheme="minorHAnsi" w:hAnsiTheme="minorHAnsi" w:cs="Arial"/>
                <w:sz w:val="22"/>
                <w:szCs w:val="22"/>
              </w:rPr>
            </w:pPr>
            <w:r w:rsidRPr="00155EAD">
              <w:rPr>
                <w:rFonts w:asciiTheme="minorHAnsi" w:hAnsiTheme="minorHAnsi" w:cs="Arial"/>
                <w:sz w:val="22"/>
                <w:szCs w:val="22"/>
              </w:rPr>
              <w:t>Seasonal Worker Program</w:t>
            </w:r>
          </w:p>
        </w:tc>
      </w:tr>
      <w:tr w:rsidR="00931739" w:rsidRPr="00E22B40" w14:paraId="2E012005" w14:textId="77777777" w:rsidTr="006645C1">
        <w:tc>
          <w:tcPr>
            <w:tcW w:w="1639" w:type="dxa"/>
          </w:tcPr>
          <w:p w14:paraId="1EF94F87" w14:textId="2C20FEC6" w:rsidR="00931739" w:rsidRPr="00E22B40" w:rsidRDefault="00931739" w:rsidP="00F2356D">
            <w:pPr>
              <w:rPr>
                <w:rFonts w:asciiTheme="minorHAnsi" w:hAnsiTheme="minorHAnsi" w:cs="Arial"/>
                <w:sz w:val="22"/>
                <w:szCs w:val="22"/>
              </w:rPr>
            </w:pPr>
            <w:r w:rsidRPr="00E22B40">
              <w:rPr>
                <w:rFonts w:asciiTheme="minorHAnsi" w:hAnsiTheme="minorHAnsi" w:cs="Arial"/>
                <w:sz w:val="22"/>
                <w:szCs w:val="22"/>
              </w:rPr>
              <w:t>ToR</w:t>
            </w:r>
          </w:p>
        </w:tc>
        <w:tc>
          <w:tcPr>
            <w:tcW w:w="7377" w:type="dxa"/>
          </w:tcPr>
          <w:p w14:paraId="5D6CB24D" w14:textId="4DF6BB19" w:rsidR="00931739" w:rsidRPr="00E22B40" w:rsidRDefault="00931739" w:rsidP="00F2356D">
            <w:pPr>
              <w:rPr>
                <w:rFonts w:asciiTheme="minorHAnsi" w:hAnsiTheme="minorHAnsi" w:cs="Arial"/>
                <w:sz w:val="22"/>
                <w:szCs w:val="22"/>
              </w:rPr>
            </w:pPr>
            <w:r w:rsidRPr="00E22B40">
              <w:rPr>
                <w:rFonts w:asciiTheme="minorHAnsi" w:hAnsiTheme="minorHAnsi" w:cs="Arial"/>
                <w:sz w:val="22"/>
                <w:szCs w:val="22"/>
              </w:rPr>
              <w:t>Terms of Reference</w:t>
            </w:r>
          </w:p>
        </w:tc>
      </w:tr>
      <w:tr w:rsidR="00931739" w:rsidRPr="00E22B40" w14:paraId="52DD21EF" w14:textId="77777777" w:rsidTr="006645C1">
        <w:tc>
          <w:tcPr>
            <w:tcW w:w="1639" w:type="dxa"/>
          </w:tcPr>
          <w:p w14:paraId="7C3636CE" w14:textId="39056956" w:rsidR="00931739" w:rsidRPr="00E22B40" w:rsidRDefault="00BA1706" w:rsidP="00F2356D">
            <w:pPr>
              <w:rPr>
                <w:rFonts w:asciiTheme="minorHAnsi" w:hAnsiTheme="minorHAnsi" w:cs="Arial"/>
                <w:sz w:val="22"/>
                <w:szCs w:val="22"/>
              </w:rPr>
            </w:pPr>
            <w:r w:rsidRPr="00E22B40">
              <w:rPr>
                <w:rFonts w:asciiTheme="minorHAnsi" w:hAnsiTheme="minorHAnsi" w:cs="Arial"/>
                <w:sz w:val="22"/>
                <w:szCs w:val="22"/>
              </w:rPr>
              <w:t>TVETSSP</w:t>
            </w:r>
          </w:p>
        </w:tc>
        <w:tc>
          <w:tcPr>
            <w:tcW w:w="7377" w:type="dxa"/>
          </w:tcPr>
          <w:p w14:paraId="46E1789E" w14:textId="2B07D72C" w:rsidR="00155EAD" w:rsidRPr="00E22B40" w:rsidRDefault="00BA1706" w:rsidP="00F2356D">
            <w:pPr>
              <w:rPr>
                <w:rFonts w:asciiTheme="minorHAnsi" w:hAnsiTheme="minorHAnsi" w:cs="Arial"/>
                <w:sz w:val="22"/>
                <w:szCs w:val="22"/>
              </w:rPr>
            </w:pPr>
            <w:r w:rsidRPr="00E22B40">
              <w:rPr>
                <w:rFonts w:asciiTheme="minorHAnsi" w:hAnsiTheme="minorHAnsi" w:cs="Arial"/>
                <w:sz w:val="22"/>
                <w:szCs w:val="22"/>
              </w:rPr>
              <w:t>Technical and Vocational Education and Training Sector Strengthening Programs</w:t>
            </w:r>
          </w:p>
        </w:tc>
      </w:tr>
    </w:tbl>
    <w:p w14:paraId="2ADF2999" w14:textId="77777777" w:rsidR="00931739" w:rsidRPr="00E22B40" w:rsidRDefault="00931739">
      <w:pPr>
        <w:rPr>
          <w:rFonts w:asciiTheme="minorHAnsi" w:hAnsiTheme="minorHAnsi" w:cs="Arial"/>
          <w:b/>
          <w:smallCaps/>
          <w:color w:val="CF5D27"/>
          <w:sz w:val="60"/>
          <w:szCs w:val="60"/>
        </w:rPr>
      </w:pPr>
      <w:r w:rsidRPr="00E22B40">
        <w:rPr>
          <w:rFonts w:asciiTheme="minorHAnsi" w:hAnsiTheme="minorHAnsi" w:cs="Arial"/>
        </w:rPr>
        <w:br w:type="page"/>
      </w:r>
    </w:p>
    <w:p w14:paraId="2B8886C7" w14:textId="34152953" w:rsidR="001B3ECA" w:rsidRPr="00E22B40" w:rsidRDefault="001B3ECA" w:rsidP="001B3ECA">
      <w:pPr>
        <w:pStyle w:val="SDAHeading1"/>
        <w:rPr>
          <w:rFonts w:cs="Arial"/>
        </w:rPr>
      </w:pPr>
      <w:bookmarkStart w:id="3" w:name="_Toc8623393"/>
      <w:r w:rsidRPr="00E22B40">
        <w:rPr>
          <w:rFonts w:cs="Arial"/>
        </w:rPr>
        <w:lastRenderedPageBreak/>
        <w:t>Table of Contents</w:t>
      </w:r>
      <w:bookmarkEnd w:id="3"/>
    </w:p>
    <w:p w14:paraId="784CA586" w14:textId="228E4212" w:rsidR="00402898" w:rsidRDefault="00BB5687">
      <w:pPr>
        <w:pStyle w:val="TOC1"/>
        <w:rPr>
          <w:rFonts w:asciiTheme="minorHAnsi" w:eastAsiaTheme="minorEastAsia" w:hAnsiTheme="minorHAnsi"/>
          <w:b w:val="0"/>
          <w:bCs w:val="0"/>
          <w:noProof/>
          <w:sz w:val="24"/>
        </w:rPr>
      </w:pPr>
      <w:r w:rsidRPr="00E22B40">
        <w:fldChar w:fldCharType="begin"/>
      </w:r>
      <w:r w:rsidR="001B3ECA" w:rsidRPr="00E22B40">
        <w:instrText xml:space="preserve"> TOC \h \z \t "Heading 2,2,SDA Heading 1,1,SDA Numbered heading 3,4,SDA Numbered heading 2,3" </w:instrText>
      </w:r>
      <w:r w:rsidRPr="00E22B40">
        <w:fldChar w:fldCharType="separate"/>
      </w:r>
      <w:hyperlink w:anchor="_Toc8623392" w:history="1">
        <w:r w:rsidR="00402898" w:rsidRPr="00821EF3">
          <w:rPr>
            <w:rStyle w:val="Hyperlink"/>
            <w:rFonts w:cs="Arial"/>
            <w:noProof/>
          </w:rPr>
          <w:t>List of Acronyms</w:t>
        </w:r>
        <w:r w:rsidR="00402898">
          <w:rPr>
            <w:noProof/>
            <w:webHidden/>
          </w:rPr>
          <w:tab/>
        </w:r>
        <w:r w:rsidR="00402898">
          <w:rPr>
            <w:noProof/>
            <w:webHidden/>
          </w:rPr>
          <w:fldChar w:fldCharType="begin"/>
        </w:r>
        <w:r w:rsidR="00402898">
          <w:rPr>
            <w:noProof/>
            <w:webHidden/>
          </w:rPr>
          <w:instrText xml:space="preserve"> PAGEREF _Toc8623392 \h </w:instrText>
        </w:r>
        <w:r w:rsidR="00402898">
          <w:rPr>
            <w:noProof/>
            <w:webHidden/>
          </w:rPr>
        </w:r>
        <w:r w:rsidR="00402898">
          <w:rPr>
            <w:noProof/>
            <w:webHidden/>
          </w:rPr>
          <w:fldChar w:fldCharType="separate"/>
        </w:r>
        <w:r w:rsidR="00EB332C">
          <w:rPr>
            <w:noProof/>
            <w:webHidden/>
          </w:rPr>
          <w:t>ii</w:t>
        </w:r>
        <w:r w:rsidR="00402898">
          <w:rPr>
            <w:noProof/>
            <w:webHidden/>
          </w:rPr>
          <w:fldChar w:fldCharType="end"/>
        </w:r>
      </w:hyperlink>
    </w:p>
    <w:p w14:paraId="2F76EAFC" w14:textId="1F8007C4" w:rsidR="00402898" w:rsidRDefault="00E24F0B">
      <w:pPr>
        <w:pStyle w:val="TOC1"/>
        <w:rPr>
          <w:rFonts w:asciiTheme="minorHAnsi" w:eastAsiaTheme="minorEastAsia" w:hAnsiTheme="minorHAnsi"/>
          <w:b w:val="0"/>
          <w:bCs w:val="0"/>
          <w:noProof/>
          <w:sz w:val="24"/>
        </w:rPr>
      </w:pPr>
      <w:hyperlink w:anchor="_Toc8623393" w:history="1">
        <w:r w:rsidR="00402898" w:rsidRPr="00821EF3">
          <w:rPr>
            <w:rStyle w:val="Hyperlink"/>
            <w:rFonts w:cs="Arial"/>
            <w:noProof/>
          </w:rPr>
          <w:t>Table of Contents</w:t>
        </w:r>
        <w:r w:rsidR="00402898">
          <w:rPr>
            <w:noProof/>
            <w:webHidden/>
          </w:rPr>
          <w:tab/>
        </w:r>
        <w:r w:rsidR="00402898">
          <w:rPr>
            <w:noProof/>
            <w:webHidden/>
          </w:rPr>
          <w:fldChar w:fldCharType="begin"/>
        </w:r>
        <w:r w:rsidR="00402898">
          <w:rPr>
            <w:noProof/>
            <w:webHidden/>
          </w:rPr>
          <w:instrText xml:space="preserve"> PAGEREF _Toc8623393 \h </w:instrText>
        </w:r>
        <w:r w:rsidR="00402898">
          <w:rPr>
            <w:noProof/>
            <w:webHidden/>
          </w:rPr>
        </w:r>
        <w:r w:rsidR="00402898">
          <w:rPr>
            <w:noProof/>
            <w:webHidden/>
          </w:rPr>
          <w:fldChar w:fldCharType="separate"/>
        </w:r>
        <w:r w:rsidR="00EB332C">
          <w:rPr>
            <w:noProof/>
            <w:webHidden/>
          </w:rPr>
          <w:t>iii</w:t>
        </w:r>
        <w:r w:rsidR="00402898">
          <w:rPr>
            <w:noProof/>
            <w:webHidden/>
          </w:rPr>
          <w:fldChar w:fldCharType="end"/>
        </w:r>
      </w:hyperlink>
    </w:p>
    <w:p w14:paraId="00218F35" w14:textId="32EB60F4" w:rsidR="00402898" w:rsidRDefault="00E24F0B">
      <w:pPr>
        <w:pStyle w:val="TOC2"/>
        <w:rPr>
          <w:rFonts w:eastAsiaTheme="minorEastAsia"/>
          <w:b w:val="0"/>
          <w:bCs w:val="0"/>
          <w:noProof/>
          <w:szCs w:val="24"/>
        </w:rPr>
      </w:pPr>
      <w:hyperlink w:anchor="_Toc8623394" w:history="1">
        <w:r w:rsidR="00402898" w:rsidRPr="00821EF3">
          <w:rPr>
            <w:rStyle w:val="Hyperlink"/>
            <w:rFonts w:cs="Arial"/>
            <w:noProof/>
          </w:rPr>
          <w:t>Executive Summary</w:t>
        </w:r>
        <w:r w:rsidR="00402898">
          <w:rPr>
            <w:noProof/>
            <w:webHidden/>
          </w:rPr>
          <w:tab/>
        </w:r>
        <w:r w:rsidR="00402898">
          <w:rPr>
            <w:noProof/>
            <w:webHidden/>
          </w:rPr>
          <w:fldChar w:fldCharType="begin"/>
        </w:r>
        <w:r w:rsidR="00402898">
          <w:rPr>
            <w:noProof/>
            <w:webHidden/>
          </w:rPr>
          <w:instrText xml:space="preserve"> PAGEREF _Toc8623394 \h </w:instrText>
        </w:r>
        <w:r w:rsidR="00402898">
          <w:rPr>
            <w:noProof/>
            <w:webHidden/>
          </w:rPr>
        </w:r>
        <w:r w:rsidR="00402898">
          <w:rPr>
            <w:noProof/>
            <w:webHidden/>
          </w:rPr>
          <w:fldChar w:fldCharType="separate"/>
        </w:r>
        <w:r w:rsidR="00EB332C">
          <w:rPr>
            <w:noProof/>
            <w:webHidden/>
          </w:rPr>
          <w:t>1</w:t>
        </w:r>
        <w:r w:rsidR="00402898">
          <w:rPr>
            <w:noProof/>
            <w:webHidden/>
          </w:rPr>
          <w:fldChar w:fldCharType="end"/>
        </w:r>
      </w:hyperlink>
    </w:p>
    <w:p w14:paraId="227F8693" w14:textId="2E279447" w:rsidR="00402898" w:rsidRDefault="00E24F0B">
      <w:pPr>
        <w:pStyle w:val="TOC2"/>
        <w:rPr>
          <w:rFonts w:eastAsiaTheme="minorEastAsia"/>
          <w:b w:val="0"/>
          <w:bCs w:val="0"/>
          <w:noProof/>
          <w:szCs w:val="24"/>
        </w:rPr>
      </w:pPr>
      <w:hyperlink w:anchor="_Toc8623395" w:history="1">
        <w:r w:rsidR="00402898" w:rsidRPr="00821EF3">
          <w:rPr>
            <w:rStyle w:val="Hyperlink"/>
            <w:rFonts w:cs="Arial"/>
            <w:noProof/>
          </w:rPr>
          <w:t>Background</w:t>
        </w:r>
        <w:r w:rsidR="00402898">
          <w:rPr>
            <w:noProof/>
            <w:webHidden/>
          </w:rPr>
          <w:tab/>
        </w:r>
        <w:r w:rsidR="00402898">
          <w:rPr>
            <w:noProof/>
            <w:webHidden/>
          </w:rPr>
          <w:fldChar w:fldCharType="begin"/>
        </w:r>
        <w:r w:rsidR="00402898">
          <w:rPr>
            <w:noProof/>
            <w:webHidden/>
          </w:rPr>
          <w:instrText xml:space="preserve"> PAGEREF _Toc8623395 \h </w:instrText>
        </w:r>
        <w:r w:rsidR="00402898">
          <w:rPr>
            <w:noProof/>
            <w:webHidden/>
          </w:rPr>
        </w:r>
        <w:r w:rsidR="00402898">
          <w:rPr>
            <w:noProof/>
            <w:webHidden/>
          </w:rPr>
          <w:fldChar w:fldCharType="separate"/>
        </w:r>
        <w:r w:rsidR="00EB332C">
          <w:rPr>
            <w:noProof/>
            <w:webHidden/>
          </w:rPr>
          <w:t>4</w:t>
        </w:r>
        <w:r w:rsidR="00402898">
          <w:rPr>
            <w:noProof/>
            <w:webHidden/>
          </w:rPr>
          <w:fldChar w:fldCharType="end"/>
        </w:r>
      </w:hyperlink>
    </w:p>
    <w:p w14:paraId="115A703A" w14:textId="4D6DD9BC" w:rsidR="00402898" w:rsidRDefault="00E24F0B">
      <w:pPr>
        <w:pStyle w:val="TOC3"/>
        <w:rPr>
          <w:rFonts w:eastAsiaTheme="minorEastAsia"/>
          <w:noProof/>
          <w:szCs w:val="24"/>
        </w:rPr>
      </w:pPr>
      <w:hyperlink w:anchor="_Toc8623396" w:history="1">
        <w:r w:rsidR="00402898" w:rsidRPr="00821EF3">
          <w:rPr>
            <w:rStyle w:val="Hyperlink"/>
            <w:rFonts w:cs="Arial"/>
            <w:noProof/>
          </w:rPr>
          <w:t>Context</w:t>
        </w:r>
        <w:r w:rsidR="00402898">
          <w:rPr>
            <w:noProof/>
            <w:webHidden/>
          </w:rPr>
          <w:tab/>
        </w:r>
        <w:r w:rsidR="00402898">
          <w:rPr>
            <w:noProof/>
            <w:webHidden/>
          </w:rPr>
          <w:fldChar w:fldCharType="begin"/>
        </w:r>
        <w:r w:rsidR="00402898">
          <w:rPr>
            <w:noProof/>
            <w:webHidden/>
          </w:rPr>
          <w:instrText xml:space="preserve"> PAGEREF _Toc8623396 \h </w:instrText>
        </w:r>
        <w:r w:rsidR="00402898">
          <w:rPr>
            <w:noProof/>
            <w:webHidden/>
          </w:rPr>
        </w:r>
        <w:r w:rsidR="00402898">
          <w:rPr>
            <w:noProof/>
            <w:webHidden/>
          </w:rPr>
          <w:fldChar w:fldCharType="separate"/>
        </w:r>
        <w:r w:rsidR="00EB332C">
          <w:rPr>
            <w:noProof/>
            <w:webHidden/>
          </w:rPr>
          <w:t>4</w:t>
        </w:r>
        <w:r w:rsidR="00402898">
          <w:rPr>
            <w:noProof/>
            <w:webHidden/>
          </w:rPr>
          <w:fldChar w:fldCharType="end"/>
        </w:r>
      </w:hyperlink>
    </w:p>
    <w:p w14:paraId="5590131F" w14:textId="5BB35AFD" w:rsidR="00402898" w:rsidRDefault="00E24F0B">
      <w:pPr>
        <w:pStyle w:val="TOC3"/>
        <w:rPr>
          <w:rFonts w:eastAsiaTheme="minorEastAsia"/>
          <w:noProof/>
          <w:szCs w:val="24"/>
        </w:rPr>
      </w:pPr>
      <w:hyperlink w:anchor="_Toc8623397" w:history="1">
        <w:r w:rsidR="00402898" w:rsidRPr="00821EF3">
          <w:rPr>
            <w:rStyle w:val="Hyperlink"/>
            <w:rFonts w:cs="Arial"/>
            <w:noProof/>
          </w:rPr>
          <w:t>Kiribati Facility</w:t>
        </w:r>
        <w:r w:rsidR="00402898">
          <w:rPr>
            <w:noProof/>
            <w:webHidden/>
          </w:rPr>
          <w:tab/>
        </w:r>
        <w:r w:rsidR="00402898">
          <w:rPr>
            <w:noProof/>
            <w:webHidden/>
          </w:rPr>
          <w:fldChar w:fldCharType="begin"/>
        </w:r>
        <w:r w:rsidR="00402898">
          <w:rPr>
            <w:noProof/>
            <w:webHidden/>
          </w:rPr>
          <w:instrText xml:space="preserve"> PAGEREF _Toc8623397 \h </w:instrText>
        </w:r>
        <w:r w:rsidR="00402898">
          <w:rPr>
            <w:noProof/>
            <w:webHidden/>
          </w:rPr>
        </w:r>
        <w:r w:rsidR="00402898">
          <w:rPr>
            <w:noProof/>
            <w:webHidden/>
          </w:rPr>
          <w:fldChar w:fldCharType="separate"/>
        </w:r>
        <w:r w:rsidR="00EB332C">
          <w:rPr>
            <w:noProof/>
            <w:webHidden/>
          </w:rPr>
          <w:t>4</w:t>
        </w:r>
        <w:r w:rsidR="00402898">
          <w:rPr>
            <w:noProof/>
            <w:webHidden/>
          </w:rPr>
          <w:fldChar w:fldCharType="end"/>
        </w:r>
      </w:hyperlink>
    </w:p>
    <w:p w14:paraId="133A72FE" w14:textId="16BE822E" w:rsidR="00402898" w:rsidRDefault="00E24F0B">
      <w:pPr>
        <w:pStyle w:val="TOC3"/>
        <w:rPr>
          <w:rFonts w:eastAsiaTheme="minorEastAsia"/>
          <w:noProof/>
          <w:szCs w:val="24"/>
        </w:rPr>
      </w:pPr>
      <w:hyperlink w:anchor="_Toc8623398" w:history="1">
        <w:r w:rsidR="00402898" w:rsidRPr="00821EF3">
          <w:rPr>
            <w:rStyle w:val="Hyperlink"/>
            <w:rFonts w:cs="Arial"/>
            <w:noProof/>
          </w:rPr>
          <w:t>Review Purpose</w:t>
        </w:r>
        <w:r w:rsidR="00402898">
          <w:rPr>
            <w:noProof/>
            <w:webHidden/>
          </w:rPr>
          <w:tab/>
        </w:r>
        <w:r w:rsidR="00402898">
          <w:rPr>
            <w:noProof/>
            <w:webHidden/>
          </w:rPr>
          <w:fldChar w:fldCharType="begin"/>
        </w:r>
        <w:r w:rsidR="00402898">
          <w:rPr>
            <w:noProof/>
            <w:webHidden/>
          </w:rPr>
          <w:instrText xml:space="preserve"> PAGEREF _Toc8623398 \h </w:instrText>
        </w:r>
        <w:r w:rsidR="00402898">
          <w:rPr>
            <w:noProof/>
            <w:webHidden/>
          </w:rPr>
        </w:r>
        <w:r w:rsidR="00402898">
          <w:rPr>
            <w:noProof/>
            <w:webHidden/>
          </w:rPr>
          <w:fldChar w:fldCharType="separate"/>
        </w:r>
        <w:r w:rsidR="00EB332C">
          <w:rPr>
            <w:noProof/>
            <w:webHidden/>
          </w:rPr>
          <w:t>5</w:t>
        </w:r>
        <w:r w:rsidR="00402898">
          <w:rPr>
            <w:noProof/>
            <w:webHidden/>
          </w:rPr>
          <w:fldChar w:fldCharType="end"/>
        </w:r>
      </w:hyperlink>
    </w:p>
    <w:p w14:paraId="445A2EE0" w14:textId="5C416B39" w:rsidR="00402898" w:rsidRDefault="00E24F0B">
      <w:pPr>
        <w:pStyle w:val="TOC3"/>
        <w:rPr>
          <w:rFonts w:eastAsiaTheme="minorEastAsia"/>
          <w:noProof/>
          <w:szCs w:val="24"/>
        </w:rPr>
      </w:pPr>
      <w:hyperlink w:anchor="_Toc8623399" w:history="1">
        <w:r w:rsidR="00402898" w:rsidRPr="00821EF3">
          <w:rPr>
            <w:rStyle w:val="Hyperlink"/>
            <w:rFonts w:cs="Arial"/>
            <w:noProof/>
          </w:rPr>
          <w:t>Methodology</w:t>
        </w:r>
        <w:r w:rsidR="00402898">
          <w:rPr>
            <w:noProof/>
            <w:webHidden/>
          </w:rPr>
          <w:tab/>
        </w:r>
        <w:r w:rsidR="00402898">
          <w:rPr>
            <w:noProof/>
            <w:webHidden/>
          </w:rPr>
          <w:fldChar w:fldCharType="begin"/>
        </w:r>
        <w:r w:rsidR="00402898">
          <w:rPr>
            <w:noProof/>
            <w:webHidden/>
          </w:rPr>
          <w:instrText xml:space="preserve"> PAGEREF _Toc8623399 \h </w:instrText>
        </w:r>
        <w:r w:rsidR="00402898">
          <w:rPr>
            <w:noProof/>
            <w:webHidden/>
          </w:rPr>
        </w:r>
        <w:r w:rsidR="00402898">
          <w:rPr>
            <w:noProof/>
            <w:webHidden/>
          </w:rPr>
          <w:fldChar w:fldCharType="separate"/>
        </w:r>
        <w:r w:rsidR="00EB332C">
          <w:rPr>
            <w:noProof/>
            <w:webHidden/>
          </w:rPr>
          <w:t>5</w:t>
        </w:r>
        <w:r w:rsidR="00402898">
          <w:rPr>
            <w:noProof/>
            <w:webHidden/>
          </w:rPr>
          <w:fldChar w:fldCharType="end"/>
        </w:r>
      </w:hyperlink>
    </w:p>
    <w:p w14:paraId="52C50E7B" w14:textId="33F4EBAA" w:rsidR="00402898" w:rsidRDefault="00E24F0B">
      <w:pPr>
        <w:pStyle w:val="TOC3"/>
        <w:rPr>
          <w:rFonts w:eastAsiaTheme="minorEastAsia"/>
          <w:noProof/>
          <w:szCs w:val="24"/>
        </w:rPr>
      </w:pPr>
      <w:hyperlink w:anchor="_Toc8623400" w:history="1">
        <w:r w:rsidR="00402898" w:rsidRPr="00821EF3">
          <w:rPr>
            <w:rStyle w:val="Hyperlink"/>
            <w:rFonts w:cs="Arial"/>
            <w:noProof/>
            <w:lang w:val="en-AU"/>
          </w:rPr>
          <w:t>Limitations and Constraints</w:t>
        </w:r>
        <w:r w:rsidR="00402898">
          <w:rPr>
            <w:noProof/>
            <w:webHidden/>
          </w:rPr>
          <w:tab/>
        </w:r>
        <w:r w:rsidR="00402898">
          <w:rPr>
            <w:noProof/>
            <w:webHidden/>
          </w:rPr>
          <w:fldChar w:fldCharType="begin"/>
        </w:r>
        <w:r w:rsidR="00402898">
          <w:rPr>
            <w:noProof/>
            <w:webHidden/>
          </w:rPr>
          <w:instrText xml:space="preserve"> PAGEREF _Toc8623400 \h </w:instrText>
        </w:r>
        <w:r w:rsidR="00402898">
          <w:rPr>
            <w:noProof/>
            <w:webHidden/>
          </w:rPr>
        </w:r>
        <w:r w:rsidR="00402898">
          <w:rPr>
            <w:noProof/>
            <w:webHidden/>
          </w:rPr>
          <w:fldChar w:fldCharType="separate"/>
        </w:r>
        <w:r w:rsidR="00EB332C">
          <w:rPr>
            <w:noProof/>
            <w:webHidden/>
          </w:rPr>
          <w:t>5</w:t>
        </w:r>
        <w:r w:rsidR="00402898">
          <w:rPr>
            <w:noProof/>
            <w:webHidden/>
          </w:rPr>
          <w:fldChar w:fldCharType="end"/>
        </w:r>
      </w:hyperlink>
    </w:p>
    <w:p w14:paraId="6CC96CFB" w14:textId="17C644EF" w:rsidR="00402898" w:rsidRDefault="00E24F0B">
      <w:pPr>
        <w:pStyle w:val="TOC2"/>
        <w:rPr>
          <w:rFonts w:eastAsiaTheme="minorEastAsia"/>
          <w:b w:val="0"/>
          <w:bCs w:val="0"/>
          <w:noProof/>
          <w:szCs w:val="24"/>
        </w:rPr>
      </w:pPr>
      <w:hyperlink w:anchor="_Toc8623401" w:history="1">
        <w:r w:rsidR="00402898" w:rsidRPr="00821EF3">
          <w:rPr>
            <w:rStyle w:val="Hyperlink"/>
            <w:rFonts w:cs="Arial"/>
            <w:noProof/>
          </w:rPr>
          <w:t>Findings</w:t>
        </w:r>
        <w:r w:rsidR="00402898">
          <w:rPr>
            <w:noProof/>
            <w:webHidden/>
          </w:rPr>
          <w:tab/>
        </w:r>
        <w:r w:rsidR="00402898">
          <w:rPr>
            <w:noProof/>
            <w:webHidden/>
          </w:rPr>
          <w:fldChar w:fldCharType="begin"/>
        </w:r>
        <w:r w:rsidR="00402898">
          <w:rPr>
            <w:noProof/>
            <w:webHidden/>
          </w:rPr>
          <w:instrText xml:space="preserve"> PAGEREF _Toc8623401 \h </w:instrText>
        </w:r>
        <w:r w:rsidR="00402898">
          <w:rPr>
            <w:noProof/>
            <w:webHidden/>
          </w:rPr>
        </w:r>
        <w:r w:rsidR="00402898">
          <w:rPr>
            <w:noProof/>
            <w:webHidden/>
          </w:rPr>
          <w:fldChar w:fldCharType="separate"/>
        </w:r>
        <w:r w:rsidR="00EB332C">
          <w:rPr>
            <w:noProof/>
            <w:webHidden/>
          </w:rPr>
          <w:t>6</w:t>
        </w:r>
        <w:r w:rsidR="00402898">
          <w:rPr>
            <w:noProof/>
            <w:webHidden/>
          </w:rPr>
          <w:fldChar w:fldCharType="end"/>
        </w:r>
      </w:hyperlink>
    </w:p>
    <w:p w14:paraId="1D30B862" w14:textId="760D3532" w:rsidR="00402898" w:rsidRDefault="00E24F0B">
      <w:pPr>
        <w:pStyle w:val="TOC3"/>
        <w:rPr>
          <w:rFonts w:eastAsiaTheme="minorEastAsia"/>
          <w:noProof/>
          <w:szCs w:val="24"/>
        </w:rPr>
      </w:pPr>
      <w:hyperlink w:anchor="_Toc8623402" w:history="1">
        <w:r w:rsidR="00402898" w:rsidRPr="00821EF3">
          <w:rPr>
            <w:rStyle w:val="Hyperlink"/>
            <w:rFonts w:cs="Arial"/>
            <w:noProof/>
          </w:rPr>
          <w:t>Relevance</w:t>
        </w:r>
        <w:r w:rsidR="00402898">
          <w:rPr>
            <w:noProof/>
            <w:webHidden/>
          </w:rPr>
          <w:tab/>
        </w:r>
        <w:r w:rsidR="00402898">
          <w:rPr>
            <w:noProof/>
            <w:webHidden/>
          </w:rPr>
          <w:fldChar w:fldCharType="begin"/>
        </w:r>
        <w:r w:rsidR="00402898">
          <w:rPr>
            <w:noProof/>
            <w:webHidden/>
          </w:rPr>
          <w:instrText xml:space="preserve"> PAGEREF _Toc8623402 \h </w:instrText>
        </w:r>
        <w:r w:rsidR="00402898">
          <w:rPr>
            <w:noProof/>
            <w:webHidden/>
          </w:rPr>
        </w:r>
        <w:r w:rsidR="00402898">
          <w:rPr>
            <w:noProof/>
            <w:webHidden/>
          </w:rPr>
          <w:fldChar w:fldCharType="separate"/>
        </w:r>
        <w:r w:rsidR="00EB332C">
          <w:rPr>
            <w:noProof/>
            <w:webHidden/>
          </w:rPr>
          <w:t>6</w:t>
        </w:r>
        <w:r w:rsidR="00402898">
          <w:rPr>
            <w:noProof/>
            <w:webHidden/>
          </w:rPr>
          <w:fldChar w:fldCharType="end"/>
        </w:r>
      </w:hyperlink>
    </w:p>
    <w:p w14:paraId="33709609" w14:textId="7398BABE" w:rsidR="00402898" w:rsidRDefault="00E24F0B" w:rsidP="00C35E79">
      <w:pPr>
        <w:pStyle w:val="TOC3"/>
        <w:rPr>
          <w:rFonts w:eastAsiaTheme="minorEastAsia"/>
          <w:noProof/>
          <w:szCs w:val="24"/>
        </w:rPr>
      </w:pPr>
      <w:hyperlink w:anchor="_Toc8623408" w:history="1">
        <w:r w:rsidR="00402898" w:rsidRPr="00821EF3">
          <w:rPr>
            <w:rStyle w:val="Hyperlink"/>
            <w:rFonts w:cs="Arial"/>
            <w:noProof/>
          </w:rPr>
          <w:t>Efficiency</w:t>
        </w:r>
        <w:r w:rsidR="00402898">
          <w:rPr>
            <w:noProof/>
            <w:webHidden/>
          </w:rPr>
          <w:tab/>
        </w:r>
        <w:r w:rsidR="00402898">
          <w:rPr>
            <w:noProof/>
            <w:webHidden/>
          </w:rPr>
          <w:fldChar w:fldCharType="begin"/>
        </w:r>
        <w:r w:rsidR="00402898">
          <w:rPr>
            <w:noProof/>
            <w:webHidden/>
          </w:rPr>
          <w:instrText xml:space="preserve"> PAGEREF _Toc8623408 \h </w:instrText>
        </w:r>
        <w:r w:rsidR="00402898">
          <w:rPr>
            <w:noProof/>
            <w:webHidden/>
          </w:rPr>
        </w:r>
        <w:r w:rsidR="00402898">
          <w:rPr>
            <w:noProof/>
            <w:webHidden/>
          </w:rPr>
          <w:fldChar w:fldCharType="separate"/>
        </w:r>
        <w:r w:rsidR="00EB332C">
          <w:rPr>
            <w:noProof/>
            <w:webHidden/>
          </w:rPr>
          <w:t>15</w:t>
        </w:r>
        <w:r w:rsidR="00402898">
          <w:rPr>
            <w:noProof/>
            <w:webHidden/>
          </w:rPr>
          <w:fldChar w:fldCharType="end"/>
        </w:r>
      </w:hyperlink>
    </w:p>
    <w:p w14:paraId="0138B84E" w14:textId="6ADFC73F" w:rsidR="00402898" w:rsidRDefault="00E24F0B">
      <w:pPr>
        <w:pStyle w:val="TOC3"/>
        <w:rPr>
          <w:rFonts w:eastAsiaTheme="minorEastAsia"/>
          <w:noProof/>
          <w:szCs w:val="24"/>
        </w:rPr>
      </w:pPr>
      <w:hyperlink w:anchor="_Toc8623410" w:history="1">
        <w:r w:rsidR="00402898" w:rsidRPr="00821EF3">
          <w:rPr>
            <w:rStyle w:val="Hyperlink"/>
            <w:rFonts w:cs="Arial"/>
            <w:noProof/>
          </w:rPr>
          <w:t>Sustainability</w:t>
        </w:r>
        <w:r w:rsidR="00402898">
          <w:rPr>
            <w:noProof/>
            <w:webHidden/>
          </w:rPr>
          <w:tab/>
        </w:r>
        <w:r w:rsidR="00402898">
          <w:rPr>
            <w:noProof/>
            <w:webHidden/>
          </w:rPr>
          <w:fldChar w:fldCharType="begin"/>
        </w:r>
        <w:r w:rsidR="00402898">
          <w:rPr>
            <w:noProof/>
            <w:webHidden/>
          </w:rPr>
          <w:instrText xml:space="preserve"> PAGEREF _Toc8623410 \h </w:instrText>
        </w:r>
        <w:r w:rsidR="00402898">
          <w:rPr>
            <w:noProof/>
            <w:webHidden/>
          </w:rPr>
        </w:r>
        <w:r w:rsidR="00402898">
          <w:rPr>
            <w:noProof/>
            <w:webHidden/>
          </w:rPr>
          <w:fldChar w:fldCharType="separate"/>
        </w:r>
        <w:r w:rsidR="00EB332C">
          <w:rPr>
            <w:noProof/>
            <w:webHidden/>
          </w:rPr>
          <w:t>18</w:t>
        </w:r>
        <w:r w:rsidR="00402898">
          <w:rPr>
            <w:noProof/>
            <w:webHidden/>
          </w:rPr>
          <w:fldChar w:fldCharType="end"/>
        </w:r>
      </w:hyperlink>
    </w:p>
    <w:p w14:paraId="3064FD5D" w14:textId="5DC7051B" w:rsidR="00402898" w:rsidRDefault="00E24F0B">
      <w:pPr>
        <w:pStyle w:val="TOC2"/>
        <w:rPr>
          <w:rFonts w:eastAsiaTheme="minorEastAsia"/>
          <w:b w:val="0"/>
          <w:bCs w:val="0"/>
          <w:noProof/>
          <w:szCs w:val="24"/>
        </w:rPr>
      </w:pPr>
      <w:hyperlink w:anchor="_Toc8623412" w:history="1">
        <w:r w:rsidR="00402898" w:rsidRPr="00821EF3">
          <w:rPr>
            <w:rStyle w:val="Hyperlink"/>
            <w:rFonts w:cs="Arial"/>
            <w:noProof/>
          </w:rPr>
          <w:t>Conclusion and Recommendations</w:t>
        </w:r>
        <w:r w:rsidR="00402898">
          <w:rPr>
            <w:noProof/>
            <w:webHidden/>
          </w:rPr>
          <w:tab/>
        </w:r>
        <w:r w:rsidR="00402898">
          <w:rPr>
            <w:noProof/>
            <w:webHidden/>
          </w:rPr>
          <w:fldChar w:fldCharType="begin"/>
        </w:r>
        <w:r w:rsidR="00402898">
          <w:rPr>
            <w:noProof/>
            <w:webHidden/>
          </w:rPr>
          <w:instrText xml:space="preserve"> PAGEREF _Toc8623412 \h </w:instrText>
        </w:r>
        <w:r w:rsidR="00402898">
          <w:rPr>
            <w:noProof/>
            <w:webHidden/>
          </w:rPr>
        </w:r>
        <w:r w:rsidR="00402898">
          <w:rPr>
            <w:noProof/>
            <w:webHidden/>
          </w:rPr>
          <w:fldChar w:fldCharType="separate"/>
        </w:r>
        <w:r w:rsidR="00EB332C">
          <w:rPr>
            <w:noProof/>
            <w:webHidden/>
          </w:rPr>
          <w:t>21</w:t>
        </w:r>
        <w:r w:rsidR="00402898">
          <w:rPr>
            <w:noProof/>
            <w:webHidden/>
          </w:rPr>
          <w:fldChar w:fldCharType="end"/>
        </w:r>
      </w:hyperlink>
    </w:p>
    <w:p w14:paraId="2D58B03A" w14:textId="4017CF00" w:rsidR="00402898" w:rsidRDefault="00E24F0B">
      <w:pPr>
        <w:pStyle w:val="TOC3"/>
        <w:rPr>
          <w:rFonts w:eastAsiaTheme="minorEastAsia"/>
          <w:noProof/>
          <w:szCs w:val="24"/>
        </w:rPr>
      </w:pPr>
      <w:hyperlink w:anchor="_Toc8623413" w:history="1">
        <w:r w:rsidR="00402898" w:rsidRPr="00821EF3">
          <w:rPr>
            <w:rStyle w:val="Hyperlink"/>
            <w:noProof/>
            <w:lang w:val="en-AU"/>
          </w:rPr>
          <w:t>Conclusion</w:t>
        </w:r>
        <w:r w:rsidR="00402898">
          <w:rPr>
            <w:noProof/>
            <w:webHidden/>
          </w:rPr>
          <w:tab/>
        </w:r>
        <w:r w:rsidR="00402898">
          <w:rPr>
            <w:noProof/>
            <w:webHidden/>
          </w:rPr>
          <w:fldChar w:fldCharType="begin"/>
        </w:r>
        <w:r w:rsidR="00402898">
          <w:rPr>
            <w:noProof/>
            <w:webHidden/>
          </w:rPr>
          <w:instrText xml:space="preserve"> PAGEREF _Toc8623413 \h </w:instrText>
        </w:r>
        <w:r w:rsidR="00402898">
          <w:rPr>
            <w:noProof/>
            <w:webHidden/>
          </w:rPr>
        </w:r>
        <w:r w:rsidR="00402898">
          <w:rPr>
            <w:noProof/>
            <w:webHidden/>
          </w:rPr>
          <w:fldChar w:fldCharType="separate"/>
        </w:r>
        <w:r w:rsidR="00EB332C">
          <w:rPr>
            <w:noProof/>
            <w:webHidden/>
          </w:rPr>
          <w:t>21</w:t>
        </w:r>
        <w:r w:rsidR="00402898">
          <w:rPr>
            <w:noProof/>
            <w:webHidden/>
          </w:rPr>
          <w:fldChar w:fldCharType="end"/>
        </w:r>
      </w:hyperlink>
    </w:p>
    <w:p w14:paraId="3E6D79F0" w14:textId="2C3F608D" w:rsidR="00402898" w:rsidRDefault="00E24F0B">
      <w:pPr>
        <w:pStyle w:val="TOC3"/>
        <w:rPr>
          <w:rFonts w:eastAsiaTheme="minorEastAsia"/>
          <w:noProof/>
          <w:szCs w:val="24"/>
        </w:rPr>
      </w:pPr>
      <w:hyperlink w:anchor="_Toc8623414" w:history="1">
        <w:r w:rsidR="00402898" w:rsidRPr="00821EF3">
          <w:rPr>
            <w:rStyle w:val="Hyperlink"/>
            <w:noProof/>
            <w:lang w:val="en-AU"/>
          </w:rPr>
          <w:t>Recommendations</w:t>
        </w:r>
        <w:r w:rsidR="00402898">
          <w:rPr>
            <w:noProof/>
            <w:webHidden/>
          </w:rPr>
          <w:tab/>
        </w:r>
        <w:r w:rsidR="00402898">
          <w:rPr>
            <w:noProof/>
            <w:webHidden/>
          </w:rPr>
          <w:fldChar w:fldCharType="begin"/>
        </w:r>
        <w:r w:rsidR="00402898">
          <w:rPr>
            <w:noProof/>
            <w:webHidden/>
          </w:rPr>
          <w:instrText xml:space="preserve"> PAGEREF _Toc8623414 \h </w:instrText>
        </w:r>
        <w:r w:rsidR="00402898">
          <w:rPr>
            <w:noProof/>
            <w:webHidden/>
          </w:rPr>
        </w:r>
        <w:r w:rsidR="00402898">
          <w:rPr>
            <w:noProof/>
            <w:webHidden/>
          </w:rPr>
          <w:fldChar w:fldCharType="separate"/>
        </w:r>
        <w:r w:rsidR="00EB332C">
          <w:rPr>
            <w:noProof/>
            <w:webHidden/>
          </w:rPr>
          <w:t>21</w:t>
        </w:r>
        <w:r w:rsidR="00402898">
          <w:rPr>
            <w:noProof/>
            <w:webHidden/>
          </w:rPr>
          <w:fldChar w:fldCharType="end"/>
        </w:r>
      </w:hyperlink>
    </w:p>
    <w:p w14:paraId="08EBB000" w14:textId="24D979B3" w:rsidR="00402898" w:rsidRDefault="00E24F0B">
      <w:pPr>
        <w:pStyle w:val="TOC2"/>
        <w:rPr>
          <w:rFonts w:eastAsiaTheme="minorEastAsia"/>
          <w:b w:val="0"/>
          <w:bCs w:val="0"/>
          <w:noProof/>
          <w:szCs w:val="24"/>
        </w:rPr>
      </w:pPr>
      <w:hyperlink w:anchor="_Toc8623415" w:history="1">
        <w:r w:rsidR="00402898" w:rsidRPr="00821EF3">
          <w:rPr>
            <w:rStyle w:val="Hyperlink"/>
            <w:rFonts w:cs="Arial"/>
            <w:noProof/>
          </w:rPr>
          <w:t xml:space="preserve">Annex 1: Proposed Amendments to </w:t>
        </w:r>
        <w:r w:rsidR="00402898" w:rsidRPr="00821EF3">
          <w:rPr>
            <w:rStyle w:val="Hyperlink"/>
            <w:i/>
            <w:noProof/>
          </w:rPr>
          <w:t>Schedule 1 - Statement of Requirements</w:t>
        </w:r>
        <w:r w:rsidR="00402898" w:rsidRPr="00821EF3">
          <w:rPr>
            <w:rStyle w:val="Hyperlink"/>
            <w:noProof/>
          </w:rPr>
          <w:t>, Contract# 72209</w:t>
        </w:r>
        <w:r w:rsidR="00402898">
          <w:rPr>
            <w:noProof/>
            <w:webHidden/>
          </w:rPr>
          <w:tab/>
        </w:r>
        <w:r w:rsidR="00402898">
          <w:rPr>
            <w:noProof/>
            <w:webHidden/>
          </w:rPr>
          <w:fldChar w:fldCharType="begin"/>
        </w:r>
        <w:r w:rsidR="00402898">
          <w:rPr>
            <w:noProof/>
            <w:webHidden/>
          </w:rPr>
          <w:instrText xml:space="preserve"> PAGEREF _Toc8623415 \h </w:instrText>
        </w:r>
        <w:r w:rsidR="00402898">
          <w:rPr>
            <w:noProof/>
            <w:webHidden/>
          </w:rPr>
        </w:r>
        <w:r w:rsidR="00402898">
          <w:rPr>
            <w:noProof/>
            <w:webHidden/>
          </w:rPr>
          <w:fldChar w:fldCharType="separate"/>
        </w:r>
        <w:r w:rsidR="00EB332C">
          <w:rPr>
            <w:noProof/>
            <w:webHidden/>
          </w:rPr>
          <w:t>25</w:t>
        </w:r>
        <w:r w:rsidR="00402898">
          <w:rPr>
            <w:noProof/>
            <w:webHidden/>
          </w:rPr>
          <w:fldChar w:fldCharType="end"/>
        </w:r>
      </w:hyperlink>
    </w:p>
    <w:p w14:paraId="54CBB23C" w14:textId="1D7CF29F" w:rsidR="00402898" w:rsidRDefault="00E24F0B">
      <w:pPr>
        <w:pStyle w:val="TOC2"/>
        <w:rPr>
          <w:rFonts w:eastAsiaTheme="minorEastAsia"/>
          <w:b w:val="0"/>
          <w:bCs w:val="0"/>
          <w:noProof/>
          <w:szCs w:val="24"/>
        </w:rPr>
      </w:pPr>
      <w:hyperlink w:anchor="_Toc8623416" w:history="1">
        <w:r w:rsidR="00402898" w:rsidRPr="00821EF3">
          <w:rPr>
            <w:rStyle w:val="Hyperlink"/>
            <w:rFonts w:cs="Arial"/>
            <w:noProof/>
          </w:rPr>
          <w:t>Annex 2: Terms of Reference</w:t>
        </w:r>
        <w:r w:rsidR="00402898">
          <w:rPr>
            <w:noProof/>
            <w:webHidden/>
          </w:rPr>
          <w:tab/>
        </w:r>
        <w:r w:rsidR="00402898">
          <w:rPr>
            <w:noProof/>
            <w:webHidden/>
          </w:rPr>
          <w:fldChar w:fldCharType="begin"/>
        </w:r>
        <w:r w:rsidR="00402898">
          <w:rPr>
            <w:noProof/>
            <w:webHidden/>
          </w:rPr>
          <w:instrText xml:space="preserve"> PAGEREF _Toc8623416 \h </w:instrText>
        </w:r>
        <w:r w:rsidR="00402898">
          <w:rPr>
            <w:noProof/>
            <w:webHidden/>
          </w:rPr>
        </w:r>
        <w:r w:rsidR="00402898">
          <w:rPr>
            <w:noProof/>
            <w:webHidden/>
          </w:rPr>
          <w:fldChar w:fldCharType="separate"/>
        </w:r>
        <w:r w:rsidR="00EB332C">
          <w:rPr>
            <w:noProof/>
            <w:webHidden/>
          </w:rPr>
          <w:t>27</w:t>
        </w:r>
        <w:r w:rsidR="00402898">
          <w:rPr>
            <w:noProof/>
            <w:webHidden/>
          </w:rPr>
          <w:fldChar w:fldCharType="end"/>
        </w:r>
      </w:hyperlink>
    </w:p>
    <w:p w14:paraId="25819784" w14:textId="571203DE" w:rsidR="00402898" w:rsidRDefault="00E24F0B">
      <w:pPr>
        <w:pStyle w:val="TOC2"/>
        <w:rPr>
          <w:rFonts w:eastAsiaTheme="minorEastAsia"/>
          <w:b w:val="0"/>
          <w:bCs w:val="0"/>
          <w:noProof/>
          <w:szCs w:val="24"/>
        </w:rPr>
      </w:pPr>
      <w:hyperlink w:anchor="_Toc8623417" w:history="1">
        <w:r w:rsidR="00402898" w:rsidRPr="00821EF3">
          <w:rPr>
            <w:rStyle w:val="Hyperlink"/>
            <w:rFonts w:cs="Arial"/>
            <w:noProof/>
          </w:rPr>
          <w:t>Annex 3: Documents Reviewed</w:t>
        </w:r>
        <w:r w:rsidR="00402898">
          <w:rPr>
            <w:noProof/>
            <w:webHidden/>
          </w:rPr>
          <w:tab/>
        </w:r>
        <w:r w:rsidR="00402898">
          <w:rPr>
            <w:noProof/>
            <w:webHidden/>
          </w:rPr>
          <w:fldChar w:fldCharType="begin"/>
        </w:r>
        <w:r w:rsidR="00402898">
          <w:rPr>
            <w:noProof/>
            <w:webHidden/>
          </w:rPr>
          <w:instrText xml:space="preserve"> PAGEREF _Toc8623417 \h </w:instrText>
        </w:r>
        <w:r w:rsidR="00402898">
          <w:rPr>
            <w:noProof/>
            <w:webHidden/>
          </w:rPr>
        </w:r>
        <w:r w:rsidR="00402898">
          <w:rPr>
            <w:noProof/>
            <w:webHidden/>
          </w:rPr>
          <w:fldChar w:fldCharType="separate"/>
        </w:r>
        <w:r w:rsidR="00EB332C">
          <w:rPr>
            <w:noProof/>
            <w:webHidden/>
          </w:rPr>
          <w:t>28</w:t>
        </w:r>
        <w:r w:rsidR="00402898">
          <w:rPr>
            <w:noProof/>
            <w:webHidden/>
          </w:rPr>
          <w:fldChar w:fldCharType="end"/>
        </w:r>
      </w:hyperlink>
    </w:p>
    <w:p w14:paraId="779E761F" w14:textId="38CF982C" w:rsidR="00402898" w:rsidRDefault="00E24F0B">
      <w:pPr>
        <w:pStyle w:val="TOC2"/>
        <w:rPr>
          <w:rFonts w:eastAsiaTheme="minorEastAsia"/>
          <w:b w:val="0"/>
          <w:bCs w:val="0"/>
          <w:noProof/>
          <w:szCs w:val="24"/>
        </w:rPr>
      </w:pPr>
      <w:hyperlink w:anchor="_Toc8623418" w:history="1">
        <w:r w:rsidR="00402898" w:rsidRPr="00821EF3">
          <w:rPr>
            <w:rStyle w:val="Hyperlink"/>
            <w:rFonts w:cs="Arial"/>
            <w:noProof/>
          </w:rPr>
          <w:t>Annex 4: List of Mid Term Review Participants</w:t>
        </w:r>
        <w:r w:rsidR="00402898">
          <w:rPr>
            <w:noProof/>
            <w:webHidden/>
          </w:rPr>
          <w:tab/>
        </w:r>
        <w:r w:rsidR="00402898">
          <w:rPr>
            <w:noProof/>
            <w:webHidden/>
          </w:rPr>
          <w:fldChar w:fldCharType="begin"/>
        </w:r>
        <w:r w:rsidR="00402898">
          <w:rPr>
            <w:noProof/>
            <w:webHidden/>
          </w:rPr>
          <w:instrText xml:space="preserve"> PAGEREF _Toc8623418 \h </w:instrText>
        </w:r>
        <w:r w:rsidR="00402898">
          <w:rPr>
            <w:noProof/>
            <w:webHidden/>
          </w:rPr>
        </w:r>
        <w:r w:rsidR="00402898">
          <w:rPr>
            <w:noProof/>
            <w:webHidden/>
          </w:rPr>
          <w:fldChar w:fldCharType="separate"/>
        </w:r>
        <w:r w:rsidR="00EB332C">
          <w:rPr>
            <w:noProof/>
            <w:webHidden/>
          </w:rPr>
          <w:t>29</w:t>
        </w:r>
        <w:r w:rsidR="00402898">
          <w:rPr>
            <w:noProof/>
            <w:webHidden/>
          </w:rPr>
          <w:fldChar w:fldCharType="end"/>
        </w:r>
      </w:hyperlink>
    </w:p>
    <w:p w14:paraId="152674EE" w14:textId="16957F3B" w:rsidR="00402898" w:rsidRDefault="00E24F0B">
      <w:pPr>
        <w:pStyle w:val="TOC2"/>
        <w:rPr>
          <w:rFonts w:eastAsiaTheme="minorEastAsia"/>
          <w:b w:val="0"/>
          <w:bCs w:val="0"/>
          <w:noProof/>
          <w:szCs w:val="24"/>
        </w:rPr>
      </w:pPr>
      <w:hyperlink w:anchor="_Toc8623419" w:history="1">
        <w:r w:rsidR="00402898" w:rsidRPr="00821EF3">
          <w:rPr>
            <w:rStyle w:val="Hyperlink"/>
            <w:rFonts w:cs="Arial"/>
            <w:noProof/>
          </w:rPr>
          <w:t>Annex 5: APTC – Kiribati Facility Coherence</w:t>
        </w:r>
        <w:r w:rsidR="00402898">
          <w:rPr>
            <w:noProof/>
            <w:webHidden/>
          </w:rPr>
          <w:tab/>
        </w:r>
        <w:r w:rsidR="00402898">
          <w:rPr>
            <w:noProof/>
            <w:webHidden/>
          </w:rPr>
          <w:fldChar w:fldCharType="begin"/>
        </w:r>
        <w:r w:rsidR="00402898">
          <w:rPr>
            <w:noProof/>
            <w:webHidden/>
          </w:rPr>
          <w:instrText xml:space="preserve"> PAGEREF _Toc8623419 \h </w:instrText>
        </w:r>
        <w:r w:rsidR="00402898">
          <w:rPr>
            <w:noProof/>
            <w:webHidden/>
          </w:rPr>
        </w:r>
        <w:r w:rsidR="00402898">
          <w:rPr>
            <w:noProof/>
            <w:webHidden/>
          </w:rPr>
          <w:fldChar w:fldCharType="separate"/>
        </w:r>
        <w:r w:rsidR="00EB332C">
          <w:rPr>
            <w:noProof/>
            <w:webHidden/>
          </w:rPr>
          <w:t>30</w:t>
        </w:r>
        <w:r w:rsidR="00402898">
          <w:rPr>
            <w:noProof/>
            <w:webHidden/>
          </w:rPr>
          <w:fldChar w:fldCharType="end"/>
        </w:r>
      </w:hyperlink>
    </w:p>
    <w:p w14:paraId="7F609710" w14:textId="7E71E305" w:rsidR="00402898" w:rsidRDefault="00E24F0B">
      <w:pPr>
        <w:pStyle w:val="TOC2"/>
        <w:rPr>
          <w:rFonts w:eastAsiaTheme="minorEastAsia"/>
          <w:b w:val="0"/>
          <w:bCs w:val="0"/>
          <w:noProof/>
          <w:szCs w:val="24"/>
        </w:rPr>
      </w:pPr>
      <w:hyperlink w:anchor="_Toc8623420" w:history="1">
        <w:r w:rsidR="00402898" w:rsidRPr="00821EF3">
          <w:rPr>
            <w:rStyle w:val="Hyperlink"/>
            <w:rFonts w:cs="Arial"/>
            <w:noProof/>
          </w:rPr>
          <w:t>Annex 6: Pacific TVET Comparison</w:t>
        </w:r>
        <w:r w:rsidR="00402898">
          <w:rPr>
            <w:noProof/>
            <w:webHidden/>
          </w:rPr>
          <w:tab/>
        </w:r>
        <w:r w:rsidR="00402898">
          <w:rPr>
            <w:noProof/>
            <w:webHidden/>
          </w:rPr>
          <w:fldChar w:fldCharType="begin"/>
        </w:r>
        <w:r w:rsidR="00402898">
          <w:rPr>
            <w:noProof/>
            <w:webHidden/>
          </w:rPr>
          <w:instrText xml:space="preserve"> PAGEREF _Toc8623420 \h </w:instrText>
        </w:r>
        <w:r w:rsidR="00402898">
          <w:rPr>
            <w:noProof/>
            <w:webHidden/>
          </w:rPr>
        </w:r>
        <w:r w:rsidR="00402898">
          <w:rPr>
            <w:noProof/>
            <w:webHidden/>
          </w:rPr>
          <w:fldChar w:fldCharType="separate"/>
        </w:r>
        <w:r w:rsidR="00EB332C">
          <w:rPr>
            <w:noProof/>
            <w:webHidden/>
          </w:rPr>
          <w:t>32</w:t>
        </w:r>
        <w:r w:rsidR="00402898">
          <w:rPr>
            <w:noProof/>
            <w:webHidden/>
          </w:rPr>
          <w:fldChar w:fldCharType="end"/>
        </w:r>
      </w:hyperlink>
    </w:p>
    <w:p w14:paraId="4F70F7FD" w14:textId="0F9F9610" w:rsidR="009216E9" w:rsidRPr="00E22B40" w:rsidRDefault="00BB5687">
      <w:pPr>
        <w:rPr>
          <w:rFonts w:asciiTheme="minorHAnsi" w:hAnsiTheme="minorHAnsi" w:cs="Arial"/>
        </w:rPr>
      </w:pPr>
      <w:r w:rsidRPr="00E22B40">
        <w:rPr>
          <w:rFonts w:asciiTheme="minorHAnsi" w:hAnsiTheme="minorHAnsi" w:cs="Arial"/>
          <w:caps/>
        </w:rPr>
        <w:fldChar w:fldCharType="end"/>
      </w:r>
    </w:p>
    <w:p w14:paraId="3BE67A41" w14:textId="77777777" w:rsidR="009D6F93" w:rsidRPr="00E22B40" w:rsidRDefault="009D6F93" w:rsidP="00914B6A">
      <w:pPr>
        <w:pStyle w:val="Heading1"/>
        <w:rPr>
          <w:rFonts w:asciiTheme="minorHAnsi" w:hAnsiTheme="minorHAnsi" w:cs="Arial"/>
        </w:rPr>
        <w:sectPr w:rsidR="009D6F93" w:rsidRPr="00E22B40" w:rsidSect="004B7EE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fmt="lowerRoman" w:start="1"/>
          <w:cols w:space="708"/>
          <w:docGrid w:linePitch="360"/>
        </w:sectPr>
      </w:pPr>
    </w:p>
    <w:p w14:paraId="02210030" w14:textId="48849E2C" w:rsidR="00255374" w:rsidRPr="00E22B40" w:rsidRDefault="00424A44" w:rsidP="00255374">
      <w:pPr>
        <w:pStyle w:val="Heading2"/>
        <w:spacing w:before="360"/>
        <w:ind w:left="431" w:hanging="431"/>
        <w:rPr>
          <w:rFonts w:asciiTheme="minorHAnsi" w:hAnsiTheme="minorHAnsi" w:cs="Arial"/>
        </w:rPr>
      </w:pPr>
      <w:bookmarkStart w:id="4" w:name="_Toc8623394"/>
      <w:r>
        <w:rPr>
          <w:rFonts w:asciiTheme="minorHAnsi" w:hAnsiTheme="minorHAnsi" w:cs="Arial"/>
        </w:rPr>
        <w:lastRenderedPageBreak/>
        <w:t>Executive Summary</w:t>
      </w:r>
      <w:bookmarkEnd w:id="4"/>
      <w:r w:rsidR="003B0F24" w:rsidRPr="00E22B40">
        <w:rPr>
          <w:rFonts w:asciiTheme="minorHAnsi" w:hAnsiTheme="minorHAnsi" w:cs="Arial"/>
        </w:rPr>
        <w:t xml:space="preserve"> </w:t>
      </w:r>
    </w:p>
    <w:p w14:paraId="3A9BDF86" w14:textId="29FA2495" w:rsidR="00B76904" w:rsidRPr="00B76904" w:rsidRDefault="00B76904" w:rsidP="00B851A5">
      <w:pPr>
        <w:rPr>
          <w:rFonts w:asciiTheme="minorHAnsi" w:hAnsiTheme="minorHAnsi" w:cs="Arial"/>
          <w:sz w:val="20"/>
          <w:szCs w:val="20"/>
        </w:rPr>
      </w:pPr>
      <w:r w:rsidRPr="00B76904">
        <w:rPr>
          <w:rFonts w:ascii="Calibri" w:hAnsi="Calibri" w:cs="Calibri"/>
          <w:b/>
          <w:sz w:val="20"/>
          <w:szCs w:val="20"/>
        </w:rPr>
        <w:t>The Kiribati Facility</w:t>
      </w:r>
      <w:r w:rsidRPr="00B76904">
        <w:rPr>
          <w:rFonts w:ascii="Calibri" w:hAnsi="Calibri" w:cs="Calibri"/>
          <w:sz w:val="20"/>
          <w:szCs w:val="20"/>
        </w:rPr>
        <w:t xml:space="preserve"> </w:t>
      </w:r>
      <w:r w:rsidRPr="00EC4BDD">
        <w:rPr>
          <w:rFonts w:asciiTheme="minorHAnsi" w:hAnsiTheme="minorHAnsi" w:cs="Arial"/>
          <w:sz w:val="20"/>
          <w:szCs w:val="20"/>
        </w:rPr>
        <w:t>is a $20 million Australian Government investment over 3.5 years (2016-2020), designed to increase leadership and coordination capacity of the Government of Kiribati Ministry of Employment and Human Resources (MEHR) in the skills and employment sector. The Facility comprises the Skills for Employment Program (SfEP) and the Flexible Support Facility (FSF). SfEP supports the management and delivery of the Kiribati Institute of Technology (KIT), overseen by MEHR.</w:t>
      </w:r>
      <w:r w:rsidR="009D7CDD" w:rsidRPr="00EC4BDD">
        <w:rPr>
          <w:rFonts w:asciiTheme="minorHAnsi" w:hAnsiTheme="minorHAnsi" w:cs="Arial"/>
          <w:sz w:val="20"/>
          <w:szCs w:val="20"/>
        </w:rPr>
        <w:t xml:space="preserve"> The goal of SfEP is </w:t>
      </w:r>
      <w:r w:rsidR="00EC4BDD" w:rsidRPr="00EC4BDD">
        <w:rPr>
          <w:rFonts w:asciiTheme="minorHAnsi" w:hAnsiTheme="minorHAnsi" w:cs="Arial"/>
          <w:sz w:val="20"/>
          <w:szCs w:val="20"/>
        </w:rPr>
        <w:t>‘</w:t>
      </w:r>
      <w:r w:rsidR="009D7CDD" w:rsidRPr="00EC4BDD">
        <w:rPr>
          <w:rFonts w:asciiTheme="minorHAnsi" w:hAnsiTheme="minorHAnsi" w:cs="Arial"/>
          <w:sz w:val="20"/>
          <w:szCs w:val="20"/>
        </w:rPr>
        <w:t>a more capable, qualified and mobile I-Kiribati workforce</w:t>
      </w:r>
      <w:r w:rsidR="00EC4BDD" w:rsidRPr="00EC4BDD">
        <w:rPr>
          <w:rFonts w:asciiTheme="minorHAnsi" w:hAnsiTheme="minorHAnsi" w:cs="Arial"/>
          <w:sz w:val="20"/>
          <w:szCs w:val="20"/>
        </w:rPr>
        <w:t>’</w:t>
      </w:r>
      <w:r w:rsidR="009D7CDD" w:rsidRPr="00EC4BDD">
        <w:rPr>
          <w:rFonts w:asciiTheme="minorHAnsi" w:hAnsiTheme="minorHAnsi" w:cs="Arial"/>
          <w:sz w:val="20"/>
          <w:szCs w:val="20"/>
        </w:rPr>
        <w:t>.</w:t>
      </w:r>
      <w:r w:rsidRPr="00EC4BDD">
        <w:rPr>
          <w:rFonts w:asciiTheme="minorHAnsi" w:hAnsiTheme="minorHAnsi" w:cs="Arial"/>
          <w:sz w:val="20"/>
          <w:szCs w:val="20"/>
        </w:rPr>
        <w:t xml:space="preserve"> FSF supports SfEP-related activities, and other-donor/sector non-SfEP funded activities</w:t>
      </w:r>
      <w:r w:rsidRPr="00B76904">
        <w:rPr>
          <w:rFonts w:ascii="Calibri" w:hAnsi="Calibri" w:cs="Calibri"/>
          <w:sz w:val="20"/>
          <w:szCs w:val="20"/>
        </w:rPr>
        <w:t xml:space="preserve">. </w:t>
      </w:r>
    </w:p>
    <w:p w14:paraId="2291A105" w14:textId="77777777" w:rsidR="00B76904" w:rsidRDefault="00B76904" w:rsidP="00B851A5">
      <w:pPr>
        <w:rPr>
          <w:rFonts w:asciiTheme="minorHAnsi" w:hAnsiTheme="minorHAnsi" w:cs="Arial"/>
          <w:sz w:val="22"/>
          <w:szCs w:val="22"/>
        </w:rPr>
      </w:pPr>
    </w:p>
    <w:p w14:paraId="5364A1FF" w14:textId="615DCBE5" w:rsidR="00B76904" w:rsidRPr="00B76904" w:rsidRDefault="00B76904" w:rsidP="00B851A5">
      <w:pPr>
        <w:rPr>
          <w:rFonts w:asciiTheme="minorHAnsi" w:hAnsiTheme="minorHAnsi" w:cs="Arial"/>
          <w:b/>
          <w:sz w:val="22"/>
          <w:szCs w:val="22"/>
        </w:rPr>
      </w:pPr>
      <w:r w:rsidRPr="00B76904">
        <w:rPr>
          <w:rFonts w:asciiTheme="minorHAnsi" w:hAnsiTheme="minorHAnsi" w:cs="Arial"/>
          <w:b/>
          <w:sz w:val="22"/>
          <w:szCs w:val="22"/>
        </w:rPr>
        <w:t>Purpose, scope and methodology</w:t>
      </w:r>
    </w:p>
    <w:p w14:paraId="5145E4C9" w14:textId="08DAF7E4" w:rsidR="00E43114" w:rsidRPr="00B76904" w:rsidRDefault="00424A44" w:rsidP="00B851A5">
      <w:pPr>
        <w:rPr>
          <w:rFonts w:asciiTheme="minorHAnsi" w:hAnsiTheme="minorHAnsi" w:cs="Arial"/>
          <w:sz w:val="20"/>
          <w:szCs w:val="20"/>
        </w:rPr>
      </w:pPr>
      <w:r w:rsidRPr="00B76904">
        <w:rPr>
          <w:rFonts w:asciiTheme="minorHAnsi" w:hAnsiTheme="minorHAnsi" w:cs="Arial"/>
          <w:sz w:val="20"/>
          <w:szCs w:val="20"/>
        </w:rPr>
        <w:t>The</w:t>
      </w:r>
      <w:r w:rsidR="00E43114" w:rsidRPr="00B76904">
        <w:rPr>
          <w:rFonts w:asciiTheme="minorHAnsi" w:hAnsiTheme="minorHAnsi" w:cs="Arial"/>
          <w:sz w:val="20"/>
          <w:szCs w:val="20"/>
        </w:rPr>
        <w:t xml:space="preserve"> </w:t>
      </w:r>
      <w:r w:rsidR="0020689D" w:rsidRPr="00B76904">
        <w:rPr>
          <w:rFonts w:asciiTheme="minorHAnsi" w:hAnsiTheme="minorHAnsi" w:cs="Arial"/>
          <w:sz w:val="20"/>
          <w:szCs w:val="20"/>
        </w:rPr>
        <w:t>Mid</w:t>
      </w:r>
      <w:r w:rsidR="007A3037" w:rsidRPr="00B76904">
        <w:rPr>
          <w:rFonts w:asciiTheme="minorHAnsi" w:hAnsiTheme="minorHAnsi" w:cs="Arial"/>
          <w:sz w:val="20"/>
          <w:szCs w:val="20"/>
        </w:rPr>
        <w:t xml:space="preserve"> - </w:t>
      </w:r>
      <w:r w:rsidR="0020689D" w:rsidRPr="00B76904">
        <w:rPr>
          <w:rFonts w:asciiTheme="minorHAnsi" w:hAnsiTheme="minorHAnsi" w:cs="Arial"/>
          <w:sz w:val="20"/>
          <w:szCs w:val="20"/>
        </w:rPr>
        <w:t>Term</w:t>
      </w:r>
      <w:r w:rsidR="00A03157" w:rsidRPr="00B76904">
        <w:rPr>
          <w:rFonts w:asciiTheme="minorHAnsi" w:hAnsiTheme="minorHAnsi" w:cs="Arial"/>
          <w:sz w:val="20"/>
          <w:szCs w:val="20"/>
        </w:rPr>
        <w:t xml:space="preserve"> </w:t>
      </w:r>
      <w:r w:rsidR="0020689D" w:rsidRPr="00B76904">
        <w:rPr>
          <w:rFonts w:asciiTheme="minorHAnsi" w:hAnsiTheme="minorHAnsi" w:cs="Arial"/>
          <w:sz w:val="20"/>
          <w:szCs w:val="20"/>
        </w:rPr>
        <w:t>R</w:t>
      </w:r>
      <w:r w:rsidR="00A03157" w:rsidRPr="00B76904">
        <w:rPr>
          <w:rFonts w:asciiTheme="minorHAnsi" w:hAnsiTheme="minorHAnsi" w:cs="Arial"/>
          <w:sz w:val="20"/>
          <w:szCs w:val="20"/>
        </w:rPr>
        <w:t>eview of the Kiribati Facility</w:t>
      </w:r>
      <w:r w:rsidRPr="00B76904">
        <w:rPr>
          <w:rFonts w:asciiTheme="minorHAnsi" w:hAnsiTheme="minorHAnsi" w:cs="Arial"/>
          <w:sz w:val="20"/>
          <w:szCs w:val="20"/>
        </w:rPr>
        <w:t xml:space="preserve"> was </w:t>
      </w:r>
      <w:r w:rsidR="00E43114" w:rsidRPr="00B76904">
        <w:rPr>
          <w:rFonts w:asciiTheme="minorHAnsi" w:hAnsiTheme="minorHAnsi" w:cs="Arial"/>
          <w:sz w:val="20"/>
          <w:szCs w:val="20"/>
        </w:rPr>
        <w:t xml:space="preserve">commissioned by </w:t>
      </w:r>
      <w:r w:rsidR="00D01DF6" w:rsidRPr="00B76904">
        <w:rPr>
          <w:rFonts w:asciiTheme="minorHAnsi" w:hAnsiTheme="minorHAnsi" w:cs="Arial"/>
          <w:sz w:val="20"/>
          <w:szCs w:val="20"/>
        </w:rPr>
        <w:t>Department of Foreign Affairs and Trade (DFAT)</w:t>
      </w:r>
      <w:r w:rsidRPr="00B76904">
        <w:rPr>
          <w:rFonts w:asciiTheme="minorHAnsi" w:hAnsiTheme="minorHAnsi" w:cs="Arial"/>
          <w:sz w:val="20"/>
          <w:szCs w:val="20"/>
        </w:rPr>
        <w:t xml:space="preserve">. The requirements of the review were to assess </w:t>
      </w:r>
      <w:r w:rsidR="0020689D" w:rsidRPr="00B76904">
        <w:rPr>
          <w:rFonts w:asciiTheme="minorHAnsi" w:hAnsiTheme="minorHAnsi" w:cs="Arial"/>
          <w:sz w:val="20"/>
          <w:szCs w:val="20"/>
        </w:rPr>
        <w:t>all the support provided to the Kiribati Facility since September 2016, including both the</w:t>
      </w:r>
      <w:r w:rsidR="007A3037" w:rsidRPr="00B76904">
        <w:rPr>
          <w:rFonts w:asciiTheme="minorHAnsi" w:hAnsiTheme="minorHAnsi" w:cs="Arial"/>
          <w:sz w:val="20"/>
          <w:szCs w:val="20"/>
        </w:rPr>
        <w:t xml:space="preserve"> </w:t>
      </w:r>
      <w:r w:rsidR="0020689D" w:rsidRPr="00B76904">
        <w:rPr>
          <w:rFonts w:ascii="Calibri" w:hAnsi="Calibri" w:cs="Calibri"/>
          <w:sz w:val="20"/>
          <w:szCs w:val="20"/>
        </w:rPr>
        <w:t>Skills for Employment Program and the Flexible Support Facility.</w:t>
      </w:r>
    </w:p>
    <w:p w14:paraId="3F025AF5" w14:textId="77777777" w:rsidR="00B467B4" w:rsidRPr="00B76904" w:rsidRDefault="00B467B4" w:rsidP="00B851A5">
      <w:pPr>
        <w:rPr>
          <w:rFonts w:asciiTheme="minorHAnsi" w:hAnsiTheme="minorHAnsi" w:cs="Arial"/>
          <w:sz w:val="20"/>
          <w:szCs w:val="20"/>
        </w:rPr>
      </w:pPr>
    </w:p>
    <w:p w14:paraId="29E791ED" w14:textId="1405A875" w:rsidR="00B76904" w:rsidRPr="00B76904" w:rsidRDefault="00E43114" w:rsidP="00B851A5">
      <w:pPr>
        <w:rPr>
          <w:rFonts w:asciiTheme="minorHAnsi" w:hAnsiTheme="minorHAnsi" w:cs="Arial"/>
          <w:sz w:val="20"/>
          <w:szCs w:val="20"/>
        </w:rPr>
      </w:pPr>
      <w:r w:rsidRPr="00B76904">
        <w:rPr>
          <w:rFonts w:asciiTheme="minorHAnsi" w:hAnsiTheme="minorHAnsi" w:cs="Arial"/>
          <w:sz w:val="20"/>
          <w:szCs w:val="20"/>
        </w:rPr>
        <w:t xml:space="preserve">The </w:t>
      </w:r>
      <w:r w:rsidR="006C006D" w:rsidRPr="00B76904">
        <w:rPr>
          <w:rFonts w:asciiTheme="minorHAnsi" w:hAnsiTheme="minorHAnsi" w:cs="Arial"/>
          <w:sz w:val="20"/>
          <w:szCs w:val="20"/>
        </w:rPr>
        <w:t>Review</w:t>
      </w:r>
      <w:r w:rsidR="00D01DF6" w:rsidRPr="00B76904">
        <w:rPr>
          <w:rFonts w:asciiTheme="minorHAnsi" w:hAnsiTheme="minorHAnsi" w:cs="Arial"/>
          <w:sz w:val="20"/>
          <w:szCs w:val="20"/>
        </w:rPr>
        <w:t>’</w:t>
      </w:r>
      <w:r w:rsidRPr="00B76904">
        <w:rPr>
          <w:rFonts w:asciiTheme="minorHAnsi" w:hAnsiTheme="minorHAnsi" w:cs="Arial"/>
          <w:sz w:val="20"/>
          <w:szCs w:val="20"/>
        </w:rPr>
        <w:t xml:space="preserve">s timing and approach </w:t>
      </w:r>
      <w:r w:rsidR="00424A44" w:rsidRPr="00B76904">
        <w:rPr>
          <w:rFonts w:asciiTheme="minorHAnsi" w:hAnsiTheme="minorHAnsi" w:cs="Arial"/>
          <w:sz w:val="20"/>
          <w:szCs w:val="20"/>
        </w:rPr>
        <w:t>was</w:t>
      </w:r>
      <w:r w:rsidRPr="00B76904">
        <w:rPr>
          <w:rFonts w:asciiTheme="minorHAnsi" w:hAnsiTheme="minorHAnsi" w:cs="Arial"/>
          <w:sz w:val="20"/>
          <w:szCs w:val="20"/>
        </w:rPr>
        <w:t xml:space="preserve"> designed to meet </w:t>
      </w:r>
      <w:r w:rsidR="00D01DF6" w:rsidRPr="00B76904">
        <w:rPr>
          <w:rFonts w:asciiTheme="minorHAnsi" w:hAnsiTheme="minorHAnsi" w:cs="Arial"/>
          <w:sz w:val="20"/>
          <w:szCs w:val="20"/>
        </w:rPr>
        <w:t>DFAT’s standards</w:t>
      </w:r>
      <w:r w:rsidRPr="00B76904">
        <w:rPr>
          <w:rFonts w:asciiTheme="minorHAnsi" w:hAnsiTheme="minorHAnsi" w:cs="Arial"/>
          <w:sz w:val="20"/>
          <w:szCs w:val="20"/>
        </w:rPr>
        <w:t xml:space="preserve"> for </w:t>
      </w:r>
      <w:r w:rsidR="00D01DF6" w:rsidRPr="00B76904">
        <w:rPr>
          <w:rFonts w:asciiTheme="minorHAnsi" w:hAnsiTheme="minorHAnsi" w:cs="Arial"/>
          <w:sz w:val="20"/>
          <w:szCs w:val="20"/>
        </w:rPr>
        <w:t>monitoring and evaluation</w:t>
      </w:r>
      <w:r w:rsidRPr="00B76904">
        <w:rPr>
          <w:rFonts w:asciiTheme="minorHAnsi" w:hAnsiTheme="minorHAnsi" w:cs="Arial"/>
          <w:sz w:val="20"/>
          <w:szCs w:val="20"/>
        </w:rPr>
        <w:t xml:space="preserve"> (</w:t>
      </w:r>
      <w:r w:rsidR="00D01DF6" w:rsidRPr="00B76904">
        <w:rPr>
          <w:rFonts w:asciiTheme="minorHAnsi" w:hAnsiTheme="minorHAnsi" w:cs="Arial"/>
          <w:sz w:val="20"/>
          <w:szCs w:val="20"/>
        </w:rPr>
        <w:t>DFAT, 2017</w:t>
      </w:r>
      <w:r w:rsidRPr="00B76904">
        <w:rPr>
          <w:rFonts w:asciiTheme="minorHAnsi" w:hAnsiTheme="minorHAnsi" w:cs="Arial"/>
          <w:sz w:val="20"/>
          <w:szCs w:val="20"/>
        </w:rPr>
        <w:t xml:space="preserve">). </w:t>
      </w:r>
      <w:r w:rsidR="00826C2C" w:rsidRPr="00B76904">
        <w:rPr>
          <w:rFonts w:asciiTheme="minorHAnsi" w:hAnsiTheme="minorHAnsi" w:cs="Arial"/>
          <w:sz w:val="20"/>
          <w:szCs w:val="20"/>
        </w:rPr>
        <w:t xml:space="preserve">The review </w:t>
      </w:r>
      <w:r w:rsidR="0020689D" w:rsidRPr="00B76904">
        <w:rPr>
          <w:rFonts w:asciiTheme="minorHAnsi" w:hAnsiTheme="minorHAnsi" w:cs="Arial"/>
          <w:sz w:val="20"/>
          <w:szCs w:val="20"/>
        </w:rPr>
        <w:t xml:space="preserve">is primarily a ‘forward’ looking review </w:t>
      </w:r>
      <w:r w:rsidR="007B520A">
        <w:rPr>
          <w:rFonts w:asciiTheme="minorHAnsi" w:hAnsiTheme="minorHAnsi" w:cs="Arial"/>
          <w:sz w:val="20"/>
          <w:szCs w:val="20"/>
        </w:rPr>
        <w:t>focussing</w:t>
      </w:r>
      <w:r w:rsidR="00E23007" w:rsidRPr="00B76904">
        <w:rPr>
          <w:rFonts w:asciiTheme="minorHAnsi" w:hAnsiTheme="minorHAnsi" w:cs="Arial"/>
          <w:sz w:val="20"/>
          <w:szCs w:val="20"/>
        </w:rPr>
        <w:t xml:space="preserve"> not only</w:t>
      </w:r>
      <w:r w:rsidR="009D70A3" w:rsidRPr="00B76904">
        <w:rPr>
          <w:rFonts w:asciiTheme="minorHAnsi" w:hAnsiTheme="minorHAnsi" w:cs="Arial"/>
          <w:sz w:val="20"/>
          <w:szCs w:val="20"/>
        </w:rPr>
        <w:t xml:space="preserve"> on progress to date but </w:t>
      </w:r>
      <w:r w:rsidR="00E23007" w:rsidRPr="00B76904">
        <w:rPr>
          <w:rFonts w:asciiTheme="minorHAnsi" w:hAnsiTheme="minorHAnsi" w:cs="Arial"/>
          <w:sz w:val="20"/>
          <w:szCs w:val="20"/>
        </w:rPr>
        <w:t xml:space="preserve">also </w:t>
      </w:r>
      <w:r w:rsidR="007B520A">
        <w:rPr>
          <w:rFonts w:asciiTheme="minorHAnsi" w:hAnsiTheme="minorHAnsi" w:cs="Arial"/>
          <w:sz w:val="20"/>
          <w:szCs w:val="20"/>
        </w:rPr>
        <w:t>considering</w:t>
      </w:r>
      <w:r w:rsidR="009D70A3" w:rsidRPr="00B76904">
        <w:rPr>
          <w:rFonts w:asciiTheme="minorHAnsi" w:hAnsiTheme="minorHAnsi" w:cs="Arial"/>
          <w:sz w:val="20"/>
          <w:szCs w:val="20"/>
        </w:rPr>
        <w:t xml:space="preserve"> to what extent </w:t>
      </w:r>
      <w:r w:rsidR="007B520A">
        <w:rPr>
          <w:rFonts w:asciiTheme="minorHAnsi" w:hAnsiTheme="minorHAnsi" w:cs="Arial"/>
          <w:sz w:val="20"/>
          <w:szCs w:val="20"/>
        </w:rPr>
        <w:t>contractual adjustments</w:t>
      </w:r>
      <w:r w:rsidR="009D70A3" w:rsidRPr="00B76904">
        <w:rPr>
          <w:rFonts w:asciiTheme="minorHAnsi" w:hAnsiTheme="minorHAnsi" w:cs="Arial"/>
          <w:sz w:val="20"/>
          <w:szCs w:val="20"/>
        </w:rPr>
        <w:t xml:space="preserve"> are needed to ensure the Kiribati </w:t>
      </w:r>
      <w:r w:rsidR="00DC10E0">
        <w:rPr>
          <w:rFonts w:asciiTheme="minorHAnsi" w:hAnsiTheme="minorHAnsi" w:cs="Arial"/>
          <w:sz w:val="20"/>
          <w:szCs w:val="20"/>
        </w:rPr>
        <w:t>F</w:t>
      </w:r>
      <w:r w:rsidR="009D70A3" w:rsidRPr="00B76904">
        <w:rPr>
          <w:rFonts w:asciiTheme="minorHAnsi" w:hAnsiTheme="minorHAnsi" w:cs="Arial"/>
          <w:sz w:val="20"/>
          <w:szCs w:val="20"/>
        </w:rPr>
        <w:t>acility continues to deliver activities to meet its strategic objectives and remains relevant to Australia’s evolving labour mobility</w:t>
      </w:r>
      <w:r w:rsidR="00F36012" w:rsidRPr="00B76904">
        <w:rPr>
          <w:rFonts w:asciiTheme="minorHAnsi" w:hAnsiTheme="minorHAnsi" w:cs="Arial"/>
          <w:sz w:val="20"/>
          <w:szCs w:val="20"/>
        </w:rPr>
        <w:t xml:space="preserve">. A </w:t>
      </w:r>
      <w:r w:rsidR="00C10A96" w:rsidRPr="00B76904">
        <w:rPr>
          <w:rFonts w:asciiTheme="minorHAnsi" w:hAnsiTheme="minorHAnsi" w:cs="Arial"/>
          <w:sz w:val="20"/>
          <w:szCs w:val="20"/>
        </w:rPr>
        <w:t xml:space="preserve">blended </w:t>
      </w:r>
      <w:r w:rsidR="00F36012" w:rsidRPr="00B76904">
        <w:rPr>
          <w:rFonts w:asciiTheme="minorHAnsi" w:hAnsiTheme="minorHAnsi" w:cs="Arial"/>
          <w:sz w:val="20"/>
          <w:szCs w:val="20"/>
        </w:rPr>
        <w:t>approach</w:t>
      </w:r>
      <w:r w:rsidR="00C10A96" w:rsidRPr="00B76904">
        <w:rPr>
          <w:rFonts w:asciiTheme="minorHAnsi" w:hAnsiTheme="minorHAnsi" w:cs="Arial"/>
          <w:sz w:val="20"/>
          <w:szCs w:val="20"/>
        </w:rPr>
        <w:t xml:space="preserve"> drawing on both quantitative and qualitative methods</w:t>
      </w:r>
      <w:r w:rsidR="00F36012" w:rsidRPr="00B76904">
        <w:rPr>
          <w:rFonts w:asciiTheme="minorHAnsi" w:hAnsiTheme="minorHAnsi" w:cs="Arial"/>
          <w:sz w:val="20"/>
          <w:szCs w:val="20"/>
        </w:rPr>
        <w:t xml:space="preserve"> </w:t>
      </w:r>
      <w:r w:rsidR="00E23007" w:rsidRPr="00B76904">
        <w:rPr>
          <w:rFonts w:asciiTheme="minorHAnsi" w:hAnsiTheme="minorHAnsi" w:cs="Arial"/>
          <w:sz w:val="20"/>
          <w:szCs w:val="20"/>
        </w:rPr>
        <w:t>was</w:t>
      </w:r>
      <w:r w:rsidR="00F36012" w:rsidRPr="00B76904">
        <w:rPr>
          <w:rFonts w:asciiTheme="minorHAnsi" w:hAnsiTheme="minorHAnsi" w:cs="Arial"/>
          <w:sz w:val="20"/>
          <w:szCs w:val="20"/>
        </w:rPr>
        <w:t xml:space="preserve"> used to provide the requested </w:t>
      </w:r>
      <w:r w:rsidR="00A03157" w:rsidRPr="00B76904">
        <w:rPr>
          <w:rFonts w:asciiTheme="minorHAnsi" w:hAnsiTheme="minorHAnsi" w:cs="Arial"/>
          <w:sz w:val="20"/>
          <w:szCs w:val="20"/>
        </w:rPr>
        <w:t>review of the Kiribati Facility</w:t>
      </w:r>
      <w:r w:rsidR="00B76904" w:rsidRPr="00B76904">
        <w:rPr>
          <w:rFonts w:asciiTheme="minorHAnsi" w:hAnsiTheme="minorHAnsi" w:cs="Arial"/>
          <w:sz w:val="20"/>
          <w:szCs w:val="20"/>
        </w:rPr>
        <w:t xml:space="preserve"> combining document reviews, data analysis, interviews, a workshop with key stakeholders</w:t>
      </w:r>
      <w:r w:rsidR="007B520A">
        <w:rPr>
          <w:rFonts w:asciiTheme="minorHAnsi" w:hAnsiTheme="minorHAnsi" w:cs="Arial"/>
          <w:sz w:val="20"/>
          <w:szCs w:val="20"/>
        </w:rPr>
        <w:t>,</w:t>
      </w:r>
      <w:r w:rsidR="00B76904" w:rsidRPr="00B76904">
        <w:rPr>
          <w:rFonts w:asciiTheme="minorHAnsi" w:hAnsiTheme="minorHAnsi" w:cs="Arial"/>
          <w:sz w:val="20"/>
          <w:szCs w:val="20"/>
        </w:rPr>
        <w:t xml:space="preserve"> and a site visit to the Kiribati Institute of Technology (KIT).</w:t>
      </w:r>
    </w:p>
    <w:p w14:paraId="33662245" w14:textId="77777777" w:rsidR="00B76904" w:rsidRDefault="00B76904" w:rsidP="00B851A5">
      <w:pPr>
        <w:rPr>
          <w:rFonts w:asciiTheme="minorHAnsi" w:hAnsiTheme="minorHAnsi" w:cs="Arial"/>
          <w:sz w:val="22"/>
          <w:szCs w:val="22"/>
        </w:rPr>
      </w:pPr>
    </w:p>
    <w:p w14:paraId="6F819B5A" w14:textId="77777777" w:rsidR="00281D71" w:rsidRDefault="00281D71" w:rsidP="00B851A5">
      <w:pPr>
        <w:rPr>
          <w:rFonts w:asciiTheme="minorHAnsi" w:hAnsiTheme="minorHAnsi" w:cs="Arial"/>
          <w:b/>
          <w:sz w:val="20"/>
          <w:szCs w:val="20"/>
        </w:rPr>
      </w:pPr>
      <w:r w:rsidRPr="00281D71">
        <w:rPr>
          <w:rFonts w:asciiTheme="minorHAnsi" w:hAnsiTheme="minorHAnsi" w:cs="Arial"/>
          <w:b/>
          <w:sz w:val="20"/>
          <w:szCs w:val="20"/>
        </w:rPr>
        <w:t>To what extent is the KF the most appropriate way to meet the high-level goals of both the Government of Kiribati and the Australian Government within the skills and employment context which it operates</w:t>
      </w:r>
      <w:r>
        <w:rPr>
          <w:rFonts w:asciiTheme="minorHAnsi" w:hAnsiTheme="minorHAnsi" w:cs="Arial"/>
          <w:b/>
          <w:sz w:val="20"/>
          <w:szCs w:val="20"/>
        </w:rPr>
        <w:t xml:space="preserve">? </w:t>
      </w:r>
    </w:p>
    <w:p w14:paraId="4710E92F" w14:textId="1B110F5C" w:rsidR="00255374" w:rsidRPr="00281D71" w:rsidRDefault="00281D71" w:rsidP="00B851A5">
      <w:pPr>
        <w:rPr>
          <w:rFonts w:asciiTheme="minorHAnsi" w:hAnsiTheme="minorHAnsi" w:cs="Arial"/>
          <w:sz w:val="20"/>
          <w:szCs w:val="20"/>
        </w:rPr>
      </w:pPr>
      <w:r w:rsidRPr="00281D71">
        <w:rPr>
          <w:rFonts w:asciiTheme="minorHAnsi" w:hAnsiTheme="minorHAnsi" w:cs="Arial"/>
          <w:sz w:val="20"/>
          <w:szCs w:val="20"/>
        </w:rPr>
        <w:t>The Kiribati Facility remains highly relevant to the objectives of the Government of Kiribati (as outlined, for instance in the KV20 Document and the current strategic plan for the Ministry of Employment and Human Resources) and to the objectives of the Australian Government (as specified in Australia’s Aid Investment Plan for Kiribati, and other recent pronouncements relating to both APTC3 and the Pacific Labour Scheme). Systematic engagement with key stakeholders (such as through the KIT Advisory Council, the Teachers Return to Industry Program, and student work placements) ensure courses remain relevant to the skills needs of employers</w:t>
      </w:r>
      <w:r w:rsidR="007B520A">
        <w:rPr>
          <w:rFonts w:asciiTheme="minorHAnsi" w:hAnsiTheme="minorHAnsi" w:cs="Arial"/>
          <w:sz w:val="20"/>
          <w:szCs w:val="20"/>
        </w:rPr>
        <w:t>.</w:t>
      </w:r>
    </w:p>
    <w:p w14:paraId="308D8D7E" w14:textId="3F9615A2" w:rsidR="00281D71" w:rsidRDefault="00281D71" w:rsidP="00281D71">
      <w:pPr>
        <w:rPr>
          <w:rFonts w:asciiTheme="minorHAnsi" w:hAnsiTheme="minorHAnsi" w:cs="Arial"/>
          <w:sz w:val="20"/>
          <w:szCs w:val="20"/>
        </w:rPr>
      </w:pPr>
    </w:p>
    <w:p w14:paraId="0BBA1A8B" w14:textId="53A9826A" w:rsidR="00005142" w:rsidRDefault="007B520A" w:rsidP="00281D71">
      <w:pPr>
        <w:rPr>
          <w:rFonts w:asciiTheme="minorHAnsi" w:hAnsiTheme="minorHAnsi" w:cs="Arial"/>
          <w:sz w:val="20"/>
          <w:szCs w:val="20"/>
        </w:rPr>
      </w:pPr>
      <w:r>
        <w:rPr>
          <w:rFonts w:asciiTheme="minorHAnsi" w:hAnsiTheme="minorHAnsi" w:cs="Arial"/>
          <w:sz w:val="20"/>
          <w:szCs w:val="20"/>
          <w:lang w:val="en-AU"/>
        </w:rPr>
        <w:t>However, t</w:t>
      </w:r>
      <w:r w:rsidR="00F023A9" w:rsidRPr="00E80588">
        <w:rPr>
          <w:rFonts w:asciiTheme="minorHAnsi" w:hAnsiTheme="minorHAnsi" w:cs="Arial"/>
          <w:sz w:val="20"/>
          <w:szCs w:val="20"/>
          <w:lang w:val="en-AU"/>
        </w:rPr>
        <w:t>he</w:t>
      </w:r>
      <w:r w:rsidR="00F023A9" w:rsidRPr="00E80588">
        <w:rPr>
          <w:rFonts w:ascii="Calibri" w:hAnsi="Calibri" w:cs="Calibri"/>
          <w:iCs/>
          <w:sz w:val="20"/>
          <w:szCs w:val="20"/>
        </w:rPr>
        <w:t xml:space="preserve"> governance arrangement</w:t>
      </w:r>
      <w:r w:rsidR="003F7DC4">
        <w:rPr>
          <w:rFonts w:ascii="Calibri" w:hAnsi="Calibri" w:cs="Calibri"/>
          <w:iCs/>
          <w:sz w:val="20"/>
          <w:szCs w:val="20"/>
        </w:rPr>
        <w:t>s</w:t>
      </w:r>
      <w:r w:rsidR="00F023A9" w:rsidRPr="00E80588">
        <w:rPr>
          <w:rFonts w:ascii="Calibri" w:hAnsi="Calibri" w:cs="Calibri"/>
          <w:iCs/>
          <w:sz w:val="20"/>
          <w:szCs w:val="20"/>
        </w:rPr>
        <w:t xml:space="preserve"> of the Kiribati Facility </w:t>
      </w:r>
      <w:r w:rsidR="00F023A9">
        <w:rPr>
          <w:rFonts w:ascii="Calibri" w:hAnsi="Calibri" w:cs="Calibri"/>
          <w:iCs/>
          <w:sz w:val="20"/>
          <w:szCs w:val="20"/>
        </w:rPr>
        <w:t>need to be</w:t>
      </w:r>
      <w:r w:rsidR="00F023A9" w:rsidRPr="00E80588">
        <w:rPr>
          <w:rFonts w:ascii="Calibri" w:hAnsi="Calibri" w:cs="Calibri"/>
          <w:iCs/>
          <w:sz w:val="20"/>
          <w:szCs w:val="20"/>
        </w:rPr>
        <w:t xml:space="preserve"> adjusted to ensure better alignment and support to the labour mobility mandate of the </w:t>
      </w:r>
      <w:r w:rsidR="00EC4BDD">
        <w:rPr>
          <w:rFonts w:ascii="Calibri" w:hAnsi="Calibri" w:cs="Calibri"/>
          <w:iCs/>
          <w:sz w:val="20"/>
          <w:szCs w:val="20"/>
        </w:rPr>
        <w:t>MEHR</w:t>
      </w:r>
      <w:r>
        <w:rPr>
          <w:rFonts w:asciiTheme="minorHAnsi" w:hAnsiTheme="minorHAnsi" w:cs="Arial"/>
          <w:sz w:val="20"/>
          <w:szCs w:val="20"/>
          <w:lang w:val="en-AU"/>
        </w:rPr>
        <w:t>.</w:t>
      </w:r>
      <w:r w:rsidR="00F023A9">
        <w:rPr>
          <w:rFonts w:asciiTheme="minorHAnsi" w:hAnsiTheme="minorHAnsi" w:cs="Arial"/>
          <w:sz w:val="20"/>
          <w:szCs w:val="20"/>
          <w:lang w:val="en-AU"/>
        </w:rPr>
        <w:t xml:space="preserve"> </w:t>
      </w:r>
      <w:r>
        <w:rPr>
          <w:rFonts w:asciiTheme="minorHAnsi" w:hAnsiTheme="minorHAnsi" w:cs="Arial"/>
          <w:sz w:val="20"/>
          <w:szCs w:val="20"/>
          <w:lang w:val="en-AU"/>
        </w:rPr>
        <w:t>The</w:t>
      </w:r>
      <w:r w:rsidR="00F023A9">
        <w:rPr>
          <w:rFonts w:asciiTheme="minorHAnsi" w:hAnsiTheme="minorHAnsi" w:cs="Arial"/>
          <w:sz w:val="20"/>
          <w:szCs w:val="20"/>
          <w:lang w:val="en-AU"/>
        </w:rPr>
        <w:t xml:space="preserve"> roles and responsibilities of the leadership of the </w:t>
      </w:r>
      <w:r w:rsidR="00CB3210">
        <w:rPr>
          <w:rFonts w:asciiTheme="minorHAnsi" w:hAnsiTheme="minorHAnsi" w:cs="Arial"/>
          <w:sz w:val="20"/>
          <w:szCs w:val="20"/>
          <w:lang w:val="en-AU"/>
        </w:rPr>
        <w:t xml:space="preserve">Facility </w:t>
      </w:r>
      <w:r w:rsidR="00F023A9">
        <w:rPr>
          <w:rFonts w:asciiTheme="minorHAnsi" w:hAnsiTheme="minorHAnsi" w:cs="Arial"/>
          <w:sz w:val="20"/>
          <w:szCs w:val="20"/>
          <w:lang w:val="en-AU"/>
        </w:rPr>
        <w:t>need to be altered to make it more relevant to needs of the Facility.</w:t>
      </w:r>
      <w:r w:rsidR="009378E2">
        <w:rPr>
          <w:rFonts w:asciiTheme="minorHAnsi" w:hAnsiTheme="minorHAnsi" w:cs="Arial"/>
          <w:sz w:val="20"/>
          <w:szCs w:val="20"/>
        </w:rPr>
        <w:t xml:space="preserve"> </w:t>
      </w:r>
      <w:r w:rsidR="00281D71" w:rsidRPr="00281D71">
        <w:rPr>
          <w:rFonts w:asciiTheme="minorHAnsi" w:hAnsiTheme="minorHAnsi" w:cs="Arial"/>
          <w:sz w:val="20"/>
          <w:szCs w:val="20"/>
        </w:rPr>
        <w:t>An opportunity now exists for greater synergy between DFAT’s regional approach to TVET (through its investment in APTC) and its bilateral program in Kiribati. The potential also exists for Employment Support Services (ESS) to play a bigger role in supporting GoK’s and Australia’s common labour mobility objectives through offering, for instance, more extensive pre - departure training and assisting with reintegration training for returning workers, especially as the number is starting to show noticeable an increase in participants</w:t>
      </w:r>
      <w:r w:rsidR="00281D71">
        <w:rPr>
          <w:rFonts w:asciiTheme="minorHAnsi" w:hAnsiTheme="minorHAnsi" w:cs="Arial"/>
          <w:sz w:val="20"/>
          <w:szCs w:val="20"/>
        </w:rPr>
        <w:t>.</w:t>
      </w:r>
    </w:p>
    <w:p w14:paraId="02F61991" w14:textId="363F71D8" w:rsidR="00281D71" w:rsidRDefault="00281D71" w:rsidP="00281D71">
      <w:pPr>
        <w:rPr>
          <w:rFonts w:asciiTheme="minorHAnsi" w:hAnsiTheme="minorHAnsi" w:cs="Arial"/>
          <w:sz w:val="20"/>
          <w:szCs w:val="20"/>
        </w:rPr>
      </w:pPr>
    </w:p>
    <w:p w14:paraId="3AFF3EB8" w14:textId="298DED15" w:rsidR="00281D71" w:rsidRDefault="00281D71" w:rsidP="00281D71">
      <w:pPr>
        <w:rPr>
          <w:rFonts w:asciiTheme="minorHAnsi" w:hAnsiTheme="minorHAnsi" w:cs="Arial"/>
          <w:b/>
          <w:sz w:val="20"/>
          <w:szCs w:val="20"/>
        </w:rPr>
      </w:pPr>
      <w:r w:rsidRPr="00281D71">
        <w:rPr>
          <w:rFonts w:asciiTheme="minorHAnsi" w:hAnsiTheme="minorHAnsi" w:cs="Arial"/>
          <w:b/>
          <w:sz w:val="20"/>
          <w:szCs w:val="20"/>
        </w:rPr>
        <w:t>To what extent are the end of program outcomes on-track to being achieved</w:t>
      </w:r>
      <w:r>
        <w:rPr>
          <w:rFonts w:asciiTheme="minorHAnsi" w:hAnsiTheme="minorHAnsi" w:cs="Arial"/>
          <w:b/>
          <w:sz w:val="20"/>
          <w:szCs w:val="20"/>
        </w:rPr>
        <w:t>?</w:t>
      </w:r>
    </w:p>
    <w:p w14:paraId="2DA1C860" w14:textId="0F402E65" w:rsidR="00281D71" w:rsidRDefault="00281D71" w:rsidP="00281D71">
      <w:pPr>
        <w:rPr>
          <w:rFonts w:asciiTheme="minorHAnsi" w:hAnsiTheme="minorHAnsi" w:cstheme="minorHAnsi"/>
          <w:sz w:val="20"/>
          <w:szCs w:val="20"/>
        </w:rPr>
      </w:pPr>
      <w:r w:rsidRPr="00AB10F1">
        <w:rPr>
          <w:rFonts w:asciiTheme="minorHAnsi" w:hAnsiTheme="minorHAnsi" w:cstheme="minorHAnsi"/>
          <w:sz w:val="20"/>
          <w:szCs w:val="20"/>
        </w:rPr>
        <w:t xml:space="preserve">Whilst strong progress is being made towards 3 out of 4 end of program outcomes (EOPOs), little progress has been observed under the 4th EOPO. KIT, supported by the </w:t>
      </w:r>
      <w:r w:rsidR="007B520A">
        <w:rPr>
          <w:rFonts w:asciiTheme="minorHAnsi" w:hAnsiTheme="minorHAnsi" w:cstheme="minorHAnsi"/>
          <w:sz w:val="20"/>
          <w:szCs w:val="20"/>
        </w:rPr>
        <w:t>SfEP</w:t>
      </w:r>
      <w:r w:rsidRPr="00AB10F1">
        <w:rPr>
          <w:rFonts w:asciiTheme="minorHAnsi" w:hAnsiTheme="minorHAnsi" w:cstheme="minorHAnsi"/>
          <w:sz w:val="20"/>
          <w:szCs w:val="20"/>
        </w:rPr>
        <w:t xml:space="preserve"> component of the Kiribati Facility, has shown noticeable improvement over the past couple of years and has recovered well from early difficult circumstances</w:t>
      </w:r>
      <w:r w:rsidRPr="00AB10F1">
        <w:rPr>
          <w:rFonts w:asciiTheme="minorHAnsi" w:hAnsiTheme="minorHAnsi" w:cstheme="minorHAnsi"/>
          <w:sz w:val="20"/>
          <w:szCs w:val="20"/>
          <w:lang w:val="en-AU"/>
        </w:rPr>
        <w:t xml:space="preserve">. </w:t>
      </w:r>
      <w:r w:rsidRPr="00AB10F1">
        <w:rPr>
          <w:rFonts w:asciiTheme="minorHAnsi" w:hAnsiTheme="minorHAnsi" w:cstheme="minorHAnsi"/>
          <w:sz w:val="20"/>
          <w:szCs w:val="20"/>
        </w:rPr>
        <w:t>The Labour Market Information System (a key deliverable under EOPO2) has yet to be developed, which undermines efforts to demonstrate the effect KIT is having on the sector</w:t>
      </w:r>
      <w:r>
        <w:rPr>
          <w:rFonts w:asciiTheme="minorHAnsi" w:hAnsiTheme="minorHAnsi" w:cstheme="minorHAnsi"/>
          <w:sz w:val="20"/>
          <w:szCs w:val="20"/>
        </w:rPr>
        <w:t xml:space="preserve"> and efforts to analyse sector related data.</w:t>
      </w:r>
      <w:r w:rsidR="003F7DC4">
        <w:rPr>
          <w:rFonts w:asciiTheme="minorHAnsi" w:hAnsiTheme="minorHAnsi" w:cs="Arial"/>
          <w:b/>
          <w:sz w:val="20"/>
          <w:szCs w:val="20"/>
        </w:rPr>
        <w:t xml:space="preserve"> </w:t>
      </w:r>
      <w:r w:rsidRPr="00AB10F1">
        <w:rPr>
          <w:rFonts w:asciiTheme="minorHAnsi" w:hAnsiTheme="minorHAnsi" w:cstheme="minorHAnsi"/>
          <w:sz w:val="20"/>
          <w:szCs w:val="20"/>
        </w:rPr>
        <w:t xml:space="preserve">The Flexible Support Facility (EOPO 4), which was meant to focus on helping to coordinate and strengthen the sector, has failed to materialise. </w:t>
      </w:r>
      <w:r>
        <w:rPr>
          <w:rFonts w:asciiTheme="minorHAnsi" w:hAnsiTheme="minorHAnsi" w:cstheme="minorHAnsi"/>
          <w:sz w:val="20"/>
          <w:szCs w:val="20"/>
        </w:rPr>
        <w:t>Reports</w:t>
      </w:r>
      <w:r w:rsidRPr="00AB10F1">
        <w:rPr>
          <w:rFonts w:asciiTheme="minorHAnsi" w:hAnsiTheme="minorHAnsi" w:cstheme="minorHAnsi"/>
          <w:sz w:val="20"/>
          <w:szCs w:val="20"/>
        </w:rPr>
        <w:t xml:space="preserve"> suggest that EOPO 4 has been subsumed into the other 3 EOPOs, </w:t>
      </w:r>
      <w:r>
        <w:rPr>
          <w:rFonts w:asciiTheme="minorHAnsi" w:hAnsiTheme="minorHAnsi" w:cstheme="minorHAnsi"/>
          <w:sz w:val="20"/>
          <w:szCs w:val="20"/>
        </w:rPr>
        <w:t xml:space="preserve">but </w:t>
      </w:r>
      <w:r w:rsidRPr="00AB10F1">
        <w:rPr>
          <w:rFonts w:asciiTheme="minorHAnsi" w:hAnsiTheme="minorHAnsi" w:cstheme="minorHAnsi"/>
          <w:sz w:val="20"/>
          <w:szCs w:val="20"/>
        </w:rPr>
        <w:t xml:space="preserve">here is no evidence to suggest that this this has happened. Moreover, the initial design document provides a strong argument for why it is necessary to engage at the sector level, and it is therefore not appropriate to ignore this important part of the </w:t>
      </w:r>
      <w:r w:rsidR="007B520A">
        <w:rPr>
          <w:rFonts w:asciiTheme="minorHAnsi" w:hAnsiTheme="minorHAnsi" w:cstheme="minorHAnsi"/>
          <w:sz w:val="20"/>
          <w:szCs w:val="20"/>
        </w:rPr>
        <w:t>F</w:t>
      </w:r>
      <w:r w:rsidRPr="00AB10F1">
        <w:rPr>
          <w:rFonts w:asciiTheme="minorHAnsi" w:hAnsiTheme="minorHAnsi" w:cstheme="minorHAnsi"/>
          <w:sz w:val="20"/>
          <w:szCs w:val="20"/>
        </w:rPr>
        <w:t>acility</w:t>
      </w:r>
      <w:r w:rsidR="009D7CDD">
        <w:rPr>
          <w:rFonts w:asciiTheme="minorHAnsi" w:hAnsiTheme="minorHAnsi" w:cstheme="minorHAnsi"/>
          <w:sz w:val="20"/>
          <w:szCs w:val="20"/>
        </w:rPr>
        <w:t>.</w:t>
      </w:r>
    </w:p>
    <w:p w14:paraId="2C4089C5" w14:textId="42F2236E" w:rsidR="009D7CDD" w:rsidRDefault="009D7CDD" w:rsidP="00281D71">
      <w:pPr>
        <w:rPr>
          <w:rFonts w:asciiTheme="minorHAnsi" w:hAnsiTheme="minorHAnsi" w:cstheme="minorHAnsi"/>
          <w:sz w:val="20"/>
          <w:szCs w:val="20"/>
        </w:rPr>
      </w:pPr>
    </w:p>
    <w:p w14:paraId="5E461D22" w14:textId="730A7610" w:rsidR="009D7CDD" w:rsidRPr="002B4D47" w:rsidRDefault="009D7CDD" w:rsidP="002B4D47">
      <w:pPr>
        <w:jc w:val="both"/>
        <w:rPr>
          <w:rFonts w:asciiTheme="minorHAnsi" w:hAnsiTheme="minorHAnsi" w:cstheme="minorHAnsi"/>
          <w:sz w:val="20"/>
          <w:szCs w:val="20"/>
          <w:lang w:val="en-AU"/>
        </w:rPr>
      </w:pPr>
      <w:r>
        <w:rPr>
          <w:rFonts w:asciiTheme="minorHAnsi" w:hAnsiTheme="minorHAnsi" w:cstheme="minorHAnsi"/>
          <w:sz w:val="20"/>
          <w:szCs w:val="20"/>
        </w:rPr>
        <w:t xml:space="preserve">Under the other 3 EOPOs (the SfEP component of the Facility) </w:t>
      </w:r>
      <w:r w:rsidRPr="00AB10F1">
        <w:rPr>
          <w:rFonts w:asciiTheme="minorHAnsi" w:hAnsiTheme="minorHAnsi" w:cstheme="minorHAnsi"/>
          <w:sz w:val="20"/>
          <w:szCs w:val="20"/>
        </w:rPr>
        <w:t xml:space="preserve">noticeable improvement </w:t>
      </w:r>
      <w:r>
        <w:rPr>
          <w:rFonts w:asciiTheme="minorHAnsi" w:hAnsiTheme="minorHAnsi" w:cstheme="minorHAnsi"/>
          <w:sz w:val="20"/>
          <w:szCs w:val="20"/>
        </w:rPr>
        <w:t xml:space="preserve">has been achieved </w:t>
      </w:r>
      <w:r w:rsidRPr="00AB10F1">
        <w:rPr>
          <w:rFonts w:asciiTheme="minorHAnsi" w:hAnsiTheme="minorHAnsi" w:cstheme="minorHAnsi"/>
          <w:sz w:val="20"/>
          <w:szCs w:val="20"/>
        </w:rPr>
        <w:t>over the past couple of years</w:t>
      </w:r>
      <w:r w:rsidRPr="00AB10F1">
        <w:rPr>
          <w:rFonts w:asciiTheme="minorHAnsi" w:hAnsiTheme="minorHAnsi" w:cstheme="minorHAnsi"/>
          <w:sz w:val="20"/>
          <w:szCs w:val="20"/>
          <w:lang w:val="en-AU"/>
        </w:rPr>
        <w:t>.</w:t>
      </w:r>
      <w:r>
        <w:rPr>
          <w:rFonts w:asciiTheme="minorHAnsi" w:hAnsiTheme="minorHAnsi" w:cstheme="minorHAnsi"/>
          <w:sz w:val="20"/>
          <w:szCs w:val="20"/>
          <w:lang w:val="en-AU"/>
        </w:rPr>
        <w:t xml:space="preserve"> Key deliverables under the SfEP include the rapid expansion in enrolment at KIT, significant investments in improving English language proficiency for both students and staff, the introduction of the Bridging Program, the rapid expansion of the Employment Support Services unit to assist with pre-departure training for labour mobility schemes, and </w:t>
      </w:r>
      <w:r w:rsidRPr="00400934">
        <w:rPr>
          <w:rFonts w:ascii="Calibri" w:hAnsi="Calibri" w:cs="Calibri"/>
          <w:iCs/>
          <w:sz w:val="20"/>
          <w:szCs w:val="20"/>
        </w:rPr>
        <w:t>achi</w:t>
      </w:r>
      <w:r>
        <w:rPr>
          <w:rFonts w:ascii="Calibri" w:hAnsi="Calibri" w:cs="Calibri"/>
          <w:iCs/>
          <w:sz w:val="20"/>
          <w:szCs w:val="20"/>
        </w:rPr>
        <w:t>eving</w:t>
      </w:r>
      <w:r w:rsidRPr="00400934">
        <w:rPr>
          <w:rFonts w:ascii="Calibri" w:hAnsi="Calibri" w:cs="Calibri"/>
          <w:iCs/>
          <w:sz w:val="20"/>
          <w:szCs w:val="20"/>
        </w:rPr>
        <w:t xml:space="preserve"> full registration as a training provider under the</w:t>
      </w:r>
      <w:r>
        <w:rPr>
          <w:rFonts w:ascii="Calibri" w:hAnsi="Calibri" w:cs="Calibri"/>
          <w:iCs/>
          <w:sz w:val="20"/>
          <w:szCs w:val="20"/>
        </w:rPr>
        <w:t xml:space="preserve"> Educational Quality and Assessment Program (</w:t>
      </w:r>
      <w:r w:rsidRPr="00400934">
        <w:rPr>
          <w:rFonts w:ascii="Calibri" w:hAnsi="Calibri" w:cs="Calibri"/>
          <w:iCs/>
          <w:sz w:val="20"/>
          <w:szCs w:val="20"/>
        </w:rPr>
        <w:t>EQAP</w:t>
      </w:r>
      <w:r>
        <w:rPr>
          <w:rFonts w:ascii="Calibri" w:hAnsi="Calibri" w:cs="Calibri"/>
          <w:iCs/>
          <w:sz w:val="20"/>
          <w:szCs w:val="20"/>
        </w:rPr>
        <w:t>).</w:t>
      </w:r>
      <w:r w:rsidRPr="00AB10F1">
        <w:rPr>
          <w:rFonts w:asciiTheme="minorHAnsi" w:hAnsiTheme="minorHAnsi" w:cstheme="minorHAnsi"/>
          <w:sz w:val="20"/>
          <w:szCs w:val="20"/>
          <w:lang w:val="en-AU"/>
        </w:rPr>
        <w:t xml:space="preserve"> </w:t>
      </w:r>
      <w:r>
        <w:rPr>
          <w:rFonts w:asciiTheme="minorHAnsi" w:hAnsiTheme="minorHAnsi" w:cstheme="minorHAnsi"/>
          <w:sz w:val="20"/>
          <w:szCs w:val="20"/>
        </w:rPr>
        <w:t>However, t</w:t>
      </w:r>
      <w:r w:rsidRPr="00AB10F1">
        <w:rPr>
          <w:rFonts w:asciiTheme="minorHAnsi" w:hAnsiTheme="minorHAnsi" w:cstheme="minorHAnsi"/>
          <w:sz w:val="20"/>
          <w:szCs w:val="20"/>
        </w:rPr>
        <w:t>he Labour Market Information System (a key deliverable under EOPO2) has yet to be developed, which undermines efforts to demonstrate the effect KIT is having on the sector</w:t>
      </w:r>
      <w:r>
        <w:rPr>
          <w:rFonts w:asciiTheme="minorHAnsi" w:hAnsiTheme="minorHAnsi" w:cstheme="minorHAnsi"/>
          <w:sz w:val="20"/>
          <w:szCs w:val="20"/>
        </w:rPr>
        <w:t xml:space="preserve"> and efforts to analyse sector related data.</w:t>
      </w:r>
    </w:p>
    <w:p w14:paraId="1D2ADB3E" w14:textId="77777777" w:rsidR="00281D71" w:rsidRPr="00281D71" w:rsidRDefault="00281D71" w:rsidP="00281D71">
      <w:pPr>
        <w:rPr>
          <w:rFonts w:asciiTheme="minorHAnsi" w:hAnsiTheme="minorHAnsi" w:cs="Arial"/>
          <w:sz w:val="20"/>
          <w:szCs w:val="20"/>
        </w:rPr>
      </w:pPr>
    </w:p>
    <w:p w14:paraId="707B8747" w14:textId="2F6DBB4D" w:rsidR="00554C34" w:rsidRPr="00554C34" w:rsidRDefault="00554C34" w:rsidP="00554C34">
      <w:pPr>
        <w:rPr>
          <w:rFonts w:asciiTheme="minorHAnsi" w:hAnsiTheme="minorHAnsi" w:cs="Arial"/>
          <w:b/>
          <w:sz w:val="20"/>
          <w:szCs w:val="20"/>
        </w:rPr>
      </w:pPr>
      <w:r w:rsidRPr="00554C34">
        <w:rPr>
          <w:rFonts w:asciiTheme="minorHAnsi" w:hAnsiTheme="minorHAnsi" w:cs="Arial"/>
          <w:b/>
          <w:sz w:val="20"/>
          <w:szCs w:val="20"/>
        </w:rPr>
        <w:t>How well ha</w:t>
      </w:r>
      <w:r>
        <w:rPr>
          <w:rFonts w:asciiTheme="minorHAnsi" w:hAnsiTheme="minorHAnsi" w:cs="Arial"/>
          <w:b/>
          <w:sz w:val="20"/>
          <w:szCs w:val="20"/>
        </w:rPr>
        <w:t>s</w:t>
      </w:r>
      <w:r w:rsidRPr="00554C34">
        <w:rPr>
          <w:rFonts w:asciiTheme="minorHAnsi" w:hAnsiTheme="minorHAnsi" w:cs="Arial"/>
          <w:b/>
          <w:sz w:val="20"/>
          <w:szCs w:val="20"/>
        </w:rPr>
        <w:t xml:space="preserve"> the Kiribati Facility addressed gender quality and empowerment, and disability and inclusion?</w:t>
      </w:r>
    </w:p>
    <w:p w14:paraId="1EAA44C9" w14:textId="24121A45" w:rsidR="00005142" w:rsidRDefault="00005142" w:rsidP="00554C34">
      <w:pPr>
        <w:rPr>
          <w:rFonts w:asciiTheme="minorHAnsi" w:hAnsiTheme="minorHAnsi" w:cs="Arial"/>
          <w:sz w:val="20"/>
          <w:szCs w:val="20"/>
        </w:rPr>
      </w:pPr>
      <w:r w:rsidRPr="00554C34">
        <w:rPr>
          <w:rFonts w:asciiTheme="minorHAnsi" w:hAnsiTheme="minorHAnsi" w:cs="Arial"/>
          <w:sz w:val="20"/>
          <w:szCs w:val="20"/>
        </w:rPr>
        <w:t>The Kiribati Facility has made a concerted effort to incorporate gender issues into the design and implementation of activities, especially at KIT. KIT has increased female participation in skills development by 16 per cent in absolute terms since 2017</w:t>
      </w:r>
      <w:r w:rsidR="002D3145">
        <w:rPr>
          <w:rFonts w:asciiTheme="minorHAnsi" w:hAnsiTheme="minorHAnsi" w:cs="Arial"/>
          <w:sz w:val="20"/>
          <w:szCs w:val="20"/>
        </w:rPr>
        <w:t>,</w:t>
      </w:r>
      <w:r w:rsidRPr="00554C34">
        <w:rPr>
          <w:rFonts w:asciiTheme="minorHAnsi" w:hAnsiTheme="minorHAnsi" w:cs="Arial"/>
          <w:sz w:val="20"/>
          <w:szCs w:val="20"/>
        </w:rPr>
        <w:t xml:space="preserve"> and in 2018 </w:t>
      </w:r>
      <w:r w:rsidR="002D3145">
        <w:rPr>
          <w:rFonts w:asciiTheme="minorHAnsi" w:hAnsiTheme="minorHAnsi" w:cs="Arial"/>
          <w:sz w:val="20"/>
          <w:szCs w:val="20"/>
        </w:rPr>
        <w:t>women made up</w:t>
      </w:r>
      <w:r w:rsidRPr="00554C34">
        <w:rPr>
          <w:rFonts w:asciiTheme="minorHAnsi" w:hAnsiTheme="minorHAnsi" w:cs="Arial"/>
          <w:sz w:val="20"/>
          <w:szCs w:val="20"/>
        </w:rPr>
        <w:t xml:space="preserve"> 48 per cent of the </w:t>
      </w:r>
      <w:r w:rsidR="002D3145">
        <w:rPr>
          <w:rFonts w:asciiTheme="minorHAnsi" w:hAnsiTheme="minorHAnsi" w:cs="Arial"/>
          <w:sz w:val="20"/>
          <w:szCs w:val="20"/>
        </w:rPr>
        <w:t>total enrolment</w:t>
      </w:r>
      <w:r w:rsidRPr="00554C34">
        <w:rPr>
          <w:rFonts w:asciiTheme="minorHAnsi" w:hAnsiTheme="minorHAnsi" w:cs="Arial"/>
          <w:sz w:val="20"/>
          <w:szCs w:val="20"/>
        </w:rPr>
        <w:t xml:space="preserve">. There has also been a strong focus on campus environment (e.g. training on </w:t>
      </w:r>
      <w:r w:rsidR="002D3145">
        <w:rPr>
          <w:rFonts w:asciiTheme="minorHAnsi" w:hAnsiTheme="minorHAnsi" w:cs="Arial"/>
          <w:sz w:val="20"/>
          <w:szCs w:val="20"/>
        </w:rPr>
        <w:t>Gender Based Violence</w:t>
      </w:r>
      <w:r w:rsidRPr="00554C34">
        <w:rPr>
          <w:rFonts w:asciiTheme="minorHAnsi" w:hAnsiTheme="minorHAnsi" w:cs="Arial"/>
          <w:sz w:val="20"/>
          <w:szCs w:val="20"/>
        </w:rPr>
        <w:t xml:space="preserve">, </w:t>
      </w:r>
      <w:r w:rsidR="002D3145">
        <w:rPr>
          <w:rFonts w:asciiTheme="minorHAnsi" w:hAnsiTheme="minorHAnsi" w:cs="Arial"/>
          <w:sz w:val="20"/>
          <w:szCs w:val="20"/>
        </w:rPr>
        <w:t xml:space="preserve">the establishment of a </w:t>
      </w:r>
      <w:r w:rsidRPr="00554C34">
        <w:rPr>
          <w:rFonts w:asciiTheme="minorHAnsi" w:hAnsiTheme="minorHAnsi" w:cs="Arial"/>
          <w:sz w:val="20"/>
          <w:szCs w:val="20"/>
        </w:rPr>
        <w:t xml:space="preserve">health clinic, </w:t>
      </w:r>
      <w:r w:rsidR="002D3145">
        <w:rPr>
          <w:rFonts w:asciiTheme="minorHAnsi" w:hAnsiTheme="minorHAnsi" w:cs="Arial"/>
          <w:sz w:val="20"/>
          <w:szCs w:val="20"/>
        </w:rPr>
        <w:t xml:space="preserve">and increased </w:t>
      </w:r>
      <w:r w:rsidRPr="00554C34">
        <w:rPr>
          <w:rFonts w:asciiTheme="minorHAnsi" w:hAnsiTheme="minorHAnsi" w:cs="Arial"/>
          <w:sz w:val="20"/>
          <w:szCs w:val="20"/>
        </w:rPr>
        <w:t>employment of female lecturers in non-traditional courses</w:t>
      </w:r>
      <w:r w:rsidR="002D3145">
        <w:rPr>
          <w:rFonts w:asciiTheme="minorHAnsi" w:hAnsiTheme="minorHAnsi" w:cs="Arial"/>
          <w:sz w:val="20"/>
          <w:szCs w:val="20"/>
        </w:rPr>
        <w:t>)</w:t>
      </w:r>
      <w:r w:rsidRPr="00554C34">
        <w:rPr>
          <w:rFonts w:asciiTheme="minorHAnsi" w:hAnsiTheme="minorHAnsi" w:cs="Arial"/>
          <w:sz w:val="20"/>
          <w:szCs w:val="20"/>
        </w:rPr>
        <w:t xml:space="preserve">. KIT has undertaken a wide range of mainstreaming activities to support disability and inclusion (e.g. tailoring courses, adapting infrastructure, </w:t>
      </w:r>
      <w:r w:rsidR="002D3145">
        <w:rPr>
          <w:rFonts w:asciiTheme="minorHAnsi" w:hAnsiTheme="minorHAnsi" w:cs="Arial"/>
          <w:sz w:val="20"/>
          <w:szCs w:val="20"/>
        </w:rPr>
        <w:t xml:space="preserve">and </w:t>
      </w:r>
      <w:r w:rsidRPr="00554C34">
        <w:rPr>
          <w:rFonts w:asciiTheme="minorHAnsi" w:hAnsiTheme="minorHAnsi" w:cs="Arial"/>
          <w:sz w:val="20"/>
          <w:szCs w:val="20"/>
        </w:rPr>
        <w:t>co</w:t>
      </w:r>
      <w:r w:rsidR="002D3145">
        <w:rPr>
          <w:rFonts w:asciiTheme="minorHAnsi" w:hAnsiTheme="minorHAnsi" w:cs="Arial"/>
          <w:sz w:val="20"/>
          <w:szCs w:val="20"/>
        </w:rPr>
        <w:t xml:space="preserve"> - </w:t>
      </w:r>
      <w:r w:rsidRPr="00554C34">
        <w:rPr>
          <w:rFonts w:asciiTheme="minorHAnsi" w:hAnsiTheme="minorHAnsi" w:cs="Arial"/>
          <w:sz w:val="20"/>
          <w:szCs w:val="20"/>
        </w:rPr>
        <w:t>delivery of courses with Kiribati Deaf Association). KIT has also witnessed an increase in the participation of KIT courses for people with disability. In addition, KIT has fostered engagement through its Community Support Strategy, and is implement</w:t>
      </w:r>
      <w:r w:rsidR="002D3145">
        <w:rPr>
          <w:rFonts w:asciiTheme="minorHAnsi" w:hAnsiTheme="minorHAnsi" w:cs="Arial"/>
          <w:sz w:val="20"/>
          <w:szCs w:val="20"/>
        </w:rPr>
        <w:t>ing</w:t>
      </w:r>
      <w:r w:rsidRPr="00554C34">
        <w:rPr>
          <w:rFonts w:asciiTheme="minorHAnsi" w:hAnsiTheme="minorHAnsi" w:cs="Arial"/>
          <w:sz w:val="20"/>
          <w:szCs w:val="20"/>
        </w:rPr>
        <w:t xml:space="preserve"> a Disability Support Plan.</w:t>
      </w:r>
    </w:p>
    <w:p w14:paraId="5AAA58FF" w14:textId="77777777" w:rsidR="00CC5604" w:rsidRPr="00554C34" w:rsidRDefault="00CC5604" w:rsidP="00554C34">
      <w:pPr>
        <w:rPr>
          <w:rFonts w:asciiTheme="minorHAnsi" w:hAnsiTheme="minorHAnsi" w:cs="Arial"/>
          <w:sz w:val="20"/>
          <w:szCs w:val="20"/>
        </w:rPr>
      </w:pPr>
    </w:p>
    <w:p w14:paraId="47B253DE" w14:textId="77777777" w:rsidR="00CC5604" w:rsidRDefault="00CC5604" w:rsidP="00CC5604">
      <w:pPr>
        <w:rPr>
          <w:rFonts w:asciiTheme="minorHAnsi" w:hAnsiTheme="minorHAnsi" w:cs="Arial"/>
          <w:b/>
          <w:sz w:val="20"/>
          <w:szCs w:val="20"/>
        </w:rPr>
      </w:pPr>
      <w:r w:rsidRPr="00CC5604">
        <w:rPr>
          <w:rFonts w:asciiTheme="minorHAnsi" w:hAnsiTheme="minorHAnsi" w:cs="Arial"/>
          <w:b/>
          <w:sz w:val="20"/>
          <w:szCs w:val="20"/>
        </w:rPr>
        <w:t>How effective is the KF monitoring system</w:t>
      </w:r>
      <w:r>
        <w:rPr>
          <w:rFonts w:asciiTheme="minorHAnsi" w:hAnsiTheme="minorHAnsi" w:cs="Arial"/>
          <w:b/>
          <w:sz w:val="20"/>
          <w:szCs w:val="20"/>
        </w:rPr>
        <w:t xml:space="preserve">? </w:t>
      </w:r>
    </w:p>
    <w:p w14:paraId="122CBD88" w14:textId="2BFB9845" w:rsidR="008E2C7E" w:rsidRDefault="00CC5604" w:rsidP="00CC5604">
      <w:pPr>
        <w:rPr>
          <w:rFonts w:asciiTheme="minorHAnsi" w:hAnsiTheme="minorHAnsi" w:cs="Arial"/>
          <w:sz w:val="20"/>
          <w:szCs w:val="20"/>
        </w:rPr>
      </w:pPr>
      <w:r w:rsidRPr="00CC5604">
        <w:rPr>
          <w:rFonts w:asciiTheme="minorHAnsi" w:hAnsiTheme="minorHAnsi" w:cs="Arial"/>
          <w:sz w:val="20"/>
          <w:szCs w:val="20"/>
        </w:rPr>
        <w:t xml:space="preserve">There exists a comprehensive M&amp;E plan for SfEP, which is routinely reported against. No such plan exists for the other component of the program (i.e. the </w:t>
      </w:r>
      <w:r w:rsidR="002D3145">
        <w:rPr>
          <w:rFonts w:asciiTheme="minorHAnsi" w:hAnsiTheme="minorHAnsi" w:cs="Arial"/>
          <w:sz w:val="20"/>
          <w:szCs w:val="20"/>
        </w:rPr>
        <w:t>FSF</w:t>
      </w:r>
      <w:r w:rsidRPr="00CC5604">
        <w:rPr>
          <w:rFonts w:asciiTheme="minorHAnsi" w:hAnsiTheme="minorHAnsi" w:cs="Arial"/>
          <w:sz w:val="20"/>
          <w:szCs w:val="20"/>
        </w:rPr>
        <w:t xml:space="preserve">). There has been considerable investment in KIT’s data collection and monitoring system, and the consensus is that data quality is improving. KIT have now recruited a locally based M&amp;E officer to provide information to support ‘real time’ evidence-based decision making. As already noted above there remains ongoing challenges with regards to a LMIS, which </w:t>
      </w:r>
      <w:r w:rsidR="002D3145">
        <w:rPr>
          <w:rFonts w:asciiTheme="minorHAnsi" w:hAnsiTheme="minorHAnsi" w:cs="Arial"/>
          <w:sz w:val="20"/>
          <w:szCs w:val="20"/>
        </w:rPr>
        <w:t>inhibits</w:t>
      </w:r>
      <w:r w:rsidRPr="00CC5604">
        <w:rPr>
          <w:rFonts w:asciiTheme="minorHAnsi" w:hAnsiTheme="minorHAnsi" w:cs="Arial"/>
          <w:sz w:val="20"/>
          <w:szCs w:val="20"/>
        </w:rPr>
        <w:t xml:space="preserve"> the analysis of sector related data</w:t>
      </w:r>
      <w:r>
        <w:rPr>
          <w:rFonts w:asciiTheme="minorHAnsi" w:hAnsiTheme="minorHAnsi" w:cs="Arial"/>
          <w:sz w:val="20"/>
          <w:szCs w:val="20"/>
        </w:rPr>
        <w:t>.</w:t>
      </w:r>
    </w:p>
    <w:p w14:paraId="3288EE19" w14:textId="77777777" w:rsidR="008E2C7E" w:rsidRDefault="008E2C7E" w:rsidP="00CC5604">
      <w:pPr>
        <w:rPr>
          <w:rFonts w:asciiTheme="minorHAnsi" w:hAnsiTheme="minorHAnsi" w:cs="Arial"/>
          <w:sz w:val="20"/>
          <w:szCs w:val="20"/>
        </w:rPr>
      </w:pPr>
    </w:p>
    <w:p w14:paraId="194C1B40" w14:textId="77777777" w:rsidR="008E2C7E" w:rsidRDefault="008E2C7E" w:rsidP="00CC5604">
      <w:pPr>
        <w:rPr>
          <w:rFonts w:asciiTheme="minorHAnsi" w:hAnsiTheme="minorHAnsi" w:cs="Arial"/>
          <w:b/>
          <w:sz w:val="20"/>
          <w:szCs w:val="20"/>
        </w:rPr>
      </w:pPr>
      <w:r w:rsidRPr="008E2C7E">
        <w:rPr>
          <w:rFonts w:asciiTheme="minorHAnsi" w:hAnsiTheme="minorHAnsi" w:cs="Arial"/>
          <w:b/>
          <w:sz w:val="20"/>
          <w:szCs w:val="20"/>
        </w:rPr>
        <w:t>How well have financial and non-financial resources been used to achieve KF’s outcomes</w:t>
      </w:r>
      <w:r>
        <w:rPr>
          <w:rFonts w:asciiTheme="minorHAnsi" w:hAnsiTheme="minorHAnsi" w:cs="Arial"/>
          <w:b/>
          <w:sz w:val="20"/>
          <w:szCs w:val="20"/>
        </w:rPr>
        <w:t>?</w:t>
      </w:r>
    </w:p>
    <w:p w14:paraId="216CED53" w14:textId="7AB7A4CC" w:rsidR="00F023A9" w:rsidRDefault="008E2C7E" w:rsidP="00CC5604">
      <w:pPr>
        <w:rPr>
          <w:rFonts w:asciiTheme="minorHAnsi" w:hAnsiTheme="minorHAnsi" w:cs="Arial"/>
          <w:sz w:val="20"/>
          <w:szCs w:val="20"/>
        </w:rPr>
      </w:pPr>
      <w:r w:rsidRPr="008E2C7E">
        <w:rPr>
          <w:rFonts w:asciiTheme="minorHAnsi" w:hAnsiTheme="minorHAnsi" w:cs="Arial"/>
          <w:sz w:val="20"/>
          <w:szCs w:val="20"/>
        </w:rPr>
        <w:t>Nearly all planned activities under SfEP have been delivered on time and within budget. The governance structure for KIT is both accountable and transparent and is meeting as planned. KIT has also been successful in leveraging relationships with partners (such as MTC, APTC, USP, KTC, KIT/SOHN) to enhance the efficient use of resources</w:t>
      </w:r>
      <w:r w:rsidR="00F023A9">
        <w:rPr>
          <w:rFonts w:asciiTheme="minorHAnsi" w:hAnsiTheme="minorHAnsi" w:cs="Arial"/>
          <w:sz w:val="20"/>
          <w:szCs w:val="20"/>
        </w:rPr>
        <w:t>.</w:t>
      </w:r>
      <w:r w:rsidR="009378E2">
        <w:rPr>
          <w:rFonts w:asciiTheme="minorHAnsi" w:hAnsiTheme="minorHAnsi" w:cs="Arial"/>
          <w:sz w:val="20"/>
          <w:szCs w:val="20"/>
        </w:rPr>
        <w:t xml:space="preserve"> </w:t>
      </w:r>
      <w:r w:rsidR="0043480A">
        <w:rPr>
          <w:rFonts w:ascii="Calibri" w:hAnsi="Calibri" w:cs="Calibri"/>
          <w:iCs/>
          <w:sz w:val="20"/>
          <w:szCs w:val="20"/>
        </w:rPr>
        <w:t>Unsurprisingly, given the nature of the Facility’s focus on technical capacity building and knowledge transfer</w:t>
      </w:r>
      <w:r w:rsidR="00F023A9" w:rsidRPr="00D2636A">
        <w:rPr>
          <w:rFonts w:ascii="Calibri" w:hAnsi="Calibri" w:cs="Calibri"/>
          <w:iCs/>
          <w:sz w:val="20"/>
          <w:szCs w:val="20"/>
        </w:rPr>
        <w:t xml:space="preserve">, expenditure on </w:t>
      </w:r>
      <w:r w:rsidR="00F023A9">
        <w:rPr>
          <w:rFonts w:ascii="Calibri" w:hAnsi="Calibri" w:cs="Calibri"/>
          <w:iCs/>
          <w:sz w:val="20"/>
          <w:szCs w:val="20"/>
        </w:rPr>
        <w:t>adviser</w:t>
      </w:r>
      <w:r w:rsidR="00F023A9" w:rsidRPr="00D2636A">
        <w:rPr>
          <w:rFonts w:ascii="Calibri" w:hAnsi="Calibri" w:cs="Calibri"/>
          <w:iCs/>
          <w:sz w:val="20"/>
          <w:szCs w:val="20"/>
        </w:rPr>
        <w:t xml:space="preserve">s accounts for a </w:t>
      </w:r>
      <w:r w:rsidR="0043480A">
        <w:rPr>
          <w:rFonts w:ascii="Calibri" w:hAnsi="Calibri" w:cs="Calibri"/>
          <w:iCs/>
          <w:sz w:val="20"/>
          <w:szCs w:val="20"/>
        </w:rPr>
        <w:t xml:space="preserve">considerable </w:t>
      </w:r>
      <w:r w:rsidR="00F023A9" w:rsidRPr="00D2636A">
        <w:rPr>
          <w:rFonts w:ascii="Calibri" w:hAnsi="Calibri" w:cs="Calibri"/>
          <w:iCs/>
          <w:sz w:val="20"/>
          <w:szCs w:val="20"/>
        </w:rPr>
        <w:t>proportion of the total budget of the Kiribati Facility</w:t>
      </w:r>
      <w:r w:rsidRPr="008E2C7E">
        <w:rPr>
          <w:rFonts w:asciiTheme="minorHAnsi" w:hAnsiTheme="minorHAnsi" w:cs="Arial"/>
          <w:sz w:val="20"/>
          <w:szCs w:val="20"/>
        </w:rPr>
        <w:t xml:space="preserve">. </w:t>
      </w:r>
      <w:r w:rsidR="002200FE">
        <w:rPr>
          <w:rFonts w:asciiTheme="minorHAnsi" w:hAnsiTheme="minorHAnsi" w:cs="Arial"/>
          <w:sz w:val="20"/>
          <w:szCs w:val="20"/>
        </w:rPr>
        <w:t>The Facility</w:t>
      </w:r>
      <w:r w:rsidR="002200FE" w:rsidRPr="008E2C7E">
        <w:rPr>
          <w:rFonts w:asciiTheme="minorHAnsi" w:hAnsiTheme="minorHAnsi" w:cs="Arial"/>
          <w:sz w:val="20"/>
          <w:szCs w:val="20"/>
        </w:rPr>
        <w:t xml:space="preserve"> continues to invest extensive resources in promoting English language proficiency amongst both staff and students (the English Department is biggest teaching department at KIT)</w:t>
      </w:r>
      <w:r w:rsidR="002200FE">
        <w:rPr>
          <w:rFonts w:asciiTheme="minorHAnsi" w:hAnsiTheme="minorHAnsi" w:cs="Arial"/>
          <w:sz w:val="20"/>
          <w:szCs w:val="20"/>
        </w:rPr>
        <w:t>.</w:t>
      </w:r>
    </w:p>
    <w:p w14:paraId="2E9DF421" w14:textId="77777777" w:rsidR="00F023A9" w:rsidRDefault="00F023A9" w:rsidP="00CC5604">
      <w:pPr>
        <w:rPr>
          <w:rFonts w:asciiTheme="minorHAnsi" w:hAnsiTheme="minorHAnsi" w:cs="Arial"/>
          <w:sz w:val="20"/>
          <w:szCs w:val="20"/>
        </w:rPr>
      </w:pPr>
    </w:p>
    <w:p w14:paraId="05658A7F" w14:textId="3DBAF7F8" w:rsidR="00341133" w:rsidRDefault="008E2C7E" w:rsidP="00CC5604">
      <w:pPr>
        <w:rPr>
          <w:rFonts w:asciiTheme="minorHAnsi" w:hAnsiTheme="minorHAnsi" w:cs="Arial"/>
          <w:b/>
          <w:sz w:val="20"/>
          <w:szCs w:val="20"/>
        </w:rPr>
      </w:pPr>
      <w:r w:rsidRPr="008E2C7E">
        <w:rPr>
          <w:rFonts w:asciiTheme="minorHAnsi" w:hAnsiTheme="minorHAnsi" w:cs="Arial"/>
          <w:sz w:val="20"/>
          <w:szCs w:val="20"/>
        </w:rPr>
        <w:t xml:space="preserve">The </w:t>
      </w:r>
      <w:r w:rsidR="002200FE">
        <w:rPr>
          <w:rFonts w:asciiTheme="minorHAnsi" w:hAnsiTheme="minorHAnsi" w:cs="Arial"/>
          <w:sz w:val="20"/>
          <w:szCs w:val="20"/>
        </w:rPr>
        <w:t>Facility</w:t>
      </w:r>
      <w:r w:rsidR="002200FE" w:rsidRPr="008E2C7E">
        <w:rPr>
          <w:rFonts w:asciiTheme="minorHAnsi" w:hAnsiTheme="minorHAnsi" w:cs="Arial"/>
          <w:sz w:val="20"/>
          <w:szCs w:val="20"/>
        </w:rPr>
        <w:t xml:space="preserve"> </w:t>
      </w:r>
      <w:r w:rsidRPr="008E2C7E">
        <w:rPr>
          <w:rFonts w:asciiTheme="minorHAnsi" w:hAnsiTheme="minorHAnsi" w:cs="Arial"/>
          <w:sz w:val="20"/>
          <w:szCs w:val="20"/>
        </w:rPr>
        <w:t>does not routinely or systematically report on Value for Money</w:t>
      </w:r>
      <w:r w:rsidR="002200FE">
        <w:rPr>
          <w:rFonts w:asciiTheme="minorHAnsi" w:hAnsiTheme="minorHAnsi" w:cs="Arial"/>
          <w:sz w:val="20"/>
          <w:szCs w:val="20"/>
        </w:rPr>
        <w:t xml:space="preserve">, without which (such as </w:t>
      </w:r>
      <w:r w:rsidRPr="008E2C7E">
        <w:rPr>
          <w:rFonts w:asciiTheme="minorHAnsi" w:hAnsiTheme="minorHAnsi" w:cs="Arial"/>
          <w:sz w:val="20"/>
          <w:szCs w:val="20"/>
        </w:rPr>
        <w:t>tracking the unit cost of graduates</w:t>
      </w:r>
      <w:r w:rsidR="002200FE">
        <w:rPr>
          <w:rFonts w:asciiTheme="minorHAnsi" w:hAnsiTheme="minorHAnsi" w:cs="Arial"/>
          <w:sz w:val="20"/>
          <w:szCs w:val="20"/>
        </w:rPr>
        <w:t>)</w:t>
      </w:r>
      <w:r w:rsidRPr="008E2C7E">
        <w:rPr>
          <w:rFonts w:asciiTheme="minorHAnsi" w:hAnsiTheme="minorHAnsi" w:cs="Arial"/>
          <w:sz w:val="20"/>
          <w:szCs w:val="20"/>
        </w:rPr>
        <w:t xml:space="preserve"> it is difficult to assess whether the program is become more efficient over time. It is likely that the program will have to continue investing heavily in promoting English language skills, which will have implications for resourcing other aspects of the program.</w:t>
      </w:r>
      <w:r w:rsidRPr="00CC5604">
        <w:rPr>
          <w:rFonts w:asciiTheme="minorHAnsi" w:hAnsiTheme="minorHAnsi" w:cs="Arial"/>
          <w:b/>
          <w:sz w:val="20"/>
          <w:szCs w:val="20"/>
        </w:rPr>
        <w:t xml:space="preserve"> </w:t>
      </w:r>
    </w:p>
    <w:p w14:paraId="5ADD40EF" w14:textId="7510E8DD" w:rsidR="00F023A9" w:rsidRDefault="00F023A9" w:rsidP="00CC5604">
      <w:pPr>
        <w:rPr>
          <w:rFonts w:asciiTheme="minorHAnsi" w:hAnsiTheme="minorHAnsi" w:cs="Arial"/>
          <w:b/>
          <w:sz w:val="20"/>
          <w:szCs w:val="20"/>
        </w:rPr>
      </w:pPr>
    </w:p>
    <w:p w14:paraId="5946EC69" w14:textId="07AD25EB" w:rsidR="00F023A9" w:rsidRDefault="00F023A9" w:rsidP="00F023A9">
      <w:pPr>
        <w:rPr>
          <w:rFonts w:asciiTheme="minorHAnsi" w:hAnsiTheme="minorHAnsi" w:cs="Arial"/>
          <w:b/>
          <w:sz w:val="20"/>
          <w:szCs w:val="20"/>
        </w:rPr>
      </w:pPr>
      <w:r w:rsidRPr="008E2C7E">
        <w:rPr>
          <w:rFonts w:asciiTheme="minorHAnsi" w:hAnsiTheme="minorHAnsi" w:cs="Arial"/>
          <w:b/>
          <w:sz w:val="20"/>
          <w:szCs w:val="20"/>
        </w:rPr>
        <w:t xml:space="preserve">How </w:t>
      </w:r>
      <w:r>
        <w:rPr>
          <w:rFonts w:asciiTheme="minorHAnsi" w:hAnsiTheme="minorHAnsi" w:cs="Arial"/>
          <w:b/>
          <w:sz w:val="20"/>
          <w:szCs w:val="20"/>
        </w:rPr>
        <w:t>sustainable are the benefits of the Kiribati Facility?</w:t>
      </w:r>
    </w:p>
    <w:p w14:paraId="7EC8C37F" w14:textId="2FCCC154" w:rsidR="003F7DC4" w:rsidRDefault="00F023A9" w:rsidP="00F023A9">
      <w:pPr>
        <w:rPr>
          <w:rFonts w:ascii="Calibri" w:hAnsi="Calibri" w:cs="Calibri"/>
          <w:iCs/>
          <w:sz w:val="20"/>
          <w:szCs w:val="20"/>
        </w:rPr>
      </w:pPr>
      <w:r w:rsidRPr="00C80615">
        <w:rPr>
          <w:rFonts w:asciiTheme="minorHAnsi" w:hAnsiTheme="minorHAnsi" w:cstheme="minorHAnsi"/>
          <w:sz w:val="20"/>
          <w:szCs w:val="20"/>
        </w:rPr>
        <w:t>Based on an analysis of current performance, there are good prospects that gains made under the SfEP will continue in the future</w:t>
      </w:r>
      <w:r w:rsidR="002200FE">
        <w:rPr>
          <w:rFonts w:asciiTheme="minorHAnsi" w:hAnsiTheme="minorHAnsi" w:cstheme="minorHAnsi"/>
          <w:sz w:val="20"/>
          <w:szCs w:val="20"/>
        </w:rPr>
        <w:t xml:space="preserve"> provided there is ongoing investment by the Australian Government</w:t>
      </w:r>
      <w:r w:rsidRPr="00C80615">
        <w:rPr>
          <w:rFonts w:asciiTheme="minorHAnsi" w:hAnsiTheme="minorHAnsi" w:cstheme="minorHAnsi"/>
          <w:sz w:val="20"/>
          <w:szCs w:val="20"/>
        </w:rPr>
        <w:t xml:space="preserve">. This includes the activities to ensure KIT </w:t>
      </w:r>
      <w:r w:rsidR="00A06B15">
        <w:rPr>
          <w:rFonts w:asciiTheme="minorHAnsi" w:hAnsiTheme="minorHAnsi" w:cstheme="minorHAnsi"/>
          <w:sz w:val="20"/>
          <w:szCs w:val="20"/>
        </w:rPr>
        <w:t xml:space="preserve">maintains its accreditation as a </w:t>
      </w:r>
      <w:r w:rsidRPr="00C80615">
        <w:rPr>
          <w:rFonts w:asciiTheme="minorHAnsi" w:hAnsiTheme="minorHAnsi" w:cstheme="minorHAnsi"/>
          <w:sz w:val="20"/>
          <w:szCs w:val="20"/>
        </w:rPr>
        <w:t>higher education provider, increasing the teaching and administrative capacity of staff, the activities that are being undertaken to implement the new English Language strategy, and reducing the emphasis on expatriate trainers. KIT has also developed an extensive Master Plan for the campus which will see a rapid expansion in its physical capacity and assist in meeting the growing demands for its courses.</w:t>
      </w:r>
      <w:r>
        <w:rPr>
          <w:rFonts w:asciiTheme="minorHAnsi" w:hAnsiTheme="minorHAnsi" w:cstheme="minorHAnsi"/>
          <w:sz w:val="20"/>
          <w:szCs w:val="20"/>
        </w:rPr>
        <w:t xml:space="preserve"> </w:t>
      </w:r>
      <w:r w:rsidRPr="009F746D">
        <w:rPr>
          <w:rFonts w:ascii="Calibri" w:hAnsi="Calibri" w:cs="Calibri"/>
          <w:iCs/>
          <w:sz w:val="20"/>
          <w:szCs w:val="20"/>
        </w:rPr>
        <w:t xml:space="preserve">Risks are well managed and are unlikely to undermine the Australian Government’s </w:t>
      </w:r>
      <w:r>
        <w:rPr>
          <w:rFonts w:ascii="Calibri" w:hAnsi="Calibri" w:cs="Calibri"/>
          <w:iCs/>
          <w:sz w:val="20"/>
          <w:szCs w:val="20"/>
        </w:rPr>
        <w:t xml:space="preserve">long-term </w:t>
      </w:r>
      <w:r w:rsidRPr="009F746D">
        <w:rPr>
          <w:rFonts w:ascii="Calibri" w:hAnsi="Calibri" w:cs="Calibri"/>
          <w:iCs/>
          <w:sz w:val="20"/>
          <w:szCs w:val="20"/>
        </w:rPr>
        <w:t>investment in the sector</w:t>
      </w:r>
      <w:r>
        <w:rPr>
          <w:rFonts w:ascii="Calibri" w:hAnsi="Calibri" w:cs="Calibri"/>
          <w:iCs/>
          <w:sz w:val="20"/>
          <w:szCs w:val="20"/>
        </w:rPr>
        <w:t>.</w:t>
      </w:r>
      <w:r w:rsidR="002D3145">
        <w:rPr>
          <w:rFonts w:ascii="Calibri" w:hAnsi="Calibri" w:cs="Calibri"/>
          <w:iCs/>
          <w:sz w:val="20"/>
          <w:szCs w:val="20"/>
        </w:rPr>
        <w:t xml:space="preserve"> </w:t>
      </w:r>
    </w:p>
    <w:p w14:paraId="770F03BA" w14:textId="77777777" w:rsidR="003F7DC4" w:rsidRDefault="003F7DC4" w:rsidP="00F023A9">
      <w:pPr>
        <w:rPr>
          <w:rFonts w:ascii="Calibri" w:hAnsi="Calibri" w:cs="Calibri"/>
          <w:iCs/>
          <w:sz w:val="20"/>
          <w:szCs w:val="20"/>
        </w:rPr>
      </w:pPr>
    </w:p>
    <w:p w14:paraId="3D99F5D9" w14:textId="24D9058D" w:rsidR="00F023A9" w:rsidRPr="003F7DC4" w:rsidRDefault="00F023A9" w:rsidP="00F023A9">
      <w:pPr>
        <w:rPr>
          <w:rFonts w:ascii="Calibri" w:hAnsi="Calibri" w:cs="Calibri"/>
          <w:iCs/>
          <w:sz w:val="20"/>
          <w:szCs w:val="20"/>
        </w:rPr>
      </w:pPr>
      <w:r w:rsidRPr="00C80615">
        <w:rPr>
          <w:rFonts w:asciiTheme="minorHAnsi" w:hAnsiTheme="minorHAnsi" w:cstheme="minorHAnsi"/>
          <w:sz w:val="20"/>
          <w:szCs w:val="20"/>
        </w:rPr>
        <w:t>However, there is limited opportunity each year to shift SfEP funded-positions to the GoK’s Establishment Register. In addition, the SfEP currently funds about 80% of KIT’s annual budget.</w:t>
      </w:r>
      <w:r>
        <w:rPr>
          <w:rFonts w:asciiTheme="minorHAnsi" w:hAnsiTheme="minorHAnsi" w:cstheme="minorHAnsi"/>
          <w:sz w:val="20"/>
          <w:szCs w:val="20"/>
        </w:rPr>
        <w:t xml:space="preserve"> </w:t>
      </w:r>
      <w:r w:rsidRPr="00C80615">
        <w:rPr>
          <w:rFonts w:asciiTheme="minorHAnsi" w:hAnsiTheme="minorHAnsi" w:cstheme="minorHAnsi"/>
          <w:sz w:val="20"/>
          <w:szCs w:val="20"/>
        </w:rPr>
        <w:t>It is unlikely that GoK’s investment in KIT will increase substantially in the medium term, which means KIT will continue to require substantial investment from development partners (including</w:t>
      </w:r>
      <w:r w:rsidR="002D3145">
        <w:rPr>
          <w:rFonts w:asciiTheme="minorHAnsi" w:hAnsiTheme="minorHAnsi" w:cstheme="minorHAnsi"/>
          <w:sz w:val="20"/>
          <w:szCs w:val="20"/>
        </w:rPr>
        <w:t xml:space="preserve"> the</w:t>
      </w:r>
      <w:r w:rsidRPr="00C80615">
        <w:rPr>
          <w:rFonts w:asciiTheme="minorHAnsi" w:hAnsiTheme="minorHAnsi" w:cstheme="minorHAnsi"/>
          <w:sz w:val="20"/>
          <w:szCs w:val="20"/>
        </w:rPr>
        <w:t xml:space="preserve"> financing </w:t>
      </w:r>
      <w:r w:rsidR="002D3145">
        <w:rPr>
          <w:rFonts w:asciiTheme="minorHAnsi" w:hAnsiTheme="minorHAnsi" w:cstheme="minorHAnsi"/>
          <w:sz w:val="20"/>
          <w:szCs w:val="20"/>
        </w:rPr>
        <w:t xml:space="preserve">of </w:t>
      </w:r>
      <w:r w:rsidRPr="00C80615">
        <w:rPr>
          <w:rFonts w:asciiTheme="minorHAnsi" w:hAnsiTheme="minorHAnsi" w:cstheme="minorHAnsi"/>
          <w:sz w:val="20"/>
          <w:szCs w:val="20"/>
        </w:rPr>
        <w:t>the Master Plan). No increase investment by the GoK in the sector could also impact on the operations and maintenance of KIT’s buildings once the Master Plan has been delivered.</w:t>
      </w:r>
      <w:r w:rsidR="003F7DC4">
        <w:rPr>
          <w:rFonts w:ascii="Calibri" w:hAnsi="Calibri" w:cs="Calibri"/>
          <w:iCs/>
          <w:sz w:val="20"/>
          <w:szCs w:val="20"/>
        </w:rPr>
        <w:t xml:space="preserve"> </w:t>
      </w:r>
      <w:r w:rsidRPr="00C80615">
        <w:rPr>
          <w:rFonts w:asciiTheme="minorHAnsi" w:hAnsiTheme="minorHAnsi" w:cstheme="minorHAnsi"/>
          <w:sz w:val="20"/>
          <w:szCs w:val="20"/>
        </w:rPr>
        <w:t xml:space="preserve">Despite efforts to reduce reliance on </w:t>
      </w:r>
      <w:r>
        <w:rPr>
          <w:rFonts w:asciiTheme="minorHAnsi" w:hAnsiTheme="minorHAnsi" w:cstheme="minorHAnsi"/>
          <w:sz w:val="20"/>
          <w:szCs w:val="20"/>
        </w:rPr>
        <w:t>adviser</w:t>
      </w:r>
      <w:r w:rsidRPr="00C80615">
        <w:rPr>
          <w:rFonts w:asciiTheme="minorHAnsi" w:hAnsiTheme="minorHAnsi" w:cstheme="minorHAnsi"/>
          <w:sz w:val="20"/>
          <w:szCs w:val="20"/>
        </w:rPr>
        <w:t>s, there is little likelihood in the foreseeable future of KIT being able to operate fully without external technical inputs (albeit that the role of APTC3 in the future may be able to replace some of the capacity that is being directly contracted under the Kiribati Facility</w:t>
      </w:r>
      <w:r w:rsidR="002D3145">
        <w:rPr>
          <w:rFonts w:asciiTheme="minorHAnsi" w:hAnsiTheme="minorHAnsi" w:cstheme="minorHAnsi"/>
          <w:sz w:val="20"/>
          <w:szCs w:val="20"/>
        </w:rPr>
        <w:t>)</w:t>
      </w:r>
      <w:r>
        <w:rPr>
          <w:rFonts w:asciiTheme="minorHAnsi" w:hAnsiTheme="minorHAnsi" w:cstheme="minorHAnsi"/>
          <w:sz w:val="20"/>
          <w:szCs w:val="20"/>
        </w:rPr>
        <w:t>.</w:t>
      </w:r>
    </w:p>
    <w:p w14:paraId="5525606A" w14:textId="77777777" w:rsidR="00341133" w:rsidRDefault="00341133" w:rsidP="00CC5604">
      <w:pPr>
        <w:rPr>
          <w:rFonts w:asciiTheme="minorHAnsi" w:hAnsiTheme="minorHAnsi" w:cs="Arial"/>
          <w:b/>
          <w:sz w:val="20"/>
          <w:szCs w:val="20"/>
        </w:rPr>
      </w:pPr>
    </w:p>
    <w:p w14:paraId="15F0990E" w14:textId="77777777" w:rsidR="00341133" w:rsidRPr="004A274A" w:rsidRDefault="00341133" w:rsidP="00341133">
      <w:pPr>
        <w:rPr>
          <w:rFonts w:asciiTheme="minorHAnsi" w:hAnsiTheme="minorHAnsi"/>
          <w:b/>
          <w:sz w:val="20"/>
          <w:szCs w:val="20"/>
          <w:lang w:val="en-AU"/>
        </w:rPr>
      </w:pPr>
      <w:r w:rsidRPr="004A274A">
        <w:rPr>
          <w:rFonts w:asciiTheme="minorHAnsi" w:hAnsiTheme="minorHAnsi"/>
          <w:b/>
          <w:sz w:val="20"/>
          <w:szCs w:val="20"/>
          <w:lang w:val="en-AU"/>
        </w:rPr>
        <w:t>Recommendations</w:t>
      </w:r>
    </w:p>
    <w:p w14:paraId="4A2C59B2" w14:textId="6B631D0D" w:rsidR="00341133" w:rsidRPr="00F023A9" w:rsidRDefault="00341133" w:rsidP="00341133">
      <w:pPr>
        <w:spacing w:after="200"/>
        <w:rPr>
          <w:rFonts w:asciiTheme="minorHAnsi" w:hAnsiTheme="minorHAnsi" w:cs="Arial"/>
          <w:sz w:val="20"/>
          <w:szCs w:val="20"/>
        </w:rPr>
      </w:pPr>
      <w:r w:rsidRPr="004A274A">
        <w:rPr>
          <w:rFonts w:asciiTheme="minorHAnsi" w:hAnsiTheme="minorHAnsi"/>
          <w:sz w:val="20"/>
          <w:szCs w:val="20"/>
          <w:lang w:val="en-AU"/>
        </w:rPr>
        <w:t xml:space="preserve">In summary, </w:t>
      </w:r>
      <w:r>
        <w:rPr>
          <w:rFonts w:asciiTheme="minorHAnsi" w:hAnsiTheme="minorHAnsi"/>
          <w:sz w:val="20"/>
          <w:szCs w:val="20"/>
          <w:lang w:val="en-AU"/>
        </w:rPr>
        <w:t>the Kiribati Facility</w:t>
      </w:r>
      <w:r w:rsidRPr="004A274A">
        <w:rPr>
          <w:rFonts w:asciiTheme="minorHAnsi" w:hAnsiTheme="minorHAnsi"/>
          <w:sz w:val="20"/>
          <w:szCs w:val="20"/>
          <w:lang w:val="en-AU"/>
        </w:rPr>
        <w:t xml:space="preserve"> </w:t>
      </w:r>
      <w:r w:rsidRPr="004A274A">
        <w:rPr>
          <w:rFonts w:asciiTheme="minorHAnsi" w:hAnsiTheme="minorHAnsi" w:cs="Arial"/>
          <w:sz w:val="20"/>
          <w:szCs w:val="20"/>
          <w:lang w:val="en-AU"/>
        </w:rPr>
        <w:t xml:space="preserve">has made good progress </w:t>
      </w:r>
      <w:r w:rsidRPr="00AB10F1">
        <w:rPr>
          <w:rFonts w:asciiTheme="minorHAnsi" w:hAnsiTheme="minorHAnsi" w:cstheme="minorHAnsi"/>
          <w:sz w:val="20"/>
          <w:szCs w:val="20"/>
        </w:rPr>
        <w:t>towards 3 out of 4 end of program outcomes (EOPOs), little progress has been observed under the 4th EOPO</w:t>
      </w:r>
      <w:r>
        <w:rPr>
          <w:rFonts w:asciiTheme="minorHAnsi" w:hAnsiTheme="minorHAnsi" w:cs="Arial"/>
          <w:sz w:val="20"/>
          <w:szCs w:val="20"/>
          <w:lang w:val="en-AU"/>
        </w:rPr>
        <w:t xml:space="preserve">. The </w:t>
      </w:r>
      <w:r w:rsidRPr="004A274A">
        <w:rPr>
          <w:rFonts w:asciiTheme="minorHAnsi" w:hAnsiTheme="minorHAnsi" w:cs="Arial"/>
          <w:sz w:val="20"/>
          <w:szCs w:val="20"/>
          <w:lang w:val="en-AU"/>
        </w:rPr>
        <w:t>performance of the program</w:t>
      </w:r>
      <w:r w:rsidR="000F0396">
        <w:rPr>
          <w:rFonts w:asciiTheme="minorHAnsi" w:hAnsiTheme="minorHAnsi" w:cs="Arial"/>
          <w:sz w:val="20"/>
          <w:szCs w:val="20"/>
          <w:lang w:val="en-AU"/>
        </w:rPr>
        <w:t xml:space="preserve"> under SfEP</w:t>
      </w:r>
      <w:r w:rsidRPr="004A274A">
        <w:rPr>
          <w:rFonts w:asciiTheme="minorHAnsi" w:hAnsiTheme="minorHAnsi" w:cs="Arial"/>
          <w:sz w:val="20"/>
          <w:szCs w:val="20"/>
          <w:lang w:val="en-AU"/>
        </w:rPr>
        <w:t xml:space="preserve"> has been both effective and efficient</w:t>
      </w:r>
      <w:r w:rsidRPr="00427EE1">
        <w:rPr>
          <w:rFonts w:asciiTheme="minorHAnsi" w:hAnsiTheme="minorHAnsi" w:cstheme="minorHAnsi"/>
          <w:sz w:val="20"/>
          <w:szCs w:val="20"/>
          <w:lang w:val="en-AU"/>
        </w:rPr>
        <w:t xml:space="preserve">. The </w:t>
      </w:r>
      <w:r w:rsidR="002D3145">
        <w:rPr>
          <w:rFonts w:asciiTheme="minorHAnsi" w:hAnsiTheme="minorHAnsi" w:cstheme="minorHAnsi"/>
          <w:sz w:val="20"/>
          <w:szCs w:val="20"/>
          <w:lang w:val="en-AU"/>
        </w:rPr>
        <w:t>review</w:t>
      </w:r>
      <w:r w:rsidRPr="00427EE1">
        <w:rPr>
          <w:rFonts w:asciiTheme="minorHAnsi" w:hAnsiTheme="minorHAnsi" w:cstheme="minorHAnsi"/>
          <w:sz w:val="20"/>
          <w:szCs w:val="20"/>
          <w:lang w:val="en-AU"/>
        </w:rPr>
        <w:t xml:space="preserve"> did however identify </w:t>
      </w:r>
      <w:r w:rsidRPr="00427EE1">
        <w:rPr>
          <w:rFonts w:asciiTheme="minorHAnsi" w:hAnsiTheme="minorHAnsi" w:cs="Arial"/>
          <w:sz w:val="20"/>
          <w:szCs w:val="20"/>
        </w:rPr>
        <w:t xml:space="preserve">issues worthy of further attention </w:t>
      </w:r>
      <w:r w:rsidRPr="00427EE1">
        <w:rPr>
          <w:rFonts w:asciiTheme="minorHAnsi" w:hAnsiTheme="minorHAnsi" w:cstheme="minorHAnsi"/>
          <w:sz w:val="20"/>
          <w:szCs w:val="20"/>
          <w:lang w:eastAsia="de-DE"/>
        </w:rPr>
        <w:t xml:space="preserve">which need to be addressed in the remaining period of </w:t>
      </w:r>
      <w:r>
        <w:rPr>
          <w:rFonts w:asciiTheme="minorHAnsi" w:hAnsiTheme="minorHAnsi" w:cstheme="minorHAnsi"/>
          <w:sz w:val="20"/>
          <w:szCs w:val="20"/>
          <w:lang w:eastAsia="de-DE"/>
        </w:rPr>
        <w:t>the Facility</w:t>
      </w:r>
      <w:r w:rsidRPr="00427EE1">
        <w:rPr>
          <w:rFonts w:asciiTheme="minorHAnsi" w:hAnsiTheme="minorHAnsi" w:cstheme="minorHAnsi"/>
          <w:sz w:val="20"/>
          <w:szCs w:val="20"/>
          <w:lang w:eastAsia="de-DE"/>
        </w:rPr>
        <w:t xml:space="preserve"> and/or considered during the next phase</w:t>
      </w:r>
      <w:r w:rsidRPr="00427EE1">
        <w:rPr>
          <w:rFonts w:asciiTheme="minorHAnsi" w:hAnsiTheme="minorHAnsi" w:cs="Arial"/>
          <w:sz w:val="20"/>
          <w:szCs w:val="20"/>
        </w:rPr>
        <w:t xml:space="preserve">. These issues are linked to a set of </w:t>
      </w:r>
      <w:r w:rsidR="00EC74BA">
        <w:rPr>
          <w:rFonts w:asciiTheme="minorHAnsi" w:hAnsiTheme="minorHAnsi" w:cs="Arial"/>
          <w:color w:val="000000" w:themeColor="text1"/>
          <w:sz w:val="20"/>
          <w:szCs w:val="20"/>
        </w:rPr>
        <w:t>11</w:t>
      </w:r>
      <w:r w:rsidR="000D1BDC" w:rsidRPr="000D1BDC">
        <w:rPr>
          <w:rFonts w:asciiTheme="minorHAnsi" w:hAnsiTheme="minorHAnsi" w:cs="Arial"/>
          <w:color w:val="000000" w:themeColor="text1"/>
          <w:sz w:val="20"/>
          <w:szCs w:val="20"/>
        </w:rPr>
        <w:t xml:space="preserve"> </w:t>
      </w:r>
      <w:r w:rsidRPr="00427EE1">
        <w:rPr>
          <w:rFonts w:asciiTheme="minorHAnsi" w:hAnsiTheme="minorHAnsi" w:cs="Arial"/>
          <w:sz w:val="20"/>
          <w:szCs w:val="20"/>
        </w:rPr>
        <w:t xml:space="preserve">recommendations including ensuring </w:t>
      </w:r>
      <w:r>
        <w:rPr>
          <w:rFonts w:asciiTheme="minorHAnsi" w:hAnsiTheme="minorHAnsi" w:cs="Arial"/>
          <w:sz w:val="20"/>
          <w:szCs w:val="20"/>
        </w:rPr>
        <w:t>the program refocuses on sectoral policy</w:t>
      </w:r>
      <w:r w:rsidR="00F023A9">
        <w:rPr>
          <w:rFonts w:asciiTheme="minorHAnsi" w:hAnsiTheme="minorHAnsi" w:cs="Arial"/>
          <w:sz w:val="20"/>
          <w:szCs w:val="20"/>
        </w:rPr>
        <w:t xml:space="preserve">, planning and oversight; promoting a strong relationship between the MEHR and the Kiribati Facility; developing greater collaboration with APTC; </w:t>
      </w:r>
      <w:r>
        <w:rPr>
          <w:rFonts w:asciiTheme="minorHAnsi" w:hAnsiTheme="minorHAnsi" w:cs="Arial"/>
          <w:sz w:val="20"/>
          <w:szCs w:val="20"/>
        </w:rPr>
        <w:t>and continuing to address gender equity challenges in the sector</w:t>
      </w:r>
      <w:r w:rsidRPr="00427EE1">
        <w:rPr>
          <w:rFonts w:asciiTheme="minorHAnsi" w:hAnsiTheme="minorHAnsi" w:cstheme="minorHAnsi"/>
          <w:sz w:val="20"/>
          <w:szCs w:val="20"/>
          <w:lang w:val="en-AU" w:eastAsia="de-DE"/>
        </w:rPr>
        <w:t>.</w:t>
      </w:r>
      <w:r w:rsidR="00F023A9">
        <w:rPr>
          <w:rFonts w:asciiTheme="minorHAnsi" w:hAnsiTheme="minorHAnsi" w:cstheme="minorHAnsi"/>
          <w:sz w:val="20"/>
          <w:szCs w:val="20"/>
          <w:lang w:val="en-AU" w:eastAsia="de-DE"/>
        </w:rPr>
        <w:t xml:space="preserve"> A set of proposed amendments to the existing </w:t>
      </w:r>
      <w:r w:rsidR="00F023A9" w:rsidRPr="00F023A9">
        <w:rPr>
          <w:rFonts w:asciiTheme="minorHAnsi" w:hAnsiTheme="minorHAnsi" w:cstheme="minorHAnsi"/>
          <w:i/>
          <w:sz w:val="20"/>
          <w:szCs w:val="20"/>
          <w:lang w:val="en-AU" w:eastAsia="de-DE"/>
        </w:rPr>
        <w:t>Statement of Requirements</w:t>
      </w:r>
      <w:r w:rsidR="00F023A9">
        <w:rPr>
          <w:rFonts w:asciiTheme="minorHAnsi" w:hAnsiTheme="minorHAnsi" w:cstheme="minorHAnsi"/>
          <w:sz w:val="20"/>
          <w:szCs w:val="20"/>
          <w:lang w:val="en-AU" w:eastAsia="de-DE"/>
        </w:rPr>
        <w:t xml:space="preserve"> can be found in Annex 1 of this report.</w:t>
      </w:r>
    </w:p>
    <w:p w14:paraId="3673086D" w14:textId="77777777" w:rsidR="00A06B15" w:rsidRDefault="00A06B15">
      <w:pPr>
        <w:spacing w:after="200" w:line="276" w:lineRule="auto"/>
        <w:rPr>
          <w:rFonts w:asciiTheme="minorHAnsi" w:eastAsiaTheme="majorEastAsia" w:hAnsiTheme="minorHAnsi" w:cs="Arial"/>
          <w:b/>
          <w:bCs/>
          <w:color w:val="757575"/>
          <w:sz w:val="50"/>
          <w:szCs w:val="26"/>
        </w:rPr>
      </w:pPr>
      <w:bookmarkStart w:id="5" w:name="_Toc8623395"/>
      <w:r>
        <w:rPr>
          <w:rFonts w:asciiTheme="minorHAnsi" w:hAnsiTheme="minorHAnsi" w:cs="Arial"/>
        </w:rPr>
        <w:br w:type="page"/>
      </w:r>
    </w:p>
    <w:p w14:paraId="6ECE8F4F" w14:textId="71C1E4CA" w:rsidR="008E70AC" w:rsidRPr="00E22B40" w:rsidRDefault="00E27BB5" w:rsidP="008E70AC">
      <w:pPr>
        <w:pStyle w:val="Heading2"/>
        <w:spacing w:before="360"/>
        <w:ind w:left="431" w:hanging="431"/>
        <w:rPr>
          <w:rFonts w:asciiTheme="minorHAnsi" w:hAnsiTheme="minorHAnsi" w:cs="Arial"/>
        </w:rPr>
      </w:pPr>
      <w:r w:rsidRPr="00E22B40">
        <w:rPr>
          <w:rFonts w:asciiTheme="minorHAnsi" w:hAnsiTheme="minorHAnsi" w:cs="Arial"/>
        </w:rPr>
        <w:t>Background</w:t>
      </w:r>
      <w:bookmarkEnd w:id="5"/>
    </w:p>
    <w:p w14:paraId="055CB560" w14:textId="78729B35" w:rsidR="00E27BB5" w:rsidRPr="00E22B40" w:rsidRDefault="00A03157" w:rsidP="00CA6F9E">
      <w:pPr>
        <w:pStyle w:val="SDANumberedheading2"/>
        <w:rPr>
          <w:rFonts w:cs="Arial"/>
          <w:noProof w:val="0"/>
        </w:rPr>
      </w:pPr>
      <w:bookmarkStart w:id="6" w:name="_Toc8623396"/>
      <w:r w:rsidRPr="00E22B40">
        <w:rPr>
          <w:rFonts w:cs="Arial"/>
          <w:noProof w:val="0"/>
        </w:rPr>
        <w:t>Context</w:t>
      </w:r>
      <w:bookmarkEnd w:id="6"/>
    </w:p>
    <w:p w14:paraId="4D18E187" w14:textId="5235409C" w:rsidR="000E1F51" w:rsidRPr="00732F68" w:rsidRDefault="0020769E" w:rsidP="000E1F51">
      <w:pPr>
        <w:rPr>
          <w:rFonts w:asciiTheme="minorHAnsi" w:hAnsiTheme="minorHAnsi" w:cstheme="minorHAnsi"/>
          <w:sz w:val="20"/>
          <w:szCs w:val="20"/>
        </w:rPr>
      </w:pPr>
      <w:r>
        <w:rPr>
          <w:rFonts w:asciiTheme="minorHAnsi" w:hAnsiTheme="minorHAnsi" w:cstheme="minorHAnsi"/>
          <w:sz w:val="20"/>
          <w:szCs w:val="20"/>
        </w:rPr>
        <w:t xml:space="preserve">Kiribati remains a labour surplus economy with few prospects for growth, a weak private sector, low productivity, a very young population and a large and growing population of unemployed young people. </w:t>
      </w:r>
      <w:r w:rsidR="000E1F51" w:rsidRPr="00732F68">
        <w:rPr>
          <w:rFonts w:asciiTheme="minorHAnsi" w:hAnsiTheme="minorHAnsi" w:cstheme="minorHAnsi"/>
          <w:sz w:val="20"/>
          <w:szCs w:val="20"/>
        </w:rPr>
        <w:t>The Gross Domestic Product of Kiribati is US$ 0.2 Billion, the main contributors to GDP are fisheries, tourism, remittances and international development assistance. Kiribati’s economy has enjoyed strong economic growth in recent times.</w:t>
      </w:r>
      <w:r w:rsidR="000E1F51" w:rsidRPr="00732F68">
        <w:rPr>
          <w:rStyle w:val="FootnoteReference"/>
          <w:rFonts w:asciiTheme="minorHAnsi" w:eastAsia="Arial" w:hAnsiTheme="minorHAnsi" w:cstheme="minorHAnsi"/>
          <w:sz w:val="20"/>
          <w:szCs w:val="20"/>
        </w:rPr>
        <w:footnoteReference w:id="2"/>
      </w:r>
      <w:r w:rsidR="000E1F51" w:rsidRPr="00732F68">
        <w:rPr>
          <w:rFonts w:asciiTheme="minorHAnsi" w:hAnsiTheme="minorHAnsi" w:cstheme="minorHAnsi"/>
          <w:sz w:val="20"/>
          <w:szCs w:val="20"/>
        </w:rPr>
        <w:t xml:space="preserve"> The IMF attribute the stronger growth largely to higher public spending financed by record-high fishing revenue, and donor-financed infrastructure investment.</w:t>
      </w:r>
      <w:r w:rsidR="000E1F51" w:rsidRPr="00732F68">
        <w:rPr>
          <w:rStyle w:val="FootnoteReference"/>
          <w:rFonts w:asciiTheme="minorHAnsi" w:eastAsia="Arial" w:hAnsiTheme="minorHAnsi" w:cstheme="minorHAnsi"/>
          <w:sz w:val="20"/>
          <w:szCs w:val="20"/>
        </w:rPr>
        <w:footnoteReference w:id="3"/>
      </w:r>
      <w:r w:rsidR="000E1F51" w:rsidRPr="00732F68">
        <w:rPr>
          <w:rFonts w:asciiTheme="minorHAnsi" w:hAnsiTheme="minorHAnsi" w:cstheme="minorHAnsi"/>
          <w:sz w:val="20"/>
          <w:szCs w:val="20"/>
        </w:rPr>
        <w:t xml:space="preserve"> In addition, remittances from I-Kiribati working overseas contribute significantly to the economy. The World Bank estimates that personal remittances account for 9.9% of the nation’s GDP in 2017.</w:t>
      </w:r>
      <w:r w:rsidR="000E1F51" w:rsidRPr="00732F68">
        <w:rPr>
          <w:rStyle w:val="FootnoteReference"/>
          <w:rFonts w:asciiTheme="minorHAnsi" w:eastAsia="Arial" w:hAnsiTheme="minorHAnsi" w:cstheme="minorHAnsi"/>
          <w:sz w:val="20"/>
          <w:szCs w:val="20"/>
        </w:rPr>
        <w:footnoteReference w:id="4"/>
      </w:r>
      <w:r w:rsidR="000E1F51" w:rsidRPr="00732F68">
        <w:rPr>
          <w:rFonts w:asciiTheme="minorHAnsi" w:hAnsiTheme="minorHAnsi" w:cstheme="minorHAnsi"/>
          <w:sz w:val="20"/>
          <w:szCs w:val="20"/>
        </w:rPr>
        <w:t xml:space="preserve"> This is almost three times </w:t>
      </w:r>
      <w:r w:rsidR="00C57490">
        <w:rPr>
          <w:rFonts w:asciiTheme="minorHAnsi" w:hAnsiTheme="minorHAnsi" w:cstheme="minorHAnsi"/>
          <w:sz w:val="20"/>
          <w:szCs w:val="20"/>
        </w:rPr>
        <w:t xml:space="preserve">greater than the contribution made by the </w:t>
      </w:r>
      <w:r w:rsidR="000E1F51" w:rsidRPr="00732F68">
        <w:rPr>
          <w:rFonts w:asciiTheme="minorHAnsi" w:hAnsiTheme="minorHAnsi" w:cstheme="minorHAnsi"/>
          <w:sz w:val="20"/>
          <w:szCs w:val="20"/>
        </w:rPr>
        <w:t>entire tourism industry to the Kiribati economy.</w:t>
      </w:r>
    </w:p>
    <w:p w14:paraId="439DF463" w14:textId="77777777" w:rsidR="000E1F51" w:rsidRPr="00732F68" w:rsidRDefault="000E1F51" w:rsidP="00774A2C">
      <w:pPr>
        <w:rPr>
          <w:rFonts w:asciiTheme="minorHAnsi" w:hAnsiTheme="minorHAnsi" w:cstheme="minorHAnsi"/>
          <w:sz w:val="20"/>
          <w:szCs w:val="20"/>
        </w:rPr>
      </w:pPr>
    </w:p>
    <w:p w14:paraId="19D6E263" w14:textId="5CA9F9ED" w:rsidR="00EF0666" w:rsidRPr="00732F68" w:rsidRDefault="00F00BF1" w:rsidP="00774A2C">
      <w:pPr>
        <w:rPr>
          <w:rFonts w:asciiTheme="minorHAnsi" w:hAnsiTheme="minorHAnsi" w:cstheme="minorHAnsi"/>
          <w:sz w:val="20"/>
          <w:szCs w:val="20"/>
        </w:rPr>
      </w:pPr>
      <w:r w:rsidRPr="00732F68">
        <w:rPr>
          <w:rFonts w:asciiTheme="minorHAnsi" w:hAnsiTheme="minorHAnsi" w:cstheme="minorHAnsi"/>
          <w:sz w:val="20"/>
          <w:szCs w:val="20"/>
        </w:rPr>
        <w:t>Despite recent assessments by both the International Monetary Fund and the Asian Development bank finding that recent economic growth in Kiribati is above historical norms</w:t>
      </w:r>
      <w:r w:rsidRPr="00732F68">
        <w:rPr>
          <w:rStyle w:val="FootnoteReference"/>
          <w:rFonts w:asciiTheme="minorHAnsi" w:hAnsiTheme="minorHAnsi" w:cstheme="minorHAnsi"/>
          <w:sz w:val="20"/>
          <w:szCs w:val="20"/>
        </w:rPr>
        <w:footnoteReference w:id="5"/>
      </w:r>
      <w:r w:rsidRPr="00732F68">
        <w:rPr>
          <w:rFonts w:asciiTheme="minorHAnsi" w:hAnsiTheme="minorHAnsi" w:cstheme="minorHAnsi"/>
          <w:sz w:val="20"/>
          <w:szCs w:val="20"/>
        </w:rPr>
        <w:t xml:space="preserve">, the rate of unemployment remains amongst the highest in the </w:t>
      </w:r>
      <w:r w:rsidR="007A3037" w:rsidRPr="00732F68">
        <w:rPr>
          <w:rFonts w:asciiTheme="minorHAnsi" w:hAnsiTheme="minorHAnsi" w:cstheme="minorHAnsi"/>
          <w:sz w:val="20"/>
          <w:szCs w:val="20"/>
        </w:rPr>
        <w:t>P</w:t>
      </w:r>
      <w:r w:rsidRPr="00732F68">
        <w:rPr>
          <w:rFonts w:asciiTheme="minorHAnsi" w:hAnsiTheme="minorHAnsi" w:cstheme="minorHAnsi"/>
          <w:sz w:val="20"/>
          <w:szCs w:val="20"/>
        </w:rPr>
        <w:t xml:space="preserve">acific, especially for people aged 16 </w:t>
      </w:r>
      <w:r w:rsidR="004120D9" w:rsidRPr="00732F68">
        <w:rPr>
          <w:rFonts w:asciiTheme="minorHAnsi" w:hAnsiTheme="minorHAnsi" w:cstheme="minorHAnsi"/>
          <w:sz w:val="20"/>
          <w:szCs w:val="20"/>
        </w:rPr>
        <w:t>–</w:t>
      </w:r>
      <w:r w:rsidRPr="00732F68">
        <w:rPr>
          <w:rFonts w:asciiTheme="minorHAnsi" w:hAnsiTheme="minorHAnsi" w:cstheme="minorHAnsi"/>
          <w:sz w:val="20"/>
          <w:szCs w:val="20"/>
        </w:rPr>
        <w:t xml:space="preserve"> 24</w:t>
      </w:r>
      <w:r w:rsidR="004120D9" w:rsidRPr="00732F68">
        <w:rPr>
          <w:rFonts w:asciiTheme="minorHAnsi" w:hAnsiTheme="minorHAnsi" w:cstheme="minorHAnsi"/>
          <w:sz w:val="20"/>
          <w:szCs w:val="20"/>
        </w:rPr>
        <w:t>. This situation is further aggravated by a very small private sector in Kiribati, and thus limited opportunities for private sector employment.</w:t>
      </w:r>
    </w:p>
    <w:p w14:paraId="0EE9734F" w14:textId="2CF94D81" w:rsidR="004120D9" w:rsidRPr="00732F68" w:rsidRDefault="004120D9" w:rsidP="00774A2C">
      <w:pPr>
        <w:rPr>
          <w:rFonts w:asciiTheme="minorHAnsi" w:hAnsiTheme="minorHAnsi" w:cs="Arial"/>
          <w:sz w:val="20"/>
          <w:szCs w:val="20"/>
        </w:rPr>
      </w:pPr>
    </w:p>
    <w:p w14:paraId="2AEFE1B8" w14:textId="3948A4CE" w:rsidR="00E95CDC" w:rsidRPr="00732F68" w:rsidRDefault="004120D9" w:rsidP="00E95CDC">
      <w:pPr>
        <w:rPr>
          <w:rFonts w:asciiTheme="minorHAnsi" w:hAnsiTheme="minorHAnsi" w:cstheme="minorHAnsi"/>
          <w:sz w:val="20"/>
          <w:szCs w:val="20"/>
        </w:rPr>
      </w:pPr>
      <w:r w:rsidRPr="00732F68">
        <w:rPr>
          <w:rFonts w:asciiTheme="minorHAnsi" w:hAnsiTheme="minorHAnsi" w:cstheme="minorHAnsi"/>
          <w:sz w:val="20"/>
          <w:szCs w:val="20"/>
        </w:rPr>
        <w:t>Whilst the KV20 document acknowledges that the private sector can be a significant engine of economic growth within Kiribati, it also recognises the need to improve access to quality training, increase the labour supply and implement an English language policy so the I-Kiribati are highly educated and competitive in domestic and overseas labour markets.</w:t>
      </w:r>
      <w:r w:rsidRPr="00732F68">
        <w:rPr>
          <w:rStyle w:val="FootnoteReference"/>
          <w:rFonts w:asciiTheme="minorHAnsi" w:eastAsia="Arial" w:hAnsiTheme="minorHAnsi" w:cstheme="minorHAnsi"/>
          <w:sz w:val="20"/>
          <w:szCs w:val="20"/>
        </w:rPr>
        <w:footnoteReference w:id="6"/>
      </w:r>
      <w:r w:rsidR="00E95CDC" w:rsidRPr="00732F68">
        <w:rPr>
          <w:rFonts w:asciiTheme="minorHAnsi" w:hAnsiTheme="minorHAnsi" w:cstheme="minorHAnsi"/>
          <w:sz w:val="20"/>
          <w:szCs w:val="20"/>
        </w:rPr>
        <w:t xml:space="preserve"> </w:t>
      </w:r>
    </w:p>
    <w:p w14:paraId="51B3945D" w14:textId="3CA72C3E" w:rsidR="00A03157" w:rsidRPr="00732F68" w:rsidRDefault="00E95CDC" w:rsidP="001F5EEC">
      <w:pPr>
        <w:spacing w:before="100" w:beforeAutospacing="1" w:after="100" w:afterAutospacing="1"/>
        <w:rPr>
          <w:rFonts w:asciiTheme="minorHAnsi" w:hAnsiTheme="minorHAnsi" w:cstheme="minorHAnsi"/>
          <w:sz w:val="20"/>
          <w:szCs w:val="20"/>
        </w:rPr>
      </w:pPr>
      <w:r w:rsidRPr="00732F68">
        <w:rPr>
          <w:rFonts w:asciiTheme="minorHAnsi" w:hAnsiTheme="minorHAnsi" w:cstheme="minorHAnsi"/>
          <w:sz w:val="20"/>
          <w:szCs w:val="20"/>
        </w:rPr>
        <w:t xml:space="preserve">Since 2010 Australia has been supporting the Government of Kiribati improve access for I-Kiribati to high- quality post-secondary education and training that is aligned with local and international labour market demand. Support for skills development and labour mobility is a key priority in Australia’s aid investment plan for Kiribati in 2016-2019 and continues to be highlighted in Australia’s expanded Pacific labour mobility programs. These objectives align with the Kiribati 20 Year Vision (KV20) priorities to identify new overseas labour markets, increase overseas employment, and grow the domestic economy. </w:t>
      </w:r>
    </w:p>
    <w:p w14:paraId="01B38394" w14:textId="33E060A5" w:rsidR="00A03157" w:rsidRPr="00E22B40" w:rsidRDefault="00A03157" w:rsidP="00A03157">
      <w:pPr>
        <w:pStyle w:val="SDANumberedheading2"/>
        <w:rPr>
          <w:rFonts w:cs="Arial"/>
          <w:noProof w:val="0"/>
        </w:rPr>
      </w:pPr>
      <w:bookmarkStart w:id="7" w:name="_Toc8623397"/>
      <w:r w:rsidRPr="00E22B40">
        <w:rPr>
          <w:rFonts w:cs="Arial"/>
          <w:noProof w:val="0"/>
        </w:rPr>
        <w:t>Kiribati Facility</w:t>
      </w:r>
      <w:bookmarkEnd w:id="7"/>
    </w:p>
    <w:p w14:paraId="08C7CD33" w14:textId="1F8718CC" w:rsidR="00424A44" w:rsidRPr="003B555F" w:rsidRDefault="00780BE4" w:rsidP="00424A44">
      <w:pPr>
        <w:spacing w:before="100" w:beforeAutospacing="1" w:after="100" w:afterAutospacing="1"/>
        <w:rPr>
          <w:sz w:val="20"/>
          <w:szCs w:val="20"/>
        </w:rPr>
      </w:pPr>
      <w:r w:rsidRPr="00732F68">
        <w:rPr>
          <w:rFonts w:ascii="Calibri" w:hAnsi="Calibri" w:cs="Calibri"/>
          <w:sz w:val="20"/>
          <w:szCs w:val="20"/>
        </w:rPr>
        <w:t>The Kiribati Facility is a $20 million Australian Government investment over 3.5 years (2016-2020), designed to increase leadership and coordination capacity of the Government of Kiribati Ministry of Employment and Human Resource</w:t>
      </w:r>
      <w:r w:rsidR="002C7020" w:rsidRPr="00732F68">
        <w:rPr>
          <w:rFonts w:ascii="Calibri" w:hAnsi="Calibri" w:cs="Calibri"/>
          <w:sz w:val="20"/>
          <w:szCs w:val="20"/>
        </w:rPr>
        <w:t>s</w:t>
      </w:r>
      <w:r w:rsidRPr="00732F68">
        <w:rPr>
          <w:rFonts w:ascii="Calibri" w:hAnsi="Calibri" w:cs="Calibri"/>
          <w:sz w:val="20"/>
          <w:szCs w:val="20"/>
        </w:rPr>
        <w:t xml:space="preserve"> (MEHR) in the skills and employment sector. The Facility comprises the Skills for Employment Program (SfEP) and the Flexible Support Facility (FSF). SfEP supports the management and delivery of the Kiribati Institute of Technology (KIT), overseen by MEHR. </w:t>
      </w:r>
      <w:r w:rsidR="00A60F58" w:rsidRPr="00CC3B82">
        <w:rPr>
          <w:rFonts w:ascii="Calibri" w:hAnsi="Calibri" w:cs="Calibri"/>
          <w:sz w:val="20"/>
          <w:szCs w:val="20"/>
        </w:rPr>
        <w:t>The goal of SfEP is “</w:t>
      </w:r>
      <w:r w:rsidR="00A60F58">
        <w:rPr>
          <w:rFonts w:ascii="Calibri" w:hAnsi="Calibri" w:cs="Calibri"/>
          <w:sz w:val="20"/>
          <w:szCs w:val="20"/>
        </w:rPr>
        <w:t>a</w:t>
      </w:r>
      <w:r w:rsidR="00A60F58" w:rsidRPr="00CC3B82">
        <w:rPr>
          <w:rFonts w:ascii="Calibri" w:hAnsi="Calibri" w:cs="Calibri"/>
          <w:sz w:val="20"/>
          <w:szCs w:val="20"/>
        </w:rPr>
        <w:t xml:space="preserve"> more capable, qualified and mobile I-Kiribati workforce</w:t>
      </w:r>
      <w:r w:rsidR="00A60F58">
        <w:rPr>
          <w:rFonts w:ascii="Calibri" w:hAnsi="Calibri" w:cs="Calibri"/>
          <w:sz w:val="20"/>
          <w:szCs w:val="20"/>
        </w:rPr>
        <w:t>.</w:t>
      </w:r>
      <w:r w:rsidR="00A60F58" w:rsidRPr="00B76904">
        <w:rPr>
          <w:rFonts w:ascii="Calibri" w:hAnsi="Calibri" w:cs="Calibri"/>
          <w:sz w:val="20"/>
          <w:szCs w:val="20"/>
        </w:rPr>
        <w:t xml:space="preserve"> </w:t>
      </w:r>
      <w:r w:rsidRPr="00732F68">
        <w:rPr>
          <w:rFonts w:ascii="Calibri" w:hAnsi="Calibri" w:cs="Calibri"/>
          <w:sz w:val="20"/>
          <w:szCs w:val="20"/>
        </w:rPr>
        <w:t>FSF supports SfEP-related activities, and other-donor/sector non-SfEP funded activities. The Kiribati Facility builds on the achievements of the Kiribati Technical and Vocational Education and Training Sector Strengthening Programs (TVETSSP) – Phase 1 (2010-2011) and Phase 2 (2012-2016). Management and delivery of the Kiribati Facility was contracted to Scope Global for an initial 3.5 years (Sept 2016 to March 2020) with two options for a three-year extension. DFAT is</w:t>
      </w:r>
      <w:r w:rsidR="003B555F">
        <w:rPr>
          <w:rFonts w:ascii="Calibri" w:hAnsi="Calibri" w:cs="Calibri"/>
          <w:sz w:val="20"/>
          <w:szCs w:val="20"/>
        </w:rPr>
        <w:t xml:space="preserve"> currently</w:t>
      </w:r>
      <w:r w:rsidRPr="00732F68">
        <w:rPr>
          <w:rFonts w:ascii="Calibri" w:hAnsi="Calibri" w:cs="Calibri"/>
          <w:sz w:val="20"/>
          <w:szCs w:val="20"/>
        </w:rPr>
        <w:t xml:space="preserve"> considering the initial 3- year extension option. </w:t>
      </w:r>
    </w:p>
    <w:p w14:paraId="7AB5D278" w14:textId="6970F760" w:rsidR="003610E4" w:rsidRPr="00610088" w:rsidRDefault="003610E4" w:rsidP="003610E4">
      <w:pPr>
        <w:pStyle w:val="SDANumberedheading2"/>
        <w:rPr>
          <w:rFonts w:cs="Arial"/>
          <w:noProof w:val="0"/>
        </w:rPr>
      </w:pPr>
      <w:bookmarkStart w:id="8" w:name="_Toc8623398"/>
      <w:r w:rsidRPr="00610088">
        <w:rPr>
          <w:rFonts w:cs="Arial"/>
          <w:noProof w:val="0"/>
        </w:rPr>
        <w:t>Review Purpose</w:t>
      </w:r>
      <w:bookmarkEnd w:id="8"/>
    </w:p>
    <w:p w14:paraId="6284D8BC" w14:textId="2C584C3E" w:rsidR="00A24818" w:rsidRPr="00732F68" w:rsidRDefault="00F36012" w:rsidP="00B851A5">
      <w:pPr>
        <w:rPr>
          <w:rFonts w:asciiTheme="minorHAnsi" w:hAnsiTheme="minorHAnsi" w:cs="Arial"/>
          <w:sz w:val="20"/>
          <w:szCs w:val="20"/>
        </w:rPr>
      </w:pPr>
      <w:r w:rsidRPr="00732F68">
        <w:rPr>
          <w:rFonts w:asciiTheme="minorHAnsi" w:hAnsiTheme="minorHAnsi" w:cs="Arial"/>
          <w:sz w:val="20"/>
          <w:szCs w:val="20"/>
        </w:rPr>
        <w:t xml:space="preserve">The main </w:t>
      </w:r>
      <w:r w:rsidR="00136098" w:rsidRPr="00732F68">
        <w:rPr>
          <w:rFonts w:asciiTheme="minorHAnsi" w:hAnsiTheme="minorHAnsi" w:cs="Arial"/>
          <w:sz w:val="20"/>
          <w:szCs w:val="20"/>
        </w:rPr>
        <w:t xml:space="preserve">purpose of the </w:t>
      </w:r>
      <w:r w:rsidR="0020689D" w:rsidRPr="00732F68">
        <w:rPr>
          <w:rFonts w:asciiTheme="minorHAnsi" w:hAnsiTheme="minorHAnsi" w:cs="Arial"/>
          <w:sz w:val="20"/>
          <w:szCs w:val="20"/>
        </w:rPr>
        <w:t>Mid</w:t>
      </w:r>
      <w:r w:rsidR="003C25C3" w:rsidRPr="00732F68">
        <w:rPr>
          <w:rFonts w:asciiTheme="minorHAnsi" w:hAnsiTheme="minorHAnsi" w:cs="Arial"/>
          <w:sz w:val="20"/>
          <w:szCs w:val="20"/>
        </w:rPr>
        <w:t xml:space="preserve"> - </w:t>
      </w:r>
      <w:r w:rsidR="0020689D" w:rsidRPr="00732F68">
        <w:rPr>
          <w:rFonts w:asciiTheme="minorHAnsi" w:hAnsiTheme="minorHAnsi" w:cs="Arial"/>
          <w:sz w:val="20"/>
          <w:szCs w:val="20"/>
        </w:rPr>
        <w:t>Term</w:t>
      </w:r>
      <w:r w:rsidR="00A24818" w:rsidRPr="00732F68">
        <w:rPr>
          <w:rFonts w:asciiTheme="minorHAnsi" w:hAnsiTheme="minorHAnsi" w:cs="Arial"/>
          <w:sz w:val="20"/>
          <w:szCs w:val="20"/>
        </w:rPr>
        <w:t xml:space="preserve"> review</w:t>
      </w:r>
      <w:r w:rsidR="00136098" w:rsidRPr="00732F68">
        <w:rPr>
          <w:rFonts w:asciiTheme="minorHAnsi" w:hAnsiTheme="minorHAnsi" w:cs="Arial"/>
          <w:sz w:val="20"/>
          <w:szCs w:val="20"/>
        </w:rPr>
        <w:t xml:space="preserve"> is to</w:t>
      </w:r>
      <w:r w:rsidR="00A24818" w:rsidRPr="00732F68">
        <w:rPr>
          <w:rFonts w:asciiTheme="minorHAnsi" w:hAnsiTheme="minorHAnsi" w:cs="Arial"/>
          <w:sz w:val="20"/>
          <w:szCs w:val="20"/>
        </w:rPr>
        <w:t>:</w:t>
      </w:r>
    </w:p>
    <w:p w14:paraId="7F422A7B" w14:textId="77777777" w:rsidR="00A24818" w:rsidRPr="00732F68" w:rsidRDefault="00A24818" w:rsidP="00AA639A">
      <w:pPr>
        <w:numPr>
          <w:ilvl w:val="0"/>
          <w:numId w:val="12"/>
        </w:numPr>
        <w:spacing w:before="100" w:beforeAutospacing="1" w:after="100" w:afterAutospacing="1"/>
        <w:rPr>
          <w:sz w:val="20"/>
          <w:szCs w:val="20"/>
        </w:rPr>
      </w:pPr>
      <w:r w:rsidRPr="00732F68">
        <w:rPr>
          <w:rFonts w:ascii="Calibri" w:hAnsi="Calibri" w:cs="Calibri"/>
          <w:sz w:val="20"/>
          <w:szCs w:val="20"/>
        </w:rPr>
        <w:t xml:space="preserve">Ensure that the Kiribati Facility complements rather than replicate work by APTC and PLF; and </w:t>
      </w:r>
    </w:p>
    <w:p w14:paraId="3B21D7EF" w14:textId="71662FC8" w:rsidR="00A24818" w:rsidRPr="00732F68" w:rsidRDefault="00A24818" w:rsidP="00AA639A">
      <w:pPr>
        <w:numPr>
          <w:ilvl w:val="0"/>
          <w:numId w:val="12"/>
        </w:numPr>
        <w:spacing w:before="100" w:beforeAutospacing="1" w:after="100" w:afterAutospacing="1"/>
        <w:rPr>
          <w:sz w:val="20"/>
          <w:szCs w:val="20"/>
        </w:rPr>
      </w:pPr>
      <w:r w:rsidRPr="00732F68">
        <w:rPr>
          <w:rFonts w:ascii="Calibri" w:hAnsi="Calibri" w:cs="Calibri"/>
          <w:sz w:val="20"/>
          <w:szCs w:val="20"/>
        </w:rPr>
        <w:t xml:space="preserve">Determine if contractual adjustments are required to ensure the Kiribati Facility is able to deliver skills for employment and labour mobility activities to meet its strategic objectives. </w:t>
      </w:r>
    </w:p>
    <w:p w14:paraId="7893A574" w14:textId="714C4D45" w:rsidR="00A24818" w:rsidRPr="00732F68" w:rsidRDefault="00A24818" w:rsidP="00A24818">
      <w:pPr>
        <w:rPr>
          <w:rFonts w:asciiTheme="minorHAnsi" w:hAnsiTheme="minorHAnsi" w:cs="Arial"/>
          <w:sz w:val="20"/>
          <w:szCs w:val="20"/>
        </w:rPr>
      </w:pPr>
      <w:r w:rsidRPr="00732F68">
        <w:rPr>
          <w:rFonts w:asciiTheme="minorHAnsi" w:hAnsiTheme="minorHAnsi" w:cs="Arial"/>
          <w:sz w:val="20"/>
          <w:szCs w:val="20"/>
        </w:rPr>
        <w:t xml:space="preserve">In addition, the review is required to </w:t>
      </w:r>
      <w:r w:rsidR="00136098" w:rsidRPr="00732F68">
        <w:rPr>
          <w:rFonts w:asciiTheme="minorHAnsi" w:hAnsiTheme="minorHAnsi" w:cs="Arial"/>
          <w:sz w:val="20"/>
          <w:szCs w:val="20"/>
        </w:rPr>
        <w:t>assess overall performance towards achieving planned outcomes</w:t>
      </w:r>
      <w:r w:rsidRPr="00732F68">
        <w:rPr>
          <w:rFonts w:asciiTheme="minorHAnsi" w:hAnsiTheme="minorHAnsi" w:cs="Arial"/>
          <w:sz w:val="20"/>
          <w:szCs w:val="20"/>
        </w:rPr>
        <w:t xml:space="preserve"> in line with DFAT’s quality criteria of effectiveness, efficiency, relevance, gender equality, monitoring and evaluation, sustainability and risk</w:t>
      </w:r>
      <w:r w:rsidR="00136098" w:rsidRPr="00732F68">
        <w:rPr>
          <w:rFonts w:asciiTheme="minorHAnsi" w:hAnsiTheme="minorHAnsi" w:cs="Arial"/>
          <w:sz w:val="20"/>
          <w:szCs w:val="20"/>
        </w:rPr>
        <w:t xml:space="preserve">. </w:t>
      </w:r>
      <w:r w:rsidRPr="00732F68">
        <w:rPr>
          <w:rFonts w:ascii="Calibri" w:hAnsi="Calibri" w:cs="Calibri"/>
          <w:sz w:val="20"/>
          <w:szCs w:val="20"/>
        </w:rPr>
        <w:t>The review will be “forward looking” with an emphasis on evaluating what is working well and identifying where it can go in the future.</w:t>
      </w:r>
    </w:p>
    <w:p w14:paraId="51944F97" w14:textId="77777777" w:rsidR="00A24818" w:rsidRPr="00E22B40" w:rsidRDefault="00A24818" w:rsidP="00B851A5">
      <w:pPr>
        <w:rPr>
          <w:rFonts w:asciiTheme="minorHAnsi" w:hAnsiTheme="minorHAnsi" w:cs="Arial"/>
          <w:sz w:val="22"/>
          <w:szCs w:val="22"/>
        </w:rPr>
      </w:pPr>
    </w:p>
    <w:p w14:paraId="375D59B1" w14:textId="6AC1089B" w:rsidR="003610E4" w:rsidRPr="00610088" w:rsidRDefault="003610E4" w:rsidP="003610E4">
      <w:pPr>
        <w:pStyle w:val="SDANumberedheading2"/>
        <w:rPr>
          <w:rFonts w:cs="Arial"/>
          <w:noProof w:val="0"/>
        </w:rPr>
      </w:pPr>
      <w:bookmarkStart w:id="9" w:name="_Toc8623399"/>
      <w:r w:rsidRPr="00610088">
        <w:rPr>
          <w:rFonts w:cs="Arial"/>
          <w:noProof w:val="0"/>
        </w:rPr>
        <w:t>Methodology</w:t>
      </w:r>
      <w:bookmarkEnd w:id="9"/>
    </w:p>
    <w:p w14:paraId="3BBB2517" w14:textId="1035F9A0" w:rsidR="00C57490" w:rsidRDefault="00C57490" w:rsidP="00C57490">
      <w:pPr>
        <w:rPr>
          <w:rFonts w:asciiTheme="minorHAnsi" w:hAnsiTheme="minorHAnsi" w:cs="Arial"/>
          <w:sz w:val="20"/>
          <w:szCs w:val="20"/>
          <w:lang w:val="en-AU"/>
        </w:rPr>
      </w:pPr>
      <w:r w:rsidRPr="003B555F">
        <w:rPr>
          <w:rFonts w:asciiTheme="minorHAnsi" w:hAnsiTheme="minorHAnsi" w:cs="Arial"/>
          <w:sz w:val="20"/>
          <w:szCs w:val="20"/>
          <w:lang w:val="en-AU"/>
        </w:rPr>
        <w:t xml:space="preserve">The review followed the approach outlined in the evaluation plan (submitted 2 April 2019), and as specified in the Terms of Reference (Annex 2). The evaluation used a mixed methods approach, involving qualitative evaluation methodology and quantitative data. </w:t>
      </w:r>
      <w:r w:rsidR="003B555F" w:rsidRPr="003B555F">
        <w:rPr>
          <w:rFonts w:asciiTheme="minorHAnsi" w:hAnsiTheme="minorHAnsi" w:cs="Arial"/>
          <w:sz w:val="20"/>
          <w:szCs w:val="20"/>
          <w:lang w:val="en-AU"/>
        </w:rPr>
        <w:t>Primary data obtained through interviews, focus groups, a site visit to both the Kiribati Institute of Technology</w:t>
      </w:r>
      <w:r w:rsidR="008816CF">
        <w:rPr>
          <w:rFonts w:asciiTheme="minorHAnsi" w:hAnsiTheme="minorHAnsi" w:cs="Arial"/>
          <w:sz w:val="20"/>
          <w:szCs w:val="20"/>
          <w:lang w:val="en-AU"/>
        </w:rPr>
        <w:t xml:space="preserve"> (KIT)</w:t>
      </w:r>
      <w:r w:rsidR="003B555F" w:rsidRPr="003B555F">
        <w:rPr>
          <w:rFonts w:asciiTheme="minorHAnsi" w:hAnsiTheme="minorHAnsi" w:cs="Arial"/>
          <w:sz w:val="20"/>
          <w:szCs w:val="20"/>
          <w:lang w:val="en-AU"/>
        </w:rPr>
        <w:t xml:space="preserve"> and to the Marine Training College</w:t>
      </w:r>
      <w:r w:rsidR="008816CF">
        <w:rPr>
          <w:rFonts w:asciiTheme="minorHAnsi" w:hAnsiTheme="minorHAnsi" w:cs="Arial"/>
          <w:sz w:val="20"/>
          <w:szCs w:val="20"/>
          <w:lang w:val="en-AU"/>
        </w:rPr>
        <w:t xml:space="preserve"> (MTC)</w:t>
      </w:r>
      <w:r w:rsidR="003B555F" w:rsidRPr="003B555F">
        <w:rPr>
          <w:rFonts w:asciiTheme="minorHAnsi" w:hAnsiTheme="minorHAnsi" w:cs="Arial"/>
          <w:sz w:val="20"/>
          <w:szCs w:val="20"/>
          <w:lang w:val="en-AU"/>
        </w:rPr>
        <w:t xml:space="preserve">, and a workshop with key stakeholders was combined with secondary data drawn from program documentation and relevant data bases (such as KIT’s </w:t>
      </w:r>
      <w:r w:rsidR="003B555F" w:rsidRPr="003B555F">
        <w:rPr>
          <w:rFonts w:asciiTheme="minorHAnsi" w:hAnsiTheme="minorHAnsi" w:cs="Arial"/>
          <w:sz w:val="20"/>
          <w:szCs w:val="20"/>
        </w:rPr>
        <w:t xml:space="preserve">Education Management Information System, EduPoint,  and other monitoring and reporting sources). </w:t>
      </w:r>
      <w:r w:rsidRPr="003B555F">
        <w:rPr>
          <w:rFonts w:asciiTheme="minorHAnsi" w:hAnsiTheme="minorHAnsi" w:cs="Arial"/>
          <w:sz w:val="20"/>
          <w:szCs w:val="20"/>
          <w:lang w:val="en-AU"/>
        </w:rPr>
        <w:t xml:space="preserve">For a full list of the documents reviewed see Annex 3, and for a full list of people interviewed see Annex </w:t>
      </w:r>
      <w:r w:rsidR="003B555F" w:rsidRPr="003B555F">
        <w:rPr>
          <w:rFonts w:asciiTheme="minorHAnsi" w:hAnsiTheme="minorHAnsi" w:cs="Arial"/>
          <w:sz w:val="20"/>
          <w:szCs w:val="20"/>
          <w:lang w:val="en-AU"/>
        </w:rPr>
        <w:t>4</w:t>
      </w:r>
      <w:r w:rsidRPr="003B555F">
        <w:rPr>
          <w:rFonts w:asciiTheme="minorHAnsi" w:hAnsiTheme="minorHAnsi" w:cs="Arial"/>
          <w:sz w:val="20"/>
          <w:szCs w:val="20"/>
          <w:lang w:val="en-AU"/>
        </w:rPr>
        <w:t xml:space="preserve">. </w:t>
      </w:r>
    </w:p>
    <w:p w14:paraId="6FF5C2FD" w14:textId="42466037" w:rsidR="002118AF" w:rsidRDefault="002118AF" w:rsidP="00C57490">
      <w:pPr>
        <w:rPr>
          <w:rFonts w:asciiTheme="minorHAnsi" w:hAnsiTheme="minorHAnsi" w:cs="Arial"/>
          <w:sz w:val="20"/>
          <w:szCs w:val="20"/>
          <w:lang w:val="en-AU"/>
        </w:rPr>
      </w:pPr>
    </w:p>
    <w:p w14:paraId="18F1F257" w14:textId="7CA959DE" w:rsidR="00894D4B" w:rsidRDefault="007B0EBD" w:rsidP="00C57490">
      <w:pPr>
        <w:rPr>
          <w:rFonts w:asciiTheme="minorHAnsi" w:hAnsiTheme="minorHAnsi" w:cs="Arial"/>
          <w:sz w:val="20"/>
          <w:szCs w:val="20"/>
          <w:lang w:val="en-AU"/>
        </w:rPr>
      </w:pPr>
      <w:r>
        <w:rPr>
          <w:rFonts w:asciiTheme="minorHAnsi" w:hAnsiTheme="minorHAnsi" w:cs="Arial"/>
          <w:sz w:val="20"/>
          <w:szCs w:val="20"/>
          <w:lang w:val="en-AU"/>
        </w:rPr>
        <w:t>T</w:t>
      </w:r>
      <w:r w:rsidRPr="007B0EBD">
        <w:rPr>
          <w:rFonts w:asciiTheme="minorHAnsi" w:hAnsiTheme="minorHAnsi" w:cs="Arial"/>
          <w:sz w:val="20"/>
          <w:szCs w:val="20"/>
          <w:lang w:val="en-AU"/>
        </w:rPr>
        <w:t xml:space="preserve">he production of reports is iterative, </w:t>
      </w:r>
      <w:r w:rsidR="00894D4B">
        <w:rPr>
          <w:rFonts w:asciiTheme="minorHAnsi" w:hAnsiTheme="minorHAnsi" w:cs="Arial"/>
          <w:sz w:val="20"/>
          <w:szCs w:val="20"/>
          <w:lang w:val="en-AU"/>
        </w:rPr>
        <w:t xml:space="preserve">which in the production of this draft report has meant embracing several </w:t>
      </w:r>
      <w:r w:rsidRPr="007B0EBD">
        <w:rPr>
          <w:rFonts w:asciiTheme="minorHAnsi" w:hAnsiTheme="minorHAnsi" w:cs="Arial"/>
          <w:sz w:val="20"/>
          <w:szCs w:val="20"/>
          <w:lang w:val="en-AU"/>
        </w:rPr>
        <w:t xml:space="preserve">opportunities for sense making and discussion with both </w:t>
      </w:r>
      <w:r>
        <w:rPr>
          <w:rFonts w:asciiTheme="minorHAnsi" w:hAnsiTheme="minorHAnsi" w:cs="Arial"/>
          <w:sz w:val="20"/>
          <w:szCs w:val="20"/>
          <w:lang w:val="en-AU"/>
        </w:rPr>
        <w:t>DFAT and key stakeholders</w:t>
      </w:r>
      <w:r w:rsidRPr="007B0EBD">
        <w:rPr>
          <w:rFonts w:asciiTheme="minorHAnsi" w:hAnsiTheme="minorHAnsi" w:cs="Arial"/>
          <w:sz w:val="20"/>
          <w:szCs w:val="20"/>
          <w:lang w:val="en-AU"/>
        </w:rPr>
        <w:t xml:space="preserve">. The first presentation </w:t>
      </w:r>
      <w:r w:rsidR="004061F5">
        <w:rPr>
          <w:rFonts w:asciiTheme="minorHAnsi" w:hAnsiTheme="minorHAnsi" w:cs="Arial"/>
          <w:sz w:val="20"/>
          <w:szCs w:val="20"/>
          <w:lang w:val="en-AU"/>
        </w:rPr>
        <w:t>to validate the</w:t>
      </w:r>
      <w:r w:rsidRPr="007B0EBD">
        <w:rPr>
          <w:rFonts w:asciiTheme="minorHAnsi" w:hAnsiTheme="minorHAnsi" w:cs="Arial"/>
          <w:sz w:val="20"/>
          <w:szCs w:val="20"/>
          <w:lang w:val="en-AU"/>
        </w:rPr>
        <w:t xml:space="preserve"> </w:t>
      </w:r>
      <w:r>
        <w:rPr>
          <w:rFonts w:asciiTheme="minorHAnsi" w:hAnsiTheme="minorHAnsi" w:cs="Arial"/>
          <w:sz w:val="20"/>
          <w:szCs w:val="20"/>
          <w:lang w:val="en-AU"/>
        </w:rPr>
        <w:t>findings</w:t>
      </w:r>
      <w:r w:rsidRPr="007B0EBD">
        <w:rPr>
          <w:rFonts w:asciiTheme="minorHAnsi" w:hAnsiTheme="minorHAnsi" w:cs="Arial"/>
          <w:sz w:val="20"/>
          <w:szCs w:val="20"/>
          <w:lang w:val="en-AU"/>
        </w:rPr>
        <w:t xml:space="preserve"> took place </w:t>
      </w:r>
      <w:r>
        <w:rPr>
          <w:rFonts w:asciiTheme="minorHAnsi" w:hAnsiTheme="minorHAnsi" w:cs="Arial"/>
          <w:sz w:val="20"/>
          <w:szCs w:val="20"/>
          <w:lang w:val="en-AU"/>
        </w:rPr>
        <w:t xml:space="preserve">at the 11 April </w:t>
      </w:r>
      <w:r w:rsidRPr="007B0EBD">
        <w:rPr>
          <w:rFonts w:asciiTheme="minorHAnsi" w:hAnsiTheme="minorHAnsi" w:cs="Arial"/>
          <w:sz w:val="20"/>
          <w:szCs w:val="20"/>
          <w:lang w:val="en-AU"/>
        </w:rPr>
        <w:t>Strategic Program Advisory Group</w:t>
      </w:r>
      <w:r>
        <w:rPr>
          <w:rFonts w:asciiTheme="minorHAnsi" w:hAnsiTheme="minorHAnsi" w:cs="Arial"/>
          <w:sz w:val="20"/>
          <w:szCs w:val="20"/>
          <w:lang w:val="en-AU"/>
        </w:rPr>
        <w:t xml:space="preserve"> (SPAG)</w:t>
      </w:r>
      <w:r w:rsidR="004061F5">
        <w:rPr>
          <w:rStyle w:val="FootnoteReference"/>
          <w:rFonts w:asciiTheme="minorHAnsi" w:hAnsiTheme="minorHAnsi" w:cs="Arial"/>
          <w:sz w:val="20"/>
          <w:szCs w:val="20"/>
          <w:lang w:val="en-AU"/>
        </w:rPr>
        <w:footnoteReference w:id="7"/>
      </w:r>
      <w:r>
        <w:rPr>
          <w:rFonts w:asciiTheme="minorHAnsi" w:hAnsiTheme="minorHAnsi" w:cs="Arial"/>
          <w:sz w:val="20"/>
          <w:szCs w:val="20"/>
          <w:lang w:val="en-AU"/>
        </w:rPr>
        <w:t xml:space="preserve"> meeting</w:t>
      </w:r>
      <w:r w:rsidRPr="007B0EBD">
        <w:rPr>
          <w:rFonts w:asciiTheme="minorHAnsi" w:hAnsiTheme="minorHAnsi" w:cs="Arial"/>
          <w:sz w:val="20"/>
          <w:szCs w:val="20"/>
          <w:lang w:val="en-AU"/>
        </w:rPr>
        <w:t>,</w:t>
      </w:r>
      <w:r>
        <w:rPr>
          <w:rFonts w:asciiTheme="minorHAnsi" w:hAnsiTheme="minorHAnsi" w:cs="Arial"/>
          <w:sz w:val="20"/>
          <w:szCs w:val="20"/>
          <w:lang w:val="en-AU"/>
        </w:rPr>
        <w:t xml:space="preserve"> this was followed by </w:t>
      </w:r>
      <w:r w:rsidR="00894D4B">
        <w:rPr>
          <w:rFonts w:asciiTheme="minorHAnsi" w:hAnsiTheme="minorHAnsi" w:cs="Arial"/>
          <w:sz w:val="20"/>
          <w:szCs w:val="20"/>
          <w:lang w:val="en-AU"/>
        </w:rPr>
        <w:t xml:space="preserve">a </w:t>
      </w:r>
      <w:r>
        <w:rPr>
          <w:rFonts w:asciiTheme="minorHAnsi" w:hAnsiTheme="minorHAnsi" w:cs="Arial"/>
          <w:sz w:val="20"/>
          <w:szCs w:val="20"/>
          <w:lang w:val="en-AU"/>
        </w:rPr>
        <w:t>workshop with key stakeholders</w:t>
      </w:r>
      <w:r w:rsidR="00894D4B">
        <w:rPr>
          <w:rFonts w:asciiTheme="minorHAnsi" w:hAnsiTheme="minorHAnsi" w:cs="Arial"/>
          <w:sz w:val="20"/>
          <w:szCs w:val="20"/>
          <w:lang w:val="en-AU"/>
        </w:rPr>
        <w:t xml:space="preserve"> to elicit their views on the main findings and recommendations</w:t>
      </w:r>
      <w:r w:rsidR="00894D4B">
        <w:rPr>
          <w:rStyle w:val="FootnoteReference"/>
          <w:rFonts w:asciiTheme="minorHAnsi" w:hAnsiTheme="minorHAnsi" w:cs="Arial"/>
          <w:sz w:val="20"/>
          <w:szCs w:val="20"/>
          <w:lang w:val="en-AU"/>
        </w:rPr>
        <w:footnoteReference w:id="8"/>
      </w:r>
      <w:r w:rsidR="00894D4B">
        <w:rPr>
          <w:rFonts w:asciiTheme="minorHAnsi" w:hAnsiTheme="minorHAnsi" w:cs="Arial"/>
          <w:sz w:val="20"/>
          <w:szCs w:val="20"/>
          <w:lang w:val="en-AU"/>
        </w:rPr>
        <w:t>. In addition, the preliminary findings and recommendations were also presented to senior officials from the Australian High Commission in Kiribati on 12 April in order to gauge their views. This process has helped generate considerable discussion on key findings presented in this report,</w:t>
      </w:r>
      <w:r w:rsidR="004061F5">
        <w:rPr>
          <w:rFonts w:asciiTheme="minorHAnsi" w:hAnsiTheme="minorHAnsi" w:cs="Arial"/>
          <w:sz w:val="20"/>
          <w:szCs w:val="20"/>
          <w:lang w:val="en-AU"/>
        </w:rPr>
        <w:t xml:space="preserve"> and</w:t>
      </w:r>
      <w:r w:rsidR="00894D4B">
        <w:rPr>
          <w:rFonts w:asciiTheme="minorHAnsi" w:hAnsiTheme="minorHAnsi" w:cs="Arial"/>
          <w:sz w:val="20"/>
          <w:szCs w:val="20"/>
          <w:lang w:val="en-AU"/>
        </w:rPr>
        <w:t xml:space="preserve"> where applicable and practicable these views have been incorporated into the findings presented in this report.</w:t>
      </w:r>
    </w:p>
    <w:p w14:paraId="0A4F1456" w14:textId="77777777" w:rsidR="00894D4B" w:rsidRDefault="00894D4B" w:rsidP="00C57490">
      <w:pPr>
        <w:rPr>
          <w:rFonts w:asciiTheme="minorHAnsi" w:hAnsiTheme="minorHAnsi" w:cs="Arial"/>
          <w:sz w:val="20"/>
          <w:szCs w:val="20"/>
          <w:lang w:val="en-AU"/>
        </w:rPr>
      </w:pPr>
    </w:p>
    <w:p w14:paraId="4392629F" w14:textId="77777777" w:rsidR="00610088" w:rsidRPr="004A274A" w:rsidRDefault="00610088" w:rsidP="00610088">
      <w:pPr>
        <w:pStyle w:val="SDANumberedheading2"/>
        <w:rPr>
          <w:rFonts w:cs="Arial"/>
          <w:noProof w:val="0"/>
          <w:lang w:val="en-AU"/>
        </w:rPr>
      </w:pPr>
      <w:bookmarkStart w:id="10" w:name="_Toc530428142"/>
      <w:bookmarkStart w:id="11" w:name="_Toc8623400"/>
      <w:r w:rsidRPr="004A274A">
        <w:rPr>
          <w:rFonts w:cs="Arial"/>
          <w:noProof w:val="0"/>
          <w:lang w:val="en-AU"/>
        </w:rPr>
        <w:t>Limitations and Constraints</w:t>
      </w:r>
      <w:bookmarkEnd w:id="10"/>
      <w:bookmarkEnd w:id="11"/>
      <w:r w:rsidRPr="004A274A">
        <w:rPr>
          <w:rFonts w:cs="Arial"/>
          <w:noProof w:val="0"/>
          <w:lang w:val="en-AU"/>
        </w:rPr>
        <w:t xml:space="preserve"> </w:t>
      </w:r>
    </w:p>
    <w:p w14:paraId="51028B97" w14:textId="77777777" w:rsidR="00487F39" w:rsidRDefault="00610088" w:rsidP="00610088">
      <w:pPr>
        <w:rPr>
          <w:rFonts w:asciiTheme="minorHAnsi" w:hAnsiTheme="minorHAnsi" w:cs="Arial"/>
          <w:sz w:val="20"/>
          <w:szCs w:val="20"/>
          <w:lang w:val="en-AU"/>
        </w:rPr>
      </w:pPr>
      <w:r w:rsidRPr="004A274A">
        <w:rPr>
          <w:rFonts w:asciiTheme="minorHAnsi" w:hAnsiTheme="minorHAnsi" w:cs="Arial"/>
          <w:sz w:val="20"/>
          <w:szCs w:val="20"/>
          <w:lang w:val="en-AU"/>
        </w:rPr>
        <w:t xml:space="preserve">In the evaluation plan, the </w:t>
      </w:r>
      <w:r>
        <w:rPr>
          <w:rFonts w:asciiTheme="minorHAnsi" w:hAnsiTheme="minorHAnsi" w:cs="Arial"/>
          <w:sz w:val="20"/>
          <w:szCs w:val="20"/>
          <w:lang w:val="en-AU"/>
        </w:rPr>
        <w:t>review</w:t>
      </w:r>
      <w:r w:rsidRPr="004A274A">
        <w:rPr>
          <w:rFonts w:asciiTheme="minorHAnsi" w:hAnsiTheme="minorHAnsi" w:cs="Arial"/>
          <w:sz w:val="20"/>
          <w:szCs w:val="20"/>
          <w:lang w:val="en-AU"/>
        </w:rPr>
        <w:t xml:space="preserve"> team provided an indicative workplan which it followed.</w:t>
      </w:r>
      <w:r w:rsidR="00487F39">
        <w:rPr>
          <w:rFonts w:asciiTheme="minorHAnsi" w:hAnsiTheme="minorHAnsi" w:cs="Arial"/>
          <w:sz w:val="20"/>
          <w:szCs w:val="20"/>
          <w:lang w:val="en-AU"/>
        </w:rPr>
        <w:t xml:space="preserve"> </w:t>
      </w:r>
      <w:r>
        <w:rPr>
          <w:rFonts w:asciiTheme="minorHAnsi" w:hAnsiTheme="minorHAnsi" w:cs="Arial"/>
          <w:sz w:val="20"/>
          <w:szCs w:val="20"/>
          <w:lang w:val="en-AU"/>
        </w:rPr>
        <w:t xml:space="preserve">Bearing in mind the size and </w:t>
      </w:r>
      <w:r w:rsidR="00487F39">
        <w:rPr>
          <w:rFonts w:asciiTheme="minorHAnsi" w:hAnsiTheme="minorHAnsi" w:cs="Arial"/>
          <w:sz w:val="20"/>
          <w:szCs w:val="20"/>
          <w:lang w:val="en-AU"/>
        </w:rPr>
        <w:t xml:space="preserve">narrow </w:t>
      </w:r>
      <w:r>
        <w:rPr>
          <w:rFonts w:asciiTheme="minorHAnsi" w:hAnsiTheme="minorHAnsi" w:cs="Arial"/>
          <w:sz w:val="20"/>
          <w:szCs w:val="20"/>
          <w:lang w:val="en-AU"/>
        </w:rPr>
        <w:t>scope of this rapid review (not to mention the tight timescale and restricted budget) the field visit was relatively short.</w:t>
      </w:r>
      <w:r w:rsidR="00487F39">
        <w:rPr>
          <w:rFonts w:asciiTheme="minorHAnsi" w:hAnsiTheme="minorHAnsi" w:cs="Arial"/>
          <w:sz w:val="20"/>
          <w:szCs w:val="20"/>
          <w:lang w:val="en-AU"/>
        </w:rPr>
        <w:t xml:space="preserve"> However, as the review was effectively an appraisal of a select set of issues the time spent in-country was sufficient.</w:t>
      </w:r>
    </w:p>
    <w:p w14:paraId="6D3AA285" w14:textId="77777777" w:rsidR="00487F39" w:rsidRDefault="00487F39" w:rsidP="00610088">
      <w:pPr>
        <w:rPr>
          <w:rFonts w:asciiTheme="minorHAnsi" w:hAnsiTheme="minorHAnsi" w:cs="Arial"/>
          <w:sz w:val="20"/>
          <w:szCs w:val="20"/>
          <w:lang w:val="en-AU"/>
        </w:rPr>
      </w:pPr>
    </w:p>
    <w:p w14:paraId="757473C0" w14:textId="5B2C36A7" w:rsidR="007B0EBD" w:rsidRDefault="00487F39" w:rsidP="00610088">
      <w:pPr>
        <w:rPr>
          <w:rFonts w:asciiTheme="minorHAnsi" w:hAnsiTheme="minorHAnsi" w:cs="Arial"/>
          <w:sz w:val="20"/>
          <w:szCs w:val="20"/>
          <w:lang w:val="en-AU"/>
        </w:rPr>
      </w:pPr>
      <w:r>
        <w:rPr>
          <w:rFonts w:asciiTheme="minorHAnsi" w:hAnsiTheme="minorHAnsi" w:cs="Arial"/>
          <w:sz w:val="20"/>
          <w:szCs w:val="20"/>
          <w:lang w:val="en-AU"/>
        </w:rPr>
        <w:t xml:space="preserve">Moreover, concerns about who would be available during the visit (as Parliament was in session) turned out to be unfounded as </w:t>
      </w:r>
      <w:r w:rsidR="00610088">
        <w:rPr>
          <w:rFonts w:asciiTheme="minorHAnsi" w:hAnsiTheme="minorHAnsi" w:cs="Arial"/>
          <w:sz w:val="20"/>
          <w:szCs w:val="20"/>
          <w:lang w:val="en-AU"/>
        </w:rPr>
        <w:t>all key interlocutors were interviewed</w:t>
      </w:r>
      <w:r>
        <w:rPr>
          <w:rFonts w:asciiTheme="minorHAnsi" w:hAnsiTheme="minorHAnsi" w:cs="Arial"/>
          <w:sz w:val="20"/>
          <w:szCs w:val="20"/>
          <w:lang w:val="en-AU"/>
        </w:rPr>
        <w:t xml:space="preserve">. </w:t>
      </w:r>
      <w:r w:rsidR="00610088">
        <w:rPr>
          <w:rFonts w:asciiTheme="minorHAnsi" w:hAnsiTheme="minorHAnsi" w:cs="Arial"/>
          <w:sz w:val="20"/>
          <w:szCs w:val="20"/>
          <w:lang w:val="en-AU"/>
        </w:rPr>
        <w:t xml:space="preserve"> </w:t>
      </w:r>
      <w:r>
        <w:rPr>
          <w:rFonts w:asciiTheme="minorHAnsi" w:hAnsiTheme="minorHAnsi" w:cs="Arial"/>
          <w:sz w:val="20"/>
          <w:szCs w:val="20"/>
          <w:lang w:val="en-AU"/>
        </w:rPr>
        <w:t>In</w:t>
      </w:r>
      <w:r w:rsidR="00610088">
        <w:rPr>
          <w:rFonts w:asciiTheme="minorHAnsi" w:hAnsiTheme="minorHAnsi" w:cs="Arial"/>
          <w:sz w:val="20"/>
          <w:szCs w:val="20"/>
          <w:lang w:val="en-AU"/>
        </w:rPr>
        <w:t xml:space="preserve"> some cases, such as with the MEHR, there were opportunities to meet with key stakeholders multiple times during the visit to South Tarawa. </w:t>
      </w:r>
      <w:r>
        <w:rPr>
          <w:rFonts w:asciiTheme="minorHAnsi" w:hAnsiTheme="minorHAnsi" w:cs="Arial"/>
          <w:sz w:val="20"/>
          <w:szCs w:val="20"/>
          <w:lang w:val="en-AU"/>
        </w:rPr>
        <w:t xml:space="preserve"> </w:t>
      </w:r>
      <w:r w:rsidR="00610088">
        <w:rPr>
          <w:rFonts w:asciiTheme="minorHAnsi" w:hAnsiTheme="minorHAnsi" w:cs="Arial"/>
          <w:sz w:val="20"/>
          <w:szCs w:val="20"/>
          <w:lang w:val="en-AU"/>
        </w:rPr>
        <w:t>W</w:t>
      </w:r>
      <w:r w:rsidR="00610088" w:rsidRPr="004A274A">
        <w:rPr>
          <w:rFonts w:asciiTheme="minorHAnsi" w:hAnsiTheme="minorHAnsi" w:cs="Arial"/>
          <w:sz w:val="20"/>
          <w:szCs w:val="20"/>
          <w:lang w:val="en-AU"/>
        </w:rPr>
        <w:t>herever possible interviews</w:t>
      </w:r>
      <w:r w:rsidR="00610088">
        <w:rPr>
          <w:rFonts w:asciiTheme="minorHAnsi" w:hAnsiTheme="minorHAnsi" w:cs="Arial"/>
          <w:sz w:val="20"/>
          <w:szCs w:val="20"/>
          <w:lang w:val="en-AU"/>
        </w:rPr>
        <w:t xml:space="preserve"> were conducted</w:t>
      </w:r>
      <w:r w:rsidR="00610088" w:rsidRPr="004A274A">
        <w:rPr>
          <w:rFonts w:asciiTheme="minorHAnsi" w:hAnsiTheme="minorHAnsi" w:cs="Arial"/>
          <w:sz w:val="20"/>
          <w:szCs w:val="20"/>
          <w:lang w:val="en-AU"/>
        </w:rPr>
        <w:t xml:space="preserve"> face-to-face, but in the case of </w:t>
      </w:r>
      <w:r w:rsidR="00610088">
        <w:rPr>
          <w:rFonts w:asciiTheme="minorHAnsi" w:hAnsiTheme="minorHAnsi" w:cs="Arial"/>
          <w:sz w:val="20"/>
          <w:szCs w:val="20"/>
          <w:lang w:val="en-AU"/>
        </w:rPr>
        <w:t>Scope Global</w:t>
      </w:r>
      <w:r w:rsidR="00610088" w:rsidRPr="004A274A">
        <w:rPr>
          <w:rFonts w:asciiTheme="minorHAnsi" w:hAnsiTheme="minorHAnsi" w:cs="Arial"/>
          <w:sz w:val="20"/>
          <w:szCs w:val="20"/>
          <w:lang w:val="en-AU"/>
        </w:rPr>
        <w:t xml:space="preserve"> this was not possible. </w:t>
      </w:r>
      <w:r w:rsidR="003F7DC4">
        <w:rPr>
          <w:rFonts w:asciiTheme="minorHAnsi" w:hAnsiTheme="minorHAnsi" w:cs="Arial"/>
          <w:sz w:val="20"/>
          <w:szCs w:val="20"/>
          <w:lang w:val="en-AU"/>
        </w:rPr>
        <w:t>In order to</w:t>
      </w:r>
      <w:r w:rsidR="00610088" w:rsidRPr="004A274A">
        <w:rPr>
          <w:rFonts w:asciiTheme="minorHAnsi" w:hAnsiTheme="minorHAnsi" w:cs="Arial"/>
          <w:sz w:val="20"/>
          <w:szCs w:val="20"/>
          <w:lang w:val="en-AU"/>
        </w:rPr>
        <w:t xml:space="preserve"> mitigate this constraint interviews</w:t>
      </w:r>
      <w:r w:rsidR="003F7DC4">
        <w:rPr>
          <w:rFonts w:asciiTheme="minorHAnsi" w:hAnsiTheme="minorHAnsi" w:cs="Arial"/>
          <w:sz w:val="20"/>
          <w:szCs w:val="20"/>
          <w:lang w:val="en-AU"/>
        </w:rPr>
        <w:t xml:space="preserve"> were conducted</w:t>
      </w:r>
      <w:r w:rsidR="00610088" w:rsidRPr="004A274A">
        <w:rPr>
          <w:rFonts w:asciiTheme="minorHAnsi" w:hAnsiTheme="minorHAnsi" w:cs="Arial"/>
          <w:sz w:val="20"/>
          <w:szCs w:val="20"/>
          <w:lang w:val="en-AU"/>
        </w:rPr>
        <w:t xml:space="preserve"> </w:t>
      </w:r>
      <w:r>
        <w:rPr>
          <w:rFonts w:asciiTheme="minorHAnsi" w:hAnsiTheme="minorHAnsi" w:cs="Arial"/>
          <w:sz w:val="20"/>
          <w:szCs w:val="20"/>
          <w:lang w:val="en-AU"/>
        </w:rPr>
        <w:t>telephonically and</w:t>
      </w:r>
      <w:r w:rsidR="003F7DC4">
        <w:rPr>
          <w:rFonts w:asciiTheme="minorHAnsi" w:hAnsiTheme="minorHAnsi" w:cs="Arial"/>
          <w:sz w:val="20"/>
          <w:szCs w:val="20"/>
          <w:lang w:val="en-AU"/>
        </w:rPr>
        <w:t xml:space="preserve"> further follow up</w:t>
      </w:r>
      <w:r>
        <w:rPr>
          <w:rFonts w:asciiTheme="minorHAnsi" w:hAnsiTheme="minorHAnsi" w:cs="Arial"/>
          <w:sz w:val="20"/>
          <w:szCs w:val="20"/>
          <w:lang w:val="en-AU"/>
        </w:rPr>
        <w:t xml:space="preserve"> through</w:t>
      </w:r>
      <w:r w:rsidR="00610088" w:rsidRPr="004A274A">
        <w:rPr>
          <w:rFonts w:asciiTheme="minorHAnsi" w:hAnsiTheme="minorHAnsi" w:cs="Arial"/>
          <w:sz w:val="20"/>
          <w:szCs w:val="20"/>
          <w:lang w:val="en-AU"/>
        </w:rPr>
        <w:t xml:space="preserve"> email. </w:t>
      </w:r>
    </w:p>
    <w:p w14:paraId="288A1A11" w14:textId="77777777" w:rsidR="007B0EBD" w:rsidRDefault="007B0EBD" w:rsidP="00C57490">
      <w:pPr>
        <w:rPr>
          <w:rFonts w:asciiTheme="minorHAnsi" w:hAnsiTheme="minorHAnsi" w:cs="Arial"/>
          <w:sz w:val="20"/>
          <w:szCs w:val="20"/>
          <w:lang w:val="en-AU"/>
        </w:rPr>
      </w:pPr>
    </w:p>
    <w:p w14:paraId="4984DBD4" w14:textId="77777777" w:rsidR="003B555F" w:rsidRPr="003B555F" w:rsidRDefault="003B555F" w:rsidP="00C57490">
      <w:pPr>
        <w:rPr>
          <w:rFonts w:asciiTheme="minorHAnsi" w:hAnsiTheme="minorHAnsi" w:cs="Arial"/>
          <w:sz w:val="20"/>
          <w:szCs w:val="20"/>
        </w:rPr>
      </w:pPr>
    </w:p>
    <w:p w14:paraId="45D5E0AC" w14:textId="77777777" w:rsidR="005014ED" w:rsidRPr="00E22B40" w:rsidRDefault="005014ED" w:rsidP="00F36012">
      <w:pPr>
        <w:pStyle w:val="SDAbulletpoints"/>
        <w:numPr>
          <w:ilvl w:val="0"/>
          <w:numId w:val="0"/>
        </w:numPr>
        <w:jc w:val="both"/>
        <w:rPr>
          <w:rFonts w:cs="Arial"/>
        </w:rPr>
      </w:pPr>
    </w:p>
    <w:p w14:paraId="18D857D9" w14:textId="77777777" w:rsidR="007C34AE" w:rsidRPr="00E22B40" w:rsidRDefault="007C34AE">
      <w:pPr>
        <w:rPr>
          <w:rFonts w:asciiTheme="minorHAnsi" w:hAnsiTheme="minorHAnsi" w:cs="Arial"/>
        </w:rPr>
      </w:pPr>
      <w:r w:rsidRPr="00E22B40">
        <w:rPr>
          <w:rFonts w:asciiTheme="minorHAnsi" w:hAnsiTheme="minorHAnsi" w:cs="Arial"/>
        </w:rPr>
        <w:br w:type="page"/>
      </w:r>
    </w:p>
    <w:p w14:paraId="3EAECFB7" w14:textId="404A54AB" w:rsidR="0073599A" w:rsidRPr="00E22B40" w:rsidRDefault="00487F39" w:rsidP="00D010B9">
      <w:pPr>
        <w:pStyle w:val="Heading2"/>
        <w:spacing w:before="360"/>
        <w:ind w:left="431" w:hanging="431"/>
        <w:rPr>
          <w:rFonts w:asciiTheme="minorHAnsi" w:hAnsiTheme="minorHAnsi" w:cs="Arial"/>
        </w:rPr>
      </w:pPr>
      <w:bookmarkStart w:id="12" w:name="_Toc8623401"/>
      <w:r>
        <w:rPr>
          <w:rFonts w:asciiTheme="minorHAnsi" w:hAnsiTheme="minorHAnsi" w:cs="Arial"/>
        </w:rPr>
        <w:t>Findings</w:t>
      </w:r>
      <w:bookmarkEnd w:id="12"/>
    </w:p>
    <w:p w14:paraId="35A4EBCD" w14:textId="2D56EA27" w:rsidR="00487F39" w:rsidRPr="00487F39" w:rsidRDefault="00487F39" w:rsidP="00487F39">
      <w:pPr>
        <w:rPr>
          <w:rFonts w:asciiTheme="minorHAnsi" w:hAnsiTheme="minorHAnsi" w:cs="Arial"/>
          <w:sz w:val="20"/>
          <w:szCs w:val="20"/>
          <w:lang w:val="en-AU"/>
        </w:rPr>
      </w:pPr>
      <w:r w:rsidRPr="00487F39">
        <w:rPr>
          <w:rFonts w:asciiTheme="minorHAnsi" w:hAnsiTheme="minorHAnsi" w:cs="Arial"/>
          <w:sz w:val="20"/>
          <w:szCs w:val="20"/>
          <w:lang w:val="en-AU"/>
        </w:rPr>
        <w:t xml:space="preserve">In this section of the report we respond to the evaluation questions individually to ensure that the report answers all the questions that the terms of reference posed. Progress is based on available evidence and </w:t>
      </w:r>
      <w:r>
        <w:rPr>
          <w:rFonts w:asciiTheme="minorHAnsi" w:hAnsiTheme="minorHAnsi" w:cs="Arial"/>
          <w:sz w:val="20"/>
          <w:szCs w:val="20"/>
          <w:lang w:val="en-AU"/>
        </w:rPr>
        <w:t xml:space="preserve">Kiribati Facility </w:t>
      </w:r>
      <w:r w:rsidRPr="00487F39">
        <w:rPr>
          <w:rFonts w:asciiTheme="minorHAnsi" w:hAnsiTheme="minorHAnsi" w:cs="Arial"/>
          <w:sz w:val="20"/>
          <w:szCs w:val="20"/>
          <w:lang w:val="en-AU"/>
        </w:rPr>
        <w:t xml:space="preserve">reporting, triangulated with data collected by the </w:t>
      </w:r>
      <w:r>
        <w:rPr>
          <w:rFonts w:asciiTheme="minorHAnsi" w:hAnsiTheme="minorHAnsi" w:cs="Arial"/>
          <w:sz w:val="20"/>
          <w:szCs w:val="20"/>
          <w:lang w:val="en-AU"/>
        </w:rPr>
        <w:t xml:space="preserve">review </w:t>
      </w:r>
      <w:r w:rsidRPr="00487F39">
        <w:rPr>
          <w:rFonts w:asciiTheme="minorHAnsi" w:hAnsiTheme="minorHAnsi" w:cs="Arial"/>
          <w:sz w:val="20"/>
          <w:szCs w:val="20"/>
          <w:lang w:val="en-AU"/>
        </w:rPr>
        <w:t>team from interviews</w:t>
      </w:r>
      <w:r>
        <w:rPr>
          <w:rFonts w:asciiTheme="minorHAnsi" w:hAnsiTheme="minorHAnsi" w:cs="Arial"/>
          <w:sz w:val="20"/>
          <w:szCs w:val="20"/>
          <w:lang w:val="en-AU"/>
        </w:rPr>
        <w:t xml:space="preserve">, </w:t>
      </w:r>
      <w:r w:rsidRPr="00487F39">
        <w:rPr>
          <w:rFonts w:asciiTheme="minorHAnsi" w:hAnsiTheme="minorHAnsi" w:cs="Arial"/>
          <w:sz w:val="20"/>
          <w:szCs w:val="20"/>
          <w:lang w:val="en-AU"/>
        </w:rPr>
        <w:t>focus group discussions</w:t>
      </w:r>
      <w:r>
        <w:rPr>
          <w:rFonts w:asciiTheme="minorHAnsi" w:hAnsiTheme="minorHAnsi" w:cs="Arial"/>
          <w:sz w:val="20"/>
          <w:szCs w:val="20"/>
          <w:lang w:val="en-AU"/>
        </w:rPr>
        <w:t>, and the workshop</w:t>
      </w:r>
      <w:r w:rsidRPr="00487F39">
        <w:rPr>
          <w:rFonts w:asciiTheme="minorHAnsi" w:hAnsiTheme="minorHAnsi" w:cs="Arial"/>
          <w:sz w:val="20"/>
          <w:szCs w:val="20"/>
          <w:lang w:val="en-AU"/>
        </w:rPr>
        <w:t xml:space="preserve"> with stakeholders</w:t>
      </w:r>
      <w:r w:rsidR="00226D57">
        <w:rPr>
          <w:rFonts w:asciiTheme="minorHAnsi" w:hAnsiTheme="minorHAnsi" w:cs="Arial"/>
          <w:sz w:val="20"/>
          <w:szCs w:val="20"/>
          <w:lang w:val="en-AU"/>
        </w:rPr>
        <w:t>.</w:t>
      </w:r>
    </w:p>
    <w:p w14:paraId="2E7D14D8" w14:textId="77777777" w:rsidR="006645C1" w:rsidRPr="00E22B40" w:rsidRDefault="006645C1" w:rsidP="00497F61">
      <w:pPr>
        <w:rPr>
          <w:rFonts w:asciiTheme="minorHAnsi" w:hAnsiTheme="minorHAnsi" w:cs="Arial"/>
        </w:rPr>
      </w:pPr>
    </w:p>
    <w:p w14:paraId="462E3F7C" w14:textId="6212CC09" w:rsidR="00E81689" w:rsidRDefault="008842D8" w:rsidP="000951C3">
      <w:pPr>
        <w:pStyle w:val="SDANumberedheading2"/>
        <w:rPr>
          <w:rFonts w:cs="Arial"/>
          <w:noProof w:val="0"/>
        </w:rPr>
      </w:pPr>
      <w:bookmarkStart w:id="13" w:name="_Toc8623402"/>
      <w:r>
        <w:rPr>
          <w:rFonts w:cs="Arial"/>
          <w:noProof w:val="0"/>
        </w:rPr>
        <w:t>Relevance</w:t>
      </w:r>
      <w:bookmarkEnd w:id="13"/>
    </w:p>
    <w:p w14:paraId="2CC9C681" w14:textId="5C1610E5" w:rsidR="008842D8" w:rsidRPr="004A274A" w:rsidRDefault="008842D8" w:rsidP="00AA639A">
      <w:pPr>
        <w:pStyle w:val="SDANumberedheading3"/>
        <w:numPr>
          <w:ilvl w:val="0"/>
          <w:numId w:val="16"/>
        </w:numPr>
        <w:rPr>
          <w:lang w:val="en-AU"/>
        </w:rPr>
      </w:pPr>
      <w:bookmarkStart w:id="14" w:name="_Toc523927355"/>
      <w:bookmarkStart w:id="15" w:name="_Toc523927618"/>
      <w:bookmarkStart w:id="16" w:name="_Toc524074361"/>
      <w:bookmarkStart w:id="17" w:name="_Toc524274404"/>
      <w:bookmarkStart w:id="18" w:name="_Toc530428145"/>
      <w:bookmarkStart w:id="19" w:name="_Toc8189747"/>
      <w:bookmarkStart w:id="20" w:name="_Toc8623403"/>
      <w:r w:rsidRPr="004A274A">
        <w:rPr>
          <w:lang w:val="en-AU"/>
        </w:rPr>
        <w:t xml:space="preserve">To </w:t>
      </w:r>
      <w:r w:rsidR="00887E21" w:rsidRPr="00887E21">
        <w:rPr>
          <w:lang w:val="en-AU"/>
        </w:rPr>
        <w:t>what extent is the KF the most appropriate way to meet the high-level goals of both the Government of Kiribati and the Australian Government within the skills and employment context which it operates</w:t>
      </w:r>
      <w:r w:rsidRPr="004A274A">
        <w:rPr>
          <w:lang w:val="en-AU"/>
        </w:rPr>
        <w:t>?</w:t>
      </w:r>
      <w:bookmarkEnd w:id="14"/>
      <w:bookmarkEnd w:id="15"/>
      <w:bookmarkEnd w:id="16"/>
      <w:bookmarkEnd w:id="17"/>
      <w:bookmarkEnd w:id="18"/>
      <w:bookmarkEnd w:id="19"/>
      <w:bookmarkEnd w:id="20"/>
      <w:r w:rsidRPr="004A274A">
        <w:rPr>
          <w:lang w:val="en-AU"/>
        </w:rPr>
        <w:t xml:space="preserve"> </w:t>
      </w:r>
    </w:p>
    <w:p w14:paraId="53D1174E" w14:textId="77777777" w:rsidR="008842D8" w:rsidRPr="002D4E54" w:rsidRDefault="008842D8" w:rsidP="008842D8">
      <w:pPr>
        <w:pBdr>
          <w:top w:val="single" w:sz="4" w:space="1" w:color="auto"/>
          <w:left w:val="single" w:sz="4" w:space="4" w:color="auto"/>
          <w:bottom w:val="single" w:sz="4" w:space="1" w:color="auto"/>
          <w:right w:val="single" w:sz="4" w:space="4" w:color="auto"/>
        </w:pBdr>
        <w:shd w:val="pct15" w:color="auto" w:fill="auto"/>
        <w:rPr>
          <w:rFonts w:asciiTheme="minorHAnsi" w:hAnsiTheme="minorHAnsi" w:cstheme="minorHAnsi"/>
          <w:b/>
          <w:sz w:val="22"/>
          <w:szCs w:val="22"/>
          <w:lang w:val="en-AU"/>
        </w:rPr>
      </w:pPr>
      <w:r w:rsidRPr="002D4E54">
        <w:rPr>
          <w:rFonts w:asciiTheme="minorHAnsi" w:hAnsiTheme="minorHAnsi" w:cstheme="minorHAnsi"/>
          <w:b/>
          <w:sz w:val="22"/>
          <w:szCs w:val="22"/>
          <w:lang w:val="en-AU"/>
        </w:rPr>
        <w:t xml:space="preserve">Summary response to the evaluation question: </w:t>
      </w:r>
    </w:p>
    <w:p w14:paraId="619A38FD" w14:textId="77777777" w:rsidR="00E80588" w:rsidRDefault="00226D57" w:rsidP="008842D8">
      <w:pPr>
        <w:pBdr>
          <w:top w:val="single" w:sz="4" w:space="1" w:color="auto"/>
          <w:left w:val="single" w:sz="4" w:space="4" w:color="auto"/>
          <w:bottom w:val="single" w:sz="4" w:space="1" w:color="auto"/>
          <w:right w:val="single" w:sz="4" w:space="4" w:color="auto"/>
        </w:pBdr>
        <w:shd w:val="pct15" w:color="auto" w:fill="auto"/>
        <w:rPr>
          <w:rFonts w:asciiTheme="minorHAnsi" w:hAnsiTheme="minorHAnsi" w:cs="Arial"/>
          <w:sz w:val="20"/>
          <w:szCs w:val="20"/>
          <w:lang w:val="en-AU"/>
        </w:rPr>
      </w:pPr>
      <w:r w:rsidRPr="00226D57">
        <w:rPr>
          <w:rFonts w:asciiTheme="minorHAnsi" w:hAnsiTheme="minorHAnsi" w:cs="Arial"/>
          <w:sz w:val="20"/>
          <w:szCs w:val="20"/>
          <w:lang w:val="en-AU"/>
        </w:rPr>
        <w:t>The Kiribati Facility remains highly relevant to the objectives of the Government of Kiribati (as outlined, for instance in the KV20 Document and the current strategic plan for the Ministry of Employment and Human Resources) and to the objectives of the Australian Government</w:t>
      </w:r>
      <w:r>
        <w:rPr>
          <w:rFonts w:asciiTheme="minorHAnsi" w:hAnsiTheme="minorHAnsi"/>
          <w:sz w:val="20"/>
          <w:szCs w:val="20"/>
          <w:lang w:val="en-AU"/>
        </w:rPr>
        <w:t xml:space="preserve"> (</w:t>
      </w:r>
      <w:r w:rsidRPr="00226D57">
        <w:rPr>
          <w:rFonts w:asciiTheme="minorHAnsi" w:hAnsiTheme="minorHAnsi" w:cs="Arial"/>
          <w:sz w:val="20"/>
          <w:szCs w:val="20"/>
          <w:lang w:val="en-AU"/>
        </w:rPr>
        <w:t>as specified in Australia’s Aid Investment Plan for Kiribati, and other recent pronouncements relating to both APTC3 and the Pacific Labour Scheme</w:t>
      </w:r>
      <w:r>
        <w:rPr>
          <w:rFonts w:asciiTheme="minorHAnsi" w:hAnsiTheme="minorHAnsi" w:cs="Arial"/>
          <w:sz w:val="20"/>
          <w:szCs w:val="20"/>
          <w:lang w:val="en-AU"/>
        </w:rPr>
        <w:t xml:space="preserve">). </w:t>
      </w:r>
      <w:r w:rsidRPr="00226D57">
        <w:rPr>
          <w:rFonts w:asciiTheme="minorHAnsi" w:hAnsiTheme="minorHAnsi" w:cs="Arial"/>
          <w:sz w:val="20"/>
          <w:szCs w:val="20"/>
          <w:lang w:val="en-AU"/>
        </w:rPr>
        <w:t>Systematic engagement with key stakeholders (such as through the KIT Advisory Council, the Teachers Return to Industry Program, and student work placements) ensure courses remain relevant to the skills needs of employers</w:t>
      </w:r>
      <w:r>
        <w:rPr>
          <w:rFonts w:asciiTheme="minorHAnsi" w:hAnsiTheme="minorHAnsi" w:cs="Arial"/>
          <w:sz w:val="20"/>
          <w:szCs w:val="20"/>
          <w:lang w:val="en-AU"/>
        </w:rPr>
        <w:t>.</w:t>
      </w:r>
      <w:r w:rsidR="00E80588">
        <w:rPr>
          <w:rFonts w:asciiTheme="minorHAnsi" w:hAnsiTheme="minorHAnsi" w:cs="Arial"/>
          <w:sz w:val="20"/>
          <w:szCs w:val="20"/>
          <w:lang w:val="en-AU"/>
        </w:rPr>
        <w:t xml:space="preserve"> </w:t>
      </w:r>
    </w:p>
    <w:p w14:paraId="3CDED1BE" w14:textId="3EE18F5D" w:rsidR="00E80588" w:rsidRDefault="00E80588" w:rsidP="008842D8">
      <w:pPr>
        <w:pBdr>
          <w:top w:val="single" w:sz="4" w:space="1" w:color="auto"/>
          <w:left w:val="single" w:sz="4" w:space="4" w:color="auto"/>
          <w:bottom w:val="single" w:sz="4" w:space="1" w:color="auto"/>
          <w:right w:val="single" w:sz="4" w:space="4" w:color="auto"/>
        </w:pBdr>
        <w:shd w:val="pct15" w:color="auto" w:fill="auto"/>
        <w:rPr>
          <w:rFonts w:asciiTheme="minorHAnsi" w:hAnsiTheme="minorHAnsi" w:cs="Arial"/>
          <w:sz w:val="20"/>
          <w:szCs w:val="20"/>
          <w:lang w:val="en-AU"/>
        </w:rPr>
      </w:pPr>
      <w:r w:rsidRPr="00E80588">
        <w:rPr>
          <w:rFonts w:asciiTheme="minorHAnsi" w:hAnsiTheme="minorHAnsi" w:cs="Arial"/>
          <w:sz w:val="20"/>
          <w:szCs w:val="20"/>
          <w:lang w:val="en-AU"/>
        </w:rPr>
        <w:t>The</w:t>
      </w:r>
      <w:r w:rsidRPr="00E80588">
        <w:rPr>
          <w:rFonts w:ascii="Calibri" w:hAnsi="Calibri" w:cs="Calibri"/>
          <w:iCs/>
          <w:sz w:val="20"/>
          <w:szCs w:val="20"/>
        </w:rPr>
        <w:t xml:space="preserve"> governance arrangement of the Kiribati Facility </w:t>
      </w:r>
      <w:r>
        <w:rPr>
          <w:rFonts w:ascii="Calibri" w:hAnsi="Calibri" w:cs="Calibri"/>
          <w:iCs/>
          <w:sz w:val="20"/>
          <w:szCs w:val="20"/>
        </w:rPr>
        <w:t>needs to be</w:t>
      </w:r>
      <w:r w:rsidRPr="00E80588">
        <w:rPr>
          <w:rFonts w:ascii="Calibri" w:hAnsi="Calibri" w:cs="Calibri"/>
          <w:iCs/>
          <w:sz w:val="20"/>
          <w:szCs w:val="20"/>
        </w:rPr>
        <w:t xml:space="preserve"> adjusted to ensure better alignment and support to the labour mobility mandate of the </w:t>
      </w:r>
      <w:r w:rsidR="008816CF">
        <w:rPr>
          <w:rFonts w:ascii="Calibri" w:hAnsi="Calibri" w:cs="Calibri"/>
          <w:iCs/>
          <w:sz w:val="20"/>
          <w:szCs w:val="20"/>
        </w:rPr>
        <w:t>MEHR</w:t>
      </w:r>
      <w:r>
        <w:rPr>
          <w:rFonts w:asciiTheme="minorHAnsi" w:hAnsiTheme="minorHAnsi" w:cs="Arial"/>
          <w:sz w:val="20"/>
          <w:szCs w:val="20"/>
          <w:lang w:val="en-AU"/>
        </w:rPr>
        <w:t xml:space="preserve">, and the roles and responsibilities of the leadership of the </w:t>
      </w:r>
      <w:r w:rsidR="00CB3210">
        <w:rPr>
          <w:rFonts w:asciiTheme="minorHAnsi" w:hAnsiTheme="minorHAnsi" w:cs="Arial"/>
          <w:sz w:val="20"/>
          <w:szCs w:val="20"/>
          <w:lang w:val="en-AU"/>
        </w:rPr>
        <w:t xml:space="preserve">Facility </w:t>
      </w:r>
      <w:r>
        <w:rPr>
          <w:rFonts w:asciiTheme="minorHAnsi" w:hAnsiTheme="minorHAnsi" w:cs="Arial"/>
          <w:sz w:val="20"/>
          <w:szCs w:val="20"/>
          <w:lang w:val="en-AU"/>
        </w:rPr>
        <w:t>need to be altered to make it more relevant to needs of the Facility.</w:t>
      </w:r>
    </w:p>
    <w:p w14:paraId="0294DC85" w14:textId="59F8E7BB" w:rsidR="008842D8" w:rsidRPr="00226D57" w:rsidRDefault="00226D57" w:rsidP="008842D8">
      <w:pPr>
        <w:pBdr>
          <w:top w:val="single" w:sz="4" w:space="1" w:color="auto"/>
          <w:left w:val="single" w:sz="4" w:space="4" w:color="auto"/>
          <w:bottom w:val="single" w:sz="4" w:space="1" w:color="auto"/>
          <w:right w:val="single" w:sz="4" w:space="4" w:color="auto"/>
        </w:pBdr>
        <w:shd w:val="pct15" w:color="auto" w:fill="auto"/>
        <w:rPr>
          <w:rFonts w:asciiTheme="minorHAnsi" w:hAnsiTheme="minorHAnsi" w:cs="Arial"/>
          <w:sz w:val="20"/>
          <w:szCs w:val="20"/>
          <w:lang w:val="en-AU"/>
        </w:rPr>
      </w:pPr>
      <w:r w:rsidRPr="00226D57">
        <w:rPr>
          <w:rFonts w:asciiTheme="minorHAnsi" w:hAnsiTheme="minorHAnsi" w:cs="Arial"/>
          <w:sz w:val="20"/>
          <w:szCs w:val="20"/>
          <w:lang w:val="en-AU"/>
        </w:rPr>
        <w:t>An opportunity now exists for greater synergy between DFAT’s regional approach to TVET (through its investment in APTC) and its bilateral program in Kiribati. The potential also exists for Employment Support Services (ESS) to play a bigger role in supporting GoK’s and Australia’s common labour mobility objectives through offering, for instance, more extensive pre</w:t>
      </w:r>
      <w:r w:rsidR="00CE3629">
        <w:rPr>
          <w:rFonts w:asciiTheme="minorHAnsi" w:hAnsiTheme="minorHAnsi" w:cs="Arial"/>
          <w:sz w:val="20"/>
          <w:szCs w:val="20"/>
          <w:lang w:val="en-AU"/>
        </w:rPr>
        <w:t xml:space="preserve"> - </w:t>
      </w:r>
      <w:r w:rsidRPr="00226D57">
        <w:rPr>
          <w:rFonts w:asciiTheme="minorHAnsi" w:hAnsiTheme="minorHAnsi" w:cs="Arial"/>
          <w:sz w:val="20"/>
          <w:szCs w:val="20"/>
          <w:lang w:val="en-AU"/>
        </w:rPr>
        <w:t>departure training and assisting with reintegration training for returning workers, especially as the number is starting to show noticeable an increase in participants</w:t>
      </w:r>
      <w:r w:rsidR="008842D8" w:rsidRPr="004A274A">
        <w:rPr>
          <w:rFonts w:asciiTheme="minorHAnsi" w:hAnsiTheme="minorHAnsi" w:cstheme="minorHAnsi"/>
          <w:sz w:val="20"/>
          <w:szCs w:val="20"/>
          <w:lang w:val="en-AU"/>
        </w:rPr>
        <w:t>.</w:t>
      </w:r>
    </w:p>
    <w:p w14:paraId="7922F2A1" w14:textId="77777777" w:rsidR="00833DA4" w:rsidRDefault="00833DA4" w:rsidP="00226D57">
      <w:pPr>
        <w:rPr>
          <w:rFonts w:cs="Arial"/>
          <w:color w:val="000000" w:themeColor="text1"/>
          <w:sz w:val="20"/>
          <w:szCs w:val="20"/>
          <w:lang w:eastAsia="en-AU"/>
        </w:rPr>
      </w:pPr>
    </w:p>
    <w:p w14:paraId="721239EB" w14:textId="626AA288" w:rsidR="00833DA4" w:rsidRDefault="00226D57" w:rsidP="00226D57">
      <w:pPr>
        <w:rPr>
          <w:rFonts w:asciiTheme="minorHAnsi" w:hAnsiTheme="minorHAnsi" w:cs="Arial"/>
          <w:sz w:val="20"/>
          <w:szCs w:val="20"/>
          <w:lang w:val="en-AU"/>
        </w:rPr>
      </w:pPr>
      <w:r>
        <w:rPr>
          <w:rFonts w:asciiTheme="minorHAnsi" w:hAnsiTheme="minorHAnsi" w:cs="Arial"/>
          <w:sz w:val="20"/>
          <w:szCs w:val="20"/>
          <w:lang w:val="en-AU"/>
        </w:rPr>
        <w:t>What follows is a brief summation of the main findings</w:t>
      </w:r>
      <w:r w:rsidR="00833DA4">
        <w:rPr>
          <w:rFonts w:asciiTheme="minorHAnsi" w:hAnsiTheme="minorHAnsi" w:cs="Arial"/>
          <w:sz w:val="20"/>
          <w:szCs w:val="20"/>
          <w:lang w:val="en-AU"/>
        </w:rPr>
        <w:t xml:space="preserve"> of the different aspects of relevance </w:t>
      </w:r>
      <w:r w:rsidR="008135C4">
        <w:rPr>
          <w:rFonts w:asciiTheme="minorHAnsi" w:hAnsiTheme="minorHAnsi" w:cs="Arial"/>
          <w:sz w:val="20"/>
          <w:szCs w:val="20"/>
          <w:lang w:val="en-AU"/>
        </w:rPr>
        <w:t xml:space="preserve">that </w:t>
      </w:r>
      <w:r w:rsidR="00833DA4">
        <w:rPr>
          <w:rFonts w:asciiTheme="minorHAnsi" w:hAnsiTheme="minorHAnsi" w:cs="Arial"/>
          <w:sz w:val="20"/>
          <w:szCs w:val="20"/>
          <w:lang w:val="en-AU"/>
        </w:rPr>
        <w:t>were assessed during the review in order to answer this question</w:t>
      </w:r>
      <w:r>
        <w:rPr>
          <w:rFonts w:asciiTheme="minorHAnsi" w:hAnsiTheme="minorHAnsi" w:cs="Arial"/>
          <w:sz w:val="20"/>
          <w:szCs w:val="20"/>
          <w:lang w:val="en-AU"/>
        </w:rPr>
        <w:t xml:space="preserve">. </w:t>
      </w:r>
    </w:p>
    <w:p w14:paraId="2C1B38D8" w14:textId="77777777" w:rsidR="00833DA4" w:rsidRDefault="00833DA4" w:rsidP="00226D57">
      <w:pPr>
        <w:rPr>
          <w:rFonts w:asciiTheme="minorHAnsi" w:hAnsiTheme="minorHAnsi" w:cs="Arial"/>
          <w:sz w:val="20"/>
          <w:szCs w:val="20"/>
          <w:lang w:val="en-AU"/>
        </w:rPr>
      </w:pPr>
    </w:p>
    <w:p w14:paraId="52748073" w14:textId="24DC460A" w:rsidR="00546620" w:rsidRPr="00546620" w:rsidRDefault="00833DA4" w:rsidP="00226D57">
      <w:pPr>
        <w:rPr>
          <w:rFonts w:ascii="Calibri" w:hAnsi="Calibri" w:cs="Calibri"/>
          <w:iCs/>
          <w:sz w:val="20"/>
          <w:szCs w:val="20"/>
        </w:rPr>
      </w:pPr>
      <w:r>
        <w:rPr>
          <w:rFonts w:ascii="Calibri" w:hAnsi="Calibri" w:cs="Calibri"/>
          <w:b/>
          <w:iCs/>
          <w:sz w:val="20"/>
          <w:szCs w:val="20"/>
        </w:rPr>
        <w:t>T</w:t>
      </w:r>
      <w:r w:rsidR="00887E21" w:rsidRPr="00226D57">
        <w:rPr>
          <w:rFonts w:ascii="Calibri" w:hAnsi="Calibri" w:cs="Calibri"/>
          <w:b/>
          <w:iCs/>
          <w:sz w:val="20"/>
          <w:szCs w:val="20"/>
        </w:rPr>
        <w:t xml:space="preserve">he </w:t>
      </w:r>
      <w:r w:rsidR="003E7546">
        <w:rPr>
          <w:rFonts w:ascii="Calibri" w:hAnsi="Calibri" w:cs="Calibri"/>
          <w:b/>
          <w:iCs/>
          <w:sz w:val="20"/>
          <w:szCs w:val="20"/>
        </w:rPr>
        <w:t>Kiribati Facility</w:t>
      </w:r>
      <w:r w:rsidR="00887E21" w:rsidRPr="00226D57">
        <w:rPr>
          <w:rFonts w:ascii="Calibri" w:hAnsi="Calibri" w:cs="Calibri"/>
          <w:b/>
          <w:iCs/>
          <w:sz w:val="20"/>
          <w:szCs w:val="20"/>
        </w:rPr>
        <w:t xml:space="preserve"> </w:t>
      </w:r>
      <w:r w:rsidR="00226D57" w:rsidRPr="00226D57">
        <w:rPr>
          <w:rFonts w:ascii="Calibri" w:hAnsi="Calibri" w:cs="Calibri"/>
          <w:b/>
          <w:iCs/>
          <w:sz w:val="20"/>
          <w:szCs w:val="20"/>
        </w:rPr>
        <w:t xml:space="preserve">is </w:t>
      </w:r>
      <w:r w:rsidR="00887E21" w:rsidRPr="00226D57">
        <w:rPr>
          <w:rFonts w:ascii="Calibri" w:hAnsi="Calibri" w:cs="Calibri"/>
          <w:b/>
          <w:iCs/>
          <w:sz w:val="20"/>
          <w:szCs w:val="20"/>
        </w:rPr>
        <w:t>still relevant to the Kiribati context in particular in relation to KV 20 and the MEHR Strategic Plan</w:t>
      </w:r>
      <w:r w:rsidR="00226D57">
        <w:rPr>
          <w:rFonts w:ascii="Calibri" w:hAnsi="Calibri" w:cs="Calibri"/>
          <w:iCs/>
          <w:sz w:val="20"/>
          <w:szCs w:val="20"/>
        </w:rPr>
        <w:t>.</w:t>
      </w:r>
      <w:r w:rsidR="00925FC6">
        <w:rPr>
          <w:rFonts w:ascii="Calibri" w:hAnsi="Calibri" w:cs="Calibri"/>
          <w:iCs/>
          <w:sz w:val="20"/>
          <w:szCs w:val="20"/>
        </w:rPr>
        <w:t xml:space="preserve"> </w:t>
      </w:r>
      <w:r w:rsidR="00925FC6" w:rsidRPr="00546620">
        <w:rPr>
          <w:rFonts w:ascii="Calibri" w:hAnsi="Calibri" w:cs="Calibri"/>
          <w:iCs/>
          <w:sz w:val="20"/>
          <w:szCs w:val="20"/>
        </w:rPr>
        <w:t xml:space="preserve">The overall goal of the </w:t>
      </w:r>
      <w:r w:rsidR="0051570E" w:rsidRPr="00546620">
        <w:rPr>
          <w:rFonts w:ascii="Calibri" w:hAnsi="Calibri" w:cs="Calibri"/>
          <w:iCs/>
          <w:sz w:val="20"/>
          <w:szCs w:val="20"/>
        </w:rPr>
        <w:t>Kiribati Facility</w:t>
      </w:r>
      <w:r w:rsidR="00925FC6" w:rsidRPr="00546620">
        <w:rPr>
          <w:rFonts w:ascii="Calibri" w:hAnsi="Calibri" w:cs="Calibri"/>
          <w:iCs/>
          <w:sz w:val="20"/>
          <w:szCs w:val="20"/>
        </w:rPr>
        <w:t xml:space="preserve"> is aligned to the GoK’s stated development objectives (specified in both KV20 and the Go</w:t>
      </w:r>
      <w:r w:rsidR="00546620">
        <w:rPr>
          <w:rFonts w:ascii="Calibri" w:hAnsi="Calibri" w:cs="Calibri"/>
          <w:iCs/>
          <w:sz w:val="20"/>
          <w:szCs w:val="20"/>
        </w:rPr>
        <w:t>K</w:t>
      </w:r>
      <w:r w:rsidR="00925FC6" w:rsidRPr="00546620">
        <w:rPr>
          <w:rFonts w:ascii="Calibri" w:hAnsi="Calibri" w:cs="Calibri"/>
          <w:iCs/>
          <w:sz w:val="20"/>
          <w:szCs w:val="20"/>
        </w:rPr>
        <w:t xml:space="preserve">’s </w:t>
      </w:r>
      <w:r w:rsidR="00925FC6" w:rsidRPr="00546620">
        <w:rPr>
          <w:rFonts w:ascii="Calibri" w:hAnsi="Calibri" w:cs="Calibri"/>
          <w:i/>
          <w:iCs/>
          <w:sz w:val="20"/>
          <w:szCs w:val="20"/>
        </w:rPr>
        <w:t>Development Plan for 2016 – 2019</w:t>
      </w:r>
      <w:r w:rsidR="00925FC6" w:rsidRPr="00546620">
        <w:rPr>
          <w:rFonts w:ascii="Calibri" w:hAnsi="Calibri" w:cs="Calibri"/>
          <w:iCs/>
          <w:sz w:val="20"/>
          <w:szCs w:val="20"/>
        </w:rPr>
        <w:t>)</w:t>
      </w:r>
      <w:r w:rsidR="003E7546" w:rsidRPr="00546620">
        <w:rPr>
          <w:rFonts w:ascii="Calibri" w:hAnsi="Calibri" w:cs="Calibri"/>
          <w:iCs/>
          <w:sz w:val="20"/>
          <w:szCs w:val="20"/>
        </w:rPr>
        <w:t xml:space="preserve"> with its emphasis on a better education population and improving ‘the quality of education and training to provide students with the skills and capability to progress to a productive future’. </w:t>
      </w:r>
      <w:r w:rsidR="00546620" w:rsidRPr="00546620">
        <w:rPr>
          <w:rFonts w:ascii="Calibri" w:hAnsi="Calibri" w:cs="Calibri"/>
          <w:iCs/>
          <w:sz w:val="20"/>
          <w:szCs w:val="20"/>
        </w:rPr>
        <w:t xml:space="preserve">Likewise the objectives align with the </w:t>
      </w:r>
      <w:r w:rsidR="00546620" w:rsidRPr="00546620">
        <w:rPr>
          <w:rFonts w:ascii="Calibri" w:hAnsi="Calibri" w:cs="Calibri"/>
          <w:i/>
          <w:iCs/>
          <w:sz w:val="20"/>
          <w:szCs w:val="20"/>
        </w:rPr>
        <w:t>MEHR’s Strategic Plan (2016 – 2019</w:t>
      </w:r>
      <w:r w:rsidR="00546620" w:rsidRPr="00546620">
        <w:rPr>
          <w:rFonts w:ascii="Calibri" w:hAnsi="Calibri" w:cs="Calibri"/>
          <w:iCs/>
          <w:sz w:val="20"/>
          <w:szCs w:val="20"/>
        </w:rPr>
        <w:t>), in particular the Key Policy Area (KPA) 1: Human Resource Development, which includes the stated aim to ‘improve the quality of training to provide students with the skills and capability to progress to a productive future by 2019’ by strengthening and enforcing ‘Technical and Vocational Education and Training (TVET) quality standards so that TVET providers meet regional and international standards including accreditation of KIT with Pacific Regional Qualification Framework’. The MEHR strategic plan also includes the aim of ‘increasing sustainable employment’ by ‘expanding international employment in new and existing markets through improved marketing and recruitment strategies’ (KPA 2).</w:t>
      </w:r>
    </w:p>
    <w:p w14:paraId="2D31142C" w14:textId="77777777" w:rsidR="00546620" w:rsidRDefault="00546620" w:rsidP="00226D57">
      <w:pPr>
        <w:rPr>
          <w:rFonts w:ascii="Calibri" w:hAnsi="Calibri" w:cs="Calibri"/>
          <w:iCs/>
          <w:sz w:val="20"/>
          <w:szCs w:val="20"/>
        </w:rPr>
      </w:pPr>
    </w:p>
    <w:p w14:paraId="0526DA09" w14:textId="332D5EC4" w:rsidR="00226D57" w:rsidRDefault="00546620" w:rsidP="00226D57">
      <w:pPr>
        <w:rPr>
          <w:rFonts w:ascii="Calibri" w:hAnsi="Calibri" w:cs="Calibri"/>
          <w:iCs/>
          <w:sz w:val="20"/>
          <w:szCs w:val="20"/>
        </w:rPr>
      </w:pPr>
      <w:r>
        <w:rPr>
          <w:rFonts w:ascii="Calibri" w:hAnsi="Calibri" w:cs="Calibri"/>
          <w:iCs/>
          <w:sz w:val="20"/>
          <w:szCs w:val="20"/>
        </w:rPr>
        <w:t>The</w:t>
      </w:r>
      <w:r w:rsidR="003E7546">
        <w:rPr>
          <w:rFonts w:ascii="Calibri" w:hAnsi="Calibri" w:cs="Calibri"/>
          <w:iCs/>
          <w:sz w:val="20"/>
          <w:szCs w:val="20"/>
        </w:rPr>
        <w:t xml:space="preserve"> Facility is </w:t>
      </w:r>
      <w:r>
        <w:rPr>
          <w:rFonts w:ascii="Calibri" w:hAnsi="Calibri" w:cs="Calibri"/>
          <w:iCs/>
          <w:sz w:val="20"/>
          <w:szCs w:val="20"/>
        </w:rPr>
        <w:t xml:space="preserve">also </w:t>
      </w:r>
      <w:r w:rsidR="003E7546">
        <w:rPr>
          <w:rFonts w:ascii="Calibri" w:hAnsi="Calibri" w:cs="Calibri"/>
          <w:iCs/>
          <w:sz w:val="20"/>
          <w:szCs w:val="20"/>
        </w:rPr>
        <w:t xml:space="preserve">aligned with the Government of Australia’s priorities for assistance in Kiribati as outlined in the </w:t>
      </w:r>
      <w:r w:rsidR="003E7546" w:rsidRPr="003E7546">
        <w:rPr>
          <w:rFonts w:ascii="Calibri" w:hAnsi="Calibri" w:cs="Calibri"/>
          <w:iCs/>
          <w:sz w:val="20"/>
          <w:szCs w:val="20"/>
        </w:rPr>
        <w:t>Australia’s Aid Investment Plan for Kiribati 2015-16 to 2018-19</w:t>
      </w:r>
      <w:r w:rsidR="003E7546">
        <w:rPr>
          <w:rFonts w:ascii="Calibri" w:hAnsi="Calibri" w:cs="Calibri"/>
          <w:iCs/>
          <w:sz w:val="20"/>
          <w:szCs w:val="20"/>
        </w:rPr>
        <w:t>, w</w:t>
      </w:r>
      <w:r w:rsidR="003E7546" w:rsidRPr="003E7546">
        <w:rPr>
          <w:rFonts w:ascii="Calibri" w:hAnsi="Calibri" w:cs="Calibri"/>
          <w:iCs/>
          <w:sz w:val="20"/>
          <w:szCs w:val="20"/>
        </w:rPr>
        <w:t xml:space="preserve">hich in turn echo’s the priorities specified in the </w:t>
      </w:r>
      <w:r w:rsidR="003E7546" w:rsidRPr="003E7546">
        <w:rPr>
          <w:rFonts w:ascii="Calibri" w:hAnsi="Calibri" w:cs="Calibri"/>
          <w:i/>
          <w:iCs/>
          <w:sz w:val="20"/>
          <w:szCs w:val="20"/>
        </w:rPr>
        <w:t>Strategy for Australia’s aid investments in education 2015-2020</w:t>
      </w:r>
      <w:r w:rsidR="003E7546">
        <w:rPr>
          <w:rFonts w:ascii="Calibri" w:hAnsi="Calibri" w:cs="Calibri"/>
          <w:iCs/>
          <w:sz w:val="20"/>
          <w:szCs w:val="20"/>
        </w:rPr>
        <w:t xml:space="preserve">. The latter specifies, </w:t>
      </w:r>
      <w:r w:rsidR="003E7546" w:rsidRPr="003E7546">
        <w:rPr>
          <w:rFonts w:ascii="Calibri" w:hAnsi="Calibri" w:cs="Calibri"/>
          <w:iCs/>
          <w:sz w:val="20"/>
          <w:szCs w:val="20"/>
        </w:rPr>
        <w:t xml:space="preserve">as one of </w:t>
      </w:r>
      <w:r w:rsidR="003E7546">
        <w:rPr>
          <w:rFonts w:ascii="Calibri" w:hAnsi="Calibri" w:cs="Calibri"/>
          <w:iCs/>
          <w:sz w:val="20"/>
          <w:szCs w:val="20"/>
        </w:rPr>
        <w:t xml:space="preserve">its </w:t>
      </w:r>
      <w:r w:rsidR="003E7546" w:rsidRPr="003E7546">
        <w:rPr>
          <w:rFonts w:ascii="Calibri" w:hAnsi="Calibri" w:cs="Calibri"/>
          <w:iCs/>
          <w:sz w:val="20"/>
          <w:szCs w:val="20"/>
        </w:rPr>
        <w:t>four strategic priorities</w:t>
      </w:r>
      <w:r w:rsidR="003E7546">
        <w:rPr>
          <w:rFonts w:ascii="Calibri" w:hAnsi="Calibri" w:cs="Calibri"/>
          <w:iCs/>
          <w:sz w:val="20"/>
          <w:szCs w:val="20"/>
        </w:rPr>
        <w:t>,</w:t>
      </w:r>
      <w:r w:rsidR="003E7546" w:rsidRPr="003E7546">
        <w:rPr>
          <w:rFonts w:ascii="Calibri" w:hAnsi="Calibri" w:cs="Calibri"/>
          <w:iCs/>
          <w:sz w:val="20"/>
          <w:szCs w:val="20"/>
        </w:rPr>
        <w:t xml:space="preserve"> the </w:t>
      </w:r>
      <w:r w:rsidR="003E7546">
        <w:rPr>
          <w:rFonts w:ascii="Calibri" w:hAnsi="Calibri" w:cs="Calibri"/>
          <w:iCs/>
          <w:sz w:val="20"/>
          <w:szCs w:val="20"/>
        </w:rPr>
        <w:t xml:space="preserve">need to promote the </w:t>
      </w:r>
      <w:r w:rsidR="003E7546" w:rsidRPr="003E7546">
        <w:rPr>
          <w:rFonts w:ascii="Calibri" w:hAnsi="Calibri" w:cs="Calibri"/>
          <w:iCs/>
          <w:sz w:val="20"/>
          <w:szCs w:val="20"/>
        </w:rPr>
        <w:t>development of skills, by improving access to high quality post-secondary education and training, and the importance of aligning education and skills with labour market demand.</w:t>
      </w:r>
      <w:r w:rsidR="0051570E">
        <w:rPr>
          <w:rFonts w:ascii="Calibri" w:hAnsi="Calibri" w:cs="Calibri"/>
          <w:iCs/>
          <w:sz w:val="20"/>
          <w:szCs w:val="20"/>
        </w:rPr>
        <w:t xml:space="preserve"> Recent pronouncements by the Australian Government regarding labour mobility and the redesigned APTC reconfirm that the objectives of the Kiribati Facility remain relevant to Australia’s commitment to strengthen its engagement in this sector across the Pacific.</w:t>
      </w:r>
    </w:p>
    <w:p w14:paraId="79F40B1E" w14:textId="225B8898" w:rsidR="0051570E" w:rsidRDefault="0051570E" w:rsidP="00226D57">
      <w:pPr>
        <w:rPr>
          <w:rFonts w:ascii="Calibri" w:hAnsi="Calibri" w:cs="Calibri"/>
          <w:iCs/>
          <w:sz w:val="20"/>
          <w:szCs w:val="20"/>
        </w:rPr>
      </w:pPr>
    </w:p>
    <w:p w14:paraId="4FA45E0C" w14:textId="2CB9B2D3" w:rsidR="00C078C8" w:rsidRDefault="0051570E" w:rsidP="00C078C8">
      <w:pPr>
        <w:rPr>
          <w:rFonts w:ascii="Calibri" w:hAnsi="Calibri" w:cs="Calibri"/>
          <w:iCs/>
          <w:sz w:val="20"/>
          <w:szCs w:val="20"/>
        </w:rPr>
      </w:pPr>
      <w:r w:rsidRPr="0051570E">
        <w:rPr>
          <w:rFonts w:ascii="Calibri" w:hAnsi="Calibri" w:cs="Calibri"/>
          <w:b/>
          <w:iCs/>
          <w:sz w:val="20"/>
          <w:szCs w:val="20"/>
        </w:rPr>
        <w:t xml:space="preserve">The Kiribati Facility ensures its </w:t>
      </w:r>
      <w:r>
        <w:rPr>
          <w:rFonts w:ascii="Calibri" w:hAnsi="Calibri" w:cs="Calibri"/>
          <w:b/>
          <w:iCs/>
          <w:sz w:val="20"/>
          <w:szCs w:val="20"/>
        </w:rPr>
        <w:t>relevance</w:t>
      </w:r>
      <w:r w:rsidRPr="0051570E">
        <w:rPr>
          <w:rFonts w:ascii="Calibri" w:hAnsi="Calibri" w:cs="Calibri"/>
          <w:b/>
          <w:iCs/>
          <w:sz w:val="20"/>
          <w:szCs w:val="20"/>
        </w:rPr>
        <w:t xml:space="preserve"> through a responsive engagement with key stakeholders</w:t>
      </w:r>
      <w:r>
        <w:rPr>
          <w:rFonts w:ascii="Calibri" w:hAnsi="Calibri" w:cs="Calibri"/>
          <w:b/>
          <w:iCs/>
          <w:sz w:val="20"/>
          <w:szCs w:val="20"/>
        </w:rPr>
        <w:t>, and to ensure its end of program outcomes (EOPOs) align with the needs of stakeholders</w:t>
      </w:r>
      <w:r>
        <w:rPr>
          <w:rFonts w:ascii="Calibri" w:hAnsi="Calibri" w:cs="Calibri"/>
          <w:iCs/>
          <w:sz w:val="20"/>
          <w:szCs w:val="20"/>
        </w:rPr>
        <w:t>.</w:t>
      </w:r>
      <w:r w:rsidR="00C335ED">
        <w:rPr>
          <w:rFonts w:ascii="Calibri" w:hAnsi="Calibri" w:cs="Calibri"/>
          <w:iCs/>
          <w:sz w:val="20"/>
          <w:szCs w:val="20"/>
        </w:rPr>
        <w:t xml:space="preserve"> KIT engages actively with local stakeholders through different forums such as the KIT </w:t>
      </w:r>
      <w:r w:rsidR="00CB3210">
        <w:rPr>
          <w:rFonts w:ascii="Calibri" w:hAnsi="Calibri" w:cs="Calibri"/>
          <w:iCs/>
          <w:sz w:val="20"/>
          <w:szCs w:val="20"/>
        </w:rPr>
        <w:t xml:space="preserve">Course </w:t>
      </w:r>
      <w:r w:rsidR="00C335ED">
        <w:rPr>
          <w:rFonts w:ascii="Calibri" w:hAnsi="Calibri" w:cs="Calibri"/>
          <w:iCs/>
          <w:sz w:val="20"/>
          <w:szCs w:val="20"/>
        </w:rPr>
        <w:t xml:space="preserve">Advisory Committees, the KIT Advisory council, and through the Teachers Return to Industry Program (TRIP) and by way of student work placements. Interviews with Kiribati </w:t>
      </w:r>
      <w:r w:rsidR="00CB3210">
        <w:rPr>
          <w:rFonts w:ascii="Calibri" w:hAnsi="Calibri" w:cs="Calibri"/>
          <w:iCs/>
          <w:sz w:val="20"/>
          <w:szCs w:val="20"/>
        </w:rPr>
        <w:t>Chamber of Commerce and Industry</w:t>
      </w:r>
      <w:r w:rsidR="00C335ED">
        <w:rPr>
          <w:rFonts w:ascii="Calibri" w:hAnsi="Calibri" w:cs="Calibri"/>
          <w:iCs/>
          <w:sz w:val="20"/>
          <w:szCs w:val="20"/>
        </w:rPr>
        <w:t>, and participants in the workshop</w:t>
      </w:r>
      <w:r w:rsidR="00125B21">
        <w:rPr>
          <w:rFonts w:ascii="Calibri" w:hAnsi="Calibri" w:cs="Calibri"/>
          <w:iCs/>
          <w:sz w:val="20"/>
          <w:szCs w:val="20"/>
        </w:rPr>
        <w:t>,</w:t>
      </w:r>
      <w:r w:rsidR="00C335ED">
        <w:rPr>
          <w:rFonts w:ascii="Calibri" w:hAnsi="Calibri" w:cs="Calibri"/>
          <w:iCs/>
          <w:sz w:val="20"/>
          <w:szCs w:val="20"/>
        </w:rPr>
        <w:t xml:space="preserve"> confirmed that </w:t>
      </w:r>
      <w:r w:rsidR="00125B21">
        <w:rPr>
          <w:rFonts w:ascii="Calibri" w:hAnsi="Calibri" w:cs="Calibri"/>
          <w:iCs/>
          <w:sz w:val="20"/>
          <w:szCs w:val="20"/>
        </w:rPr>
        <w:t>stakeholders</w:t>
      </w:r>
      <w:r w:rsidR="00C335ED">
        <w:rPr>
          <w:rFonts w:ascii="Calibri" w:hAnsi="Calibri" w:cs="Calibri"/>
          <w:iCs/>
          <w:sz w:val="20"/>
          <w:szCs w:val="20"/>
        </w:rPr>
        <w:t xml:space="preserve"> are routinely</w:t>
      </w:r>
      <w:r w:rsidR="00125B21">
        <w:rPr>
          <w:rFonts w:ascii="Calibri" w:hAnsi="Calibri" w:cs="Calibri"/>
          <w:iCs/>
          <w:sz w:val="20"/>
          <w:szCs w:val="20"/>
        </w:rPr>
        <w:t xml:space="preserve"> provided</w:t>
      </w:r>
      <w:r w:rsidR="00C335ED">
        <w:rPr>
          <w:rFonts w:ascii="Calibri" w:hAnsi="Calibri" w:cs="Calibri"/>
          <w:iCs/>
          <w:sz w:val="20"/>
          <w:szCs w:val="20"/>
        </w:rPr>
        <w:t xml:space="preserve"> with opportunities to engage and influence the program. </w:t>
      </w:r>
      <w:r w:rsidR="0020769E">
        <w:rPr>
          <w:rFonts w:ascii="Calibri" w:hAnsi="Calibri" w:cs="Calibri"/>
          <w:iCs/>
          <w:sz w:val="20"/>
          <w:szCs w:val="20"/>
        </w:rPr>
        <w:t xml:space="preserve">This finding is important as </w:t>
      </w:r>
      <w:r w:rsidR="00724196">
        <w:rPr>
          <w:rFonts w:ascii="Calibri" w:hAnsi="Calibri" w:cs="Calibri"/>
          <w:iCs/>
          <w:sz w:val="20"/>
          <w:szCs w:val="20"/>
        </w:rPr>
        <w:t xml:space="preserve">it </w:t>
      </w:r>
      <w:r w:rsidR="0020769E">
        <w:rPr>
          <w:rFonts w:ascii="Calibri" w:hAnsi="Calibri" w:cs="Calibri"/>
          <w:iCs/>
          <w:sz w:val="20"/>
          <w:szCs w:val="20"/>
        </w:rPr>
        <w:t>illustrates that the program is not solely focussed on international labour markets, but that the program is working closely with</w:t>
      </w:r>
      <w:r w:rsidR="00724196">
        <w:rPr>
          <w:rFonts w:ascii="Calibri" w:hAnsi="Calibri" w:cs="Calibri"/>
          <w:iCs/>
          <w:sz w:val="20"/>
          <w:szCs w:val="20"/>
        </w:rPr>
        <w:t>in Kiribati with</w:t>
      </w:r>
      <w:r w:rsidR="0020769E">
        <w:rPr>
          <w:rFonts w:ascii="Calibri" w:hAnsi="Calibri" w:cs="Calibri"/>
          <w:iCs/>
          <w:sz w:val="20"/>
          <w:szCs w:val="20"/>
        </w:rPr>
        <w:t xml:space="preserve"> the private sector, other government partners, and donors to identify demand for skilled labour on a number of key infrastructure projects (water and sanitation, roads, the airport and so on) that could be met by I-Kiribati. </w:t>
      </w:r>
      <w:r w:rsidR="00C335ED" w:rsidRPr="001615E5">
        <w:rPr>
          <w:rFonts w:ascii="Calibri" w:hAnsi="Calibri" w:cs="Calibri"/>
          <w:iCs/>
          <w:sz w:val="20"/>
          <w:szCs w:val="20"/>
        </w:rPr>
        <w:t>Moreover</w:t>
      </w:r>
      <w:r w:rsidR="005C5A1A" w:rsidRPr="001615E5">
        <w:rPr>
          <w:rFonts w:ascii="Calibri" w:hAnsi="Calibri" w:cs="Calibri"/>
          <w:iCs/>
          <w:sz w:val="20"/>
          <w:szCs w:val="20"/>
        </w:rPr>
        <w:t>,</w:t>
      </w:r>
      <w:r w:rsidR="00C335ED" w:rsidRPr="001615E5">
        <w:rPr>
          <w:rFonts w:ascii="Calibri" w:hAnsi="Calibri" w:cs="Calibri"/>
          <w:iCs/>
          <w:sz w:val="20"/>
          <w:szCs w:val="20"/>
        </w:rPr>
        <w:t xml:space="preserve"> in response to th</w:t>
      </w:r>
      <w:r w:rsidR="0020769E">
        <w:rPr>
          <w:rFonts w:ascii="Calibri" w:hAnsi="Calibri" w:cs="Calibri"/>
          <w:iCs/>
          <w:sz w:val="20"/>
          <w:szCs w:val="20"/>
        </w:rPr>
        <w:t>ese consultations, and also through</w:t>
      </w:r>
      <w:r w:rsidR="00C335ED" w:rsidRPr="001615E5">
        <w:rPr>
          <w:rFonts w:ascii="Calibri" w:hAnsi="Calibri" w:cs="Calibri"/>
          <w:iCs/>
          <w:sz w:val="20"/>
          <w:szCs w:val="20"/>
        </w:rPr>
        <w:t xml:space="preserve"> labour market and employer surveys</w:t>
      </w:r>
      <w:r w:rsidR="0020769E">
        <w:rPr>
          <w:rFonts w:ascii="Calibri" w:hAnsi="Calibri" w:cs="Calibri"/>
          <w:iCs/>
          <w:sz w:val="20"/>
          <w:szCs w:val="20"/>
        </w:rPr>
        <w:t>,</w:t>
      </w:r>
      <w:r w:rsidR="00C335ED" w:rsidRPr="001615E5">
        <w:rPr>
          <w:rFonts w:ascii="Calibri" w:hAnsi="Calibri" w:cs="Calibri"/>
          <w:iCs/>
          <w:sz w:val="20"/>
          <w:szCs w:val="20"/>
        </w:rPr>
        <w:t xml:space="preserve"> KIT have adjusted its course design to ensure greater synergy between its course offerings and the needs of employers.</w:t>
      </w:r>
      <w:r w:rsidR="00445C9A" w:rsidRPr="001615E5">
        <w:rPr>
          <w:rFonts w:ascii="Calibri" w:hAnsi="Calibri" w:cs="Calibri"/>
          <w:iCs/>
          <w:sz w:val="20"/>
          <w:szCs w:val="20"/>
        </w:rPr>
        <w:t xml:space="preserve"> </w:t>
      </w:r>
    </w:p>
    <w:p w14:paraId="1EE6390E" w14:textId="77777777" w:rsidR="00C078C8" w:rsidRDefault="00C078C8" w:rsidP="00C078C8">
      <w:pPr>
        <w:rPr>
          <w:rFonts w:ascii="Calibri" w:hAnsi="Calibri" w:cs="Calibri"/>
          <w:iCs/>
          <w:sz w:val="20"/>
          <w:szCs w:val="20"/>
        </w:rPr>
      </w:pPr>
    </w:p>
    <w:p w14:paraId="0BEF1909" w14:textId="6B0E1BF8" w:rsidR="00C078C8" w:rsidRPr="00C078C8" w:rsidRDefault="00C078C8" w:rsidP="00C078C8">
      <w:pPr>
        <w:rPr>
          <w:rFonts w:ascii="Calibri" w:hAnsi="Calibri" w:cs="Calibri"/>
          <w:iCs/>
          <w:sz w:val="20"/>
          <w:szCs w:val="20"/>
        </w:rPr>
      </w:pPr>
      <w:r>
        <w:rPr>
          <w:rFonts w:ascii="Calibri" w:hAnsi="Calibri" w:cs="Calibri"/>
          <w:iCs/>
          <w:sz w:val="20"/>
          <w:szCs w:val="20"/>
        </w:rPr>
        <w:t xml:space="preserve">It has however been suggested that KIT is not doing enough to provide suitable courses in </w:t>
      </w:r>
      <w:r w:rsidRPr="00C078C8">
        <w:rPr>
          <w:rFonts w:ascii="Calibri" w:hAnsi="Calibri" w:cs="Calibri"/>
          <w:iCs/>
          <w:sz w:val="20"/>
          <w:szCs w:val="20"/>
        </w:rPr>
        <w:t xml:space="preserve">Hospitality, </w:t>
      </w:r>
      <w:r w:rsidR="00EA12A1">
        <w:rPr>
          <w:rFonts w:ascii="Calibri" w:hAnsi="Calibri" w:cs="Calibri"/>
          <w:iCs/>
          <w:sz w:val="20"/>
          <w:szCs w:val="20"/>
        </w:rPr>
        <w:t>A</w:t>
      </w:r>
      <w:r w:rsidRPr="00C078C8">
        <w:rPr>
          <w:rFonts w:ascii="Calibri" w:hAnsi="Calibri" w:cs="Calibri"/>
          <w:iCs/>
          <w:sz w:val="20"/>
          <w:szCs w:val="20"/>
        </w:rPr>
        <w:t xml:space="preserve">ged care and </w:t>
      </w:r>
      <w:r w:rsidR="00EA12A1">
        <w:rPr>
          <w:rFonts w:ascii="Calibri" w:hAnsi="Calibri" w:cs="Calibri"/>
          <w:iCs/>
          <w:sz w:val="20"/>
          <w:szCs w:val="20"/>
        </w:rPr>
        <w:t>I</w:t>
      </w:r>
      <w:r w:rsidRPr="00C078C8">
        <w:rPr>
          <w:rFonts w:ascii="Calibri" w:hAnsi="Calibri" w:cs="Calibri"/>
          <w:iCs/>
          <w:sz w:val="20"/>
          <w:szCs w:val="20"/>
        </w:rPr>
        <w:t xml:space="preserve">ndividual support </w:t>
      </w:r>
      <w:r>
        <w:rPr>
          <w:rFonts w:ascii="Calibri" w:hAnsi="Calibri" w:cs="Calibri"/>
          <w:iCs/>
          <w:sz w:val="20"/>
          <w:szCs w:val="20"/>
        </w:rPr>
        <w:t>which are</w:t>
      </w:r>
      <w:r w:rsidRPr="00C078C8">
        <w:rPr>
          <w:rFonts w:ascii="Calibri" w:hAnsi="Calibri" w:cs="Calibri"/>
          <w:iCs/>
          <w:sz w:val="20"/>
          <w:szCs w:val="20"/>
        </w:rPr>
        <w:t xml:space="preserve"> areas identified as a niche for Kiribati for labour mobility</w:t>
      </w:r>
      <w:r>
        <w:rPr>
          <w:rStyle w:val="FootnoteReference"/>
          <w:rFonts w:ascii="Calibri" w:hAnsi="Calibri" w:cs="Calibri"/>
          <w:iCs/>
          <w:sz w:val="20"/>
          <w:szCs w:val="20"/>
        </w:rPr>
        <w:footnoteReference w:id="9"/>
      </w:r>
      <w:r>
        <w:rPr>
          <w:rFonts w:ascii="Calibri" w:hAnsi="Calibri" w:cs="Calibri"/>
          <w:iCs/>
          <w:sz w:val="20"/>
          <w:szCs w:val="20"/>
        </w:rPr>
        <w:t xml:space="preserve">. </w:t>
      </w:r>
      <w:r w:rsidR="00445C9A" w:rsidRPr="001615E5">
        <w:rPr>
          <w:rFonts w:ascii="Calibri" w:hAnsi="Calibri" w:cs="Calibri"/>
          <w:iCs/>
          <w:sz w:val="20"/>
          <w:szCs w:val="20"/>
        </w:rPr>
        <w:t xml:space="preserve">KIT only has a few courses accredited at Cert 1 and 2 level, </w:t>
      </w:r>
      <w:r w:rsidR="001615E5">
        <w:rPr>
          <w:rFonts w:ascii="Calibri" w:hAnsi="Calibri" w:cs="Calibri"/>
          <w:iCs/>
          <w:sz w:val="20"/>
          <w:szCs w:val="20"/>
        </w:rPr>
        <w:t>and interviews suggest that</w:t>
      </w:r>
      <w:r w:rsidR="00445C9A" w:rsidRPr="001615E5">
        <w:rPr>
          <w:rFonts w:ascii="Calibri" w:hAnsi="Calibri" w:cs="Calibri"/>
          <w:iCs/>
          <w:sz w:val="20"/>
          <w:szCs w:val="20"/>
        </w:rPr>
        <w:t xml:space="preserve"> employers in Australia require accreditation at Cert 3 and 4 level</w:t>
      </w:r>
      <w:r w:rsidR="001615E5">
        <w:rPr>
          <w:rStyle w:val="FootnoteReference"/>
          <w:rFonts w:ascii="Calibri" w:hAnsi="Calibri" w:cs="Calibri"/>
          <w:iCs/>
          <w:sz w:val="20"/>
          <w:szCs w:val="20"/>
        </w:rPr>
        <w:footnoteReference w:id="10"/>
      </w:r>
      <w:r w:rsidR="00445C9A" w:rsidRPr="001615E5">
        <w:rPr>
          <w:rFonts w:ascii="Calibri" w:hAnsi="Calibri" w:cs="Calibri"/>
          <w:iCs/>
          <w:sz w:val="20"/>
          <w:szCs w:val="20"/>
        </w:rPr>
        <w:t xml:space="preserve">. This </w:t>
      </w:r>
      <w:r w:rsidR="001615E5">
        <w:rPr>
          <w:rFonts w:ascii="Calibri" w:hAnsi="Calibri" w:cs="Calibri"/>
          <w:iCs/>
          <w:sz w:val="20"/>
          <w:szCs w:val="20"/>
        </w:rPr>
        <w:t xml:space="preserve">could </w:t>
      </w:r>
      <w:r w:rsidR="00445C9A" w:rsidRPr="001615E5">
        <w:rPr>
          <w:rFonts w:ascii="Calibri" w:hAnsi="Calibri" w:cs="Calibri"/>
          <w:iCs/>
          <w:sz w:val="20"/>
          <w:szCs w:val="20"/>
        </w:rPr>
        <w:t>mean in practice that few, if any, KIT graduates can immediately get employment in Australia because they do not have the right qualifications</w:t>
      </w:r>
      <w:r>
        <w:rPr>
          <w:rFonts w:ascii="Calibri" w:hAnsi="Calibri" w:cs="Calibri"/>
          <w:iCs/>
          <w:sz w:val="20"/>
          <w:szCs w:val="20"/>
        </w:rPr>
        <w:t xml:space="preserve">, especially in aged care which has higher levels of regulation. But even in this sector, it is possible that there are employers who are </w:t>
      </w:r>
      <w:r w:rsidRPr="00C078C8">
        <w:rPr>
          <w:rFonts w:ascii="Calibri" w:hAnsi="Calibri" w:cs="Calibri"/>
          <w:iCs/>
          <w:sz w:val="20"/>
          <w:szCs w:val="20"/>
        </w:rPr>
        <w:t xml:space="preserve">more interested in employing (junior) Assistants in Nursing rather than actual Nurses through this scheme. </w:t>
      </w:r>
      <w:r>
        <w:rPr>
          <w:rFonts w:ascii="Calibri" w:hAnsi="Calibri" w:cs="Calibri"/>
          <w:iCs/>
          <w:sz w:val="20"/>
          <w:szCs w:val="20"/>
        </w:rPr>
        <w:t xml:space="preserve">In addition, the PLF continue to report that </w:t>
      </w:r>
      <w:r w:rsidRPr="00C078C8">
        <w:rPr>
          <w:rFonts w:ascii="Helvetica" w:hAnsi="Helvetica"/>
          <w:color w:val="000000"/>
          <w:sz w:val="18"/>
          <w:szCs w:val="18"/>
        </w:rPr>
        <w:t>overall there’s been more demand for non-trained people than trained people</w:t>
      </w:r>
      <w:r>
        <w:rPr>
          <w:rFonts w:ascii="Helvetica" w:hAnsi="Helvetica"/>
          <w:color w:val="000000"/>
          <w:sz w:val="18"/>
          <w:szCs w:val="18"/>
        </w:rPr>
        <w:t>.</w:t>
      </w:r>
      <w:r w:rsidR="00EA12A1">
        <w:rPr>
          <w:rFonts w:ascii="Calibri" w:hAnsi="Calibri" w:cs="Calibri"/>
          <w:iCs/>
          <w:sz w:val="20"/>
          <w:szCs w:val="20"/>
        </w:rPr>
        <w:t xml:space="preserve"> </w:t>
      </w:r>
      <w:r w:rsidRPr="00C078C8">
        <w:rPr>
          <w:rFonts w:ascii="Calibri" w:hAnsi="Calibri" w:cs="Calibri"/>
          <w:iCs/>
          <w:sz w:val="20"/>
          <w:szCs w:val="20"/>
        </w:rPr>
        <w:t xml:space="preserve">At this point, without accurate labour mobility data (other than that the PLF have signalled that the demand from aged care employers is reasonably slow), and in part because there is a </w:t>
      </w:r>
      <w:r w:rsidR="004442F7" w:rsidRPr="002B4D47">
        <w:rPr>
          <w:rFonts w:ascii="Calibri" w:hAnsi="Calibri" w:cs="Calibri"/>
          <w:iCs/>
          <w:sz w:val="20"/>
          <w:szCs w:val="20"/>
        </w:rPr>
        <w:t>Royal Commission into Aged Care Quality and Safety</w:t>
      </w:r>
      <w:r w:rsidR="004442F7" w:rsidRPr="00C078C8" w:rsidDel="004442F7">
        <w:rPr>
          <w:rFonts w:ascii="Calibri" w:hAnsi="Calibri" w:cs="Calibri"/>
          <w:iCs/>
          <w:sz w:val="20"/>
          <w:szCs w:val="20"/>
        </w:rPr>
        <w:t xml:space="preserve"> </w:t>
      </w:r>
      <w:r w:rsidRPr="00C078C8">
        <w:rPr>
          <w:rFonts w:ascii="Calibri" w:hAnsi="Calibri" w:cs="Calibri"/>
          <w:iCs/>
          <w:sz w:val="20"/>
          <w:szCs w:val="20"/>
        </w:rPr>
        <w:t>at the moment</w:t>
      </w:r>
      <w:r w:rsidR="007A285F">
        <w:rPr>
          <w:rFonts w:ascii="Calibri" w:hAnsi="Calibri" w:cs="Calibri"/>
          <w:iCs/>
          <w:sz w:val="20"/>
          <w:szCs w:val="20"/>
        </w:rPr>
        <w:t>,</w:t>
      </w:r>
      <w:r w:rsidRPr="00C078C8">
        <w:rPr>
          <w:rFonts w:ascii="Calibri" w:hAnsi="Calibri" w:cs="Calibri"/>
          <w:iCs/>
          <w:sz w:val="20"/>
          <w:szCs w:val="20"/>
        </w:rPr>
        <w:t xml:space="preserve"> it is still unclear as to what the likely demand will be and to what extent employers will require higher levels of Certification</w:t>
      </w:r>
      <w:r w:rsidR="00724196">
        <w:rPr>
          <w:rFonts w:ascii="Calibri" w:hAnsi="Calibri" w:cs="Calibri"/>
          <w:iCs/>
          <w:sz w:val="20"/>
          <w:szCs w:val="20"/>
        </w:rPr>
        <w:t xml:space="preserve"> in Aged Care</w:t>
      </w:r>
      <w:r w:rsidRPr="00C078C8">
        <w:rPr>
          <w:rFonts w:ascii="Calibri" w:hAnsi="Calibri" w:cs="Calibri"/>
          <w:iCs/>
          <w:sz w:val="20"/>
          <w:szCs w:val="20"/>
        </w:rPr>
        <w:t>.</w:t>
      </w:r>
      <w:r w:rsidR="00DF3B79">
        <w:rPr>
          <w:rFonts w:ascii="Calibri" w:hAnsi="Calibri" w:cs="Calibri"/>
          <w:iCs/>
          <w:sz w:val="20"/>
          <w:szCs w:val="20"/>
        </w:rPr>
        <w:t xml:space="preserve"> </w:t>
      </w:r>
      <w:r w:rsidR="00223FC0">
        <w:rPr>
          <w:rFonts w:ascii="Calibri" w:hAnsi="Calibri" w:cs="Calibri"/>
          <w:iCs/>
          <w:sz w:val="20"/>
          <w:szCs w:val="20"/>
        </w:rPr>
        <w:t xml:space="preserve">Further clarification </w:t>
      </w:r>
      <w:r w:rsidR="00223FC0" w:rsidRPr="005524BE">
        <w:rPr>
          <w:rFonts w:ascii="Calibri" w:hAnsi="Calibri" w:cs="Calibri"/>
          <w:iCs/>
          <w:sz w:val="20"/>
          <w:szCs w:val="20"/>
        </w:rPr>
        <w:t xml:space="preserve">of Australian employer needs/labour mobility data </w:t>
      </w:r>
      <w:r w:rsidR="00223FC0">
        <w:rPr>
          <w:rFonts w:ascii="Calibri" w:hAnsi="Calibri" w:cs="Calibri"/>
          <w:iCs/>
          <w:sz w:val="20"/>
          <w:szCs w:val="20"/>
        </w:rPr>
        <w:t xml:space="preserve">needs to </w:t>
      </w:r>
      <w:r w:rsidR="00223FC0" w:rsidRPr="005524BE">
        <w:rPr>
          <w:rFonts w:ascii="Calibri" w:hAnsi="Calibri" w:cs="Calibri"/>
          <w:iCs/>
          <w:sz w:val="20"/>
          <w:szCs w:val="20"/>
        </w:rPr>
        <w:t xml:space="preserve">be fast-tracked </w:t>
      </w:r>
      <w:r w:rsidR="00223FC0">
        <w:rPr>
          <w:rFonts w:ascii="Calibri" w:hAnsi="Calibri" w:cs="Calibri"/>
          <w:iCs/>
          <w:sz w:val="20"/>
          <w:szCs w:val="20"/>
        </w:rPr>
        <w:t>to help KIT respond more effectively to these demands.</w:t>
      </w:r>
    </w:p>
    <w:p w14:paraId="2B2052D0" w14:textId="6FF7DBD4" w:rsidR="001615E5" w:rsidRDefault="001615E5" w:rsidP="00445C9A">
      <w:pPr>
        <w:rPr>
          <w:rFonts w:ascii="Calibri" w:hAnsi="Calibri" w:cs="Calibri"/>
          <w:iCs/>
          <w:sz w:val="20"/>
          <w:szCs w:val="20"/>
        </w:rPr>
      </w:pPr>
    </w:p>
    <w:p w14:paraId="7AD23960" w14:textId="6AD79DE2" w:rsidR="00C335ED" w:rsidRDefault="00B63444" w:rsidP="000D1BDC">
      <w:pPr>
        <w:rPr>
          <w:rFonts w:ascii="Calibri" w:hAnsi="Calibri" w:cs="Calibri"/>
          <w:iCs/>
          <w:sz w:val="20"/>
          <w:szCs w:val="20"/>
        </w:rPr>
      </w:pPr>
      <w:r w:rsidRPr="002B4D47">
        <w:rPr>
          <w:rFonts w:ascii="Calibri" w:hAnsi="Calibri" w:cs="Calibri"/>
          <w:iCs/>
          <w:sz w:val="20"/>
          <w:szCs w:val="20"/>
        </w:rPr>
        <w:t xml:space="preserve">In 2019 APTC delivered refresher training to previous APTC aged/individual care </w:t>
      </w:r>
      <w:r w:rsidRPr="00B63444">
        <w:rPr>
          <w:rFonts w:ascii="Calibri" w:hAnsi="Calibri" w:cs="Calibri"/>
          <w:iCs/>
          <w:sz w:val="20"/>
          <w:szCs w:val="20"/>
        </w:rPr>
        <w:t>graduates</w:t>
      </w:r>
      <w:r w:rsidRPr="002B4D47">
        <w:rPr>
          <w:rFonts w:ascii="Calibri" w:hAnsi="Calibri" w:cs="Calibri"/>
          <w:iCs/>
          <w:sz w:val="20"/>
          <w:szCs w:val="20"/>
        </w:rPr>
        <w:t>, some of whom are now employed under the PLS in Australia. KIT through its partnership with APTC in the previous phase supported MTC with an APTC hospitality training short-term advisor</w:t>
      </w:r>
      <w:r w:rsidR="00445C9A" w:rsidRPr="001615E5">
        <w:rPr>
          <w:rFonts w:ascii="Calibri" w:hAnsi="Calibri" w:cs="Calibri"/>
          <w:iCs/>
          <w:sz w:val="20"/>
          <w:szCs w:val="20"/>
        </w:rPr>
        <w:t>.</w:t>
      </w:r>
      <w:r w:rsidR="00DF3B79">
        <w:rPr>
          <w:rFonts w:ascii="Calibri" w:hAnsi="Calibri" w:cs="Calibri"/>
          <w:iCs/>
          <w:sz w:val="20"/>
          <w:szCs w:val="20"/>
        </w:rPr>
        <w:t xml:space="preserve"> </w:t>
      </w:r>
      <w:r w:rsidR="00BF23D5" w:rsidRPr="001615E5">
        <w:rPr>
          <w:rFonts w:ascii="Calibri" w:hAnsi="Calibri" w:cs="Calibri"/>
          <w:iCs/>
          <w:sz w:val="20"/>
          <w:szCs w:val="20"/>
        </w:rPr>
        <w:t xml:space="preserve">Thought should be given to requesting APTC, as an interim measure (e.g. over the next three years, after which the decision can be revisited), to </w:t>
      </w:r>
      <w:r>
        <w:rPr>
          <w:rFonts w:ascii="Calibri" w:hAnsi="Calibri" w:cs="Calibri"/>
          <w:iCs/>
          <w:sz w:val="20"/>
          <w:szCs w:val="20"/>
        </w:rPr>
        <w:t>continue to support delivery of this course</w:t>
      </w:r>
      <w:r w:rsidR="00BF23D5" w:rsidRPr="001615E5">
        <w:rPr>
          <w:rFonts w:ascii="Calibri" w:hAnsi="Calibri" w:cs="Calibri"/>
          <w:iCs/>
          <w:sz w:val="20"/>
          <w:szCs w:val="20"/>
        </w:rPr>
        <w:t xml:space="preserve"> (but at the same time providing support to develop KIT staff capacity in the longer term) to those students who meet the applicable entry standards to meet current</w:t>
      </w:r>
      <w:r w:rsidR="00445C9A" w:rsidRPr="001615E5">
        <w:rPr>
          <w:rFonts w:ascii="Calibri" w:hAnsi="Calibri" w:cs="Calibri"/>
          <w:iCs/>
          <w:sz w:val="20"/>
          <w:szCs w:val="20"/>
        </w:rPr>
        <w:t xml:space="preserve"> Australian/New Zealand market demands</w:t>
      </w:r>
      <w:r w:rsidR="00BF23D5" w:rsidRPr="001615E5">
        <w:rPr>
          <w:rFonts w:ascii="Calibri" w:hAnsi="Calibri" w:cs="Calibri"/>
          <w:iCs/>
          <w:sz w:val="20"/>
          <w:szCs w:val="20"/>
        </w:rPr>
        <w:t>.</w:t>
      </w:r>
      <w:r w:rsidR="008B55F6">
        <w:rPr>
          <w:rFonts w:ascii="Calibri" w:hAnsi="Calibri" w:cs="Calibri"/>
          <w:iCs/>
          <w:sz w:val="20"/>
          <w:szCs w:val="20"/>
        </w:rPr>
        <w:t>.</w:t>
      </w:r>
    </w:p>
    <w:p w14:paraId="201FC8A3" w14:textId="77777777" w:rsidR="00724196" w:rsidRPr="00446190" w:rsidRDefault="00724196" w:rsidP="000D1BDC">
      <w:pPr>
        <w:rPr>
          <w:rFonts w:ascii="Calibri" w:hAnsi="Calibri" w:cs="Calibri"/>
          <w:iCs/>
          <w:sz w:val="20"/>
          <w:szCs w:val="20"/>
        </w:rPr>
      </w:pPr>
    </w:p>
    <w:p w14:paraId="261BE4C1" w14:textId="013744FF" w:rsidR="00C335ED" w:rsidRDefault="00C335ED" w:rsidP="00C335ED">
      <w:pPr>
        <w:pStyle w:val="Caption"/>
        <w:rPr>
          <w:rFonts w:cs="Arial"/>
          <w:color w:val="000000" w:themeColor="text1"/>
          <w:sz w:val="20"/>
          <w:szCs w:val="20"/>
          <w:lang w:eastAsia="en-AU"/>
        </w:rPr>
      </w:pPr>
      <w:r>
        <w:t xml:space="preserve">Figure </w:t>
      </w:r>
      <w:r>
        <w:fldChar w:fldCharType="begin"/>
      </w:r>
      <w:r>
        <w:instrText xml:space="preserve"> SEQ Figure \* ARABIC </w:instrText>
      </w:r>
      <w:r>
        <w:fldChar w:fldCharType="separate"/>
      </w:r>
      <w:r w:rsidR="00157AA4">
        <w:rPr>
          <w:noProof/>
        </w:rPr>
        <w:t>1</w:t>
      </w:r>
      <w:r>
        <w:fldChar w:fldCharType="end"/>
      </w:r>
      <w:r w:rsidRPr="00C0593E">
        <w:rPr>
          <w:noProof/>
          <w:lang w:val="en-AU" w:eastAsia="en-AU"/>
        </w:rPr>
        <mc:AlternateContent>
          <mc:Choice Requires="wpg">
            <w:drawing>
              <wp:anchor distT="0" distB="0" distL="114300" distR="114300" simplePos="0" relativeHeight="251660288" behindDoc="0" locked="0" layoutInCell="1" allowOverlap="1" wp14:anchorId="56B918E3" wp14:editId="292F5063">
                <wp:simplePos x="0" y="0"/>
                <wp:positionH relativeFrom="column">
                  <wp:posOffset>152542</wp:posOffset>
                </wp:positionH>
                <wp:positionV relativeFrom="paragraph">
                  <wp:posOffset>192963</wp:posOffset>
                </wp:positionV>
                <wp:extent cx="4762831" cy="1455089"/>
                <wp:effectExtent l="0" t="0" r="12700" b="18415"/>
                <wp:wrapNone/>
                <wp:docPr id="19" name="Group 21"/>
                <wp:cNvGraphicFramePr/>
                <a:graphic xmlns:a="http://schemas.openxmlformats.org/drawingml/2006/main">
                  <a:graphicData uri="http://schemas.microsoft.com/office/word/2010/wordprocessingGroup">
                    <wpg:wgp>
                      <wpg:cNvGrpSpPr/>
                      <wpg:grpSpPr>
                        <a:xfrm>
                          <a:off x="0" y="0"/>
                          <a:ext cx="4762831" cy="1455089"/>
                          <a:chOff x="0" y="0"/>
                          <a:chExt cx="5721523" cy="2156452"/>
                        </a:xfrm>
                        <a:solidFill>
                          <a:schemeClr val="accent1">
                            <a:lumMod val="60000"/>
                            <a:lumOff val="40000"/>
                          </a:schemeClr>
                        </a:solidFill>
                      </wpg:grpSpPr>
                      <wps:wsp>
                        <wps:cNvPr id="20" name="Rounded Rectangle 20"/>
                        <wps:cNvSpPr/>
                        <wps:spPr>
                          <a:xfrm>
                            <a:off x="2739766" y="1279120"/>
                            <a:ext cx="1668162" cy="877330"/>
                          </a:xfrm>
                          <a:prstGeom prst="roundRect">
                            <a:avLst/>
                          </a:prstGeom>
                          <a:grpFill/>
                        </wps:spPr>
                        <wps:style>
                          <a:lnRef idx="2">
                            <a:schemeClr val="accent1">
                              <a:shade val="50000"/>
                            </a:schemeClr>
                          </a:lnRef>
                          <a:fillRef idx="1">
                            <a:schemeClr val="accent1"/>
                          </a:fillRef>
                          <a:effectRef idx="0">
                            <a:schemeClr val="accent1"/>
                          </a:effectRef>
                          <a:fontRef idx="minor">
                            <a:schemeClr val="lt1"/>
                          </a:fontRef>
                        </wps:style>
                        <wps:txbx>
                          <w:txbxContent>
                            <w:p w14:paraId="7398C2B3" w14:textId="77777777" w:rsidR="008816CF" w:rsidRPr="00E27DBB" w:rsidRDefault="008816CF" w:rsidP="00C335ED">
                              <w:pPr>
                                <w:pStyle w:val="NormalWeb"/>
                                <w:spacing w:before="0" w:after="0" w:afterAutospacing="0"/>
                                <w:jc w:val="center"/>
                                <w:rPr>
                                  <w:rFonts w:ascii="Arial" w:hAnsi="Arial" w:cs="Arial"/>
                                  <w:sz w:val="20"/>
                                  <w:szCs w:val="20"/>
                                </w:rPr>
                              </w:pPr>
                              <w:r w:rsidRPr="00E27DBB">
                                <w:rPr>
                                  <w:rFonts w:ascii="Arial" w:hAnsi="Arial" w:cs="Arial"/>
                                  <w:color w:val="000000" w:themeColor="text1"/>
                                  <w:kern w:val="24"/>
                                  <w:sz w:val="20"/>
                                  <w:szCs w:val="20"/>
                                </w:rPr>
                                <w:t xml:space="preserve">Team Leader and </w:t>
                              </w:r>
                            </w:p>
                            <w:p w14:paraId="4672552C" w14:textId="77777777" w:rsidR="008816CF" w:rsidRPr="00E27DBB" w:rsidRDefault="008816CF" w:rsidP="00C335ED">
                              <w:pPr>
                                <w:pStyle w:val="NormalWeb"/>
                                <w:spacing w:before="0" w:after="0" w:afterAutospacing="0"/>
                                <w:jc w:val="center"/>
                                <w:rPr>
                                  <w:rFonts w:ascii="Arial" w:hAnsi="Arial" w:cs="Arial"/>
                                  <w:sz w:val="20"/>
                                  <w:szCs w:val="20"/>
                                </w:rPr>
                              </w:pPr>
                              <w:r w:rsidRPr="00E27DBB">
                                <w:rPr>
                                  <w:rFonts w:ascii="Arial" w:hAnsi="Arial" w:cs="Arial"/>
                                  <w:color w:val="000000" w:themeColor="text1"/>
                                  <w:kern w:val="24"/>
                                  <w:sz w:val="20"/>
                                  <w:szCs w:val="20"/>
                                </w:rPr>
                                <w:t>Director KIT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Rounded Rectangle 21"/>
                        <wps:cNvSpPr/>
                        <wps:spPr>
                          <a:xfrm>
                            <a:off x="0" y="1279120"/>
                            <a:ext cx="1668162" cy="877330"/>
                          </a:xfrm>
                          <a:prstGeom prst="roundRect">
                            <a:avLst/>
                          </a:prstGeom>
                          <a:grpFill/>
                        </wps:spPr>
                        <wps:style>
                          <a:lnRef idx="2">
                            <a:schemeClr val="accent1">
                              <a:shade val="50000"/>
                            </a:schemeClr>
                          </a:lnRef>
                          <a:fillRef idx="1">
                            <a:schemeClr val="accent1"/>
                          </a:fillRef>
                          <a:effectRef idx="0">
                            <a:schemeClr val="accent1"/>
                          </a:effectRef>
                          <a:fontRef idx="minor">
                            <a:schemeClr val="lt1"/>
                          </a:fontRef>
                        </wps:style>
                        <wps:txbx>
                          <w:txbxContent>
                            <w:p w14:paraId="77C7777A" w14:textId="77777777" w:rsidR="008816CF" w:rsidRPr="00E27DBB" w:rsidRDefault="008816CF" w:rsidP="00C335ED">
                              <w:pPr>
                                <w:pStyle w:val="NormalWeb"/>
                                <w:spacing w:before="0" w:after="0" w:afterAutospacing="0"/>
                                <w:jc w:val="center"/>
                                <w:rPr>
                                  <w:rFonts w:ascii="Arial" w:hAnsi="Arial" w:cs="Arial"/>
                                  <w:sz w:val="20"/>
                                  <w:szCs w:val="20"/>
                                </w:rPr>
                              </w:pPr>
                              <w:r w:rsidRPr="00E27DBB">
                                <w:rPr>
                                  <w:rFonts w:ascii="Arial" w:hAnsi="Arial" w:cs="Arial"/>
                                  <w:color w:val="000000" w:themeColor="text1"/>
                                  <w:kern w:val="24"/>
                                  <w:sz w:val="20"/>
                                  <w:szCs w:val="20"/>
                                </w:rPr>
                                <w:t>Managing Contractor</w:t>
                              </w:r>
                            </w:p>
                            <w:p w14:paraId="3A3F7523" w14:textId="77777777" w:rsidR="008816CF" w:rsidRPr="00E27DBB" w:rsidRDefault="008816CF" w:rsidP="00C335ED">
                              <w:pPr>
                                <w:pStyle w:val="NormalWeb"/>
                                <w:spacing w:before="0" w:after="0" w:afterAutospacing="0"/>
                                <w:jc w:val="center"/>
                                <w:rPr>
                                  <w:rFonts w:ascii="Arial" w:hAnsi="Arial" w:cs="Arial"/>
                                  <w:sz w:val="20"/>
                                  <w:szCs w:val="20"/>
                                </w:rPr>
                              </w:pPr>
                              <w:r w:rsidRPr="00E27DBB">
                                <w:rPr>
                                  <w:rFonts w:ascii="Arial" w:hAnsi="Arial" w:cs="Arial"/>
                                  <w:color w:val="000000" w:themeColor="text1"/>
                                  <w:kern w:val="24"/>
                                  <w:sz w:val="20"/>
                                  <w:szCs w:val="20"/>
                                </w:rPr>
                                <w:t>Project Director</w:t>
                              </w:r>
                              <w:r w:rsidRPr="00E27DBB">
                                <w:rPr>
                                  <w:rFonts w:ascii="Arial" w:hAnsi="Arial" w:cs="Arial"/>
                                  <w:color w:val="000000" w:themeColor="text1"/>
                                  <w:kern w:val="24"/>
                                  <w:sz w:val="20"/>
                                  <w:szCs w:val="20"/>
                                </w:rPr>
                                <w:tab/>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Rounded Rectangle 22"/>
                        <wps:cNvSpPr/>
                        <wps:spPr>
                          <a:xfrm>
                            <a:off x="49426" y="6374"/>
                            <a:ext cx="1668162" cy="877330"/>
                          </a:xfrm>
                          <a:prstGeom prst="roundRect">
                            <a:avLst/>
                          </a:prstGeom>
                          <a:grpFill/>
                        </wps:spPr>
                        <wps:style>
                          <a:lnRef idx="2">
                            <a:schemeClr val="accent1">
                              <a:shade val="50000"/>
                            </a:schemeClr>
                          </a:lnRef>
                          <a:fillRef idx="1">
                            <a:schemeClr val="accent1"/>
                          </a:fillRef>
                          <a:effectRef idx="0">
                            <a:schemeClr val="accent1"/>
                          </a:effectRef>
                          <a:fontRef idx="minor">
                            <a:schemeClr val="lt1"/>
                          </a:fontRef>
                        </wps:style>
                        <wps:txbx>
                          <w:txbxContent>
                            <w:p w14:paraId="7FFA33F2" w14:textId="77777777" w:rsidR="008816CF" w:rsidRPr="00E27DBB" w:rsidRDefault="008816CF" w:rsidP="00C335ED">
                              <w:pPr>
                                <w:pStyle w:val="NormalWeb"/>
                                <w:spacing w:before="0" w:after="0" w:afterAutospacing="0"/>
                                <w:jc w:val="center"/>
                                <w:rPr>
                                  <w:rFonts w:ascii="Arial" w:hAnsi="Arial" w:cs="Arial"/>
                                  <w:sz w:val="20"/>
                                  <w:szCs w:val="20"/>
                                </w:rPr>
                              </w:pPr>
                              <w:r w:rsidRPr="00E27DBB">
                                <w:rPr>
                                  <w:rFonts w:ascii="Arial" w:hAnsi="Arial" w:cs="Arial"/>
                                  <w:color w:val="000000" w:themeColor="text1"/>
                                  <w:kern w:val="24"/>
                                  <w:sz w:val="20"/>
                                  <w:szCs w:val="20"/>
                                </w:rPr>
                                <w:t>DFAT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Rounded Rectangle 23"/>
                        <wps:cNvSpPr/>
                        <wps:spPr>
                          <a:xfrm>
                            <a:off x="2727409" y="0"/>
                            <a:ext cx="1668162" cy="877330"/>
                          </a:xfrm>
                          <a:prstGeom prst="roundRect">
                            <a:avLst/>
                          </a:prstGeom>
                          <a:grpFill/>
                        </wps:spPr>
                        <wps:style>
                          <a:lnRef idx="2">
                            <a:schemeClr val="accent1">
                              <a:shade val="50000"/>
                            </a:schemeClr>
                          </a:lnRef>
                          <a:fillRef idx="1">
                            <a:schemeClr val="accent1"/>
                          </a:fillRef>
                          <a:effectRef idx="0">
                            <a:schemeClr val="accent1"/>
                          </a:effectRef>
                          <a:fontRef idx="minor">
                            <a:schemeClr val="lt1"/>
                          </a:fontRef>
                        </wps:style>
                        <wps:txbx>
                          <w:txbxContent>
                            <w:p w14:paraId="0A846288" w14:textId="77777777" w:rsidR="008816CF" w:rsidRPr="00E27DBB" w:rsidRDefault="008816CF" w:rsidP="00C335ED">
                              <w:pPr>
                                <w:pStyle w:val="NormalWeb"/>
                                <w:spacing w:before="0" w:after="0" w:afterAutospacing="0"/>
                                <w:jc w:val="center"/>
                                <w:rPr>
                                  <w:rFonts w:ascii="Arial" w:hAnsi="Arial" w:cs="Arial"/>
                                  <w:sz w:val="20"/>
                                  <w:szCs w:val="20"/>
                                </w:rPr>
                              </w:pPr>
                              <w:r w:rsidRPr="00E27DBB">
                                <w:rPr>
                                  <w:rFonts w:ascii="Arial" w:hAnsi="Arial" w:cs="Arial"/>
                                  <w:color w:val="000000" w:themeColor="text1"/>
                                  <w:kern w:val="24"/>
                                  <w:sz w:val="20"/>
                                  <w:szCs w:val="20"/>
                                </w:rPr>
                                <w:t>Secretary MEHR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Rounded Rectangle 24"/>
                        <wps:cNvSpPr/>
                        <wps:spPr>
                          <a:xfrm rot="5400000">
                            <a:off x="4129974" y="564904"/>
                            <a:ext cx="2156451" cy="1026646"/>
                          </a:xfrm>
                          <a:prstGeom prst="roundRect">
                            <a:avLst/>
                          </a:prstGeom>
                          <a:grpFill/>
                        </wps:spPr>
                        <wps:style>
                          <a:lnRef idx="2">
                            <a:schemeClr val="accent1">
                              <a:shade val="50000"/>
                            </a:schemeClr>
                          </a:lnRef>
                          <a:fillRef idx="1">
                            <a:schemeClr val="accent1"/>
                          </a:fillRef>
                          <a:effectRef idx="0">
                            <a:schemeClr val="accent1"/>
                          </a:effectRef>
                          <a:fontRef idx="minor">
                            <a:schemeClr val="lt1"/>
                          </a:fontRef>
                        </wps:style>
                        <wps:txbx>
                          <w:txbxContent>
                            <w:p w14:paraId="7A9E4F78" w14:textId="77777777" w:rsidR="008816CF" w:rsidRPr="00E27DBB" w:rsidRDefault="008816CF" w:rsidP="00C335ED">
                              <w:pPr>
                                <w:pStyle w:val="NormalWeb"/>
                                <w:spacing w:before="0" w:after="0" w:afterAutospacing="0"/>
                                <w:jc w:val="center"/>
                                <w:rPr>
                                  <w:rFonts w:ascii="Arial" w:hAnsi="Arial" w:cs="Arial"/>
                                  <w:sz w:val="20"/>
                                  <w:szCs w:val="20"/>
                                </w:rPr>
                              </w:pPr>
                              <w:r w:rsidRPr="00E27DBB">
                                <w:rPr>
                                  <w:rFonts w:ascii="Arial" w:hAnsi="Arial" w:cs="Arial"/>
                                  <w:color w:val="000000" w:themeColor="text1"/>
                                  <w:kern w:val="24"/>
                                  <w:sz w:val="20"/>
                                  <w:szCs w:val="20"/>
                                </w:rPr>
                                <w:t>KIT</w:t>
                              </w:r>
                            </w:p>
                            <w:p w14:paraId="265BB085" w14:textId="77777777" w:rsidR="008816CF" w:rsidRPr="00E27DBB" w:rsidRDefault="008816CF" w:rsidP="00C335ED">
                              <w:pPr>
                                <w:pStyle w:val="NormalWeb"/>
                                <w:spacing w:before="0" w:after="0" w:afterAutospacing="0"/>
                                <w:jc w:val="center"/>
                                <w:rPr>
                                  <w:rFonts w:ascii="Arial" w:hAnsi="Arial" w:cs="Arial"/>
                                  <w:sz w:val="20"/>
                                  <w:szCs w:val="20"/>
                                </w:rPr>
                              </w:pPr>
                              <w:r>
                                <w:rPr>
                                  <w:rFonts w:ascii="Arial" w:hAnsi="Arial" w:cs="Arial"/>
                                  <w:color w:val="000000" w:themeColor="text1"/>
                                  <w:kern w:val="24"/>
                                  <w:sz w:val="20"/>
                                  <w:szCs w:val="20"/>
                                </w:rPr>
                                <w:t>Advisory</w:t>
                              </w:r>
                              <w:r w:rsidRPr="00E27DBB">
                                <w:rPr>
                                  <w:rFonts w:ascii="Arial" w:hAnsi="Arial" w:cs="Arial"/>
                                  <w:color w:val="000000" w:themeColor="text1"/>
                                  <w:kern w:val="24"/>
                                  <w:sz w:val="20"/>
                                  <w:szCs w:val="20"/>
                                </w:rPr>
                                <w:t xml:space="preserve"> Council</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25" name="Rounded Rectangle 25"/>
                        <wps:cNvSpPr/>
                        <wps:spPr>
                          <a:xfrm>
                            <a:off x="1358900" y="642747"/>
                            <a:ext cx="1668162" cy="877330"/>
                          </a:xfrm>
                          <a:prstGeom prst="roundRect">
                            <a:avLst/>
                          </a:prstGeom>
                          <a:grpFill/>
                        </wps:spPr>
                        <wps:style>
                          <a:lnRef idx="2">
                            <a:schemeClr val="accent1">
                              <a:shade val="50000"/>
                            </a:schemeClr>
                          </a:lnRef>
                          <a:fillRef idx="1">
                            <a:schemeClr val="accent1"/>
                          </a:fillRef>
                          <a:effectRef idx="0">
                            <a:schemeClr val="accent1"/>
                          </a:effectRef>
                          <a:fontRef idx="minor">
                            <a:schemeClr val="lt1"/>
                          </a:fontRef>
                        </wps:style>
                        <wps:txbx>
                          <w:txbxContent>
                            <w:p w14:paraId="726AAA45" w14:textId="77777777" w:rsidR="008816CF" w:rsidRDefault="008816CF" w:rsidP="00C335ED">
                              <w:pPr>
                                <w:pStyle w:val="NormalWeb"/>
                                <w:spacing w:before="0" w:after="0" w:afterAutospacing="0"/>
                                <w:jc w:val="center"/>
                                <w:rPr>
                                  <w:rFonts w:ascii="Arial" w:hAnsi="Arial" w:cs="Arial"/>
                                  <w:color w:val="000000" w:themeColor="text1"/>
                                  <w:kern w:val="24"/>
                                  <w:sz w:val="20"/>
                                  <w:szCs w:val="20"/>
                                </w:rPr>
                              </w:pPr>
                              <w:r w:rsidRPr="00E27DBB">
                                <w:rPr>
                                  <w:rFonts w:ascii="Arial" w:hAnsi="Arial" w:cs="Arial"/>
                                  <w:color w:val="000000" w:themeColor="text1"/>
                                  <w:kern w:val="24"/>
                                  <w:sz w:val="20"/>
                                  <w:szCs w:val="20"/>
                                </w:rPr>
                                <w:t xml:space="preserve">Strategic Program </w:t>
                              </w:r>
                              <w:r>
                                <w:rPr>
                                  <w:rFonts w:ascii="Arial" w:hAnsi="Arial" w:cs="Arial"/>
                                  <w:color w:val="000000" w:themeColor="text1"/>
                                  <w:kern w:val="24"/>
                                  <w:sz w:val="20"/>
                                  <w:szCs w:val="20"/>
                                </w:rPr>
                                <w:t>Advisory</w:t>
                              </w:r>
                              <w:r w:rsidRPr="00E27DBB">
                                <w:rPr>
                                  <w:rFonts w:ascii="Arial" w:hAnsi="Arial" w:cs="Arial"/>
                                  <w:color w:val="000000" w:themeColor="text1"/>
                                  <w:kern w:val="24"/>
                                  <w:sz w:val="20"/>
                                  <w:szCs w:val="20"/>
                                </w:rPr>
                                <w:t xml:space="preserve"> Group</w:t>
                              </w:r>
                            </w:p>
                            <w:p w14:paraId="01130E09" w14:textId="77777777" w:rsidR="008816CF" w:rsidRPr="00E27DBB" w:rsidRDefault="008816CF" w:rsidP="00C335ED">
                              <w:pPr>
                                <w:pStyle w:val="NormalWeb"/>
                                <w:spacing w:before="0" w:after="0" w:afterAutospacing="0"/>
                                <w:jc w:val="center"/>
                                <w:rPr>
                                  <w:rFonts w:ascii="Arial" w:hAnsi="Arial" w:cs="Arial"/>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Straight Connector 26"/>
                        <wps:cNvCnPr/>
                        <wps:spPr>
                          <a:xfrm>
                            <a:off x="1668162" y="1717785"/>
                            <a:ext cx="1071604" cy="0"/>
                          </a:xfrm>
                          <a:prstGeom prst="line">
                            <a:avLst/>
                          </a:prstGeom>
                          <a:grpFill/>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a:cxnSpLocks/>
                        </wps:cNvCnPr>
                        <wps:spPr>
                          <a:xfrm flipV="1">
                            <a:off x="827903" y="893805"/>
                            <a:ext cx="0" cy="372958"/>
                          </a:xfrm>
                          <a:prstGeom prst="line">
                            <a:avLst/>
                          </a:prstGeom>
                          <a:grpFill/>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a:cxnSpLocks/>
                        </wps:cNvCnPr>
                        <wps:spPr>
                          <a:xfrm flipV="1">
                            <a:off x="3637006" y="893805"/>
                            <a:ext cx="0" cy="372958"/>
                          </a:xfrm>
                          <a:prstGeom prst="line">
                            <a:avLst/>
                          </a:prstGeom>
                          <a:grpFill/>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a:cxnSpLocks/>
                        </wps:cNvCnPr>
                        <wps:spPr>
                          <a:xfrm>
                            <a:off x="4393851" y="1703564"/>
                            <a:ext cx="301026" cy="0"/>
                          </a:xfrm>
                          <a:prstGeom prst="line">
                            <a:avLst/>
                          </a:prstGeom>
                          <a:grpFill/>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a:cxnSpLocks/>
                        </wps:cNvCnPr>
                        <wps:spPr>
                          <a:xfrm>
                            <a:off x="4393851" y="509077"/>
                            <a:ext cx="301026" cy="0"/>
                          </a:xfrm>
                          <a:prstGeom prst="line">
                            <a:avLst/>
                          </a:prstGeom>
                          <a:grpFill/>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6B918E3" id="Group 21" o:spid="_x0000_s1027" style="position:absolute;margin-left:12pt;margin-top:15.2pt;width:375.05pt;height:114.55pt;z-index:251660288;mso-width-relative:margin;mso-height-relative:margin" coordsize="57215,21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">
                <v:roundrect id="Rounded Rectangle 20" o:spid="_x0000_s1028" style="position:absolute;left:27397;top:12791;width:16682;height:87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" filled="f" strokecolor="#243f60 [1604]" strokeweight="2pt">
                  <v:textbox>
                    <w:txbxContent>
                      <w:p w14:paraId="7398C2B3" w14:textId="77777777" w:rsidR="008816CF" w:rsidRPr="00E27DBB" w:rsidRDefault="008816CF" w:rsidP="00C335ED">
                        <w:pPr>
                          <w:pStyle w:val="NormalWeb"/>
                          <w:spacing w:before="0" w:after="0" w:afterAutospacing="0"/>
                          <w:jc w:val="center"/>
                          <w:rPr>
                            <w:rFonts w:ascii="Arial" w:hAnsi="Arial" w:cs="Arial"/>
                            <w:sz w:val="20"/>
                            <w:szCs w:val="20"/>
                          </w:rPr>
                        </w:pPr>
                        <w:r w:rsidRPr="00E27DBB">
                          <w:rPr>
                            <w:rFonts w:ascii="Arial" w:hAnsi="Arial" w:cs="Arial"/>
                            <w:color w:val="000000" w:themeColor="text1"/>
                            <w:kern w:val="24"/>
                            <w:sz w:val="20"/>
                            <w:szCs w:val="20"/>
                          </w:rPr>
                          <w:t xml:space="preserve">Team Leader and </w:t>
                        </w:r>
                      </w:p>
                      <w:p w14:paraId="4672552C" w14:textId="77777777" w:rsidR="008816CF" w:rsidRPr="00E27DBB" w:rsidRDefault="008816CF" w:rsidP="00C335ED">
                        <w:pPr>
                          <w:pStyle w:val="NormalWeb"/>
                          <w:spacing w:before="0" w:after="0" w:afterAutospacing="0"/>
                          <w:jc w:val="center"/>
                          <w:rPr>
                            <w:rFonts w:ascii="Arial" w:hAnsi="Arial" w:cs="Arial"/>
                            <w:sz w:val="20"/>
                            <w:szCs w:val="20"/>
                          </w:rPr>
                        </w:pPr>
                        <w:r w:rsidRPr="00E27DBB">
                          <w:rPr>
                            <w:rFonts w:ascii="Arial" w:hAnsi="Arial" w:cs="Arial"/>
                            <w:color w:val="000000" w:themeColor="text1"/>
                            <w:kern w:val="24"/>
                            <w:sz w:val="20"/>
                            <w:szCs w:val="20"/>
                          </w:rPr>
                          <w:t>Director KIT</w:t>
                        </w:r>
                      </w:p>
                    </w:txbxContent>
                  </v:textbox>
                </v:roundrect>
                <v:roundrect id="Rounded Rectangle 21" o:spid="_x0000_s1029" style="position:absolute;top:12791;width:16681;height:87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" filled="f" strokecolor="#243f60 [1604]" strokeweight="2pt">
                  <v:textbox>
                    <w:txbxContent>
                      <w:p w14:paraId="77C7777A" w14:textId="77777777" w:rsidR="008816CF" w:rsidRPr="00E27DBB" w:rsidRDefault="008816CF" w:rsidP="00C335ED">
                        <w:pPr>
                          <w:pStyle w:val="NormalWeb"/>
                          <w:spacing w:before="0" w:after="0" w:afterAutospacing="0"/>
                          <w:jc w:val="center"/>
                          <w:rPr>
                            <w:rFonts w:ascii="Arial" w:hAnsi="Arial" w:cs="Arial"/>
                            <w:sz w:val="20"/>
                            <w:szCs w:val="20"/>
                          </w:rPr>
                        </w:pPr>
                        <w:r w:rsidRPr="00E27DBB">
                          <w:rPr>
                            <w:rFonts w:ascii="Arial" w:hAnsi="Arial" w:cs="Arial"/>
                            <w:color w:val="000000" w:themeColor="text1"/>
                            <w:kern w:val="24"/>
                            <w:sz w:val="20"/>
                            <w:szCs w:val="20"/>
                          </w:rPr>
                          <w:t>Managing Contractor</w:t>
                        </w:r>
                      </w:p>
                      <w:p w14:paraId="3A3F7523" w14:textId="77777777" w:rsidR="008816CF" w:rsidRPr="00E27DBB" w:rsidRDefault="008816CF" w:rsidP="00C335ED">
                        <w:pPr>
                          <w:pStyle w:val="NormalWeb"/>
                          <w:spacing w:before="0" w:after="0" w:afterAutospacing="0"/>
                          <w:jc w:val="center"/>
                          <w:rPr>
                            <w:rFonts w:ascii="Arial" w:hAnsi="Arial" w:cs="Arial"/>
                            <w:sz w:val="20"/>
                            <w:szCs w:val="20"/>
                          </w:rPr>
                        </w:pPr>
                        <w:r w:rsidRPr="00E27DBB">
                          <w:rPr>
                            <w:rFonts w:ascii="Arial" w:hAnsi="Arial" w:cs="Arial"/>
                            <w:color w:val="000000" w:themeColor="text1"/>
                            <w:kern w:val="24"/>
                            <w:sz w:val="20"/>
                            <w:szCs w:val="20"/>
                          </w:rPr>
                          <w:t>Project Director</w:t>
                        </w:r>
                        <w:r w:rsidRPr="00E27DBB">
                          <w:rPr>
                            <w:rFonts w:ascii="Arial" w:hAnsi="Arial" w:cs="Arial"/>
                            <w:color w:val="000000" w:themeColor="text1"/>
                            <w:kern w:val="24"/>
                            <w:sz w:val="20"/>
                            <w:szCs w:val="20"/>
                          </w:rPr>
                          <w:tab/>
                        </w:r>
                      </w:p>
                    </w:txbxContent>
                  </v:textbox>
                </v:roundrect>
                <v:roundrect id="Rounded Rectangle 22" o:spid="_x0000_s1030" style="position:absolute;left:494;top:63;width:16681;height:87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" filled="f" strokecolor="#243f60 [1604]" strokeweight="2pt">
                  <v:textbox>
                    <w:txbxContent>
                      <w:p w14:paraId="7FFA33F2" w14:textId="77777777" w:rsidR="008816CF" w:rsidRPr="00E27DBB" w:rsidRDefault="008816CF" w:rsidP="00C335ED">
                        <w:pPr>
                          <w:pStyle w:val="NormalWeb"/>
                          <w:spacing w:before="0" w:after="0" w:afterAutospacing="0"/>
                          <w:jc w:val="center"/>
                          <w:rPr>
                            <w:rFonts w:ascii="Arial" w:hAnsi="Arial" w:cs="Arial"/>
                            <w:sz w:val="20"/>
                            <w:szCs w:val="20"/>
                          </w:rPr>
                        </w:pPr>
                        <w:r w:rsidRPr="00E27DBB">
                          <w:rPr>
                            <w:rFonts w:ascii="Arial" w:hAnsi="Arial" w:cs="Arial"/>
                            <w:color w:val="000000" w:themeColor="text1"/>
                            <w:kern w:val="24"/>
                            <w:sz w:val="20"/>
                            <w:szCs w:val="20"/>
                          </w:rPr>
                          <w:t>DFAT</w:t>
                        </w:r>
                      </w:p>
                    </w:txbxContent>
                  </v:textbox>
                </v:roundrect>
                <v:roundrect id="Rounded Rectangle 23" o:spid="_x0000_s1031" style="position:absolute;left:27274;width:16681;height:87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" filled="f" strokecolor="#243f60 [1604]" strokeweight="2pt">
                  <v:textbox>
                    <w:txbxContent>
                      <w:p w14:paraId="0A846288" w14:textId="77777777" w:rsidR="008816CF" w:rsidRPr="00E27DBB" w:rsidRDefault="008816CF" w:rsidP="00C335ED">
                        <w:pPr>
                          <w:pStyle w:val="NormalWeb"/>
                          <w:spacing w:before="0" w:after="0" w:afterAutospacing="0"/>
                          <w:jc w:val="center"/>
                          <w:rPr>
                            <w:rFonts w:ascii="Arial" w:hAnsi="Arial" w:cs="Arial"/>
                            <w:sz w:val="20"/>
                            <w:szCs w:val="20"/>
                          </w:rPr>
                        </w:pPr>
                        <w:r w:rsidRPr="00E27DBB">
                          <w:rPr>
                            <w:rFonts w:ascii="Arial" w:hAnsi="Arial" w:cs="Arial"/>
                            <w:color w:val="000000" w:themeColor="text1"/>
                            <w:kern w:val="24"/>
                            <w:sz w:val="20"/>
                            <w:szCs w:val="20"/>
                          </w:rPr>
                          <w:t>Secretary MEHR</w:t>
                        </w:r>
                      </w:p>
                    </w:txbxContent>
                  </v:textbox>
                </v:roundrect>
                <v:roundrect id="Rounded Rectangle 24" o:spid="_x0000_s1032" style="position:absolute;left:41300;top:5648;width:21564;height:10267;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" filled="f" strokecolor="#243f60 [1604]" strokeweight="2pt">
                  <v:textbox style="layout-flow:vertical;mso-layout-flow-alt:bottom-to-top">
                    <w:txbxContent>
                      <w:p w14:paraId="7A9E4F78" w14:textId="77777777" w:rsidR="008816CF" w:rsidRPr="00E27DBB" w:rsidRDefault="008816CF" w:rsidP="00C335ED">
                        <w:pPr>
                          <w:pStyle w:val="NormalWeb"/>
                          <w:spacing w:before="0" w:after="0" w:afterAutospacing="0"/>
                          <w:jc w:val="center"/>
                          <w:rPr>
                            <w:rFonts w:ascii="Arial" w:hAnsi="Arial" w:cs="Arial"/>
                            <w:sz w:val="20"/>
                            <w:szCs w:val="20"/>
                          </w:rPr>
                        </w:pPr>
                        <w:r w:rsidRPr="00E27DBB">
                          <w:rPr>
                            <w:rFonts w:ascii="Arial" w:hAnsi="Arial" w:cs="Arial"/>
                            <w:color w:val="000000" w:themeColor="text1"/>
                            <w:kern w:val="24"/>
                            <w:sz w:val="20"/>
                            <w:szCs w:val="20"/>
                          </w:rPr>
                          <w:t>KIT</w:t>
                        </w:r>
                      </w:p>
                      <w:p w14:paraId="265BB085" w14:textId="77777777" w:rsidR="008816CF" w:rsidRPr="00E27DBB" w:rsidRDefault="008816CF" w:rsidP="00C335ED">
                        <w:pPr>
                          <w:pStyle w:val="NormalWeb"/>
                          <w:spacing w:before="0" w:after="0" w:afterAutospacing="0"/>
                          <w:jc w:val="center"/>
                          <w:rPr>
                            <w:rFonts w:ascii="Arial" w:hAnsi="Arial" w:cs="Arial"/>
                            <w:sz w:val="20"/>
                            <w:szCs w:val="20"/>
                          </w:rPr>
                        </w:pPr>
                        <w:r>
                          <w:rPr>
                            <w:rFonts w:ascii="Arial" w:hAnsi="Arial" w:cs="Arial"/>
                            <w:color w:val="000000" w:themeColor="text1"/>
                            <w:kern w:val="24"/>
                            <w:sz w:val="20"/>
                            <w:szCs w:val="20"/>
                          </w:rPr>
                          <w:t>Advisory</w:t>
                        </w:r>
                        <w:r w:rsidRPr="00E27DBB">
                          <w:rPr>
                            <w:rFonts w:ascii="Arial" w:hAnsi="Arial" w:cs="Arial"/>
                            <w:color w:val="000000" w:themeColor="text1"/>
                            <w:kern w:val="24"/>
                            <w:sz w:val="20"/>
                            <w:szCs w:val="20"/>
                          </w:rPr>
                          <w:t xml:space="preserve"> Council</w:t>
                        </w:r>
                      </w:p>
                    </w:txbxContent>
                  </v:textbox>
                </v:roundrect>
                <v:roundrect id="Rounded Rectangle 25" o:spid="_x0000_s1033" style="position:absolute;left:13589;top:6427;width:16681;height:87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" filled="f" strokecolor="#243f60 [1604]" strokeweight="2pt">
                  <v:textbox>
                    <w:txbxContent>
                      <w:p w14:paraId="726AAA45" w14:textId="77777777" w:rsidR="008816CF" w:rsidRDefault="008816CF" w:rsidP="00C335ED">
                        <w:pPr>
                          <w:pStyle w:val="NormalWeb"/>
                          <w:spacing w:before="0" w:after="0" w:afterAutospacing="0"/>
                          <w:jc w:val="center"/>
                          <w:rPr>
                            <w:rFonts w:ascii="Arial" w:hAnsi="Arial" w:cs="Arial"/>
                            <w:color w:val="000000" w:themeColor="text1"/>
                            <w:kern w:val="24"/>
                            <w:sz w:val="20"/>
                            <w:szCs w:val="20"/>
                          </w:rPr>
                        </w:pPr>
                        <w:r w:rsidRPr="00E27DBB">
                          <w:rPr>
                            <w:rFonts w:ascii="Arial" w:hAnsi="Arial" w:cs="Arial"/>
                            <w:color w:val="000000" w:themeColor="text1"/>
                            <w:kern w:val="24"/>
                            <w:sz w:val="20"/>
                            <w:szCs w:val="20"/>
                          </w:rPr>
                          <w:t xml:space="preserve">Strategic Program </w:t>
                        </w:r>
                        <w:r>
                          <w:rPr>
                            <w:rFonts w:ascii="Arial" w:hAnsi="Arial" w:cs="Arial"/>
                            <w:color w:val="000000" w:themeColor="text1"/>
                            <w:kern w:val="24"/>
                            <w:sz w:val="20"/>
                            <w:szCs w:val="20"/>
                          </w:rPr>
                          <w:t>Advisory</w:t>
                        </w:r>
                        <w:r w:rsidRPr="00E27DBB">
                          <w:rPr>
                            <w:rFonts w:ascii="Arial" w:hAnsi="Arial" w:cs="Arial"/>
                            <w:color w:val="000000" w:themeColor="text1"/>
                            <w:kern w:val="24"/>
                            <w:sz w:val="20"/>
                            <w:szCs w:val="20"/>
                          </w:rPr>
                          <w:t xml:space="preserve"> Group</w:t>
                        </w:r>
                      </w:p>
                      <w:p w14:paraId="01130E09" w14:textId="77777777" w:rsidR="008816CF" w:rsidRPr="00E27DBB" w:rsidRDefault="008816CF" w:rsidP="00C335ED">
                        <w:pPr>
                          <w:pStyle w:val="NormalWeb"/>
                          <w:spacing w:before="0" w:after="0" w:afterAutospacing="0"/>
                          <w:jc w:val="center"/>
                          <w:rPr>
                            <w:rFonts w:ascii="Arial" w:hAnsi="Arial" w:cs="Arial"/>
                            <w:sz w:val="20"/>
                            <w:szCs w:val="20"/>
                          </w:rPr>
                        </w:pPr>
                      </w:p>
                    </w:txbxContent>
                  </v:textbox>
                </v:roundrect>
                <v:line id="Straight Connector 26" o:spid="_x0000_s1034" style="position:absolute;visibility:visible;mso-wrap-style:square" from="16681,17177" to="27397,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" strokecolor="#4579b8 [3044]"/>
                <v:line id="Straight Connector 27" o:spid="_x0000_s1035" style="position:absolute;flip:y;visibility:visible;mso-wrap-style:square" from="8279,8938" to="8279,1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" strokecolor="#4579b8 [3044]">
                  <o:lock v:ext="edit" shapetype="f"/>
                </v:line>
                <v:line id="Straight Connector 28" o:spid="_x0000_s1036" style="position:absolute;flip:y;visibility:visible;mso-wrap-style:square" from="36370,8938" to="36370,1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" strokecolor="#4579b8 [3044]">
                  <o:lock v:ext="edit" shapetype="f"/>
                </v:line>
                <v:line id="Straight Connector 29" o:spid="_x0000_s1037" style="position:absolute;visibility:visible;mso-wrap-style:square" from="43938,17035" to="46948,17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" strokecolor="#4579b8 [3044]">
                  <o:lock v:ext="edit" shapetype="f"/>
                </v:line>
                <v:line id="Straight Connector 30" o:spid="_x0000_s1038" style="position:absolute;visibility:visible;mso-wrap-style:square" from="43938,5090" to="46948,5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" strokecolor="#4579b8 [3044]">
                  <o:lock v:ext="edit" shapetype="f"/>
                </v:line>
              </v:group>
            </w:pict>
          </mc:Fallback>
        </mc:AlternateContent>
      </w:r>
      <w:r>
        <w:t>: KIT Governance Structure</w:t>
      </w:r>
    </w:p>
    <w:p w14:paraId="4A9405CC" w14:textId="4D3C06FF" w:rsidR="00C335ED" w:rsidRDefault="00C335ED" w:rsidP="004C6C1F">
      <w:pPr>
        <w:spacing w:after="160" w:line="259" w:lineRule="auto"/>
        <w:rPr>
          <w:rFonts w:cs="Arial"/>
          <w:color w:val="000000" w:themeColor="text1"/>
          <w:sz w:val="20"/>
          <w:szCs w:val="20"/>
          <w:lang w:eastAsia="en-AU"/>
        </w:rPr>
      </w:pPr>
    </w:p>
    <w:p w14:paraId="12E546CC" w14:textId="3A72BC72" w:rsidR="00C335ED" w:rsidRDefault="00C335ED" w:rsidP="004C6C1F">
      <w:pPr>
        <w:spacing w:after="160" w:line="259" w:lineRule="auto"/>
        <w:rPr>
          <w:rFonts w:cs="Arial"/>
          <w:color w:val="000000" w:themeColor="text1"/>
          <w:sz w:val="20"/>
          <w:szCs w:val="20"/>
          <w:lang w:eastAsia="en-AU"/>
        </w:rPr>
      </w:pPr>
    </w:p>
    <w:p w14:paraId="5EB446CA" w14:textId="77777777" w:rsidR="00C335ED" w:rsidRDefault="00C335ED" w:rsidP="004C6C1F">
      <w:pPr>
        <w:spacing w:after="160" w:line="259" w:lineRule="auto"/>
        <w:rPr>
          <w:rFonts w:cs="Arial"/>
          <w:color w:val="000000" w:themeColor="text1"/>
          <w:sz w:val="20"/>
          <w:szCs w:val="20"/>
          <w:lang w:eastAsia="en-AU"/>
        </w:rPr>
      </w:pPr>
    </w:p>
    <w:p w14:paraId="7CDEC6A7" w14:textId="5480D266" w:rsidR="00C335ED" w:rsidRDefault="00C335ED" w:rsidP="004C6C1F">
      <w:pPr>
        <w:spacing w:after="160" w:line="259" w:lineRule="auto"/>
        <w:rPr>
          <w:rFonts w:cs="Arial"/>
          <w:color w:val="000000" w:themeColor="text1"/>
          <w:sz w:val="20"/>
          <w:szCs w:val="20"/>
          <w:lang w:eastAsia="en-AU"/>
        </w:rPr>
      </w:pPr>
    </w:p>
    <w:p w14:paraId="28B99860" w14:textId="2BF77C86" w:rsidR="00C335ED" w:rsidRDefault="00C335ED" w:rsidP="004C6C1F">
      <w:pPr>
        <w:spacing w:after="160" w:line="259" w:lineRule="auto"/>
        <w:rPr>
          <w:rFonts w:cs="Arial"/>
          <w:color w:val="000000" w:themeColor="text1"/>
          <w:sz w:val="20"/>
          <w:szCs w:val="20"/>
          <w:lang w:eastAsia="en-AU"/>
        </w:rPr>
      </w:pPr>
    </w:p>
    <w:p w14:paraId="644D3484" w14:textId="2C144982" w:rsidR="00C335ED" w:rsidRDefault="00C335ED" w:rsidP="004C6C1F">
      <w:pPr>
        <w:spacing w:after="160" w:line="259" w:lineRule="auto"/>
        <w:rPr>
          <w:rFonts w:cs="Arial"/>
          <w:color w:val="000000" w:themeColor="text1"/>
          <w:sz w:val="20"/>
          <w:szCs w:val="20"/>
          <w:lang w:eastAsia="en-AU"/>
        </w:rPr>
      </w:pPr>
    </w:p>
    <w:p w14:paraId="5B51FE61" w14:textId="20D14081" w:rsidR="00C335ED" w:rsidRPr="00341133" w:rsidRDefault="00341133" w:rsidP="004C6C1F">
      <w:pPr>
        <w:spacing w:after="160" w:line="259" w:lineRule="auto"/>
        <w:rPr>
          <w:rFonts w:asciiTheme="minorHAnsi" w:hAnsiTheme="minorHAnsi"/>
          <w:sz w:val="20"/>
          <w:szCs w:val="20"/>
          <w:lang w:val="en-AU"/>
        </w:rPr>
      </w:pPr>
      <w:r w:rsidRPr="004C6C1F">
        <w:rPr>
          <w:rFonts w:ascii="Calibri" w:hAnsi="Calibri" w:cs="Calibri"/>
          <w:b/>
          <w:iCs/>
          <w:sz w:val="20"/>
          <w:szCs w:val="20"/>
        </w:rPr>
        <w:t>The governance arrangement</w:t>
      </w:r>
      <w:r>
        <w:rPr>
          <w:rFonts w:ascii="Calibri" w:hAnsi="Calibri" w:cs="Calibri"/>
          <w:b/>
          <w:iCs/>
          <w:sz w:val="20"/>
          <w:szCs w:val="20"/>
        </w:rPr>
        <w:t>s</w:t>
      </w:r>
      <w:r w:rsidRPr="004C6C1F">
        <w:rPr>
          <w:rFonts w:ascii="Calibri" w:hAnsi="Calibri" w:cs="Calibri"/>
          <w:b/>
          <w:iCs/>
          <w:sz w:val="20"/>
          <w:szCs w:val="20"/>
        </w:rPr>
        <w:t xml:space="preserve"> of the Kiribati Facility </w:t>
      </w:r>
      <w:r>
        <w:rPr>
          <w:rFonts w:ascii="Calibri" w:hAnsi="Calibri" w:cs="Calibri"/>
          <w:b/>
          <w:iCs/>
          <w:sz w:val="20"/>
          <w:szCs w:val="20"/>
        </w:rPr>
        <w:t>need to be adjusted to ensure better</w:t>
      </w:r>
      <w:r w:rsidRPr="004C6C1F">
        <w:rPr>
          <w:rFonts w:ascii="Calibri" w:hAnsi="Calibri" w:cs="Calibri"/>
          <w:b/>
          <w:iCs/>
          <w:sz w:val="20"/>
          <w:szCs w:val="20"/>
        </w:rPr>
        <w:t xml:space="preserve"> align</w:t>
      </w:r>
      <w:r>
        <w:rPr>
          <w:rFonts w:ascii="Calibri" w:hAnsi="Calibri" w:cs="Calibri"/>
          <w:b/>
          <w:iCs/>
          <w:sz w:val="20"/>
          <w:szCs w:val="20"/>
        </w:rPr>
        <w:t xml:space="preserve">ment </w:t>
      </w:r>
      <w:r w:rsidRPr="004C6C1F">
        <w:rPr>
          <w:rFonts w:ascii="Calibri" w:hAnsi="Calibri" w:cs="Calibri"/>
          <w:b/>
          <w:iCs/>
          <w:sz w:val="20"/>
          <w:szCs w:val="20"/>
        </w:rPr>
        <w:t xml:space="preserve">and </w:t>
      </w:r>
      <w:r>
        <w:rPr>
          <w:rFonts w:ascii="Calibri" w:hAnsi="Calibri" w:cs="Calibri"/>
          <w:b/>
          <w:iCs/>
          <w:sz w:val="20"/>
          <w:szCs w:val="20"/>
        </w:rPr>
        <w:t>support to</w:t>
      </w:r>
      <w:r w:rsidRPr="004C6C1F">
        <w:rPr>
          <w:rFonts w:ascii="Calibri" w:hAnsi="Calibri" w:cs="Calibri"/>
          <w:b/>
          <w:iCs/>
          <w:sz w:val="20"/>
          <w:szCs w:val="20"/>
        </w:rPr>
        <w:t xml:space="preserve"> the labour mobility mandate of the Ministry for Employment and Human Resource</w:t>
      </w:r>
      <w:r>
        <w:rPr>
          <w:rFonts w:cs="Arial"/>
          <w:color w:val="000000" w:themeColor="text1"/>
          <w:sz w:val="20"/>
          <w:szCs w:val="20"/>
          <w:lang w:eastAsia="en-AU"/>
        </w:rPr>
        <w:t xml:space="preserve">. </w:t>
      </w:r>
      <w:r w:rsidRPr="00C335ED">
        <w:rPr>
          <w:rFonts w:ascii="Calibri" w:hAnsi="Calibri" w:cs="Calibri"/>
          <w:iCs/>
          <w:sz w:val="20"/>
          <w:szCs w:val="20"/>
        </w:rPr>
        <w:t xml:space="preserve">As </w:t>
      </w:r>
      <w:r w:rsidR="00724196">
        <w:rPr>
          <w:rFonts w:ascii="Calibri" w:hAnsi="Calibri" w:cs="Calibri"/>
          <w:iCs/>
          <w:sz w:val="20"/>
          <w:szCs w:val="20"/>
        </w:rPr>
        <w:t>discussed above</w:t>
      </w:r>
      <w:r w:rsidRPr="00C335ED">
        <w:rPr>
          <w:rFonts w:ascii="Calibri" w:hAnsi="Calibri" w:cs="Calibri"/>
          <w:iCs/>
          <w:sz w:val="20"/>
          <w:szCs w:val="20"/>
        </w:rPr>
        <w:t xml:space="preserve"> the governance structure has been established to ensure close consultation with the MEHR and employers</w:t>
      </w:r>
      <w:r>
        <w:rPr>
          <w:rFonts w:ascii="Calibri" w:hAnsi="Calibri" w:cs="Calibri"/>
          <w:iCs/>
          <w:sz w:val="20"/>
          <w:szCs w:val="20"/>
        </w:rPr>
        <w:t>, and now that it is fully functional and meeting as planned interviews suggest that it is being both accountable and transparent</w:t>
      </w:r>
      <w:r w:rsidRPr="00C335ED">
        <w:rPr>
          <w:rFonts w:ascii="Calibri" w:hAnsi="Calibri" w:cs="Calibri"/>
          <w:iCs/>
          <w:sz w:val="20"/>
          <w:szCs w:val="20"/>
        </w:rPr>
        <w:t xml:space="preserve">. </w:t>
      </w:r>
      <w:r w:rsidRPr="00341133">
        <w:rPr>
          <w:rFonts w:asciiTheme="minorHAnsi" w:hAnsiTheme="minorHAnsi"/>
          <w:sz w:val="20"/>
          <w:szCs w:val="20"/>
          <w:lang w:val="en-AU"/>
        </w:rPr>
        <w:t xml:space="preserve">Currently, the Strategic Program Advisory Group (SPAG) provides high-level advice to KIT. The SPAG membership comprise of representatives from MEHR, DFAT, MTC, KIT and the Contractor representative. The Team Leader SfEP is </w:t>
      </w:r>
      <w:r w:rsidR="00B63444">
        <w:rPr>
          <w:rFonts w:asciiTheme="minorHAnsi" w:hAnsiTheme="minorHAnsi"/>
          <w:sz w:val="20"/>
          <w:szCs w:val="20"/>
          <w:lang w:val="en-AU"/>
        </w:rPr>
        <w:t>a member of SPAG</w:t>
      </w:r>
      <w:r w:rsidRPr="00341133">
        <w:rPr>
          <w:rFonts w:asciiTheme="minorHAnsi" w:hAnsiTheme="minorHAnsi"/>
          <w:sz w:val="20"/>
          <w:szCs w:val="20"/>
          <w:lang w:val="en-AU"/>
        </w:rPr>
        <w:t>. The SPAG meets bi-annually.</w:t>
      </w:r>
    </w:p>
    <w:p w14:paraId="5CA63F47" w14:textId="28241B31" w:rsidR="00F91919" w:rsidRDefault="00E011D0" w:rsidP="00F91919">
      <w:pPr>
        <w:spacing w:after="160" w:line="259" w:lineRule="auto"/>
        <w:rPr>
          <w:rFonts w:ascii="Calibri" w:hAnsi="Calibri" w:cs="Calibri"/>
          <w:iCs/>
          <w:sz w:val="20"/>
          <w:szCs w:val="20"/>
        </w:rPr>
      </w:pPr>
      <w:r w:rsidRPr="00E011D0">
        <w:rPr>
          <w:rFonts w:ascii="Calibri" w:hAnsi="Calibri" w:cs="Calibri"/>
          <w:iCs/>
          <w:sz w:val="20"/>
          <w:szCs w:val="20"/>
        </w:rPr>
        <w:t xml:space="preserve">The KIT advisory council allows employers to provide advice to KIT to ensure alignment between the courses and services offered by the Institute, and domestic and international labour demand. The </w:t>
      </w:r>
      <w:r w:rsidR="00724196">
        <w:rPr>
          <w:rFonts w:ascii="Calibri" w:hAnsi="Calibri" w:cs="Calibri"/>
          <w:iCs/>
          <w:sz w:val="20"/>
          <w:szCs w:val="20"/>
        </w:rPr>
        <w:t>KIT Advisory Council</w:t>
      </w:r>
      <w:r w:rsidRPr="00E011D0">
        <w:rPr>
          <w:rFonts w:ascii="Calibri" w:hAnsi="Calibri" w:cs="Calibri"/>
          <w:iCs/>
          <w:sz w:val="20"/>
          <w:szCs w:val="20"/>
        </w:rPr>
        <w:t xml:space="preserve"> meets bi-annually to review prior year outcomes and coming year program delivery.</w:t>
      </w:r>
      <w:r>
        <w:rPr>
          <w:rFonts w:ascii="Calibri" w:hAnsi="Calibri" w:cs="Calibri"/>
          <w:iCs/>
          <w:sz w:val="20"/>
          <w:szCs w:val="20"/>
        </w:rPr>
        <w:t xml:space="preserve"> In addition, the Team leader and Director of KIT is also a senior member of the MEHR Senior Management team which meets monthly to review financial and strategic matters. Interviews and feedback during the workshop with members of the different components of the governance structure suggest that the program has a </w:t>
      </w:r>
      <w:r w:rsidR="00724196">
        <w:rPr>
          <w:rFonts w:ascii="Calibri" w:hAnsi="Calibri" w:cs="Calibri"/>
          <w:iCs/>
          <w:sz w:val="20"/>
          <w:szCs w:val="20"/>
        </w:rPr>
        <w:t xml:space="preserve">relatively </w:t>
      </w:r>
      <w:r>
        <w:rPr>
          <w:rFonts w:ascii="Calibri" w:hAnsi="Calibri" w:cs="Calibri"/>
          <w:iCs/>
          <w:sz w:val="20"/>
          <w:szCs w:val="20"/>
        </w:rPr>
        <w:t xml:space="preserve">strong working relationship with the MERH, key ministries and </w:t>
      </w:r>
      <w:r w:rsidR="005C5A1A">
        <w:rPr>
          <w:rFonts w:ascii="Calibri" w:hAnsi="Calibri" w:cs="Calibri"/>
          <w:iCs/>
          <w:sz w:val="20"/>
          <w:szCs w:val="20"/>
        </w:rPr>
        <w:t>state-owned</w:t>
      </w:r>
      <w:r>
        <w:rPr>
          <w:rFonts w:ascii="Calibri" w:hAnsi="Calibri" w:cs="Calibri"/>
          <w:iCs/>
          <w:sz w:val="20"/>
          <w:szCs w:val="20"/>
        </w:rPr>
        <w:t xml:space="preserve"> enterprises</w:t>
      </w:r>
      <w:r w:rsidR="005C5A1A">
        <w:rPr>
          <w:rFonts w:ascii="Calibri" w:hAnsi="Calibri" w:cs="Calibri"/>
          <w:iCs/>
          <w:sz w:val="20"/>
          <w:szCs w:val="20"/>
        </w:rPr>
        <w:t>, the Marine Training Centre and employers.</w:t>
      </w:r>
      <w:r w:rsidR="00F91919">
        <w:rPr>
          <w:rFonts w:ascii="Calibri" w:hAnsi="Calibri" w:cs="Calibri"/>
          <w:iCs/>
          <w:sz w:val="20"/>
          <w:szCs w:val="20"/>
        </w:rPr>
        <w:t xml:space="preserve"> </w:t>
      </w:r>
    </w:p>
    <w:p w14:paraId="282D6BED" w14:textId="16A44858" w:rsidR="003B1762" w:rsidRDefault="00D43FD0" w:rsidP="003B1762">
      <w:pPr>
        <w:spacing w:after="160" w:line="259" w:lineRule="auto"/>
        <w:rPr>
          <w:rFonts w:ascii="Calibri" w:hAnsi="Calibri" w:cs="Calibri"/>
          <w:iCs/>
          <w:sz w:val="20"/>
          <w:szCs w:val="20"/>
        </w:rPr>
      </w:pPr>
      <w:r>
        <w:rPr>
          <w:rFonts w:ascii="Calibri" w:hAnsi="Calibri" w:cs="Calibri"/>
          <w:iCs/>
          <w:sz w:val="20"/>
          <w:szCs w:val="20"/>
        </w:rPr>
        <w:t xml:space="preserve">However, </w:t>
      </w:r>
      <w:r w:rsidR="00D07B12" w:rsidRPr="00D07B12">
        <w:rPr>
          <w:rFonts w:ascii="Calibri" w:hAnsi="Calibri" w:cs="Calibri"/>
          <w:iCs/>
          <w:sz w:val="20"/>
          <w:szCs w:val="20"/>
        </w:rPr>
        <w:t>In the absence of an overarching strategy for the skills and employment sector</w:t>
      </w:r>
      <w:r w:rsidR="008B55F6">
        <w:rPr>
          <w:rFonts w:ascii="Calibri" w:hAnsi="Calibri" w:cs="Calibri"/>
          <w:iCs/>
          <w:sz w:val="20"/>
          <w:szCs w:val="20"/>
        </w:rPr>
        <w:t>, including labour mobility</w:t>
      </w:r>
      <w:r w:rsidR="00D07B12" w:rsidRPr="00D07B12">
        <w:rPr>
          <w:rFonts w:ascii="Calibri" w:hAnsi="Calibri" w:cs="Calibri"/>
          <w:iCs/>
          <w:sz w:val="20"/>
          <w:szCs w:val="20"/>
        </w:rPr>
        <w:t xml:space="preserve">, the SPAG and </w:t>
      </w:r>
      <w:r w:rsidR="00724196">
        <w:rPr>
          <w:rFonts w:ascii="Calibri" w:hAnsi="Calibri" w:cs="Calibri"/>
          <w:iCs/>
          <w:sz w:val="20"/>
          <w:szCs w:val="20"/>
        </w:rPr>
        <w:t>KIT Advisory Council</w:t>
      </w:r>
      <w:r w:rsidR="00D07B12" w:rsidRPr="00D07B12">
        <w:rPr>
          <w:rFonts w:ascii="Calibri" w:hAnsi="Calibri" w:cs="Calibri"/>
          <w:iCs/>
          <w:sz w:val="20"/>
          <w:szCs w:val="20"/>
        </w:rPr>
        <w:t xml:space="preserve"> are </w:t>
      </w:r>
      <w:r>
        <w:rPr>
          <w:rFonts w:ascii="Calibri" w:hAnsi="Calibri" w:cs="Calibri"/>
          <w:iCs/>
          <w:sz w:val="20"/>
          <w:szCs w:val="20"/>
        </w:rPr>
        <w:t xml:space="preserve">the </w:t>
      </w:r>
      <w:r w:rsidR="00D07B12" w:rsidRPr="00D07B12">
        <w:rPr>
          <w:rFonts w:ascii="Calibri" w:hAnsi="Calibri" w:cs="Calibri"/>
          <w:iCs/>
          <w:sz w:val="20"/>
          <w:szCs w:val="20"/>
        </w:rPr>
        <w:t>only mechanism to engage with the Government of Kiribati and stakeholders at a ‘strategic level’. Whil</w:t>
      </w:r>
      <w:r>
        <w:rPr>
          <w:rFonts w:ascii="Calibri" w:hAnsi="Calibri" w:cs="Calibri"/>
          <w:iCs/>
          <w:sz w:val="20"/>
          <w:szCs w:val="20"/>
        </w:rPr>
        <w:t xml:space="preserve">st the structures operate effectively, interviews with those on these structures reported that both that both the </w:t>
      </w:r>
      <w:r w:rsidR="00D07B12" w:rsidRPr="00D07B12">
        <w:rPr>
          <w:rFonts w:ascii="Calibri" w:hAnsi="Calibri" w:cs="Calibri"/>
          <w:iCs/>
          <w:sz w:val="20"/>
          <w:szCs w:val="20"/>
        </w:rPr>
        <w:t>SPAG</w:t>
      </w:r>
      <w:r>
        <w:rPr>
          <w:rFonts w:ascii="Calibri" w:hAnsi="Calibri" w:cs="Calibri"/>
          <w:iCs/>
          <w:sz w:val="20"/>
          <w:szCs w:val="20"/>
        </w:rPr>
        <w:t xml:space="preserve"> and </w:t>
      </w:r>
      <w:r w:rsidR="00724196">
        <w:rPr>
          <w:rFonts w:ascii="Calibri" w:hAnsi="Calibri" w:cs="Calibri"/>
          <w:iCs/>
          <w:sz w:val="20"/>
          <w:szCs w:val="20"/>
        </w:rPr>
        <w:t>KIT Advisory Council</w:t>
      </w:r>
      <w:r w:rsidR="00D07B12" w:rsidRPr="00D07B12">
        <w:rPr>
          <w:rFonts w:ascii="Calibri" w:hAnsi="Calibri" w:cs="Calibri"/>
          <w:iCs/>
          <w:sz w:val="20"/>
          <w:szCs w:val="20"/>
        </w:rPr>
        <w:t xml:space="preserve"> discussions are too operational and focused on KIT</w:t>
      </w:r>
      <w:r>
        <w:rPr>
          <w:rFonts w:ascii="Calibri" w:hAnsi="Calibri" w:cs="Calibri"/>
          <w:iCs/>
          <w:sz w:val="20"/>
          <w:szCs w:val="20"/>
        </w:rPr>
        <w:t>, and as currently constituted they do not provide much strategic input into either the coordination of skills or employment in the sector</w:t>
      </w:r>
      <w:r w:rsidR="00D07B12" w:rsidRPr="00D07B12">
        <w:rPr>
          <w:rFonts w:ascii="Calibri" w:hAnsi="Calibri" w:cs="Calibri"/>
          <w:iCs/>
          <w:sz w:val="20"/>
          <w:szCs w:val="20"/>
        </w:rPr>
        <w:t xml:space="preserve">. </w:t>
      </w:r>
      <w:r w:rsidR="003F4854">
        <w:rPr>
          <w:rFonts w:ascii="Calibri" w:hAnsi="Calibri" w:cs="Calibri"/>
          <w:iCs/>
          <w:sz w:val="20"/>
          <w:szCs w:val="20"/>
        </w:rPr>
        <w:t xml:space="preserve">In other words, SPAG is effective in providing strategic advice to KIT, but not the program. </w:t>
      </w:r>
      <w:r>
        <w:rPr>
          <w:rFonts w:ascii="Calibri" w:hAnsi="Calibri" w:cs="Calibri"/>
          <w:iCs/>
          <w:sz w:val="20"/>
          <w:szCs w:val="20"/>
        </w:rPr>
        <w:t>Further thought is need</w:t>
      </w:r>
      <w:r w:rsidR="00445C9A">
        <w:rPr>
          <w:rFonts w:ascii="Calibri" w:hAnsi="Calibri" w:cs="Calibri"/>
          <w:iCs/>
          <w:sz w:val="20"/>
          <w:szCs w:val="20"/>
        </w:rPr>
        <w:t>ed</w:t>
      </w:r>
      <w:r>
        <w:rPr>
          <w:rFonts w:ascii="Calibri" w:hAnsi="Calibri" w:cs="Calibri"/>
          <w:iCs/>
          <w:sz w:val="20"/>
          <w:szCs w:val="20"/>
        </w:rPr>
        <w:t xml:space="preserve"> to </w:t>
      </w:r>
      <w:r w:rsidR="003B1762">
        <w:rPr>
          <w:rFonts w:ascii="Calibri" w:hAnsi="Calibri" w:cs="Calibri"/>
          <w:iCs/>
          <w:sz w:val="20"/>
          <w:szCs w:val="20"/>
        </w:rPr>
        <w:t>reconfirm the terms of reference SPAG and KAC to align with their original intent, as designed. As already noted the c</w:t>
      </w:r>
      <w:r w:rsidR="003B1762" w:rsidRPr="002B4D47">
        <w:rPr>
          <w:rFonts w:ascii="Calibri" w:hAnsi="Calibri" w:cs="Calibri"/>
          <w:iCs/>
          <w:sz w:val="20"/>
          <w:szCs w:val="20"/>
        </w:rPr>
        <w:t>ontext has changed since 2015 when the Kiribati Facility was designed</w:t>
      </w:r>
      <w:r w:rsidR="003B1762">
        <w:rPr>
          <w:rFonts w:ascii="Calibri" w:hAnsi="Calibri" w:cs="Calibri"/>
          <w:iCs/>
          <w:sz w:val="20"/>
          <w:szCs w:val="20"/>
        </w:rPr>
        <w:t>. With Australia having launched its Pacific labour mobility policy in 2018 with new players and New Zealand increasing its investment substantially by funding the expansion of KIT (Stages 1 and 2 of the KIT Master Plan) this is an optimal moment to reconfirm the mandates</w:t>
      </w:r>
      <w:r w:rsidR="003B1762" w:rsidRPr="002B4D47">
        <w:rPr>
          <w:rFonts w:ascii="Calibri" w:hAnsi="Calibri" w:cs="Calibri"/>
          <w:iCs/>
          <w:sz w:val="20"/>
          <w:szCs w:val="20"/>
        </w:rPr>
        <w:t xml:space="preserve"> of SPAG and KAC</w:t>
      </w:r>
      <w:r w:rsidR="00341556">
        <w:rPr>
          <w:rFonts w:ascii="Calibri" w:hAnsi="Calibri" w:cs="Calibri"/>
          <w:iCs/>
          <w:sz w:val="20"/>
          <w:szCs w:val="20"/>
        </w:rPr>
        <w:t>. Key steps in this process should include:</w:t>
      </w:r>
    </w:p>
    <w:p w14:paraId="1A5BF7B9" w14:textId="36014FC3" w:rsidR="00341556" w:rsidRDefault="00341556" w:rsidP="00341556">
      <w:pPr>
        <w:pStyle w:val="ListParagraph"/>
        <w:numPr>
          <w:ilvl w:val="0"/>
          <w:numId w:val="40"/>
        </w:numPr>
        <w:spacing w:after="160" w:line="259" w:lineRule="auto"/>
        <w:rPr>
          <w:rFonts w:ascii="Calibri" w:hAnsi="Calibri" w:cs="Calibri"/>
          <w:iCs/>
          <w:sz w:val="20"/>
          <w:szCs w:val="20"/>
        </w:rPr>
      </w:pPr>
      <w:r>
        <w:rPr>
          <w:rFonts w:ascii="Calibri" w:hAnsi="Calibri" w:cs="Calibri"/>
          <w:iCs/>
          <w:sz w:val="20"/>
          <w:szCs w:val="20"/>
        </w:rPr>
        <w:t xml:space="preserve">Establishing a </w:t>
      </w:r>
      <w:r w:rsidRPr="002B4D47">
        <w:rPr>
          <w:rFonts w:ascii="Calibri" w:hAnsi="Calibri" w:cs="Calibri"/>
          <w:iCs/>
          <w:sz w:val="20"/>
          <w:szCs w:val="20"/>
        </w:rPr>
        <w:t>sector-wide TVET sector reference group to be led by MEHR whose key mandate would be to provide strategic advice to the GoK pertaining to the Skills and Employment Sector, including the labour mobility component</w:t>
      </w:r>
      <w:r>
        <w:rPr>
          <w:rFonts w:ascii="Calibri" w:hAnsi="Calibri" w:cs="Calibri"/>
          <w:iCs/>
          <w:sz w:val="20"/>
          <w:szCs w:val="20"/>
        </w:rPr>
        <w:t>;</w:t>
      </w:r>
    </w:p>
    <w:p w14:paraId="55A9E0AD" w14:textId="77777777" w:rsidR="00341556" w:rsidRDefault="00341556" w:rsidP="00341556">
      <w:pPr>
        <w:pStyle w:val="ListParagraph"/>
        <w:numPr>
          <w:ilvl w:val="0"/>
          <w:numId w:val="40"/>
        </w:numPr>
        <w:spacing w:after="160" w:line="259" w:lineRule="auto"/>
        <w:rPr>
          <w:rFonts w:ascii="Calibri" w:hAnsi="Calibri" w:cs="Calibri"/>
          <w:iCs/>
          <w:sz w:val="20"/>
          <w:szCs w:val="20"/>
        </w:rPr>
      </w:pPr>
      <w:r w:rsidRPr="00341556">
        <w:rPr>
          <w:rFonts w:ascii="Calibri" w:hAnsi="Calibri" w:cs="Calibri"/>
          <w:iCs/>
          <w:sz w:val="20"/>
          <w:szCs w:val="20"/>
        </w:rPr>
        <w:t>Revisiting</w:t>
      </w:r>
      <w:r>
        <w:rPr>
          <w:rFonts w:ascii="Calibri" w:hAnsi="Calibri" w:cs="Calibri"/>
          <w:iCs/>
          <w:sz w:val="20"/>
          <w:szCs w:val="20"/>
        </w:rPr>
        <w:t xml:space="preserve"> </w:t>
      </w:r>
      <w:r w:rsidRPr="002B4D47">
        <w:rPr>
          <w:rFonts w:ascii="Calibri" w:hAnsi="Calibri" w:cs="Calibri"/>
          <w:iCs/>
          <w:sz w:val="20"/>
          <w:szCs w:val="20"/>
        </w:rPr>
        <w:t>the mandate of both SPAG and the KIT Advisory Council to ensure it aligns with its original intent</w:t>
      </w:r>
      <w:r>
        <w:rPr>
          <w:rFonts w:ascii="Calibri" w:hAnsi="Calibri" w:cs="Calibri"/>
          <w:iCs/>
          <w:sz w:val="20"/>
          <w:szCs w:val="20"/>
        </w:rPr>
        <w:t>;</w:t>
      </w:r>
    </w:p>
    <w:p w14:paraId="43600CF6" w14:textId="472D7EE6" w:rsidR="00341556" w:rsidRPr="002B4D47" w:rsidRDefault="00341556" w:rsidP="002B4D47">
      <w:pPr>
        <w:pStyle w:val="ListParagraph"/>
        <w:numPr>
          <w:ilvl w:val="0"/>
          <w:numId w:val="40"/>
        </w:numPr>
        <w:spacing w:after="160" w:line="259" w:lineRule="auto"/>
        <w:rPr>
          <w:rFonts w:ascii="Calibri" w:hAnsi="Calibri" w:cs="Calibri"/>
          <w:iCs/>
          <w:sz w:val="20"/>
          <w:szCs w:val="20"/>
        </w:rPr>
      </w:pPr>
      <w:r w:rsidRPr="00341556">
        <w:rPr>
          <w:rFonts w:ascii="Calibri" w:hAnsi="Calibri" w:cs="Calibri"/>
          <w:iCs/>
          <w:sz w:val="20"/>
          <w:szCs w:val="20"/>
        </w:rPr>
        <w:t xml:space="preserve">Clarifying the roles </w:t>
      </w:r>
      <w:r w:rsidRPr="002B4D47">
        <w:rPr>
          <w:rFonts w:ascii="Calibri" w:hAnsi="Calibri" w:cs="Calibri"/>
          <w:iCs/>
          <w:sz w:val="20"/>
          <w:szCs w:val="20"/>
        </w:rPr>
        <w:t>of APTC, PLF, and NZMFAT in SPAG and KAC</w:t>
      </w:r>
      <w:r>
        <w:rPr>
          <w:rFonts w:ascii="Calibri" w:hAnsi="Calibri" w:cs="Calibri"/>
          <w:iCs/>
          <w:sz w:val="20"/>
          <w:szCs w:val="20"/>
        </w:rPr>
        <w:t xml:space="preserve">; and </w:t>
      </w:r>
    </w:p>
    <w:p w14:paraId="3696A724" w14:textId="3543C1C7" w:rsidR="00341556" w:rsidRPr="002B4D47" w:rsidRDefault="00341556" w:rsidP="002B4D47">
      <w:pPr>
        <w:pStyle w:val="ListParagraph"/>
        <w:numPr>
          <w:ilvl w:val="0"/>
          <w:numId w:val="40"/>
        </w:numPr>
        <w:spacing w:after="160" w:line="259" w:lineRule="auto"/>
        <w:rPr>
          <w:rFonts w:ascii="Calibri" w:hAnsi="Calibri" w:cs="Calibri"/>
          <w:iCs/>
          <w:sz w:val="20"/>
          <w:szCs w:val="20"/>
        </w:rPr>
      </w:pPr>
      <w:r>
        <w:rPr>
          <w:rFonts w:ascii="Calibri" w:hAnsi="Calibri" w:cs="Calibri"/>
          <w:iCs/>
          <w:sz w:val="20"/>
          <w:szCs w:val="20"/>
        </w:rPr>
        <w:t>Ensuring that the KIT Advisory Council receives better quality</w:t>
      </w:r>
      <w:r w:rsidRPr="00445C9A">
        <w:rPr>
          <w:rFonts w:ascii="Calibri" w:hAnsi="Calibri" w:cs="Calibri"/>
          <w:iCs/>
          <w:sz w:val="20"/>
          <w:szCs w:val="20"/>
        </w:rPr>
        <w:t xml:space="preserve"> employment data</w:t>
      </w:r>
      <w:r>
        <w:rPr>
          <w:rFonts w:ascii="Calibri" w:hAnsi="Calibri" w:cs="Calibri"/>
          <w:iCs/>
          <w:sz w:val="20"/>
          <w:szCs w:val="20"/>
        </w:rPr>
        <w:t>, and timely information from the labour mobility unit with the MEHR.</w:t>
      </w:r>
    </w:p>
    <w:p w14:paraId="04528C74" w14:textId="46C3A110" w:rsidR="003F4854" w:rsidRDefault="00E80588" w:rsidP="00F91919">
      <w:pPr>
        <w:spacing w:after="160" w:line="259" w:lineRule="auto"/>
        <w:rPr>
          <w:rFonts w:ascii="Calibri" w:hAnsi="Calibri" w:cs="Calibri"/>
          <w:iCs/>
          <w:sz w:val="20"/>
          <w:szCs w:val="20"/>
        </w:rPr>
      </w:pPr>
      <w:r>
        <w:rPr>
          <w:rFonts w:ascii="Calibri" w:hAnsi="Calibri" w:cs="Calibri"/>
          <w:b/>
          <w:iCs/>
          <w:sz w:val="20"/>
          <w:szCs w:val="20"/>
        </w:rPr>
        <w:t>The p</w:t>
      </w:r>
      <w:r w:rsidR="00304ADA" w:rsidRPr="00304ADA">
        <w:rPr>
          <w:rFonts w:ascii="Calibri" w:hAnsi="Calibri" w:cs="Calibri"/>
          <w:b/>
          <w:iCs/>
          <w:sz w:val="20"/>
          <w:szCs w:val="20"/>
        </w:rPr>
        <w:t>rogram leadership</w:t>
      </w:r>
      <w:r>
        <w:rPr>
          <w:rFonts w:ascii="Calibri" w:hAnsi="Calibri" w:cs="Calibri"/>
          <w:b/>
          <w:iCs/>
          <w:sz w:val="20"/>
          <w:szCs w:val="20"/>
        </w:rPr>
        <w:t xml:space="preserve"> roles need to be adjusted to ensure greater relevance to the needs of the program</w:t>
      </w:r>
      <w:r w:rsidR="00304ADA">
        <w:rPr>
          <w:rFonts w:ascii="Calibri" w:hAnsi="Calibri" w:cs="Calibri"/>
          <w:iCs/>
          <w:sz w:val="20"/>
          <w:szCs w:val="20"/>
        </w:rPr>
        <w:t xml:space="preserve">. </w:t>
      </w:r>
      <w:r>
        <w:rPr>
          <w:rFonts w:ascii="Calibri" w:hAnsi="Calibri" w:cs="Calibri"/>
          <w:iCs/>
          <w:sz w:val="20"/>
          <w:szCs w:val="20"/>
        </w:rPr>
        <w:t>The</w:t>
      </w:r>
      <w:r w:rsidR="003F4854">
        <w:rPr>
          <w:rFonts w:ascii="Calibri" w:hAnsi="Calibri" w:cs="Calibri"/>
          <w:iCs/>
          <w:sz w:val="20"/>
          <w:szCs w:val="20"/>
        </w:rPr>
        <w:t xml:space="preserve"> original design</w:t>
      </w:r>
      <w:r>
        <w:rPr>
          <w:rFonts w:ascii="Calibri" w:hAnsi="Calibri" w:cs="Calibri"/>
          <w:iCs/>
          <w:sz w:val="20"/>
          <w:szCs w:val="20"/>
        </w:rPr>
        <w:t xml:space="preserve"> of the Kiribati Facility</w:t>
      </w:r>
      <w:r w:rsidR="003F4854">
        <w:rPr>
          <w:rFonts w:ascii="Calibri" w:hAnsi="Calibri" w:cs="Calibri"/>
          <w:iCs/>
          <w:sz w:val="20"/>
          <w:szCs w:val="20"/>
        </w:rPr>
        <w:t xml:space="preserve"> designated that</w:t>
      </w:r>
      <w:r w:rsidR="00304ADA">
        <w:rPr>
          <w:rFonts w:ascii="Calibri" w:hAnsi="Calibri" w:cs="Calibri"/>
          <w:iCs/>
          <w:sz w:val="20"/>
          <w:szCs w:val="20"/>
        </w:rPr>
        <w:t xml:space="preserve"> only one person take responsibility for both the role of the KIT Director and Team Leader of the SfEP. In addition, a Project Director (a joint appointment with the Contractor Representative</w:t>
      </w:r>
      <w:r w:rsidR="00724196">
        <w:rPr>
          <w:rFonts w:ascii="Calibri" w:hAnsi="Calibri" w:cs="Calibri"/>
          <w:iCs/>
          <w:sz w:val="20"/>
          <w:szCs w:val="20"/>
        </w:rPr>
        <w:t>)</w:t>
      </w:r>
      <w:r w:rsidR="00304ADA">
        <w:rPr>
          <w:rFonts w:ascii="Calibri" w:hAnsi="Calibri" w:cs="Calibri"/>
          <w:iCs/>
          <w:sz w:val="20"/>
          <w:szCs w:val="20"/>
        </w:rPr>
        <w:t xml:space="preserve"> was designated to provide ‘strategic direction, leadership and management in the Delivery of the Kiribati Facility in order to achieve end of program outcomes’. Interviews with key stakeholders raised three interlinked issues with regards </w:t>
      </w:r>
      <w:r>
        <w:rPr>
          <w:rFonts w:ascii="Calibri" w:hAnsi="Calibri" w:cs="Calibri"/>
          <w:iCs/>
          <w:sz w:val="20"/>
          <w:szCs w:val="20"/>
        </w:rPr>
        <w:t xml:space="preserve">to the roles and responsibilities of </w:t>
      </w:r>
      <w:r w:rsidR="00304ADA">
        <w:rPr>
          <w:rFonts w:ascii="Calibri" w:hAnsi="Calibri" w:cs="Calibri"/>
          <w:iCs/>
          <w:sz w:val="20"/>
          <w:szCs w:val="20"/>
        </w:rPr>
        <w:t xml:space="preserve">the </w:t>
      </w:r>
      <w:r>
        <w:rPr>
          <w:rFonts w:ascii="Calibri" w:hAnsi="Calibri" w:cs="Calibri"/>
          <w:iCs/>
          <w:sz w:val="20"/>
          <w:szCs w:val="20"/>
        </w:rPr>
        <w:t>leadership of the program</w:t>
      </w:r>
      <w:r w:rsidR="00304ADA">
        <w:rPr>
          <w:rFonts w:ascii="Calibri" w:hAnsi="Calibri" w:cs="Calibri"/>
          <w:iCs/>
          <w:sz w:val="20"/>
          <w:szCs w:val="20"/>
        </w:rPr>
        <w:t>:</w:t>
      </w:r>
    </w:p>
    <w:p w14:paraId="3B6AC8A3" w14:textId="055C2C8D" w:rsidR="00304ADA" w:rsidRDefault="00304ADA" w:rsidP="00304ADA">
      <w:pPr>
        <w:pStyle w:val="ListParagraph"/>
        <w:numPr>
          <w:ilvl w:val="0"/>
          <w:numId w:val="25"/>
        </w:numPr>
        <w:spacing w:after="160" w:line="259" w:lineRule="auto"/>
        <w:rPr>
          <w:rFonts w:ascii="Calibri" w:hAnsi="Calibri" w:cs="Calibri"/>
          <w:iCs/>
          <w:sz w:val="20"/>
          <w:szCs w:val="20"/>
        </w:rPr>
      </w:pPr>
      <w:r>
        <w:rPr>
          <w:rFonts w:ascii="Calibri" w:hAnsi="Calibri" w:cs="Calibri"/>
          <w:iCs/>
          <w:sz w:val="20"/>
          <w:szCs w:val="20"/>
        </w:rPr>
        <w:t>KIT has more than doubled its size since 2016, and will continue to expand</w:t>
      </w:r>
      <w:r w:rsidR="000E395B">
        <w:rPr>
          <w:rFonts w:ascii="Calibri" w:hAnsi="Calibri" w:cs="Calibri"/>
          <w:iCs/>
          <w:sz w:val="20"/>
          <w:szCs w:val="20"/>
        </w:rPr>
        <w:t xml:space="preserve">, especially as a result of the </w:t>
      </w:r>
      <w:r>
        <w:rPr>
          <w:rFonts w:ascii="Calibri" w:hAnsi="Calibri" w:cs="Calibri"/>
          <w:iCs/>
          <w:sz w:val="20"/>
          <w:szCs w:val="20"/>
        </w:rPr>
        <w:t>significant increase in its infrastructur</w:t>
      </w:r>
      <w:r w:rsidR="00B25BC7">
        <w:rPr>
          <w:rFonts w:ascii="Calibri" w:hAnsi="Calibri" w:cs="Calibri"/>
          <w:iCs/>
          <w:sz w:val="20"/>
          <w:szCs w:val="20"/>
        </w:rPr>
        <w:t>e. I</w:t>
      </w:r>
      <w:r>
        <w:rPr>
          <w:rFonts w:ascii="Calibri" w:hAnsi="Calibri" w:cs="Calibri"/>
          <w:iCs/>
          <w:sz w:val="20"/>
          <w:szCs w:val="20"/>
        </w:rPr>
        <w:t>t is</w:t>
      </w:r>
      <w:r w:rsidR="00B25BC7">
        <w:rPr>
          <w:rFonts w:ascii="Calibri" w:hAnsi="Calibri" w:cs="Calibri"/>
          <w:iCs/>
          <w:sz w:val="20"/>
          <w:szCs w:val="20"/>
        </w:rPr>
        <w:t xml:space="preserve"> therefore</w:t>
      </w:r>
      <w:r>
        <w:rPr>
          <w:rFonts w:ascii="Calibri" w:hAnsi="Calibri" w:cs="Calibri"/>
          <w:iCs/>
          <w:sz w:val="20"/>
          <w:szCs w:val="20"/>
        </w:rPr>
        <w:t xml:space="preserve"> important that </w:t>
      </w:r>
      <w:r w:rsidR="00B25BC7">
        <w:rPr>
          <w:rFonts w:ascii="Calibri" w:hAnsi="Calibri" w:cs="Calibri"/>
          <w:iCs/>
          <w:sz w:val="20"/>
          <w:szCs w:val="20"/>
        </w:rPr>
        <w:t xml:space="preserve">a </w:t>
      </w:r>
      <w:r w:rsidR="008816CF">
        <w:rPr>
          <w:rFonts w:ascii="Calibri" w:hAnsi="Calibri" w:cs="Calibri"/>
          <w:iCs/>
          <w:sz w:val="20"/>
          <w:szCs w:val="20"/>
        </w:rPr>
        <w:t>high-quality</w:t>
      </w:r>
      <w:r w:rsidR="00B25BC7">
        <w:rPr>
          <w:rFonts w:ascii="Calibri" w:hAnsi="Calibri" w:cs="Calibri"/>
          <w:iCs/>
          <w:sz w:val="20"/>
          <w:szCs w:val="20"/>
        </w:rPr>
        <w:t xml:space="preserve"> Director remains</w:t>
      </w:r>
      <w:r>
        <w:rPr>
          <w:rFonts w:ascii="Calibri" w:hAnsi="Calibri" w:cs="Calibri"/>
          <w:iCs/>
          <w:sz w:val="20"/>
          <w:szCs w:val="20"/>
        </w:rPr>
        <w:t xml:space="preserve"> focussed on KIT to ensure the sizeable investment in KIT </w:t>
      </w:r>
      <w:r w:rsidR="00B25BC7">
        <w:rPr>
          <w:rFonts w:ascii="Calibri" w:hAnsi="Calibri" w:cs="Calibri"/>
          <w:iCs/>
          <w:sz w:val="20"/>
          <w:szCs w:val="20"/>
        </w:rPr>
        <w:t xml:space="preserve">continues to be </w:t>
      </w:r>
      <w:r>
        <w:rPr>
          <w:rFonts w:ascii="Calibri" w:hAnsi="Calibri" w:cs="Calibri"/>
          <w:iCs/>
          <w:sz w:val="20"/>
          <w:szCs w:val="20"/>
        </w:rPr>
        <w:t>managed efficiently and effectively.</w:t>
      </w:r>
    </w:p>
    <w:p w14:paraId="34257EE2" w14:textId="6643BC13" w:rsidR="00304ADA" w:rsidRDefault="00304ADA" w:rsidP="00304ADA">
      <w:pPr>
        <w:pStyle w:val="ListParagraph"/>
        <w:numPr>
          <w:ilvl w:val="0"/>
          <w:numId w:val="25"/>
        </w:numPr>
        <w:spacing w:after="160" w:line="259" w:lineRule="auto"/>
        <w:rPr>
          <w:rFonts w:ascii="Calibri" w:hAnsi="Calibri" w:cs="Calibri"/>
          <w:iCs/>
          <w:sz w:val="20"/>
          <w:szCs w:val="20"/>
        </w:rPr>
      </w:pPr>
      <w:r>
        <w:rPr>
          <w:rFonts w:ascii="Calibri" w:hAnsi="Calibri" w:cs="Calibri"/>
          <w:iCs/>
          <w:sz w:val="20"/>
          <w:szCs w:val="20"/>
        </w:rPr>
        <w:t>The MEHR feel they do not have sense of ownership of KIT, because it is governed by Australian advisers, and not by an I-Kiribati Ministry Official</w:t>
      </w:r>
      <w:r w:rsidR="00A52EBB">
        <w:rPr>
          <w:rStyle w:val="FootnoteReference"/>
          <w:rFonts w:ascii="Calibri" w:hAnsi="Calibri" w:cs="Calibri"/>
          <w:iCs/>
          <w:sz w:val="20"/>
          <w:szCs w:val="20"/>
        </w:rPr>
        <w:footnoteReference w:id="11"/>
      </w:r>
      <w:r>
        <w:rPr>
          <w:rFonts w:ascii="Calibri" w:hAnsi="Calibri" w:cs="Calibri"/>
          <w:iCs/>
          <w:sz w:val="20"/>
          <w:szCs w:val="20"/>
        </w:rPr>
        <w:t xml:space="preserve">. </w:t>
      </w:r>
    </w:p>
    <w:p w14:paraId="49F86AE4" w14:textId="79807CE0" w:rsidR="00304ADA" w:rsidRPr="00304ADA" w:rsidRDefault="00304ADA" w:rsidP="00304ADA">
      <w:pPr>
        <w:pStyle w:val="ListParagraph"/>
        <w:numPr>
          <w:ilvl w:val="0"/>
          <w:numId w:val="25"/>
        </w:numPr>
        <w:spacing w:after="160" w:line="259" w:lineRule="auto"/>
        <w:rPr>
          <w:rFonts w:ascii="Calibri" w:hAnsi="Calibri" w:cs="Calibri"/>
          <w:iCs/>
          <w:sz w:val="20"/>
          <w:szCs w:val="20"/>
        </w:rPr>
      </w:pPr>
      <w:r>
        <w:rPr>
          <w:rFonts w:ascii="Calibri" w:hAnsi="Calibri" w:cs="Calibri"/>
          <w:iCs/>
          <w:sz w:val="20"/>
          <w:szCs w:val="20"/>
        </w:rPr>
        <w:t>To</w:t>
      </w:r>
      <w:r w:rsidR="006A7D07">
        <w:rPr>
          <w:rFonts w:ascii="Calibri" w:hAnsi="Calibri" w:cs="Calibri"/>
          <w:iCs/>
          <w:sz w:val="20"/>
          <w:szCs w:val="20"/>
        </w:rPr>
        <w:t xml:space="preserve"> date there is very little evidence that </w:t>
      </w:r>
      <w:r w:rsidR="000E395B">
        <w:rPr>
          <w:rFonts w:ascii="Calibri" w:hAnsi="Calibri" w:cs="Calibri"/>
          <w:iCs/>
          <w:sz w:val="20"/>
          <w:szCs w:val="20"/>
        </w:rPr>
        <w:t xml:space="preserve">the </w:t>
      </w:r>
      <w:r w:rsidR="006A7D07">
        <w:rPr>
          <w:rFonts w:ascii="Calibri" w:hAnsi="Calibri" w:cs="Calibri"/>
          <w:iCs/>
          <w:sz w:val="20"/>
          <w:szCs w:val="20"/>
        </w:rPr>
        <w:t>Project Director of the Kiribati Facility has provided noticeable strategic direction to the sector as a whole (i.e. what was expected under EOPO 4).</w:t>
      </w:r>
    </w:p>
    <w:p w14:paraId="34DADD67" w14:textId="44C1D95D" w:rsidR="003F4854" w:rsidRDefault="006A7D07" w:rsidP="00F91919">
      <w:pPr>
        <w:spacing w:after="160" w:line="259" w:lineRule="auto"/>
        <w:rPr>
          <w:rFonts w:ascii="Calibri" w:hAnsi="Calibri" w:cs="Calibri"/>
          <w:iCs/>
          <w:sz w:val="20"/>
          <w:szCs w:val="20"/>
        </w:rPr>
      </w:pPr>
      <w:r>
        <w:rPr>
          <w:rFonts w:ascii="Calibri" w:hAnsi="Calibri" w:cs="Calibri"/>
          <w:iCs/>
          <w:sz w:val="20"/>
          <w:szCs w:val="20"/>
        </w:rPr>
        <w:t>It is suggested that in the first instance, there needs to be a more intensive policy dialogue established between DFAT and MEHR to establish an acceptable course of action to deal with these issues</w:t>
      </w:r>
      <w:r w:rsidR="008816CF">
        <w:rPr>
          <w:rFonts w:ascii="Calibri" w:hAnsi="Calibri" w:cs="Calibri"/>
          <w:iCs/>
          <w:sz w:val="20"/>
          <w:szCs w:val="20"/>
        </w:rPr>
        <w:t>, topics for dialogue could include</w:t>
      </w:r>
      <w:r>
        <w:rPr>
          <w:rFonts w:ascii="Calibri" w:hAnsi="Calibri" w:cs="Calibri"/>
          <w:iCs/>
          <w:sz w:val="20"/>
          <w:szCs w:val="20"/>
        </w:rPr>
        <w:t>:</w:t>
      </w:r>
    </w:p>
    <w:p w14:paraId="34CE7B2D" w14:textId="0C5DDD59" w:rsidR="007A3E5A" w:rsidRDefault="008816CF" w:rsidP="007A3E5A">
      <w:pPr>
        <w:pStyle w:val="ListParagraph"/>
        <w:numPr>
          <w:ilvl w:val="0"/>
          <w:numId w:val="26"/>
        </w:numPr>
        <w:spacing w:after="160" w:line="259" w:lineRule="auto"/>
        <w:rPr>
          <w:rFonts w:ascii="Calibri" w:hAnsi="Calibri" w:cs="Calibri"/>
          <w:iCs/>
          <w:sz w:val="20"/>
          <w:szCs w:val="20"/>
        </w:rPr>
      </w:pPr>
      <w:r>
        <w:rPr>
          <w:rFonts w:ascii="Calibri" w:hAnsi="Calibri" w:cs="Calibri"/>
          <w:iCs/>
          <w:sz w:val="20"/>
          <w:szCs w:val="20"/>
        </w:rPr>
        <w:t>The need to update and revise</w:t>
      </w:r>
      <w:r w:rsidR="007A3E5A">
        <w:rPr>
          <w:rFonts w:ascii="Calibri" w:hAnsi="Calibri" w:cs="Calibri"/>
          <w:iCs/>
          <w:sz w:val="20"/>
          <w:szCs w:val="20"/>
        </w:rPr>
        <w:t xml:space="preserve"> key pieces of the policy and strategic architecture</w:t>
      </w:r>
      <w:r w:rsidR="006A7D07">
        <w:rPr>
          <w:rFonts w:ascii="Calibri" w:hAnsi="Calibri" w:cs="Calibri"/>
          <w:iCs/>
          <w:sz w:val="20"/>
          <w:szCs w:val="20"/>
        </w:rPr>
        <w:t xml:space="preserve"> for the sector (</w:t>
      </w:r>
      <w:r w:rsidR="007D4711">
        <w:rPr>
          <w:rFonts w:ascii="Calibri" w:hAnsi="Calibri" w:cs="Calibri"/>
          <w:iCs/>
          <w:sz w:val="20"/>
          <w:szCs w:val="20"/>
        </w:rPr>
        <w:t>updating</w:t>
      </w:r>
      <w:r w:rsidR="006A7D07">
        <w:rPr>
          <w:rFonts w:ascii="Calibri" w:hAnsi="Calibri" w:cs="Calibri"/>
          <w:iCs/>
          <w:sz w:val="20"/>
          <w:szCs w:val="20"/>
        </w:rPr>
        <w:t xml:space="preserve"> the </w:t>
      </w:r>
      <w:r w:rsidR="007A3E5A">
        <w:rPr>
          <w:rFonts w:ascii="Calibri" w:hAnsi="Calibri" w:cs="Calibri"/>
          <w:iCs/>
          <w:sz w:val="20"/>
          <w:szCs w:val="20"/>
        </w:rPr>
        <w:t xml:space="preserve">MEHR </w:t>
      </w:r>
      <w:r w:rsidR="006A7D07">
        <w:rPr>
          <w:rFonts w:ascii="Calibri" w:hAnsi="Calibri" w:cs="Calibri"/>
          <w:iCs/>
          <w:sz w:val="20"/>
          <w:szCs w:val="20"/>
        </w:rPr>
        <w:t xml:space="preserve">strategies that </w:t>
      </w:r>
      <w:r w:rsidR="007D4711">
        <w:rPr>
          <w:rFonts w:ascii="Calibri" w:hAnsi="Calibri" w:cs="Calibri"/>
          <w:iCs/>
          <w:sz w:val="20"/>
          <w:szCs w:val="20"/>
        </w:rPr>
        <w:t>expire</w:t>
      </w:r>
      <w:r w:rsidR="006A7D07">
        <w:rPr>
          <w:rFonts w:ascii="Calibri" w:hAnsi="Calibri" w:cs="Calibri"/>
          <w:iCs/>
          <w:sz w:val="20"/>
          <w:szCs w:val="20"/>
        </w:rPr>
        <w:t xml:space="preserve"> this year) and which specifically speaks to the role of KIT in the sector (i.e. the MEHR’s objectives for KIT going forward), and labour mobility (including the role of KIT in supporting labour mobility).</w:t>
      </w:r>
    </w:p>
    <w:p w14:paraId="379C5FFE" w14:textId="172A9587" w:rsidR="00244CB7" w:rsidRPr="002B4D47" w:rsidRDefault="008816CF" w:rsidP="00244CB7">
      <w:pPr>
        <w:pStyle w:val="ListParagraph"/>
        <w:numPr>
          <w:ilvl w:val="0"/>
          <w:numId w:val="26"/>
        </w:numPr>
        <w:spacing w:after="160" w:line="259" w:lineRule="auto"/>
        <w:rPr>
          <w:rFonts w:ascii="Calibri" w:hAnsi="Calibri" w:cs="Calibri"/>
          <w:iCs/>
          <w:sz w:val="20"/>
          <w:szCs w:val="20"/>
        </w:rPr>
      </w:pPr>
      <w:r>
        <w:rPr>
          <w:rFonts w:ascii="Calibri" w:hAnsi="Calibri" w:cs="Calibri"/>
          <w:iCs/>
          <w:sz w:val="20"/>
          <w:szCs w:val="20"/>
        </w:rPr>
        <w:t>Determining how best to support i</w:t>
      </w:r>
      <w:r w:rsidR="00244CB7" w:rsidRPr="002B4D47">
        <w:rPr>
          <w:rFonts w:ascii="Calibri" w:hAnsi="Calibri" w:cs="Calibri"/>
          <w:iCs/>
          <w:sz w:val="20"/>
          <w:szCs w:val="20"/>
        </w:rPr>
        <w:t>nitiatives to strengthen MEHR management and leadership in line with the MEHR HRD plan</w:t>
      </w:r>
      <w:r w:rsidR="00244CB7">
        <w:rPr>
          <w:rFonts w:ascii="Calibri" w:hAnsi="Calibri" w:cs="Calibri"/>
          <w:iCs/>
          <w:sz w:val="20"/>
          <w:szCs w:val="20"/>
        </w:rPr>
        <w:t>.</w:t>
      </w:r>
    </w:p>
    <w:p w14:paraId="67B43ACD" w14:textId="16E072E2" w:rsidR="008816CF" w:rsidRDefault="008816CF" w:rsidP="00A52EBB">
      <w:pPr>
        <w:pStyle w:val="ListParagraph"/>
        <w:numPr>
          <w:ilvl w:val="0"/>
          <w:numId w:val="26"/>
        </w:numPr>
        <w:spacing w:after="160" w:line="259" w:lineRule="auto"/>
        <w:rPr>
          <w:rFonts w:ascii="Calibri" w:hAnsi="Calibri" w:cs="Calibri"/>
          <w:iCs/>
          <w:sz w:val="20"/>
          <w:szCs w:val="20"/>
        </w:rPr>
      </w:pPr>
      <w:r>
        <w:rPr>
          <w:rFonts w:ascii="Calibri" w:hAnsi="Calibri" w:cs="Calibri"/>
          <w:iCs/>
          <w:sz w:val="20"/>
          <w:szCs w:val="20"/>
        </w:rPr>
        <w:t>Clarifying l</w:t>
      </w:r>
      <w:r w:rsidR="006A7D07">
        <w:rPr>
          <w:rFonts w:ascii="Calibri" w:hAnsi="Calibri" w:cs="Calibri"/>
          <w:iCs/>
          <w:sz w:val="20"/>
          <w:szCs w:val="20"/>
        </w:rPr>
        <w:t>eadership and communication issues between KIT and the MEHR</w:t>
      </w:r>
      <w:r>
        <w:rPr>
          <w:rFonts w:ascii="Calibri" w:hAnsi="Calibri" w:cs="Calibri"/>
          <w:iCs/>
          <w:sz w:val="20"/>
          <w:szCs w:val="20"/>
        </w:rPr>
        <w:t>, on issues such as:</w:t>
      </w:r>
    </w:p>
    <w:p w14:paraId="7E3C2FC6" w14:textId="68C94D30" w:rsidR="008816CF" w:rsidRDefault="008816CF" w:rsidP="008816CF">
      <w:pPr>
        <w:pStyle w:val="ListParagraph"/>
        <w:numPr>
          <w:ilvl w:val="1"/>
          <w:numId w:val="26"/>
        </w:numPr>
        <w:spacing w:after="160" w:line="259" w:lineRule="auto"/>
        <w:rPr>
          <w:rFonts w:ascii="Calibri" w:hAnsi="Calibri" w:cs="Calibri"/>
          <w:iCs/>
          <w:sz w:val="20"/>
          <w:szCs w:val="20"/>
        </w:rPr>
      </w:pPr>
      <w:r>
        <w:rPr>
          <w:rFonts w:ascii="Calibri" w:hAnsi="Calibri" w:cs="Calibri"/>
          <w:iCs/>
          <w:sz w:val="20"/>
          <w:szCs w:val="20"/>
        </w:rPr>
        <w:t>The</w:t>
      </w:r>
      <w:r w:rsidR="00244CB7">
        <w:rPr>
          <w:rFonts w:ascii="Calibri" w:hAnsi="Calibri" w:cs="Calibri"/>
          <w:iCs/>
          <w:sz w:val="20"/>
          <w:szCs w:val="20"/>
        </w:rPr>
        <w:t xml:space="preserve"> importance of KIT </w:t>
      </w:r>
      <w:r w:rsidR="00F0409D">
        <w:rPr>
          <w:rFonts w:ascii="Calibri" w:hAnsi="Calibri" w:cs="Calibri"/>
          <w:iCs/>
          <w:sz w:val="20"/>
          <w:szCs w:val="20"/>
        </w:rPr>
        <w:t>retaining</w:t>
      </w:r>
      <w:r w:rsidR="00244CB7">
        <w:rPr>
          <w:rFonts w:ascii="Calibri" w:hAnsi="Calibri" w:cs="Calibri"/>
          <w:iCs/>
          <w:sz w:val="20"/>
          <w:szCs w:val="20"/>
        </w:rPr>
        <w:t xml:space="preserve"> strong leadership</w:t>
      </w:r>
      <w:r w:rsidR="00F0409D">
        <w:rPr>
          <w:rFonts w:ascii="Calibri" w:hAnsi="Calibri" w:cs="Calibri"/>
          <w:iCs/>
          <w:sz w:val="20"/>
          <w:szCs w:val="20"/>
        </w:rPr>
        <w:t>, with appropriate internationally accepted qualifications</w:t>
      </w:r>
      <w:r w:rsidR="006A7D07">
        <w:rPr>
          <w:rFonts w:ascii="Calibri" w:hAnsi="Calibri" w:cs="Calibri"/>
          <w:iCs/>
          <w:sz w:val="20"/>
          <w:szCs w:val="20"/>
        </w:rPr>
        <w:t xml:space="preserve"> </w:t>
      </w:r>
    </w:p>
    <w:p w14:paraId="761486B3" w14:textId="77777777" w:rsidR="00F0409D" w:rsidRDefault="008816CF" w:rsidP="008816CF">
      <w:pPr>
        <w:pStyle w:val="ListParagraph"/>
        <w:numPr>
          <w:ilvl w:val="1"/>
          <w:numId w:val="26"/>
        </w:numPr>
        <w:spacing w:after="160" w:line="259" w:lineRule="auto"/>
        <w:rPr>
          <w:rFonts w:ascii="Calibri" w:hAnsi="Calibri" w:cs="Calibri"/>
          <w:iCs/>
          <w:sz w:val="20"/>
          <w:szCs w:val="20"/>
        </w:rPr>
      </w:pPr>
      <w:r>
        <w:rPr>
          <w:rFonts w:ascii="Calibri" w:hAnsi="Calibri" w:cs="Calibri"/>
          <w:iCs/>
          <w:sz w:val="20"/>
          <w:szCs w:val="20"/>
        </w:rPr>
        <w:t xml:space="preserve">Exploring </w:t>
      </w:r>
      <w:r w:rsidR="006A7D07">
        <w:rPr>
          <w:rFonts w:ascii="Calibri" w:hAnsi="Calibri" w:cs="Calibri"/>
          <w:iCs/>
          <w:sz w:val="20"/>
          <w:szCs w:val="20"/>
        </w:rPr>
        <w:t>whether it is feasible</w:t>
      </w:r>
      <w:r w:rsidR="00244CB7">
        <w:rPr>
          <w:rFonts w:ascii="Calibri" w:hAnsi="Calibri" w:cs="Calibri"/>
          <w:iCs/>
          <w:sz w:val="20"/>
          <w:szCs w:val="20"/>
        </w:rPr>
        <w:t xml:space="preserve"> and practicable</w:t>
      </w:r>
      <w:r w:rsidR="006A7D07">
        <w:rPr>
          <w:rFonts w:ascii="Calibri" w:hAnsi="Calibri" w:cs="Calibri"/>
          <w:iCs/>
          <w:sz w:val="20"/>
          <w:szCs w:val="20"/>
        </w:rPr>
        <w:t xml:space="preserve"> to put a transition plan in place</w:t>
      </w:r>
      <w:r w:rsidR="00A52EBB">
        <w:rPr>
          <w:rFonts w:ascii="Calibri" w:hAnsi="Calibri" w:cs="Calibri"/>
          <w:iCs/>
          <w:sz w:val="20"/>
          <w:szCs w:val="20"/>
        </w:rPr>
        <w:t xml:space="preserve"> that could eventually lead to</w:t>
      </w:r>
      <w:r w:rsidR="006A7D07">
        <w:rPr>
          <w:rFonts w:ascii="Calibri" w:hAnsi="Calibri" w:cs="Calibri"/>
          <w:iCs/>
          <w:sz w:val="20"/>
          <w:szCs w:val="20"/>
        </w:rPr>
        <w:t xml:space="preserve"> the KIT Director </w:t>
      </w:r>
      <w:r w:rsidR="00A52EBB">
        <w:rPr>
          <w:rFonts w:ascii="Calibri" w:hAnsi="Calibri" w:cs="Calibri"/>
          <w:iCs/>
          <w:sz w:val="20"/>
          <w:szCs w:val="20"/>
        </w:rPr>
        <w:t xml:space="preserve">becoming </w:t>
      </w:r>
      <w:r w:rsidR="006A7D07">
        <w:rPr>
          <w:rFonts w:ascii="Calibri" w:hAnsi="Calibri" w:cs="Calibri"/>
          <w:iCs/>
          <w:sz w:val="20"/>
          <w:szCs w:val="20"/>
        </w:rPr>
        <w:t xml:space="preserve">a Ministry official supported by an Australian adviser, and </w:t>
      </w:r>
    </w:p>
    <w:p w14:paraId="529F5E90" w14:textId="2944BD49" w:rsidR="006A7D07" w:rsidRPr="002B4D47" w:rsidRDefault="00F0409D" w:rsidP="008816CF">
      <w:pPr>
        <w:pStyle w:val="ListParagraph"/>
        <w:numPr>
          <w:ilvl w:val="1"/>
          <w:numId w:val="26"/>
        </w:numPr>
        <w:spacing w:after="160" w:line="259" w:lineRule="auto"/>
        <w:rPr>
          <w:rFonts w:ascii="Calibri" w:hAnsi="Calibri" w:cs="Calibri"/>
          <w:iCs/>
          <w:sz w:val="20"/>
          <w:szCs w:val="20"/>
        </w:rPr>
      </w:pPr>
      <w:r>
        <w:rPr>
          <w:rFonts w:ascii="Calibri" w:hAnsi="Calibri" w:cs="Calibri"/>
          <w:iCs/>
          <w:sz w:val="20"/>
          <w:szCs w:val="20"/>
        </w:rPr>
        <w:t xml:space="preserve">How best </w:t>
      </w:r>
      <w:r w:rsidR="006A7D07">
        <w:rPr>
          <w:rFonts w:ascii="Calibri" w:hAnsi="Calibri" w:cs="Calibri"/>
          <w:iCs/>
          <w:sz w:val="20"/>
          <w:szCs w:val="20"/>
        </w:rPr>
        <w:t>the new labour mobility adviser can facilitate regular contact between MEHR and KIT</w:t>
      </w:r>
      <w:r w:rsidR="007D4711" w:rsidRPr="002B4D47">
        <w:rPr>
          <w:rFonts w:ascii="Calibri" w:hAnsi="Calibri" w:cs="Calibri"/>
          <w:iCs/>
          <w:sz w:val="20"/>
          <w:szCs w:val="20"/>
        </w:rPr>
        <w:t>.</w:t>
      </w:r>
    </w:p>
    <w:p w14:paraId="1FAEE476" w14:textId="597FD2AC" w:rsidR="007D4711" w:rsidRPr="006A7D07" w:rsidRDefault="00F0409D" w:rsidP="006A7D07">
      <w:pPr>
        <w:pStyle w:val="ListParagraph"/>
        <w:numPr>
          <w:ilvl w:val="0"/>
          <w:numId w:val="26"/>
        </w:numPr>
        <w:spacing w:after="160" w:line="259" w:lineRule="auto"/>
        <w:rPr>
          <w:rFonts w:ascii="Calibri" w:hAnsi="Calibri" w:cs="Calibri"/>
          <w:iCs/>
          <w:sz w:val="20"/>
          <w:szCs w:val="20"/>
        </w:rPr>
      </w:pPr>
      <w:r>
        <w:rPr>
          <w:rFonts w:ascii="Calibri" w:hAnsi="Calibri" w:cs="Calibri"/>
          <w:iCs/>
          <w:sz w:val="20"/>
          <w:szCs w:val="20"/>
        </w:rPr>
        <w:t>Exploring w</w:t>
      </w:r>
      <w:r w:rsidR="007D4711">
        <w:rPr>
          <w:rFonts w:ascii="Calibri" w:hAnsi="Calibri" w:cs="Calibri"/>
          <w:iCs/>
          <w:sz w:val="20"/>
          <w:szCs w:val="20"/>
        </w:rPr>
        <w:t>hether the Kiribati Facility should have an in-country Project director</w:t>
      </w:r>
      <w:r w:rsidR="000E395B">
        <w:rPr>
          <w:rFonts w:ascii="Calibri" w:hAnsi="Calibri" w:cs="Calibri"/>
          <w:iCs/>
          <w:sz w:val="20"/>
          <w:szCs w:val="20"/>
        </w:rPr>
        <w:t xml:space="preserve"> who has oversight of the whole Facility</w:t>
      </w:r>
      <w:r w:rsidR="007D4711">
        <w:rPr>
          <w:rFonts w:ascii="Calibri" w:hAnsi="Calibri" w:cs="Calibri"/>
          <w:iCs/>
          <w:sz w:val="20"/>
          <w:szCs w:val="20"/>
        </w:rPr>
        <w:t xml:space="preserve"> (i.e. merging SfEP tasks with those of the current Project director) to drive the development and implementation of a coherent strategy for the skills and employment sector in Kiribati.</w:t>
      </w:r>
    </w:p>
    <w:p w14:paraId="043A6041" w14:textId="6DE2E793" w:rsidR="00D07B12" w:rsidRDefault="00D07B12" w:rsidP="00F91919">
      <w:pPr>
        <w:spacing w:after="160" w:line="259" w:lineRule="auto"/>
        <w:rPr>
          <w:rFonts w:ascii="Calibri" w:hAnsi="Calibri" w:cs="Calibri"/>
          <w:iCs/>
          <w:sz w:val="20"/>
          <w:szCs w:val="20"/>
        </w:rPr>
      </w:pPr>
      <w:r>
        <w:rPr>
          <w:rFonts w:ascii="Calibri" w:hAnsi="Calibri" w:cs="Calibri"/>
          <w:iCs/>
          <w:sz w:val="20"/>
          <w:szCs w:val="20"/>
        </w:rPr>
        <w:t xml:space="preserve">Interviews suggest that to a limited extent </w:t>
      </w:r>
      <w:r w:rsidR="00D43FD0">
        <w:rPr>
          <w:rFonts w:ascii="Calibri" w:hAnsi="Calibri" w:cs="Calibri"/>
          <w:iCs/>
          <w:sz w:val="20"/>
          <w:szCs w:val="20"/>
        </w:rPr>
        <w:t>the governance structure</w:t>
      </w:r>
      <w:r>
        <w:rPr>
          <w:rFonts w:ascii="Calibri" w:hAnsi="Calibri" w:cs="Calibri"/>
          <w:iCs/>
          <w:sz w:val="20"/>
          <w:szCs w:val="20"/>
        </w:rPr>
        <w:t xml:space="preserve"> help</w:t>
      </w:r>
      <w:r w:rsidR="00D43FD0">
        <w:rPr>
          <w:rFonts w:ascii="Calibri" w:hAnsi="Calibri" w:cs="Calibri"/>
          <w:iCs/>
          <w:sz w:val="20"/>
          <w:szCs w:val="20"/>
        </w:rPr>
        <w:t>s</w:t>
      </w:r>
      <w:r>
        <w:rPr>
          <w:rFonts w:ascii="Calibri" w:hAnsi="Calibri" w:cs="Calibri"/>
          <w:iCs/>
          <w:sz w:val="20"/>
          <w:szCs w:val="20"/>
        </w:rPr>
        <w:t xml:space="preserve"> to</w:t>
      </w:r>
      <w:r w:rsidRPr="004C6C1F">
        <w:rPr>
          <w:rFonts w:ascii="Calibri" w:hAnsi="Calibri" w:cs="Calibri"/>
          <w:b/>
          <w:iCs/>
          <w:sz w:val="20"/>
          <w:szCs w:val="20"/>
        </w:rPr>
        <w:t xml:space="preserve"> stimulate cooperation with and improve the coordination of labour mobility activities within relevant Kiribati Government ministries and the Kiribati Facility</w:t>
      </w:r>
      <w:r>
        <w:rPr>
          <w:rFonts w:cs="Arial"/>
          <w:color w:val="000000" w:themeColor="text1"/>
          <w:sz w:val="20"/>
          <w:szCs w:val="20"/>
          <w:lang w:eastAsia="en-AU"/>
        </w:rPr>
        <w:t xml:space="preserve">. </w:t>
      </w:r>
      <w:r w:rsidRPr="00F91919">
        <w:rPr>
          <w:rFonts w:ascii="Calibri" w:hAnsi="Calibri" w:cs="Calibri"/>
          <w:iCs/>
          <w:sz w:val="20"/>
          <w:szCs w:val="20"/>
        </w:rPr>
        <w:t>As noted below the expansion of, and adjustments to, the activities of the Employment Support Services provided by the Kir</w:t>
      </w:r>
      <w:r>
        <w:rPr>
          <w:rFonts w:ascii="Calibri" w:hAnsi="Calibri" w:cs="Calibri"/>
          <w:iCs/>
          <w:sz w:val="20"/>
          <w:szCs w:val="20"/>
        </w:rPr>
        <w:t>i</w:t>
      </w:r>
      <w:r w:rsidRPr="00F91919">
        <w:rPr>
          <w:rFonts w:ascii="Calibri" w:hAnsi="Calibri" w:cs="Calibri"/>
          <w:iCs/>
          <w:sz w:val="20"/>
          <w:szCs w:val="20"/>
        </w:rPr>
        <w:t>bati Facility have ensured that the ESS remains both relevant to and responsive to the needs of labour mobility</w:t>
      </w:r>
      <w:r>
        <w:rPr>
          <w:rFonts w:ascii="Calibri" w:hAnsi="Calibri" w:cs="Calibri"/>
          <w:iCs/>
          <w:sz w:val="20"/>
          <w:szCs w:val="20"/>
        </w:rPr>
        <w:t>, especially as the number of participants in labour mobility continue to increase in Kiribati (</w:t>
      </w:r>
      <w:r>
        <w:rPr>
          <w:rFonts w:ascii="Calibri" w:hAnsi="Calibri" w:cs="Calibri"/>
          <w:iCs/>
          <w:sz w:val="20"/>
          <w:szCs w:val="20"/>
        </w:rPr>
        <w:fldChar w:fldCharType="begin"/>
      </w:r>
      <w:r>
        <w:rPr>
          <w:rFonts w:ascii="Calibri" w:hAnsi="Calibri" w:cs="Calibri"/>
          <w:iCs/>
          <w:sz w:val="20"/>
          <w:szCs w:val="20"/>
        </w:rPr>
        <w:instrText xml:space="preserve"> REF _Ref7603487 \h  \* MERGEFORMAT </w:instrText>
      </w:r>
      <w:r>
        <w:rPr>
          <w:rFonts w:ascii="Calibri" w:hAnsi="Calibri" w:cs="Calibri"/>
          <w:iCs/>
          <w:sz w:val="20"/>
          <w:szCs w:val="20"/>
        </w:rPr>
      </w:r>
      <w:r>
        <w:rPr>
          <w:rFonts w:ascii="Calibri" w:hAnsi="Calibri" w:cs="Calibri"/>
          <w:iCs/>
          <w:sz w:val="20"/>
          <w:szCs w:val="20"/>
        </w:rPr>
        <w:fldChar w:fldCharType="separate"/>
      </w:r>
      <w:r w:rsidRPr="00D07B12">
        <w:rPr>
          <w:rFonts w:ascii="Calibri" w:hAnsi="Calibri" w:cs="Calibri"/>
          <w:iCs/>
          <w:sz w:val="20"/>
          <w:szCs w:val="20"/>
        </w:rPr>
        <w:t>Figure 2</w:t>
      </w:r>
      <w:r>
        <w:rPr>
          <w:rFonts w:ascii="Calibri" w:hAnsi="Calibri" w:cs="Calibri"/>
          <w:iCs/>
          <w:sz w:val="20"/>
          <w:szCs w:val="20"/>
        </w:rPr>
        <w:fldChar w:fldCharType="end"/>
      </w:r>
      <w:r>
        <w:rPr>
          <w:rFonts w:ascii="Calibri" w:hAnsi="Calibri" w:cs="Calibri"/>
          <w:iCs/>
          <w:sz w:val="20"/>
          <w:szCs w:val="20"/>
        </w:rPr>
        <w:t>)</w:t>
      </w:r>
      <w:r w:rsidRPr="00F91919">
        <w:rPr>
          <w:rFonts w:ascii="Calibri" w:hAnsi="Calibri" w:cs="Calibri"/>
          <w:iCs/>
          <w:sz w:val="20"/>
          <w:szCs w:val="20"/>
        </w:rPr>
        <w:t>. Nevertheless, issues of labour mobility coordination and recruitment remain under the aegis of the MEHR and rightly remain outside the scope of the Kiribati Facility, especially as the Facility’s remit is about providing skills for employment.</w:t>
      </w:r>
    </w:p>
    <w:p w14:paraId="63799208" w14:textId="0876EC69" w:rsidR="00A9630E" w:rsidRDefault="00A9630E" w:rsidP="00A9630E">
      <w:pPr>
        <w:pStyle w:val="Caption"/>
      </w:pPr>
      <w:bookmarkStart w:id="21" w:name="_Ref7603487"/>
      <w:r>
        <w:t xml:space="preserve">Figure </w:t>
      </w:r>
      <w:r>
        <w:fldChar w:fldCharType="begin"/>
      </w:r>
      <w:r>
        <w:instrText xml:space="preserve"> SEQ Figure \* ARABIC </w:instrText>
      </w:r>
      <w:r>
        <w:fldChar w:fldCharType="separate"/>
      </w:r>
      <w:r w:rsidR="00157AA4">
        <w:rPr>
          <w:noProof/>
        </w:rPr>
        <w:t>2</w:t>
      </w:r>
      <w:r>
        <w:rPr>
          <w:noProof/>
        </w:rPr>
        <w:fldChar w:fldCharType="end"/>
      </w:r>
      <w:bookmarkEnd w:id="21"/>
      <w:r>
        <w:t>: I-Kiribati participation in Labour Mobility since 2008 (source: MEHR Labour Mobility data</w:t>
      </w:r>
      <w:r w:rsidR="00155EAD">
        <w:t>)</w:t>
      </w:r>
      <w:r w:rsidR="00155EAD">
        <w:rPr>
          <w:rStyle w:val="FootnoteReference"/>
        </w:rPr>
        <w:footnoteReference w:id="12"/>
      </w:r>
    </w:p>
    <w:p w14:paraId="49E43B9C" w14:textId="77777777" w:rsidR="00A9630E" w:rsidRDefault="00A9630E" w:rsidP="00A9630E">
      <w:r w:rsidRPr="00251BC4">
        <w:rPr>
          <w:noProof/>
          <w:lang w:val="en-AU" w:eastAsia="en-AU"/>
        </w:rPr>
        <w:drawing>
          <wp:inline distT="0" distB="0" distL="0" distR="0" wp14:anchorId="6189EE0B" wp14:editId="37B4D1DB">
            <wp:extent cx="6127334" cy="2369820"/>
            <wp:effectExtent l="0" t="0" r="6985" b="17780"/>
            <wp:docPr id="2" name="Chart 2">
              <a:extLst xmlns:a="http://schemas.openxmlformats.org/drawingml/2006/main">
                <a:ext uri="{FF2B5EF4-FFF2-40B4-BE49-F238E27FC236}">
                  <a16:creationId xmlns:a16="http://schemas.microsoft.com/office/drawing/2014/main" id="{43CCF0D5-464E-7B45-B666-B870526A5F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ED85A9" w14:textId="77777777" w:rsidR="00A9630E" w:rsidRDefault="00A9630E" w:rsidP="00F91919">
      <w:pPr>
        <w:spacing w:after="160" w:line="259" w:lineRule="auto"/>
        <w:rPr>
          <w:rFonts w:ascii="Calibri" w:hAnsi="Calibri" w:cs="Calibri"/>
          <w:iCs/>
          <w:sz w:val="20"/>
          <w:szCs w:val="20"/>
        </w:rPr>
      </w:pPr>
    </w:p>
    <w:p w14:paraId="7EA337BF" w14:textId="61378448" w:rsidR="00FD6106" w:rsidRPr="00FD6106" w:rsidRDefault="00FD6106" w:rsidP="00FD6106">
      <w:pPr>
        <w:spacing w:after="160" w:line="259" w:lineRule="auto"/>
        <w:rPr>
          <w:rFonts w:ascii="Calibri" w:hAnsi="Calibri" w:cs="Calibri"/>
          <w:iCs/>
          <w:sz w:val="20"/>
          <w:szCs w:val="20"/>
        </w:rPr>
      </w:pPr>
      <w:r w:rsidRPr="00FD6106">
        <w:rPr>
          <w:rFonts w:ascii="Calibri" w:hAnsi="Calibri" w:cs="Calibri"/>
          <w:iCs/>
          <w:sz w:val="20"/>
          <w:szCs w:val="20"/>
        </w:rPr>
        <w:t xml:space="preserve">Recent pronouncements by the Australian government with regards to labour mobility and APTC do provide the Kiribati facility with opportunities to consider implementing </w:t>
      </w:r>
      <w:r w:rsidR="00887E21" w:rsidRPr="007C73DD">
        <w:rPr>
          <w:rFonts w:ascii="Calibri" w:hAnsi="Calibri" w:cs="Calibri"/>
          <w:b/>
          <w:iCs/>
          <w:sz w:val="20"/>
          <w:szCs w:val="20"/>
        </w:rPr>
        <w:t xml:space="preserve">new and/or adjusted activities to ensure better alignment with </w:t>
      </w:r>
      <w:r w:rsidRPr="007C73DD">
        <w:rPr>
          <w:rFonts w:ascii="Calibri" w:hAnsi="Calibri" w:cs="Calibri"/>
          <w:b/>
          <w:iCs/>
          <w:sz w:val="20"/>
          <w:szCs w:val="20"/>
        </w:rPr>
        <w:t>these policy</w:t>
      </w:r>
      <w:r w:rsidR="00887E21" w:rsidRPr="007C73DD">
        <w:rPr>
          <w:rFonts w:ascii="Calibri" w:hAnsi="Calibri" w:cs="Calibri"/>
          <w:b/>
          <w:iCs/>
          <w:sz w:val="20"/>
          <w:szCs w:val="20"/>
        </w:rPr>
        <w:t xml:space="preserve"> announcements</w:t>
      </w:r>
      <w:r w:rsidRPr="00FD6106">
        <w:rPr>
          <w:rFonts w:ascii="Calibri" w:hAnsi="Calibri" w:cs="Calibri"/>
          <w:iCs/>
          <w:sz w:val="20"/>
          <w:szCs w:val="20"/>
        </w:rPr>
        <w:t>. Feedback from consultations suggest that</w:t>
      </w:r>
      <w:r w:rsidR="00D57DCE">
        <w:rPr>
          <w:rFonts w:ascii="Calibri" w:hAnsi="Calibri" w:cs="Calibri"/>
          <w:iCs/>
          <w:sz w:val="20"/>
          <w:szCs w:val="20"/>
        </w:rPr>
        <w:t>:</w:t>
      </w:r>
      <w:r w:rsidRPr="00FD6106">
        <w:rPr>
          <w:rFonts w:ascii="Calibri" w:hAnsi="Calibri" w:cs="Calibri"/>
          <w:iCs/>
          <w:sz w:val="20"/>
          <w:szCs w:val="20"/>
        </w:rPr>
        <w:t xml:space="preserve"> </w:t>
      </w:r>
    </w:p>
    <w:p w14:paraId="60A3D5EA" w14:textId="719E4E87" w:rsidR="00887E21" w:rsidRPr="00D57DCE" w:rsidRDefault="00D57DCE" w:rsidP="00AA639A">
      <w:pPr>
        <w:pStyle w:val="ListParagraph"/>
        <w:numPr>
          <w:ilvl w:val="0"/>
          <w:numId w:val="17"/>
        </w:numPr>
        <w:spacing w:after="160" w:line="259" w:lineRule="auto"/>
        <w:rPr>
          <w:rFonts w:cs="Arial"/>
          <w:color w:val="000000" w:themeColor="text1"/>
          <w:sz w:val="20"/>
          <w:szCs w:val="20"/>
          <w:lang w:eastAsia="en-AU"/>
        </w:rPr>
      </w:pPr>
      <w:r>
        <w:rPr>
          <w:rFonts w:cs="Arial"/>
          <w:color w:val="000000" w:themeColor="text1"/>
          <w:sz w:val="20"/>
          <w:szCs w:val="20"/>
        </w:rPr>
        <w:t>T</w:t>
      </w:r>
      <w:r w:rsidR="00FD6106" w:rsidRPr="00FD6106">
        <w:rPr>
          <w:rFonts w:cs="Arial"/>
          <w:color w:val="000000" w:themeColor="text1"/>
          <w:sz w:val="20"/>
          <w:szCs w:val="20"/>
        </w:rPr>
        <w:t xml:space="preserve">he ESS has the potential </w:t>
      </w:r>
      <w:r w:rsidR="00FD6106">
        <w:rPr>
          <w:rFonts w:ascii="Calibri" w:hAnsi="Calibri" w:cs="Calibri"/>
          <w:iCs/>
          <w:sz w:val="20"/>
          <w:szCs w:val="20"/>
        </w:rPr>
        <w:t>to increase its skills related activities in support of labour mobility initiatives, both at the pre-departure stage</w:t>
      </w:r>
      <w:r w:rsidR="00FD6106">
        <w:rPr>
          <w:rStyle w:val="FootnoteReference"/>
          <w:rFonts w:ascii="Calibri" w:hAnsi="Calibri" w:cs="Calibri"/>
          <w:iCs/>
          <w:sz w:val="20"/>
          <w:szCs w:val="20"/>
        </w:rPr>
        <w:footnoteReference w:id="13"/>
      </w:r>
      <w:r w:rsidR="00FD6106">
        <w:rPr>
          <w:rFonts w:ascii="Calibri" w:hAnsi="Calibri" w:cs="Calibri"/>
          <w:iCs/>
          <w:sz w:val="20"/>
          <w:szCs w:val="20"/>
        </w:rPr>
        <w:t xml:space="preserve"> </w:t>
      </w:r>
      <w:r w:rsidR="007C73DD">
        <w:rPr>
          <w:rFonts w:ascii="Calibri" w:hAnsi="Calibri" w:cs="Calibri"/>
          <w:iCs/>
          <w:sz w:val="20"/>
          <w:szCs w:val="20"/>
        </w:rPr>
        <w:t>and at the reintegration stage</w:t>
      </w:r>
      <w:r w:rsidR="007C73DD">
        <w:rPr>
          <w:rStyle w:val="FootnoteReference"/>
          <w:rFonts w:ascii="Calibri" w:hAnsi="Calibri" w:cs="Calibri"/>
          <w:iCs/>
          <w:sz w:val="20"/>
          <w:szCs w:val="20"/>
        </w:rPr>
        <w:footnoteReference w:id="14"/>
      </w:r>
      <w:r w:rsidR="007C73DD">
        <w:rPr>
          <w:rFonts w:ascii="Calibri" w:hAnsi="Calibri" w:cs="Calibri"/>
          <w:iCs/>
          <w:sz w:val="20"/>
          <w:szCs w:val="20"/>
        </w:rPr>
        <w:t>, b</w:t>
      </w:r>
      <w:r w:rsidR="00FD6106">
        <w:rPr>
          <w:rFonts w:ascii="Calibri" w:hAnsi="Calibri" w:cs="Calibri"/>
          <w:iCs/>
          <w:sz w:val="20"/>
          <w:szCs w:val="20"/>
        </w:rPr>
        <w:t>ut this would need to be resourced appropriately as existing resources are fully allocated</w:t>
      </w:r>
      <w:r w:rsidR="007C73DD">
        <w:rPr>
          <w:rFonts w:ascii="Calibri" w:hAnsi="Calibri" w:cs="Calibri"/>
          <w:iCs/>
          <w:sz w:val="20"/>
          <w:szCs w:val="20"/>
        </w:rPr>
        <w:t>.</w:t>
      </w:r>
    </w:p>
    <w:p w14:paraId="14CAA635" w14:textId="1F193C0C" w:rsidR="00D57DCE" w:rsidRDefault="00D57DCE" w:rsidP="00AA639A">
      <w:pPr>
        <w:pStyle w:val="ListParagraph"/>
        <w:numPr>
          <w:ilvl w:val="0"/>
          <w:numId w:val="17"/>
        </w:numPr>
        <w:spacing w:after="160" w:line="259" w:lineRule="auto"/>
        <w:rPr>
          <w:rFonts w:cs="Arial"/>
          <w:color w:val="000000" w:themeColor="text1"/>
          <w:sz w:val="20"/>
          <w:szCs w:val="20"/>
          <w:lang w:eastAsia="en-AU"/>
        </w:rPr>
      </w:pPr>
      <w:r>
        <w:rPr>
          <w:rFonts w:cs="Arial"/>
          <w:color w:val="000000" w:themeColor="text1"/>
          <w:sz w:val="20"/>
          <w:szCs w:val="20"/>
        </w:rPr>
        <w:t xml:space="preserve">The </w:t>
      </w:r>
      <w:r w:rsidR="00A0052C">
        <w:rPr>
          <w:rFonts w:cs="Arial"/>
          <w:color w:val="000000" w:themeColor="text1"/>
          <w:sz w:val="20"/>
          <w:szCs w:val="20"/>
        </w:rPr>
        <w:t>N</w:t>
      </w:r>
      <w:r>
        <w:rPr>
          <w:rFonts w:cs="Arial"/>
          <w:color w:val="000000" w:themeColor="text1"/>
          <w:sz w:val="20"/>
          <w:szCs w:val="20"/>
        </w:rPr>
        <w:t xml:space="preserve">ational </w:t>
      </w:r>
      <w:r w:rsidR="00A0052C">
        <w:rPr>
          <w:rFonts w:cs="Arial"/>
          <w:color w:val="000000" w:themeColor="text1"/>
          <w:sz w:val="20"/>
          <w:szCs w:val="20"/>
        </w:rPr>
        <w:t>C</w:t>
      </w:r>
      <w:r>
        <w:rPr>
          <w:rFonts w:cs="Arial"/>
          <w:color w:val="000000" w:themeColor="text1"/>
          <w:sz w:val="20"/>
          <w:szCs w:val="20"/>
        </w:rPr>
        <w:t xml:space="preserve">areer </w:t>
      </w:r>
      <w:r w:rsidR="00A0052C">
        <w:rPr>
          <w:rFonts w:cs="Arial"/>
          <w:color w:val="000000" w:themeColor="text1"/>
          <w:sz w:val="20"/>
          <w:szCs w:val="20"/>
        </w:rPr>
        <w:t>C</w:t>
      </w:r>
      <w:r>
        <w:rPr>
          <w:rFonts w:cs="Arial"/>
          <w:color w:val="000000" w:themeColor="text1"/>
          <w:sz w:val="20"/>
          <w:szCs w:val="20"/>
        </w:rPr>
        <w:t xml:space="preserve">ounselling </w:t>
      </w:r>
      <w:r w:rsidR="00A0052C">
        <w:rPr>
          <w:rFonts w:cs="Arial"/>
          <w:color w:val="000000" w:themeColor="text1"/>
          <w:sz w:val="20"/>
          <w:szCs w:val="20"/>
        </w:rPr>
        <w:t>C</w:t>
      </w:r>
      <w:r>
        <w:rPr>
          <w:rFonts w:cs="Arial"/>
          <w:color w:val="000000" w:themeColor="text1"/>
          <w:sz w:val="20"/>
          <w:szCs w:val="20"/>
        </w:rPr>
        <w:t>entre</w:t>
      </w:r>
      <w:r w:rsidR="00FD3848">
        <w:rPr>
          <w:rFonts w:cs="Arial"/>
          <w:color w:val="000000" w:themeColor="text1"/>
          <w:sz w:val="20"/>
          <w:szCs w:val="20"/>
        </w:rPr>
        <w:t xml:space="preserve"> within the MEHR</w:t>
      </w:r>
      <w:r>
        <w:rPr>
          <w:rFonts w:cs="Arial"/>
          <w:color w:val="000000" w:themeColor="text1"/>
          <w:sz w:val="20"/>
          <w:szCs w:val="20"/>
        </w:rPr>
        <w:t xml:space="preserve"> (</w:t>
      </w:r>
      <w:r w:rsidR="00FD3848">
        <w:rPr>
          <w:rFonts w:cs="Arial"/>
          <w:color w:val="000000" w:themeColor="text1"/>
          <w:sz w:val="20"/>
          <w:szCs w:val="20"/>
        </w:rPr>
        <w:t>which the Facility was to support under EOPO 4 – by developing</w:t>
      </w:r>
      <w:r>
        <w:rPr>
          <w:rFonts w:cs="Arial"/>
          <w:color w:val="000000" w:themeColor="text1"/>
          <w:sz w:val="20"/>
          <w:szCs w:val="20"/>
        </w:rPr>
        <w:t xml:space="preserve"> business systems to support worker mobilisation and labour market information systems</w:t>
      </w:r>
      <w:r w:rsidR="00FD3848">
        <w:rPr>
          <w:rFonts w:cs="Arial"/>
          <w:color w:val="000000" w:themeColor="text1"/>
          <w:sz w:val="20"/>
          <w:szCs w:val="20"/>
        </w:rPr>
        <w:t>)</w:t>
      </w:r>
      <w:r>
        <w:rPr>
          <w:rFonts w:cs="Arial"/>
          <w:color w:val="000000" w:themeColor="text1"/>
          <w:sz w:val="20"/>
          <w:szCs w:val="20"/>
        </w:rPr>
        <w:t xml:space="preserve">, has not materialised. The absence of such a centre does hinder the Ministry’s ability to deliver </w:t>
      </w:r>
      <w:r w:rsidR="00A0052C">
        <w:rPr>
          <w:rFonts w:cs="Arial"/>
          <w:color w:val="000000" w:themeColor="text1"/>
          <w:sz w:val="20"/>
          <w:szCs w:val="20"/>
        </w:rPr>
        <w:t>evidence-based</w:t>
      </w:r>
      <w:r>
        <w:rPr>
          <w:rFonts w:cs="Arial"/>
          <w:color w:val="000000" w:themeColor="text1"/>
          <w:sz w:val="20"/>
          <w:szCs w:val="20"/>
        </w:rPr>
        <w:t xml:space="preserve"> employment placement services. </w:t>
      </w:r>
      <w:r w:rsidR="00A0052C">
        <w:rPr>
          <w:rFonts w:cs="Arial"/>
          <w:color w:val="000000" w:themeColor="text1"/>
          <w:sz w:val="20"/>
          <w:szCs w:val="20"/>
        </w:rPr>
        <w:t>Efforts should be made to</w:t>
      </w:r>
      <w:r>
        <w:rPr>
          <w:rFonts w:cs="Arial"/>
          <w:color w:val="000000" w:themeColor="text1"/>
          <w:sz w:val="20"/>
          <w:szCs w:val="20"/>
        </w:rPr>
        <w:t xml:space="preserve"> </w:t>
      </w:r>
      <w:r w:rsidR="00A0052C">
        <w:rPr>
          <w:rFonts w:cs="Arial"/>
          <w:color w:val="000000" w:themeColor="text1"/>
          <w:sz w:val="20"/>
          <w:szCs w:val="20"/>
        </w:rPr>
        <w:t xml:space="preserve">revisit the original thinking behind the </w:t>
      </w:r>
      <w:r w:rsidR="00FD3848">
        <w:rPr>
          <w:rFonts w:cs="Arial"/>
          <w:color w:val="000000" w:themeColor="text1"/>
          <w:sz w:val="20"/>
          <w:szCs w:val="20"/>
        </w:rPr>
        <w:t>Facility providing targeted support to the</w:t>
      </w:r>
      <w:r w:rsidR="00A0052C">
        <w:rPr>
          <w:rFonts w:cs="Arial"/>
          <w:color w:val="000000" w:themeColor="text1"/>
          <w:sz w:val="20"/>
          <w:szCs w:val="20"/>
        </w:rPr>
        <w:t xml:space="preserve"> centre and, if applicable, </w:t>
      </w:r>
      <w:r w:rsidR="00FD3848">
        <w:rPr>
          <w:rFonts w:cs="Arial"/>
          <w:color w:val="000000" w:themeColor="text1"/>
          <w:sz w:val="20"/>
          <w:szCs w:val="20"/>
        </w:rPr>
        <w:t>review the nature of the support the Facility can realistically provide in line with</w:t>
      </w:r>
      <w:r w:rsidR="00A0052C">
        <w:rPr>
          <w:rFonts w:cs="Arial"/>
          <w:color w:val="000000" w:themeColor="text1"/>
          <w:sz w:val="20"/>
          <w:szCs w:val="20"/>
        </w:rPr>
        <w:t xml:space="preserve"> the new labour mobility policy announcements.</w:t>
      </w:r>
    </w:p>
    <w:p w14:paraId="6586EDAA" w14:textId="26216CA8" w:rsidR="00A0052C" w:rsidRDefault="00A0052C" w:rsidP="00AA639A">
      <w:pPr>
        <w:pStyle w:val="ListParagraph"/>
        <w:numPr>
          <w:ilvl w:val="0"/>
          <w:numId w:val="17"/>
        </w:numPr>
        <w:spacing w:after="160" w:line="259" w:lineRule="auto"/>
        <w:rPr>
          <w:rFonts w:cs="Arial"/>
          <w:color w:val="000000" w:themeColor="text1"/>
          <w:sz w:val="20"/>
          <w:szCs w:val="20"/>
          <w:lang w:eastAsia="en-AU"/>
        </w:rPr>
      </w:pPr>
      <w:r w:rsidRPr="00A0052C">
        <w:rPr>
          <w:rFonts w:cs="Arial"/>
          <w:color w:val="000000" w:themeColor="text1"/>
          <w:sz w:val="20"/>
          <w:szCs w:val="20"/>
        </w:rPr>
        <w:t xml:space="preserve">With the arrival shortly of the labour mobility engagement </w:t>
      </w:r>
      <w:r w:rsidR="00023E50">
        <w:rPr>
          <w:rFonts w:cs="Arial"/>
          <w:color w:val="000000" w:themeColor="text1"/>
          <w:sz w:val="20"/>
          <w:szCs w:val="20"/>
        </w:rPr>
        <w:t>adviser</w:t>
      </w:r>
      <w:r w:rsidRPr="00A0052C">
        <w:rPr>
          <w:rFonts w:cs="Arial"/>
          <w:color w:val="000000" w:themeColor="text1"/>
          <w:sz w:val="20"/>
          <w:szCs w:val="20"/>
        </w:rPr>
        <w:t xml:space="preserve">, this could assist the Kiribati Facility in rethinking both </w:t>
      </w:r>
      <w:r w:rsidR="00FD3848">
        <w:rPr>
          <w:rFonts w:cs="Arial"/>
          <w:color w:val="000000" w:themeColor="text1"/>
          <w:sz w:val="20"/>
          <w:szCs w:val="20"/>
        </w:rPr>
        <w:t>its support to the</w:t>
      </w:r>
      <w:r w:rsidR="00FD3848" w:rsidRPr="00A0052C">
        <w:rPr>
          <w:rFonts w:cs="Arial"/>
          <w:color w:val="000000" w:themeColor="text1"/>
          <w:sz w:val="20"/>
          <w:szCs w:val="20"/>
        </w:rPr>
        <w:t xml:space="preserve"> </w:t>
      </w:r>
      <w:r>
        <w:rPr>
          <w:rFonts w:cs="Arial"/>
          <w:color w:val="000000" w:themeColor="text1"/>
          <w:sz w:val="20"/>
          <w:szCs w:val="20"/>
        </w:rPr>
        <w:t>National Career Counselling Centre and the expansion of ESS activities, in addition to providing a useful conduit between the MEHR and the Kiribati Facility to ensure greater synergy and alignment on labour mobility matters.</w:t>
      </w:r>
    </w:p>
    <w:p w14:paraId="07A54921" w14:textId="5D2E79A1" w:rsidR="007C73DD" w:rsidRPr="00A0052C" w:rsidRDefault="007C73DD" w:rsidP="00AA639A">
      <w:pPr>
        <w:pStyle w:val="ListParagraph"/>
        <w:numPr>
          <w:ilvl w:val="0"/>
          <w:numId w:val="17"/>
        </w:numPr>
        <w:spacing w:after="160" w:line="259" w:lineRule="auto"/>
        <w:rPr>
          <w:rFonts w:cs="Arial"/>
          <w:color w:val="000000" w:themeColor="text1"/>
          <w:sz w:val="20"/>
          <w:szCs w:val="20"/>
          <w:lang w:eastAsia="en-AU"/>
        </w:rPr>
      </w:pPr>
      <w:r w:rsidRPr="00A0052C">
        <w:rPr>
          <w:rFonts w:cs="Arial"/>
          <w:color w:val="000000" w:themeColor="text1"/>
          <w:sz w:val="20"/>
          <w:szCs w:val="20"/>
        </w:rPr>
        <w:t>The shift in the focus of the APTC</w:t>
      </w:r>
      <w:r w:rsidR="00E7047E">
        <w:rPr>
          <w:rStyle w:val="FootnoteReference"/>
          <w:rFonts w:cs="Arial"/>
          <w:color w:val="000000" w:themeColor="text1"/>
          <w:sz w:val="20"/>
          <w:szCs w:val="20"/>
        </w:rPr>
        <w:footnoteReference w:id="15"/>
      </w:r>
      <w:r w:rsidRPr="00A0052C">
        <w:rPr>
          <w:rFonts w:cs="Arial"/>
          <w:color w:val="000000" w:themeColor="text1"/>
          <w:sz w:val="20"/>
          <w:szCs w:val="20"/>
        </w:rPr>
        <w:t xml:space="preserve"> provides an </w:t>
      </w:r>
      <w:r w:rsidRPr="00A0052C">
        <w:rPr>
          <w:rFonts w:cs="Arial"/>
          <w:sz w:val="20"/>
          <w:szCs w:val="20"/>
          <w:lang w:val="en-AU"/>
        </w:rPr>
        <w:t>opportunity exists for greater synergy between DFAT’s regional approach to TVET (through its investment in APTC) and its bilateral program in Kiribati, particularly in terms of helping to reinvigorate the Kiribati Facility’s mandate (EOPO 4) to help improve the management and coordination of the Kiribati skills sector (and as discussed in more detail below).</w:t>
      </w:r>
    </w:p>
    <w:p w14:paraId="1419FB9C" w14:textId="19EA6C7D" w:rsidR="00887E21" w:rsidRDefault="00887E21" w:rsidP="00887E21">
      <w:pPr>
        <w:pStyle w:val="SDANumberedheading2"/>
        <w:rPr>
          <w:rFonts w:cs="Arial"/>
          <w:noProof w:val="0"/>
        </w:rPr>
      </w:pPr>
      <w:bookmarkStart w:id="22" w:name="_Toc8623404"/>
      <w:r>
        <w:rPr>
          <w:rFonts w:cs="Arial"/>
          <w:noProof w:val="0"/>
        </w:rPr>
        <w:t>Effectiveness</w:t>
      </w:r>
      <w:bookmarkEnd w:id="22"/>
    </w:p>
    <w:p w14:paraId="4F23CCF7" w14:textId="2FAFCEE6" w:rsidR="00715FA7" w:rsidRPr="002D05BC" w:rsidRDefault="00715FA7" w:rsidP="002D05BC">
      <w:pPr>
        <w:pStyle w:val="SDANumberedheading2"/>
        <w:rPr>
          <w:rFonts w:eastAsia="Times New Roman" w:cs="Arial"/>
          <w:b w:val="0"/>
          <w:noProof w:val="0"/>
          <w:color w:val="auto"/>
          <w:sz w:val="20"/>
          <w:szCs w:val="20"/>
          <w:lang w:val="en-AU" w:eastAsia="en-US"/>
        </w:rPr>
      </w:pPr>
      <w:bookmarkStart w:id="23" w:name="_Toc8189749"/>
      <w:bookmarkStart w:id="24" w:name="_Toc8623405"/>
      <w:r>
        <w:rPr>
          <w:rFonts w:eastAsia="Times New Roman" w:cs="Arial"/>
          <w:b w:val="0"/>
          <w:noProof w:val="0"/>
          <w:color w:val="auto"/>
          <w:sz w:val="20"/>
          <w:szCs w:val="20"/>
          <w:lang w:val="en-AU" w:eastAsia="en-US"/>
        </w:rPr>
        <w:t>In appraising the effectiveness of the Kiribati Facility, the review not only examined the extent to which expected progress is being achieved, but the review also examined</w:t>
      </w:r>
      <w:r w:rsidR="002D05BC">
        <w:rPr>
          <w:rFonts w:eastAsia="Times New Roman" w:cs="Arial"/>
          <w:b w:val="0"/>
          <w:noProof w:val="0"/>
          <w:color w:val="auto"/>
          <w:sz w:val="20"/>
          <w:szCs w:val="20"/>
          <w:lang w:val="en-AU" w:eastAsia="en-US"/>
        </w:rPr>
        <w:t xml:space="preserve"> effectiveness in relation to Gender, Disability, and also the extent to which the Facility’s monitoring and evaluation system can be considered to be effective. Each of these different components are discussed in more detail below.</w:t>
      </w:r>
      <w:bookmarkEnd w:id="23"/>
      <w:bookmarkEnd w:id="24"/>
    </w:p>
    <w:p w14:paraId="43D64F5C" w14:textId="7840204B" w:rsidR="00887E21" w:rsidRPr="004A274A" w:rsidRDefault="00887E21" w:rsidP="00AA639A">
      <w:pPr>
        <w:pStyle w:val="SDANumberedheading3"/>
        <w:numPr>
          <w:ilvl w:val="0"/>
          <w:numId w:val="16"/>
        </w:numPr>
        <w:rPr>
          <w:lang w:val="en-AU"/>
        </w:rPr>
      </w:pPr>
      <w:bookmarkStart w:id="25" w:name="_Toc8189750"/>
      <w:bookmarkStart w:id="26" w:name="_Toc8623406"/>
      <w:r w:rsidRPr="004A274A">
        <w:rPr>
          <w:lang w:val="en-AU"/>
        </w:rPr>
        <w:t xml:space="preserve">To </w:t>
      </w:r>
      <w:r w:rsidRPr="00887E21">
        <w:rPr>
          <w:lang w:val="en-AU"/>
        </w:rPr>
        <w:t>what extent are the end of program outcomes on-track to being achieved</w:t>
      </w:r>
      <w:r w:rsidRPr="004A274A">
        <w:rPr>
          <w:lang w:val="en-AU"/>
        </w:rPr>
        <w:t>?</w:t>
      </w:r>
      <w:bookmarkEnd w:id="25"/>
      <w:bookmarkEnd w:id="26"/>
      <w:r w:rsidRPr="004A274A">
        <w:rPr>
          <w:lang w:val="en-AU"/>
        </w:rPr>
        <w:t xml:space="preserve"> </w:t>
      </w:r>
    </w:p>
    <w:p w14:paraId="0FAF6566" w14:textId="77777777" w:rsidR="00887E21" w:rsidRPr="002D4E54" w:rsidRDefault="00887E21" w:rsidP="00887E21">
      <w:pPr>
        <w:pBdr>
          <w:top w:val="single" w:sz="4" w:space="1" w:color="auto"/>
          <w:left w:val="single" w:sz="4" w:space="4" w:color="auto"/>
          <w:bottom w:val="single" w:sz="4" w:space="1" w:color="auto"/>
          <w:right w:val="single" w:sz="4" w:space="4" w:color="auto"/>
        </w:pBdr>
        <w:shd w:val="pct15" w:color="auto" w:fill="auto"/>
        <w:rPr>
          <w:rFonts w:asciiTheme="minorHAnsi" w:hAnsiTheme="minorHAnsi" w:cstheme="minorHAnsi"/>
          <w:b/>
          <w:sz w:val="22"/>
          <w:szCs w:val="22"/>
          <w:lang w:val="en-AU"/>
        </w:rPr>
      </w:pPr>
      <w:r w:rsidRPr="002D4E54">
        <w:rPr>
          <w:rFonts w:asciiTheme="minorHAnsi" w:hAnsiTheme="minorHAnsi" w:cstheme="minorHAnsi"/>
          <w:b/>
          <w:sz w:val="22"/>
          <w:szCs w:val="22"/>
          <w:lang w:val="en-AU"/>
        </w:rPr>
        <w:t xml:space="preserve">Summary response to the evaluation question: </w:t>
      </w:r>
    </w:p>
    <w:p w14:paraId="0D5BD2C5" w14:textId="687A1EDD" w:rsidR="00D2636A" w:rsidRDefault="00AB10F1" w:rsidP="00887E21">
      <w:pPr>
        <w:pBdr>
          <w:top w:val="single" w:sz="4" w:space="1" w:color="auto"/>
          <w:left w:val="single" w:sz="4" w:space="4" w:color="auto"/>
          <w:bottom w:val="single" w:sz="4" w:space="1" w:color="auto"/>
          <w:right w:val="single" w:sz="4" w:space="4" w:color="auto"/>
        </w:pBdr>
        <w:shd w:val="pct15" w:color="auto" w:fill="auto"/>
        <w:rPr>
          <w:rFonts w:asciiTheme="minorHAnsi" w:hAnsiTheme="minorHAnsi" w:cstheme="minorHAnsi"/>
          <w:sz w:val="20"/>
          <w:szCs w:val="20"/>
        </w:rPr>
      </w:pPr>
      <w:r w:rsidRPr="00AB10F1">
        <w:rPr>
          <w:rFonts w:asciiTheme="minorHAnsi" w:hAnsiTheme="minorHAnsi" w:cstheme="minorHAnsi"/>
          <w:sz w:val="20"/>
          <w:szCs w:val="20"/>
        </w:rPr>
        <w:t xml:space="preserve">Whilst strong progress is being made towards 3 out of 4 end of program outcomes (EOPOs), little progress has been observed under the 4th EOPO. KIT, supported by the </w:t>
      </w:r>
      <w:r w:rsidR="00724196">
        <w:rPr>
          <w:rFonts w:asciiTheme="minorHAnsi" w:hAnsiTheme="minorHAnsi" w:cstheme="minorHAnsi"/>
          <w:sz w:val="20"/>
          <w:szCs w:val="20"/>
        </w:rPr>
        <w:t>SfEP</w:t>
      </w:r>
      <w:r w:rsidRPr="00AB10F1">
        <w:rPr>
          <w:rFonts w:asciiTheme="minorHAnsi" w:hAnsiTheme="minorHAnsi" w:cstheme="minorHAnsi"/>
          <w:sz w:val="20"/>
          <w:szCs w:val="20"/>
        </w:rPr>
        <w:t xml:space="preserve"> component of the Kiribati Facility, has shown noticeable improvement over the past couple of years and has recovered well from early difficult circumstances</w:t>
      </w:r>
      <w:r w:rsidR="00887E21" w:rsidRPr="00AB10F1">
        <w:rPr>
          <w:rFonts w:asciiTheme="minorHAnsi" w:hAnsiTheme="minorHAnsi" w:cstheme="minorHAnsi"/>
          <w:sz w:val="20"/>
          <w:szCs w:val="20"/>
          <w:lang w:val="en-AU"/>
        </w:rPr>
        <w:t>.</w:t>
      </w:r>
      <w:r w:rsidRPr="00AB10F1">
        <w:rPr>
          <w:rFonts w:asciiTheme="minorHAnsi" w:hAnsiTheme="minorHAnsi" w:cstheme="minorHAnsi"/>
          <w:sz w:val="20"/>
          <w:szCs w:val="20"/>
          <w:lang w:val="en-AU"/>
        </w:rPr>
        <w:t xml:space="preserve"> </w:t>
      </w:r>
      <w:r w:rsidR="00D2636A" w:rsidRPr="000E6AE7">
        <w:rPr>
          <w:rFonts w:asciiTheme="minorHAnsi" w:hAnsiTheme="minorHAnsi" w:cstheme="minorHAnsi"/>
          <w:sz w:val="20"/>
          <w:szCs w:val="20"/>
        </w:rPr>
        <w:t xml:space="preserve">The governance structure for KIT is both accountable and transparent and is meeting as planned. </w:t>
      </w:r>
    </w:p>
    <w:p w14:paraId="56D1BFE3" w14:textId="3A168793" w:rsidR="00887E21" w:rsidRPr="00AB10F1" w:rsidRDefault="00AB10F1" w:rsidP="00887E21">
      <w:pPr>
        <w:pBdr>
          <w:top w:val="single" w:sz="4" w:space="1" w:color="auto"/>
          <w:left w:val="single" w:sz="4" w:space="4" w:color="auto"/>
          <w:bottom w:val="single" w:sz="4" w:space="1" w:color="auto"/>
          <w:right w:val="single" w:sz="4" w:space="4" w:color="auto"/>
        </w:pBdr>
        <w:shd w:val="pct15" w:color="auto" w:fill="auto"/>
        <w:rPr>
          <w:rFonts w:asciiTheme="minorHAnsi" w:hAnsiTheme="minorHAnsi" w:cstheme="minorHAnsi"/>
          <w:sz w:val="20"/>
          <w:szCs w:val="20"/>
        </w:rPr>
      </w:pPr>
      <w:r w:rsidRPr="00AB10F1">
        <w:rPr>
          <w:rFonts w:asciiTheme="minorHAnsi" w:hAnsiTheme="minorHAnsi" w:cstheme="minorHAnsi"/>
          <w:sz w:val="20"/>
          <w:szCs w:val="20"/>
        </w:rPr>
        <w:t>The Labour Market Information System (a key deliverable under EOPO2) has yet to be developed, which undermines efforts to demonstrate the effect KIT is having on the sector</w:t>
      </w:r>
      <w:r w:rsidR="00CC5604">
        <w:rPr>
          <w:rFonts w:asciiTheme="minorHAnsi" w:hAnsiTheme="minorHAnsi" w:cstheme="minorHAnsi"/>
          <w:sz w:val="20"/>
          <w:szCs w:val="20"/>
        </w:rPr>
        <w:t xml:space="preserve"> and efforts to analyse sector related data</w:t>
      </w:r>
      <w:r w:rsidRPr="00AB10F1">
        <w:rPr>
          <w:rFonts w:asciiTheme="minorHAnsi" w:hAnsiTheme="minorHAnsi" w:cstheme="minorHAnsi"/>
          <w:sz w:val="20"/>
          <w:szCs w:val="20"/>
        </w:rPr>
        <w:t>.</w:t>
      </w:r>
    </w:p>
    <w:p w14:paraId="776E8BDD" w14:textId="7B1EDFE8" w:rsidR="00887E21" w:rsidRDefault="00AB10F1" w:rsidP="00887E21">
      <w:pPr>
        <w:pBdr>
          <w:top w:val="single" w:sz="4" w:space="1" w:color="auto"/>
          <w:left w:val="single" w:sz="4" w:space="4" w:color="auto"/>
          <w:bottom w:val="single" w:sz="4" w:space="1" w:color="auto"/>
          <w:right w:val="single" w:sz="4" w:space="4" w:color="auto"/>
        </w:pBdr>
        <w:shd w:val="pct15" w:color="auto" w:fill="auto"/>
        <w:rPr>
          <w:rFonts w:asciiTheme="minorHAnsi" w:hAnsiTheme="minorHAnsi" w:cstheme="minorHAnsi"/>
          <w:sz w:val="20"/>
          <w:szCs w:val="20"/>
        </w:rPr>
      </w:pPr>
      <w:r w:rsidRPr="00AB10F1">
        <w:rPr>
          <w:rFonts w:asciiTheme="minorHAnsi" w:hAnsiTheme="minorHAnsi" w:cstheme="minorHAnsi"/>
          <w:sz w:val="20"/>
          <w:szCs w:val="20"/>
        </w:rPr>
        <w:t xml:space="preserve">The Flexible Support Facility (EOPO 4), which was meant to focus on helping to coordinate and strengthen the sector, has failed to materialise. </w:t>
      </w:r>
      <w:r w:rsidR="00281D71">
        <w:rPr>
          <w:rFonts w:asciiTheme="minorHAnsi" w:hAnsiTheme="minorHAnsi" w:cstheme="minorHAnsi"/>
          <w:sz w:val="20"/>
          <w:szCs w:val="20"/>
        </w:rPr>
        <w:t>Reports</w:t>
      </w:r>
      <w:r w:rsidRPr="00AB10F1">
        <w:rPr>
          <w:rFonts w:asciiTheme="minorHAnsi" w:hAnsiTheme="minorHAnsi" w:cstheme="minorHAnsi"/>
          <w:sz w:val="20"/>
          <w:szCs w:val="20"/>
        </w:rPr>
        <w:t xml:space="preserve"> suggest that EOPO 4 has been subsumed into the other 3 EOPOs, </w:t>
      </w:r>
      <w:r w:rsidR="00281D71">
        <w:rPr>
          <w:rFonts w:asciiTheme="minorHAnsi" w:hAnsiTheme="minorHAnsi" w:cstheme="minorHAnsi"/>
          <w:sz w:val="20"/>
          <w:szCs w:val="20"/>
        </w:rPr>
        <w:t xml:space="preserve">but </w:t>
      </w:r>
      <w:r w:rsidRPr="00AB10F1">
        <w:rPr>
          <w:rFonts w:asciiTheme="minorHAnsi" w:hAnsiTheme="minorHAnsi" w:cstheme="minorHAnsi"/>
          <w:sz w:val="20"/>
          <w:szCs w:val="20"/>
        </w:rPr>
        <w:t>here is no evidence to suggest that this this has happened. Moreover, the initial design document provides a strong argument for why it is necessary to engage at the sector level, and it is therefore not appropriate to ignore this important part of the facility.</w:t>
      </w:r>
    </w:p>
    <w:p w14:paraId="06F7421A" w14:textId="27036C29" w:rsidR="00724196" w:rsidRDefault="00724196" w:rsidP="00887E21">
      <w:pPr>
        <w:pBdr>
          <w:top w:val="single" w:sz="4" w:space="1" w:color="auto"/>
          <w:left w:val="single" w:sz="4" w:space="4" w:color="auto"/>
          <w:bottom w:val="single" w:sz="4" w:space="1" w:color="auto"/>
          <w:right w:val="single" w:sz="4" w:space="4" w:color="auto"/>
        </w:pBdr>
        <w:shd w:val="pct15" w:color="auto" w:fill="auto"/>
        <w:rPr>
          <w:rFonts w:asciiTheme="minorHAnsi" w:hAnsiTheme="minorHAnsi" w:cs="Arial"/>
          <w:sz w:val="20"/>
          <w:szCs w:val="20"/>
        </w:rPr>
      </w:pPr>
      <w:r w:rsidRPr="00554C34">
        <w:rPr>
          <w:rFonts w:asciiTheme="minorHAnsi" w:hAnsiTheme="minorHAnsi" w:cs="Arial"/>
          <w:sz w:val="20"/>
          <w:szCs w:val="20"/>
        </w:rPr>
        <w:t>The Kiribati Facility has made a concerted effort to incorporate gender issues into the design and implementation of activities, especially at KIT. KIT has increased female participation in skills development by 16 per cent in absolute terms since 2017</w:t>
      </w:r>
      <w:r>
        <w:rPr>
          <w:rFonts w:asciiTheme="minorHAnsi" w:hAnsiTheme="minorHAnsi" w:cs="Arial"/>
          <w:sz w:val="20"/>
          <w:szCs w:val="20"/>
        </w:rPr>
        <w:t>,</w:t>
      </w:r>
      <w:r w:rsidRPr="00554C34">
        <w:rPr>
          <w:rFonts w:asciiTheme="minorHAnsi" w:hAnsiTheme="minorHAnsi" w:cs="Arial"/>
          <w:sz w:val="20"/>
          <w:szCs w:val="20"/>
        </w:rPr>
        <w:t xml:space="preserve"> and in 2018 </w:t>
      </w:r>
      <w:r>
        <w:rPr>
          <w:rFonts w:asciiTheme="minorHAnsi" w:hAnsiTheme="minorHAnsi" w:cs="Arial"/>
          <w:sz w:val="20"/>
          <w:szCs w:val="20"/>
        </w:rPr>
        <w:t>women made up</w:t>
      </w:r>
      <w:r w:rsidRPr="00554C34">
        <w:rPr>
          <w:rFonts w:asciiTheme="minorHAnsi" w:hAnsiTheme="minorHAnsi" w:cs="Arial"/>
          <w:sz w:val="20"/>
          <w:szCs w:val="20"/>
        </w:rPr>
        <w:t xml:space="preserve"> 48 per cent of the </w:t>
      </w:r>
      <w:r>
        <w:rPr>
          <w:rFonts w:asciiTheme="minorHAnsi" w:hAnsiTheme="minorHAnsi" w:cs="Arial"/>
          <w:sz w:val="20"/>
          <w:szCs w:val="20"/>
        </w:rPr>
        <w:t>total enrolment</w:t>
      </w:r>
      <w:r w:rsidRPr="00554C34">
        <w:rPr>
          <w:rFonts w:asciiTheme="minorHAnsi" w:hAnsiTheme="minorHAnsi" w:cs="Arial"/>
          <w:sz w:val="20"/>
          <w:szCs w:val="20"/>
        </w:rPr>
        <w:t xml:space="preserve">. There has also been a strong focus on campus environment (e.g. training on </w:t>
      </w:r>
      <w:r>
        <w:rPr>
          <w:rFonts w:asciiTheme="minorHAnsi" w:hAnsiTheme="minorHAnsi" w:cs="Arial"/>
          <w:sz w:val="20"/>
          <w:szCs w:val="20"/>
        </w:rPr>
        <w:t>Gender Based Violence</w:t>
      </w:r>
      <w:r w:rsidRPr="00554C34">
        <w:rPr>
          <w:rFonts w:asciiTheme="minorHAnsi" w:hAnsiTheme="minorHAnsi" w:cs="Arial"/>
          <w:sz w:val="20"/>
          <w:szCs w:val="20"/>
        </w:rPr>
        <w:t xml:space="preserve">, </w:t>
      </w:r>
      <w:r>
        <w:rPr>
          <w:rFonts w:asciiTheme="minorHAnsi" w:hAnsiTheme="minorHAnsi" w:cs="Arial"/>
          <w:sz w:val="20"/>
          <w:szCs w:val="20"/>
        </w:rPr>
        <w:t xml:space="preserve">the establishment of a </w:t>
      </w:r>
      <w:r w:rsidRPr="00554C34">
        <w:rPr>
          <w:rFonts w:asciiTheme="minorHAnsi" w:hAnsiTheme="minorHAnsi" w:cs="Arial"/>
          <w:sz w:val="20"/>
          <w:szCs w:val="20"/>
        </w:rPr>
        <w:t xml:space="preserve">health clinic, </w:t>
      </w:r>
      <w:r>
        <w:rPr>
          <w:rFonts w:asciiTheme="minorHAnsi" w:hAnsiTheme="minorHAnsi" w:cs="Arial"/>
          <w:sz w:val="20"/>
          <w:szCs w:val="20"/>
        </w:rPr>
        <w:t xml:space="preserve">and increased </w:t>
      </w:r>
      <w:r w:rsidRPr="00554C34">
        <w:rPr>
          <w:rFonts w:asciiTheme="minorHAnsi" w:hAnsiTheme="minorHAnsi" w:cs="Arial"/>
          <w:sz w:val="20"/>
          <w:szCs w:val="20"/>
        </w:rPr>
        <w:t>employment of female lecturers in non-traditional courses</w:t>
      </w:r>
      <w:r>
        <w:rPr>
          <w:rFonts w:asciiTheme="minorHAnsi" w:hAnsiTheme="minorHAnsi" w:cs="Arial"/>
          <w:sz w:val="20"/>
          <w:szCs w:val="20"/>
        </w:rPr>
        <w:t>)</w:t>
      </w:r>
      <w:r w:rsidRPr="00554C34">
        <w:rPr>
          <w:rFonts w:asciiTheme="minorHAnsi" w:hAnsiTheme="minorHAnsi" w:cs="Arial"/>
          <w:sz w:val="20"/>
          <w:szCs w:val="20"/>
        </w:rPr>
        <w:t xml:space="preserve">. KIT has undertaken a wide range of mainstreaming activities to support disability and inclusion (e.g. tailoring courses, adapting infrastructure, </w:t>
      </w:r>
      <w:r>
        <w:rPr>
          <w:rFonts w:asciiTheme="minorHAnsi" w:hAnsiTheme="minorHAnsi" w:cs="Arial"/>
          <w:sz w:val="20"/>
          <w:szCs w:val="20"/>
        </w:rPr>
        <w:t xml:space="preserve">and </w:t>
      </w:r>
      <w:r w:rsidRPr="00554C34">
        <w:rPr>
          <w:rFonts w:asciiTheme="minorHAnsi" w:hAnsiTheme="minorHAnsi" w:cs="Arial"/>
          <w:sz w:val="20"/>
          <w:szCs w:val="20"/>
        </w:rPr>
        <w:t>co</w:t>
      </w:r>
      <w:r>
        <w:rPr>
          <w:rFonts w:asciiTheme="minorHAnsi" w:hAnsiTheme="minorHAnsi" w:cs="Arial"/>
          <w:sz w:val="20"/>
          <w:szCs w:val="20"/>
        </w:rPr>
        <w:t xml:space="preserve"> - </w:t>
      </w:r>
      <w:r w:rsidRPr="00554C34">
        <w:rPr>
          <w:rFonts w:asciiTheme="minorHAnsi" w:hAnsiTheme="minorHAnsi" w:cs="Arial"/>
          <w:sz w:val="20"/>
          <w:szCs w:val="20"/>
        </w:rPr>
        <w:t>delivery of courses with Kiribati Deaf Association). KIT has also witnessed an increase in the participation of KIT courses for people with disability. In addition, KIT has fostered engagement through its Community Support Strategy, and is implement</w:t>
      </w:r>
      <w:r>
        <w:rPr>
          <w:rFonts w:asciiTheme="minorHAnsi" w:hAnsiTheme="minorHAnsi" w:cs="Arial"/>
          <w:sz w:val="20"/>
          <w:szCs w:val="20"/>
        </w:rPr>
        <w:t>ing</w:t>
      </w:r>
      <w:r w:rsidRPr="00554C34">
        <w:rPr>
          <w:rFonts w:asciiTheme="minorHAnsi" w:hAnsiTheme="minorHAnsi" w:cs="Arial"/>
          <w:sz w:val="20"/>
          <w:szCs w:val="20"/>
        </w:rPr>
        <w:t xml:space="preserve"> a Disability Support Plan</w:t>
      </w:r>
      <w:r>
        <w:rPr>
          <w:rFonts w:asciiTheme="minorHAnsi" w:hAnsiTheme="minorHAnsi" w:cs="Arial"/>
          <w:sz w:val="20"/>
          <w:szCs w:val="20"/>
        </w:rPr>
        <w:t>.</w:t>
      </w:r>
    </w:p>
    <w:p w14:paraId="334FE6B2" w14:textId="38B19E80" w:rsidR="00CC5604" w:rsidRPr="00CC5604" w:rsidRDefault="00CC5604" w:rsidP="00887E21">
      <w:pPr>
        <w:pBdr>
          <w:top w:val="single" w:sz="4" w:space="1" w:color="auto"/>
          <w:left w:val="single" w:sz="4" w:space="4" w:color="auto"/>
          <w:bottom w:val="single" w:sz="4" w:space="1" w:color="auto"/>
          <w:right w:val="single" w:sz="4" w:space="4" w:color="auto"/>
        </w:pBdr>
        <w:shd w:val="pct15" w:color="auto" w:fill="auto"/>
        <w:rPr>
          <w:rFonts w:asciiTheme="minorHAnsi" w:hAnsiTheme="minorHAnsi" w:cs="Arial"/>
          <w:sz w:val="20"/>
          <w:szCs w:val="20"/>
        </w:rPr>
      </w:pPr>
      <w:r w:rsidRPr="00CC5604">
        <w:rPr>
          <w:rFonts w:asciiTheme="minorHAnsi" w:hAnsiTheme="minorHAnsi" w:cs="Arial"/>
          <w:sz w:val="20"/>
          <w:szCs w:val="20"/>
        </w:rPr>
        <w:t xml:space="preserve">There exists a comprehensive M&amp;E plan for SfEP, which is routinely reported against. No such plan exists for the other component of the program (i.e. the Flexible Support Facility). There has been considerable investment in KIT’s data collection and monitoring system, and the consensus is that data quality is improving. </w:t>
      </w:r>
    </w:p>
    <w:p w14:paraId="1DD69CD6" w14:textId="77777777" w:rsidR="00593848" w:rsidRDefault="00593848" w:rsidP="00593848">
      <w:pPr>
        <w:spacing w:after="160" w:line="259" w:lineRule="auto"/>
        <w:rPr>
          <w:rFonts w:ascii="Calibri" w:hAnsi="Calibri" w:cs="Calibri"/>
          <w:iCs/>
          <w:sz w:val="20"/>
          <w:szCs w:val="20"/>
        </w:rPr>
      </w:pPr>
    </w:p>
    <w:p w14:paraId="446DDE31" w14:textId="45B90797" w:rsidR="005D327B" w:rsidRDefault="00593848" w:rsidP="00593848">
      <w:pPr>
        <w:spacing w:after="160" w:line="259" w:lineRule="auto"/>
        <w:rPr>
          <w:rFonts w:ascii="Calibri" w:hAnsi="Calibri" w:cs="Calibri"/>
          <w:iCs/>
          <w:sz w:val="20"/>
          <w:szCs w:val="20"/>
        </w:rPr>
      </w:pPr>
      <w:r>
        <w:rPr>
          <w:rFonts w:ascii="Calibri" w:hAnsi="Calibri" w:cs="Calibri"/>
          <w:iCs/>
          <w:sz w:val="20"/>
          <w:szCs w:val="20"/>
        </w:rPr>
        <w:t xml:space="preserve">A review of annual reports found that </w:t>
      </w:r>
      <w:r w:rsidRPr="00593848">
        <w:rPr>
          <w:rFonts w:ascii="Calibri" w:hAnsi="Calibri" w:cs="Calibri"/>
          <w:b/>
          <w:iCs/>
          <w:sz w:val="20"/>
          <w:szCs w:val="20"/>
        </w:rPr>
        <w:t>the Kiribati Facility has shown strong progress against three of the four EOPOs</w:t>
      </w:r>
      <w:r>
        <w:rPr>
          <w:rFonts w:ascii="Calibri" w:hAnsi="Calibri" w:cs="Calibri"/>
          <w:iCs/>
          <w:sz w:val="20"/>
          <w:szCs w:val="20"/>
        </w:rPr>
        <w:t xml:space="preserve">. Of the broad areas of focus identified in the Annual Plan of 2017, 78% are considered to have been achieved in line with expectations, 18.5% were partially achieved, and 1 planned activity was not achieved. In 2018, 59% of planned activities were delivered as expected, 33% are considered to have been partially achieved, and 2 planned activities were not achieved. </w:t>
      </w:r>
    </w:p>
    <w:p w14:paraId="4A5F28F1" w14:textId="77777777" w:rsidR="001C6D38" w:rsidRDefault="001C6D38" w:rsidP="001C6D38">
      <w:pPr>
        <w:spacing w:after="160" w:line="259" w:lineRule="auto"/>
        <w:rPr>
          <w:rFonts w:ascii="Calibri" w:hAnsi="Calibri" w:cs="Calibri"/>
          <w:iCs/>
          <w:sz w:val="20"/>
          <w:szCs w:val="20"/>
        </w:rPr>
      </w:pPr>
      <w:r>
        <w:rPr>
          <w:rFonts w:ascii="Calibri" w:hAnsi="Calibri" w:cs="Calibri"/>
          <w:iCs/>
          <w:sz w:val="20"/>
          <w:szCs w:val="20"/>
        </w:rPr>
        <w:t>With regards to the 1</w:t>
      </w:r>
      <w:r w:rsidRPr="005D327B">
        <w:rPr>
          <w:rFonts w:ascii="Calibri" w:hAnsi="Calibri" w:cs="Calibri"/>
          <w:iCs/>
          <w:sz w:val="20"/>
          <w:szCs w:val="20"/>
          <w:vertAlign w:val="superscript"/>
        </w:rPr>
        <w:t>st</w:t>
      </w:r>
      <w:r>
        <w:rPr>
          <w:rFonts w:ascii="Calibri" w:hAnsi="Calibri" w:cs="Calibri"/>
          <w:iCs/>
          <w:sz w:val="20"/>
          <w:szCs w:val="20"/>
        </w:rPr>
        <w:t xml:space="preserve"> EOPO (‘increased equitable participation of 16 – 24 year old women and men in skills programs’) SfEP has shown a steady increase in the numbers enrolling and graduating (</w:t>
      </w:r>
      <w:r>
        <w:rPr>
          <w:rFonts w:ascii="Calibri" w:hAnsi="Calibri" w:cs="Calibri"/>
          <w:iCs/>
          <w:sz w:val="20"/>
          <w:szCs w:val="20"/>
        </w:rPr>
        <w:fldChar w:fldCharType="begin"/>
      </w:r>
      <w:r>
        <w:rPr>
          <w:rFonts w:ascii="Calibri" w:hAnsi="Calibri" w:cs="Calibri"/>
          <w:iCs/>
          <w:sz w:val="20"/>
          <w:szCs w:val="20"/>
        </w:rPr>
        <w:instrText xml:space="preserve"> REF _Ref7673515 \h  \* MERGEFORMAT </w:instrText>
      </w:r>
      <w:r>
        <w:rPr>
          <w:rFonts w:ascii="Calibri" w:hAnsi="Calibri" w:cs="Calibri"/>
          <w:iCs/>
          <w:sz w:val="20"/>
          <w:szCs w:val="20"/>
        </w:rPr>
      </w:r>
      <w:r>
        <w:rPr>
          <w:rFonts w:ascii="Calibri" w:hAnsi="Calibri" w:cs="Calibri"/>
          <w:iCs/>
          <w:sz w:val="20"/>
          <w:szCs w:val="20"/>
        </w:rPr>
        <w:fldChar w:fldCharType="separate"/>
      </w:r>
      <w:r w:rsidRPr="005D327B">
        <w:rPr>
          <w:rFonts w:ascii="Calibri" w:hAnsi="Calibri" w:cs="Calibri"/>
          <w:iCs/>
          <w:sz w:val="20"/>
          <w:szCs w:val="20"/>
        </w:rPr>
        <w:t>Figure 3</w:t>
      </w:r>
      <w:r>
        <w:rPr>
          <w:rFonts w:ascii="Calibri" w:hAnsi="Calibri" w:cs="Calibri"/>
          <w:iCs/>
          <w:sz w:val="20"/>
          <w:szCs w:val="20"/>
        </w:rPr>
        <w:fldChar w:fldCharType="end"/>
      </w:r>
      <w:r>
        <w:rPr>
          <w:rFonts w:ascii="Calibri" w:hAnsi="Calibri" w:cs="Calibri"/>
          <w:iCs/>
          <w:sz w:val="20"/>
          <w:szCs w:val="20"/>
        </w:rPr>
        <w:t xml:space="preserve">), albeit data was not yet available on those who graduated at the end of 2018. </w:t>
      </w:r>
      <w:r>
        <w:rPr>
          <w:rFonts w:ascii="Calibri" w:hAnsi="Calibri" w:cs="Calibri"/>
          <w:iCs/>
          <w:sz w:val="20"/>
          <w:szCs w:val="20"/>
        </w:rPr>
        <w:fldChar w:fldCharType="begin"/>
      </w:r>
      <w:r>
        <w:rPr>
          <w:rFonts w:ascii="Calibri" w:hAnsi="Calibri" w:cs="Calibri"/>
          <w:iCs/>
          <w:sz w:val="20"/>
          <w:szCs w:val="20"/>
        </w:rPr>
        <w:instrText xml:space="preserve"> REF _Ref7673515 \h  \* MERGEFORMAT </w:instrText>
      </w:r>
      <w:r>
        <w:rPr>
          <w:rFonts w:ascii="Calibri" w:hAnsi="Calibri" w:cs="Calibri"/>
          <w:iCs/>
          <w:sz w:val="20"/>
          <w:szCs w:val="20"/>
        </w:rPr>
      </w:r>
      <w:r>
        <w:rPr>
          <w:rFonts w:ascii="Calibri" w:hAnsi="Calibri" w:cs="Calibri"/>
          <w:iCs/>
          <w:sz w:val="20"/>
          <w:szCs w:val="20"/>
        </w:rPr>
        <w:fldChar w:fldCharType="separate"/>
      </w:r>
      <w:r w:rsidRPr="005D327B">
        <w:rPr>
          <w:rFonts w:ascii="Calibri" w:hAnsi="Calibri" w:cs="Calibri"/>
          <w:iCs/>
          <w:sz w:val="20"/>
          <w:szCs w:val="20"/>
        </w:rPr>
        <w:t>Figure 3</w:t>
      </w:r>
      <w:r>
        <w:rPr>
          <w:rFonts w:ascii="Calibri" w:hAnsi="Calibri" w:cs="Calibri"/>
          <w:iCs/>
          <w:sz w:val="20"/>
          <w:szCs w:val="20"/>
        </w:rPr>
        <w:fldChar w:fldCharType="end"/>
      </w:r>
      <w:r>
        <w:rPr>
          <w:rFonts w:ascii="Calibri" w:hAnsi="Calibri" w:cs="Calibri"/>
          <w:iCs/>
          <w:sz w:val="20"/>
          <w:szCs w:val="20"/>
        </w:rPr>
        <w:t xml:space="preserve"> illustrates a noticeable number of applications since 2014, and a steady increase with regards to enrolments, including a steady annual increase since the start of the Kiribati Facility in 2016. EduPoint data also notes a strong increase in the number of students participating in short courses, with a 17% increase between 2017 and 2018 (total number of enrolments in short courses for 2018 was 1383 students).</w:t>
      </w:r>
    </w:p>
    <w:p w14:paraId="6664F6DB" w14:textId="7CF1FFF4" w:rsidR="001C6D38" w:rsidRDefault="001C6D38" w:rsidP="00593848">
      <w:pPr>
        <w:spacing w:after="160" w:line="259" w:lineRule="auto"/>
        <w:rPr>
          <w:rFonts w:ascii="Calibri" w:hAnsi="Calibri" w:cs="Calibri"/>
          <w:iCs/>
          <w:sz w:val="20"/>
          <w:szCs w:val="20"/>
        </w:rPr>
      </w:pPr>
      <w:r>
        <w:rPr>
          <w:rFonts w:ascii="Calibri" w:hAnsi="Calibri" w:cs="Calibri"/>
          <w:iCs/>
          <w:sz w:val="20"/>
          <w:szCs w:val="20"/>
        </w:rPr>
        <w:t>With regards to the 1</w:t>
      </w:r>
      <w:r w:rsidRPr="005D327B">
        <w:rPr>
          <w:rFonts w:ascii="Calibri" w:hAnsi="Calibri" w:cs="Calibri"/>
          <w:iCs/>
          <w:sz w:val="20"/>
          <w:szCs w:val="20"/>
          <w:vertAlign w:val="superscript"/>
        </w:rPr>
        <w:t>st</w:t>
      </w:r>
      <w:r>
        <w:rPr>
          <w:rFonts w:ascii="Calibri" w:hAnsi="Calibri" w:cs="Calibri"/>
          <w:iCs/>
          <w:sz w:val="20"/>
          <w:szCs w:val="20"/>
        </w:rPr>
        <w:t xml:space="preserve"> EOPO (‘increased equitable participation of 16 – 24 year old women and men in skills programs’) SfEP has shown a steady increase in the numbers enrolling and graduating (</w:t>
      </w:r>
      <w:r>
        <w:rPr>
          <w:rFonts w:ascii="Calibri" w:hAnsi="Calibri" w:cs="Calibri"/>
          <w:iCs/>
          <w:sz w:val="20"/>
          <w:szCs w:val="20"/>
        </w:rPr>
        <w:fldChar w:fldCharType="begin"/>
      </w:r>
      <w:r>
        <w:rPr>
          <w:rFonts w:ascii="Calibri" w:hAnsi="Calibri" w:cs="Calibri"/>
          <w:iCs/>
          <w:sz w:val="20"/>
          <w:szCs w:val="20"/>
        </w:rPr>
        <w:instrText xml:space="preserve"> REF _Ref7673515 \h  \* MERGEFORMAT </w:instrText>
      </w:r>
      <w:r>
        <w:rPr>
          <w:rFonts w:ascii="Calibri" w:hAnsi="Calibri" w:cs="Calibri"/>
          <w:iCs/>
          <w:sz w:val="20"/>
          <w:szCs w:val="20"/>
        </w:rPr>
      </w:r>
      <w:r>
        <w:rPr>
          <w:rFonts w:ascii="Calibri" w:hAnsi="Calibri" w:cs="Calibri"/>
          <w:iCs/>
          <w:sz w:val="20"/>
          <w:szCs w:val="20"/>
        </w:rPr>
        <w:fldChar w:fldCharType="separate"/>
      </w:r>
      <w:r w:rsidRPr="005D327B">
        <w:rPr>
          <w:rFonts w:ascii="Calibri" w:hAnsi="Calibri" w:cs="Calibri"/>
          <w:iCs/>
          <w:sz w:val="20"/>
          <w:szCs w:val="20"/>
        </w:rPr>
        <w:t>Figure 3</w:t>
      </w:r>
      <w:r>
        <w:rPr>
          <w:rFonts w:ascii="Calibri" w:hAnsi="Calibri" w:cs="Calibri"/>
          <w:iCs/>
          <w:sz w:val="20"/>
          <w:szCs w:val="20"/>
        </w:rPr>
        <w:fldChar w:fldCharType="end"/>
      </w:r>
      <w:r>
        <w:rPr>
          <w:rFonts w:ascii="Calibri" w:hAnsi="Calibri" w:cs="Calibri"/>
          <w:iCs/>
          <w:sz w:val="20"/>
          <w:szCs w:val="20"/>
        </w:rPr>
        <w:t xml:space="preserve">), albeit data was not yet available on those who graduated at the end of 2018. </w:t>
      </w:r>
      <w:r>
        <w:rPr>
          <w:rFonts w:ascii="Calibri" w:hAnsi="Calibri" w:cs="Calibri"/>
          <w:iCs/>
          <w:sz w:val="20"/>
          <w:szCs w:val="20"/>
        </w:rPr>
        <w:fldChar w:fldCharType="begin"/>
      </w:r>
      <w:r>
        <w:rPr>
          <w:rFonts w:ascii="Calibri" w:hAnsi="Calibri" w:cs="Calibri"/>
          <w:iCs/>
          <w:sz w:val="20"/>
          <w:szCs w:val="20"/>
        </w:rPr>
        <w:instrText xml:space="preserve"> REF _Ref7673515 \h  \* MERGEFORMAT </w:instrText>
      </w:r>
      <w:r>
        <w:rPr>
          <w:rFonts w:ascii="Calibri" w:hAnsi="Calibri" w:cs="Calibri"/>
          <w:iCs/>
          <w:sz w:val="20"/>
          <w:szCs w:val="20"/>
        </w:rPr>
      </w:r>
      <w:r>
        <w:rPr>
          <w:rFonts w:ascii="Calibri" w:hAnsi="Calibri" w:cs="Calibri"/>
          <w:iCs/>
          <w:sz w:val="20"/>
          <w:szCs w:val="20"/>
        </w:rPr>
        <w:fldChar w:fldCharType="separate"/>
      </w:r>
      <w:r w:rsidRPr="005D327B">
        <w:rPr>
          <w:rFonts w:ascii="Calibri" w:hAnsi="Calibri" w:cs="Calibri"/>
          <w:iCs/>
          <w:sz w:val="20"/>
          <w:szCs w:val="20"/>
        </w:rPr>
        <w:t>Figure 3</w:t>
      </w:r>
      <w:r>
        <w:rPr>
          <w:rFonts w:ascii="Calibri" w:hAnsi="Calibri" w:cs="Calibri"/>
          <w:iCs/>
          <w:sz w:val="20"/>
          <w:szCs w:val="20"/>
        </w:rPr>
        <w:fldChar w:fldCharType="end"/>
      </w:r>
      <w:r>
        <w:rPr>
          <w:rFonts w:ascii="Calibri" w:hAnsi="Calibri" w:cs="Calibri"/>
          <w:iCs/>
          <w:sz w:val="20"/>
          <w:szCs w:val="20"/>
        </w:rPr>
        <w:t xml:space="preserve"> illustrates a noticeable number of applications since 2014, and a steady increase with regards to enrolments, including a steady annual increase since the start of the Kiribati Facility in 2016. EduPoint data also notes a strong increase in the number of students participating in short courses, with a 17% increase between 2017 and 2018 (total number of enrolments in short courses for 2018 was 1383 students).</w:t>
      </w:r>
    </w:p>
    <w:p w14:paraId="1F23F14B" w14:textId="1B6F4264" w:rsidR="005D327B" w:rsidRPr="00593848" w:rsidRDefault="005D327B" w:rsidP="005D327B">
      <w:pPr>
        <w:pStyle w:val="Caption"/>
        <w:rPr>
          <w:rFonts w:ascii="Calibri" w:hAnsi="Calibri" w:cs="Calibri"/>
          <w:iCs w:val="0"/>
          <w:sz w:val="20"/>
          <w:szCs w:val="20"/>
        </w:rPr>
      </w:pPr>
      <w:bookmarkStart w:id="27" w:name="_Ref7673515"/>
      <w:r>
        <w:t xml:space="preserve">Figure </w:t>
      </w:r>
      <w:r>
        <w:fldChar w:fldCharType="begin"/>
      </w:r>
      <w:r>
        <w:instrText xml:space="preserve"> SEQ Figure \* ARABIC </w:instrText>
      </w:r>
      <w:r>
        <w:fldChar w:fldCharType="separate"/>
      </w:r>
      <w:r w:rsidR="00157AA4">
        <w:rPr>
          <w:noProof/>
        </w:rPr>
        <w:t>3</w:t>
      </w:r>
      <w:r>
        <w:fldChar w:fldCharType="end"/>
      </w:r>
      <w:bookmarkEnd w:id="27"/>
      <w:r>
        <w:t>:KIT Certificate Courses: Applications, Enrolments and Graduates – 2012 – 2019 (Source: EduPoint data)</w:t>
      </w:r>
    </w:p>
    <w:p w14:paraId="621B4A04" w14:textId="34964BD0" w:rsidR="00593848" w:rsidRDefault="005D327B" w:rsidP="00887E21">
      <w:pPr>
        <w:pStyle w:val="SDANumberedheading2"/>
        <w:rPr>
          <w:rFonts w:cs="Arial"/>
          <w:noProof w:val="0"/>
        </w:rPr>
      </w:pPr>
      <w:bookmarkStart w:id="28" w:name="_Toc8189751"/>
      <w:bookmarkStart w:id="29" w:name="_Toc8623407"/>
      <w:r w:rsidRPr="005D327B">
        <w:rPr>
          <w:rFonts w:cs="Arial"/>
          <w:lang w:val="en-AU"/>
        </w:rPr>
        <w:drawing>
          <wp:inline distT="0" distB="0" distL="0" distR="0" wp14:anchorId="04E72A1B" wp14:editId="521729E0">
            <wp:extent cx="6188710" cy="2344057"/>
            <wp:effectExtent l="0" t="0" r="8890" b="18415"/>
            <wp:docPr id="31" name="Chart 31">
              <a:extLst xmlns:a="http://schemas.openxmlformats.org/drawingml/2006/main">
                <a:ext uri="{FF2B5EF4-FFF2-40B4-BE49-F238E27FC236}">
                  <a16:creationId xmlns:a16="http://schemas.microsoft.com/office/drawing/2014/main" id="{4754A88A-A787-4C40-BF53-42A418FF6D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End w:id="28"/>
      <w:bookmarkEnd w:id="29"/>
    </w:p>
    <w:p w14:paraId="58149694" w14:textId="54486434" w:rsidR="00887E21" w:rsidRPr="00724196" w:rsidRDefault="005C2423" w:rsidP="008135C4">
      <w:pPr>
        <w:spacing w:after="160" w:line="259" w:lineRule="auto"/>
        <w:rPr>
          <w:rFonts w:ascii="Calibri" w:hAnsi="Calibri" w:cs="Calibri"/>
          <w:iCs/>
          <w:sz w:val="20"/>
          <w:szCs w:val="20"/>
        </w:rPr>
      </w:pPr>
      <w:r>
        <w:rPr>
          <w:rFonts w:ascii="Calibri" w:hAnsi="Calibri" w:cs="Calibri"/>
          <w:iCs/>
          <w:sz w:val="20"/>
          <w:szCs w:val="20"/>
        </w:rPr>
        <w:t>With regards to the 1</w:t>
      </w:r>
      <w:r w:rsidRPr="005D327B">
        <w:rPr>
          <w:rFonts w:ascii="Calibri" w:hAnsi="Calibri" w:cs="Calibri"/>
          <w:iCs/>
          <w:sz w:val="20"/>
          <w:szCs w:val="20"/>
          <w:vertAlign w:val="superscript"/>
        </w:rPr>
        <w:t>st</w:t>
      </w:r>
      <w:r>
        <w:rPr>
          <w:rFonts w:ascii="Calibri" w:hAnsi="Calibri" w:cs="Calibri"/>
          <w:iCs/>
          <w:sz w:val="20"/>
          <w:szCs w:val="20"/>
        </w:rPr>
        <w:t xml:space="preserve"> EOPO (‘increased equitable participation of 16 – 24 year old women and men in skills programs’) SfEP has shown a steady increase in the numbers enrolling and graduating (</w:t>
      </w:r>
      <w:r>
        <w:rPr>
          <w:rFonts w:ascii="Calibri" w:hAnsi="Calibri" w:cs="Calibri"/>
          <w:iCs/>
          <w:sz w:val="20"/>
          <w:szCs w:val="20"/>
        </w:rPr>
        <w:fldChar w:fldCharType="begin"/>
      </w:r>
      <w:r>
        <w:rPr>
          <w:rFonts w:ascii="Calibri" w:hAnsi="Calibri" w:cs="Calibri"/>
          <w:iCs/>
          <w:sz w:val="20"/>
          <w:szCs w:val="20"/>
        </w:rPr>
        <w:instrText xml:space="preserve"> REF _Ref7673515 \h  \* MERGEFORMAT </w:instrText>
      </w:r>
      <w:r>
        <w:rPr>
          <w:rFonts w:ascii="Calibri" w:hAnsi="Calibri" w:cs="Calibri"/>
          <w:iCs/>
          <w:sz w:val="20"/>
          <w:szCs w:val="20"/>
        </w:rPr>
      </w:r>
      <w:r>
        <w:rPr>
          <w:rFonts w:ascii="Calibri" w:hAnsi="Calibri" w:cs="Calibri"/>
          <w:iCs/>
          <w:sz w:val="20"/>
          <w:szCs w:val="20"/>
        </w:rPr>
        <w:fldChar w:fldCharType="separate"/>
      </w:r>
      <w:r w:rsidRPr="005D327B">
        <w:rPr>
          <w:rFonts w:ascii="Calibri" w:hAnsi="Calibri" w:cs="Calibri"/>
          <w:iCs/>
          <w:sz w:val="20"/>
          <w:szCs w:val="20"/>
        </w:rPr>
        <w:t>Figure 3</w:t>
      </w:r>
      <w:r>
        <w:rPr>
          <w:rFonts w:ascii="Calibri" w:hAnsi="Calibri" w:cs="Calibri"/>
          <w:iCs/>
          <w:sz w:val="20"/>
          <w:szCs w:val="20"/>
        </w:rPr>
        <w:fldChar w:fldCharType="end"/>
      </w:r>
      <w:r>
        <w:rPr>
          <w:rFonts w:ascii="Calibri" w:hAnsi="Calibri" w:cs="Calibri"/>
          <w:iCs/>
          <w:sz w:val="20"/>
          <w:szCs w:val="20"/>
        </w:rPr>
        <w:t xml:space="preserve">), albeit data was not yet available on those who graduated at the end of 2018. </w:t>
      </w:r>
      <w:r>
        <w:rPr>
          <w:rFonts w:ascii="Calibri" w:hAnsi="Calibri" w:cs="Calibri"/>
          <w:iCs/>
          <w:sz w:val="20"/>
          <w:szCs w:val="20"/>
        </w:rPr>
        <w:fldChar w:fldCharType="begin"/>
      </w:r>
      <w:r>
        <w:rPr>
          <w:rFonts w:ascii="Calibri" w:hAnsi="Calibri" w:cs="Calibri"/>
          <w:iCs/>
          <w:sz w:val="20"/>
          <w:szCs w:val="20"/>
        </w:rPr>
        <w:instrText xml:space="preserve"> REF _Ref7673515 \h  \* MERGEFORMAT </w:instrText>
      </w:r>
      <w:r>
        <w:rPr>
          <w:rFonts w:ascii="Calibri" w:hAnsi="Calibri" w:cs="Calibri"/>
          <w:iCs/>
          <w:sz w:val="20"/>
          <w:szCs w:val="20"/>
        </w:rPr>
      </w:r>
      <w:r>
        <w:rPr>
          <w:rFonts w:ascii="Calibri" w:hAnsi="Calibri" w:cs="Calibri"/>
          <w:iCs/>
          <w:sz w:val="20"/>
          <w:szCs w:val="20"/>
        </w:rPr>
        <w:fldChar w:fldCharType="separate"/>
      </w:r>
      <w:r w:rsidRPr="005D327B">
        <w:rPr>
          <w:rFonts w:ascii="Calibri" w:hAnsi="Calibri" w:cs="Calibri"/>
          <w:iCs/>
          <w:sz w:val="20"/>
          <w:szCs w:val="20"/>
        </w:rPr>
        <w:t>Figure 3</w:t>
      </w:r>
      <w:r>
        <w:rPr>
          <w:rFonts w:ascii="Calibri" w:hAnsi="Calibri" w:cs="Calibri"/>
          <w:iCs/>
          <w:sz w:val="20"/>
          <w:szCs w:val="20"/>
        </w:rPr>
        <w:fldChar w:fldCharType="end"/>
      </w:r>
      <w:r>
        <w:rPr>
          <w:rFonts w:ascii="Calibri" w:hAnsi="Calibri" w:cs="Calibri"/>
          <w:iCs/>
          <w:sz w:val="20"/>
          <w:szCs w:val="20"/>
        </w:rPr>
        <w:t xml:space="preserve"> illustrates a noticeable number of applications since 2014, and a steady increase with regards to enrolments, including a steady annual increase since the start of the Kiribati Facility in 2016. EduPoint data also notes a strong increase in the number of students participating in short courses, with a 17% increase between 2017 and 2018 (total number of enrolments in short courses for 2018 was 1383 students).</w:t>
      </w:r>
    </w:p>
    <w:p w14:paraId="1C39F0A0" w14:textId="77777777" w:rsidR="00DE1159" w:rsidRDefault="00DE1159">
      <w:pPr>
        <w:spacing w:after="200" w:line="276" w:lineRule="auto"/>
        <w:rPr>
          <w:rFonts w:asciiTheme="minorHAnsi" w:eastAsiaTheme="minorHAnsi" w:hAnsiTheme="minorHAnsi" w:cstheme="minorBidi"/>
          <w:i/>
          <w:iCs/>
          <w:color w:val="1F497D" w:themeColor="text2"/>
          <w:sz w:val="18"/>
          <w:szCs w:val="18"/>
        </w:rPr>
      </w:pPr>
      <w:bookmarkStart w:id="30" w:name="_Ref7677436"/>
      <w:r>
        <w:br w:type="page"/>
      </w:r>
    </w:p>
    <w:p w14:paraId="1F881FDB" w14:textId="081156C1" w:rsidR="008135C4" w:rsidRDefault="008135C4" w:rsidP="008135C4">
      <w:pPr>
        <w:pStyle w:val="Caption"/>
        <w:rPr>
          <w:rFonts w:cs="Arial"/>
          <w:color w:val="000000" w:themeColor="text1"/>
          <w:sz w:val="20"/>
          <w:szCs w:val="20"/>
          <w:lang w:eastAsia="en-AU"/>
        </w:rPr>
      </w:pPr>
      <w:r>
        <w:t xml:space="preserve">Figure </w:t>
      </w:r>
      <w:r>
        <w:fldChar w:fldCharType="begin"/>
      </w:r>
      <w:r>
        <w:instrText xml:space="preserve"> SEQ Figure \* ARABIC </w:instrText>
      </w:r>
      <w:r>
        <w:fldChar w:fldCharType="separate"/>
      </w:r>
      <w:r w:rsidR="00157AA4">
        <w:rPr>
          <w:noProof/>
        </w:rPr>
        <w:t>4</w:t>
      </w:r>
      <w:r>
        <w:fldChar w:fldCharType="end"/>
      </w:r>
      <w:bookmarkEnd w:id="30"/>
      <w:r>
        <w:t>: Employment status of KIT full time students at enrolment, 2016 - 2019 (Source: EduPoint data)</w:t>
      </w:r>
    </w:p>
    <w:p w14:paraId="043C432A" w14:textId="786348D3" w:rsidR="008135C4" w:rsidRDefault="008135C4" w:rsidP="008135C4">
      <w:pPr>
        <w:spacing w:after="160" w:line="259" w:lineRule="auto"/>
        <w:ind w:left="360"/>
        <w:rPr>
          <w:rFonts w:cs="Arial"/>
          <w:color w:val="000000" w:themeColor="text1"/>
          <w:sz w:val="20"/>
          <w:szCs w:val="20"/>
          <w:lang w:eastAsia="en-AU"/>
        </w:rPr>
      </w:pPr>
      <w:r w:rsidRPr="008135C4">
        <w:rPr>
          <w:rFonts w:cs="Arial"/>
          <w:noProof/>
          <w:color w:val="000000" w:themeColor="text1"/>
          <w:sz w:val="20"/>
          <w:szCs w:val="20"/>
          <w:lang w:val="en-AU" w:eastAsia="en-AU"/>
        </w:rPr>
        <w:drawing>
          <wp:inline distT="0" distB="0" distL="0" distR="0" wp14:anchorId="13EDB480" wp14:editId="4DD04C0E">
            <wp:extent cx="6188710" cy="2560955"/>
            <wp:effectExtent l="0" t="0" r="8890" b="17145"/>
            <wp:docPr id="1" name="Chart 1">
              <a:extLst xmlns:a="http://schemas.openxmlformats.org/drawingml/2006/main">
                <a:ext uri="{FF2B5EF4-FFF2-40B4-BE49-F238E27FC236}">
                  <a16:creationId xmlns:a16="http://schemas.microsoft.com/office/drawing/2014/main" id="{59E15DF2-A38B-8D47-AEBF-9C6A28B457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BFEEF96" w14:textId="25A254F8" w:rsidR="00724196" w:rsidRDefault="00724196" w:rsidP="008A4340">
      <w:pPr>
        <w:spacing w:after="160" w:line="259" w:lineRule="auto"/>
        <w:rPr>
          <w:rFonts w:ascii="Calibri" w:hAnsi="Calibri" w:cs="Calibri"/>
          <w:iCs/>
          <w:sz w:val="20"/>
          <w:szCs w:val="20"/>
        </w:rPr>
      </w:pPr>
      <w:r w:rsidRPr="008135C4">
        <w:rPr>
          <w:rFonts w:ascii="Calibri" w:hAnsi="Calibri" w:cs="Calibri"/>
          <w:iCs/>
          <w:sz w:val="20"/>
          <w:szCs w:val="20"/>
        </w:rPr>
        <w:t xml:space="preserve">The ‘Skills for Employment Program’ (SfEP) of the Kiribati Facility </w:t>
      </w:r>
      <w:r>
        <w:rPr>
          <w:rFonts w:ascii="Calibri" w:hAnsi="Calibri" w:cs="Calibri"/>
          <w:iCs/>
          <w:sz w:val="20"/>
          <w:szCs w:val="20"/>
        </w:rPr>
        <w:t xml:space="preserve">can also be seen to be </w:t>
      </w:r>
      <w:r w:rsidRPr="009921C3">
        <w:rPr>
          <w:rFonts w:ascii="Calibri" w:hAnsi="Calibri" w:cs="Calibri"/>
          <w:b/>
          <w:iCs/>
          <w:sz w:val="20"/>
          <w:szCs w:val="20"/>
        </w:rPr>
        <w:t>contributing to the ‘skills for employment’ training needs of I-Kiribati youth and unemployed</w:t>
      </w:r>
      <w:r>
        <w:rPr>
          <w:rFonts w:ascii="Calibri" w:hAnsi="Calibri" w:cs="Calibri"/>
          <w:iCs/>
          <w:sz w:val="20"/>
          <w:szCs w:val="20"/>
        </w:rPr>
        <w:t xml:space="preserve">. </w:t>
      </w:r>
      <w:r>
        <w:rPr>
          <w:rFonts w:ascii="Calibri" w:hAnsi="Calibri" w:cs="Calibri"/>
          <w:iCs/>
          <w:sz w:val="20"/>
          <w:szCs w:val="20"/>
        </w:rPr>
        <w:fldChar w:fldCharType="begin"/>
      </w:r>
      <w:r>
        <w:rPr>
          <w:rFonts w:ascii="Calibri" w:hAnsi="Calibri" w:cs="Calibri"/>
          <w:iCs/>
          <w:sz w:val="20"/>
          <w:szCs w:val="20"/>
        </w:rPr>
        <w:instrText xml:space="preserve"> REF _Ref7677436 \h  \* MERGEFORMAT </w:instrText>
      </w:r>
      <w:r>
        <w:rPr>
          <w:rFonts w:ascii="Calibri" w:hAnsi="Calibri" w:cs="Calibri"/>
          <w:iCs/>
          <w:sz w:val="20"/>
          <w:szCs w:val="20"/>
        </w:rPr>
      </w:r>
      <w:r>
        <w:rPr>
          <w:rFonts w:ascii="Calibri" w:hAnsi="Calibri" w:cs="Calibri"/>
          <w:iCs/>
          <w:sz w:val="20"/>
          <w:szCs w:val="20"/>
        </w:rPr>
        <w:fldChar w:fldCharType="separate"/>
      </w:r>
      <w:r w:rsidRPr="009921C3">
        <w:rPr>
          <w:rFonts w:ascii="Calibri" w:hAnsi="Calibri" w:cs="Calibri"/>
          <w:iCs/>
          <w:sz w:val="20"/>
          <w:szCs w:val="20"/>
        </w:rPr>
        <w:t>Figure 4</w:t>
      </w:r>
      <w:r>
        <w:rPr>
          <w:rFonts w:ascii="Calibri" w:hAnsi="Calibri" w:cs="Calibri"/>
          <w:iCs/>
          <w:sz w:val="20"/>
          <w:szCs w:val="20"/>
        </w:rPr>
        <w:fldChar w:fldCharType="end"/>
      </w:r>
      <w:r>
        <w:rPr>
          <w:rFonts w:ascii="Calibri" w:hAnsi="Calibri" w:cs="Calibri"/>
          <w:iCs/>
          <w:sz w:val="20"/>
          <w:szCs w:val="20"/>
        </w:rPr>
        <w:t xml:space="preserve"> illustrates that the number of students who were unemployed at the start of their full - time course at KIT has steadily improved from 65% in 2016 to 79% in 2019. In addition KIT has created a number of pathways for disadvantaged groups, including successfully piloting 5 streams of the Certificate 1 Bridging Course for disengaged youth (13 out of 19 graduating successfully), initiating the delivery of English for Employment courses on two outer islands (Marakei and Maiana), and delivering a range of short-course on outer islands (such as plumbing, accounting, and business studies).</w:t>
      </w:r>
    </w:p>
    <w:p w14:paraId="76C216B1" w14:textId="6B5229C4" w:rsidR="00941D79" w:rsidRDefault="00941D79" w:rsidP="008A4340">
      <w:pPr>
        <w:spacing w:after="160" w:line="259" w:lineRule="auto"/>
        <w:rPr>
          <w:rFonts w:ascii="Calibri" w:hAnsi="Calibri" w:cs="Calibri"/>
          <w:iCs/>
          <w:sz w:val="20"/>
          <w:szCs w:val="20"/>
        </w:rPr>
      </w:pPr>
      <w:r>
        <w:rPr>
          <w:rFonts w:ascii="Calibri" w:hAnsi="Calibri" w:cs="Calibri"/>
          <w:iCs/>
          <w:sz w:val="20"/>
          <w:szCs w:val="20"/>
        </w:rPr>
        <w:t>The Bridging course</w:t>
      </w:r>
      <w:r w:rsidR="00347AF9">
        <w:rPr>
          <w:rFonts w:ascii="Calibri" w:hAnsi="Calibri" w:cs="Calibri"/>
          <w:iCs/>
          <w:sz w:val="20"/>
          <w:szCs w:val="20"/>
        </w:rPr>
        <w:t xml:space="preserve"> has enormous potential as a pathway to return </w:t>
      </w:r>
      <w:r w:rsidR="00C966F9">
        <w:rPr>
          <w:rFonts w:ascii="Calibri" w:hAnsi="Calibri" w:cs="Calibri"/>
          <w:iCs/>
          <w:sz w:val="20"/>
          <w:szCs w:val="20"/>
        </w:rPr>
        <w:t xml:space="preserve">disengaged </w:t>
      </w:r>
      <w:r w:rsidR="00347AF9">
        <w:rPr>
          <w:rFonts w:ascii="Calibri" w:hAnsi="Calibri" w:cs="Calibri"/>
          <w:iCs/>
          <w:sz w:val="20"/>
          <w:szCs w:val="20"/>
        </w:rPr>
        <w:t>youth either to school, or as entry into KIT, or even employment. At present the course has focussed primarily in Betio, but in partnership with Child Fund Kiribati, the aim is to expand the course into other areas of Tarawa and then ultimately the Outer Islands of Kiribati. In addition, KIT is getting the course accredited at Certificate I level under the PQAF. However, expanding the course has considerable budget and resource implications for the Kiribati Facility.  For this reason it will be important that the SfEP (as indicated in the Annual Plan for 2019-2020) reviews the evidence of the Bridging courses to determine to what extent the course is meeting its objectives, to what extent students are successfully moving along the expected pathways, and if not what needs to adjusted to improve the quality of the course.</w:t>
      </w:r>
    </w:p>
    <w:p w14:paraId="49960FC3" w14:textId="657C802A" w:rsidR="008A4340" w:rsidRDefault="008A4340" w:rsidP="008A4340">
      <w:pPr>
        <w:spacing w:after="160" w:line="259" w:lineRule="auto"/>
        <w:rPr>
          <w:rFonts w:ascii="Calibri" w:hAnsi="Calibri" w:cs="Calibri"/>
          <w:iCs/>
          <w:sz w:val="20"/>
          <w:szCs w:val="20"/>
        </w:rPr>
      </w:pPr>
      <w:r>
        <w:rPr>
          <w:rFonts w:ascii="Calibri" w:hAnsi="Calibri" w:cs="Calibri"/>
          <w:iCs/>
          <w:sz w:val="20"/>
          <w:szCs w:val="20"/>
        </w:rPr>
        <w:t xml:space="preserve">KIT also continues </w:t>
      </w:r>
      <w:r w:rsidRPr="00E22B40">
        <w:rPr>
          <w:rFonts w:ascii="Calibri" w:hAnsi="Calibri" w:cs="Calibri"/>
          <w:iCs/>
          <w:sz w:val="20"/>
          <w:szCs w:val="20"/>
        </w:rPr>
        <w:t xml:space="preserve">to </w:t>
      </w:r>
      <w:r w:rsidRPr="008A4340">
        <w:rPr>
          <w:rFonts w:ascii="Calibri" w:hAnsi="Calibri" w:cs="Calibri"/>
          <w:b/>
          <w:iCs/>
          <w:sz w:val="20"/>
          <w:szCs w:val="20"/>
        </w:rPr>
        <w:t>increase the equitable participation of 16-24 year-old women and men in skills development programs</w:t>
      </w:r>
      <w:r>
        <w:rPr>
          <w:rFonts w:ascii="Calibri" w:hAnsi="Calibri" w:cs="Calibri"/>
          <w:iCs/>
          <w:sz w:val="20"/>
          <w:szCs w:val="20"/>
        </w:rPr>
        <w:t>. Female participation rate in courses remains at 50%, and the most recent graduation data reflects equal graduation rates for both men and women. The number of females in non-traditional courses</w:t>
      </w:r>
      <w:r w:rsidR="00544B08">
        <w:rPr>
          <w:rFonts w:ascii="Calibri" w:hAnsi="Calibri" w:cs="Calibri"/>
          <w:iCs/>
          <w:sz w:val="20"/>
          <w:szCs w:val="20"/>
        </w:rPr>
        <w:t xml:space="preserve"> has increased from 15% in 2017 to 27% in 2018</w:t>
      </w:r>
      <w:r w:rsidR="0072186B">
        <w:rPr>
          <w:rStyle w:val="FootnoteReference"/>
          <w:rFonts w:ascii="Calibri" w:hAnsi="Calibri" w:cs="Calibri"/>
          <w:iCs/>
          <w:sz w:val="20"/>
          <w:szCs w:val="20"/>
        </w:rPr>
        <w:footnoteReference w:id="16"/>
      </w:r>
      <w:r w:rsidR="00544B08">
        <w:rPr>
          <w:rFonts w:ascii="Calibri" w:hAnsi="Calibri" w:cs="Calibri"/>
          <w:iCs/>
          <w:sz w:val="20"/>
          <w:szCs w:val="20"/>
        </w:rPr>
        <w:t>.</w:t>
      </w:r>
      <w:r w:rsidR="0072186B">
        <w:rPr>
          <w:rFonts w:ascii="Calibri" w:hAnsi="Calibri" w:cs="Calibri"/>
          <w:iCs/>
          <w:sz w:val="20"/>
          <w:szCs w:val="20"/>
        </w:rPr>
        <w:t xml:space="preserve"> </w:t>
      </w:r>
    </w:p>
    <w:p w14:paraId="28E1939E" w14:textId="3058E4A0" w:rsidR="00887E21" w:rsidRDefault="005D3556" w:rsidP="00544B08">
      <w:pPr>
        <w:spacing w:after="160" w:line="259" w:lineRule="auto"/>
        <w:rPr>
          <w:rFonts w:ascii="Calibri" w:hAnsi="Calibri" w:cs="Calibri"/>
          <w:iCs/>
          <w:sz w:val="20"/>
          <w:szCs w:val="20"/>
        </w:rPr>
      </w:pPr>
      <w:r>
        <w:rPr>
          <w:rFonts w:ascii="Calibri" w:hAnsi="Calibri" w:cs="Calibri"/>
          <w:iCs/>
          <w:sz w:val="20"/>
          <w:szCs w:val="20"/>
        </w:rPr>
        <w:t>With regards to EOPO 2 (‘increase employability of KIT graduates’) t</w:t>
      </w:r>
      <w:r w:rsidR="00544B08">
        <w:rPr>
          <w:rFonts w:ascii="Calibri" w:hAnsi="Calibri" w:cs="Calibri"/>
          <w:iCs/>
          <w:sz w:val="20"/>
          <w:szCs w:val="20"/>
        </w:rPr>
        <w:t xml:space="preserve">here is strong evidence that </w:t>
      </w:r>
      <w:r w:rsidR="00544B08" w:rsidRPr="00544B08">
        <w:rPr>
          <w:rFonts w:ascii="Calibri" w:hAnsi="Calibri" w:cs="Calibri"/>
          <w:b/>
          <w:iCs/>
          <w:sz w:val="20"/>
          <w:szCs w:val="20"/>
        </w:rPr>
        <w:t>KIT’s</w:t>
      </w:r>
      <w:r w:rsidR="00887E21" w:rsidRPr="00544B08">
        <w:rPr>
          <w:rFonts w:ascii="Calibri" w:hAnsi="Calibri" w:cs="Calibri"/>
          <w:b/>
          <w:iCs/>
          <w:sz w:val="20"/>
          <w:szCs w:val="20"/>
        </w:rPr>
        <w:t xml:space="preserve"> training programs and courses aligned with the market demands in Australia, Kiribati and the region</w:t>
      </w:r>
      <w:r w:rsidR="00544B08">
        <w:rPr>
          <w:rFonts w:cs="Arial"/>
          <w:color w:val="000000" w:themeColor="text1"/>
          <w:sz w:val="20"/>
          <w:szCs w:val="20"/>
          <w:lang w:eastAsia="en-AU"/>
        </w:rPr>
        <w:t>.</w:t>
      </w:r>
      <w:r w:rsidR="009B5A9C">
        <w:rPr>
          <w:rFonts w:cs="Arial"/>
          <w:color w:val="000000" w:themeColor="text1"/>
          <w:sz w:val="20"/>
          <w:szCs w:val="20"/>
          <w:lang w:eastAsia="en-AU"/>
        </w:rPr>
        <w:t xml:space="preserve"> </w:t>
      </w:r>
      <w:r w:rsidR="009B5A9C" w:rsidRPr="009B5A9C">
        <w:rPr>
          <w:rFonts w:ascii="Calibri" w:hAnsi="Calibri" w:cs="Calibri"/>
          <w:iCs/>
          <w:sz w:val="20"/>
          <w:szCs w:val="20"/>
        </w:rPr>
        <w:t xml:space="preserve">The most recent graduate </w:t>
      </w:r>
      <w:r w:rsidR="009B5A9C">
        <w:rPr>
          <w:rFonts w:ascii="Calibri" w:hAnsi="Calibri" w:cs="Calibri"/>
          <w:iCs/>
          <w:sz w:val="20"/>
          <w:szCs w:val="20"/>
        </w:rPr>
        <w:t xml:space="preserve">tracer survey found 74% of graduates had found employment, and feedback from employers (through both the survey, and interviews and focus groups conducted as part of this review) suggests that employers regard KIT graduates as well prepared. In addition, KIT has now introduced a workplace attachment scheme (a direct response to feedback received from employers) which ensures all KIT graduates receive ‘on-the-job’ training. Since the start of the initiative the number of private sector partners willing to participate in this training has increased from 5 to 18. Other initiatives to ensure programs and courses remain demand driven include the </w:t>
      </w:r>
      <w:r w:rsidR="00E67560">
        <w:rPr>
          <w:rFonts w:ascii="Calibri" w:hAnsi="Calibri" w:cs="Calibri"/>
          <w:iCs/>
          <w:sz w:val="20"/>
          <w:szCs w:val="20"/>
        </w:rPr>
        <w:t xml:space="preserve">expansion of the Business Incubator (which provides a variety of pathways into employment) and the introduction and/or redesign of courses in Hospitality (now done in conjunction with the </w:t>
      </w:r>
      <w:r w:rsidR="002F3270">
        <w:rPr>
          <w:rFonts w:ascii="Calibri" w:hAnsi="Calibri" w:cs="Calibri"/>
          <w:iCs/>
          <w:sz w:val="20"/>
          <w:szCs w:val="20"/>
        </w:rPr>
        <w:t>MTC</w:t>
      </w:r>
      <w:r w:rsidR="00E67560">
        <w:rPr>
          <w:rFonts w:ascii="Calibri" w:hAnsi="Calibri" w:cs="Calibri"/>
          <w:iCs/>
          <w:sz w:val="20"/>
          <w:szCs w:val="20"/>
        </w:rPr>
        <w:t>) and Community Service (better aligned to demand from overseas employers for residential, community and personal care workers).</w:t>
      </w:r>
    </w:p>
    <w:p w14:paraId="092ED18D" w14:textId="4A194202" w:rsidR="005D3556" w:rsidRDefault="005D3556" w:rsidP="00A737D7">
      <w:pPr>
        <w:spacing w:after="160" w:line="259" w:lineRule="auto"/>
        <w:rPr>
          <w:rFonts w:ascii="Calibri" w:hAnsi="Calibri" w:cs="Calibri"/>
          <w:iCs/>
          <w:sz w:val="20"/>
          <w:szCs w:val="20"/>
        </w:rPr>
      </w:pPr>
      <w:r>
        <w:rPr>
          <w:rFonts w:ascii="Calibri" w:hAnsi="Calibri" w:cs="Calibri"/>
          <w:iCs/>
          <w:sz w:val="20"/>
          <w:szCs w:val="20"/>
        </w:rPr>
        <w:t xml:space="preserve">There is also evidence to support the finding that the Facility is </w:t>
      </w:r>
      <w:r w:rsidRPr="005D3556">
        <w:rPr>
          <w:rFonts w:ascii="Calibri" w:hAnsi="Calibri" w:cs="Calibri"/>
          <w:b/>
          <w:iCs/>
          <w:sz w:val="20"/>
          <w:szCs w:val="20"/>
        </w:rPr>
        <w:t>improving its support I-Kiribati participation in new labour mobility initiatives, including in the new Pacific Labour Scheme</w:t>
      </w:r>
      <w:r w:rsidRPr="005D3556">
        <w:rPr>
          <w:rFonts w:ascii="Calibri" w:hAnsi="Calibri" w:cs="Calibri"/>
          <w:iCs/>
          <w:sz w:val="20"/>
          <w:szCs w:val="20"/>
        </w:rPr>
        <w:t>.</w:t>
      </w:r>
      <w:r>
        <w:rPr>
          <w:rFonts w:ascii="Calibri" w:hAnsi="Calibri" w:cs="Calibri"/>
          <w:iCs/>
          <w:sz w:val="20"/>
          <w:szCs w:val="20"/>
        </w:rPr>
        <w:t xml:space="preserve"> Not only are new courses (such as </w:t>
      </w:r>
      <w:r w:rsidR="00DD5CF1" w:rsidRPr="00C078C8">
        <w:rPr>
          <w:rFonts w:ascii="Calibri" w:hAnsi="Calibri" w:cs="Calibri"/>
          <w:iCs/>
          <w:sz w:val="20"/>
          <w:szCs w:val="20"/>
        </w:rPr>
        <w:t xml:space="preserve">Hospitality, </w:t>
      </w:r>
      <w:r w:rsidR="00DD5CF1">
        <w:rPr>
          <w:rFonts w:ascii="Calibri" w:hAnsi="Calibri" w:cs="Calibri"/>
          <w:iCs/>
          <w:sz w:val="20"/>
          <w:szCs w:val="20"/>
        </w:rPr>
        <w:t>A</w:t>
      </w:r>
      <w:r w:rsidR="00DD5CF1" w:rsidRPr="00C078C8">
        <w:rPr>
          <w:rFonts w:ascii="Calibri" w:hAnsi="Calibri" w:cs="Calibri"/>
          <w:iCs/>
          <w:sz w:val="20"/>
          <w:szCs w:val="20"/>
        </w:rPr>
        <w:t xml:space="preserve">ged care and </w:t>
      </w:r>
      <w:r w:rsidR="00DD5CF1">
        <w:rPr>
          <w:rFonts w:ascii="Calibri" w:hAnsi="Calibri" w:cs="Calibri"/>
          <w:iCs/>
          <w:sz w:val="20"/>
          <w:szCs w:val="20"/>
        </w:rPr>
        <w:t>I</w:t>
      </w:r>
      <w:r w:rsidR="00DD5CF1" w:rsidRPr="00C078C8">
        <w:rPr>
          <w:rFonts w:ascii="Calibri" w:hAnsi="Calibri" w:cs="Calibri"/>
          <w:iCs/>
          <w:sz w:val="20"/>
          <w:szCs w:val="20"/>
        </w:rPr>
        <w:t>ndividual support</w:t>
      </w:r>
      <w:r>
        <w:rPr>
          <w:rFonts w:ascii="Calibri" w:hAnsi="Calibri" w:cs="Calibri"/>
          <w:iCs/>
          <w:sz w:val="20"/>
          <w:szCs w:val="20"/>
        </w:rPr>
        <w:t xml:space="preserve">) helping in this regard, but so too is the major expansion in </w:t>
      </w:r>
      <w:r w:rsidR="00FC6FD3">
        <w:rPr>
          <w:rFonts w:ascii="Calibri" w:hAnsi="Calibri" w:cs="Calibri"/>
          <w:iCs/>
          <w:sz w:val="20"/>
          <w:szCs w:val="20"/>
        </w:rPr>
        <w:t>the</w:t>
      </w:r>
      <w:r>
        <w:rPr>
          <w:rFonts w:ascii="Calibri" w:hAnsi="Calibri" w:cs="Calibri"/>
          <w:iCs/>
          <w:sz w:val="20"/>
          <w:szCs w:val="20"/>
        </w:rPr>
        <w:t xml:space="preserve"> </w:t>
      </w:r>
      <w:r w:rsidR="00FC6FD3">
        <w:rPr>
          <w:rFonts w:ascii="Calibri" w:hAnsi="Calibri" w:cs="Calibri"/>
          <w:iCs/>
          <w:sz w:val="20"/>
          <w:szCs w:val="20"/>
        </w:rPr>
        <w:t>ESS</w:t>
      </w:r>
      <w:r>
        <w:rPr>
          <w:rFonts w:ascii="Calibri" w:hAnsi="Calibri" w:cs="Calibri"/>
          <w:iCs/>
          <w:sz w:val="20"/>
          <w:szCs w:val="20"/>
        </w:rPr>
        <w:t xml:space="preserve">. As noted in </w:t>
      </w:r>
      <w:r>
        <w:rPr>
          <w:rFonts w:ascii="Calibri" w:hAnsi="Calibri" w:cs="Calibri"/>
          <w:iCs/>
          <w:sz w:val="20"/>
          <w:szCs w:val="20"/>
        </w:rPr>
        <w:fldChar w:fldCharType="begin"/>
      </w:r>
      <w:r>
        <w:rPr>
          <w:rFonts w:ascii="Calibri" w:hAnsi="Calibri" w:cs="Calibri"/>
          <w:iCs/>
          <w:sz w:val="20"/>
          <w:szCs w:val="20"/>
        </w:rPr>
        <w:instrText xml:space="preserve"> REF _Ref7603487 \h  \* MERGEFORMAT </w:instrText>
      </w:r>
      <w:r>
        <w:rPr>
          <w:rFonts w:ascii="Calibri" w:hAnsi="Calibri" w:cs="Calibri"/>
          <w:iCs/>
          <w:sz w:val="20"/>
          <w:szCs w:val="20"/>
        </w:rPr>
      </w:r>
      <w:r>
        <w:rPr>
          <w:rFonts w:ascii="Calibri" w:hAnsi="Calibri" w:cs="Calibri"/>
          <w:iCs/>
          <w:sz w:val="20"/>
          <w:szCs w:val="20"/>
        </w:rPr>
        <w:fldChar w:fldCharType="separate"/>
      </w:r>
      <w:r w:rsidRPr="005D3556">
        <w:rPr>
          <w:rFonts w:ascii="Calibri" w:hAnsi="Calibri" w:cs="Calibri"/>
          <w:iCs/>
          <w:sz w:val="20"/>
          <w:szCs w:val="20"/>
        </w:rPr>
        <w:t>Figure 2</w:t>
      </w:r>
      <w:r>
        <w:rPr>
          <w:rFonts w:ascii="Calibri" w:hAnsi="Calibri" w:cs="Calibri"/>
          <w:iCs/>
          <w:sz w:val="20"/>
          <w:szCs w:val="20"/>
        </w:rPr>
        <w:fldChar w:fldCharType="end"/>
      </w:r>
      <w:r>
        <w:rPr>
          <w:rFonts w:ascii="Calibri" w:hAnsi="Calibri" w:cs="Calibri"/>
          <w:iCs/>
          <w:sz w:val="20"/>
          <w:szCs w:val="20"/>
        </w:rPr>
        <w:t xml:space="preserve"> there has been a rapid expansion in I-Kiribati</w:t>
      </w:r>
      <w:r w:rsidR="00A737D7">
        <w:rPr>
          <w:rFonts w:ascii="Calibri" w:hAnsi="Calibri" w:cs="Calibri"/>
          <w:iCs/>
          <w:sz w:val="20"/>
          <w:szCs w:val="20"/>
        </w:rPr>
        <w:t xml:space="preserve"> participating in labour mobility initiatives. This rapid growth has led to increased demand for </w:t>
      </w:r>
      <w:r w:rsidR="00A737D7" w:rsidRPr="00400934">
        <w:rPr>
          <w:rFonts w:ascii="Calibri" w:hAnsi="Calibri" w:cs="Calibri"/>
          <w:iCs/>
          <w:sz w:val="20"/>
          <w:szCs w:val="20"/>
        </w:rPr>
        <w:t>ESS services including English Proficiency Assessments, Work Readiness and Pre-Departure Briefing training</w:t>
      </w:r>
      <w:r w:rsidR="00A737D7">
        <w:rPr>
          <w:rFonts w:ascii="Calibri" w:hAnsi="Calibri" w:cs="Calibri"/>
          <w:iCs/>
          <w:sz w:val="20"/>
          <w:szCs w:val="20"/>
        </w:rPr>
        <w:t xml:space="preserve">. </w:t>
      </w:r>
      <w:r w:rsidRPr="00A737D7">
        <w:rPr>
          <w:rFonts w:ascii="Calibri" w:hAnsi="Calibri" w:cs="Calibri"/>
          <w:iCs/>
          <w:sz w:val="20"/>
          <w:szCs w:val="20"/>
        </w:rPr>
        <w:t>In response to the increased demand, KIT restructured the ESS</w:t>
      </w:r>
      <w:r w:rsidR="00A737D7">
        <w:rPr>
          <w:rFonts w:ascii="Calibri" w:hAnsi="Calibri" w:cs="Calibri"/>
          <w:iCs/>
          <w:sz w:val="20"/>
          <w:szCs w:val="20"/>
        </w:rPr>
        <w:t xml:space="preserve"> (including the appointment of an ESS manager, and the recruitment of three additional lecturers)</w:t>
      </w:r>
      <w:r w:rsidRPr="00A737D7">
        <w:rPr>
          <w:rFonts w:ascii="Calibri" w:hAnsi="Calibri" w:cs="Calibri"/>
          <w:iCs/>
          <w:sz w:val="20"/>
          <w:szCs w:val="20"/>
        </w:rPr>
        <w:t xml:space="preserve"> in 2018 to increase its capacity and </w:t>
      </w:r>
      <w:r w:rsidR="00A737D7">
        <w:rPr>
          <w:rFonts w:ascii="Calibri" w:hAnsi="Calibri" w:cs="Calibri"/>
          <w:iCs/>
          <w:sz w:val="20"/>
          <w:szCs w:val="20"/>
        </w:rPr>
        <w:t>ensure a more</w:t>
      </w:r>
      <w:r w:rsidRPr="00A737D7">
        <w:rPr>
          <w:rFonts w:ascii="Calibri" w:hAnsi="Calibri" w:cs="Calibri"/>
          <w:iCs/>
          <w:sz w:val="20"/>
          <w:szCs w:val="20"/>
        </w:rPr>
        <w:t xml:space="preserve"> agile and responsive unit</w:t>
      </w:r>
      <w:r w:rsidR="00A737D7">
        <w:rPr>
          <w:rFonts w:ascii="Calibri" w:hAnsi="Calibri" w:cs="Calibri"/>
          <w:iCs/>
          <w:sz w:val="20"/>
          <w:szCs w:val="20"/>
        </w:rPr>
        <w:t>. In 2018 the ESS conducted 23 pre-departure training courses for 407 I-Kiribati. In addition, KIT has increased delivery of basic English training</w:t>
      </w:r>
      <w:r w:rsidR="00A737D7">
        <w:rPr>
          <w:rStyle w:val="FootnoteReference"/>
          <w:rFonts w:ascii="Calibri" w:hAnsi="Calibri" w:cs="Calibri"/>
          <w:iCs/>
          <w:sz w:val="20"/>
          <w:szCs w:val="20"/>
        </w:rPr>
        <w:footnoteReference w:id="17"/>
      </w:r>
      <w:r w:rsidR="00A737D7">
        <w:rPr>
          <w:rFonts w:ascii="Calibri" w:hAnsi="Calibri" w:cs="Calibri"/>
          <w:iCs/>
          <w:sz w:val="20"/>
          <w:szCs w:val="20"/>
        </w:rPr>
        <w:t xml:space="preserve"> for those seeking employment under regional labour mobility programs.</w:t>
      </w:r>
    </w:p>
    <w:p w14:paraId="3F5EA368" w14:textId="77777777" w:rsidR="00FC6FD3" w:rsidRDefault="006E1091" w:rsidP="003E5399">
      <w:pPr>
        <w:spacing w:after="160" w:line="259" w:lineRule="auto"/>
        <w:rPr>
          <w:rFonts w:ascii="Calibri" w:hAnsi="Calibri" w:cs="Calibri"/>
          <w:iCs/>
          <w:sz w:val="20"/>
          <w:szCs w:val="20"/>
        </w:rPr>
      </w:pPr>
      <w:r>
        <w:rPr>
          <w:rFonts w:ascii="Calibri" w:hAnsi="Calibri" w:cs="Calibri"/>
          <w:iCs/>
          <w:sz w:val="20"/>
          <w:szCs w:val="20"/>
        </w:rPr>
        <w:t xml:space="preserve">Whilst the relationship between KIT (and ESS) with the MEHR is </w:t>
      </w:r>
      <w:r w:rsidR="00FC6FD3">
        <w:rPr>
          <w:rFonts w:ascii="Calibri" w:hAnsi="Calibri" w:cs="Calibri"/>
          <w:iCs/>
          <w:sz w:val="20"/>
          <w:szCs w:val="20"/>
        </w:rPr>
        <w:t xml:space="preserve">relatively </w:t>
      </w:r>
      <w:r>
        <w:rPr>
          <w:rFonts w:ascii="Calibri" w:hAnsi="Calibri" w:cs="Calibri"/>
          <w:iCs/>
          <w:sz w:val="20"/>
          <w:szCs w:val="20"/>
        </w:rPr>
        <w:t xml:space="preserve">effective (there are regular monthly meetings, in addition to other exchanges dependent on the labour mobility cycle), there have been some issues which threaten this effectiveness. Potential risks include </w:t>
      </w:r>
    </w:p>
    <w:p w14:paraId="399DFDE1" w14:textId="77777777" w:rsidR="00FC6FD3" w:rsidRDefault="006E1091" w:rsidP="00FC6FD3">
      <w:pPr>
        <w:pStyle w:val="ListParagraph"/>
        <w:numPr>
          <w:ilvl w:val="0"/>
          <w:numId w:val="39"/>
        </w:numPr>
        <w:spacing w:after="160" w:line="259" w:lineRule="auto"/>
        <w:rPr>
          <w:rFonts w:ascii="Calibri" w:hAnsi="Calibri" w:cs="Calibri"/>
          <w:iCs/>
          <w:sz w:val="20"/>
          <w:szCs w:val="20"/>
        </w:rPr>
      </w:pPr>
      <w:r w:rsidRPr="00FC6FD3">
        <w:rPr>
          <w:rFonts w:ascii="Calibri" w:hAnsi="Calibri" w:cs="Calibri"/>
          <w:iCs/>
          <w:sz w:val="20"/>
          <w:szCs w:val="20"/>
        </w:rPr>
        <w:t xml:space="preserve">the fact that the Labour Support </w:t>
      </w:r>
      <w:r w:rsidR="00023E50" w:rsidRPr="00FC6FD3">
        <w:rPr>
          <w:rFonts w:ascii="Calibri" w:hAnsi="Calibri" w:cs="Calibri"/>
          <w:iCs/>
          <w:sz w:val="20"/>
          <w:szCs w:val="20"/>
        </w:rPr>
        <w:t>Adviser</w:t>
      </w:r>
      <w:r w:rsidRPr="00FC6FD3">
        <w:rPr>
          <w:rFonts w:ascii="Calibri" w:hAnsi="Calibri" w:cs="Calibri"/>
          <w:iCs/>
          <w:sz w:val="20"/>
          <w:szCs w:val="20"/>
        </w:rPr>
        <w:t xml:space="preserve"> (who provides a valuable conduit between ESS and MEHR) has been vacant since February 2019, </w:t>
      </w:r>
    </w:p>
    <w:p w14:paraId="07AA99FA" w14:textId="77777777" w:rsidR="00FC6FD3" w:rsidRDefault="006E1091" w:rsidP="00FC6FD3">
      <w:pPr>
        <w:pStyle w:val="ListParagraph"/>
        <w:numPr>
          <w:ilvl w:val="0"/>
          <w:numId w:val="39"/>
        </w:numPr>
        <w:spacing w:after="160" w:line="259" w:lineRule="auto"/>
        <w:rPr>
          <w:rFonts w:ascii="Calibri" w:hAnsi="Calibri" w:cs="Calibri"/>
          <w:iCs/>
          <w:sz w:val="20"/>
          <w:szCs w:val="20"/>
        </w:rPr>
      </w:pPr>
      <w:r w:rsidRPr="00FC6FD3">
        <w:rPr>
          <w:rFonts w:ascii="Calibri" w:hAnsi="Calibri" w:cs="Calibri"/>
          <w:iCs/>
          <w:sz w:val="20"/>
          <w:szCs w:val="20"/>
        </w:rPr>
        <w:t xml:space="preserve">the ESS often has to deal with very late requests for support from MEHR, and </w:t>
      </w:r>
    </w:p>
    <w:p w14:paraId="21067CFF" w14:textId="0C78FCDA" w:rsidR="00FC6FD3" w:rsidRPr="00FC6FD3" w:rsidRDefault="006E1091" w:rsidP="00FC6FD3">
      <w:pPr>
        <w:pStyle w:val="ListParagraph"/>
        <w:numPr>
          <w:ilvl w:val="0"/>
          <w:numId w:val="39"/>
        </w:numPr>
        <w:spacing w:after="160" w:line="259" w:lineRule="auto"/>
        <w:rPr>
          <w:rFonts w:ascii="Calibri" w:hAnsi="Calibri" w:cs="Calibri"/>
          <w:iCs/>
          <w:sz w:val="20"/>
          <w:szCs w:val="20"/>
        </w:rPr>
      </w:pPr>
      <w:r w:rsidRPr="00FC6FD3">
        <w:rPr>
          <w:rFonts w:ascii="Calibri" w:hAnsi="Calibri" w:cs="Calibri"/>
          <w:iCs/>
          <w:sz w:val="20"/>
          <w:szCs w:val="20"/>
        </w:rPr>
        <w:t>the demand on the ‘work ready’ pool is steadily increasing which will place additional pressures on the ESS.</w:t>
      </w:r>
    </w:p>
    <w:p w14:paraId="67C129B6" w14:textId="167852A0" w:rsidR="003E5399" w:rsidRPr="00FC6FD3" w:rsidRDefault="006E1091" w:rsidP="00FC6FD3">
      <w:pPr>
        <w:spacing w:after="160" w:line="259" w:lineRule="auto"/>
        <w:rPr>
          <w:rFonts w:ascii="Calibri" w:hAnsi="Calibri" w:cs="Calibri"/>
          <w:iCs/>
          <w:sz w:val="20"/>
          <w:szCs w:val="20"/>
        </w:rPr>
      </w:pPr>
      <w:r w:rsidRPr="00FC6FD3">
        <w:rPr>
          <w:rFonts w:ascii="Calibri" w:hAnsi="Calibri" w:cs="Calibri"/>
          <w:iCs/>
          <w:sz w:val="20"/>
          <w:szCs w:val="20"/>
        </w:rPr>
        <w:t>Moreover, at present support being provided by ESS, as per MEHR requests, only deals with pre-departure. The issue of reintegration of workers at the end of their contracts has yet to be appropriately addressed by MEHR, albeit when they do it is likely that this will provide further opportunities for ESS in terms of developing relevant courses to assist with reintegration.</w:t>
      </w:r>
    </w:p>
    <w:p w14:paraId="59DBA06B" w14:textId="46061FAB" w:rsidR="00FC6FD3" w:rsidRDefault="003E5399" w:rsidP="00A737D7">
      <w:pPr>
        <w:spacing w:after="160" w:line="259" w:lineRule="auto"/>
        <w:rPr>
          <w:rFonts w:ascii="Calibri" w:hAnsi="Calibri" w:cs="Calibri"/>
          <w:iCs/>
          <w:sz w:val="20"/>
          <w:szCs w:val="20"/>
        </w:rPr>
      </w:pPr>
      <w:r>
        <w:rPr>
          <w:rFonts w:ascii="Calibri" w:hAnsi="Calibri" w:cs="Calibri"/>
          <w:iCs/>
          <w:sz w:val="20"/>
          <w:szCs w:val="20"/>
        </w:rPr>
        <w:t xml:space="preserve">However, </w:t>
      </w:r>
      <w:r w:rsidRPr="003E5399">
        <w:rPr>
          <w:rFonts w:ascii="Calibri" w:hAnsi="Calibri" w:cs="Calibri"/>
          <w:iCs/>
          <w:sz w:val="20"/>
          <w:szCs w:val="20"/>
        </w:rPr>
        <w:t xml:space="preserve">the Labour Market Information System (a key deliverable under EOPO2) has yet to be developed, which undermines efforts to demonstrate the effect </w:t>
      </w:r>
      <w:r w:rsidR="00EC1D41">
        <w:rPr>
          <w:rFonts w:ascii="Calibri" w:hAnsi="Calibri" w:cs="Calibri"/>
          <w:iCs/>
          <w:sz w:val="20"/>
          <w:szCs w:val="20"/>
        </w:rPr>
        <w:t>the Facility</w:t>
      </w:r>
      <w:r w:rsidR="00EC1D41" w:rsidRPr="003E5399">
        <w:rPr>
          <w:rFonts w:ascii="Calibri" w:hAnsi="Calibri" w:cs="Calibri"/>
          <w:iCs/>
          <w:sz w:val="20"/>
          <w:szCs w:val="20"/>
        </w:rPr>
        <w:t xml:space="preserve"> </w:t>
      </w:r>
      <w:r w:rsidRPr="003E5399">
        <w:rPr>
          <w:rFonts w:ascii="Calibri" w:hAnsi="Calibri" w:cs="Calibri"/>
          <w:iCs/>
          <w:sz w:val="20"/>
          <w:szCs w:val="20"/>
        </w:rPr>
        <w:t xml:space="preserve">is having on the sector. </w:t>
      </w:r>
      <w:r w:rsidR="00941D79">
        <w:rPr>
          <w:rFonts w:ascii="Calibri" w:hAnsi="Calibri" w:cs="Calibri"/>
          <w:iCs/>
          <w:sz w:val="20"/>
          <w:szCs w:val="20"/>
        </w:rPr>
        <w:t xml:space="preserve">The decision was taken by DFAT </w:t>
      </w:r>
      <w:r w:rsidR="00941D79" w:rsidRPr="00941D79">
        <w:rPr>
          <w:rFonts w:ascii="Calibri" w:hAnsi="Calibri" w:cs="Calibri"/>
          <w:iCs/>
          <w:sz w:val="20"/>
          <w:szCs w:val="20"/>
        </w:rPr>
        <w:t xml:space="preserve">to hold-off on this deliverable because it was developing its own ‘labour mobility database management tool’, which would be managed by the Pacific Labour Facility. </w:t>
      </w:r>
      <w:r w:rsidR="00941D79">
        <w:rPr>
          <w:rFonts w:ascii="Calibri" w:hAnsi="Calibri" w:cs="Calibri"/>
          <w:iCs/>
          <w:sz w:val="20"/>
          <w:szCs w:val="20"/>
        </w:rPr>
        <w:t>However, such a tool has yet to materialise, and as</w:t>
      </w:r>
      <w:r w:rsidR="00941D79" w:rsidRPr="00941D79">
        <w:rPr>
          <w:rFonts w:ascii="Calibri" w:hAnsi="Calibri" w:cs="Calibri"/>
          <w:iCs/>
          <w:sz w:val="20"/>
          <w:szCs w:val="20"/>
        </w:rPr>
        <w:t xml:space="preserve"> a consequence, </w:t>
      </w:r>
      <w:r w:rsidR="00941D79">
        <w:rPr>
          <w:rFonts w:ascii="Calibri" w:hAnsi="Calibri" w:cs="Calibri"/>
          <w:iCs/>
          <w:sz w:val="20"/>
          <w:szCs w:val="20"/>
        </w:rPr>
        <w:t>the Kiribati Facility</w:t>
      </w:r>
      <w:r w:rsidR="00941D79" w:rsidRPr="00941D79">
        <w:rPr>
          <w:rFonts w:ascii="Calibri" w:hAnsi="Calibri" w:cs="Calibri"/>
          <w:iCs/>
          <w:sz w:val="20"/>
          <w:szCs w:val="20"/>
        </w:rPr>
        <w:t xml:space="preserve"> </w:t>
      </w:r>
      <w:r w:rsidR="00941D79">
        <w:rPr>
          <w:rFonts w:ascii="Calibri" w:hAnsi="Calibri" w:cs="Calibri"/>
          <w:iCs/>
          <w:sz w:val="20"/>
          <w:szCs w:val="20"/>
        </w:rPr>
        <w:t>is</w:t>
      </w:r>
      <w:r w:rsidR="00941D79" w:rsidRPr="00941D79">
        <w:rPr>
          <w:rFonts w:ascii="Calibri" w:hAnsi="Calibri" w:cs="Calibri"/>
          <w:iCs/>
          <w:sz w:val="20"/>
          <w:szCs w:val="20"/>
        </w:rPr>
        <w:t xml:space="preserve"> limited in </w:t>
      </w:r>
      <w:r w:rsidR="00941D79">
        <w:rPr>
          <w:rFonts w:ascii="Calibri" w:hAnsi="Calibri" w:cs="Calibri"/>
          <w:iCs/>
          <w:sz w:val="20"/>
          <w:szCs w:val="20"/>
        </w:rPr>
        <w:t>its</w:t>
      </w:r>
      <w:r w:rsidR="00941D79" w:rsidRPr="00941D79">
        <w:rPr>
          <w:rFonts w:ascii="Calibri" w:hAnsi="Calibri" w:cs="Calibri"/>
          <w:iCs/>
          <w:sz w:val="20"/>
          <w:szCs w:val="20"/>
        </w:rPr>
        <w:t xml:space="preserve"> ability to assist the Ministry with regards to data management systems</w:t>
      </w:r>
      <w:r w:rsidR="00431CDA">
        <w:rPr>
          <w:rFonts w:ascii="Calibri" w:hAnsi="Calibri" w:cs="Calibri"/>
          <w:iCs/>
          <w:sz w:val="20"/>
          <w:szCs w:val="20"/>
        </w:rPr>
        <w:t>, albeit the Facility has provided IT equipment and internet to support MEHR labour mobilisation process</w:t>
      </w:r>
      <w:r w:rsidR="00941D79" w:rsidRPr="00941D79">
        <w:rPr>
          <w:rFonts w:ascii="Calibri" w:hAnsi="Calibri" w:cs="Calibri"/>
          <w:iCs/>
          <w:sz w:val="20"/>
          <w:szCs w:val="20"/>
        </w:rPr>
        <w:t xml:space="preserve">. </w:t>
      </w:r>
    </w:p>
    <w:p w14:paraId="7BF64D4A" w14:textId="328A54C2" w:rsidR="003E5399" w:rsidRDefault="00941D79" w:rsidP="00A737D7">
      <w:pPr>
        <w:spacing w:after="160" w:line="259" w:lineRule="auto"/>
        <w:rPr>
          <w:rFonts w:ascii="Calibri" w:hAnsi="Calibri" w:cs="Calibri"/>
          <w:iCs/>
          <w:sz w:val="20"/>
          <w:szCs w:val="20"/>
        </w:rPr>
      </w:pPr>
      <w:r>
        <w:rPr>
          <w:rFonts w:ascii="Calibri" w:hAnsi="Calibri" w:cs="Calibri"/>
          <w:iCs/>
          <w:sz w:val="20"/>
          <w:szCs w:val="20"/>
        </w:rPr>
        <w:t>At present the</w:t>
      </w:r>
      <w:r w:rsidRPr="00941D79">
        <w:rPr>
          <w:rFonts w:ascii="Calibri" w:hAnsi="Calibri" w:cs="Calibri"/>
          <w:iCs/>
          <w:sz w:val="20"/>
          <w:szCs w:val="20"/>
        </w:rPr>
        <w:t xml:space="preserve"> best option</w:t>
      </w:r>
      <w:r w:rsidR="00FC6FD3">
        <w:rPr>
          <w:rFonts w:ascii="Calibri" w:hAnsi="Calibri" w:cs="Calibri"/>
          <w:iCs/>
          <w:sz w:val="20"/>
          <w:szCs w:val="20"/>
        </w:rPr>
        <w:t xml:space="preserve"> for the management of information</w:t>
      </w:r>
      <w:r w:rsidRPr="00941D79">
        <w:rPr>
          <w:rFonts w:ascii="Calibri" w:hAnsi="Calibri" w:cs="Calibri"/>
          <w:iCs/>
          <w:sz w:val="20"/>
          <w:szCs w:val="20"/>
        </w:rPr>
        <w:t>, in the interim, is to use the database management system of KIT</w:t>
      </w:r>
      <w:r>
        <w:rPr>
          <w:rFonts w:ascii="Calibri" w:hAnsi="Calibri" w:cs="Calibri"/>
          <w:iCs/>
          <w:sz w:val="20"/>
          <w:szCs w:val="20"/>
        </w:rPr>
        <w:t xml:space="preserve"> and also APTC’s own database which includes information on its I-Kiribati graduates. However, both systems only track students who have been through courses and provides very little information on the sector as a whole</w:t>
      </w:r>
      <w:r w:rsidRPr="00941D79">
        <w:rPr>
          <w:rFonts w:ascii="Calibri" w:hAnsi="Calibri" w:cs="Calibri"/>
          <w:iCs/>
          <w:sz w:val="20"/>
          <w:szCs w:val="20"/>
        </w:rPr>
        <w:t xml:space="preserve">. </w:t>
      </w:r>
      <w:r>
        <w:rPr>
          <w:rFonts w:ascii="Calibri" w:hAnsi="Calibri" w:cs="Calibri"/>
          <w:iCs/>
          <w:sz w:val="20"/>
          <w:szCs w:val="20"/>
        </w:rPr>
        <w:t xml:space="preserve"> </w:t>
      </w:r>
      <w:r w:rsidR="003E5399" w:rsidRPr="003E5399">
        <w:rPr>
          <w:rFonts w:ascii="Calibri" w:hAnsi="Calibri" w:cs="Calibri"/>
          <w:iCs/>
          <w:sz w:val="20"/>
          <w:szCs w:val="20"/>
        </w:rPr>
        <w:t xml:space="preserve">Moreover, </w:t>
      </w:r>
      <w:r w:rsidR="003E5399">
        <w:rPr>
          <w:rFonts w:ascii="Calibri" w:hAnsi="Calibri" w:cs="Calibri"/>
          <w:iCs/>
          <w:sz w:val="20"/>
          <w:szCs w:val="20"/>
        </w:rPr>
        <w:t xml:space="preserve">the lack of </w:t>
      </w:r>
      <w:r>
        <w:rPr>
          <w:rFonts w:ascii="Calibri" w:hAnsi="Calibri" w:cs="Calibri"/>
          <w:iCs/>
          <w:sz w:val="20"/>
          <w:szCs w:val="20"/>
        </w:rPr>
        <w:t>a comprehensive LMIS</w:t>
      </w:r>
      <w:r w:rsidR="003E5399">
        <w:rPr>
          <w:rFonts w:ascii="Calibri" w:hAnsi="Calibri" w:cs="Calibri"/>
          <w:iCs/>
          <w:sz w:val="20"/>
          <w:szCs w:val="20"/>
        </w:rPr>
        <w:t xml:space="preserve"> means that d</w:t>
      </w:r>
      <w:r w:rsidR="003E5399" w:rsidRPr="003E5399">
        <w:rPr>
          <w:rFonts w:ascii="Calibri" w:hAnsi="Calibri" w:cs="Calibri"/>
          <w:iCs/>
          <w:sz w:val="20"/>
          <w:szCs w:val="20"/>
        </w:rPr>
        <w:t>ata collection, analysis and reporting is not yet systematically supporting labour mobility needs</w:t>
      </w:r>
      <w:r w:rsidR="003E5399">
        <w:rPr>
          <w:rFonts w:ascii="Calibri" w:hAnsi="Calibri" w:cs="Calibri"/>
          <w:iCs/>
          <w:sz w:val="20"/>
          <w:szCs w:val="20"/>
        </w:rPr>
        <w:t>. Without a single source of such information it makes both tracking progress, and planning for the future, extremely difficult.</w:t>
      </w:r>
      <w:r>
        <w:rPr>
          <w:rFonts w:ascii="Calibri" w:hAnsi="Calibri" w:cs="Calibri"/>
          <w:iCs/>
          <w:sz w:val="20"/>
          <w:szCs w:val="20"/>
        </w:rPr>
        <w:t xml:space="preserve"> </w:t>
      </w:r>
      <w:r w:rsidR="00431CDA">
        <w:rPr>
          <w:rFonts w:ascii="Calibri" w:hAnsi="Calibri" w:cs="Calibri"/>
          <w:iCs/>
          <w:sz w:val="20"/>
          <w:szCs w:val="20"/>
        </w:rPr>
        <w:t>Ultimately database management needs to be owned and led by the MEHR</w:t>
      </w:r>
      <w:r>
        <w:rPr>
          <w:rFonts w:ascii="Calibri" w:hAnsi="Calibri" w:cs="Calibri"/>
          <w:iCs/>
          <w:sz w:val="20"/>
          <w:szCs w:val="20"/>
        </w:rPr>
        <w:t>.</w:t>
      </w:r>
      <w:r w:rsidR="00431CDA">
        <w:rPr>
          <w:rFonts w:ascii="Calibri" w:hAnsi="Calibri" w:cs="Calibri"/>
          <w:iCs/>
          <w:sz w:val="20"/>
          <w:szCs w:val="20"/>
        </w:rPr>
        <w:t xml:space="preserve"> Efforts should be made to ensure MEHR ownership, including supporting ongoing efforts to roll-out the LMIS and facilitating a consultative process with MEHR, PLF, APTC, KIT, MTC and MFAT to develop strategies to address potential conflicts and challenges to make different systems work coherently for MEHR.</w:t>
      </w:r>
    </w:p>
    <w:p w14:paraId="73FE2365" w14:textId="77777777" w:rsidR="00B855BF" w:rsidRDefault="00B855BF" w:rsidP="00B855BF">
      <w:pPr>
        <w:spacing w:after="160" w:line="259" w:lineRule="auto"/>
        <w:rPr>
          <w:rFonts w:ascii="Calibri" w:hAnsi="Calibri" w:cs="Calibri"/>
          <w:iCs/>
          <w:sz w:val="20"/>
          <w:szCs w:val="20"/>
        </w:rPr>
      </w:pPr>
      <w:r>
        <w:rPr>
          <w:rFonts w:ascii="Calibri" w:hAnsi="Calibri" w:cs="Calibri"/>
          <w:iCs/>
          <w:sz w:val="20"/>
          <w:szCs w:val="20"/>
        </w:rPr>
        <w:t xml:space="preserve">In terms of EOPO 3 (‘KIT is a high quality regionally recognised organisation’) KIT is </w:t>
      </w:r>
      <w:r w:rsidRPr="00B855BF">
        <w:rPr>
          <w:rFonts w:ascii="Calibri" w:hAnsi="Calibri" w:cs="Calibri"/>
          <w:b/>
          <w:iCs/>
          <w:sz w:val="20"/>
          <w:szCs w:val="20"/>
        </w:rPr>
        <w:t xml:space="preserve">improving its </w:t>
      </w:r>
      <w:r w:rsidR="00887E21" w:rsidRPr="00B855BF">
        <w:rPr>
          <w:rFonts w:ascii="Calibri" w:hAnsi="Calibri" w:cs="Calibri"/>
          <w:b/>
          <w:iCs/>
          <w:sz w:val="20"/>
          <w:szCs w:val="20"/>
        </w:rPr>
        <w:t>reputation as a quality, regionally-recognised training institute</w:t>
      </w:r>
      <w:r>
        <w:rPr>
          <w:rFonts w:ascii="Calibri" w:hAnsi="Calibri" w:cs="Calibri"/>
          <w:iCs/>
          <w:sz w:val="20"/>
          <w:szCs w:val="20"/>
        </w:rPr>
        <w:t xml:space="preserve">. </w:t>
      </w:r>
      <w:r w:rsidRPr="00B855BF">
        <w:rPr>
          <w:rFonts w:ascii="Calibri" w:hAnsi="Calibri" w:cs="Calibri"/>
          <w:iCs/>
          <w:sz w:val="20"/>
          <w:szCs w:val="20"/>
        </w:rPr>
        <w:t>In 2018, KIT achieved full registration as a training provider under the EQAP of the Secretariat of the Pacific Community (SPC) and the ability to subsequently accredit courses under EQAP</w:t>
      </w:r>
      <w:r>
        <w:rPr>
          <w:rFonts w:ascii="Calibri" w:hAnsi="Calibri" w:cs="Calibri"/>
          <w:iCs/>
          <w:sz w:val="20"/>
          <w:szCs w:val="20"/>
        </w:rPr>
        <w:t xml:space="preserve">. </w:t>
      </w:r>
      <w:r w:rsidRPr="00B855BF">
        <w:rPr>
          <w:rFonts w:ascii="Calibri" w:hAnsi="Calibri" w:cs="Calibri"/>
          <w:iCs/>
          <w:sz w:val="20"/>
          <w:szCs w:val="20"/>
        </w:rPr>
        <w:t>Accreditation as higher education provider under by the Pacific Board for Educational Quality puts KIT i</w:t>
      </w:r>
      <w:r>
        <w:rPr>
          <w:rFonts w:ascii="Calibri" w:hAnsi="Calibri" w:cs="Calibri"/>
          <w:iCs/>
          <w:sz w:val="20"/>
          <w:szCs w:val="20"/>
        </w:rPr>
        <w:t>n</w:t>
      </w:r>
      <w:r w:rsidRPr="00B855BF">
        <w:rPr>
          <w:rFonts w:ascii="Calibri" w:hAnsi="Calibri" w:cs="Calibri"/>
          <w:iCs/>
          <w:sz w:val="20"/>
          <w:szCs w:val="20"/>
        </w:rPr>
        <w:t xml:space="preserve"> a strong position to build its brand as a regionally recognised institute. KIT now has the capacity to design and deliver courses under the Pacific Qualifications Framework. This expands the institute’s capacity to adapt the training profile to meet existing and emerging skills needs</w:t>
      </w:r>
      <w:r>
        <w:rPr>
          <w:rFonts w:ascii="Calibri" w:hAnsi="Calibri" w:cs="Calibri"/>
          <w:iCs/>
          <w:sz w:val="20"/>
          <w:szCs w:val="20"/>
        </w:rPr>
        <w:t xml:space="preserve">. </w:t>
      </w:r>
    </w:p>
    <w:p w14:paraId="2DFC0FA0" w14:textId="65CE5E34" w:rsidR="00B855BF" w:rsidRDefault="00B855BF" w:rsidP="00B855BF">
      <w:pPr>
        <w:spacing w:after="160" w:line="259" w:lineRule="auto"/>
        <w:rPr>
          <w:rFonts w:ascii="Calibri" w:hAnsi="Calibri" w:cs="Calibri"/>
          <w:iCs/>
          <w:sz w:val="20"/>
          <w:szCs w:val="20"/>
        </w:rPr>
      </w:pPr>
      <w:r>
        <w:rPr>
          <w:rFonts w:ascii="Calibri" w:hAnsi="Calibri" w:cs="Calibri"/>
          <w:iCs/>
          <w:sz w:val="20"/>
          <w:szCs w:val="20"/>
        </w:rPr>
        <w:t xml:space="preserve">In addition, KIT has made a major investment in the development of a </w:t>
      </w:r>
      <w:r w:rsidRPr="00B855BF">
        <w:rPr>
          <w:rFonts w:ascii="Calibri" w:hAnsi="Calibri" w:cs="Calibri"/>
          <w:iCs/>
          <w:sz w:val="20"/>
          <w:szCs w:val="20"/>
        </w:rPr>
        <w:t>Recognition of Prior Learning (RPL) Model</w:t>
      </w:r>
      <w:r>
        <w:rPr>
          <w:rStyle w:val="FootnoteReference"/>
          <w:rFonts w:ascii="Calibri" w:eastAsia="Arial" w:hAnsi="Calibri" w:cs="Calibri"/>
          <w:iCs/>
          <w:sz w:val="20"/>
          <w:szCs w:val="20"/>
        </w:rPr>
        <w:footnoteReference w:id="18"/>
      </w:r>
      <w:r>
        <w:rPr>
          <w:rFonts w:ascii="Calibri" w:hAnsi="Calibri" w:cs="Calibri"/>
          <w:iCs/>
          <w:sz w:val="20"/>
          <w:szCs w:val="20"/>
        </w:rPr>
        <w:t xml:space="preserve"> to improve the capacity of its staff, and has also increased its investment (both in terms of time and resources) to strengthen the capacity of KIT staff and students in English (9 additional staff were recruited in 2018 to support this initiative).</w:t>
      </w:r>
      <w:r w:rsidR="001C3F6A">
        <w:rPr>
          <w:rFonts w:ascii="Calibri" w:hAnsi="Calibri" w:cs="Calibri"/>
          <w:iCs/>
          <w:sz w:val="20"/>
          <w:szCs w:val="20"/>
        </w:rPr>
        <w:t xml:space="preserve"> Testing of lecturers’ English language proficiency indicates that whilst skills are improving, considerable progress is still required (in December 2017 12% of staff had the required level of English as per the ASQA standard, by December 2018 30% had the required standard). </w:t>
      </w:r>
    </w:p>
    <w:p w14:paraId="464F8B14" w14:textId="77777777" w:rsidR="00897D63" w:rsidRDefault="001C3F6A" w:rsidP="00B855BF">
      <w:pPr>
        <w:spacing w:after="160" w:line="259" w:lineRule="auto"/>
        <w:rPr>
          <w:rFonts w:ascii="Calibri" w:hAnsi="Calibri" w:cs="Calibri"/>
          <w:iCs/>
          <w:sz w:val="20"/>
          <w:szCs w:val="20"/>
        </w:rPr>
      </w:pPr>
      <w:r w:rsidRPr="001C3F6A">
        <w:rPr>
          <w:rFonts w:ascii="Calibri" w:hAnsi="Calibri" w:cs="Calibri"/>
          <w:b/>
          <w:iCs/>
          <w:sz w:val="20"/>
          <w:szCs w:val="20"/>
        </w:rPr>
        <w:t>No progress has been achieved under the 4</w:t>
      </w:r>
      <w:r w:rsidRPr="001C3F6A">
        <w:rPr>
          <w:rFonts w:ascii="Calibri" w:hAnsi="Calibri" w:cs="Calibri"/>
          <w:b/>
          <w:iCs/>
          <w:sz w:val="20"/>
          <w:szCs w:val="20"/>
          <w:vertAlign w:val="superscript"/>
        </w:rPr>
        <w:t>th</w:t>
      </w:r>
      <w:r w:rsidRPr="001C3F6A">
        <w:rPr>
          <w:rFonts w:ascii="Calibri" w:hAnsi="Calibri" w:cs="Calibri"/>
          <w:b/>
          <w:iCs/>
          <w:sz w:val="20"/>
          <w:szCs w:val="20"/>
        </w:rPr>
        <w:t xml:space="preserve"> EOPO</w:t>
      </w:r>
      <w:r>
        <w:rPr>
          <w:rFonts w:ascii="Calibri" w:hAnsi="Calibri" w:cs="Calibri"/>
          <w:iCs/>
          <w:sz w:val="20"/>
          <w:szCs w:val="20"/>
        </w:rPr>
        <w:t xml:space="preserve"> (‘improved management and coordination of skills sector’). Although the annual reports of the Kiribati Facility note that ‘the expected outcomes/activities for this component of the program have to some extent, been rolled in to EOPOs 1 – 3’, this is in fact not the case and nor is it appropriate. The original design document provides a logical and coherent argument as to why this EOPO is important, noting that </w:t>
      </w:r>
      <w:r w:rsidR="003E5399">
        <w:rPr>
          <w:rFonts w:ascii="Calibri" w:hAnsi="Calibri" w:cs="Calibri"/>
          <w:iCs/>
          <w:sz w:val="20"/>
          <w:szCs w:val="20"/>
        </w:rPr>
        <w:t xml:space="preserve">there is a need to help coordinate the skills sector across government and the region, and that there is also a need to assist the MEHR with improving placement of graduates in employment (via, for instance, the National Career Counselling and Employment Centre). </w:t>
      </w:r>
    </w:p>
    <w:p w14:paraId="3900D5E5" w14:textId="201209EF" w:rsidR="001C3F6A" w:rsidRDefault="00897D63" w:rsidP="00B855BF">
      <w:pPr>
        <w:spacing w:after="160" w:line="259" w:lineRule="auto"/>
        <w:rPr>
          <w:rFonts w:ascii="Calibri" w:hAnsi="Calibri" w:cs="Calibri"/>
          <w:iCs/>
          <w:sz w:val="20"/>
          <w:szCs w:val="20"/>
        </w:rPr>
      </w:pPr>
      <w:r>
        <w:rPr>
          <w:rFonts w:ascii="Calibri" w:hAnsi="Calibri" w:cs="Calibri"/>
          <w:iCs/>
          <w:sz w:val="20"/>
          <w:szCs w:val="20"/>
          <w:lang w:val="en-US"/>
        </w:rPr>
        <w:t xml:space="preserve">At the time of the design of the Kiribati Facility, the </w:t>
      </w:r>
      <w:r w:rsidR="00B67D9C" w:rsidRPr="002B4D47">
        <w:rPr>
          <w:rFonts w:ascii="Calibri" w:hAnsi="Calibri" w:cs="Calibri"/>
          <w:i/>
          <w:sz w:val="20"/>
          <w:szCs w:val="20"/>
          <w:lang w:val="en-US"/>
        </w:rPr>
        <w:t xml:space="preserve">SfEP </w:t>
      </w:r>
      <w:r w:rsidRPr="00B67D9C">
        <w:rPr>
          <w:rFonts w:ascii="Calibri" w:hAnsi="Calibri" w:cs="Calibri"/>
          <w:i/>
          <w:sz w:val="20"/>
          <w:szCs w:val="20"/>
          <w:lang w:val="en-US"/>
        </w:rPr>
        <w:t>Design document</w:t>
      </w:r>
      <w:r w:rsidRPr="00897D63">
        <w:rPr>
          <w:rFonts w:ascii="Calibri" w:hAnsi="Calibri" w:cs="Calibri"/>
          <w:iCs/>
          <w:sz w:val="20"/>
          <w:szCs w:val="20"/>
          <w:lang w:val="en-US"/>
        </w:rPr>
        <w:t xml:space="preserve"> </w:t>
      </w:r>
      <w:r>
        <w:rPr>
          <w:rFonts w:ascii="Calibri" w:hAnsi="Calibri" w:cs="Calibri"/>
          <w:iCs/>
          <w:sz w:val="20"/>
          <w:szCs w:val="20"/>
          <w:lang w:val="en-US"/>
        </w:rPr>
        <w:t>noted that ‘t</w:t>
      </w:r>
      <w:r w:rsidRPr="00897D63">
        <w:rPr>
          <w:rFonts w:ascii="Calibri" w:hAnsi="Calibri" w:cs="Calibri"/>
          <w:iCs/>
          <w:sz w:val="20"/>
          <w:szCs w:val="20"/>
        </w:rPr>
        <w:t>he most recent progress has been made with the continued improvement of KIT as the national training provider however there has not been a planned nor strategic set of initiatives put in place to develop the country’s broader skills sector</w:t>
      </w:r>
      <w:r>
        <w:rPr>
          <w:rFonts w:ascii="Calibri" w:hAnsi="Calibri" w:cs="Calibri"/>
          <w:iCs/>
          <w:sz w:val="20"/>
          <w:szCs w:val="20"/>
        </w:rPr>
        <w:t>’ (p.23). The document therefore went on stress the importance of improving the management and coordination of the sector, and listed a number of activities that need to be delivered including establishing m</w:t>
      </w:r>
      <w:r w:rsidRPr="00897D63">
        <w:rPr>
          <w:rFonts w:ascii="Calibri" w:hAnsi="Calibri" w:cs="Calibri"/>
          <w:iCs/>
          <w:sz w:val="20"/>
          <w:szCs w:val="20"/>
        </w:rPr>
        <w:t>echanisms to improve the coordination of the skills sector</w:t>
      </w:r>
      <w:r>
        <w:rPr>
          <w:rFonts w:ascii="Calibri" w:hAnsi="Calibri" w:cs="Calibri"/>
          <w:iCs/>
          <w:sz w:val="20"/>
          <w:szCs w:val="20"/>
        </w:rPr>
        <w:t>, and the establishment of p</w:t>
      </w:r>
      <w:r w:rsidRPr="00897D63">
        <w:rPr>
          <w:rFonts w:ascii="Calibri" w:hAnsi="Calibri" w:cs="Calibri"/>
          <w:iCs/>
          <w:sz w:val="20"/>
          <w:szCs w:val="20"/>
        </w:rPr>
        <w:t>olicy and planning systems to support skills sector development related to KIT</w:t>
      </w:r>
      <w:r>
        <w:rPr>
          <w:rFonts w:ascii="Calibri" w:hAnsi="Calibri" w:cs="Calibri"/>
          <w:iCs/>
          <w:sz w:val="20"/>
          <w:szCs w:val="20"/>
        </w:rPr>
        <w:t>.</w:t>
      </w:r>
      <w:r w:rsidRPr="00897D63">
        <w:rPr>
          <w:rFonts w:ascii="Calibri" w:hAnsi="Calibri" w:cs="Calibri"/>
          <w:iCs/>
          <w:sz w:val="20"/>
          <w:szCs w:val="20"/>
        </w:rPr>
        <w:t xml:space="preserve"> </w:t>
      </w:r>
      <w:r w:rsidR="003E5399">
        <w:rPr>
          <w:rFonts w:ascii="Calibri" w:hAnsi="Calibri" w:cs="Calibri"/>
          <w:iCs/>
          <w:sz w:val="20"/>
          <w:szCs w:val="20"/>
        </w:rPr>
        <w:t xml:space="preserve">All of these issues remain </w:t>
      </w:r>
      <w:r w:rsidR="00005142">
        <w:rPr>
          <w:rFonts w:ascii="Calibri" w:hAnsi="Calibri" w:cs="Calibri"/>
          <w:iCs/>
          <w:sz w:val="20"/>
          <w:szCs w:val="20"/>
        </w:rPr>
        <w:t>relevant</w:t>
      </w:r>
      <w:r w:rsidR="003E5399">
        <w:rPr>
          <w:rFonts w:ascii="Calibri" w:hAnsi="Calibri" w:cs="Calibri"/>
          <w:iCs/>
          <w:sz w:val="20"/>
          <w:szCs w:val="20"/>
        </w:rPr>
        <w:t xml:space="preserve">, particularly so bearing in mind the shift in focus of the redesigned APTC 3. </w:t>
      </w:r>
      <w:r w:rsidR="000B3A26">
        <w:rPr>
          <w:rFonts w:ascii="Calibri" w:hAnsi="Calibri" w:cs="Calibri"/>
          <w:iCs/>
          <w:sz w:val="20"/>
          <w:szCs w:val="20"/>
        </w:rPr>
        <w:t>As discussed under relevance a reconstituted SPAG (to include APTC, and greater participation from existing members such as MTC and MFAT) that focussed more on the sector as opposed to KIT would be instrumental in this process.</w:t>
      </w:r>
    </w:p>
    <w:p w14:paraId="34A5F2AC" w14:textId="21219908" w:rsidR="00CC5604" w:rsidRDefault="00CC5604" w:rsidP="00B855BF">
      <w:pPr>
        <w:spacing w:after="160" w:line="259" w:lineRule="auto"/>
        <w:rPr>
          <w:rFonts w:ascii="Calibri" w:hAnsi="Calibri" w:cs="Calibri"/>
          <w:iCs/>
          <w:sz w:val="20"/>
          <w:szCs w:val="20"/>
        </w:rPr>
      </w:pPr>
      <w:r w:rsidRPr="00AB10F1">
        <w:rPr>
          <w:rFonts w:asciiTheme="minorHAnsi" w:hAnsiTheme="minorHAnsi" w:cstheme="minorHAnsi"/>
          <w:sz w:val="20"/>
          <w:szCs w:val="20"/>
        </w:rPr>
        <w:t>Without a coherent national strategy for the skills and employment sector (both the Ministry’s Strategic Plan and its Labour Mobility Strategy end this year) KIT could become a ‘victim of its own success’. The more KIT demonstrates success (such as the rapid expansion of the Bridging Course, and the manner in which it has been responsive and flexible in expanding ESS) the likelihood is it will be asked to do more, even if the activity is outside its mandate</w:t>
      </w:r>
      <w:r>
        <w:rPr>
          <w:rFonts w:asciiTheme="minorHAnsi" w:hAnsiTheme="minorHAnsi" w:cstheme="minorHAnsi"/>
          <w:sz w:val="20"/>
          <w:szCs w:val="20"/>
        </w:rPr>
        <w:t>.</w:t>
      </w:r>
    </w:p>
    <w:p w14:paraId="43E0CAEF" w14:textId="709E708F" w:rsidR="00554C34" w:rsidRPr="00110649" w:rsidRDefault="001B535F" w:rsidP="00B855BF">
      <w:pPr>
        <w:spacing w:after="160" w:line="259" w:lineRule="auto"/>
        <w:rPr>
          <w:rFonts w:asciiTheme="minorHAnsi" w:hAnsiTheme="minorHAnsi" w:cstheme="minorHAnsi"/>
          <w:sz w:val="20"/>
          <w:szCs w:val="20"/>
        </w:rPr>
      </w:pPr>
      <w:r w:rsidRPr="000E6AE7">
        <w:rPr>
          <w:rFonts w:asciiTheme="minorHAnsi" w:hAnsiTheme="minorHAnsi" w:cstheme="minorHAnsi"/>
          <w:sz w:val="20"/>
          <w:szCs w:val="20"/>
        </w:rPr>
        <w:t>Under SfEP there has been noteworthy progress with regards to Gender equity, and disability and inclusion. It is likely that further achievements will be made provided the program implements the recommendations made in the recently completed Gender Review and gives consideration to developing a Gender Plan</w:t>
      </w:r>
      <w:r>
        <w:rPr>
          <w:rFonts w:asciiTheme="minorHAnsi" w:hAnsiTheme="minorHAnsi" w:cstheme="minorHAnsi"/>
          <w:sz w:val="20"/>
          <w:szCs w:val="20"/>
        </w:rPr>
        <w:t xml:space="preserve">. </w:t>
      </w:r>
      <w:r w:rsidR="00554C34" w:rsidRPr="00554C34">
        <w:rPr>
          <w:rFonts w:ascii="Calibri" w:hAnsi="Calibri" w:cs="Calibri"/>
          <w:b/>
          <w:iCs/>
          <w:sz w:val="20"/>
          <w:szCs w:val="20"/>
        </w:rPr>
        <w:t>SfEP been able to support increased participation of women in skills development programs at KIT</w:t>
      </w:r>
      <w:r w:rsidR="00554C34">
        <w:rPr>
          <w:rFonts w:asciiTheme="minorHAnsi" w:hAnsiTheme="minorHAnsi" w:cstheme="minorHAnsi"/>
          <w:sz w:val="20"/>
          <w:szCs w:val="20"/>
        </w:rPr>
        <w:t xml:space="preserve">. </w:t>
      </w:r>
      <w:r w:rsidR="00110649">
        <w:rPr>
          <w:rFonts w:asciiTheme="minorHAnsi" w:hAnsiTheme="minorHAnsi" w:cstheme="minorHAnsi"/>
          <w:sz w:val="20"/>
          <w:szCs w:val="20"/>
        </w:rPr>
        <w:t>KIT</w:t>
      </w:r>
      <w:r w:rsidR="00554C34" w:rsidRPr="000E6AE7">
        <w:rPr>
          <w:rFonts w:asciiTheme="minorHAnsi" w:hAnsiTheme="minorHAnsi" w:cstheme="minorHAnsi"/>
          <w:sz w:val="20"/>
          <w:szCs w:val="20"/>
        </w:rPr>
        <w:t xml:space="preserve"> has made a concerted effort to incorporate gender issues into the design and implementation of activities</w:t>
      </w:r>
      <w:r w:rsidR="002472C4">
        <w:rPr>
          <w:rFonts w:asciiTheme="minorHAnsi" w:hAnsiTheme="minorHAnsi" w:cstheme="minorHAnsi"/>
          <w:sz w:val="20"/>
          <w:szCs w:val="20"/>
        </w:rPr>
        <w:t>.</w:t>
      </w:r>
      <w:r w:rsidR="00390BE2">
        <w:rPr>
          <w:rFonts w:asciiTheme="minorHAnsi" w:hAnsiTheme="minorHAnsi" w:cstheme="minorHAnsi"/>
          <w:sz w:val="20"/>
          <w:szCs w:val="20"/>
        </w:rPr>
        <w:t xml:space="preserve"> </w:t>
      </w:r>
      <w:r w:rsidR="002472C4">
        <w:rPr>
          <w:rFonts w:asciiTheme="minorHAnsi" w:hAnsiTheme="minorHAnsi" w:cstheme="minorHAnsi"/>
          <w:sz w:val="20"/>
          <w:szCs w:val="20"/>
        </w:rPr>
        <w:t>I</w:t>
      </w:r>
      <w:r w:rsidR="00390BE2">
        <w:rPr>
          <w:rFonts w:asciiTheme="minorHAnsi" w:hAnsiTheme="minorHAnsi" w:cstheme="minorHAnsi"/>
          <w:sz w:val="20"/>
          <w:szCs w:val="20"/>
        </w:rPr>
        <w:t>n so doing</w:t>
      </w:r>
      <w:r w:rsidR="002472C4">
        <w:rPr>
          <w:rFonts w:asciiTheme="minorHAnsi" w:hAnsiTheme="minorHAnsi" w:cstheme="minorHAnsi"/>
          <w:sz w:val="20"/>
          <w:szCs w:val="20"/>
        </w:rPr>
        <w:t xml:space="preserve"> KIT</w:t>
      </w:r>
      <w:r w:rsidR="00390BE2">
        <w:rPr>
          <w:rFonts w:asciiTheme="minorHAnsi" w:hAnsiTheme="minorHAnsi" w:cstheme="minorHAnsi"/>
          <w:sz w:val="20"/>
          <w:szCs w:val="20"/>
        </w:rPr>
        <w:t xml:space="preserve"> has begun to address a number of gender related matters that have been previously raised in the last two AQCs (namely to do with issues pertaining to disaggregated data, female drop out, the need to improve Gender Based Violence services, improving the gender dimensions of the student service</w:t>
      </w:r>
      <w:r w:rsidR="009D3DDF">
        <w:rPr>
          <w:rFonts w:asciiTheme="minorHAnsi" w:hAnsiTheme="minorHAnsi" w:cstheme="minorHAnsi"/>
          <w:sz w:val="20"/>
          <w:szCs w:val="20"/>
        </w:rPr>
        <w:t xml:space="preserve"> office</w:t>
      </w:r>
      <w:r w:rsidR="00390BE2">
        <w:rPr>
          <w:rFonts w:asciiTheme="minorHAnsi" w:hAnsiTheme="minorHAnsi" w:cstheme="minorHAnsi"/>
          <w:sz w:val="20"/>
          <w:szCs w:val="20"/>
        </w:rPr>
        <w:t>, and improving facilities for women on campus)</w:t>
      </w:r>
      <w:r w:rsidR="002472C4">
        <w:rPr>
          <w:rStyle w:val="FootnoteReference"/>
          <w:rFonts w:asciiTheme="minorHAnsi" w:hAnsiTheme="minorHAnsi" w:cstheme="minorHAnsi"/>
          <w:sz w:val="20"/>
          <w:szCs w:val="20"/>
        </w:rPr>
        <w:footnoteReference w:id="19"/>
      </w:r>
      <w:r w:rsidR="00554C34" w:rsidRPr="000E6AE7">
        <w:rPr>
          <w:rFonts w:asciiTheme="minorHAnsi" w:hAnsiTheme="minorHAnsi" w:cstheme="minorHAnsi"/>
          <w:sz w:val="20"/>
          <w:szCs w:val="20"/>
        </w:rPr>
        <w:t>. KIT has increased female participation in skills development</w:t>
      </w:r>
      <w:r w:rsidR="00110649">
        <w:rPr>
          <w:rFonts w:asciiTheme="minorHAnsi" w:hAnsiTheme="minorHAnsi" w:cstheme="minorHAnsi"/>
          <w:sz w:val="20"/>
          <w:szCs w:val="20"/>
        </w:rPr>
        <w:t xml:space="preserve"> courses</w:t>
      </w:r>
      <w:r w:rsidR="00554C34" w:rsidRPr="000E6AE7">
        <w:rPr>
          <w:rFonts w:asciiTheme="minorHAnsi" w:hAnsiTheme="minorHAnsi" w:cstheme="minorHAnsi"/>
          <w:sz w:val="20"/>
          <w:szCs w:val="20"/>
        </w:rPr>
        <w:t xml:space="preserve"> by 16 per cent in absolute terms since 2017</w:t>
      </w:r>
      <w:r w:rsidR="00110649">
        <w:rPr>
          <w:rFonts w:asciiTheme="minorHAnsi" w:hAnsiTheme="minorHAnsi" w:cstheme="minorHAnsi"/>
          <w:sz w:val="20"/>
          <w:szCs w:val="20"/>
        </w:rPr>
        <w:t>,</w:t>
      </w:r>
      <w:r w:rsidR="00554C34" w:rsidRPr="000E6AE7">
        <w:rPr>
          <w:rFonts w:asciiTheme="minorHAnsi" w:hAnsiTheme="minorHAnsi" w:cstheme="minorHAnsi"/>
          <w:sz w:val="20"/>
          <w:szCs w:val="20"/>
        </w:rPr>
        <w:t xml:space="preserve"> and in 2018 </w:t>
      </w:r>
      <w:r w:rsidR="00110649">
        <w:rPr>
          <w:rFonts w:asciiTheme="minorHAnsi" w:hAnsiTheme="minorHAnsi" w:cstheme="minorHAnsi"/>
          <w:sz w:val="20"/>
          <w:szCs w:val="20"/>
        </w:rPr>
        <w:t>women were</w:t>
      </w:r>
      <w:r w:rsidR="00554C34" w:rsidRPr="000E6AE7">
        <w:rPr>
          <w:rFonts w:asciiTheme="minorHAnsi" w:hAnsiTheme="minorHAnsi" w:cstheme="minorHAnsi"/>
          <w:sz w:val="20"/>
          <w:szCs w:val="20"/>
        </w:rPr>
        <w:t xml:space="preserve"> 48 per cent of the overall total. </w:t>
      </w:r>
      <w:r w:rsidR="00110649" w:rsidRPr="00110649">
        <w:rPr>
          <w:rFonts w:asciiTheme="minorHAnsi" w:hAnsiTheme="minorHAnsi" w:cstheme="minorHAnsi"/>
          <w:sz w:val="20"/>
          <w:szCs w:val="20"/>
        </w:rPr>
        <w:t>KIT has</w:t>
      </w:r>
      <w:r w:rsidR="00110649">
        <w:rPr>
          <w:rFonts w:asciiTheme="minorHAnsi" w:hAnsiTheme="minorHAnsi" w:cstheme="minorHAnsi"/>
          <w:sz w:val="20"/>
          <w:szCs w:val="20"/>
        </w:rPr>
        <w:t xml:space="preserve"> also</w:t>
      </w:r>
      <w:r w:rsidR="00110649" w:rsidRPr="00110649">
        <w:rPr>
          <w:rFonts w:asciiTheme="minorHAnsi" w:hAnsiTheme="minorHAnsi" w:cstheme="minorHAnsi"/>
          <w:sz w:val="20"/>
          <w:szCs w:val="20"/>
        </w:rPr>
        <w:t xml:space="preserve"> improved its gender balance in staffing, executive and leadership teams. KIT’s senior leadership team has 9 females out of a total membership of 16 (56%), compared to 2012 with 2 females out of 6 members</w:t>
      </w:r>
      <w:r w:rsidR="00110649">
        <w:rPr>
          <w:rFonts w:asciiTheme="minorHAnsi" w:hAnsiTheme="minorHAnsi" w:cstheme="minorHAnsi"/>
          <w:sz w:val="20"/>
          <w:szCs w:val="20"/>
        </w:rPr>
        <w:t>. In addition</w:t>
      </w:r>
      <w:r>
        <w:rPr>
          <w:rFonts w:asciiTheme="minorHAnsi" w:hAnsiTheme="minorHAnsi" w:cstheme="minorHAnsi"/>
          <w:sz w:val="20"/>
          <w:szCs w:val="20"/>
        </w:rPr>
        <w:t>,</w:t>
      </w:r>
      <w:r w:rsidR="00110649">
        <w:rPr>
          <w:rFonts w:asciiTheme="minorHAnsi" w:hAnsiTheme="minorHAnsi" w:cstheme="minorHAnsi"/>
          <w:sz w:val="20"/>
          <w:szCs w:val="20"/>
        </w:rPr>
        <w:t xml:space="preserve"> KIT continues to recruit female lecturers onto non-traditional courses.</w:t>
      </w:r>
    </w:p>
    <w:p w14:paraId="7916AE03" w14:textId="70EF4F07" w:rsidR="00110649" w:rsidRPr="00FC6FD3" w:rsidRDefault="00554C34" w:rsidP="00110649">
      <w:pPr>
        <w:rPr>
          <w:rFonts w:asciiTheme="minorHAnsi" w:hAnsiTheme="minorHAnsi" w:cstheme="minorHAnsi"/>
          <w:b/>
          <w:sz w:val="20"/>
          <w:szCs w:val="20"/>
        </w:rPr>
      </w:pPr>
      <w:r w:rsidRPr="00110649">
        <w:rPr>
          <w:rFonts w:ascii="Calibri" w:hAnsi="Calibri" w:cs="Calibri"/>
          <w:b/>
          <w:iCs/>
          <w:sz w:val="20"/>
          <w:szCs w:val="20"/>
        </w:rPr>
        <w:t>Gender equality and women’s empowerment considerations been integrated more broadly across the SfEP</w:t>
      </w:r>
      <w:r w:rsidRPr="00110649">
        <w:rPr>
          <w:rFonts w:ascii="Calibri" w:hAnsi="Calibri" w:cs="Calibri"/>
          <w:iCs/>
          <w:sz w:val="20"/>
          <w:szCs w:val="20"/>
        </w:rPr>
        <w:t xml:space="preserve">. </w:t>
      </w:r>
      <w:r w:rsidRPr="00110649">
        <w:rPr>
          <w:rFonts w:asciiTheme="minorHAnsi" w:hAnsiTheme="minorHAnsi" w:cstheme="minorHAnsi"/>
          <w:sz w:val="20"/>
          <w:szCs w:val="20"/>
        </w:rPr>
        <w:t>There has also been a strong focus on campus environment</w:t>
      </w:r>
      <w:r w:rsidR="001B535F">
        <w:rPr>
          <w:rFonts w:asciiTheme="minorHAnsi" w:hAnsiTheme="minorHAnsi" w:cstheme="minorHAnsi"/>
          <w:sz w:val="20"/>
          <w:szCs w:val="20"/>
        </w:rPr>
        <w:t xml:space="preserve"> guided by KIT’s Gender Committee,</w:t>
      </w:r>
      <w:r w:rsidRPr="00110649">
        <w:rPr>
          <w:rFonts w:asciiTheme="minorHAnsi" w:hAnsiTheme="minorHAnsi" w:cstheme="minorHAnsi"/>
          <w:sz w:val="20"/>
          <w:szCs w:val="20"/>
        </w:rPr>
        <w:t xml:space="preserve"> </w:t>
      </w:r>
      <w:r w:rsidR="00110649" w:rsidRPr="00110649">
        <w:rPr>
          <w:rFonts w:asciiTheme="minorHAnsi" w:hAnsiTheme="minorHAnsi" w:cstheme="minorHAnsi"/>
          <w:sz w:val="20"/>
          <w:szCs w:val="20"/>
        </w:rPr>
        <w:t xml:space="preserve">such as </w:t>
      </w:r>
      <w:r w:rsidR="005C0D41" w:rsidRPr="005C0D41">
        <w:rPr>
          <w:rFonts w:asciiTheme="minorHAnsi" w:hAnsiTheme="minorHAnsi" w:cstheme="minorHAnsi"/>
          <w:sz w:val="20"/>
          <w:szCs w:val="20"/>
        </w:rPr>
        <w:t>supporting the formalisation of a training partnership arrangement with the Kiribati Family and Health Association for annual training on respectful relationships, domestic violence and sexual and reproductive health</w:t>
      </w:r>
      <w:r w:rsidR="005C0D41">
        <w:rPr>
          <w:rFonts w:asciiTheme="minorHAnsi" w:hAnsiTheme="minorHAnsi" w:cstheme="minorHAnsi"/>
          <w:sz w:val="20"/>
          <w:szCs w:val="20"/>
        </w:rPr>
        <w:t xml:space="preserve">; and </w:t>
      </w:r>
      <w:r w:rsidR="005C0D41" w:rsidRPr="005C0D41">
        <w:rPr>
          <w:rFonts w:asciiTheme="minorHAnsi" w:hAnsiTheme="minorHAnsi" w:cstheme="minorHAnsi"/>
          <w:sz w:val="20"/>
          <w:szCs w:val="20"/>
        </w:rPr>
        <w:t>supporting the development of a temporary Sexual Health and Wellbeing Clinic for Betio and a commitment to a facility within the design of the new buildings</w:t>
      </w:r>
      <w:r w:rsidR="005C0D41">
        <w:rPr>
          <w:rFonts w:asciiTheme="minorHAnsi" w:hAnsiTheme="minorHAnsi" w:cstheme="minorHAnsi"/>
          <w:sz w:val="20"/>
          <w:szCs w:val="20"/>
        </w:rPr>
        <w:t xml:space="preserve"> as part of the new Master Plan for KIT.</w:t>
      </w:r>
      <w:r w:rsidR="00FC6FD3">
        <w:rPr>
          <w:rFonts w:asciiTheme="minorHAnsi" w:hAnsiTheme="minorHAnsi" w:cstheme="minorHAnsi"/>
          <w:b/>
          <w:sz w:val="20"/>
          <w:szCs w:val="20"/>
        </w:rPr>
        <w:t xml:space="preserve"> </w:t>
      </w:r>
      <w:r w:rsidR="00110649" w:rsidRPr="00110649">
        <w:rPr>
          <w:rFonts w:asciiTheme="minorHAnsi" w:hAnsiTheme="minorHAnsi" w:cstheme="minorHAnsi"/>
          <w:sz w:val="20"/>
          <w:szCs w:val="20"/>
        </w:rPr>
        <w:t>Select partnerships have been critical for increasing female participation and integrating gender equality across SfEP programming. These partnerships include the Ministry of Women, Youth and Sport</w:t>
      </w:r>
      <w:r w:rsidR="001B535F">
        <w:rPr>
          <w:rFonts w:asciiTheme="minorHAnsi" w:hAnsiTheme="minorHAnsi" w:cstheme="minorHAnsi"/>
          <w:sz w:val="20"/>
          <w:szCs w:val="20"/>
        </w:rPr>
        <w:t xml:space="preserve"> (MWYS)</w:t>
      </w:r>
      <w:r w:rsidR="00110649" w:rsidRPr="00110649">
        <w:rPr>
          <w:rFonts w:asciiTheme="minorHAnsi" w:hAnsiTheme="minorHAnsi" w:cstheme="minorHAnsi"/>
          <w:sz w:val="20"/>
          <w:szCs w:val="20"/>
        </w:rPr>
        <w:t>; the Kiribati Family Health Association; ChildFund Kiribati, and the Catholic Women’s Association. In addition</w:t>
      </w:r>
      <w:r w:rsidR="00110649">
        <w:rPr>
          <w:rFonts w:asciiTheme="minorHAnsi" w:hAnsiTheme="minorHAnsi" w:cstheme="minorHAnsi"/>
          <w:sz w:val="20"/>
          <w:szCs w:val="20"/>
        </w:rPr>
        <w:t>,</w:t>
      </w:r>
      <w:r w:rsidR="00110649" w:rsidRPr="00110649">
        <w:rPr>
          <w:rFonts w:asciiTheme="minorHAnsi" w:hAnsiTheme="minorHAnsi" w:cstheme="minorHAnsi"/>
          <w:sz w:val="20"/>
          <w:szCs w:val="20"/>
        </w:rPr>
        <w:t xml:space="preserve"> the SfEP monitoring and evaluation framework has been designed to provide insight into gender equality and women's empowerment in the program as it tracks a wide-range of participation data disaggregated by gender.</w:t>
      </w:r>
    </w:p>
    <w:p w14:paraId="116E32B4" w14:textId="77777777" w:rsidR="00110649" w:rsidRPr="00110649" w:rsidRDefault="00110649" w:rsidP="00110649">
      <w:pPr>
        <w:rPr>
          <w:rFonts w:asciiTheme="minorHAnsi" w:hAnsiTheme="minorHAnsi" w:cstheme="minorHAnsi"/>
          <w:sz w:val="20"/>
          <w:szCs w:val="20"/>
        </w:rPr>
      </w:pPr>
    </w:p>
    <w:p w14:paraId="618979DC" w14:textId="3FC0666B" w:rsidR="001B535F" w:rsidRDefault="00554C34" w:rsidP="00B855BF">
      <w:pPr>
        <w:spacing w:after="160" w:line="259" w:lineRule="auto"/>
        <w:rPr>
          <w:rFonts w:asciiTheme="minorHAnsi" w:hAnsiTheme="minorHAnsi" w:cstheme="minorHAnsi"/>
          <w:sz w:val="20"/>
          <w:szCs w:val="20"/>
        </w:rPr>
      </w:pPr>
      <w:r w:rsidRPr="00554C34">
        <w:rPr>
          <w:rFonts w:ascii="Calibri" w:hAnsi="Calibri" w:cs="Calibri"/>
          <w:b/>
          <w:iCs/>
          <w:sz w:val="20"/>
          <w:szCs w:val="20"/>
        </w:rPr>
        <w:t>SfEP been able to support increased participation of people with disabilities in skills development programs at KIT</w:t>
      </w:r>
      <w:r>
        <w:rPr>
          <w:rFonts w:ascii="Calibri" w:hAnsi="Calibri" w:cs="Calibri"/>
          <w:iCs/>
          <w:sz w:val="20"/>
          <w:szCs w:val="20"/>
        </w:rPr>
        <w:t>.</w:t>
      </w:r>
      <w:r w:rsidRPr="000E6AE7">
        <w:rPr>
          <w:rFonts w:asciiTheme="minorHAnsi" w:hAnsiTheme="minorHAnsi" w:cstheme="minorHAnsi"/>
          <w:sz w:val="20"/>
          <w:szCs w:val="20"/>
        </w:rPr>
        <w:t xml:space="preserve"> </w:t>
      </w:r>
      <w:r w:rsidR="001B535F" w:rsidRPr="000E6AE7">
        <w:rPr>
          <w:rFonts w:asciiTheme="minorHAnsi" w:hAnsiTheme="minorHAnsi" w:cstheme="minorHAnsi"/>
          <w:sz w:val="20"/>
          <w:szCs w:val="20"/>
        </w:rPr>
        <w:t>KIT has fostered engagement through its Community Support Strategy and is implement</w:t>
      </w:r>
      <w:r w:rsidR="001B535F">
        <w:rPr>
          <w:rFonts w:asciiTheme="minorHAnsi" w:hAnsiTheme="minorHAnsi" w:cstheme="minorHAnsi"/>
          <w:sz w:val="20"/>
          <w:szCs w:val="20"/>
        </w:rPr>
        <w:t>ing</w:t>
      </w:r>
      <w:r w:rsidR="001B535F" w:rsidRPr="000E6AE7">
        <w:rPr>
          <w:rFonts w:asciiTheme="minorHAnsi" w:hAnsiTheme="minorHAnsi" w:cstheme="minorHAnsi"/>
          <w:sz w:val="20"/>
          <w:szCs w:val="20"/>
        </w:rPr>
        <w:t xml:space="preserve"> a Disability Support Plan</w:t>
      </w:r>
      <w:r w:rsidR="001B535F">
        <w:rPr>
          <w:rFonts w:asciiTheme="minorHAnsi" w:hAnsiTheme="minorHAnsi" w:cstheme="minorHAnsi"/>
          <w:sz w:val="20"/>
          <w:szCs w:val="20"/>
        </w:rPr>
        <w:t xml:space="preserve">. </w:t>
      </w:r>
      <w:r w:rsidR="001B535F" w:rsidRPr="00ED0C0C">
        <w:rPr>
          <w:rFonts w:ascii="Calibri" w:hAnsi="Calibri" w:cs="Calibri"/>
          <w:iCs/>
          <w:sz w:val="20"/>
          <w:szCs w:val="20"/>
        </w:rPr>
        <w:t xml:space="preserve">The Disability Support Plan is the strategy used to identify and implement </w:t>
      </w:r>
      <w:r w:rsidR="001B535F">
        <w:rPr>
          <w:rFonts w:ascii="Calibri" w:hAnsi="Calibri" w:cs="Calibri"/>
          <w:iCs/>
          <w:sz w:val="20"/>
          <w:szCs w:val="20"/>
        </w:rPr>
        <w:t xml:space="preserve">inclusion </w:t>
      </w:r>
      <w:r w:rsidR="001B535F" w:rsidRPr="00ED0C0C">
        <w:rPr>
          <w:rFonts w:ascii="Calibri" w:hAnsi="Calibri" w:cs="Calibri"/>
          <w:iCs/>
          <w:sz w:val="20"/>
          <w:szCs w:val="20"/>
        </w:rPr>
        <w:t xml:space="preserve">activities. </w:t>
      </w:r>
      <w:r w:rsidR="001B535F">
        <w:rPr>
          <w:rFonts w:ascii="Calibri" w:hAnsi="Calibri" w:cs="Calibri"/>
          <w:iCs/>
          <w:sz w:val="20"/>
          <w:szCs w:val="20"/>
        </w:rPr>
        <w:t>It is</w:t>
      </w:r>
      <w:r w:rsidR="001B535F" w:rsidRPr="00ED0C0C">
        <w:rPr>
          <w:rFonts w:ascii="Calibri" w:hAnsi="Calibri" w:cs="Calibri"/>
          <w:iCs/>
          <w:sz w:val="20"/>
          <w:szCs w:val="20"/>
        </w:rPr>
        <w:t xml:space="preserve"> based on twin-track approach to disability inclusion, mainstreaming and specific interventions, which is consistent with international best practice in disability inclusion</w:t>
      </w:r>
      <w:r w:rsidR="001B535F">
        <w:rPr>
          <w:rFonts w:ascii="Calibri" w:hAnsi="Calibri" w:cs="Calibri"/>
          <w:iCs/>
          <w:sz w:val="20"/>
          <w:szCs w:val="20"/>
        </w:rPr>
        <w:t xml:space="preserve">. Mainstreaming activities include a </w:t>
      </w:r>
      <w:r w:rsidR="001B535F">
        <w:rPr>
          <w:rFonts w:ascii="Calibri" w:hAnsi="Calibri" w:cs="Calibri"/>
          <w:sz w:val="20"/>
          <w:szCs w:val="20"/>
        </w:rPr>
        <w:t xml:space="preserve">good </w:t>
      </w:r>
      <w:r w:rsidR="001B535F" w:rsidRPr="001B535F">
        <w:rPr>
          <w:rFonts w:ascii="Calibri" w:hAnsi="Calibri" w:cs="Calibri"/>
          <w:sz w:val="20"/>
          <w:szCs w:val="20"/>
        </w:rPr>
        <w:t>relationship with Senior Disability Officer at MWYS to ensure DSP aligns with broader Kiribati National Action Plan on Disability</w:t>
      </w:r>
      <w:r w:rsidR="001B535F">
        <w:rPr>
          <w:rFonts w:ascii="Calibri" w:hAnsi="Calibri" w:cs="Calibri"/>
          <w:sz w:val="20"/>
          <w:szCs w:val="20"/>
        </w:rPr>
        <w:t>, building the inclusion capacity of staff, and maintaining of relationships with key disability stakeholders across Kiribati</w:t>
      </w:r>
      <w:r w:rsidR="001B535F" w:rsidRPr="001B535F">
        <w:rPr>
          <w:rFonts w:ascii="Calibri" w:hAnsi="Calibri" w:cs="Calibri"/>
          <w:sz w:val="20"/>
          <w:szCs w:val="20"/>
        </w:rPr>
        <w:t>.</w:t>
      </w:r>
      <w:r w:rsidR="001B535F">
        <w:rPr>
          <w:rFonts w:ascii="Calibri" w:hAnsi="Calibri" w:cs="Calibri"/>
          <w:sz w:val="20"/>
          <w:szCs w:val="20"/>
        </w:rPr>
        <w:t xml:space="preserve"> Specific interventions </w:t>
      </w:r>
      <w:r w:rsidR="001B535F">
        <w:rPr>
          <w:rFonts w:asciiTheme="minorHAnsi" w:hAnsiTheme="minorHAnsi" w:cstheme="minorHAnsi"/>
          <w:sz w:val="20"/>
          <w:szCs w:val="20"/>
        </w:rPr>
        <w:t xml:space="preserve">include, for example </w:t>
      </w:r>
      <w:r w:rsidRPr="000E6AE7">
        <w:rPr>
          <w:rFonts w:asciiTheme="minorHAnsi" w:hAnsiTheme="minorHAnsi" w:cstheme="minorHAnsi"/>
          <w:sz w:val="20"/>
          <w:szCs w:val="20"/>
        </w:rPr>
        <w:t xml:space="preserve">tailoring courses, adapting infrastructure, </w:t>
      </w:r>
      <w:r w:rsidR="00110649">
        <w:rPr>
          <w:rFonts w:asciiTheme="minorHAnsi" w:hAnsiTheme="minorHAnsi" w:cstheme="minorHAnsi"/>
          <w:sz w:val="20"/>
          <w:szCs w:val="20"/>
        </w:rPr>
        <w:t xml:space="preserve">and </w:t>
      </w:r>
      <w:r w:rsidRPr="000E6AE7">
        <w:rPr>
          <w:rFonts w:asciiTheme="minorHAnsi" w:hAnsiTheme="minorHAnsi" w:cstheme="minorHAnsi"/>
          <w:sz w:val="20"/>
          <w:szCs w:val="20"/>
        </w:rPr>
        <w:t>co</w:t>
      </w:r>
      <w:r w:rsidR="00110649">
        <w:rPr>
          <w:rFonts w:asciiTheme="minorHAnsi" w:hAnsiTheme="minorHAnsi" w:cstheme="minorHAnsi"/>
          <w:sz w:val="20"/>
          <w:szCs w:val="20"/>
        </w:rPr>
        <w:t>-</w:t>
      </w:r>
      <w:r w:rsidRPr="000E6AE7">
        <w:rPr>
          <w:rFonts w:asciiTheme="minorHAnsi" w:hAnsiTheme="minorHAnsi" w:cstheme="minorHAnsi"/>
          <w:sz w:val="20"/>
          <w:szCs w:val="20"/>
        </w:rPr>
        <w:t>delivery of courses with Kiribati Deaf Association</w:t>
      </w:r>
      <w:r w:rsidR="001B535F">
        <w:rPr>
          <w:rFonts w:asciiTheme="minorHAnsi" w:hAnsiTheme="minorHAnsi" w:cstheme="minorHAnsi"/>
          <w:sz w:val="20"/>
          <w:szCs w:val="20"/>
        </w:rPr>
        <w:t>.</w:t>
      </w:r>
      <w:r w:rsidRPr="000E6AE7">
        <w:rPr>
          <w:rFonts w:asciiTheme="minorHAnsi" w:hAnsiTheme="minorHAnsi" w:cstheme="minorHAnsi"/>
          <w:sz w:val="20"/>
          <w:szCs w:val="20"/>
        </w:rPr>
        <w:t xml:space="preserve"> KIT has also witnessed an increase in the participation of KIT courses for people with disability.</w:t>
      </w:r>
      <w:r w:rsidR="00110649">
        <w:rPr>
          <w:rFonts w:asciiTheme="minorHAnsi" w:hAnsiTheme="minorHAnsi" w:cstheme="minorHAnsi"/>
          <w:sz w:val="20"/>
          <w:szCs w:val="20"/>
        </w:rPr>
        <w:t xml:space="preserve"> For </w:t>
      </w:r>
      <w:r w:rsidR="001B535F">
        <w:rPr>
          <w:rFonts w:asciiTheme="minorHAnsi" w:hAnsiTheme="minorHAnsi" w:cstheme="minorHAnsi"/>
          <w:sz w:val="20"/>
          <w:szCs w:val="20"/>
        </w:rPr>
        <w:t>instance,</w:t>
      </w:r>
      <w:r w:rsidR="00110649">
        <w:rPr>
          <w:rFonts w:asciiTheme="minorHAnsi" w:hAnsiTheme="minorHAnsi" w:cstheme="minorHAnsi"/>
          <w:sz w:val="20"/>
          <w:szCs w:val="20"/>
        </w:rPr>
        <w:t xml:space="preserve"> KIT delivered a custom certificate course in ICT to 6 visually impaired students (3 males and 3 females). KIT also delivered several short courses</w:t>
      </w:r>
      <w:r w:rsidR="001B535F">
        <w:rPr>
          <w:rFonts w:asciiTheme="minorHAnsi" w:hAnsiTheme="minorHAnsi" w:cstheme="minorHAnsi"/>
          <w:sz w:val="20"/>
          <w:szCs w:val="20"/>
        </w:rPr>
        <w:t xml:space="preserve"> in construction to 9 students with hearing impairments. </w:t>
      </w:r>
      <w:r w:rsidRPr="000E6AE7">
        <w:rPr>
          <w:rFonts w:asciiTheme="minorHAnsi" w:hAnsiTheme="minorHAnsi" w:cstheme="minorHAnsi"/>
          <w:sz w:val="20"/>
          <w:szCs w:val="20"/>
        </w:rPr>
        <w:t xml:space="preserve"> </w:t>
      </w:r>
    </w:p>
    <w:p w14:paraId="55FD1E24" w14:textId="61955365" w:rsidR="009C25E9" w:rsidRDefault="00CC5604" w:rsidP="00B855BF">
      <w:pPr>
        <w:spacing w:after="160" w:line="259" w:lineRule="auto"/>
        <w:rPr>
          <w:rFonts w:asciiTheme="minorHAnsi" w:hAnsiTheme="minorHAnsi" w:cstheme="minorHAnsi"/>
          <w:sz w:val="20"/>
          <w:szCs w:val="20"/>
        </w:rPr>
      </w:pPr>
      <w:r w:rsidRPr="00CC5604">
        <w:rPr>
          <w:rFonts w:ascii="Calibri" w:hAnsi="Calibri" w:cs="Calibri"/>
          <w:b/>
          <w:iCs/>
          <w:sz w:val="20"/>
          <w:szCs w:val="20"/>
        </w:rPr>
        <w:t>The M&amp;E system of the Kiribati Facility is generating information to support management decision-making, learning and accountability purposes</w:t>
      </w:r>
      <w:r>
        <w:rPr>
          <w:rFonts w:ascii="Calibri" w:hAnsi="Calibri" w:cs="Calibri"/>
          <w:iCs/>
          <w:sz w:val="20"/>
          <w:szCs w:val="20"/>
        </w:rPr>
        <w:t xml:space="preserve">. </w:t>
      </w:r>
      <w:r w:rsidRPr="000E6AE7">
        <w:rPr>
          <w:rFonts w:asciiTheme="minorHAnsi" w:hAnsiTheme="minorHAnsi" w:cstheme="minorHAnsi"/>
          <w:sz w:val="20"/>
          <w:szCs w:val="20"/>
        </w:rPr>
        <w:t>There exists a comprehensive M&amp;E plan for SfEP, which is routinely reported against. No such plan exists for the other component of the program (i.e. the Flexible Support Facility). There has been considerable investment in KIT’s data collection and monitoring system, and the consensus is that data quality is improving</w:t>
      </w:r>
      <w:r w:rsidR="009C25E9">
        <w:rPr>
          <w:rFonts w:asciiTheme="minorHAnsi" w:hAnsiTheme="minorHAnsi" w:cstheme="minorHAnsi"/>
          <w:sz w:val="20"/>
          <w:szCs w:val="20"/>
        </w:rPr>
        <w:t>, albeit i</w:t>
      </w:r>
      <w:r w:rsidR="009C25E9" w:rsidRPr="009C25E9">
        <w:rPr>
          <w:rFonts w:ascii="Calibri" w:hAnsi="Calibri" w:cs="Calibri"/>
          <w:iCs/>
          <w:sz w:val="20"/>
          <w:szCs w:val="20"/>
        </w:rPr>
        <w:t>t is coming from a low base. Each results indicator now has a baseline and targets have been confirmed for the year ahead where relevant</w:t>
      </w:r>
      <w:r w:rsidR="009C25E9">
        <w:rPr>
          <w:rFonts w:ascii="Calibri" w:hAnsi="Calibri" w:cs="Calibri"/>
          <w:iCs/>
          <w:sz w:val="20"/>
          <w:szCs w:val="20"/>
        </w:rPr>
        <w:t>. As already noted above KIT is using information generated by the M&amp;E system to modify its activities (for instance the restructuring of the ESS unit was influenced by data demonstrating the increase in requests to the unit, changes were made to the Student Support Services based on student feedback data).</w:t>
      </w:r>
    </w:p>
    <w:p w14:paraId="0580F361" w14:textId="5D478964" w:rsidR="00887E21" w:rsidRPr="00D05A14" w:rsidRDefault="00CC5604" w:rsidP="00D05A14">
      <w:pPr>
        <w:spacing w:after="160" w:line="259" w:lineRule="auto"/>
        <w:rPr>
          <w:rFonts w:asciiTheme="minorHAnsi" w:hAnsiTheme="minorHAnsi" w:cstheme="minorHAnsi"/>
          <w:sz w:val="20"/>
          <w:szCs w:val="20"/>
        </w:rPr>
      </w:pPr>
      <w:r w:rsidRPr="000E6AE7">
        <w:rPr>
          <w:rFonts w:asciiTheme="minorHAnsi" w:hAnsiTheme="minorHAnsi" w:cstheme="minorHAnsi"/>
          <w:sz w:val="20"/>
          <w:szCs w:val="20"/>
        </w:rPr>
        <w:t>KIT have now recruited a locally based M&amp;E officer to provide information to support ‘real time’ evidence-based decision making</w:t>
      </w:r>
      <w:r w:rsidR="009C25E9">
        <w:rPr>
          <w:rFonts w:asciiTheme="minorHAnsi" w:hAnsiTheme="minorHAnsi" w:cstheme="minorHAnsi"/>
          <w:sz w:val="20"/>
          <w:szCs w:val="20"/>
        </w:rPr>
        <w:t xml:space="preserve">. </w:t>
      </w:r>
      <w:r w:rsidR="009C25E9" w:rsidRPr="000E6AE7">
        <w:rPr>
          <w:rFonts w:asciiTheme="minorHAnsi" w:hAnsiTheme="minorHAnsi" w:cstheme="minorHAnsi"/>
          <w:sz w:val="20"/>
          <w:szCs w:val="20"/>
        </w:rPr>
        <w:t>As already noted above there remains ongoing challenges with regards to a LMIS, which curtails the analysis of sector related data</w:t>
      </w:r>
      <w:r w:rsidR="009C25E9">
        <w:rPr>
          <w:rFonts w:asciiTheme="minorHAnsi" w:hAnsiTheme="minorHAnsi" w:cstheme="minorHAnsi"/>
          <w:sz w:val="20"/>
          <w:szCs w:val="20"/>
        </w:rPr>
        <w:t xml:space="preserve">, and interviews suggest that there is scope to use </w:t>
      </w:r>
      <w:r w:rsidR="009C25E9" w:rsidRPr="002B4D47">
        <w:rPr>
          <w:rFonts w:asciiTheme="minorHAnsi" w:hAnsiTheme="minorHAnsi" w:cstheme="minorHAnsi"/>
          <w:sz w:val="20"/>
          <w:szCs w:val="20"/>
        </w:rPr>
        <w:t>use EduPoint for more than it is currently being used for.</w:t>
      </w:r>
      <w:r w:rsidR="009C25E9">
        <w:rPr>
          <w:rFonts w:asciiTheme="minorHAnsi" w:hAnsiTheme="minorHAnsi" w:cstheme="minorHAnsi"/>
          <w:sz w:val="20"/>
          <w:szCs w:val="20"/>
        </w:rPr>
        <w:t xml:space="preserve"> </w:t>
      </w:r>
      <w:r w:rsidR="00B14D4F" w:rsidRPr="002B4D47">
        <w:rPr>
          <w:rFonts w:asciiTheme="minorHAnsi" w:hAnsiTheme="minorHAnsi" w:cstheme="minorHAnsi"/>
          <w:sz w:val="20"/>
          <w:szCs w:val="20"/>
        </w:rPr>
        <w:t xml:space="preserve">KIT has </w:t>
      </w:r>
      <w:r w:rsidR="00B14D4F">
        <w:rPr>
          <w:rFonts w:asciiTheme="minorHAnsi" w:hAnsiTheme="minorHAnsi" w:cstheme="minorHAnsi"/>
          <w:sz w:val="20"/>
          <w:szCs w:val="20"/>
        </w:rPr>
        <w:t xml:space="preserve">recently </w:t>
      </w:r>
      <w:r w:rsidR="00B14D4F" w:rsidRPr="002B4D47">
        <w:rPr>
          <w:rFonts w:asciiTheme="minorHAnsi" w:hAnsiTheme="minorHAnsi" w:cstheme="minorHAnsi"/>
          <w:sz w:val="20"/>
          <w:szCs w:val="20"/>
        </w:rPr>
        <w:t>sourced an IT support provider who will support EduPoint. This model will be trialled over 12 months to determine if this model is fit for purpose before investing in a new system so soon after implementing EduPoint at KIT</w:t>
      </w:r>
      <w:r w:rsidR="009C25E9" w:rsidRPr="002B4D47">
        <w:rPr>
          <w:rFonts w:asciiTheme="minorHAnsi" w:hAnsiTheme="minorHAnsi" w:cstheme="minorHAnsi"/>
          <w:sz w:val="20"/>
          <w:szCs w:val="20"/>
        </w:rPr>
        <w:t>.</w:t>
      </w:r>
    </w:p>
    <w:p w14:paraId="4B2EA2A0" w14:textId="2D5CE7A7" w:rsidR="00887E21" w:rsidRDefault="00887E21" w:rsidP="00887E21">
      <w:pPr>
        <w:pStyle w:val="SDANumberedheading2"/>
        <w:rPr>
          <w:rFonts w:cs="Arial"/>
          <w:noProof w:val="0"/>
        </w:rPr>
      </w:pPr>
      <w:bookmarkStart w:id="31" w:name="_Toc8623408"/>
      <w:r>
        <w:rPr>
          <w:rFonts w:cs="Arial"/>
          <w:noProof w:val="0"/>
        </w:rPr>
        <w:t>Efficiency</w:t>
      </w:r>
      <w:bookmarkEnd w:id="31"/>
    </w:p>
    <w:p w14:paraId="5721BAA0" w14:textId="5330128D" w:rsidR="00887E21" w:rsidRPr="004A274A" w:rsidRDefault="00887E21" w:rsidP="00AA639A">
      <w:pPr>
        <w:pStyle w:val="SDANumberedheading3"/>
        <w:numPr>
          <w:ilvl w:val="0"/>
          <w:numId w:val="16"/>
        </w:numPr>
        <w:rPr>
          <w:lang w:val="en-AU"/>
        </w:rPr>
      </w:pPr>
      <w:bookmarkStart w:id="32" w:name="_Toc8189753"/>
      <w:bookmarkStart w:id="33" w:name="_Toc8623409"/>
      <w:r w:rsidRPr="00887E21">
        <w:rPr>
          <w:lang w:val="en-AU"/>
        </w:rPr>
        <w:t>How well have financial and non-financial resources been used to achieve KF’s outcomes</w:t>
      </w:r>
      <w:r w:rsidRPr="004A274A">
        <w:rPr>
          <w:lang w:val="en-AU"/>
        </w:rPr>
        <w:t>?</w:t>
      </w:r>
      <w:bookmarkEnd w:id="32"/>
      <w:bookmarkEnd w:id="33"/>
      <w:r w:rsidRPr="004A274A">
        <w:rPr>
          <w:lang w:val="en-AU"/>
        </w:rPr>
        <w:t xml:space="preserve"> </w:t>
      </w:r>
    </w:p>
    <w:p w14:paraId="208FB42C" w14:textId="77777777" w:rsidR="000E6AE7" w:rsidRDefault="00887E21" w:rsidP="000E6AE7">
      <w:pPr>
        <w:pBdr>
          <w:top w:val="single" w:sz="4" w:space="1" w:color="auto"/>
          <w:left w:val="single" w:sz="4" w:space="4" w:color="auto"/>
          <w:bottom w:val="single" w:sz="4" w:space="1" w:color="auto"/>
          <w:right w:val="single" w:sz="4" w:space="4" w:color="auto"/>
        </w:pBdr>
        <w:shd w:val="pct15" w:color="auto" w:fill="auto"/>
        <w:rPr>
          <w:rFonts w:asciiTheme="minorHAnsi" w:hAnsiTheme="minorHAnsi" w:cstheme="minorHAnsi"/>
          <w:b/>
          <w:sz w:val="22"/>
          <w:szCs w:val="22"/>
          <w:lang w:val="en-AU"/>
        </w:rPr>
      </w:pPr>
      <w:r w:rsidRPr="002D4E54">
        <w:rPr>
          <w:rFonts w:asciiTheme="minorHAnsi" w:hAnsiTheme="minorHAnsi" w:cstheme="minorHAnsi"/>
          <w:b/>
          <w:sz w:val="22"/>
          <w:szCs w:val="22"/>
          <w:lang w:val="en-AU"/>
        </w:rPr>
        <w:t xml:space="preserve">Summary response to the evaluation question: </w:t>
      </w:r>
    </w:p>
    <w:p w14:paraId="2D8F15DC" w14:textId="50C0785A" w:rsidR="00D2636A" w:rsidRPr="00D2636A" w:rsidRDefault="000E6AE7" w:rsidP="000E6AE7">
      <w:pPr>
        <w:pBdr>
          <w:top w:val="single" w:sz="4" w:space="1" w:color="auto"/>
          <w:left w:val="single" w:sz="4" w:space="4" w:color="auto"/>
          <w:bottom w:val="single" w:sz="4" w:space="1" w:color="auto"/>
          <w:right w:val="single" w:sz="4" w:space="4" w:color="auto"/>
        </w:pBdr>
        <w:shd w:val="pct15" w:color="auto" w:fill="auto"/>
        <w:rPr>
          <w:rFonts w:asciiTheme="minorHAnsi" w:hAnsiTheme="minorHAnsi" w:cstheme="minorHAnsi"/>
          <w:sz w:val="20"/>
          <w:szCs w:val="20"/>
        </w:rPr>
      </w:pPr>
      <w:r w:rsidRPr="000E6AE7">
        <w:rPr>
          <w:rFonts w:asciiTheme="minorHAnsi" w:hAnsiTheme="minorHAnsi" w:cstheme="minorHAnsi"/>
          <w:sz w:val="20"/>
          <w:szCs w:val="20"/>
        </w:rPr>
        <w:t xml:space="preserve">Nearly all planned activities under SfEP have been delivered on time and within budget. KIT has been successful in leveraging relationships with partners (such as MTC, APTC, USP, KTC, KIT/KSOHN) to enhance the efficient use of resources. </w:t>
      </w:r>
      <w:r w:rsidR="00D2636A" w:rsidRPr="00D2636A">
        <w:rPr>
          <w:rFonts w:asciiTheme="minorHAnsi" w:hAnsiTheme="minorHAnsi" w:cstheme="minorHAnsi"/>
          <w:sz w:val="20"/>
          <w:szCs w:val="20"/>
        </w:rPr>
        <w:t>The SfEP has also been efficient in ensuring sufficient resources have been provided to support the step-up of the Pacific Labour Scheme and Seasonal Worker Programme</w:t>
      </w:r>
      <w:r w:rsidR="00D2636A">
        <w:rPr>
          <w:rFonts w:asciiTheme="minorHAnsi" w:hAnsiTheme="minorHAnsi" w:cstheme="minorHAnsi"/>
          <w:sz w:val="20"/>
          <w:szCs w:val="20"/>
        </w:rPr>
        <w:t xml:space="preserve">. </w:t>
      </w:r>
      <w:r w:rsidR="00D323DB">
        <w:rPr>
          <w:rFonts w:ascii="Calibri" w:hAnsi="Calibri" w:cs="Calibri"/>
          <w:iCs/>
          <w:sz w:val="20"/>
          <w:szCs w:val="20"/>
        </w:rPr>
        <w:t>Unsurprisingly, given the nature of the Facility’s focus on technical capacity building and knowledge transfer</w:t>
      </w:r>
      <w:r w:rsidR="00D323DB" w:rsidRPr="00D2636A">
        <w:rPr>
          <w:rFonts w:ascii="Calibri" w:hAnsi="Calibri" w:cs="Calibri"/>
          <w:iCs/>
          <w:sz w:val="20"/>
          <w:szCs w:val="20"/>
        </w:rPr>
        <w:t xml:space="preserve">, expenditure on </w:t>
      </w:r>
      <w:r w:rsidR="00D323DB">
        <w:rPr>
          <w:rFonts w:ascii="Calibri" w:hAnsi="Calibri" w:cs="Calibri"/>
          <w:iCs/>
          <w:sz w:val="20"/>
          <w:szCs w:val="20"/>
        </w:rPr>
        <w:t>adviser</w:t>
      </w:r>
      <w:r w:rsidR="00D323DB" w:rsidRPr="00D2636A">
        <w:rPr>
          <w:rFonts w:ascii="Calibri" w:hAnsi="Calibri" w:cs="Calibri"/>
          <w:iCs/>
          <w:sz w:val="20"/>
          <w:szCs w:val="20"/>
        </w:rPr>
        <w:t xml:space="preserve">s accounts for a </w:t>
      </w:r>
      <w:r w:rsidR="00D323DB">
        <w:rPr>
          <w:rFonts w:ascii="Calibri" w:hAnsi="Calibri" w:cs="Calibri"/>
          <w:iCs/>
          <w:sz w:val="20"/>
          <w:szCs w:val="20"/>
        </w:rPr>
        <w:t xml:space="preserve">considerable </w:t>
      </w:r>
      <w:r w:rsidR="00D323DB" w:rsidRPr="00D2636A">
        <w:rPr>
          <w:rFonts w:ascii="Calibri" w:hAnsi="Calibri" w:cs="Calibri"/>
          <w:iCs/>
          <w:sz w:val="20"/>
          <w:szCs w:val="20"/>
        </w:rPr>
        <w:t>proportion of the total budget of the Kiribati Facility</w:t>
      </w:r>
      <w:r w:rsidR="00D323DB" w:rsidRPr="008E2C7E">
        <w:rPr>
          <w:rFonts w:asciiTheme="minorHAnsi" w:hAnsiTheme="minorHAnsi" w:cs="Arial"/>
          <w:sz w:val="20"/>
          <w:szCs w:val="20"/>
        </w:rPr>
        <w:t xml:space="preserve">. </w:t>
      </w:r>
      <w:r w:rsidR="00D323DB">
        <w:rPr>
          <w:rFonts w:asciiTheme="minorHAnsi" w:hAnsiTheme="minorHAnsi" w:cs="Arial"/>
          <w:sz w:val="20"/>
          <w:szCs w:val="20"/>
        </w:rPr>
        <w:t>The Facility</w:t>
      </w:r>
      <w:r w:rsidR="00D323DB" w:rsidRPr="008E2C7E">
        <w:rPr>
          <w:rFonts w:asciiTheme="minorHAnsi" w:hAnsiTheme="minorHAnsi" w:cs="Arial"/>
          <w:sz w:val="20"/>
          <w:szCs w:val="20"/>
        </w:rPr>
        <w:t xml:space="preserve"> continues to invest extensive resources in promoting English language proficiency amongst both staff and students (the English Department is biggest teaching department at KIT)</w:t>
      </w:r>
      <w:r w:rsidR="00D2636A" w:rsidRPr="00D2636A">
        <w:rPr>
          <w:rFonts w:ascii="Calibri" w:hAnsi="Calibri" w:cs="Calibri"/>
          <w:iCs/>
          <w:sz w:val="20"/>
          <w:szCs w:val="20"/>
        </w:rPr>
        <w:t>.</w:t>
      </w:r>
    </w:p>
    <w:p w14:paraId="125FE3B7" w14:textId="1D2C50F3" w:rsidR="00887E21" w:rsidRPr="00F023A9" w:rsidRDefault="00D323DB" w:rsidP="000E6AE7">
      <w:pPr>
        <w:pBdr>
          <w:top w:val="single" w:sz="4" w:space="1" w:color="auto"/>
          <w:left w:val="single" w:sz="4" w:space="4" w:color="auto"/>
          <w:bottom w:val="single" w:sz="4" w:space="1" w:color="auto"/>
          <w:right w:val="single" w:sz="4" w:space="4" w:color="auto"/>
        </w:pBdr>
        <w:shd w:val="pct15" w:color="auto" w:fill="auto"/>
        <w:rPr>
          <w:rFonts w:asciiTheme="minorHAnsi" w:hAnsiTheme="minorHAnsi" w:cstheme="minorHAnsi"/>
          <w:b/>
          <w:sz w:val="22"/>
          <w:szCs w:val="22"/>
          <w:lang w:val="en-AU"/>
        </w:rPr>
      </w:pPr>
      <w:r w:rsidRPr="008E2C7E">
        <w:rPr>
          <w:rFonts w:asciiTheme="minorHAnsi" w:hAnsiTheme="minorHAnsi" w:cs="Arial"/>
          <w:sz w:val="20"/>
          <w:szCs w:val="20"/>
        </w:rPr>
        <w:t xml:space="preserve">The </w:t>
      </w:r>
      <w:r>
        <w:rPr>
          <w:rFonts w:asciiTheme="minorHAnsi" w:hAnsiTheme="minorHAnsi" w:cs="Arial"/>
          <w:sz w:val="20"/>
          <w:szCs w:val="20"/>
        </w:rPr>
        <w:t>Facility</w:t>
      </w:r>
      <w:r w:rsidRPr="008E2C7E">
        <w:rPr>
          <w:rFonts w:asciiTheme="minorHAnsi" w:hAnsiTheme="minorHAnsi" w:cs="Arial"/>
          <w:sz w:val="20"/>
          <w:szCs w:val="20"/>
        </w:rPr>
        <w:t xml:space="preserve"> does not routinely or systematically report on Value for Money</w:t>
      </w:r>
      <w:r>
        <w:rPr>
          <w:rFonts w:asciiTheme="minorHAnsi" w:hAnsiTheme="minorHAnsi" w:cs="Arial"/>
          <w:sz w:val="20"/>
          <w:szCs w:val="20"/>
        </w:rPr>
        <w:t xml:space="preserve">, without which (such as </w:t>
      </w:r>
      <w:r w:rsidRPr="008E2C7E">
        <w:rPr>
          <w:rFonts w:asciiTheme="minorHAnsi" w:hAnsiTheme="minorHAnsi" w:cs="Arial"/>
          <w:sz w:val="20"/>
          <w:szCs w:val="20"/>
        </w:rPr>
        <w:t>tracking the unit cost of graduates</w:t>
      </w:r>
      <w:r>
        <w:rPr>
          <w:rFonts w:asciiTheme="minorHAnsi" w:hAnsiTheme="minorHAnsi" w:cs="Arial"/>
          <w:sz w:val="20"/>
          <w:szCs w:val="20"/>
        </w:rPr>
        <w:t>)</w:t>
      </w:r>
      <w:r w:rsidRPr="008E2C7E">
        <w:rPr>
          <w:rFonts w:asciiTheme="minorHAnsi" w:hAnsiTheme="minorHAnsi" w:cs="Arial"/>
          <w:sz w:val="20"/>
          <w:szCs w:val="20"/>
        </w:rPr>
        <w:t xml:space="preserve"> it is difficult to assess whether the program is become more efficient over time. It is likely that the program will have to continue investing heavily in promoting English language skills, which will have implications for resourcing other aspects of the program</w:t>
      </w:r>
      <w:r w:rsidR="000E6AE7" w:rsidRPr="000E6AE7">
        <w:rPr>
          <w:rFonts w:asciiTheme="minorHAnsi" w:hAnsiTheme="minorHAnsi" w:cstheme="minorHAnsi"/>
          <w:sz w:val="20"/>
          <w:szCs w:val="20"/>
        </w:rPr>
        <w:t>.</w:t>
      </w:r>
    </w:p>
    <w:p w14:paraId="27239217" w14:textId="77777777" w:rsidR="00D07B12" w:rsidRDefault="00D07B12" w:rsidP="00D07B12">
      <w:pPr>
        <w:rPr>
          <w:rFonts w:ascii="Calibri" w:hAnsi="Calibri" w:cs="Calibri"/>
          <w:b/>
          <w:iCs/>
          <w:sz w:val="20"/>
          <w:szCs w:val="20"/>
        </w:rPr>
      </w:pPr>
    </w:p>
    <w:p w14:paraId="0EAB5910" w14:textId="1D81B1DB" w:rsidR="002822A0" w:rsidRDefault="00D07B12" w:rsidP="00D07B12">
      <w:pPr>
        <w:rPr>
          <w:rFonts w:ascii="Calibri" w:hAnsi="Calibri" w:cs="Calibri"/>
          <w:iCs/>
          <w:sz w:val="20"/>
          <w:szCs w:val="20"/>
        </w:rPr>
      </w:pPr>
      <w:r w:rsidRPr="00D07B12">
        <w:rPr>
          <w:rFonts w:ascii="Calibri" w:hAnsi="Calibri" w:cs="Calibri"/>
          <w:b/>
          <w:iCs/>
          <w:sz w:val="20"/>
          <w:szCs w:val="20"/>
        </w:rPr>
        <w:t>Efficient use of</w:t>
      </w:r>
      <w:r w:rsidR="00887E21" w:rsidRPr="00D07B12">
        <w:rPr>
          <w:rFonts w:ascii="Calibri" w:hAnsi="Calibri" w:cs="Calibri"/>
          <w:b/>
          <w:iCs/>
          <w:sz w:val="20"/>
          <w:szCs w:val="20"/>
        </w:rPr>
        <w:t xml:space="preserve"> SfEP program resources to deliver </w:t>
      </w:r>
      <w:r w:rsidRPr="00D07B12">
        <w:rPr>
          <w:rFonts w:ascii="Calibri" w:hAnsi="Calibri" w:cs="Calibri"/>
          <w:b/>
          <w:iCs/>
          <w:sz w:val="20"/>
          <w:szCs w:val="20"/>
        </w:rPr>
        <w:t>activities and outputs under three of the four</w:t>
      </w:r>
      <w:r w:rsidR="00887E21" w:rsidRPr="00D07B12">
        <w:rPr>
          <w:rFonts w:ascii="Calibri" w:hAnsi="Calibri" w:cs="Calibri"/>
          <w:b/>
          <w:iCs/>
          <w:sz w:val="20"/>
          <w:szCs w:val="20"/>
        </w:rPr>
        <w:t xml:space="preserve"> EOPO’s</w:t>
      </w:r>
      <w:r>
        <w:rPr>
          <w:rFonts w:ascii="Calibri" w:hAnsi="Calibri" w:cs="Calibri"/>
          <w:iCs/>
          <w:sz w:val="20"/>
          <w:szCs w:val="20"/>
        </w:rPr>
        <w:t>.</w:t>
      </w:r>
      <w:r w:rsidR="00887E21" w:rsidRPr="00D05A14">
        <w:rPr>
          <w:rFonts w:ascii="Calibri" w:hAnsi="Calibri" w:cs="Calibri"/>
          <w:iCs/>
          <w:sz w:val="20"/>
          <w:szCs w:val="20"/>
        </w:rPr>
        <w:t xml:space="preserve"> </w:t>
      </w:r>
      <w:r w:rsidRPr="00D05A14">
        <w:rPr>
          <w:rFonts w:ascii="Calibri" w:hAnsi="Calibri" w:cs="Calibri"/>
          <w:iCs/>
          <w:sz w:val="20"/>
          <w:szCs w:val="20"/>
        </w:rPr>
        <w:t>Nearly all activities and outputs delivered on time and within budget</w:t>
      </w:r>
      <w:r>
        <w:rPr>
          <w:rFonts w:ascii="Calibri" w:hAnsi="Calibri" w:cs="Calibri"/>
          <w:iCs/>
          <w:sz w:val="20"/>
          <w:szCs w:val="20"/>
        </w:rPr>
        <w:t xml:space="preserve">. Planning and budgeting </w:t>
      </w:r>
      <w:r w:rsidR="001615E5">
        <w:rPr>
          <w:rFonts w:ascii="Calibri" w:hAnsi="Calibri" w:cs="Calibri"/>
          <w:iCs/>
          <w:sz w:val="20"/>
          <w:szCs w:val="20"/>
        </w:rPr>
        <w:t>have</w:t>
      </w:r>
      <w:r>
        <w:rPr>
          <w:rFonts w:ascii="Calibri" w:hAnsi="Calibri" w:cs="Calibri"/>
          <w:iCs/>
          <w:sz w:val="20"/>
          <w:szCs w:val="20"/>
        </w:rPr>
        <w:t xml:space="preserve"> been done accurately, and as already noted above</w:t>
      </w:r>
      <w:r w:rsidR="00835A05">
        <w:rPr>
          <w:rFonts w:ascii="Calibri" w:hAnsi="Calibri" w:cs="Calibri"/>
          <w:iCs/>
          <w:sz w:val="20"/>
          <w:szCs w:val="20"/>
        </w:rPr>
        <w:t>,</w:t>
      </w:r>
      <w:r>
        <w:rPr>
          <w:rFonts w:ascii="Calibri" w:hAnsi="Calibri" w:cs="Calibri"/>
          <w:iCs/>
          <w:sz w:val="20"/>
          <w:szCs w:val="20"/>
        </w:rPr>
        <w:t xml:space="preserve"> under SfEP the program has largely delivered against these plans.  </w:t>
      </w:r>
      <w:r w:rsidR="00E257E2">
        <w:rPr>
          <w:rFonts w:ascii="Calibri" w:hAnsi="Calibri" w:cs="Calibri"/>
          <w:iCs/>
          <w:sz w:val="20"/>
          <w:szCs w:val="20"/>
        </w:rPr>
        <w:t>KIT has also developed a ranged of different partnerships with other institutions to enhance its efficiency. For instance</w:t>
      </w:r>
      <w:r w:rsidR="001615E5">
        <w:rPr>
          <w:rFonts w:ascii="Calibri" w:hAnsi="Calibri" w:cs="Calibri"/>
          <w:iCs/>
          <w:sz w:val="20"/>
          <w:szCs w:val="20"/>
        </w:rPr>
        <w:t xml:space="preserve">, </w:t>
      </w:r>
      <w:r w:rsidR="00E257E2">
        <w:rPr>
          <w:rFonts w:ascii="Calibri" w:hAnsi="Calibri" w:cs="Calibri"/>
          <w:iCs/>
          <w:sz w:val="20"/>
          <w:szCs w:val="20"/>
        </w:rPr>
        <w:t>it has been proactive in working with other donors (MFAT) and other DFAT programs (such as APTC) to deliver courses jointly and improve the infrastructure of KIT. KIT is also jointly delivery courses with the MTC, which illustrates an example of the shared use of facilities and resources between two divisions within the MEHR. The partnership with APTC will enable KIT to trial the new International Skills Training course aimed at upgrading the teaching qualifications of lecturers.</w:t>
      </w:r>
      <w:r w:rsidR="002822A0">
        <w:rPr>
          <w:rFonts w:ascii="Calibri" w:hAnsi="Calibri" w:cs="Calibri"/>
          <w:iCs/>
          <w:sz w:val="20"/>
          <w:szCs w:val="20"/>
        </w:rPr>
        <w:t xml:space="preserve"> </w:t>
      </w:r>
    </w:p>
    <w:p w14:paraId="193A420D" w14:textId="77777777" w:rsidR="002822A0" w:rsidRDefault="002822A0" w:rsidP="00D07B12">
      <w:pPr>
        <w:rPr>
          <w:rFonts w:ascii="Calibri" w:hAnsi="Calibri" w:cs="Calibri"/>
          <w:iCs/>
          <w:sz w:val="20"/>
          <w:szCs w:val="20"/>
        </w:rPr>
      </w:pPr>
    </w:p>
    <w:p w14:paraId="15F17EF3" w14:textId="0ED8B942" w:rsidR="00D2636A" w:rsidRDefault="002822A0" w:rsidP="00FC6FD3">
      <w:pPr>
        <w:rPr>
          <w:rFonts w:ascii="Calibri" w:hAnsi="Calibri" w:cs="Calibri"/>
          <w:iCs/>
          <w:sz w:val="20"/>
          <w:szCs w:val="20"/>
        </w:rPr>
      </w:pPr>
      <w:r>
        <w:rPr>
          <w:rFonts w:ascii="Calibri" w:hAnsi="Calibri" w:cs="Calibri"/>
          <w:iCs/>
          <w:sz w:val="20"/>
          <w:szCs w:val="20"/>
        </w:rPr>
        <w:t xml:space="preserve">The SfEP has also been efficient in ensuring sufficient </w:t>
      </w:r>
      <w:r w:rsidRPr="002822A0">
        <w:rPr>
          <w:rFonts w:ascii="Calibri" w:hAnsi="Calibri" w:cs="Calibri"/>
          <w:b/>
          <w:iCs/>
          <w:sz w:val="20"/>
          <w:szCs w:val="20"/>
        </w:rPr>
        <w:t>resources have been provided to support the step-up of the Pacific Labour Scheme and Seasonal Worker Programme</w:t>
      </w:r>
      <w:r>
        <w:rPr>
          <w:rFonts w:cs="Arial"/>
          <w:color w:val="000000" w:themeColor="text1"/>
          <w:sz w:val="20"/>
          <w:szCs w:val="20"/>
          <w:lang w:eastAsia="en-AU"/>
        </w:rPr>
        <w:t xml:space="preserve">. </w:t>
      </w:r>
      <w:r>
        <w:rPr>
          <w:rFonts w:ascii="Calibri" w:hAnsi="Calibri" w:cs="Calibri"/>
          <w:iCs/>
          <w:sz w:val="20"/>
          <w:szCs w:val="20"/>
        </w:rPr>
        <w:t>T</w:t>
      </w:r>
      <w:r w:rsidRPr="002822A0">
        <w:rPr>
          <w:rFonts w:ascii="Calibri" w:hAnsi="Calibri" w:cs="Calibri"/>
          <w:iCs/>
          <w:sz w:val="20"/>
          <w:szCs w:val="20"/>
        </w:rPr>
        <w:t xml:space="preserve">he uncapping of participation in the PLS has led to the scaling up of the ESS in late 2018 to meet the needs of increased pre-departure training and </w:t>
      </w:r>
      <w:r>
        <w:rPr>
          <w:rFonts w:ascii="Calibri" w:hAnsi="Calibri" w:cs="Calibri"/>
          <w:iCs/>
          <w:sz w:val="20"/>
          <w:szCs w:val="20"/>
        </w:rPr>
        <w:t xml:space="preserve">the design and development of </w:t>
      </w:r>
      <w:r w:rsidRPr="002822A0">
        <w:rPr>
          <w:rFonts w:ascii="Calibri" w:hAnsi="Calibri" w:cs="Calibri"/>
          <w:iCs/>
          <w:sz w:val="20"/>
          <w:szCs w:val="20"/>
        </w:rPr>
        <w:t>higher level English languages courses</w:t>
      </w:r>
      <w:r>
        <w:rPr>
          <w:rFonts w:ascii="Calibri" w:hAnsi="Calibri" w:cs="Calibri"/>
          <w:iCs/>
          <w:sz w:val="20"/>
          <w:szCs w:val="20"/>
        </w:rPr>
        <w:t xml:space="preserve">. As already discussed above the ESS was expanded in 2018 to meet growth in labour mobility programs and associated support services. However, </w:t>
      </w:r>
      <w:r w:rsidRPr="002822A0">
        <w:rPr>
          <w:rFonts w:ascii="Calibri" w:hAnsi="Calibri" w:cs="Calibri"/>
          <w:iCs/>
          <w:sz w:val="20"/>
          <w:szCs w:val="20"/>
        </w:rPr>
        <w:t>any further changes in priorities during 2019 and 2020 will need to be met through the FSF funds due to the limited program funding available for the remaining duration of the Program</w:t>
      </w:r>
      <w:r>
        <w:rPr>
          <w:rFonts w:ascii="Calibri" w:hAnsi="Calibri" w:cs="Calibri"/>
          <w:iCs/>
          <w:sz w:val="20"/>
          <w:szCs w:val="20"/>
        </w:rPr>
        <w:t>.</w:t>
      </w:r>
    </w:p>
    <w:p w14:paraId="2B47CC01" w14:textId="77777777" w:rsidR="00FC6FD3" w:rsidRDefault="00FC6FD3" w:rsidP="00FC6FD3">
      <w:pPr>
        <w:rPr>
          <w:rFonts w:ascii="Calibri" w:hAnsi="Calibri" w:cs="Calibri"/>
          <w:iCs/>
          <w:sz w:val="20"/>
          <w:szCs w:val="20"/>
        </w:rPr>
      </w:pPr>
    </w:p>
    <w:p w14:paraId="70171113" w14:textId="64B7EB01" w:rsidR="00BD4036" w:rsidRDefault="00BD4036" w:rsidP="00BD4036">
      <w:pPr>
        <w:pStyle w:val="Caption"/>
        <w:rPr>
          <w:rFonts w:ascii="Calibri" w:hAnsi="Calibri" w:cs="Calibri"/>
          <w:iCs w:val="0"/>
          <w:sz w:val="20"/>
          <w:szCs w:val="20"/>
        </w:rPr>
      </w:pPr>
      <w:bookmarkStart w:id="34" w:name="_Ref7773897"/>
      <w:r>
        <w:t xml:space="preserve">Figure </w:t>
      </w:r>
      <w:r>
        <w:fldChar w:fldCharType="begin"/>
      </w:r>
      <w:r>
        <w:instrText xml:space="preserve"> SEQ Figure \* ARABIC </w:instrText>
      </w:r>
      <w:r>
        <w:fldChar w:fldCharType="separate"/>
      </w:r>
      <w:r w:rsidR="00835A05">
        <w:rPr>
          <w:noProof/>
        </w:rPr>
        <w:t>5</w:t>
      </w:r>
      <w:r>
        <w:fldChar w:fldCharType="end"/>
      </w:r>
      <w:bookmarkEnd w:id="34"/>
      <w:r>
        <w:t>: Total Head Contract Limit</w:t>
      </w:r>
      <w:r w:rsidR="00FC6FD3">
        <w:t xml:space="preserve"> for SfEP</w:t>
      </w:r>
      <w:r>
        <w:t xml:space="preserve"> (source: information provided by Scope Global</w:t>
      </w:r>
    </w:p>
    <w:p w14:paraId="0189F8CE" w14:textId="2E43B857" w:rsidR="00BD4036" w:rsidRDefault="00BD4036" w:rsidP="00D05A14">
      <w:pPr>
        <w:spacing w:after="160" w:line="259" w:lineRule="auto"/>
        <w:rPr>
          <w:rFonts w:ascii="Calibri" w:hAnsi="Calibri" w:cs="Calibri"/>
          <w:iCs/>
          <w:sz w:val="20"/>
          <w:szCs w:val="20"/>
        </w:rPr>
      </w:pPr>
      <w:r w:rsidRPr="00BD4036">
        <w:rPr>
          <w:rFonts w:ascii="Calibri" w:hAnsi="Calibri" w:cs="Calibri"/>
          <w:iCs/>
          <w:noProof/>
          <w:sz w:val="20"/>
          <w:szCs w:val="20"/>
          <w:lang w:val="en-AU" w:eastAsia="en-AU"/>
        </w:rPr>
        <w:drawing>
          <wp:inline distT="0" distB="0" distL="0" distR="0" wp14:anchorId="7703A8C9" wp14:editId="6A62A518">
            <wp:extent cx="6188710" cy="3108960"/>
            <wp:effectExtent l="0" t="0" r="8890" b="15240"/>
            <wp:docPr id="34" name="Chart 34">
              <a:extLst xmlns:a="http://schemas.openxmlformats.org/drawingml/2006/main">
                <a:ext uri="{FF2B5EF4-FFF2-40B4-BE49-F238E27FC236}">
                  <a16:creationId xmlns:a16="http://schemas.microsoft.com/office/drawing/2014/main" id="{21A5C2B1-69CD-CE44-BACD-B100832E37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E1B33CB" w14:textId="196B85C6" w:rsidR="001C06E9" w:rsidRDefault="00FC6FD3" w:rsidP="00D05A14">
      <w:pPr>
        <w:spacing w:after="160" w:line="259" w:lineRule="auto"/>
        <w:rPr>
          <w:rFonts w:ascii="Calibri" w:hAnsi="Calibri" w:cs="Calibri"/>
          <w:iCs/>
          <w:sz w:val="20"/>
          <w:szCs w:val="20"/>
        </w:rPr>
      </w:pPr>
      <w:r>
        <w:rPr>
          <w:rFonts w:ascii="Calibri" w:hAnsi="Calibri" w:cs="Calibri"/>
          <w:iCs/>
          <w:sz w:val="20"/>
          <w:szCs w:val="20"/>
        </w:rPr>
        <w:t xml:space="preserve">Nevertheless, </w:t>
      </w:r>
      <w:r w:rsidRPr="00D2636A">
        <w:rPr>
          <w:rFonts w:ascii="Calibri" w:hAnsi="Calibri" w:cs="Calibri"/>
          <w:b/>
          <w:iCs/>
          <w:sz w:val="20"/>
          <w:szCs w:val="20"/>
        </w:rPr>
        <w:t xml:space="preserve">expenditure on </w:t>
      </w:r>
      <w:r>
        <w:rPr>
          <w:rFonts w:ascii="Calibri" w:hAnsi="Calibri" w:cs="Calibri"/>
          <w:b/>
          <w:iCs/>
          <w:sz w:val="20"/>
          <w:szCs w:val="20"/>
        </w:rPr>
        <w:t>adviser</w:t>
      </w:r>
      <w:r w:rsidRPr="00D2636A">
        <w:rPr>
          <w:rFonts w:ascii="Calibri" w:hAnsi="Calibri" w:cs="Calibri"/>
          <w:b/>
          <w:iCs/>
          <w:sz w:val="20"/>
          <w:szCs w:val="20"/>
        </w:rPr>
        <w:t xml:space="preserve">s accounts for a </w:t>
      </w:r>
      <w:r w:rsidR="002A78BA">
        <w:rPr>
          <w:rFonts w:ascii="Calibri" w:hAnsi="Calibri" w:cs="Calibri"/>
          <w:b/>
          <w:iCs/>
          <w:sz w:val="20"/>
          <w:szCs w:val="20"/>
        </w:rPr>
        <w:t>considerable</w:t>
      </w:r>
      <w:r w:rsidR="002A78BA" w:rsidRPr="00D2636A">
        <w:rPr>
          <w:rFonts w:ascii="Calibri" w:hAnsi="Calibri" w:cs="Calibri"/>
          <w:b/>
          <w:iCs/>
          <w:sz w:val="20"/>
          <w:szCs w:val="20"/>
        </w:rPr>
        <w:t xml:space="preserve"> </w:t>
      </w:r>
      <w:r w:rsidRPr="00D2636A">
        <w:rPr>
          <w:rFonts w:ascii="Calibri" w:hAnsi="Calibri" w:cs="Calibri"/>
          <w:b/>
          <w:iCs/>
          <w:sz w:val="20"/>
          <w:szCs w:val="20"/>
        </w:rPr>
        <w:t xml:space="preserve">proportion of the </w:t>
      </w:r>
      <w:r>
        <w:rPr>
          <w:rFonts w:ascii="Calibri" w:hAnsi="Calibri" w:cs="Calibri"/>
          <w:b/>
          <w:iCs/>
          <w:sz w:val="20"/>
          <w:szCs w:val="20"/>
        </w:rPr>
        <w:t xml:space="preserve">total </w:t>
      </w:r>
      <w:r w:rsidRPr="00D2636A">
        <w:rPr>
          <w:rFonts w:ascii="Calibri" w:hAnsi="Calibri" w:cs="Calibri"/>
          <w:b/>
          <w:iCs/>
          <w:sz w:val="20"/>
          <w:szCs w:val="20"/>
        </w:rPr>
        <w:t>budget</w:t>
      </w:r>
      <w:r>
        <w:rPr>
          <w:rFonts w:ascii="Calibri" w:hAnsi="Calibri" w:cs="Calibri"/>
          <w:b/>
          <w:iCs/>
          <w:sz w:val="20"/>
          <w:szCs w:val="20"/>
        </w:rPr>
        <w:t xml:space="preserve"> of the Kiribati Facility</w:t>
      </w:r>
      <w:r>
        <w:rPr>
          <w:rFonts w:ascii="Calibri" w:hAnsi="Calibri" w:cs="Calibri"/>
          <w:iCs/>
          <w:sz w:val="20"/>
          <w:szCs w:val="20"/>
        </w:rPr>
        <w:t>. Of the $20 million budgeted for the Kiribati Facility, $17 million is allocated to the SfEP (</w:t>
      </w:r>
      <w:r>
        <w:rPr>
          <w:rFonts w:ascii="Calibri" w:hAnsi="Calibri" w:cs="Calibri"/>
          <w:iCs/>
          <w:sz w:val="20"/>
          <w:szCs w:val="20"/>
        </w:rPr>
        <w:fldChar w:fldCharType="begin"/>
      </w:r>
      <w:r>
        <w:rPr>
          <w:rFonts w:ascii="Calibri" w:hAnsi="Calibri" w:cs="Calibri"/>
          <w:iCs/>
          <w:sz w:val="20"/>
          <w:szCs w:val="20"/>
        </w:rPr>
        <w:instrText xml:space="preserve"> REF _Ref7773897 \h  \* MERGEFORMAT </w:instrText>
      </w:r>
      <w:r>
        <w:rPr>
          <w:rFonts w:ascii="Calibri" w:hAnsi="Calibri" w:cs="Calibri"/>
          <w:iCs/>
          <w:sz w:val="20"/>
          <w:szCs w:val="20"/>
        </w:rPr>
      </w:r>
      <w:r>
        <w:rPr>
          <w:rFonts w:ascii="Calibri" w:hAnsi="Calibri" w:cs="Calibri"/>
          <w:iCs/>
          <w:sz w:val="20"/>
          <w:szCs w:val="20"/>
        </w:rPr>
        <w:fldChar w:fldCharType="separate"/>
      </w:r>
      <w:r w:rsidRPr="00FC6FD3">
        <w:rPr>
          <w:rFonts w:ascii="Calibri" w:hAnsi="Calibri" w:cs="Calibri"/>
          <w:iCs/>
          <w:sz w:val="20"/>
          <w:szCs w:val="20"/>
        </w:rPr>
        <w:t>Figure 5</w:t>
      </w:r>
      <w:r>
        <w:rPr>
          <w:rFonts w:ascii="Calibri" w:hAnsi="Calibri" w:cs="Calibri"/>
          <w:iCs/>
          <w:sz w:val="20"/>
          <w:szCs w:val="20"/>
        </w:rPr>
        <w:fldChar w:fldCharType="end"/>
      </w:r>
      <w:r>
        <w:rPr>
          <w:rFonts w:ascii="Calibri" w:hAnsi="Calibri" w:cs="Calibri"/>
          <w:iCs/>
          <w:sz w:val="20"/>
          <w:szCs w:val="20"/>
        </w:rPr>
        <w:t xml:space="preserve">) whilst the other $3 million has been allocated to the FSF. As already noted, expenditure under the FSF has been negligible. </w:t>
      </w:r>
      <w:r>
        <w:rPr>
          <w:rFonts w:ascii="Calibri" w:hAnsi="Calibri" w:cs="Calibri"/>
          <w:iCs/>
          <w:sz w:val="20"/>
          <w:szCs w:val="20"/>
        </w:rPr>
        <w:fldChar w:fldCharType="begin"/>
      </w:r>
      <w:r>
        <w:rPr>
          <w:rFonts w:ascii="Calibri" w:hAnsi="Calibri" w:cs="Calibri"/>
          <w:iCs/>
          <w:sz w:val="20"/>
          <w:szCs w:val="20"/>
        </w:rPr>
        <w:instrText xml:space="preserve"> REF _Ref7773897 \h  \* MERGEFORMAT </w:instrText>
      </w:r>
      <w:r>
        <w:rPr>
          <w:rFonts w:ascii="Calibri" w:hAnsi="Calibri" w:cs="Calibri"/>
          <w:iCs/>
          <w:sz w:val="20"/>
          <w:szCs w:val="20"/>
        </w:rPr>
      </w:r>
      <w:r>
        <w:rPr>
          <w:rFonts w:ascii="Calibri" w:hAnsi="Calibri" w:cs="Calibri"/>
          <w:iCs/>
          <w:sz w:val="20"/>
          <w:szCs w:val="20"/>
        </w:rPr>
        <w:fldChar w:fldCharType="separate"/>
      </w:r>
      <w:r w:rsidRPr="00FC6FD3">
        <w:rPr>
          <w:rFonts w:ascii="Calibri" w:hAnsi="Calibri" w:cs="Calibri"/>
          <w:iCs/>
          <w:sz w:val="20"/>
          <w:szCs w:val="20"/>
        </w:rPr>
        <w:t>Figure 5</w:t>
      </w:r>
      <w:r>
        <w:rPr>
          <w:rFonts w:ascii="Calibri" w:hAnsi="Calibri" w:cs="Calibri"/>
          <w:iCs/>
          <w:sz w:val="20"/>
          <w:szCs w:val="20"/>
        </w:rPr>
        <w:fldChar w:fldCharType="end"/>
      </w:r>
      <w:r w:rsidR="001C06E9">
        <w:rPr>
          <w:rFonts w:ascii="Calibri" w:hAnsi="Calibri" w:cs="Calibri"/>
          <w:iCs/>
          <w:sz w:val="20"/>
          <w:szCs w:val="20"/>
        </w:rPr>
        <w:t xml:space="preserve"> illustrates that</w:t>
      </w:r>
      <w:r>
        <w:rPr>
          <w:rFonts w:ascii="Calibri" w:hAnsi="Calibri" w:cs="Calibri"/>
          <w:iCs/>
          <w:sz w:val="20"/>
          <w:szCs w:val="20"/>
        </w:rPr>
        <w:t xml:space="preserve">  43% of the budget is allocated to adviser costs and a further 9% is allocated to the support of these advisers. Of the remaining 48% of the budget, 37% is allocated to operational and establishment costs, and 11% is allocated to management fees (11%).</w:t>
      </w:r>
      <w:r w:rsidR="001C06E9">
        <w:rPr>
          <w:rFonts w:ascii="Calibri" w:hAnsi="Calibri" w:cs="Calibri"/>
          <w:iCs/>
          <w:sz w:val="20"/>
          <w:szCs w:val="20"/>
        </w:rPr>
        <w:t xml:space="preserve"> </w:t>
      </w:r>
      <w:r w:rsidR="007225C4">
        <w:rPr>
          <w:rFonts w:ascii="Calibri" w:hAnsi="Calibri" w:cs="Calibri"/>
          <w:iCs/>
          <w:sz w:val="20"/>
          <w:szCs w:val="20"/>
        </w:rPr>
        <w:t>It is difficult to assess to what extent expenditure by the Kiribati Facility reflects an appropriate ratio of technical expertise to program activities. Without a more detail cost benefit analysis it does however appear that the expenditure on advisers is particularly high in this instance</w:t>
      </w:r>
      <w:r w:rsidR="007225C4">
        <w:rPr>
          <w:rStyle w:val="FootnoteReference"/>
          <w:rFonts w:ascii="Calibri" w:hAnsi="Calibri" w:cs="Calibri"/>
          <w:iCs/>
          <w:sz w:val="20"/>
          <w:szCs w:val="20"/>
        </w:rPr>
        <w:footnoteReference w:id="20"/>
      </w:r>
      <w:r w:rsidR="007225C4">
        <w:rPr>
          <w:rFonts w:ascii="Calibri" w:hAnsi="Calibri" w:cs="Calibri"/>
          <w:iCs/>
          <w:sz w:val="20"/>
          <w:szCs w:val="20"/>
        </w:rPr>
        <w:t xml:space="preserve">. </w:t>
      </w:r>
    </w:p>
    <w:p w14:paraId="11E300DC" w14:textId="1D852044" w:rsidR="00BD4036" w:rsidRDefault="007225C4" w:rsidP="00D05A14">
      <w:pPr>
        <w:spacing w:after="160" w:line="259" w:lineRule="auto"/>
        <w:rPr>
          <w:rFonts w:ascii="Calibri" w:hAnsi="Calibri" w:cs="Calibri"/>
          <w:iCs/>
          <w:sz w:val="20"/>
          <w:szCs w:val="20"/>
        </w:rPr>
      </w:pPr>
      <w:r>
        <w:rPr>
          <w:rFonts w:ascii="Calibri" w:hAnsi="Calibri" w:cs="Calibri"/>
          <w:iCs/>
          <w:sz w:val="20"/>
          <w:szCs w:val="20"/>
        </w:rPr>
        <w:t>When looking at the total head contract limit in more detail (</w:t>
      </w:r>
      <w:r>
        <w:rPr>
          <w:rFonts w:ascii="Calibri" w:hAnsi="Calibri" w:cs="Calibri"/>
          <w:iCs/>
          <w:sz w:val="20"/>
          <w:szCs w:val="20"/>
        </w:rPr>
        <w:fldChar w:fldCharType="begin"/>
      </w:r>
      <w:r>
        <w:rPr>
          <w:rFonts w:ascii="Calibri" w:hAnsi="Calibri" w:cs="Calibri"/>
          <w:iCs/>
          <w:sz w:val="20"/>
          <w:szCs w:val="20"/>
        </w:rPr>
        <w:instrText xml:space="preserve"> REF _Ref7773897 \h  \* MERGEFORMAT </w:instrText>
      </w:r>
      <w:r>
        <w:rPr>
          <w:rFonts w:ascii="Calibri" w:hAnsi="Calibri" w:cs="Calibri"/>
          <w:iCs/>
          <w:sz w:val="20"/>
          <w:szCs w:val="20"/>
        </w:rPr>
      </w:r>
      <w:r>
        <w:rPr>
          <w:rFonts w:ascii="Calibri" w:hAnsi="Calibri" w:cs="Calibri"/>
          <w:iCs/>
          <w:sz w:val="20"/>
          <w:szCs w:val="20"/>
        </w:rPr>
        <w:fldChar w:fldCharType="separate"/>
      </w:r>
      <w:r w:rsidRPr="00BD4036">
        <w:rPr>
          <w:rFonts w:ascii="Calibri" w:hAnsi="Calibri" w:cs="Calibri"/>
          <w:iCs/>
          <w:sz w:val="20"/>
          <w:szCs w:val="20"/>
        </w:rPr>
        <w:t>Figure 5</w:t>
      </w:r>
      <w:r>
        <w:rPr>
          <w:rFonts w:ascii="Calibri" w:hAnsi="Calibri" w:cs="Calibri"/>
          <w:iCs/>
          <w:sz w:val="20"/>
          <w:szCs w:val="20"/>
        </w:rPr>
        <w:fldChar w:fldCharType="end"/>
      </w:r>
      <w:r>
        <w:rPr>
          <w:rFonts w:ascii="Calibri" w:hAnsi="Calibri" w:cs="Calibri"/>
          <w:iCs/>
          <w:sz w:val="20"/>
          <w:szCs w:val="20"/>
        </w:rPr>
        <w:t xml:space="preserve">), it can be seen that whilst more than half the budget is allocated to program costs of the SfEP (54% of the total budget), 46% of the budget is allocated to adviser costs.  </w:t>
      </w:r>
      <w:r w:rsidR="00E257E2">
        <w:rPr>
          <w:rFonts w:ascii="Calibri" w:hAnsi="Calibri" w:cs="Calibri"/>
          <w:iCs/>
          <w:sz w:val="20"/>
          <w:szCs w:val="20"/>
        </w:rPr>
        <w:t>Yet when one looks more closely at the program costs of SfEP (</w:t>
      </w:r>
      <w:r w:rsidR="00E257E2">
        <w:rPr>
          <w:rFonts w:ascii="Calibri" w:hAnsi="Calibri" w:cs="Calibri"/>
          <w:iCs/>
          <w:sz w:val="20"/>
          <w:szCs w:val="20"/>
        </w:rPr>
        <w:fldChar w:fldCharType="begin"/>
      </w:r>
      <w:r w:rsidR="00E257E2">
        <w:rPr>
          <w:rFonts w:ascii="Calibri" w:hAnsi="Calibri" w:cs="Calibri"/>
          <w:iCs/>
          <w:sz w:val="20"/>
          <w:szCs w:val="20"/>
        </w:rPr>
        <w:instrText xml:space="preserve"> REF _Ref7774394 \h  \* MERGEFORMAT </w:instrText>
      </w:r>
      <w:r w:rsidR="00E257E2">
        <w:rPr>
          <w:rFonts w:ascii="Calibri" w:hAnsi="Calibri" w:cs="Calibri"/>
          <w:iCs/>
          <w:sz w:val="20"/>
          <w:szCs w:val="20"/>
        </w:rPr>
      </w:r>
      <w:r w:rsidR="00E257E2">
        <w:rPr>
          <w:rFonts w:ascii="Calibri" w:hAnsi="Calibri" w:cs="Calibri"/>
          <w:iCs/>
          <w:sz w:val="20"/>
          <w:szCs w:val="20"/>
        </w:rPr>
        <w:fldChar w:fldCharType="separate"/>
      </w:r>
      <w:r w:rsidR="00E257E2" w:rsidRPr="00157AA4">
        <w:rPr>
          <w:rFonts w:ascii="Calibri" w:hAnsi="Calibri" w:cs="Calibri"/>
          <w:iCs/>
          <w:sz w:val="20"/>
          <w:szCs w:val="20"/>
        </w:rPr>
        <w:t>Figure 6</w:t>
      </w:r>
      <w:r w:rsidR="00E257E2">
        <w:rPr>
          <w:rFonts w:ascii="Calibri" w:hAnsi="Calibri" w:cs="Calibri"/>
          <w:iCs/>
          <w:sz w:val="20"/>
          <w:szCs w:val="20"/>
        </w:rPr>
        <w:fldChar w:fldCharType="end"/>
      </w:r>
      <w:r w:rsidR="00E257E2">
        <w:rPr>
          <w:rFonts w:ascii="Calibri" w:hAnsi="Calibri" w:cs="Calibri"/>
          <w:iCs/>
          <w:sz w:val="20"/>
          <w:szCs w:val="20"/>
        </w:rPr>
        <w:t xml:space="preserve">), </w:t>
      </w:r>
      <w:r w:rsidR="00950718">
        <w:rPr>
          <w:rFonts w:ascii="Calibri" w:hAnsi="Calibri" w:cs="Calibri"/>
          <w:iCs/>
          <w:sz w:val="20"/>
          <w:szCs w:val="20"/>
        </w:rPr>
        <w:t xml:space="preserve">one finds that within the SfEP a further </w:t>
      </w:r>
      <w:r w:rsidR="00E257E2">
        <w:rPr>
          <w:rFonts w:ascii="Calibri" w:hAnsi="Calibri" w:cs="Calibri"/>
          <w:iCs/>
          <w:sz w:val="20"/>
          <w:szCs w:val="20"/>
        </w:rPr>
        <w:t xml:space="preserve">30% the </w:t>
      </w:r>
      <w:r w:rsidR="00950718">
        <w:rPr>
          <w:rFonts w:ascii="Calibri" w:hAnsi="Calibri" w:cs="Calibri"/>
          <w:iCs/>
          <w:sz w:val="20"/>
          <w:szCs w:val="20"/>
        </w:rPr>
        <w:t>SfEP budget is</w:t>
      </w:r>
      <w:r w:rsidR="00E257E2">
        <w:rPr>
          <w:rFonts w:ascii="Calibri" w:hAnsi="Calibri" w:cs="Calibri"/>
          <w:iCs/>
          <w:sz w:val="20"/>
          <w:szCs w:val="20"/>
        </w:rPr>
        <w:t xml:space="preserve"> allocated to </w:t>
      </w:r>
      <w:r w:rsidR="00023E50">
        <w:rPr>
          <w:rFonts w:ascii="Calibri" w:hAnsi="Calibri" w:cs="Calibri"/>
          <w:iCs/>
          <w:sz w:val="20"/>
          <w:szCs w:val="20"/>
        </w:rPr>
        <w:t>adviser</w:t>
      </w:r>
      <w:r w:rsidR="00E257E2">
        <w:rPr>
          <w:rFonts w:ascii="Calibri" w:hAnsi="Calibri" w:cs="Calibri"/>
          <w:iCs/>
          <w:sz w:val="20"/>
          <w:szCs w:val="20"/>
        </w:rPr>
        <w:t>s</w:t>
      </w:r>
      <w:r w:rsidR="00950718">
        <w:rPr>
          <w:rFonts w:ascii="Calibri" w:hAnsi="Calibri" w:cs="Calibri"/>
          <w:iCs/>
          <w:sz w:val="20"/>
          <w:szCs w:val="20"/>
        </w:rPr>
        <w:t>. The remaining</w:t>
      </w:r>
      <w:r w:rsidR="00E257E2">
        <w:rPr>
          <w:rFonts w:ascii="Calibri" w:hAnsi="Calibri" w:cs="Calibri"/>
          <w:iCs/>
          <w:sz w:val="20"/>
          <w:szCs w:val="20"/>
        </w:rPr>
        <w:t xml:space="preserve"> 70%</w:t>
      </w:r>
      <w:r w:rsidR="00950718">
        <w:rPr>
          <w:rFonts w:ascii="Calibri" w:hAnsi="Calibri" w:cs="Calibri"/>
          <w:iCs/>
          <w:sz w:val="20"/>
          <w:szCs w:val="20"/>
        </w:rPr>
        <w:t xml:space="preserve"> of the SfEP budget is allocated</w:t>
      </w:r>
      <w:r w:rsidR="00E257E2">
        <w:rPr>
          <w:rFonts w:ascii="Calibri" w:hAnsi="Calibri" w:cs="Calibri"/>
          <w:iCs/>
          <w:sz w:val="20"/>
          <w:szCs w:val="20"/>
        </w:rPr>
        <w:t xml:space="preserve"> to operational and establishment costs</w:t>
      </w:r>
      <w:r w:rsidR="00950718">
        <w:rPr>
          <w:rFonts w:ascii="Calibri" w:hAnsi="Calibri" w:cs="Calibri"/>
          <w:iCs/>
          <w:sz w:val="20"/>
          <w:szCs w:val="20"/>
        </w:rPr>
        <w:t xml:space="preserve">. </w:t>
      </w:r>
      <w:r>
        <w:rPr>
          <w:rFonts w:ascii="Calibri" w:hAnsi="Calibri" w:cs="Calibri"/>
          <w:iCs/>
          <w:sz w:val="20"/>
          <w:szCs w:val="20"/>
        </w:rPr>
        <w:t>Therefore</w:t>
      </w:r>
      <w:r w:rsidR="00950718">
        <w:rPr>
          <w:rFonts w:ascii="Calibri" w:hAnsi="Calibri" w:cs="Calibri"/>
          <w:iCs/>
          <w:sz w:val="20"/>
          <w:szCs w:val="20"/>
        </w:rPr>
        <w:t xml:space="preserve"> more than half the total budget of the Kiribati Facility is allocated to procuring technical expertise to design and deliver </w:t>
      </w:r>
      <w:r w:rsidR="00950718" w:rsidRPr="00835A05">
        <w:rPr>
          <w:rFonts w:ascii="Calibri" w:hAnsi="Calibri" w:cs="Calibri"/>
          <w:iCs/>
          <w:sz w:val="20"/>
          <w:szCs w:val="20"/>
        </w:rPr>
        <w:t>vocational training and courses at KIT</w:t>
      </w:r>
      <w:r w:rsidR="002A78BA">
        <w:rPr>
          <w:rFonts w:ascii="Calibri" w:hAnsi="Calibri" w:cs="Calibri"/>
          <w:iCs/>
          <w:sz w:val="20"/>
          <w:szCs w:val="20"/>
        </w:rPr>
        <w:t xml:space="preserve"> and associated support services</w:t>
      </w:r>
      <w:r w:rsidR="00950718">
        <w:rPr>
          <w:rFonts w:ascii="Calibri" w:hAnsi="Calibri" w:cs="Calibri"/>
          <w:iCs/>
          <w:sz w:val="20"/>
          <w:szCs w:val="20"/>
        </w:rPr>
        <w:t>.</w:t>
      </w:r>
    </w:p>
    <w:p w14:paraId="23AF7EC8" w14:textId="7E7403B4" w:rsidR="00157AA4" w:rsidRDefault="00157AA4" w:rsidP="00157AA4">
      <w:pPr>
        <w:pStyle w:val="Caption"/>
        <w:rPr>
          <w:rFonts w:ascii="Calibri" w:hAnsi="Calibri" w:cs="Calibri"/>
          <w:iCs w:val="0"/>
          <w:sz w:val="20"/>
          <w:szCs w:val="20"/>
        </w:rPr>
      </w:pPr>
      <w:bookmarkStart w:id="35" w:name="_Ref7774394"/>
      <w:r>
        <w:t xml:space="preserve">Figure </w:t>
      </w:r>
      <w:r>
        <w:fldChar w:fldCharType="begin"/>
      </w:r>
      <w:r>
        <w:instrText xml:space="preserve"> SEQ Figure \* ARABIC </w:instrText>
      </w:r>
      <w:r>
        <w:fldChar w:fldCharType="separate"/>
      </w:r>
      <w:r>
        <w:rPr>
          <w:noProof/>
        </w:rPr>
        <w:t>6</w:t>
      </w:r>
      <w:r>
        <w:fldChar w:fldCharType="end"/>
      </w:r>
      <w:bookmarkEnd w:id="35"/>
      <w:r>
        <w:t>: Total budget allocation for SfEP (source: Scope Global)</w:t>
      </w:r>
    </w:p>
    <w:p w14:paraId="69A1C937" w14:textId="12057C2D" w:rsidR="00157AA4" w:rsidRDefault="00157AA4" w:rsidP="00D05A14">
      <w:pPr>
        <w:spacing w:after="160" w:line="259" w:lineRule="auto"/>
        <w:rPr>
          <w:rFonts w:ascii="Calibri" w:hAnsi="Calibri" w:cs="Calibri"/>
          <w:iCs/>
          <w:sz w:val="20"/>
          <w:szCs w:val="20"/>
        </w:rPr>
      </w:pPr>
      <w:r w:rsidRPr="00157AA4">
        <w:rPr>
          <w:rFonts w:ascii="Calibri" w:hAnsi="Calibri" w:cs="Calibri"/>
          <w:iCs/>
          <w:noProof/>
          <w:sz w:val="20"/>
          <w:szCs w:val="20"/>
          <w:lang w:val="en-AU" w:eastAsia="en-AU"/>
        </w:rPr>
        <w:drawing>
          <wp:inline distT="0" distB="0" distL="0" distR="0" wp14:anchorId="77799353" wp14:editId="2FC7DBB2">
            <wp:extent cx="6188710" cy="2905760"/>
            <wp:effectExtent l="0" t="0" r="8890" b="15240"/>
            <wp:docPr id="35" name="Chart 35">
              <a:extLst xmlns:a="http://schemas.openxmlformats.org/drawingml/2006/main">
                <a:ext uri="{FF2B5EF4-FFF2-40B4-BE49-F238E27FC236}">
                  <a16:creationId xmlns:a16="http://schemas.microsoft.com/office/drawing/2014/main" id="{20D8CC55-278C-F145-BC67-F305EFA8B5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1E35E93" w14:textId="4BC3D152" w:rsidR="00E257E2" w:rsidRDefault="00835A05" w:rsidP="00835A05">
      <w:pPr>
        <w:spacing w:after="160" w:line="259" w:lineRule="auto"/>
        <w:rPr>
          <w:rFonts w:ascii="Calibri" w:hAnsi="Calibri" w:cs="Calibri"/>
          <w:iCs/>
          <w:sz w:val="20"/>
          <w:szCs w:val="20"/>
        </w:rPr>
      </w:pPr>
      <w:r>
        <w:rPr>
          <w:rFonts w:ascii="Calibri" w:hAnsi="Calibri" w:cs="Calibri"/>
          <w:iCs/>
          <w:sz w:val="20"/>
          <w:szCs w:val="20"/>
        </w:rPr>
        <w:t>A</w:t>
      </w:r>
      <w:r w:rsidR="00E24708">
        <w:rPr>
          <w:rFonts w:ascii="Calibri" w:hAnsi="Calibri" w:cs="Calibri"/>
          <w:iCs/>
          <w:sz w:val="20"/>
          <w:szCs w:val="20"/>
        </w:rPr>
        <w:t>s a long</w:t>
      </w:r>
      <w:r w:rsidR="007225C4">
        <w:rPr>
          <w:rFonts w:ascii="Calibri" w:hAnsi="Calibri" w:cs="Calibri"/>
          <w:iCs/>
          <w:sz w:val="20"/>
          <w:szCs w:val="20"/>
        </w:rPr>
        <w:t xml:space="preserve"> - </w:t>
      </w:r>
      <w:r w:rsidR="00E24708">
        <w:rPr>
          <w:rFonts w:ascii="Calibri" w:hAnsi="Calibri" w:cs="Calibri"/>
          <w:iCs/>
          <w:sz w:val="20"/>
          <w:szCs w:val="20"/>
        </w:rPr>
        <w:t xml:space="preserve">term strategy to begin to reduce the high proportion of the budget being spent on </w:t>
      </w:r>
      <w:r w:rsidR="00023E50">
        <w:rPr>
          <w:rFonts w:ascii="Calibri" w:hAnsi="Calibri" w:cs="Calibri"/>
          <w:iCs/>
          <w:sz w:val="20"/>
          <w:szCs w:val="20"/>
        </w:rPr>
        <w:t>adviser</w:t>
      </w:r>
      <w:r w:rsidR="00E24708">
        <w:rPr>
          <w:rFonts w:ascii="Calibri" w:hAnsi="Calibri" w:cs="Calibri"/>
          <w:iCs/>
          <w:sz w:val="20"/>
          <w:szCs w:val="20"/>
        </w:rPr>
        <w:t xml:space="preserve"> costs and to ensure greater likelihood of sustainability by building local capacity KIT has </w:t>
      </w:r>
      <w:r w:rsidRPr="00835A05">
        <w:rPr>
          <w:rFonts w:ascii="Calibri" w:hAnsi="Calibri" w:cs="Calibri"/>
          <w:iCs/>
          <w:sz w:val="20"/>
          <w:szCs w:val="20"/>
        </w:rPr>
        <w:t>introduced an RPL model (recognition of prior learning) using a ‘panel of experts’ or registered training organisations (RTO)</w:t>
      </w:r>
      <w:r w:rsidR="00E24708">
        <w:rPr>
          <w:rFonts w:ascii="Calibri" w:hAnsi="Calibri" w:cs="Calibri"/>
          <w:iCs/>
          <w:sz w:val="20"/>
          <w:szCs w:val="20"/>
        </w:rPr>
        <w:t xml:space="preserve">, which the Managing Contractor believes </w:t>
      </w:r>
      <w:r w:rsidRPr="00835A05">
        <w:rPr>
          <w:rFonts w:ascii="Calibri" w:hAnsi="Calibri" w:cs="Calibri"/>
          <w:iCs/>
          <w:sz w:val="20"/>
          <w:szCs w:val="20"/>
        </w:rPr>
        <w:t>will save DFAT $400K over the course of the program, as this will reduce transactions costs compared to the ad-hoc recruitment of short terms advisers. This will also reduce per student cost to $150-$200 compared to $300-$400 in previous ad-hoc arrangements. The RPL approach also ensures that competencies gained by KIT students are assessed according to Australian standards</w:t>
      </w:r>
      <w:r w:rsidR="00B51441">
        <w:rPr>
          <w:rStyle w:val="FootnoteReference"/>
          <w:rFonts w:ascii="Calibri" w:hAnsi="Calibri" w:cs="Calibri"/>
          <w:iCs/>
          <w:sz w:val="20"/>
          <w:szCs w:val="20"/>
        </w:rPr>
        <w:footnoteReference w:id="21"/>
      </w:r>
      <w:r w:rsidR="001615E5">
        <w:rPr>
          <w:rFonts w:ascii="Calibri" w:hAnsi="Calibri" w:cs="Calibri"/>
          <w:iCs/>
          <w:sz w:val="20"/>
          <w:szCs w:val="20"/>
        </w:rPr>
        <w:t>, and of course the course was already in existence so it could be implemented immediately without additional investment from KIT</w:t>
      </w:r>
      <w:r w:rsidRPr="00835A05">
        <w:rPr>
          <w:rFonts w:ascii="Calibri" w:hAnsi="Calibri" w:cs="Calibri"/>
          <w:iCs/>
          <w:sz w:val="20"/>
          <w:szCs w:val="20"/>
        </w:rPr>
        <w:t xml:space="preserve">. </w:t>
      </w:r>
      <w:r w:rsidR="00E24708">
        <w:rPr>
          <w:rFonts w:ascii="Calibri" w:hAnsi="Calibri" w:cs="Calibri"/>
          <w:iCs/>
          <w:sz w:val="20"/>
          <w:szCs w:val="20"/>
        </w:rPr>
        <w:t xml:space="preserve"> </w:t>
      </w:r>
    </w:p>
    <w:p w14:paraId="33CFFB13" w14:textId="31230301" w:rsidR="00835A05" w:rsidRPr="00835A05" w:rsidRDefault="002822A0" w:rsidP="00835A05">
      <w:pPr>
        <w:spacing w:after="160" w:line="259" w:lineRule="auto"/>
        <w:rPr>
          <w:rFonts w:ascii="Calibri" w:hAnsi="Calibri" w:cs="Calibri"/>
          <w:iCs/>
          <w:sz w:val="20"/>
          <w:szCs w:val="20"/>
        </w:rPr>
      </w:pPr>
      <w:r>
        <w:rPr>
          <w:rFonts w:ascii="Calibri" w:hAnsi="Calibri" w:cs="Calibri"/>
          <w:iCs/>
          <w:sz w:val="20"/>
          <w:szCs w:val="20"/>
        </w:rPr>
        <w:t>Whilst</w:t>
      </w:r>
      <w:r w:rsidR="00E24708">
        <w:rPr>
          <w:rFonts w:ascii="Calibri" w:hAnsi="Calibri" w:cs="Calibri"/>
          <w:iCs/>
          <w:sz w:val="20"/>
          <w:szCs w:val="20"/>
        </w:rPr>
        <w:t xml:space="preserve"> the approach does enhance sustainability, it has introduced a costly inefficiency in the short term – courses are delivered by KIT, but then need to be assessed by another institution. Arguably it would have been more efficient to engage an accredited institution in the first place (such as APTC, whose courses are already Australian accredited), but this is likely to have undermined ownership of the institution (KIT is after all a division of the MEHR) and it is unlikely to have led to the gains the current program is making in building the capacity of I-Kiribati employed by the college.</w:t>
      </w:r>
      <w:r w:rsidR="001615E5">
        <w:rPr>
          <w:rFonts w:ascii="Calibri" w:hAnsi="Calibri" w:cs="Calibri"/>
          <w:iCs/>
          <w:sz w:val="20"/>
          <w:szCs w:val="20"/>
        </w:rPr>
        <w:t xml:space="preserve"> </w:t>
      </w:r>
    </w:p>
    <w:p w14:paraId="59250F26" w14:textId="321F276D" w:rsidR="009B302C" w:rsidRPr="009B302C" w:rsidRDefault="009B302C" w:rsidP="009B302C">
      <w:pPr>
        <w:spacing w:after="160" w:line="259" w:lineRule="auto"/>
        <w:rPr>
          <w:rFonts w:ascii="Calibri" w:hAnsi="Calibri" w:cs="Calibri"/>
          <w:iCs/>
          <w:sz w:val="20"/>
          <w:szCs w:val="20"/>
        </w:rPr>
      </w:pPr>
      <w:r w:rsidRPr="009B302C">
        <w:rPr>
          <w:rFonts w:ascii="Calibri" w:hAnsi="Calibri" w:cs="Calibri"/>
          <w:b/>
          <w:iCs/>
          <w:sz w:val="20"/>
          <w:szCs w:val="20"/>
        </w:rPr>
        <w:t>Considerable resources have been invested in improving the English language competency of both staff and students at KIT</w:t>
      </w:r>
      <w:r w:rsidRPr="009B302C">
        <w:rPr>
          <w:rFonts w:ascii="Calibri" w:hAnsi="Calibri" w:cs="Calibri"/>
          <w:iCs/>
          <w:sz w:val="20"/>
          <w:szCs w:val="20"/>
        </w:rPr>
        <w:t xml:space="preserve">. </w:t>
      </w:r>
      <w:r w:rsidR="004C0B54">
        <w:rPr>
          <w:rFonts w:ascii="Calibri" w:hAnsi="Calibri" w:cs="Calibri"/>
          <w:iCs/>
          <w:sz w:val="20"/>
          <w:szCs w:val="20"/>
        </w:rPr>
        <w:t xml:space="preserve">The English Department is the largest department at KIT. In order to enhance the department’s efficiency, </w:t>
      </w:r>
      <w:r>
        <w:rPr>
          <w:rFonts w:ascii="Calibri" w:hAnsi="Calibri" w:cs="Calibri"/>
          <w:iCs/>
          <w:sz w:val="20"/>
          <w:szCs w:val="20"/>
        </w:rPr>
        <w:t xml:space="preserve">KIT recently adopting </w:t>
      </w:r>
      <w:r w:rsidR="00D2636A" w:rsidRPr="00D2636A">
        <w:rPr>
          <w:rFonts w:ascii="Calibri" w:hAnsi="Calibri" w:cs="Calibri"/>
          <w:iCs/>
          <w:sz w:val="20"/>
          <w:szCs w:val="20"/>
        </w:rPr>
        <w:t>the ‘Common European Framework of Reference’ (CEFR)</w:t>
      </w:r>
      <w:r>
        <w:rPr>
          <w:rFonts w:ascii="Calibri" w:hAnsi="Calibri" w:cs="Calibri"/>
          <w:iCs/>
          <w:sz w:val="20"/>
          <w:szCs w:val="20"/>
        </w:rPr>
        <w:t xml:space="preserve">. Previously KIT used the </w:t>
      </w:r>
      <w:r w:rsidRPr="009B302C">
        <w:rPr>
          <w:rFonts w:ascii="Calibri" w:hAnsi="Calibri" w:cs="Calibri"/>
          <w:iCs/>
          <w:sz w:val="20"/>
          <w:szCs w:val="20"/>
        </w:rPr>
        <w:t>International English Language Testing System</w:t>
      </w:r>
      <w:r>
        <w:rPr>
          <w:rFonts w:ascii="Calibri" w:hAnsi="Calibri" w:cs="Calibri"/>
          <w:iCs/>
          <w:sz w:val="20"/>
          <w:szCs w:val="20"/>
        </w:rPr>
        <w:t xml:space="preserve"> (IELTS) which costs about $120 per test, whereas the CEFR is free. Concerns have been raised, especially by the MEHR, that whilst the CEFR measures </w:t>
      </w:r>
      <w:r w:rsidR="00586E5C">
        <w:rPr>
          <w:rFonts w:ascii="Calibri" w:hAnsi="Calibri" w:cs="Calibri"/>
          <w:iCs/>
          <w:sz w:val="20"/>
          <w:szCs w:val="20"/>
        </w:rPr>
        <w:t>proficiency</w:t>
      </w:r>
      <w:r>
        <w:rPr>
          <w:rFonts w:ascii="Calibri" w:hAnsi="Calibri" w:cs="Calibri"/>
          <w:iCs/>
          <w:sz w:val="20"/>
          <w:szCs w:val="20"/>
        </w:rPr>
        <w:t>, IELTS is necessary to determine scholarship placements. The MEHR argue that KIT is not only a pathway to employment but is also a pathway to higher education</w:t>
      </w:r>
      <w:r w:rsidR="004C0B54">
        <w:rPr>
          <w:rFonts w:ascii="Calibri" w:hAnsi="Calibri" w:cs="Calibri"/>
          <w:iCs/>
          <w:sz w:val="20"/>
          <w:szCs w:val="20"/>
        </w:rPr>
        <w:t>. Thus the MEHR</w:t>
      </w:r>
      <w:r>
        <w:rPr>
          <w:rFonts w:ascii="Calibri" w:hAnsi="Calibri" w:cs="Calibri"/>
          <w:iCs/>
          <w:sz w:val="20"/>
          <w:szCs w:val="20"/>
        </w:rPr>
        <w:t xml:space="preserve"> would prefer the IELTS to be retained despite the cost. Although outside the scope of this review, it should be noted that there is considerable literature which illustrates </w:t>
      </w:r>
      <w:r w:rsidR="00586E5C">
        <w:rPr>
          <w:rFonts w:ascii="Calibri" w:hAnsi="Calibri" w:cs="Calibri"/>
          <w:iCs/>
          <w:sz w:val="20"/>
          <w:szCs w:val="20"/>
        </w:rPr>
        <w:t xml:space="preserve">how </w:t>
      </w:r>
      <w:r>
        <w:rPr>
          <w:rFonts w:ascii="Calibri" w:hAnsi="Calibri" w:cs="Calibri"/>
          <w:iCs/>
          <w:sz w:val="20"/>
          <w:szCs w:val="20"/>
        </w:rPr>
        <w:t>the two tests can be compared</w:t>
      </w:r>
      <w:r w:rsidR="00586E5C">
        <w:rPr>
          <w:rFonts w:ascii="Calibri" w:hAnsi="Calibri" w:cs="Calibri"/>
          <w:iCs/>
          <w:sz w:val="20"/>
          <w:szCs w:val="20"/>
        </w:rPr>
        <w:t>, and that they can both be used for similar purposes</w:t>
      </w:r>
      <w:r w:rsidR="004C0B54">
        <w:rPr>
          <w:rFonts w:ascii="Calibri" w:hAnsi="Calibri" w:cs="Calibri"/>
          <w:iCs/>
          <w:sz w:val="20"/>
          <w:szCs w:val="20"/>
        </w:rPr>
        <w:t xml:space="preserve">, including assessing </w:t>
      </w:r>
      <w:r w:rsidR="00343AC8">
        <w:rPr>
          <w:rFonts w:ascii="Calibri" w:hAnsi="Calibri" w:cs="Calibri"/>
          <w:iCs/>
          <w:sz w:val="20"/>
          <w:szCs w:val="20"/>
        </w:rPr>
        <w:t xml:space="preserve">both </w:t>
      </w:r>
      <w:r w:rsidR="004C0B54">
        <w:rPr>
          <w:rFonts w:ascii="Calibri" w:hAnsi="Calibri" w:cs="Calibri"/>
          <w:iCs/>
          <w:sz w:val="20"/>
          <w:szCs w:val="20"/>
        </w:rPr>
        <w:t>proficiency and for entry into higher education</w:t>
      </w:r>
      <w:r w:rsidR="00586E5C">
        <w:rPr>
          <w:rStyle w:val="FootnoteReference"/>
          <w:rFonts w:ascii="Calibri" w:hAnsi="Calibri" w:cs="Calibri"/>
          <w:iCs/>
          <w:sz w:val="20"/>
          <w:szCs w:val="20"/>
        </w:rPr>
        <w:footnoteReference w:id="22"/>
      </w:r>
      <w:r w:rsidR="00586E5C">
        <w:rPr>
          <w:rFonts w:ascii="Calibri" w:hAnsi="Calibri" w:cs="Calibri"/>
          <w:iCs/>
          <w:sz w:val="20"/>
          <w:szCs w:val="20"/>
        </w:rPr>
        <w:t xml:space="preserve">. </w:t>
      </w:r>
    </w:p>
    <w:p w14:paraId="3BE4DB7D" w14:textId="2DCB90D4" w:rsidR="009F2558" w:rsidRPr="004C0B54" w:rsidRDefault="00E24708" w:rsidP="004C0B54">
      <w:pPr>
        <w:spacing w:after="160" w:line="259" w:lineRule="auto"/>
        <w:rPr>
          <w:rFonts w:ascii="Calibri" w:hAnsi="Calibri" w:cs="Calibri"/>
          <w:iCs/>
          <w:sz w:val="20"/>
          <w:szCs w:val="20"/>
        </w:rPr>
      </w:pPr>
      <w:r>
        <w:rPr>
          <w:rFonts w:ascii="Calibri" w:hAnsi="Calibri" w:cs="Calibri"/>
          <w:iCs/>
          <w:sz w:val="20"/>
          <w:szCs w:val="20"/>
        </w:rPr>
        <w:t xml:space="preserve">Nevertheless, </w:t>
      </w:r>
      <w:r w:rsidR="00BD4036">
        <w:rPr>
          <w:rFonts w:ascii="Calibri" w:hAnsi="Calibri" w:cs="Calibri"/>
          <w:iCs/>
          <w:sz w:val="20"/>
          <w:szCs w:val="20"/>
        </w:rPr>
        <w:t xml:space="preserve">as the </w:t>
      </w:r>
      <w:r w:rsidR="00BD4036" w:rsidRPr="00BA71A0">
        <w:rPr>
          <w:rFonts w:ascii="Calibri" w:hAnsi="Calibri" w:cs="Calibri"/>
          <w:b/>
          <w:iCs/>
          <w:sz w:val="20"/>
          <w:szCs w:val="20"/>
        </w:rPr>
        <w:t xml:space="preserve">program </w:t>
      </w:r>
      <w:r w:rsidRPr="00BA71A0">
        <w:rPr>
          <w:rFonts w:ascii="Calibri" w:hAnsi="Calibri" w:cs="Calibri"/>
          <w:b/>
          <w:iCs/>
          <w:sz w:val="20"/>
          <w:szCs w:val="20"/>
        </w:rPr>
        <w:t>has yet to</w:t>
      </w:r>
      <w:r w:rsidR="00BD4036" w:rsidRPr="00BA71A0">
        <w:rPr>
          <w:rFonts w:ascii="Calibri" w:hAnsi="Calibri" w:cs="Calibri"/>
          <w:b/>
          <w:iCs/>
          <w:sz w:val="20"/>
          <w:szCs w:val="20"/>
        </w:rPr>
        <w:t xml:space="preserve"> </w:t>
      </w:r>
      <w:r w:rsidR="00BD4036" w:rsidRPr="00BA71A0">
        <w:rPr>
          <w:rFonts w:asciiTheme="minorHAnsi" w:hAnsiTheme="minorHAnsi" w:cstheme="minorHAnsi"/>
          <w:b/>
          <w:sz w:val="20"/>
          <w:szCs w:val="20"/>
        </w:rPr>
        <w:t>report on Value for Money</w:t>
      </w:r>
      <w:r w:rsidR="00BA71A0" w:rsidRPr="00BA71A0">
        <w:rPr>
          <w:rFonts w:asciiTheme="minorHAnsi" w:hAnsiTheme="minorHAnsi" w:cstheme="minorHAnsi"/>
          <w:b/>
          <w:sz w:val="20"/>
          <w:szCs w:val="20"/>
        </w:rPr>
        <w:t xml:space="preserve"> (VfM)</w:t>
      </w:r>
      <w:r w:rsidR="00BD4036" w:rsidRPr="000E6AE7">
        <w:rPr>
          <w:rFonts w:asciiTheme="minorHAnsi" w:hAnsiTheme="minorHAnsi" w:cstheme="minorHAnsi"/>
          <w:sz w:val="20"/>
          <w:szCs w:val="20"/>
        </w:rPr>
        <w:t>, which would include tracking the unit cost of graduates</w:t>
      </w:r>
      <w:r w:rsidR="00343AC8">
        <w:rPr>
          <w:rStyle w:val="FootnoteReference"/>
          <w:rFonts w:asciiTheme="minorHAnsi" w:hAnsiTheme="minorHAnsi" w:cstheme="minorHAnsi"/>
          <w:sz w:val="20"/>
          <w:szCs w:val="20"/>
        </w:rPr>
        <w:footnoteReference w:id="23"/>
      </w:r>
      <w:r w:rsidR="00BD4036" w:rsidRPr="000E6AE7">
        <w:rPr>
          <w:rFonts w:asciiTheme="minorHAnsi" w:hAnsiTheme="minorHAnsi" w:cstheme="minorHAnsi"/>
          <w:sz w:val="20"/>
          <w:szCs w:val="20"/>
        </w:rPr>
        <w:t xml:space="preserve">, it is difficult to assess </w:t>
      </w:r>
      <w:r>
        <w:rPr>
          <w:rFonts w:asciiTheme="minorHAnsi" w:hAnsiTheme="minorHAnsi" w:cstheme="minorHAnsi"/>
          <w:sz w:val="20"/>
          <w:szCs w:val="20"/>
        </w:rPr>
        <w:t>to what extent the program</w:t>
      </w:r>
      <w:r w:rsidR="00BA71A0">
        <w:rPr>
          <w:rFonts w:asciiTheme="minorHAnsi" w:hAnsiTheme="minorHAnsi" w:cstheme="minorHAnsi"/>
          <w:sz w:val="20"/>
          <w:szCs w:val="20"/>
        </w:rPr>
        <w:t xml:space="preserve"> is reducing the cost per student</w:t>
      </w:r>
      <w:r w:rsidR="001615E5">
        <w:rPr>
          <w:rFonts w:asciiTheme="minorHAnsi" w:hAnsiTheme="minorHAnsi" w:cstheme="minorHAnsi"/>
          <w:sz w:val="20"/>
          <w:szCs w:val="20"/>
        </w:rPr>
        <w:t>, the cost benefit of the RPL process,</w:t>
      </w:r>
      <w:r w:rsidR="00BA71A0">
        <w:rPr>
          <w:rFonts w:asciiTheme="minorHAnsi" w:hAnsiTheme="minorHAnsi" w:cstheme="minorHAnsi"/>
          <w:sz w:val="20"/>
          <w:szCs w:val="20"/>
        </w:rPr>
        <w:t xml:space="preserve"> and</w:t>
      </w:r>
      <w:r>
        <w:rPr>
          <w:rFonts w:asciiTheme="minorHAnsi" w:hAnsiTheme="minorHAnsi" w:cstheme="minorHAnsi"/>
          <w:sz w:val="20"/>
          <w:szCs w:val="20"/>
        </w:rPr>
        <w:t xml:space="preserve"> </w:t>
      </w:r>
      <w:r w:rsidR="001615E5">
        <w:rPr>
          <w:rFonts w:asciiTheme="minorHAnsi" w:hAnsiTheme="minorHAnsi" w:cstheme="minorHAnsi"/>
          <w:sz w:val="20"/>
          <w:szCs w:val="20"/>
        </w:rPr>
        <w:t>to what extent KIT is becoming more efficient with the use of its resources over time</w:t>
      </w:r>
      <w:r w:rsidR="00BD4036" w:rsidRPr="000E6AE7">
        <w:rPr>
          <w:rFonts w:asciiTheme="minorHAnsi" w:hAnsiTheme="minorHAnsi" w:cstheme="minorHAnsi"/>
          <w:sz w:val="20"/>
          <w:szCs w:val="20"/>
        </w:rPr>
        <w:t>.</w:t>
      </w:r>
      <w:r w:rsidR="00BA71A0">
        <w:rPr>
          <w:rFonts w:ascii="Calibri" w:hAnsi="Calibri" w:cs="Calibri"/>
          <w:iCs/>
          <w:sz w:val="20"/>
          <w:szCs w:val="20"/>
        </w:rPr>
        <w:t xml:space="preserve"> A further complicating factor </w:t>
      </w:r>
      <w:r w:rsidR="00D05A14" w:rsidRPr="004B7A92">
        <w:rPr>
          <w:rFonts w:ascii="Calibri" w:hAnsi="Calibri" w:cs="Calibri"/>
          <w:iCs/>
          <w:sz w:val="20"/>
          <w:szCs w:val="20"/>
        </w:rPr>
        <w:t xml:space="preserve">given </w:t>
      </w:r>
      <w:r w:rsidR="00BA71A0">
        <w:rPr>
          <w:rFonts w:ascii="Calibri" w:hAnsi="Calibri" w:cs="Calibri"/>
          <w:iCs/>
          <w:sz w:val="20"/>
          <w:szCs w:val="20"/>
        </w:rPr>
        <w:t xml:space="preserve">that </w:t>
      </w:r>
      <w:r w:rsidR="00D05A14" w:rsidRPr="004B7A92">
        <w:rPr>
          <w:rFonts w:ascii="Calibri" w:hAnsi="Calibri" w:cs="Calibri"/>
          <w:iCs/>
          <w:sz w:val="20"/>
          <w:szCs w:val="20"/>
        </w:rPr>
        <w:t>both SfEP and GoK are responsible for funding salaries for staff at KIT</w:t>
      </w:r>
      <w:r w:rsidR="00BA71A0">
        <w:rPr>
          <w:rFonts w:ascii="Calibri" w:hAnsi="Calibri" w:cs="Calibri"/>
          <w:iCs/>
          <w:sz w:val="20"/>
          <w:szCs w:val="20"/>
        </w:rPr>
        <w:t xml:space="preserve">, is the </w:t>
      </w:r>
      <w:r w:rsidR="00D05A14" w:rsidRPr="004B7A92">
        <w:rPr>
          <w:rFonts w:ascii="Calibri" w:hAnsi="Calibri" w:cs="Calibri"/>
          <w:iCs/>
          <w:sz w:val="20"/>
          <w:szCs w:val="20"/>
        </w:rPr>
        <w:t>limited opportunity each year to shift SfEP funded-positions to the GoK establishment register</w:t>
      </w:r>
      <w:r w:rsidR="000C2117">
        <w:rPr>
          <w:rStyle w:val="FootnoteReference"/>
          <w:rFonts w:ascii="Calibri" w:hAnsi="Calibri" w:cs="Calibri"/>
          <w:iCs/>
          <w:sz w:val="20"/>
          <w:szCs w:val="20"/>
        </w:rPr>
        <w:footnoteReference w:id="24"/>
      </w:r>
      <w:r w:rsidR="00D05A14" w:rsidRPr="004B7A92">
        <w:rPr>
          <w:rFonts w:ascii="Calibri" w:hAnsi="Calibri" w:cs="Calibri"/>
          <w:iCs/>
          <w:sz w:val="20"/>
          <w:szCs w:val="20"/>
        </w:rPr>
        <w:t>, which is important for ongoing financial sustainability of KIT operations</w:t>
      </w:r>
      <w:r w:rsidR="00BA71A0">
        <w:rPr>
          <w:rFonts w:ascii="Calibri" w:hAnsi="Calibri" w:cs="Calibri"/>
          <w:iCs/>
          <w:sz w:val="20"/>
          <w:szCs w:val="20"/>
        </w:rPr>
        <w:t xml:space="preserve"> and also for demonstrating VfM of the program. Moreover, </w:t>
      </w:r>
      <w:r w:rsidR="00D05A14" w:rsidRPr="002548F1">
        <w:rPr>
          <w:rFonts w:ascii="Calibri" w:hAnsi="Calibri" w:cs="Calibri"/>
          <w:iCs/>
          <w:sz w:val="20"/>
          <w:szCs w:val="20"/>
        </w:rPr>
        <w:t>the 30% public service staff pay rise in January 2018 continues to place significant fiscal pressure on the Program through the alignment of LES contract staff salaries to the GoK rates, requiring the Program to match this increase for 47 staff salaries and divert approximately AU$366K of program funds towards meeting the salary increase (1 January 2018 to 15 March 2020). Maintaining this alignment is essential to ensure equity amongst staff at KIT, continuity of KIT services through the retention of existing staff and the attraction of new quality staff</w:t>
      </w:r>
      <w:r w:rsidR="00BA71A0">
        <w:rPr>
          <w:rFonts w:ascii="Calibri" w:hAnsi="Calibri" w:cs="Calibri"/>
          <w:iCs/>
          <w:sz w:val="20"/>
          <w:szCs w:val="20"/>
        </w:rPr>
        <w:t>.</w:t>
      </w:r>
    </w:p>
    <w:p w14:paraId="72531C76" w14:textId="46C591E3" w:rsidR="00887E21" w:rsidRDefault="00887E21" w:rsidP="00887E21">
      <w:pPr>
        <w:pStyle w:val="SDANumberedheading2"/>
        <w:rPr>
          <w:rFonts w:cs="Arial"/>
          <w:noProof w:val="0"/>
        </w:rPr>
      </w:pPr>
      <w:bookmarkStart w:id="36" w:name="_Toc8623410"/>
      <w:r>
        <w:rPr>
          <w:rFonts w:cs="Arial"/>
          <w:noProof w:val="0"/>
        </w:rPr>
        <w:t>Sustainability</w:t>
      </w:r>
      <w:bookmarkEnd w:id="36"/>
    </w:p>
    <w:p w14:paraId="7977D705" w14:textId="1ECCD231" w:rsidR="00887E21" w:rsidRPr="004A274A" w:rsidRDefault="00887E21" w:rsidP="00AA639A">
      <w:pPr>
        <w:pStyle w:val="SDANumberedheading3"/>
        <w:numPr>
          <w:ilvl w:val="0"/>
          <w:numId w:val="16"/>
        </w:numPr>
        <w:rPr>
          <w:lang w:val="en-AU"/>
        </w:rPr>
      </w:pPr>
      <w:bookmarkStart w:id="37" w:name="_Toc8189755"/>
      <w:bookmarkStart w:id="38" w:name="_Toc8623411"/>
      <w:r w:rsidRPr="00887E21">
        <w:rPr>
          <w:lang w:val="en-AU"/>
        </w:rPr>
        <w:t>How sustainable are the benefits of the Kiribati Facility</w:t>
      </w:r>
      <w:r w:rsidRPr="004A274A">
        <w:rPr>
          <w:lang w:val="en-AU"/>
        </w:rPr>
        <w:t>?</w:t>
      </w:r>
      <w:bookmarkEnd w:id="37"/>
      <w:bookmarkEnd w:id="38"/>
      <w:r w:rsidRPr="004A274A">
        <w:rPr>
          <w:lang w:val="en-AU"/>
        </w:rPr>
        <w:t xml:space="preserve"> </w:t>
      </w:r>
    </w:p>
    <w:p w14:paraId="0580DA46" w14:textId="77777777" w:rsidR="00887E21" w:rsidRPr="002D4E54" w:rsidRDefault="00887E21" w:rsidP="00887E21">
      <w:pPr>
        <w:pBdr>
          <w:top w:val="single" w:sz="4" w:space="1" w:color="auto"/>
          <w:left w:val="single" w:sz="4" w:space="4" w:color="auto"/>
          <w:bottom w:val="single" w:sz="4" w:space="1" w:color="auto"/>
          <w:right w:val="single" w:sz="4" w:space="4" w:color="auto"/>
        </w:pBdr>
        <w:shd w:val="pct15" w:color="auto" w:fill="auto"/>
        <w:rPr>
          <w:rFonts w:asciiTheme="minorHAnsi" w:hAnsiTheme="minorHAnsi" w:cstheme="minorHAnsi"/>
          <w:b/>
          <w:sz w:val="22"/>
          <w:szCs w:val="22"/>
          <w:lang w:val="en-AU"/>
        </w:rPr>
      </w:pPr>
      <w:r w:rsidRPr="002D4E54">
        <w:rPr>
          <w:rFonts w:asciiTheme="minorHAnsi" w:hAnsiTheme="minorHAnsi" w:cstheme="minorHAnsi"/>
          <w:b/>
          <w:sz w:val="22"/>
          <w:szCs w:val="22"/>
          <w:lang w:val="en-AU"/>
        </w:rPr>
        <w:t xml:space="preserve">Summary response to the evaluation question: </w:t>
      </w:r>
    </w:p>
    <w:p w14:paraId="46364960" w14:textId="4CF7BAF8" w:rsidR="00C80615" w:rsidRPr="009F746D" w:rsidRDefault="00C80615" w:rsidP="00887E21">
      <w:pPr>
        <w:pBdr>
          <w:top w:val="single" w:sz="4" w:space="1" w:color="auto"/>
          <w:left w:val="single" w:sz="4" w:space="4" w:color="auto"/>
          <w:bottom w:val="single" w:sz="4" w:space="1" w:color="auto"/>
          <w:right w:val="single" w:sz="4" w:space="4" w:color="auto"/>
        </w:pBdr>
        <w:shd w:val="pct15" w:color="auto" w:fill="auto"/>
        <w:rPr>
          <w:rFonts w:asciiTheme="minorHAnsi" w:hAnsiTheme="minorHAnsi" w:cstheme="minorHAnsi"/>
          <w:sz w:val="20"/>
          <w:szCs w:val="20"/>
        </w:rPr>
      </w:pPr>
      <w:r w:rsidRPr="00C80615">
        <w:rPr>
          <w:rFonts w:asciiTheme="minorHAnsi" w:hAnsiTheme="minorHAnsi" w:cstheme="minorHAnsi"/>
          <w:sz w:val="20"/>
          <w:szCs w:val="20"/>
        </w:rPr>
        <w:t>Based on an analysis of current performance, there are good prospects that gains made under the SfEP will continue in the future</w:t>
      </w:r>
      <w:r w:rsidR="005B526D">
        <w:rPr>
          <w:rFonts w:asciiTheme="minorHAnsi" w:hAnsiTheme="minorHAnsi" w:cstheme="minorHAnsi"/>
          <w:sz w:val="20"/>
          <w:szCs w:val="20"/>
        </w:rPr>
        <w:t xml:space="preserve"> provided there is ongoing investment by the Australian Government</w:t>
      </w:r>
      <w:r w:rsidRPr="00C80615">
        <w:rPr>
          <w:rFonts w:asciiTheme="minorHAnsi" w:hAnsiTheme="minorHAnsi" w:cstheme="minorHAnsi"/>
          <w:sz w:val="20"/>
          <w:szCs w:val="20"/>
        </w:rPr>
        <w:t xml:space="preserve">. This includes the activities to ensure KIT </w:t>
      </w:r>
      <w:r w:rsidR="005B526D">
        <w:rPr>
          <w:rFonts w:asciiTheme="minorHAnsi" w:hAnsiTheme="minorHAnsi" w:cstheme="minorHAnsi"/>
          <w:sz w:val="20"/>
          <w:szCs w:val="20"/>
        </w:rPr>
        <w:t xml:space="preserve">maintains its accreditation as a </w:t>
      </w:r>
      <w:r w:rsidRPr="00C80615">
        <w:rPr>
          <w:rFonts w:asciiTheme="minorHAnsi" w:hAnsiTheme="minorHAnsi" w:cstheme="minorHAnsi"/>
          <w:sz w:val="20"/>
          <w:szCs w:val="20"/>
        </w:rPr>
        <w:t>higher education provider, increasing the teaching and administrative capacity of staff, the activities that are being undertaken to implement the new English Language strategy, and reducing the emphasis on expatriate trainers. KIT has also developed an extensive Master Plan for the campus which will see a rapid expansion in its physical capacity and assist in meeting the growing demands for its courses.</w:t>
      </w:r>
      <w:r w:rsidR="009F746D">
        <w:rPr>
          <w:rFonts w:asciiTheme="minorHAnsi" w:hAnsiTheme="minorHAnsi" w:cstheme="minorHAnsi"/>
          <w:sz w:val="20"/>
          <w:szCs w:val="20"/>
        </w:rPr>
        <w:t xml:space="preserve"> </w:t>
      </w:r>
      <w:r w:rsidR="009F746D" w:rsidRPr="009F746D">
        <w:rPr>
          <w:rFonts w:ascii="Calibri" w:hAnsi="Calibri" w:cs="Calibri"/>
          <w:iCs/>
          <w:sz w:val="20"/>
          <w:szCs w:val="20"/>
        </w:rPr>
        <w:t xml:space="preserve">Risks are well managed and are unlikely to undermine the Australian Government’s </w:t>
      </w:r>
      <w:r w:rsidR="009F746D">
        <w:rPr>
          <w:rFonts w:ascii="Calibri" w:hAnsi="Calibri" w:cs="Calibri"/>
          <w:iCs/>
          <w:sz w:val="20"/>
          <w:szCs w:val="20"/>
        </w:rPr>
        <w:t xml:space="preserve">long-term </w:t>
      </w:r>
      <w:r w:rsidR="009F746D" w:rsidRPr="009F746D">
        <w:rPr>
          <w:rFonts w:ascii="Calibri" w:hAnsi="Calibri" w:cs="Calibri"/>
          <w:iCs/>
          <w:sz w:val="20"/>
          <w:szCs w:val="20"/>
        </w:rPr>
        <w:t>investment in the sector</w:t>
      </w:r>
      <w:r w:rsidR="009F746D">
        <w:rPr>
          <w:rFonts w:ascii="Calibri" w:hAnsi="Calibri" w:cs="Calibri"/>
          <w:iCs/>
          <w:sz w:val="20"/>
          <w:szCs w:val="20"/>
        </w:rPr>
        <w:t>.</w:t>
      </w:r>
    </w:p>
    <w:p w14:paraId="3B4261DB" w14:textId="7CA1DFE4" w:rsidR="00887E21" w:rsidRPr="00C80615" w:rsidRDefault="00C80615" w:rsidP="00887E21">
      <w:pPr>
        <w:pBdr>
          <w:top w:val="single" w:sz="4" w:space="1" w:color="auto"/>
          <w:left w:val="single" w:sz="4" w:space="4" w:color="auto"/>
          <w:bottom w:val="single" w:sz="4" w:space="1" w:color="auto"/>
          <w:right w:val="single" w:sz="4" w:space="4" w:color="auto"/>
        </w:pBdr>
        <w:shd w:val="pct15" w:color="auto" w:fill="auto"/>
        <w:rPr>
          <w:rFonts w:asciiTheme="minorHAnsi" w:hAnsiTheme="minorHAnsi" w:cstheme="minorHAnsi"/>
          <w:sz w:val="20"/>
          <w:szCs w:val="20"/>
        </w:rPr>
      </w:pPr>
      <w:r w:rsidRPr="00C80615">
        <w:rPr>
          <w:rFonts w:asciiTheme="minorHAnsi" w:hAnsiTheme="minorHAnsi" w:cstheme="minorHAnsi"/>
          <w:sz w:val="20"/>
          <w:szCs w:val="20"/>
        </w:rPr>
        <w:t>However, there is limited opportunity each year to shift SfEP funded-positions to the GoK’s Establishment Register. In addition, the SfEP currently funds about 80% of KIT’s annual budget.</w:t>
      </w:r>
      <w:r>
        <w:rPr>
          <w:rFonts w:asciiTheme="minorHAnsi" w:hAnsiTheme="minorHAnsi" w:cstheme="minorHAnsi"/>
          <w:sz w:val="20"/>
          <w:szCs w:val="20"/>
        </w:rPr>
        <w:t xml:space="preserve"> </w:t>
      </w:r>
      <w:r w:rsidRPr="00C80615">
        <w:rPr>
          <w:rFonts w:asciiTheme="minorHAnsi" w:hAnsiTheme="minorHAnsi" w:cstheme="minorHAnsi"/>
          <w:sz w:val="20"/>
          <w:szCs w:val="20"/>
        </w:rPr>
        <w:t xml:space="preserve">It is unlikely that GoK’s investment in KIT will increase substantially in the medium term, which means KIT will continue to require substantial investment from development partners (including </w:t>
      </w:r>
      <w:r w:rsidR="007634C1">
        <w:rPr>
          <w:rFonts w:asciiTheme="minorHAnsi" w:hAnsiTheme="minorHAnsi" w:cstheme="minorHAnsi"/>
          <w:sz w:val="20"/>
          <w:szCs w:val="20"/>
        </w:rPr>
        <w:t xml:space="preserve">the </w:t>
      </w:r>
      <w:r w:rsidRPr="00C80615">
        <w:rPr>
          <w:rFonts w:asciiTheme="minorHAnsi" w:hAnsiTheme="minorHAnsi" w:cstheme="minorHAnsi"/>
          <w:sz w:val="20"/>
          <w:szCs w:val="20"/>
        </w:rPr>
        <w:t>financing the</w:t>
      </w:r>
      <w:r w:rsidR="007634C1">
        <w:rPr>
          <w:rFonts w:asciiTheme="minorHAnsi" w:hAnsiTheme="minorHAnsi" w:cstheme="minorHAnsi"/>
          <w:sz w:val="20"/>
          <w:szCs w:val="20"/>
        </w:rPr>
        <w:t xml:space="preserve"> of</w:t>
      </w:r>
      <w:r w:rsidRPr="00C80615">
        <w:rPr>
          <w:rFonts w:asciiTheme="minorHAnsi" w:hAnsiTheme="minorHAnsi" w:cstheme="minorHAnsi"/>
          <w:sz w:val="20"/>
          <w:szCs w:val="20"/>
        </w:rPr>
        <w:t xml:space="preserve"> Master Plan). No increase investment by the GoK in the sector could also impact on the operations and maintenance of KIT’s buildings once the Master Plan has been delivered</w:t>
      </w:r>
      <w:r w:rsidR="00887E21" w:rsidRPr="00C80615">
        <w:rPr>
          <w:rFonts w:asciiTheme="minorHAnsi" w:hAnsiTheme="minorHAnsi" w:cstheme="minorHAnsi"/>
          <w:sz w:val="20"/>
          <w:szCs w:val="20"/>
        </w:rPr>
        <w:t>.</w:t>
      </w:r>
    </w:p>
    <w:p w14:paraId="2B37B290" w14:textId="60809253" w:rsidR="00887E21" w:rsidRPr="00C80615" w:rsidRDefault="00C80615" w:rsidP="00887E21">
      <w:pPr>
        <w:pBdr>
          <w:top w:val="single" w:sz="4" w:space="1" w:color="auto"/>
          <w:left w:val="single" w:sz="4" w:space="4" w:color="auto"/>
          <w:bottom w:val="single" w:sz="4" w:space="1" w:color="auto"/>
          <w:right w:val="single" w:sz="4" w:space="4" w:color="auto"/>
        </w:pBdr>
        <w:shd w:val="pct15" w:color="auto" w:fill="auto"/>
        <w:rPr>
          <w:rFonts w:asciiTheme="minorHAnsi" w:hAnsiTheme="minorHAnsi" w:cstheme="minorHAnsi"/>
          <w:sz w:val="20"/>
          <w:szCs w:val="20"/>
        </w:rPr>
      </w:pPr>
      <w:r w:rsidRPr="00C80615">
        <w:rPr>
          <w:rFonts w:asciiTheme="minorHAnsi" w:hAnsiTheme="minorHAnsi" w:cstheme="minorHAnsi"/>
          <w:sz w:val="20"/>
          <w:szCs w:val="20"/>
        </w:rPr>
        <w:t xml:space="preserve">Despite efforts to reduce reliance on </w:t>
      </w:r>
      <w:r w:rsidR="00023E50">
        <w:rPr>
          <w:rFonts w:asciiTheme="minorHAnsi" w:hAnsiTheme="minorHAnsi" w:cstheme="minorHAnsi"/>
          <w:sz w:val="20"/>
          <w:szCs w:val="20"/>
        </w:rPr>
        <w:t>adviser</w:t>
      </w:r>
      <w:r w:rsidRPr="00C80615">
        <w:rPr>
          <w:rFonts w:asciiTheme="minorHAnsi" w:hAnsiTheme="minorHAnsi" w:cstheme="minorHAnsi"/>
          <w:sz w:val="20"/>
          <w:szCs w:val="20"/>
        </w:rPr>
        <w:t>s, there is little likelihood in the foreseeable future of KIT being able to operate fully without external technical inputs (albeit that the role of APTC3 in the future may be able to replace some of the capacity that is being directly contracted under the Kiribati Facility)</w:t>
      </w:r>
      <w:r w:rsidR="00887E21" w:rsidRPr="00C80615">
        <w:rPr>
          <w:rFonts w:asciiTheme="minorHAnsi" w:hAnsiTheme="minorHAnsi" w:cstheme="minorHAnsi"/>
          <w:sz w:val="20"/>
          <w:szCs w:val="20"/>
        </w:rPr>
        <w:t>.</w:t>
      </w:r>
    </w:p>
    <w:p w14:paraId="2ABED8CC" w14:textId="77777777" w:rsidR="009F746D" w:rsidRPr="009F746D" w:rsidRDefault="009F746D" w:rsidP="00515D81">
      <w:pPr>
        <w:spacing w:after="160" w:line="259" w:lineRule="auto"/>
        <w:rPr>
          <w:rFonts w:ascii="Calibri" w:hAnsi="Calibri" w:cs="Calibri"/>
          <w:b/>
          <w:iCs/>
          <w:sz w:val="18"/>
          <w:szCs w:val="18"/>
        </w:rPr>
      </w:pPr>
    </w:p>
    <w:p w14:paraId="1CF69710" w14:textId="38BFA237" w:rsidR="006E7520" w:rsidRDefault="00515D81" w:rsidP="00515D81">
      <w:pPr>
        <w:spacing w:after="160" w:line="259" w:lineRule="auto"/>
        <w:rPr>
          <w:rFonts w:ascii="Calibri" w:hAnsi="Calibri" w:cs="Calibri"/>
          <w:iCs/>
          <w:sz w:val="20"/>
          <w:szCs w:val="20"/>
        </w:rPr>
      </w:pPr>
      <w:r w:rsidRPr="00515D81">
        <w:rPr>
          <w:rFonts w:ascii="Calibri" w:hAnsi="Calibri" w:cs="Calibri"/>
          <w:b/>
          <w:iCs/>
          <w:sz w:val="20"/>
          <w:szCs w:val="20"/>
        </w:rPr>
        <w:t xml:space="preserve">Some </w:t>
      </w:r>
      <w:r w:rsidR="00887E21" w:rsidRPr="00515D81">
        <w:rPr>
          <w:rFonts w:ascii="Calibri" w:hAnsi="Calibri" w:cs="Calibri"/>
          <w:b/>
          <w:iCs/>
          <w:sz w:val="20"/>
          <w:szCs w:val="20"/>
        </w:rPr>
        <w:t xml:space="preserve">initiatives </w:t>
      </w:r>
      <w:r w:rsidRPr="00515D81">
        <w:rPr>
          <w:rFonts w:ascii="Calibri" w:hAnsi="Calibri" w:cs="Calibri"/>
          <w:b/>
          <w:iCs/>
          <w:sz w:val="20"/>
          <w:szCs w:val="20"/>
        </w:rPr>
        <w:t>have been</w:t>
      </w:r>
      <w:r w:rsidR="00887E21" w:rsidRPr="00515D81">
        <w:rPr>
          <w:rFonts w:ascii="Calibri" w:hAnsi="Calibri" w:cs="Calibri"/>
          <w:b/>
          <w:iCs/>
          <w:sz w:val="20"/>
          <w:szCs w:val="20"/>
        </w:rPr>
        <w:t xml:space="preserve"> established to ensure the sustainability of systems developed for the Kiribati vocational training and employment sector</w:t>
      </w:r>
      <w:r>
        <w:rPr>
          <w:rFonts w:ascii="Calibri" w:hAnsi="Calibri" w:cs="Calibri"/>
          <w:iCs/>
          <w:sz w:val="20"/>
          <w:szCs w:val="20"/>
        </w:rPr>
        <w:t xml:space="preserve">. The MEHR’s commitment is demonstrated through KIT being a substantive division within the Ministry, and the close working relationship that can be seen between the labour mobility unit within the Ministry and the ESS located within KIT. The MEHR has also demonstrated its commitment to the sector through the development of two key strategy documents (the MEHR’s own strategic Plan, and its Labour Mobility Strategy), as has the Government of Kiribati through, for instance, its emphasis on skills, employment and Labour Mobility has already discussed under Relevance previously. </w:t>
      </w:r>
    </w:p>
    <w:p w14:paraId="04A5B233" w14:textId="7DC4040D" w:rsidR="00515D81" w:rsidRDefault="006E7520" w:rsidP="00515D81">
      <w:pPr>
        <w:spacing w:after="160" w:line="259" w:lineRule="auto"/>
        <w:rPr>
          <w:rFonts w:ascii="Calibri" w:hAnsi="Calibri" w:cs="Calibri"/>
          <w:iCs/>
          <w:sz w:val="20"/>
          <w:szCs w:val="20"/>
        </w:rPr>
      </w:pPr>
      <w:r w:rsidRPr="006E7520">
        <w:rPr>
          <w:rFonts w:ascii="Calibri" w:hAnsi="Calibri" w:cs="Calibri"/>
          <w:iCs/>
          <w:sz w:val="20"/>
          <w:szCs w:val="20"/>
        </w:rPr>
        <w:t xml:space="preserve">Although </w:t>
      </w:r>
      <w:r>
        <w:rPr>
          <w:rFonts w:ascii="Calibri" w:hAnsi="Calibri" w:cs="Calibri"/>
          <w:iCs/>
          <w:sz w:val="20"/>
          <w:szCs w:val="20"/>
        </w:rPr>
        <w:t>KIT</w:t>
      </w:r>
      <w:r w:rsidRPr="006E7520">
        <w:rPr>
          <w:rFonts w:ascii="Calibri" w:hAnsi="Calibri" w:cs="Calibri"/>
          <w:iCs/>
          <w:sz w:val="20"/>
          <w:szCs w:val="20"/>
        </w:rPr>
        <w:t xml:space="preserve"> is designed as a long-term commitment to the </w:t>
      </w:r>
      <w:r>
        <w:rPr>
          <w:rFonts w:ascii="Calibri" w:hAnsi="Calibri" w:cs="Calibri"/>
          <w:iCs/>
          <w:sz w:val="20"/>
          <w:szCs w:val="20"/>
        </w:rPr>
        <w:t xml:space="preserve">skills and employment </w:t>
      </w:r>
      <w:r w:rsidRPr="006E7520">
        <w:rPr>
          <w:rFonts w:ascii="Calibri" w:hAnsi="Calibri" w:cs="Calibri"/>
          <w:iCs/>
          <w:sz w:val="20"/>
          <w:szCs w:val="20"/>
        </w:rPr>
        <w:t>sector in Kiribati and is based on the premise that external financing and technical support will be required for many years</w:t>
      </w:r>
      <w:r>
        <w:rPr>
          <w:rFonts w:cs="Arial"/>
          <w:sz w:val="20"/>
          <w:szCs w:val="20"/>
          <w:lang w:val="en-AU"/>
        </w:rPr>
        <w:t>.</w:t>
      </w:r>
      <w:r w:rsidRPr="006E7520">
        <w:rPr>
          <w:rStyle w:val="FootnoteReference"/>
          <w:rFonts w:asciiTheme="minorHAnsi" w:hAnsiTheme="minorHAnsi" w:cstheme="minorHAnsi"/>
          <w:sz w:val="20"/>
          <w:szCs w:val="20"/>
          <w:lang w:val="en-AU"/>
        </w:rPr>
        <w:footnoteReference w:id="25"/>
      </w:r>
      <w:r w:rsidRPr="006E7520">
        <w:rPr>
          <w:rFonts w:asciiTheme="minorHAnsi" w:hAnsiTheme="minorHAnsi" w:cstheme="minorHAnsi"/>
          <w:sz w:val="20"/>
          <w:szCs w:val="20"/>
          <w:lang w:val="en-AU"/>
        </w:rPr>
        <w:t xml:space="preserve"> </w:t>
      </w:r>
      <w:r w:rsidRPr="006E7520">
        <w:rPr>
          <w:rFonts w:ascii="Calibri" w:hAnsi="Calibri" w:cs="Calibri"/>
          <w:iCs/>
          <w:sz w:val="20"/>
          <w:szCs w:val="20"/>
        </w:rPr>
        <w:t>Kiribati Government's commitment is further demonstrated through increased recurrent budget allocations</w:t>
      </w:r>
      <w:r w:rsidR="00624C00">
        <w:rPr>
          <w:rStyle w:val="FootnoteReference"/>
          <w:rFonts w:ascii="Calibri" w:hAnsi="Calibri" w:cs="Calibri"/>
          <w:iCs/>
          <w:sz w:val="20"/>
          <w:szCs w:val="20"/>
        </w:rPr>
        <w:footnoteReference w:id="26"/>
      </w:r>
      <w:r w:rsidR="00515D81">
        <w:rPr>
          <w:rFonts w:ascii="Calibri" w:hAnsi="Calibri" w:cs="Calibri"/>
          <w:iCs/>
          <w:sz w:val="20"/>
          <w:szCs w:val="20"/>
        </w:rPr>
        <w:t xml:space="preserve">, albeit </w:t>
      </w:r>
      <w:r w:rsidR="00A60AB8">
        <w:rPr>
          <w:rFonts w:ascii="Calibri" w:hAnsi="Calibri" w:cs="Calibri"/>
          <w:iCs/>
          <w:sz w:val="20"/>
          <w:szCs w:val="20"/>
        </w:rPr>
        <w:t>the allocation</w:t>
      </w:r>
      <w:r w:rsidR="00515D81">
        <w:rPr>
          <w:rFonts w:ascii="Calibri" w:hAnsi="Calibri" w:cs="Calibri"/>
          <w:iCs/>
          <w:sz w:val="20"/>
          <w:szCs w:val="20"/>
        </w:rPr>
        <w:t xml:space="preserve"> is overshadowed by the Australian Government’s annual investment in KIT</w:t>
      </w:r>
      <w:r w:rsidR="00624C00">
        <w:rPr>
          <w:rStyle w:val="FootnoteReference"/>
          <w:rFonts w:ascii="Calibri" w:hAnsi="Calibri" w:cs="Calibri"/>
          <w:iCs/>
          <w:sz w:val="20"/>
          <w:szCs w:val="20"/>
        </w:rPr>
        <w:footnoteReference w:id="27"/>
      </w:r>
      <w:r w:rsidR="00CB360A">
        <w:rPr>
          <w:rFonts w:ascii="Calibri" w:hAnsi="Calibri" w:cs="Calibri"/>
          <w:iCs/>
          <w:sz w:val="20"/>
          <w:szCs w:val="20"/>
        </w:rPr>
        <w:t xml:space="preserve"> and the recent announcement by MFAT to support KIT’s Master Plan to expand and upgrade the KIT campus extensively</w:t>
      </w:r>
      <w:r w:rsidR="008F647E">
        <w:rPr>
          <w:rFonts w:ascii="Calibri" w:hAnsi="Calibri" w:cs="Calibri"/>
          <w:iCs/>
          <w:sz w:val="20"/>
          <w:szCs w:val="20"/>
        </w:rPr>
        <w:t xml:space="preserve"> in order to increase the number of students by 50% and to provide appropriate facilities for the School of Nursing and Health</w:t>
      </w:r>
      <w:r w:rsidR="00515D81">
        <w:rPr>
          <w:rFonts w:ascii="Calibri" w:hAnsi="Calibri" w:cs="Calibri"/>
          <w:iCs/>
          <w:sz w:val="20"/>
          <w:szCs w:val="20"/>
        </w:rPr>
        <w:t xml:space="preserve">. </w:t>
      </w:r>
    </w:p>
    <w:p w14:paraId="25F1CBA4" w14:textId="77777777" w:rsidR="00A60AB8" w:rsidRDefault="00732F94" w:rsidP="00A60AB8">
      <w:pPr>
        <w:spacing w:after="160" w:line="259" w:lineRule="auto"/>
        <w:rPr>
          <w:rFonts w:ascii="Calibri" w:hAnsi="Calibri" w:cs="Calibri"/>
          <w:b/>
          <w:iCs/>
          <w:sz w:val="20"/>
          <w:szCs w:val="20"/>
        </w:rPr>
      </w:pPr>
      <w:r>
        <w:rPr>
          <w:rFonts w:ascii="Calibri" w:hAnsi="Calibri" w:cs="Calibri"/>
          <w:b/>
          <w:iCs/>
          <w:sz w:val="20"/>
          <w:szCs w:val="20"/>
        </w:rPr>
        <w:t>L</w:t>
      </w:r>
      <w:r w:rsidR="00887E21" w:rsidRPr="00732F94">
        <w:rPr>
          <w:rFonts w:ascii="Calibri" w:hAnsi="Calibri" w:cs="Calibri"/>
          <w:b/>
          <w:iCs/>
          <w:sz w:val="20"/>
          <w:szCs w:val="20"/>
        </w:rPr>
        <w:t>ocal capacity (staff/organisational) been strengthened through SfEP</w:t>
      </w:r>
      <w:r>
        <w:rPr>
          <w:rFonts w:ascii="Calibri" w:hAnsi="Calibri" w:cs="Calibri"/>
          <w:iCs/>
          <w:sz w:val="20"/>
          <w:szCs w:val="20"/>
        </w:rPr>
        <w:t>.</w:t>
      </w:r>
      <w:r w:rsidR="00E0199A">
        <w:rPr>
          <w:rFonts w:ascii="Calibri" w:hAnsi="Calibri" w:cs="Calibri"/>
          <w:iCs/>
          <w:sz w:val="20"/>
          <w:szCs w:val="20"/>
        </w:rPr>
        <w:t xml:space="preserve"> A key feature of the Kiribati Facility, over the long-term, is to reduce </w:t>
      </w:r>
      <w:r w:rsidR="00E0199A" w:rsidRPr="00ED0C0C">
        <w:rPr>
          <w:rFonts w:ascii="Calibri" w:hAnsi="Calibri" w:cs="Calibri"/>
          <w:iCs/>
          <w:sz w:val="20"/>
          <w:szCs w:val="20"/>
        </w:rPr>
        <w:t>emphasis on expatriate trainers throughout this phase of the investment</w:t>
      </w:r>
      <w:r w:rsidR="00E0199A">
        <w:rPr>
          <w:rFonts w:ascii="Calibri" w:hAnsi="Calibri" w:cs="Calibri"/>
          <w:iCs/>
          <w:sz w:val="20"/>
          <w:szCs w:val="20"/>
        </w:rPr>
        <w:t xml:space="preserve">. A multi-prong strategy aims to achieve this objective through the upgrading of staff skills, improving the infrastructure (in terms of the </w:t>
      </w:r>
      <w:r w:rsidR="00E0199A" w:rsidRPr="00612BDE">
        <w:rPr>
          <w:rFonts w:ascii="Calibri" w:hAnsi="Calibri" w:cs="Calibri"/>
          <w:iCs/>
          <w:sz w:val="20"/>
          <w:szCs w:val="20"/>
        </w:rPr>
        <w:t>Master Plan</w:t>
      </w:r>
      <w:r w:rsidR="00E0199A">
        <w:rPr>
          <w:rFonts w:ascii="Calibri" w:hAnsi="Calibri" w:cs="Calibri"/>
          <w:iCs/>
          <w:sz w:val="20"/>
          <w:szCs w:val="20"/>
        </w:rPr>
        <w:t xml:space="preserve"> referred to above), and ensuring KIT courses are accredited against the</w:t>
      </w:r>
      <w:r w:rsidR="00E0199A" w:rsidRPr="00612BDE">
        <w:rPr>
          <w:rFonts w:ascii="Calibri" w:hAnsi="Calibri" w:cs="Calibri"/>
          <w:iCs/>
          <w:sz w:val="20"/>
          <w:szCs w:val="20"/>
        </w:rPr>
        <w:t xml:space="preserve"> Pacific Qualifications Framework (PQF)</w:t>
      </w:r>
      <w:r w:rsidR="00E0199A">
        <w:rPr>
          <w:rFonts w:ascii="Calibri" w:hAnsi="Calibri" w:cs="Calibri"/>
          <w:iCs/>
          <w:sz w:val="20"/>
          <w:szCs w:val="20"/>
        </w:rPr>
        <w:t xml:space="preserve">. The later </w:t>
      </w:r>
      <w:r w:rsidR="00E0199A" w:rsidRPr="00612BDE">
        <w:rPr>
          <w:rFonts w:ascii="Calibri" w:hAnsi="Calibri" w:cs="Calibri"/>
          <w:iCs/>
          <w:sz w:val="20"/>
          <w:szCs w:val="20"/>
        </w:rPr>
        <w:t>provides an alternate option for KIT to design and develop quality assured programs to meet the differing student pathways, where ASQA qualifications may be deemed unnecessary</w:t>
      </w:r>
      <w:r w:rsidR="00E0199A">
        <w:rPr>
          <w:rFonts w:ascii="Calibri" w:hAnsi="Calibri" w:cs="Calibri"/>
          <w:iCs/>
          <w:sz w:val="20"/>
          <w:szCs w:val="20"/>
        </w:rPr>
        <w:t xml:space="preserve">. With regards to improving skills, professional development opportunities have </w:t>
      </w:r>
      <w:r w:rsidR="00E0199A" w:rsidRPr="00F303EF">
        <w:rPr>
          <w:rFonts w:ascii="Calibri" w:hAnsi="Calibri" w:cs="Calibri"/>
          <w:iCs/>
          <w:sz w:val="20"/>
          <w:szCs w:val="20"/>
        </w:rPr>
        <w:t>been provided to staff at all levels of KIT with a large investment in upgrading the teaching qualifications for lecturing staff through the provision of the Certificate IV in Training and Assessment</w:t>
      </w:r>
      <w:r w:rsidR="00E0199A">
        <w:rPr>
          <w:rFonts w:ascii="Calibri" w:hAnsi="Calibri" w:cs="Calibri"/>
          <w:iCs/>
          <w:sz w:val="20"/>
          <w:szCs w:val="20"/>
        </w:rPr>
        <w:t xml:space="preserve">. In addition, KIT has introduced its </w:t>
      </w:r>
      <w:r w:rsidR="00E0199A" w:rsidRPr="00ED0C0C">
        <w:rPr>
          <w:rFonts w:ascii="Calibri" w:hAnsi="Calibri" w:cs="Calibri"/>
          <w:iCs/>
          <w:sz w:val="20"/>
          <w:szCs w:val="20"/>
        </w:rPr>
        <w:t>Emerging Leaders program focussing on developing the next generation of KIT managers</w:t>
      </w:r>
      <w:r w:rsidR="00E0199A">
        <w:rPr>
          <w:rFonts w:ascii="Calibri" w:hAnsi="Calibri" w:cs="Calibri"/>
          <w:iCs/>
          <w:sz w:val="20"/>
          <w:szCs w:val="20"/>
        </w:rPr>
        <w:t xml:space="preserve"> and leaders. Moreover, the </w:t>
      </w:r>
      <w:r w:rsidR="00E0199A" w:rsidRPr="00612BDE">
        <w:rPr>
          <w:rFonts w:ascii="Calibri" w:hAnsi="Calibri" w:cs="Calibri"/>
          <w:iCs/>
          <w:sz w:val="20"/>
          <w:szCs w:val="20"/>
        </w:rPr>
        <w:t>partnership under APTC Phase 3 will enable KIT to trial the new International Skills Training (IST) course to upgrade lecturers teaching qualifications</w:t>
      </w:r>
      <w:r w:rsidR="00E0199A">
        <w:rPr>
          <w:rFonts w:ascii="Calibri" w:hAnsi="Calibri" w:cs="Calibri"/>
          <w:iCs/>
          <w:sz w:val="20"/>
          <w:szCs w:val="20"/>
        </w:rPr>
        <w:t>.</w:t>
      </w:r>
      <w:r w:rsidR="00A60AB8" w:rsidRPr="00A60AB8">
        <w:rPr>
          <w:rFonts w:ascii="Calibri" w:hAnsi="Calibri" w:cs="Calibri"/>
          <w:b/>
          <w:iCs/>
          <w:sz w:val="20"/>
          <w:szCs w:val="20"/>
        </w:rPr>
        <w:t xml:space="preserve"> </w:t>
      </w:r>
    </w:p>
    <w:p w14:paraId="369F772D" w14:textId="1A12BF40" w:rsidR="00887E21" w:rsidRDefault="00A60AB8" w:rsidP="00515D81">
      <w:pPr>
        <w:spacing w:after="160" w:line="259" w:lineRule="auto"/>
        <w:rPr>
          <w:rFonts w:ascii="Calibri" w:hAnsi="Calibri" w:cs="Calibri"/>
          <w:iCs/>
          <w:sz w:val="20"/>
          <w:szCs w:val="20"/>
        </w:rPr>
      </w:pPr>
      <w:r>
        <w:rPr>
          <w:rFonts w:ascii="Calibri" w:hAnsi="Calibri" w:cs="Calibri"/>
          <w:b/>
          <w:iCs/>
          <w:sz w:val="20"/>
          <w:szCs w:val="20"/>
        </w:rPr>
        <w:t>Delivery</w:t>
      </w:r>
      <w:r w:rsidRPr="00A60AB8">
        <w:rPr>
          <w:rFonts w:ascii="Calibri" w:hAnsi="Calibri" w:cs="Calibri"/>
          <w:b/>
          <w:iCs/>
          <w:sz w:val="20"/>
          <w:szCs w:val="20"/>
        </w:rPr>
        <w:t xml:space="preserve"> expected training outcomes is enhancing sustainability</w:t>
      </w:r>
      <w:r>
        <w:rPr>
          <w:rFonts w:ascii="Calibri" w:hAnsi="Calibri" w:cs="Calibri"/>
          <w:iCs/>
          <w:sz w:val="20"/>
          <w:szCs w:val="20"/>
        </w:rPr>
        <w:t>. Sustainability of training outcomes is dependent on a) the relevance and quality of the training provided; b) the extent to which KIT qualifications have cache in the labour market and graduates’ skill remain current and in demand; and c) pathways into further training/ employment are established and maintained. Evidence already referred to in this report illustrates the extent to which the program is satisfying all three criteria. The course profile has been adjusted to reflect the needs of both the domestic and the regional labour market. The quality of the training has been enhanced through a more rigorous accreditation process and the skills of staff have improved through a variety of different means. Graduate pathways have been established through, for instance, Cert 3 and Cert 4 courses being offered by APTC.</w:t>
      </w:r>
    </w:p>
    <w:p w14:paraId="35EBE017" w14:textId="3F751B73" w:rsidR="00515D81" w:rsidRDefault="00732F94" w:rsidP="00515D81">
      <w:pPr>
        <w:spacing w:after="160" w:line="259" w:lineRule="auto"/>
        <w:rPr>
          <w:rFonts w:ascii="Calibri" w:hAnsi="Calibri" w:cs="Calibri"/>
          <w:iCs/>
          <w:sz w:val="20"/>
          <w:szCs w:val="20"/>
        </w:rPr>
      </w:pPr>
      <w:r w:rsidRPr="00732F94">
        <w:rPr>
          <w:rFonts w:ascii="Calibri" w:hAnsi="Calibri" w:cs="Calibri"/>
          <w:b/>
          <w:iCs/>
          <w:sz w:val="20"/>
          <w:szCs w:val="20"/>
        </w:rPr>
        <w:t>Prospects for long-term sustainability of the gains made to date beyond the life of the SfEP are limited</w:t>
      </w:r>
      <w:r w:rsidR="002A78BA">
        <w:rPr>
          <w:rFonts w:ascii="Calibri" w:hAnsi="Calibri" w:cs="Calibri"/>
          <w:b/>
          <w:iCs/>
          <w:sz w:val="20"/>
          <w:szCs w:val="20"/>
        </w:rPr>
        <w:t xml:space="preserve"> without ongoing support from the Australian Government</w:t>
      </w:r>
      <w:r>
        <w:rPr>
          <w:rFonts w:ascii="Calibri" w:hAnsi="Calibri" w:cs="Calibri"/>
          <w:iCs/>
          <w:sz w:val="20"/>
          <w:szCs w:val="20"/>
        </w:rPr>
        <w:t>.</w:t>
      </w:r>
      <w:r w:rsidR="00A60AB8">
        <w:rPr>
          <w:rFonts w:ascii="Calibri" w:hAnsi="Calibri" w:cs="Calibri"/>
          <w:iCs/>
          <w:sz w:val="20"/>
          <w:szCs w:val="20"/>
        </w:rPr>
        <w:t xml:space="preserve"> SfEP is not expected to deliver financial sustainability in its current phase</w:t>
      </w:r>
      <w:r w:rsidR="0079687A">
        <w:rPr>
          <w:rFonts w:ascii="Calibri" w:hAnsi="Calibri" w:cs="Calibri"/>
          <w:iCs/>
          <w:sz w:val="20"/>
          <w:szCs w:val="20"/>
        </w:rPr>
        <w:t xml:space="preserve"> as the Australian Government continues to provide about 80% of KIT’s operating costs. Moreover, i</w:t>
      </w:r>
      <w:r>
        <w:rPr>
          <w:rFonts w:ascii="Calibri" w:hAnsi="Calibri" w:cs="Calibri"/>
          <w:iCs/>
          <w:sz w:val="20"/>
          <w:szCs w:val="20"/>
        </w:rPr>
        <w:t xml:space="preserve">t has already been noted above that there is </w:t>
      </w:r>
      <w:r w:rsidRPr="004B7A92">
        <w:rPr>
          <w:rFonts w:ascii="Calibri" w:hAnsi="Calibri" w:cs="Calibri"/>
          <w:iCs/>
          <w:sz w:val="20"/>
          <w:szCs w:val="20"/>
        </w:rPr>
        <w:t>limited opportunity each year to shift SfEP funded-positions to the GoK establishment register</w:t>
      </w:r>
      <w:r>
        <w:rPr>
          <w:rFonts w:ascii="Calibri" w:hAnsi="Calibri" w:cs="Calibri"/>
          <w:iCs/>
          <w:sz w:val="20"/>
          <w:szCs w:val="20"/>
        </w:rPr>
        <w:t xml:space="preserve"> which is critical to sustainability. Moreover, it has also been noted that key strategic documents for the sector (both the MEHR’s Strategic Plan, and the Labour Mobility Strategy) expire this year, which will also undermine ongoing efforts to promote sustainability. Without a robust policy framework owned by the MEHR, which would by implication reflect government’s priorities and commitment, it makes planning and budgeting within the sector extremely difficult.</w:t>
      </w:r>
    </w:p>
    <w:p w14:paraId="7712CC47" w14:textId="26A6A95D" w:rsidR="00CB6ED6" w:rsidRDefault="00E0199A" w:rsidP="00515D81">
      <w:pPr>
        <w:spacing w:after="160" w:line="259" w:lineRule="auto"/>
        <w:rPr>
          <w:rFonts w:ascii="Calibri" w:hAnsi="Calibri" w:cs="Calibri"/>
          <w:iCs/>
          <w:sz w:val="20"/>
          <w:szCs w:val="20"/>
        </w:rPr>
      </w:pPr>
      <w:r>
        <w:rPr>
          <w:rFonts w:ascii="Calibri" w:hAnsi="Calibri" w:cs="Calibri"/>
          <w:iCs/>
          <w:sz w:val="20"/>
          <w:szCs w:val="20"/>
        </w:rPr>
        <w:t>In addition, t</w:t>
      </w:r>
      <w:r w:rsidR="00CB6ED6" w:rsidRPr="00612BDE">
        <w:rPr>
          <w:rFonts w:ascii="Calibri" w:hAnsi="Calibri" w:cs="Calibri"/>
          <w:iCs/>
          <w:sz w:val="20"/>
          <w:szCs w:val="20"/>
        </w:rPr>
        <w:t>he continued delivery of Australian qualifications still comes at significant cost, with approximately AU$1.27M budgeted for this purpose in 2019</w:t>
      </w:r>
      <w:r>
        <w:rPr>
          <w:rFonts w:ascii="Calibri" w:hAnsi="Calibri" w:cs="Calibri"/>
          <w:iCs/>
          <w:sz w:val="20"/>
          <w:szCs w:val="20"/>
        </w:rPr>
        <w:t>. As already noted above this undermines sustainability</w:t>
      </w:r>
      <w:r w:rsidR="00C11482">
        <w:rPr>
          <w:rFonts w:ascii="Calibri" w:hAnsi="Calibri" w:cs="Calibri"/>
          <w:iCs/>
          <w:sz w:val="20"/>
          <w:szCs w:val="20"/>
        </w:rPr>
        <w:t>. Courses are delivered by KIT, but then need to be assessed by another institution. KIT nevertheless argues that once more courses are accredited at KIT (via the PQF) this amount should diminish drastically.</w:t>
      </w:r>
    </w:p>
    <w:p w14:paraId="79407B7A" w14:textId="23303E63" w:rsidR="00887E21" w:rsidRDefault="00515D81" w:rsidP="00515D81">
      <w:pPr>
        <w:spacing w:after="160" w:line="259" w:lineRule="auto"/>
        <w:rPr>
          <w:rFonts w:ascii="Calibri" w:hAnsi="Calibri" w:cs="Calibri"/>
          <w:iCs/>
          <w:sz w:val="20"/>
          <w:szCs w:val="20"/>
        </w:rPr>
      </w:pPr>
      <w:r w:rsidRPr="00CB360A">
        <w:rPr>
          <w:rFonts w:ascii="Calibri" w:hAnsi="Calibri" w:cs="Calibri"/>
          <w:b/>
          <w:iCs/>
          <w:sz w:val="20"/>
          <w:szCs w:val="20"/>
        </w:rPr>
        <w:t xml:space="preserve">There are several </w:t>
      </w:r>
      <w:r w:rsidR="00887E21" w:rsidRPr="00CB360A">
        <w:rPr>
          <w:rFonts w:ascii="Calibri" w:hAnsi="Calibri" w:cs="Calibri"/>
          <w:b/>
          <w:iCs/>
          <w:sz w:val="20"/>
          <w:szCs w:val="20"/>
        </w:rPr>
        <w:t>new and/or adjusted activities that the Kiribati Facility should consider implementing to increase the likelihood of its benefits being sustainable</w:t>
      </w:r>
      <w:r w:rsidRPr="00CB360A">
        <w:rPr>
          <w:rFonts w:ascii="Calibri" w:hAnsi="Calibri" w:cs="Calibri"/>
          <w:iCs/>
          <w:sz w:val="20"/>
          <w:szCs w:val="20"/>
        </w:rPr>
        <w:t>.</w:t>
      </w:r>
      <w:r w:rsidR="00CB360A" w:rsidRPr="00CB360A">
        <w:rPr>
          <w:rFonts w:ascii="Calibri" w:hAnsi="Calibri" w:cs="Calibri"/>
          <w:iCs/>
          <w:sz w:val="20"/>
          <w:szCs w:val="20"/>
        </w:rPr>
        <w:t xml:space="preserve"> Interviews raised a number of points that could be </w:t>
      </w:r>
      <w:r w:rsidR="00817ABE" w:rsidRPr="00CB360A">
        <w:rPr>
          <w:rFonts w:ascii="Calibri" w:hAnsi="Calibri" w:cs="Calibri"/>
          <w:iCs/>
          <w:sz w:val="20"/>
          <w:szCs w:val="20"/>
        </w:rPr>
        <w:t>considered</w:t>
      </w:r>
      <w:r w:rsidR="00CB360A" w:rsidRPr="00CB360A">
        <w:rPr>
          <w:rFonts w:ascii="Calibri" w:hAnsi="Calibri" w:cs="Calibri"/>
          <w:iCs/>
          <w:sz w:val="20"/>
          <w:szCs w:val="20"/>
        </w:rPr>
        <w:t xml:space="preserve"> to promote sustainability and also help promote greater ownership of KIT, these include:</w:t>
      </w:r>
    </w:p>
    <w:p w14:paraId="6734375E" w14:textId="5BD6C6EE" w:rsidR="00CB360A" w:rsidRPr="004A62E7" w:rsidRDefault="007359ED" w:rsidP="00AA639A">
      <w:pPr>
        <w:pStyle w:val="ListParagraph"/>
        <w:numPr>
          <w:ilvl w:val="0"/>
          <w:numId w:val="18"/>
        </w:numPr>
        <w:spacing w:after="160" w:line="259" w:lineRule="auto"/>
        <w:rPr>
          <w:rFonts w:ascii="Calibri" w:hAnsi="Calibri" w:cs="Calibri"/>
          <w:iCs/>
          <w:sz w:val="20"/>
          <w:szCs w:val="20"/>
        </w:rPr>
      </w:pPr>
      <w:r w:rsidRPr="004A62E7">
        <w:rPr>
          <w:rFonts w:ascii="Calibri" w:hAnsi="Calibri" w:cs="Calibri"/>
          <w:iCs/>
          <w:sz w:val="20"/>
          <w:szCs w:val="20"/>
        </w:rPr>
        <w:t>Facilitating the revision and updating of a new strategic plan for the MEHR (and also the revision of the Labour Mobility Strategy which also expires this year) which will help create greater synergy between the priorities of the MEHR and those of KIT</w:t>
      </w:r>
    </w:p>
    <w:p w14:paraId="599A6FD3" w14:textId="26739CB2" w:rsidR="007359ED" w:rsidRPr="004A62E7" w:rsidRDefault="007359ED" w:rsidP="00AA639A">
      <w:pPr>
        <w:pStyle w:val="ListParagraph"/>
        <w:numPr>
          <w:ilvl w:val="0"/>
          <w:numId w:val="18"/>
        </w:numPr>
        <w:spacing w:after="160" w:line="259" w:lineRule="auto"/>
        <w:rPr>
          <w:rFonts w:ascii="Calibri" w:hAnsi="Calibri" w:cs="Calibri"/>
          <w:iCs/>
          <w:sz w:val="20"/>
          <w:szCs w:val="20"/>
        </w:rPr>
      </w:pPr>
      <w:r w:rsidRPr="004A62E7">
        <w:rPr>
          <w:rFonts w:ascii="Calibri" w:hAnsi="Calibri" w:cs="Calibri"/>
          <w:iCs/>
          <w:sz w:val="20"/>
          <w:szCs w:val="20"/>
        </w:rPr>
        <w:t>Allow the MEHR to demonstrate and take leadership of agreed priorities in the new strategic plan</w:t>
      </w:r>
    </w:p>
    <w:p w14:paraId="5C15E412" w14:textId="3D2AE3D7" w:rsidR="007359ED" w:rsidRPr="004A62E7" w:rsidRDefault="007359ED" w:rsidP="00AA639A">
      <w:pPr>
        <w:pStyle w:val="ListParagraph"/>
        <w:numPr>
          <w:ilvl w:val="1"/>
          <w:numId w:val="18"/>
        </w:numPr>
        <w:spacing w:after="0" w:line="240" w:lineRule="auto"/>
        <w:rPr>
          <w:rFonts w:cs="Arial"/>
          <w:color w:val="000000" w:themeColor="text1"/>
          <w:sz w:val="20"/>
          <w:szCs w:val="20"/>
          <w:lang w:val="en-AU"/>
        </w:rPr>
      </w:pPr>
      <w:r w:rsidRPr="004A62E7">
        <w:rPr>
          <w:rFonts w:cstheme="minorHAnsi"/>
          <w:color w:val="000000" w:themeColor="text1"/>
          <w:sz w:val="20"/>
          <w:szCs w:val="20"/>
          <w:lang w:val="en-AU" w:eastAsia="en-AU"/>
        </w:rPr>
        <w:t xml:space="preserve">A partnership approach to planning, decision-making and implementation in line with capacity constraints promotes </w:t>
      </w:r>
      <w:r w:rsidR="00817ABE" w:rsidRPr="004A62E7">
        <w:rPr>
          <w:rFonts w:cstheme="minorHAnsi"/>
          <w:color w:val="000000" w:themeColor="text1"/>
          <w:sz w:val="20"/>
          <w:szCs w:val="20"/>
          <w:lang w:val="en-AU" w:eastAsia="en-AU"/>
        </w:rPr>
        <w:t>MEHR</w:t>
      </w:r>
      <w:r w:rsidRPr="004A62E7">
        <w:rPr>
          <w:rFonts w:cstheme="minorHAnsi"/>
          <w:color w:val="000000" w:themeColor="text1"/>
          <w:sz w:val="20"/>
          <w:szCs w:val="20"/>
          <w:lang w:val="en-AU" w:eastAsia="en-AU"/>
        </w:rPr>
        <w:t xml:space="preserve"> buy-in and uptake of reforms.</w:t>
      </w:r>
    </w:p>
    <w:p w14:paraId="74EBBD0C" w14:textId="77777777" w:rsidR="007359ED" w:rsidRPr="004A62E7" w:rsidRDefault="007359ED" w:rsidP="00AA639A">
      <w:pPr>
        <w:pStyle w:val="ListParagraph"/>
        <w:numPr>
          <w:ilvl w:val="0"/>
          <w:numId w:val="18"/>
        </w:numPr>
        <w:spacing w:after="0" w:line="240" w:lineRule="auto"/>
        <w:rPr>
          <w:rFonts w:cs="Arial"/>
          <w:color w:val="000000" w:themeColor="text1"/>
          <w:sz w:val="20"/>
          <w:szCs w:val="20"/>
          <w:lang w:val="en-AU"/>
        </w:rPr>
      </w:pPr>
      <w:r w:rsidRPr="004A62E7">
        <w:rPr>
          <w:rFonts w:cstheme="minorHAnsi"/>
          <w:color w:val="000000" w:themeColor="text1"/>
          <w:sz w:val="20"/>
          <w:szCs w:val="20"/>
          <w:lang w:val="en-AU" w:eastAsia="en-AU"/>
        </w:rPr>
        <w:t>Close and collaborative relationships between TA and MoE counterparts has supported systems reform.</w:t>
      </w:r>
    </w:p>
    <w:p w14:paraId="47F77377" w14:textId="6613D31A" w:rsidR="004A62E7" w:rsidRPr="00F57082" w:rsidRDefault="007359ED" w:rsidP="00F57082">
      <w:pPr>
        <w:pStyle w:val="ListParagraph"/>
        <w:numPr>
          <w:ilvl w:val="0"/>
          <w:numId w:val="18"/>
        </w:numPr>
        <w:spacing w:after="0" w:line="240" w:lineRule="auto"/>
        <w:rPr>
          <w:lang w:val="en-AU"/>
        </w:rPr>
      </w:pPr>
      <w:r w:rsidRPr="004A62E7">
        <w:rPr>
          <w:rFonts w:cs="Arial"/>
          <w:color w:val="000000" w:themeColor="text1"/>
          <w:sz w:val="20"/>
          <w:szCs w:val="20"/>
          <w:lang w:val="en-AU"/>
        </w:rPr>
        <w:t xml:space="preserve">The </w:t>
      </w:r>
      <w:r w:rsidR="00817ABE" w:rsidRPr="004A62E7">
        <w:rPr>
          <w:rFonts w:cs="Arial"/>
          <w:color w:val="000000" w:themeColor="text1"/>
          <w:sz w:val="20"/>
          <w:szCs w:val="20"/>
          <w:lang w:val="en-AU"/>
        </w:rPr>
        <w:t>KIT</w:t>
      </w:r>
      <w:r w:rsidRPr="004A62E7">
        <w:rPr>
          <w:rFonts w:cs="Arial"/>
          <w:color w:val="000000" w:themeColor="text1"/>
          <w:sz w:val="20"/>
          <w:szCs w:val="20"/>
          <w:lang w:val="en-AU"/>
        </w:rPr>
        <w:t xml:space="preserve"> communication strategy is an important means for sharing success stories, public diplomacy and helping to promote partnership between the governments of Kiribati and Australia. </w:t>
      </w:r>
    </w:p>
    <w:p w14:paraId="21967400" w14:textId="77777777" w:rsidR="00F57082" w:rsidRPr="00F57082" w:rsidRDefault="00F57082" w:rsidP="00F57082">
      <w:pPr>
        <w:pStyle w:val="ListParagraph"/>
        <w:spacing w:after="0" w:line="240" w:lineRule="auto"/>
        <w:rPr>
          <w:lang w:val="en-AU"/>
        </w:rPr>
      </w:pPr>
    </w:p>
    <w:p w14:paraId="6F3BAD85" w14:textId="03EB291E" w:rsidR="007359ED" w:rsidRDefault="007359ED" w:rsidP="00515D81">
      <w:pPr>
        <w:spacing w:after="160" w:line="259" w:lineRule="auto"/>
        <w:rPr>
          <w:rFonts w:ascii="Calibri" w:hAnsi="Calibri" w:cs="Calibri"/>
          <w:iCs/>
          <w:sz w:val="20"/>
          <w:szCs w:val="20"/>
        </w:rPr>
      </w:pPr>
      <w:r w:rsidRPr="007359ED">
        <w:rPr>
          <w:rFonts w:ascii="Calibri" w:hAnsi="Calibri" w:cs="Calibri"/>
          <w:b/>
          <w:iCs/>
          <w:sz w:val="20"/>
          <w:szCs w:val="20"/>
        </w:rPr>
        <w:t>There is a need to promote more regular dialogue between MEHR and DFAT</w:t>
      </w:r>
      <w:r>
        <w:rPr>
          <w:rFonts w:ascii="Calibri" w:hAnsi="Calibri" w:cs="Calibri"/>
          <w:iCs/>
          <w:sz w:val="20"/>
          <w:szCs w:val="20"/>
        </w:rPr>
        <w:t xml:space="preserve">. </w:t>
      </w:r>
      <w:r w:rsidR="00B81B61">
        <w:rPr>
          <w:rFonts w:ascii="Calibri" w:hAnsi="Calibri" w:cs="Calibri"/>
          <w:iCs/>
          <w:sz w:val="20"/>
          <w:szCs w:val="20"/>
        </w:rPr>
        <w:t>Policy</w:t>
      </w:r>
      <w:r w:rsidRPr="007359ED">
        <w:rPr>
          <w:rFonts w:ascii="Calibri" w:hAnsi="Calibri" w:cs="Calibri"/>
          <w:iCs/>
          <w:sz w:val="20"/>
          <w:szCs w:val="20"/>
        </w:rPr>
        <w:t xml:space="preserve"> dialogue between the governments of Australia and Kiribati could be strengthened further. Australia and Kiribati hold annual consultations but they focus primarily on Australia’s Aid Investment Plan for Kiribati. The consultations do not deal specifically with the details of the Kiribati Government’s strategy for the skills and employment sector, and typically involve high level Australian officials who are not intimately involved in the direct management of the Kiribati Facility and tend to only focus on labour mobility issues. It would be more meaningful if there was dialogue that focused solely on the skills and employment sector (but also retaining a focus on labour mobility), and such dialogue happened more frequently. This would ensure regular contact between DFAT and the MEHR and make it easier for DFAT oversee its investments in the sector and promote harmony between the objectives of the Kiribati Facility and the strategic objectives of the MEHR</w:t>
      </w:r>
      <w:r w:rsidR="00C11482">
        <w:rPr>
          <w:rFonts w:ascii="Calibri" w:hAnsi="Calibri" w:cs="Calibri"/>
          <w:iCs/>
          <w:sz w:val="20"/>
          <w:szCs w:val="20"/>
        </w:rPr>
        <w:t>.</w:t>
      </w:r>
    </w:p>
    <w:p w14:paraId="1167BCDE" w14:textId="421E3636" w:rsidR="00887E21" w:rsidRPr="00C11482" w:rsidRDefault="00C11482" w:rsidP="00C11482">
      <w:pPr>
        <w:spacing w:after="160" w:line="259" w:lineRule="auto"/>
        <w:rPr>
          <w:rFonts w:ascii="Calibri" w:hAnsi="Calibri" w:cs="Calibri"/>
          <w:iCs/>
          <w:sz w:val="20"/>
          <w:szCs w:val="20"/>
        </w:rPr>
      </w:pPr>
      <w:r w:rsidRPr="00C11482">
        <w:rPr>
          <w:rFonts w:ascii="Calibri" w:hAnsi="Calibri" w:cs="Calibri"/>
          <w:b/>
          <w:iCs/>
          <w:sz w:val="20"/>
          <w:szCs w:val="20"/>
        </w:rPr>
        <w:t>Risks are well managed and are unlikely to undermine the Australian Government’s investment in the sector</w:t>
      </w:r>
      <w:r>
        <w:rPr>
          <w:rFonts w:ascii="Calibri" w:hAnsi="Calibri" w:cs="Calibri"/>
          <w:iCs/>
          <w:sz w:val="20"/>
          <w:szCs w:val="20"/>
        </w:rPr>
        <w:t>. The program routinely revisits the risks identified in the risk register. The program continuously assesses and reports on the extent to which the risks are manageable and have been mitigated against.  There is no evidence to suggest that risks threaten the sustainability of Australia’s investment in the skills and employment sector.</w:t>
      </w:r>
    </w:p>
    <w:p w14:paraId="4BF38F0F" w14:textId="1F581435" w:rsidR="004A78AB" w:rsidRDefault="004A78AB" w:rsidP="004A78AB">
      <w:pPr>
        <w:spacing w:after="160" w:line="259" w:lineRule="auto"/>
        <w:rPr>
          <w:rFonts w:ascii="Calibri" w:hAnsi="Calibri" w:cs="Calibri"/>
          <w:b/>
          <w:iCs/>
          <w:sz w:val="20"/>
          <w:szCs w:val="20"/>
        </w:rPr>
      </w:pPr>
      <w:bookmarkStart w:id="39" w:name="_Toc515599449"/>
      <w:r w:rsidRPr="004A78AB">
        <w:rPr>
          <w:rFonts w:ascii="Calibri" w:hAnsi="Calibri" w:cs="Calibri"/>
          <w:b/>
          <w:iCs/>
          <w:sz w:val="20"/>
          <w:szCs w:val="20"/>
        </w:rPr>
        <w:t>No major risks have been omitted from the most recent Risk Register</w:t>
      </w:r>
      <w:r w:rsidRPr="004A78AB">
        <w:rPr>
          <w:rFonts w:ascii="Calibri" w:hAnsi="Calibri" w:cs="Calibri"/>
          <w:iCs/>
          <w:sz w:val="20"/>
          <w:szCs w:val="20"/>
        </w:rPr>
        <w:t xml:space="preserve"> provided in the 2018 Annual Report. Although since the submission of this Risk Register, </w:t>
      </w:r>
      <w:r>
        <w:rPr>
          <w:rFonts w:ascii="Calibri" w:hAnsi="Calibri" w:cs="Calibri"/>
          <w:iCs/>
          <w:sz w:val="20"/>
          <w:szCs w:val="20"/>
        </w:rPr>
        <w:t>two additional risks have been identified</w:t>
      </w:r>
      <w:r w:rsidRPr="004A78AB">
        <w:rPr>
          <w:rFonts w:ascii="Calibri" w:hAnsi="Calibri" w:cs="Calibri"/>
          <w:iCs/>
          <w:sz w:val="20"/>
          <w:szCs w:val="20"/>
        </w:rPr>
        <w:t>:</w:t>
      </w:r>
    </w:p>
    <w:p w14:paraId="110BF59F" w14:textId="76C7B0EB" w:rsidR="004A78AB" w:rsidRPr="004A78AB" w:rsidRDefault="004A78AB" w:rsidP="00AA639A">
      <w:pPr>
        <w:pStyle w:val="ListParagraph"/>
        <w:numPr>
          <w:ilvl w:val="0"/>
          <w:numId w:val="19"/>
        </w:numPr>
        <w:spacing w:after="160" w:line="259" w:lineRule="auto"/>
        <w:rPr>
          <w:rFonts w:ascii="Calibri" w:hAnsi="Calibri" w:cs="Calibri"/>
          <w:iCs/>
          <w:sz w:val="20"/>
          <w:szCs w:val="20"/>
        </w:rPr>
      </w:pPr>
      <w:r w:rsidRPr="00C52C00">
        <w:rPr>
          <w:rFonts w:ascii="Calibri" w:hAnsi="Calibri" w:cs="Calibri"/>
          <w:b/>
          <w:iCs/>
          <w:sz w:val="20"/>
          <w:szCs w:val="20"/>
        </w:rPr>
        <w:t>Ongoing dissatisfaction with the training partner’s delivery and services</w:t>
      </w:r>
      <w:r>
        <w:rPr>
          <w:rFonts w:ascii="Calibri" w:hAnsi="Calibri" w:cs="Calibri"/>
          <w:iCs/>
          <w:sz w:val="20"/>
          <w:szCs w:val="20"/>
        </w:rPr>
        <w:t xml:space="preserve"> - </w:t>
      </w:r>
      <w:r w:rsidRPr="00FD2124">
        <w:rPr>
          <w:rFonts w:ascii="Calibri" w:hAnsi="Calibri" w:cs="Calibri"/>
          <w:iCs/>
          <w:sz w:val="20"/>
          <w:szCs w:val="20"/>
        </w:rPr>
        <w:t xml:space="preserve">due to </w:t>
      </w:r>
      <w:r w:rsidR="002F3270">
        <w:rPr>
          <w:rFonts w:ascii="Calibri" w:hAnsi="Calibri" w:cs="Calibri"/>
          <w:iCs/>
          <w:sz w:val="20"/>
          <w:szCs w:val="20"/>
        </w:rPr>
        <w:t>training partner</w:t>
      </w:r>
      <w:r w:rsidRPr="00FD2124">
        <w:rPr>
          <w:rFonts w:ascii="Calibri" w:hAnsi="Calibri" w:cs="Calibri"/>
          <w:iCs/>
          <w:sz w:val="20"/>
          <w:szCs w:val="20"/>
        </w:rPr>
        <w:t xml:space="preserve"> placing all RPL and consultancy services with the SfEP on hold whilst they underwent their ASQA Audit. This has significantly impacted the scheduling of financials, along with delaying graduate outcomes. This risk is currently being monitored </w:t>
      </w:r>
      <w:r>
        <w:rPr>
          <w:rFonts w:ascii="Calibri" w:hAnsi="Calibri" w:cs="Calibri"/>
          <w:iCs/>
          <w:sz w:val="20"/>
          <w:szCs w:val="20"/>
        </w:rPr>
        <w:t xml:space="preserve">through </w:t>
      </w:r>
      <w:r w:rsidRPr="00FD2124">
        <w:rPr>
          <w:rFonts w:ascii="Calibri" w:hAnsi="Calibri" w:cs="Calibri"/>
          <w:iCs/>
          <w:sz w:val="20"/>
          <w:szCs w:val="20"/>
        </w:rPr>
        <w:t xml:space="preserve">increased communication with </w:t>
      </w:r>
      <w:r w:rsidR="002F3270">
        <w:rPr>
          <w:rFonts w:ascii="Calibri" w:hAnsi="Calibri" w:cs="Calibri"/>
          <w:iCs/>
          <w:sz w:val="20"/>
          <w:szCs w:val="20"/>
        </w:rPr>
        <w:t>the training partner</w:t>
      </w:r>
      <w:r w:rsidRPr="00FD2124">
        <w:rPr>
          <w:rFonts w:ascii="Calibri" w:hAnsi="Calibri" w:cs="Calibri"/>
          <w:iCs/>
          <w:sz w:val="20"/>
          <w:szCs w:val="20"/>
        </w:rPr>
        <w:t xml:space="preserve">. Should the program deem that the delivery of services as per the contract is not being progressed, then the program will look to issue a Notice to </w:t>
      </w:r>
      <w:r w:rsidR="002F3270">
        <w:rPr>
          <w:rFonts w:ascii="Calibri" w:hAnsi="Calibri" w:cs="Calibri"/>
          <w:iCs/>
          <w:sz w:val="20"/>
          <w:szCs w:val="20"/>
        </w:rPr>
        <w:t>the training partner</w:t>
      </w:r>
      <w:r>
        <w:rPr>
          <w:rFonts w:ascii="Calibri" w:hAnsi="Calibri" w:cs="Calibri"/>
          <w:iCs/>
          <w:sz w:val="20"/>
          <w:szCs w:val="20"/>
        </w:rPr>
        <w:t>.</w:t>
      </w:r>
    </w:p>
    <w:p w14:paraId="3494FE71" w14:textId="461BCAA2" w:rsidR="004A78AB" w:rsidRPr="004A78AB" w:rsidRDefault="004A78AB" w:rsidP="00AA639A">
      <w:pPr>
        <w:pStyle w:val="ListParagraph"/>
        <w:numPr>
          <w:ilvl w:val="0"/>
          <w:numId w:val="19"/>
        </w:numPr>
        <w:spacing w:after="160" w:line="259" w:lineRule="auto"/>
        <w:rPr>
          <w:rFonts w:ascii="Calibri" w:hAnsi="Calibri" w:cs="Calibri"/>
          <w:iCs/>
          <w:sz w:val="20"/>
          <w:szCs w:val="20"/>
        </w:rPr>
      </w:pPr>
      <w:r w:rsidRPr="00C52C00">
        <w:rPr>
          <w:rFonts w:ascii="Calibri" w:hAnsi="Calibri" w:cs="Calibri"/>
          <w:b/>
          <w:iCs/>
          <w:sz w:val="20"/>
          <w:szCs w:val="20"/>
        </w:rPr>
        <w:t>Inability to transfer Locally Engaged Staff over to the Government of Kiribati (GoK) Establishment Register</w:t>
      </w:r>
      <w:r>
        <w:rPr>
          <w:rFonts w:ascii="Calibri" w:hAnsi="Calibri" w:cs="Calibri"/>
          <w:iCs/>
          <w:sz w:val="20"/>
          <w:szCs w:val="20"/>
        </w:rPr>
        <w:t xml:space="preserve"> – as already discussed above the salary increase compounded by an expanding SfEP program, within the context of a modality that requires considerable ongoing investment by the Australian government</w:t>
      </w:r>
      <w:r w:rsidR="00C52C00">
        <w:rPr>
          <w:rFonts w:ascii="Calibri" w:hAnsi="Calibri" w:cs="Calibri"/>
          <w:iCs/>
          <w:sz w:val="20"/>
          <w:szCs w:val="20"/>
        </w:rPr>
        <w:t>, could create problems in the long term. In the short – term KIT is seeking an a</w:t>
      </w:r>
      <w:r w:rsidR="00C52C00" w:rsidRPr="00FD2124">
        <w:rPr>
          <w:rFonts w:ascii="Calibri" w:hAnsi="Calibri" w:cs="Calibri"/>
          <w:iCs/>
          <w:sz w:val="20"/>
          <w:szCs w:val="20"/>
        </w:rPr>
        <w:t>pproved Establishment Register</w:t>
      </w:r>
      <w:r w:rsidR="00C52C00" w:rsidRPr="0002053D">
        <w:rPr>
          <w:rFonts w:ascii="Calibri" w:hAnsi="Calibri" w:cs="Calibri"/>
          <w:iCs/>
          <w:sz w:val="20"/>
          <w:szCs w:val="20"/>
        </w:rPr>
        <w:t xml:space="preserve"> outlining vacant positions to be filled</w:t>
      </w:r>
      <w:r w:rsidR="00C52C00">
        <w:rPr>
          <w:rFonts w:ascii="Calibri" w:hAnsi="Calibri" w:cs="Calibri"/>
          <w:iCs/>
          <w:sz w:val="20"/>
          <w:szCs w:val="20"/>
        </w:rPr>
        <w:t xml:space="preserve">, and the </w:t>
      </w:r>
      <w:r w:rsidR="00C52C00" w:rsidRPr="0002053D">
        <w:rPr>
          <w:rFonts w:ascii="Calibri" w:hAnsi="Calibri" w:cs="Calibri"/>
          <w:iCs/>
          <w:sz w:val="20"/>
          <w:szCs w:val="20"/>
        </w:rPr>
        <w:t>KIT Deputy Director HR is working on transition approval paperwork</w:t>
      </w:r>
      <w:r w:rsidR="001A1612">
        <w:rPr>
          <w:rFonts w:ascii="Calibri" w:hAnsi="Calibri" w:cs="Calibri"/>
          <w:iCs/>
          <w:sz w:val="20"/>
          <w:szCs w:val="20"/>
        </w:rPr>
        <w:t xml:space="preserve"> and the Director of KIT will again propose </w:t>
      </w:r>
      <w:r w:rsidR="001A1612" w:rsidRPr="002B4D47">
        <w:rPr>
          <w:rFonts w:ascii="Calibri" w:hAnsi="Calibri" w:cs="Calibri"/>
          <w:iCs/>
          <w:sz w:val="20"/>
          <w:szCs w:val="20"/>
        </w:rPr>
        <w:t>for additional FTEs in the KIT GoK ER during the GoK budget process for 2020</w:t>
      </w:r>
      <w:r w:rsidR="00C52C00">
        <w:rPr>
          <w:rFonts w:ascii="Calibri" w:hAnsi="Calibri" w:cs="Calibri"/>
          <w:iCs/>
          <w:sz w:val="20"/>
          <w:szCs w:val="20"/>
        </w:rPr>
        <w:t>.</w:t>
      </w:r>
    </w:p>
    <w:p w14:paraId="686476D6" w14:textId="6B3E62C1" w:rsidR="001F5EEC" w:rsidRPr="00E22B40" w:rsidRDefault="001F5EEC" w:rsidP="004A78AB">
      <w:pPr>
        <w:spacing w:after="200" w:line="276" w:lineRule="auto"/>
        <w:rPr>
          <w:rFonts w:asciiTheme="minorHAnsi" w:eastAsiaTheme="majorEastAsia" w:hAnsiTheme="minorHAnsi" w:cs="Arial"/>
          <w:b/>
          <w:bCs/>
          <w:color w:val="757575"/>
          <w:sz w:val="50"/>
          <w:szCs w:val="26"/>
        </w:rPr>
      </w:pPr>
      <w:r w:rsidRPr="00E22B40">
        <w:rPr>
          <w:rFonts w:asciiTheme="minorHAnsi" w:hAnsiTheme="minorHAnsi" w:cs="Arial"/>
        </w:rPr>
        <w:br w:type="page"/>
      </w:r>
    </w:p>
    <w:p w14:paraId="01C02AD8" w14:textId="4BBFEE41" w:rsidR="000951C3" w:rsidRPr="00E22B40" w:rsidRDefault="00887E21" w:rsidP="000951C3">
      <w:pPr>
        <w:pStyle w:val="Heading2"/>
        <w:spacing w:before="360"/>
        <w:rPr>
          <w:rFonts w:asciiTheme="minorHAnsi" w:hAnsiTheme="minorHAnsi" w:cs="Arial"/>
        </w:rPr>
      </w:pPr>
      <w:bookmarkStart w:id="40" w:name="_Toc8623412"/>
      <w:bookmarkEnd w:id="39"/>
      <w:r>
        <w:rPr>
          <w:rFonts w:asciiTheme="minorHAnsi" w:hAnsiTheme="minorHAnsi" w:cs="Arial"/>
        </w:rPr>
        <w:t>Conclusion and Recommendations</w:t>
      </w:r>
      <w:bookmarkEnd w:id="40"/>
    </w:p>
    <w:p w14:paraId="0F0ED3E9" w14:textId="77777777" w:rsidR="00D63906" w:rsidRPr="004A274A" w:rsidRDefault="00D63906" w:rsidP="00D63906">
      <w:pPr>
        <w:pStyle w:val="SDANumberedheading2"/>
        <w:rPr>
          <w:lang w:val="en-AU"/>
        </w:rPr>
      </w:pPr>
      <w:bookmarkStart w:id="41" w:name="_Toc530428232"/>
      <w:bookmarkStart w:id="42" w:name="_Toc8623413"/>
      <w:r w:rsidRPr="004A274A">
        <w:rPr>
          <w:lang w:val="en-AU"/>
        </w:rPr>
        <w:t>Conclusion</w:t>
      </w:r>
      <w:bookmarkEnd w:id="41"/>
      <w:bookmarkEnd w:id="42"/>
    </w:p>
    <w:p w14:paraId="4D333E62" w14:textId="5EE70E0E" w:rsidR="00726F0B" w:rsidRPr="006074D1" w:rsidRDefault="006074D1" w:rsidP="000951C3">
      <w:pPr>
        <w:rPr>
          <w:rFonts w:asciiTheme="minorHAnsi" w:hAnsiTheme="minorHAnsi" w:cs="Arial"/>
          <w:sz w:val="20"/>
          <w:szCs w:val="20"/>
          <w:lang w:val="en-AU"/>
        </w:rPr>
      </w:pPr>
      <w:r w:rsidRPr="006074D1">
        <w:rPr>
          <w:rFonts w:asciiTheme="minorHAnsi" w:hAnsiTheme="minorHAnsi" w:cs="Arial"/>
          <w:sz w:val="20"/>
          <w:szCs w:val="20"/>
        </w:rPr>
        <w:t>The review found that progress towards end of program outcomes is mixed. Whilst there has been strong progress with regards to three of the EOPOs, there has been no progress under EOPO 4</w:t>
      </w:r>
      <w:r w:rsidR="000951C3" w:rsidRPr="006074D1">
        <w:rPr>
          <w:rFonts w:asciiTheme="minorHAnsi" w:hAnsiTheme="minorHAnsi" w:cs="Arial"/>
          <w:sz w:val="20"/>
          <w:szCs w:val="20"/>
        </w:rPr>
        <w:t>.</w:t>
      </w:r>
      <w:r w:rsidRPr="006074D1">
        <w:rPr>
          <w:rFonts w:asciiTheme="minorHAnsi" w:hAnsiTheme="minorHAnsi"/>
          <w:sz w:val="20"/>
          <w:szCs w:val="20"/>
          <w:lang w:val="en-AU"/>
        </w:rPr>
        <w:t xml:space="preserve"> Nevertheless, the review found that</w:t>
      </w:r>
      <w:r w:rsidRPr="006074D1">
        <w:rPr>
          <w:rFonts w:asciiTheme="minorHAnsi" w:hAnsiTheme="minorHAnsi" w:cs="Arial"/>
          <w:sz w:val="20"/>
          <w:szCs w:val="20"/>
          <w:lang w:val="en-AU"/>
        </w:rPr>
        <w:t xml:space="preserve"> the Kiribati Facility has made good progress toward achieving its expected outputs under SfEP, and the performance of the program </w:t>
      </w:r>
      <w:r w:rsidR="000F0396">
        <w:rPr>
          <w:rFonts w:asciiTheme="minorHAnsi" w:hAnsiTheme="minorHAnsi" w:cs="Arial"/>
          <w:sz w:val="20"/>
          <w:szCs w:val="20"/>
          <w:lang w:val="en-AU"/>
        </w:rPr>
        <w:t xml:space="preserve">under the SfEP </w:t>
      </w:r>
      <w:r w:rsidRPr="006074D1">
        <w:rPr>
          <w:rFonts w:asciiTheme="minorHAnsi" w:hAnsiTheme="minorHAnsi" w:cs="Arial"/>
          <w:sz w:val="20"/>
          <w:szCs w:val="20"/>
          <w:lang w:val="en-AU"/>
        </w:rPr>
        <w:t>has been both effective and efficient. The majority of planned activities have been delivered on schedule. The program has also made a concerted effort to incorporate Gender and Empowerment, and Disability Inclusion issues into the design and implementation of activities, especially those rolled out on the KIT campus.</w:t>
      </w:r>
    </w:p>
    <w:p w14:paraId="13F27643" w14:textId="57AF9FA3" w:rsidR="006074D1" w:rsidRPr="006074D1" w:rsidRDefault="006074D1" w:rsidP="000951C3">
      <w:pPr>
        <w:rPr>
          <w:rFonts w:asciiTheme="minorHAnsi" w:hAnsiTheme="minorHAnsi" w:cs="Arial"/>
          <w:sz w:val="20"/>
          <w:szCs w:val="20"/>
          <w:lang w:val="en-AU"/>
        </w:rPr>
      </w:pPr>
    </w:p>
    <w:p w14:paraId="554D86DE" w14:textId="039F3810" w:rsidR="00BC7A8A" w:rsidRPr="00BC7A8A" w:rsidRDefault="006074D1" w:rsidP="00BC7A8A">
      <w:pPr>
        <w:rPr>
          <w:rFonts w:asciiTheme="minorHAnsi" w:hAnsiTheme="minorHAnsi" w:cs="Arial"/>
          <w:sz w:val="20"/>
          <w:szCs w:val="20"/>
        </w:rPr>
      </w:pPr>
      <w:r w:rsidRPr="006074D1">
        <w:rPr>
          <w:rFonts w:asciiTheme="minorHAnsi" w:hAnsiTheme="minorHAnsi" w:cs="Arial"/>
          <w:sz w:val="20"/>
          <w:szCs w:val="20"/>
        </w:rPr>
        <w:t>The program has failed to implement any activities</w:t>
      </w:r>
      <w:r w:rsidR="00BC7A8A">
        <w:rPr>
          <w:rFonts w:asciiTheme="minorHAnsi" w:hAnsiTheme="minorHAnsi" w:cs="Arial"/>
          <w:sz w:val="20"/>
          <w:szCs w:val="20"/>
        </w:rPr>
        <w:t xml:space="preserve"> under the </w:t>
      </w:r>
      <w:r w:rsidR="001D3B2B">
        <w:rPr>
          <w:rFonts w:asciiTheme="minorHAnsi" w:hAnsiTheme="minorHAnsi" w:cs="Arial"/>
          <w:sz w:val="20"/>
          <w:szCs w:val="20"/>
        </w:rPr>
        <w:t>FSF</w:t>
      </w:r>
      <w:r w:rsidR="00BC7A8A">
        <w:rPr>
          <w:rFonts w:asciiTheme="minorHAnsi" w:hAnsiTheme="minorHAnsi" w:cs="Arial"/>
          <w:sz w:val="20"/>
          <w:szCs w:val="20"/>
        </w:rPr>
        <w:t>,</w:t>
      </w:r>
      <w:r w:rsidRPr="006074D1">
        <w:rPr>
          <w:rFonts w:asciiTheme="minorHAnsi" w:hAnsiTheme="minorHAnsi" w:cs="Arial"/>
          <w:sz w:val="20"/>
          <w:szCs w:val="20"/>
        </w:rPr>
        <w:t xml:space="preserve"> </w:t>
      </w:r>
      <w:r w:rsidR="004205DE">
        <w:rPr>
          <w:rFonts w:asciiTheme="minorHAnsi" w:hAnsiTheme="minorHAnsi" w:cs="Arial"/>
          <w:sz w:val="20"/>
          <w:szCs w:val="20"/>
        </w:rPr>
        <w:t>which was initially designed</w:t>
      </w:r>
      <w:r w:rsidRPr="006074D1">
        <w:rPr>
          <w:rFonts w:asciiTheme="minorHAnsi" w:hAnsiTheme="minorHAnsi" w:cs="Arial"/>
          <w:sz w:val="20"/>
          <w:szCs w:val="20"/>
        </w:rPr>
        <w:t xml:space="preserve"> </w:t>
      </w:r>
      <w:r w:rsidR="004205DE">
        <w:rPr>
          <w:rFonts w:asciiTheme="minorHAnsi" w:hAnsiTheme="minorHAnsi" w:cs="Arial"/>
          <w:sz w:val="20"/>
          <w:szCs w:val="20"/>
        </w:rPr>
        <w:t>to support activities</w:t>
      </w:r>
      <w:r w:rsidRPr="006074D1">
        <w:rPr>
          <w:rFonts w:asciiTheme="minorHAnsi" w:hAnsiTheme="minorHAnsi" w:cs="Arial"/>
          <w:sz w:val="20"/>
          <w:szCs w:val="20"/>
        </w:rPr>
        <w:t xml:space="preserve"> to strengthen the sector</w:t>
      </w:r>
      <w:r w:rsidR="00BC7A8A">
        <w:rPr>
          <w:rFonts w:asciiTheme="minorHAnsi" w:hAnsiTheme="minorHAnsi" w:cs="Arial"/>
          <w:sz w:val="20"/>
          <w:szCs w:val="20"/>
        </w:rPr>
        <w:t>. Currently the Facility has n</w:t>
      </w:r>
      <w:r w:rsidR="00BC7A8A" w:rsidRPr="00BC7A8A">
        <w:rPr>
          <w:rFonts w:asciiTheme="minorHAnsi" w:hAnsiTheme="minorHAnsi" w:cs="Arial"/>
          <w:sz w:val="20"/>
          <w:szCs w:val="20"/>
        </w:rPr>
        <w:t>o direct influence on policy, planning, coordination and oversight of the skills sector</w:t>
      </w:r>
      <w:r w:rsidR="00BC7A8A">
        <w:rPr>
          <w:rFonts w:asciiTheme="minorHAnsi" w:hAnsiTheme="minorHAnsi" w:cs="Arial"/>
          <w:sz w:val="20"/>
          <w:szCs w:val="20"/>
        </w:rPr>
        <w:t xml:space="preserve">. There is also no structure at the moment which would allow for better </w:t>
      </w:r>
      <w:r w:rsidR="00BC7A8A" w:rsidRPr="00BC7A8A">
        <w:rPr>
          <w:rFonts w:asciiTheme="minorHAnsi" w:hAnsiTheme="minorHAnsi" w:cs="Arial"/>
          <w:sz w:val="20"/>
          <w:szCs w:val="20"/>
        </w:rPr>
        <w:t>harmonization between DFAT’s regional TVET investment (APTC) and its bilateral investment in the Kiribati Facility.</w:t>
      </w:r>
      <w:r w:rsidR="00BC7A8A">
        <w:rPr>
          <w:rFonts w:asciiTheme="minorHAnsi" w:hAnsiTheme="minorHAnsi" w:cs="Arial"/>
          <w:sz w:val="20"/>
          <w:szCs w:val="20"/>
        </w:rPr>
        <w:t xml:space="preserve"> Failure to work at the sectoral level could undermine gains achieved at KIT</w:t>
      </w:r>
      <w:r w:rsidR="00897D63">
        <w:rPr>
          <w:rFonts w:asciiTheme="minorHAnsi" w:hAnsiTheme="minorHAnsi" w:cs="Arial"/>
          <w:sz w:val="20"/>
          <w:szCs w:val="20"/>
        </w:rPr>
        <w:t>. KIT could become a ‘victim of its own success’ and find itself responding to more and more adhoc requests rather than to planned and programmed activities.</w:t>
      </w:r>
    </w:p>
    <w:p w14:paraId="078C0C01" w14:textId="336D177E" w:rsidR="006074D1" w:rsidRPr="006074D1" w:rsidRDefault="006074D1" w:rsidP="000951C3">
      <w:pPr>
        <w:rPr>
          <w:rFonts w:asciiTheme="minorHAnsi" w:hAnsiTheme="minorHAnsi" w:cs="Arial"/>
          <w:sz w:val="20"/>
          <w:szCs w:val="20"/>
        </w:rPr>
      </w:pPr>
    </w:p>
    <w:p w14:paraId="299ADCC6" w14:textId="5A1607B9" w:rsidR="006074D1" w:rsidRPr="006074D1" w:rsidRDefault="006074D1" w:rsidP="000951C3">
      <w:pPr>
        <w:rPr>
          <w:rFonts w:asciiTheme="minorHAnsi" w:hAnsiTheme="minorHAnsi" w:cs="Arial"/>
          <w:sz w:val="20"/>
          <w:szCs w:val="20"/>
        </w:rPr>
      </w:pPr>
      <w:r w:rsidRPr="006074D1">
        <w:rPr>
          <w:rFonts w:asciiTheme="minorHAnsi" w:hAnsiTheme="minorHAnsi" w:cs="Arial"/>
          <w:sz w:val="20"/>
          <w:szCs w:val="20"/>
          <w:lang w:val="en-AU"/>
        </w:rPr>
        <w:t xml:space="preserve">The </w:t>
      </w:r>
      <w:r w:rsidR="001D3B2B">
        <w:rPr>
          <w:rFonts w:asciiTheme="minorHAnsi" w:hAnsiTheme="minorHAnsi" w:cs="Arial"/>
          <w:sz w:val="20"/>
          <w:szCs w:val="20"/>
          <w:lang w:val="en-AU"/>
        </w:rPr>
        <w:t>GoK</w:t>
      </w:r>
      <w:r w:rsidRPr="006074D1">
        <w:rPr>
          <w:rFonts w:asciiTheme="minorHAnsi" w:hAnsiTheme="minorHAnsi" w:cs="Arial"/>
          <w:sz w:val="20"/>
          <w:szCs w:val="20"/>
          <w:lang w:val="en-AU"/>
        </w:rPr>
        <w:t xml:space="preserve"> continues to help secure </w:t>
      </w:r>
      <w:r>
        <w:rPr>
          <w:rFonts w:asciiTheme="minorHAnsi" w:hAnsiTheme="minorHAnsi" w:cs="Arial"/>
          <w:sz w:val="20"/>
          <w:szCs w:val="20"/>
          <w:lang w:val="en-AU"/>
        </w:rPr>
        <w:t xml:space="preserve">to a limited extent </w:t>
      </w:r>
      <w:r w:rsidRPr="006074D1">
        <w:rPr>
          <w:rFonts w:asciiTheme="minorHAnsi" w:hAnsiTheme="minorHAnsi" w:cs="Arial"/>
          <w:sz w:val="20"/>
          <w:szCs w:val="20"/>
          <w:lang w:val="en-AU"/>
        </w:rPr>
        <w:t xml:space="preserve">the sustainability of the gains achieved by </w:t>
      </w:r>
      <w:r>
        <w:rPr>
          <w:rFonts w:asciiTheme="minorHAnsi" w:hAnsiTheme="minorHAnsi" w:cs="Arial"/>
          <w:sz w:val="20"/>
          <w:szCs w:val="20"/>
          <w:lang w:val="en-AU"/>
        </w:rPr>
        <w:t xml:space="preserve">the program by </w:t>
      </w:r>
      <w:r w:rsidRPr="006074D1">
        <w:rPr>
          <w:rFonts w:asciiTheme="minorHAnsi" w:hAnsiTheme="minorHAnsi"/>
          <w:sz w:val="20"/>
          <w:szCs w:val="20"/>
          <w:lang w:val="en-AU"/>
        </w:rPr>
        <w:t>increasing recurrent budget allocations</w:t>
      </w:r>
      <w:r>
        <w:rPr>
          <w:rFonts w:asciiTheme="minorHAnsi" w:hAnsiTheme="minorHAnsi"/>
          <w:sz w:val="20"/>
          <w:szCs w:val="20"/>
          <w:lang w:val="en-AU"/>
        </w:rPr>
        <w:t xml:space="preserve">, albeit there is </w:t>
      </w:r>
      <w:r w:rsidR="00BC7A8A">
        <w:rPr>
          <w:rFonts w:asciiTheme="minorHAnsi" w:hAnsiTheme="minorHAnsi"/>
          <w:sz w:val="20"/>
          <w:szCs w:val="20"/>
          <w:lang w:val="en-AU"/>
        </w:rPr>
        <w:t>limited</w:t>
      </w:r>
      <w:r>
        <w:rPr>
          <w:rFonts w:asciiTheme="minorHAnsi" w:hAnsiTheme="minorHAnsi"/>
          <w:sz w:val="20"/>
          <w:szCs w:val="20"/>
          <w:lang w:val="en-AU"/>
        </w:rPr>
        <w:t xml:space="preserve"> capacity for program staff to be absorbed into the Establishment Register. Efforts by the GoK could be bolstered by</w:t>
      </w:r>
      <w:r w:rsidRPr="006074D1">
        <w:rPr>
          <w:rFonts w:asciiTheme="minorHAnsi" w:hAnsiTheme="minorHAnsi"/>
          <w:sz w:val="20"/>
          <w:szCs w:val="20"/>
          <w:lang w:val="en-AU"/>
        </w:rPr>
        <w:t xml:space="preserve"> creating a strong</w:t>
      </w:r>
      <w:r>
        <w:rPr>
          <w:rFonts w:asciiTheme="minorHAnsi" w:hAnsiTheme="minorHAnsi"/>
          <w:sz w:val="20"/>
          <w:szCs w:val="20"/>
          <w:lang w:val="en-AU"/>
        </w:rPr>
        <w:t>er</w:t>
      </w:r>
      <w:r w:rsidRPr="006074D1">
        <w:rPr>
          <w:rFonts w:asciiTheme="minorHAnsi" w:hAnsiTheme="minorHAnsi"/>
          <w:sz w:val="20"/>
          <w:szCs w:val="20"/>
          <w:lang w:val="en-AU"/>
        </w:rPr>
        <w:t xml:space="preserve"> policy environment</w:t>
      </w:r>
      <w:r>
        <w:rPr>
          <w:rFonts w:asciiTheme="minorHAnsi" w:hAnsiTheme="minorHAnsi"/>
          <w:sz w:val="20"/>
          <w:szCs w:val="20"/>
          <w:lang w:val="en-AU"/>
        </w:rPr>
        <w:t xml:space="preserve"> (key strategies </w:t>
      </w:r>
      <w:r w:rsidR="00BC7A8A">
        <w:rPr>
          <w:rFonts w:asciiTheme="minorHAnsi" w:hAnsiTheme="minorHAnsi"/>
          <w:sz w:val="20"/>
          <w:szCs w:val="20"/>
          <w:lang w:val="en-AU"/>
        </w:rPr>
        <w:t xml:space="preserve">such as the MEHR Strategic Plan </w:t>
      </w:r>
      <w:r>
        <w:rPr>
          <w:rFonts w:asciiTheme="minorHAnsi" w:hAnsiTheme="minorHAnsi"/>
          <w:sz w:val="20"/>
          <w:szCs w:val="20"/>
          <w:lang w:val="en-AU"/>
        </w:rPr>
        <w:t>expire this year)</w:t>
      </w:r>
      <w:r w:rsidRPr="006074D1">
        <w:rPr>
          <w:rFonts w:asciiTheme="minorHAnsi" w:hAnsiTheme="minorHAnsi"/>
          <w:sz w:val="20"/>
          <w:szCs w:val="20"/>
          <w:lang w:val="en-AU"/>
        </w:rPr>
        <w:t xml:space="preserve"> within which </w:t>
      </w:r>
      <w:r>
        <w:rPr>
          <w:rFonts w:asciiTheme="minorHAnsi" w:hAnsiTheme="minorHAnsi"/>
          <w:sz w:val="20"/>
          <w:szCs w:val="20"/>
          <w:lang w:val="en-AU"/>
        </w:rPr>
        <w:t>the program</w:t>
      </w:r>
      <w:r w:rsidRPr="006074D1">
        <w:rPr>
          <w:rFonts w:asciiTheme="minorHAnsi" w:hAnsiTheme="minorHAnsi"/>
          <w:sz w:val="20"/>
          <w:szCs w:val="20"/>
          <w:lang w:val="en-AU"/>
        </w:rPr>
        <w:t xml:space="preserve"> operates</w:t>
      </w:r>
      <w:r>
        <w:rPr>
          <w:rFonts w:asciiTheme="minorHAnsi" w:hAnsiTheme="minorHAnsi"/>
          <w:sz w:val="20"/>
          <w:szCs w:val="20"/>
          <w:lang w:val="en-AU"/>
        </w:rPr>
        <w:t xml:space="preserve"> and being more intimately involved in </w:t>
      </w:r>
      <w:r w:rsidRPr="006074D1">
        <w:rPr>
          <w:rFonts w:asciiTheme="minorHAnsi" w:hAnsiTheme="minorHAnsi"/>
          <w:sz w:val="20"/>
          <w:szCs w:val="20"/>
          <w:lang w:val="en-AU"/>
        </w:rPr>
        <w:t xml:space="preserve">ambitious reforms at </w:t>
      </w:r>
      <w:r>
        <w:rPr>
          <w:rFonts w:asciiTheme="minorHAnsi" w:hAnsiTheme="minorHAnsi"/>
          <w:sz w:val="20"/>
          <w:szCs w:val="20"/>
          <w:lang w:val="en-AU"/>
        </w:rPr>
        <w:t>KIT.</w:t>
      </w:r>
    </w:p>
    <w:p w14:paraId="3C3ABF56" w14:textId="34CB1165" w:rsidR="006074D1" w:rsidRPr="006074D1" w:rsidRDefault="006074D1" w:rsidP="000951C3">
      <w:pPr>
        <w:rPr>
          <w:rFonts w:asciiTheme="minorHAnsi" w:hAnsiTheme="minorHAnsi" w:cs="Arial"/>
          <w:sz w:val="20"/>
          <w:szCs w:val="20"/>
        </w:rPr>
      </w:pPr>
    </w:p>
    <w:p w14:paraId="6D6730A5" w14:textId="43F103AF" w:rsidR="006074D1" w:rsidRDefault="006074D1" w:rsidP="000951C3">
      <w:pPr>
        <w:rPr>
          <w:rFonts w:asciiTheme="minorHAnsi" w:hAnsiTheme="minorHAnsi" w:cs="Arial"/>
          <w:sz w:val="20"/>
          <w:szCs w:val="20"/>
          <w:lang w:val="en-AU"/>
        </w:rPr>
      </w:pPr>
      <w:r w:rsidRPr="006074D1">
        <w:rPr>
          <w:rFonts w:asciiTheme="minorHAnsi" w:hAnsiTheme="minorHAnsi" w:cs="Arial"/>
          <w:sz w:val="20"/>
          <w:szCs w:val="20"/>
        </w:rPr>
        <w:t xml:space="preserve">The review </w:t>
      </w:r>
      <w:r w:rsidRPr="006074D1">
        <w:rPr>
          <w:rFonts w:asciiTheme="minorHAnsi" w:hAnsiTheme="minorHAnsi" w:cs="Arial"/>
          <w:sz w:val="20"/>
          <w:szCs w:val="20"/>
          <w:lang w:val="en-AU"/>
        </w:rPr>
        <w:t>identified several areas that will require attention in the remaining period of Kiribati Facility and/or require additional thought in the design of the next phase. Of particular concern is the challenge the program faces in delivering planned activities under EOPO 4</w:t>
      </w:r>
      <w:r w:rsidR="00D63906">
        <w:rPr>
          <w:rFonts w:asciiTheme="minorHAnsi" w:hAnsiTheme="minorHAnsi" w:cs="Arial"/>
          <w:sz w:val="20"/>
          <w:szCs w:val="20"/>
          <w:lang w:val="en-AU"/>
        </w:rPr>
        <w:t xml:space="preserve"> and the view from the MEHR that they are not fully consulted on the planning of activities under SfEP. The MEHR</w:t>
      </w:r>
      <w:r w:rsidR="00D63906" w:rsidRPr="004A274A">
        <w:rPr>
          <w:rFonts w:asciiTheme="minorHAnsi" w:hAnsiTheme="minorHAnsi" w:cs="Arial"/>
          <w:sz w:val="20"/>
          <w:szCs w:val="20"/>
          <w:lang w:val="en-AU"/>
        </w:rPr>
        <w:t xml:space="preserve"> noted that in previous years</w:t>
      </w:r>
      <w:r w:rsidR="00D63906">
        <w:rPr>
          <w:rFonts w:asciiTheme="minorHAnsi" w:hAnsiTheme="minorHAnsi" w:cs="Arial"/>
          <w:sz w:val="20"/>
          <w:szCs w:val="20"/>
          <w:lang w:val="en-AU"/>
        </w:rPr>
        <w:t>,</w:t>
      </w:r>
      <w:r w:rsidR="00D63906" w:rsidRPr="004A274A">
        <w:rPr>
          <w:rFonts w:asciiTheme="minorHAnsi" w:hAnsiTheme="minorHAnsi" w:cs="Arial"/>
          <w:sz w:val="20"/>
          <w:szCs w:val="20"/>
          <w:lang w:val="en-AU"/>
        </w:rPr>
        <w:t xml:space="preserve"> senior management were fully consulted and integral to </w:t>
      </w:r>
      <w:r w:rsidR="00D63906">
        <w:rPr>
          <w:rFonts w:asciiTheme="minorHAnsi" w:hAnsiTheme="minorHAnsi" w:cs="Arial"/>
          <w:sz w:val="20"/>
          <w:szCs w:val="20"/>
          <w:lang w:val="en-AU"/>
        </w:rPr>
        <w:t>developments at KIT</w:t>
      </w:r>
      <w:r w:rsidR="00D63906" w:rsidRPr="004A274A">
        <w:rPr>
          <w:rFonts w:asciiTheme="minorHAnsi" w:hAnsiTheme="minorHAnsi" w:cs="Arial"/>
          <w:sz w:val="20"/>
          <w:szCs w:val="20"/>
          <w:lang w:val="en-AU"/>
        </w:rPr>
        <w:t>. This issue needs urgent attention to ensure it does not undermine the</w:t>
      </w:r>
      <w:r w:rsidR="001D3B2B">
        <w:rPr>
          <w:rFonts w:asciiTheme="minorHAnsi" w:hAnsiTheme="minorHAnsi" w:cs="Arial"/>
          <w:sz w:val="20"/>
          <w:szCs w:val="20"/>
          <w:lang w:val="en-AU"/>
        </w:rPr>
        <w:t xml:space="preserve"> relationship</w:t>
      </w:r>
      <w:r w:rsidR="00D63906" w:rsidRPr="004A274A">
        <w:rPr>
          <w:rFonts w:asciiTheme="minorHAnsi" w:hAnsiTheme="minorHAnsi" w:cs="Arial"/>
          <w:sz w:val="20"/>
          <w:szCs w:val="20"/>
          <w:lang w:val="en-AU"/>
        </w:rPr>
        <w:t xml:space="preserve"> between the M</w:t>
      </w:r>
      <w:r w:rsidR="00D63906">
        <w:rPr>
          <w:rFonts w:asciiTheme="minorHAnsi" w:hAnsiTheme="minorHAnsi" w:cs="Arial"/>
          <w:sz w:val="20"/>
          <w:szCs w:val="20"/>
          <w:lang w:val="en-AU"/>
        </w:rPr>
        <w:t>EHR</w:t>
      </w:r>
      <w:r w:rsidR="00D63906" w:rsidRPr="004A274A">
        <w:rPr>
          <w:rFonts w:asciiTheme="minorHAnsi" w:hAnsiTheme="minorHAnsi" w:cs="Arial"/>
          <w:sz w:val="20"/>
          <w:szCs w:val="20"/>
          <w:lang w:val="en-AU"/>
        </w:rPr>
        <w:t xml:space="preserve"> and </w:t>
      </w:r>
      <w:r w:rsidR="00D63906">
        <w:rPr>
          <w:rFonts w:asciiTheme="minorHAnsi" w:hAnsiTheme="minorHAnsi" w:cs="Arial"/>
          <w:sz w:val="20"/>
          <w:szCs w:val="20"/>
          <w:lang w:val="en-AU"/>
        </w:rPr>
        <w:t xml:space="preserve">KIT, albeit the reintroduction of the labour mobility engagement </w:t>
      </w:r>
      <w:r w:rsidR="00023E50">
        <w:rPr>
          <w:rFonts w:asciiTheme="minorHAnsi" w:hAnsiTheme="minorHAnsi" w:cs="Arial"/>
          <w:sz w:val="20"/>
          <w:szCs w:val="20"/>
          <w:lang w:val="en-AU"/>
        </w:rPr>
        <w:t>adviser</w:t>
      </w:r>
      <w:r w:rsidR="00D63906">
        <w:rPr>
          <w:rFonts w:asciiTheme="minorHAnsi" w:hAnsiTheme="minorHAnsi" w:cs="Arial"/>
          <w:sz w:val="20"/>
          <w:szCs w:val="20"/>
          <w:lang w:val="en-AU"/>
        </w:rPr>
        <w:t xml:space="preserve"> can help facilitate this, as has occurred previously.</w:t>
      </w:r>
    </w:p>
    <w:p w14:paraId="1040CD15" w14:textId="21086969" w:rsidR="00D63906" w:rsidRDefault="00D63906" w:rsidP="000951C3">
      <w:pPr>
        <w:rPr>
          <w:rFonts w:asciiTheme="minorHAnsi" w:hAnsiTheme="minorHAnsi" w:cs="Arial"/>
          <w:sz w:val="20"/>
          <w:szCs w:val="20"/>
          <w:lang w:val="en-AU"/>
        </w:rPr>
      </w:pPr>
    </w:p>
    <w:p w14:paraId="19479892" w14:textId="1E5037B6" w:rsidR="00D63906" w:rsidRPr="00BC7A8A" w:rsidRDefault="00D63906" w:rsidP="000951C3">
      <w:pPr>
        <w:rPr>
          <w:rFonts w:ascii="Calibri" w:hAnsi="Calibri" w:cs="Calibri"/>
          <w:iCs/>
          <w:sz w:val="20"/>
          <w:szCs w:val="20"/>
        </w:rPr>
      </w:pPr>
      <w:r w:rsidRPr="00D63906">
        <w:rPr>
          <w:rFonts w:asciiTheme="minorHAnsi" w:hAnsiTheme="minorHAnsi" w:cs="Arial"/>
          <w:sz w:val="20"/>
          <w:szCs w:val="20"/>
          <w:lang w:val="en-AU"/>
        </w:rPr>
        <w:t xml:space="preserve">The review also identified several opportunities for the program to consider </w:t>
      </w:r>
      <w:r w:rsidR="00BC7A8A">
        <w:rPr>
          <w:rFonts w:ascii="Calibri" w:hAnsi="Calibri" w:cs="Calibri"/>
          <w:iCs/>
          <w:sz w:val="20"/>
          <w:szCs w:val="20"/>
        </w:rPr>
        <w:t>to increase</w:t>
      </w:r>
      <w:r w:rsidRPr="00D63906">
        <w:rPr>
          <w:rFonts w:ascii="Calibri" w:hAnsi="Calibri" w:cs="Calibri"/>
          <w:iCs/>
          <w:sz w:val="20"/>
          <w:szCs w:val="20"/>
        </w:rPr>
        <w:t xml:space="preserve"> the likelihood of its benefits being sustainable</w:t>
      </w:r>
      <w:r>
        <w:rPr>
          <w:rFonts w:ascii="Calibri" w:hAnsi="Calibri" w:cs="Calibri"/>
          <w:iCs/>
          <w:sz w:val="20"/>
          <w:szCs w:val="20"/>
        </w:rPr>
        <w:t xml:space="preserve">. These could be further explored and incorporated into the design of the next phase of the program. </w:t>
      </w:r>
      <w:r w:rsidR="00BC7A8A">
        <w:rPr>
          <w:rFonts w:ascii="Calibri" w:hAnsi="Calibri" w:cs="Calibri"/>
          <w:iCs/>
          <w:sz w:val="20"/>
          <w:szCs w:val="20"/>
        </w:rPr>
        <w:t xml:space="preserve">For instance, the ESS could provide greater assistance to help the MEHR respond to the increasing demand for participants in regional labour mobility programs. Building on the success of the Bridging Program provides KIT with opportunities to expand its offerings beyond Betio. The reorientation of APTC provides opportunities </w:t>
      </w:r>
      <w:r w:rsidR="00BC7A8A">
        <w:rPr>
          <w:rFonts w:ascii="Calibri" w:hAnsi="Calibri" w:cs="Calibri"/>
          <w:iCs/>
          <w:sz w:val="20"/>
          <w:szCs w:val="20"/>
          <w:lang w:val="en-AU"/>
        </w:rPr>
        <w:t>to s</w:t>
      </w:r>
      <w:r w:rsidR="00BC7A8A" w:rsidRPr="00BC7A8A">
        <w:rPr>
          <w:rFonts w:ascii="Calibri" w:hAnsi="Calibri" w:cs="Calibri"/>
          <w:iCs/>
          <w:sz w:val="20"/>
          <w:szCs w:val="20"/>
          <w:lang w:val="en-AU"/>
        </w:rPr>
        <w:t>trengthen the relationship</w:t>
      </w:r>
      <w:r w:rsidR="00BC7A8A">
        <w:rPr>
          <w:rFonts w:ascii="Calibri" w:hAnsi="Calibri" w:cs="Calibri"/>
          <w:iCs/>
          <w:sz w:val="20"/>
          <w:szCs w:val="20"/>
          <w:lang w:val="en-AU"/>
        </w:rPr>
        <w:t xml:space="preserve"> between APTC and KIT</w:t>
      </w:r>
      <w:r w:rsidR="00BC7A8A" w:rsidRPr="00BC7A8A">
        <w:rPr>
          <w:rFonts w:ascii="Calibri" w:hAnsi="Calibri" w:cs="Calibri"/>
          <w:iCs/>
          <w:sz w:val="20"/>
          <w:szCs w:val="20"/>
          <w:lang w:val="en-AU"/>
        </w:rPr>
        <w:t xml:space="preserve"> to a more collaborative one, with thought being given to working together at both the system level and the delivery level</w:t>
      </w:r>
      <w:r w:rsidR="00BC7A8A">
        <w:rPr>
          <w:rFonts w:ascii="Calibri" w:hAnsi="Calibri" w:cs="Calibri"/>
          <w:iCs/>
          <w:sz w:val="20"/>
          <w:szCs w:val="20"/>
          <w:lang w:val="en-AU"/>
        </w:rPr>
        <w:t>.</w:t>
      </w:r>
      <w:r w:rsidR="00BC7A8A">
        <w:rPr>
          <w:rFonts w:ascii="Calibri" w:hAnsi="Calibri" w:cs="Calibri"/>
          <w:iCs/>
          <w:sz w:val="20"/>
          <w:szCs w:val="20"/>
        </w:rPr>
        <w:t xml:space="preserve"> </w:t>
      </w:r>
      <w:r w:rsidRPr="004A274A">
        <w:rPr>
          <w:rFonts w:asciiTheme="minorHAnsi" w:hAnsiTheme="minorHAnsi" w:cs="Arial"/>
          <w:sz w:val="20"/>
          <w:szCs w:val="20"/>
          <w:lang w:val="en-AU"/>
        </w:rPr>
        <w:t xml:space="preserve">Finally, the appointment of a new </w:t>
      </w:r>
      <w:r>
        <w:rPr>
          <w:rFonts w:asciiTheme="minorHAnsi" w:hAnsiTheme="minorHAnsi" w:cs="Arial"/>
          <w:sz w:val="20"/>
          <w:szCs w:val="20"/>
          <w:lang w:val="en-AU"/>
        </w:rPr>
        <w:t xml:space="preserve">labour mobility </w:t>
      </w:r>
      <w:r w:rsidR="00023E50">
        <w:rPr>
          <w:rFonts w:asciiTheme="minorHAnsi" w:hAnsiTheme="minorHAnsi" w:cs="Arial"/>
          <w:sz w:val="20"/>
          <w:szCs w:val="20"/>
          <w:lang w:val="en-AU"/>
        </w:rPr>
        <w:t>adviser</w:t>
      </w:r>
      <w:r w:rsidRPr="004A274A">
        <w:rPr>
          <w:rFonts w:asciiTheme="minorHAnsi" w:hAnsiTheme="minorHAnsi" w:cs="Arial"/>
          <w:sz w:val="20"/>
          <w:szCs w:val="20"/>
          <w:lang w:val="en-AU"/>
        </w:rPr>
        <w:t xml:space="preserve"> and feedback from this </w:t>
      </w:r>
      <w:r>
        <w:rPr>
          <w:rFonts w:asciiTheme="minorHAnsi" w:hAnsiTheme="minorHAnsi" w:cs="Arial"/>
          <w:sz w:val="20"/>
          <w:szCs w:val="20"/>
          <w:lang w:val="en-AU"/>
        </w:rPr>
        <w:t>review</w:t>
      </w:r>
      <w:r w:rsidRPr="004A274A">
        <w:rPr>
          <w:rFonts w:asciiTheme="minorHAnsi" w:hAnsiTheme="minorHAnsi" w:cs="Arial"/>
          <w:sz w:val="20"/>
          <w:szCs w:val="20"/>
          <w:lang w:val="en-AU"/>
        </w:rPr>
        <w:t xml:space="preserve"> provides an opportunity for </w:t>
      </w:r>
      <w:r>
        <w:rPr>
          <w:rFonts w:asciiTheme="minorHAnsi" w:hAnsiTheme="minorHAnsi" w:cs="Arial"/>
          <w:sz w:val="20"/>
          <w:szCs w:val="20"/>
          <w:lang w:val="en-AU"/>
        </w:rPr>
        <w:t>MEHR and DFAT</w:t>
      </w:r>
      <w:r w:rsidRPr="004A274A">
        <w:rPr>
          <w:rFonts w:asciiTheme="minorHAnsi" w:hAnsiTheme="minorHAnsi" w:cs="Arial"/>
          <w:sz w:val="20"/>
          <w:szCs w:val="20"/>
          <w:lang w:val="en-AU"/>
        </w:rPr>
        <w:t xml:space="preserve"> to work together to build on </w:t>
      </w:r>
      <w:r>
        <w:rPr>
          <w:rFonts w:asciiTheme="minorHAnsi" w:hAnsiTheme="minorHAnsi" w:cs="Arial"/>
          <w:sz w:val="20"/>
          <w:szCs w:val="20"/>
          <w:lang w:val="en-AU"/>
        </w:rPr>
        <w:t>existing processes</w:t>
      </w:r>
      <w:r w:rsidRPr="004A274A">
        <w:rPr>
          <w:rFonts w:asciiTheme="minorHAnsi" w:hAnsiTheme="minorHAnsi" w:cs="Arial"/>
          <w:sz w:val="20"/>
          <w:szCs w:val="20"/>
          <w:lang w:val="en-AU"/>
        </w:rPr>
        <w:t xml:space="preserve"> and strengthen joint planning and implementation for 20</w:t>
      </w:r>
      <w:r>
        <w:rPr>
          <w:rFonts w:asciiTheme="minorHAnsi" w:hAnsiTheme="minorHAnsi" w:cs="Arial"/>
          <w:sz w:val="20"/>
          <w:szCs w:val="20"/>
          <w:lang w:val="en-AU"/>
        </w:rPr>
        <w:t>20</w:t>
      </w:r>
      <w:r w:rsidR="001D3B2B">
        <w:rPr>
          <w:rFonts w:asciiTheme="minorHAnsi" w:hAnsiTheme="minorHAnsi" w:cs="Arial"/>
          <w:sz w:val="20"/>
          <w:szCs w:val="20"/>
          <w:lang w:val="en-AU"/>
        </w:rPr>
        <w:t xml:space="preserve"> and beyond.</w:t>
      </w:r>
    </w:p>
    <w:p w14:paraId="08973099" w14:textId="2B301209" w:rsidR="00D63906" w:rsidRDefault="00D63906" w:rsidP="000951C3">
      <w:pPr>
        <w:rPr>
          <w:rFonts w:asciiTheme="minorHAnsi" w:hAnsiTheme="minorHAnsi" w:cs="Arial"/>
          <w:sz w:val="20"/>
          <w:szCs w:val="20"/>
          <w:lang w:val="en-AU"/>
        </w:rPr>
      </w:pPr>
    </w:p>
    <w:p w14:paraId="59EE653B" w14:textId="77777777" w:rsidR="00D63906" w:rsidRPr="004A274A" w:rsidRDefault="00D63906" w:rsidP="00D63906">
      <w:pPr>
        <w:pStyle w:val="SDANumberedheading2"/>
        <w:rPr>
          <w:lang w:val="en-AU"/>
        </w:rPr>
      </w:pPr>
      <w:bookmarkStart w:id="43" w:name="_Toc530428233"/>
      <w:bookmarkStart w:id="44" w:name="_Toc8623414"/>
      <w:r w:rsidRPr="004A274A">
        <w:rPr>
          <w:lang w:val="en-AU"/>
        </w:rPr>
        <w:t>Recommendations</w:t>
      </w:r>
      <w:bookmarkEnd w:id="43"/>
      <w:bookmarkEnd w:id="44"/>
    </w:p>
    <w:p w14:paraId="6E309C70" w14:textId="700A7BA3" w:rsidR="00D63906" w:rsidRDefault="00D63906" w:rsidP="00D63906">
      <w:pPr>
        <w:rPr>
          <w:rFonts w:asciiTheme="minorHAnsi" w:hAnsiTheme="minorHAnsi" w:cstheme="minorHAnsi"/>
          <w:sz w:val="20"/>
          <w:szCs w:val="20"/>
          <w:lang w:val="en-AU" w:eastAsia="de-DE"/>
        </w:rPr>
      </w:pPr>
      <w:r w:rsidRPr="004A274A">
        <w:rPr>
          <w:rFonts w:asciiTheme="minorHAnsi" w:hAnsiTheme="minorHAnsi" w:cstheme="minorHAnsi"/>
          <w:sz w:val="20"/>
          <w:szCs w:val="20"/>
          <w:lang w:val="en-AU" w:eastAsia="de-DE"/>
        </w:rPr>
        <w:t>With the above findings and conclusion</w:t>
      </w:r>
      <w:r>
        <w:rPr>
          <w:rFonts w:asciiTheme="minorHAnsi" w:hAnsiTheme="minorHAnsi" w:cstheme="minorHAnsi"/>
          <w:sz w:val="20"/>
          <w:szCs w:val="20"/>
          <w:lang w:val="en-AU" w:eastAsia="de-DE"/>
        </w:rPr>
        <w:t>s</w:t>
      </w:r>
      <w:r w:rsidRPr="004A274A">
        <w:rPr>
          <w:rFonts w:asciiTheme="minorHAnsi" w:hAnsiTheme="minorHAnsi" w:cstheme="minorHAnsi"/>
          <w:sz w:val="20"/>
          <w:szCs w:val="20"/>
          <w:lang w:val="en-AU" w:eastAsia="de-DE"/>
        </w:rPr>
        <w:t xml:space="preserve"> in mind, the</w:t>
      </w:r>
      <w:r>
        <w:rPr>
          <w:rFonts w:asciiTheme="minorHAnsi" w:hAnsiTheme="minorHAnsi" w:cstheme="minorHAnsi"/>
          <w:sz w:val="20"/>
          <w:szCs w:val="20"/>
          <w:lang w:val="en-AU" w:eastAsia="de-DE"/>
        </w:rPr>
        <w:t xml:space="preserve"> </w:t>
      </w:r>
      <w:r w:rsidR="001D3B2B">
        <w:rPr>
          <w:rFonts w:asciiTheme="minorHAnsi" w:hAnsiTheme="minorHAnsi" w:cstheme="minorHAnsi"/>
          <w:sz w:val="20"/>
          <w:szCs w:val="20"/>
          <w:lang w:val="en-AU" w:eastAsia="de-DE"/>
        </w:rPr>
        <w:t xml:space="preserve">following recommendations have been compiled. </w:t>
      </w:r>
      <w:r>
        <w:rPr>
          <w:rFonts w:asciiTheme="minorHAnsi" w:hAnsiTheme="minorHAnsi" w:cstheme="minorHAnsi"/>
          <w:sz w:val="20"/>
          <w:szCs w:val="20"/>
          <w:lang w:val="en-AU" w:eastAsia="de-DE"/>
        </w:rPr>
        <w:t xml:space="preserve"> </w:t>
      </w:r>
      <w:r w:rsidR="001D3B2B">
        <w:rPr>
          <w:rFonts w:asciiTheme="minorHAnsi" w:hAnsiTheme="minorHAnsi" w:cstheme="minorHAnsi"/>
          <w:sz w:val="20"/>
          <w:szCs w:val="20"/>
          <w:lang w:val="en-AU" w:eastAsia="de-DE"/>
        </w:rPr>
        <w:t>Addressing these</w:t>
      </w:r>
      <w:r>
        <w:rPr>
          <w:rFonts w:asciiTheme="minorHAnsi" w:hAnsiTheme="minorHAnsi" w:cstheme="minorHAnsi"/>
          <w:sz w:val="20"/>
          <w:szCs w:val="20"/>
          <w:lang w:val="en-AU" w:eastAsia="de-DE"/>
        </w:rPr>
        <w:t xml:space="preserve"> issues </w:t>
      </w:r>
      <w:r w:rsidRPr="004A274A">
        <w:rPr>
          <w:rFonts w:asciiTheme="minorHAnsi" w:hAnsiTheme="minorHAnsi" w:cstheme="minorHAnsi"/>
          <w:sz w:val="20"/>
          <w:szCs w:val="20"/>
          <w:lang w:val="en-AU" w:eastAsia="de-DE"/>
        </w:rPr>
        <w:t>in the remaining p</w:t>
      </w:r>
      <w:r>
        <w:rPr>
          <w:rFonts w:asciiTheme="minorHAnsi" w:hAnsiTheme="minorHAnsi" w:cstheme="minorHAnsi"/>
          <w:sz w:val="20"/>
          <w:szCs w:val="20"/>
          <w:lang w:val="en-AU" w:eastAsia="de-DE"/>
        </w:rPr>
        <w:t xml:space="preserve">hase of the Kiribati Facility </w:t>
      </w:r>
      <w:r w:rsidRPr="004A274A">
        <w:rPr>
          <w:rFonts w:asciiTheme="minorHAnsi" w:hAnsiTheme="minorHAnsi" w:cstheme="minorHAnsi"/>
          <w:sz w:val="20"/>
          <w:szCs w:val="20"/>
          <w:lang w:val="en-AU" w:eastAsia="de-DE"/>
        </w:rPr>
        <w:t xml:space="preserve">and/or considered during the </w:t>
      </w:r>
      <w:r>
        <w:rPr>
          <w:rFonts w:asciiTheme="minorHAnsi" w:hAnsiTheme="minorHAnsi" w:cstheme="minorHAnsi"/>
          <w:sz w:val="20"/>
          <w:szCs w:val="20"/>
          <w:lang w:val="en-AU" w:eastAsia="de-DE"/>
        </w:rPr>
        <w:t>next phase</w:t>
      </w:r>
      <w:r w:rsidRPr="004A274A">
        <w:rPr>
          <w:rFonts w:asciiTheme="minorHAnsi" w:hAnsiTheme="minorHAnsi" w:cstheme="minorHAnsi"/>
          <w:sz w:val="20"/>
          <w:szCs w:val="20"/>
          <w:lang w:val="en-AU" w:eastAsia="de-DE"/>
        </w:rPr>
        <w:t xml:space="preserve"> to achieve the EOPOs and longer term, </w:t>
      </w:r>
      <w:r w:rsidR="001D3B2B">
        <w:rPr>
          <w:rFonts w:asciiTheme="minorHAnsi" w:hAnsiTheme="minorHAnsi" w:cstheme="minorHAnsi"/>
          <w:sz w:val="20"/>
          <w:szCs w:val="20"/>
          <w:lang w:val="en-AU" w:eastAsia="de-DE"/>
        </w:rPr>
        <w:t xml:space="preserve">will help the Facility achieve </w:t>
      </w:r>
      <w:r w:rsidRPr="004A274A">
        <w:rPr>
          <w:rFonts w:asciiTheme="minorHAnsi" w:hAnsiTheme="minorHAnsi" w:cstheme="minorHAnsi"/>
          <w:sz w:val="20"/>
          <w:szCs w:val="20"/>
          <w:lang w:val="en-AU" w:eastAsia="de-DE"/>
        </w:rPr>
        <w:t xml:space="preserve">transformational change in the </w:t>
      </w:r>
      <w:r>
        <w:rPr>
          <w:rFonts w:asciiTheme="minorHAnsi" w:hAnsiTheme="minorHAnsi" w:cstheme="minorHAnsi"/>
          <w:sz w:val="20"/>
          <w:szCs w:val="20"/>
          <w:lang w:val="en-AU" w:eastAsia="de-DE"/>
        </w:rPr>
        <w:t>skills and employment</w:t>
      </w:r>
      <w:r w:rsidRPr="004A274A">
        <w:rPr>
          <w:rFonts w:asciiTheme="minorHAnsi" w:hAnsiTheme="minorHAnsi" w:cstheme="minorHAnsi"/>
          <w:sz w:val="20"/>
          <w:szCs w:val="20"/>
          <w:lang w:val="en-AU" w:eastAsia="de-DE"/>
        </w:rPr>
        <w:t xml:space="preserve"> sector in Kiribati.</w:t>
      </w:r>
    </w:p>
    <w:p w14:paraId="37FF6CD0" w14:textId="5CFE33EA" w:rsidR="00897D63" w:rsidRDefault="00897D63" w:rsidP="00D63906">
      <w:pPr>
        <w:rPr>
          <w:rFonts w:asciiTheme="minorHAnsi" w:hAnsiTheme="minorHAnsi" w:cstheme="minorHAnsi"/>
          <w:sz w:val="20"/>
          <w:szCs w:val="20"/>
          <w:lang w:val="en-AU" w:eastAsia="de-DE"/>
        </w:rPr>
      </w:pPr>
    </w:p>
    <w:tbl>
      <w:tblPr>
        <w:tblStyle w:val="GridTable3-Accent1"/>
        <w:tblW w:w="4990" w:type="pct"/>
        <w:tblInd w:w="10" w:type="dxa"/>
        <w:tblLook w:val="0420" w:firstRow="1" w:lastRow="0" w:firstColumn="0" w:lastColumn="0" w:noHBand="0" w:noVBand="1"/>
      </w:tblPr>
      <w:tblGrid>
        <w:gridCol w:w="1610"/>
        <w:gridCol w:w="4071"/>
        <w:gridCol w:w="4036"/>
      </w:tblGrid>
      <w:tr w:rsidR="008E36CC" w:rsidRPr="008E36CC" w14:paraId="6B9F8410" w14:textId="77777777" w:rsidTr="008E36CC">
        <w:trPr>
          <w:cnfStyle w:val="100000000000" w:firstRow="1" w:lastRow="0" w:firstColumn="0" w:lastColumn="0" w:oddVBand="0" w:evenVBand="0" w:oddHBand="0" w:evenHBand="0" w:firstRowFirstColumn="0" w:firstRowLastColumn="0" w:lastRowFirstColumn="0" w:lastRowLastColumn="0"/>
          <w:trHeight w:val="426"/>
          <w:tblHeader/>
        </w:trPr>
        <w:tc>
          <w:tcPr>
            <w:tcW w:w="828" w:type="pct"/>
            <w:hideMark/>
          </w:tcPr>
          <w:p w14:paraId="3032B8C5" w14:textId="77777777" w:rsidR="00897D63" w:rsidRPr="00F57082" w:rsidRDefault="00897D63" w:rsidP="00897D63">
            <w:pPr>
              <w:rPr>
                <w:rFonts w:asciiTheme="minorHAnsi" w:hAnsiTheme="minorHAnsi" w:cstheme="minorHAnsi"/>
                <w:sz w:val="18"/>
                <w:szCs w:val="18"/>
              </w:rPr>
            </w:pPr>
            <w:r w:rsidRPr="00F57082">
              <w:rPr>
                <w:rFonts w:asciiTheme="minorHAnsi" w:hAnsiTheme="minorHAnsi" w:cstheme="minorHAnsi"/>
                <w:sz w:val="18"/>
                <w:szCs w:val="18"/>
                <w:lang w:val="en-US"/>
              </w:rPr>
              <w:t>Theme</w:t>
            </w:r>
          </w:p>
        </w:tc>
        <w:tc>
          <w:tcPr>
            <w:tcW w:w="2095" w:type="pct"/>
            <w:hideMark/>
          </w:tcPr>
          <w:p w14:paraId="24E73B27" w14:textId="03BF5C0A" w:rsidR="00897D63" w:rsidRPr="00897D63" w:rsidRDefault="00F57082" w:rsidP="00897D63">
            <w:pPr>
              <w:rPr>
                <w:rFonts w:asciiTheme="minorHAnsi" w:hAnsiTheme="minorHAnsi" w:cstheme="minorHAnsi"/>
                <w:sz w:val="18"/>
                <w:szCs w:val="18"/>
              </w:rPr>
            </w:pPr>
            <w:r>
              <w:rPr>
                <w:rFonts w:asciiTheme="minorHAnsi" w:hAnsiTheme="minorHAnsi" w:cstheme="minorHAnsi"/>
                <w:sz w:val="18"/>
                <w:szCs w:val="18"/>
                <w:lang w:val="en-US"/>
              </w:rPr>
              <w:t>Observation</w:t>
            </w:r>
          </w:p>
        </w:tc>
        <w:tc>
          <w:tcPr>
            <w:tcW w:w="2077" w:type="pct"/>
            <w:hideMark/>
          </w:tcPr>
          <w:p w14:paraId="55D51BFC" w14:textId="77777777" w:rsidR="00897D63" w:rsidRPr="00897D63" w:rsidRDefault="00897D63" w:rsidP="00897D63">
            <w:pPr>
              <w:rPr>
                <w:rFonts w:asciiTheme="minorHAnsi" w:hAnsiTheme="minorHAnsi" w:cstheme="minorHAnsi"/>
                <w:sz w:val="18"/>
                <w:szCs w:val="18"/>
              </w:rPr>
            </w:pPr>
            <w:r w:rsidRPr="00897D63">
              <w:rPr>
                <w:rFonts w:asciiTheme="minorHAnsi" w:hAnsiTheme="minorHAnsi" w:cstheme="minorHAnsi"/>
                <w:sz w:val="18"/>
                <w:szCs w:val="18"/>
                <w:lang w:val="en-US"/>
              </w:rPr>
              <w:t>Recommendation</w:t>
            </w:r>
          </w:p>
        </w:tc>
      </w:tr>
      <w:tr w:rsidR="008E36CC" w:rsidRPr="008E36CC" w14:paraId="39F6F9B7" w14:textId="77777777" w:rsidTr="00F57082">
        <w:trPr>
          <w:cnfStyle w:val="000000100000" w:firstRow="0" w:lastRow="0" w:firstColumn="0" w:lastColumn="0" w:oddVBand="0" w:evenVBand="0" w:oddHBand="1" w:evenHBand="0" w:firstRowFirstColumn="0" w:firstRowLastColumn="0" w:lastRowFirstColumn="0" w:lastRowLastColumn="0"/>
          <w:trHeight w:val="2690"/>
        </w:trPr>
        <w:tc>
          <w:tcPr>
            <w:tcW w:w="828" w:type="pct"/>
            <w:hideMark/>
          </w:tcPr>
          <w:p w14:paraId="619A3AC5" w14:textId="77777777" w:rsidR="00897D63" w:rsidRPr="00BD51B9" w:rsidRDefault="00897D63" w:rsidP="00BD51B9">
            <w:pPr>
              <w:pStyle w:val="ListParagraph"/>
              <w:numPr>
                <w:ilvl w:val="0"/>
                <w:numId w:val="30"/>
              </w:numPr>
              <w:rPr>
                <w:rFonts w:cstheme="minorHAnsi"/>
                <w:b/>
                <w:sz w:val="18"/>
                <w:szCs w:val="18"/>
              </w:rPr>
            </w:pPr>
            <w:r w:rsidRPr="00BD51B9">
              <w:rPr>
                <w:rFonts w:cstheme="minorHAnsi"/>
                <w:b/>
                <w:sz w:val="18"/>
                <w:szCs w:val="18"/>
              </w:rPr>
              <w:t>Sector</w:t>
            </w:r>
          </w:p>
        </w:tc>
        <w:tc>
          <w:tcPr>
            <w:tcW w:w="2095" w:type="pct"/>
            <w:hideMark/>
          </w:tcPr>
          <w:p w14:paraId="74CD7333" w14:textId="77777777" w:rsidR="00897D63" w:rsidRPr="00897D63" w:rsidRDefault="00897D63" w:rsidP="00AA639A">
            <w:pPr>
              <w:numPr>
                <w:ilvl w:val="0"/>
                <w:numId w:val="20"/>
              </w:numPr>
              <w:rPr>
                <w:rFonts w:asciiTheme="minorHAnsi" w:hAnsiTheme="minorHAnsi" w:cstheme="minorHAnsi"/>
                <w:sz w:val="18"/>
                <w:szCs w:val="18"/>
              </w:rPr>
            </w:pPr>
            <w:r w:rsidRPr="00897D63">
              <w:rPr>
                <w:rFonts w:asciiTheme="minorHAnsi" w:hAnsiTheme="minorHAnsi" w:cstheme="minorHAnsi"/>
                <w:sz w:val="18"/>
                <w:szCs w:val="18"/>
                <w:lang w:val="en-US"/>
              </w:rPr>
              <w:t>EOPO 4 subsumed into other EOPOs</w:t>
            </w:r>
          </w:p>
          <w:p w14:paraId="08C9715A" w14:textId="749866CA" w:rsidR="00897D63" w:rsidRPr="00897D63" w:rsidRDefault="00897D63" w:rsidP="00AA639A">
            <w:pPr>
              <w:numPr>
                <w:ilvl w:val="0"/>
                <w:numId w:val="20"/>
              </w:numPr>
              <w:rPr>
                <w:rFonts w:asciiTheme="minorHAnsi" w:hAnsiTheme="minorHAnsi" w:cstheme="minorHAnsi"/>
                <w:sz w:val="18"/>
                <w:szCs w:val="18"/>
              </w:rPr>
            </w:pPr>
            <w:r w:rsidRPr="00897D63">
              <w:rPr>
                <w:rFonts w:asciiTheme="minorHAnsi" w:hAnsiTheme="minorHAnsi" w:cstheme="minorHAnsi"/>
                <w:sz w:val="18"/>
                <w:szCs w:val="18"/>
                <w:lang w:val="en-US"/>
              </w:rPr>
              <w:t>Original design makes the case for why EOPO</w:t>
            </w:r>
            <w:r w:rsidR="00341133">
              <w:rPr>
                <w:rFonts w:asciiTheme="minorHAnsi" w:hAnsiTheme="minorHAnsi" w:cstheme="minorHAnsi"/>
                <w:sz w:val="18"/>
                <w:szCs w:val="18"/>
                <w:lang w:val="en-US"/>
              </w:rPr>
              <w:t xml:space="preserve"> </w:t>
            </w:r>
            <w:r w:rsidRPr="00897D63">
              <w:rPr>
                <w:rFonts w:asciiTheme="minorHAnsi" w:hAnsiTheme="minorHAnsi" w:cstheme="minorHAnsi"/>
                <w:sz w:val="18"/>
                <w:szCs w:val="18"/>
                <w:lang w:val="en-US"/>
              </w:rPr>
              <w:t>4</w:t>
            </w:r>
            <w:r w:rsidR="000D1BDC">
              <w:rPr>
                <w:rFonts w:asciiTheme="minorHAnsi" w:hAnsiTheme="minorHAnsi" w:cstheme="minorHAnsi"/>
                <w:sz w:val="18"/>
                <w:szCs w:val="18"/>
                <w:lang w:val="en-US"/>
              </w:rPr>
              <w:t xml:space="preserve"> </w:t>
            </w:r>
            <w:r w:rsidRPr="00897D63">
              <w:rPr>
                <w:rFonts w:asciiTheme="minorHAnsi" w:hAnsiTheme="minorHAnsi" w:cstheme="minorHAnsi"/>
                <w:sz w:val="18"/>
                <w:szCs w:val="18"/>
                <w:lang w:val="en-US"/>
              </w:rPr>
              <w:t>is important</w:t>
            </w:r>
          </w:p>
          <w:p w14:paraId="330E4D0F" w14:textId="77777777" w:rsidR="00897D63" w:rsidRPr="00897D63" w:rsidRDefault="00897D63" w:rsidP="00AA639A">
            <w:pPr>
              <w:numPr>
                <w:ilvl w:val="1"/>
                <w:numId w:val="20"/>
              </w:numPr>
              <w:rPr>
                <w:rFonts w:asciiTheme="minorHAnsi" w:hAnsiTheme="minorHAnsi" w:cstheme="minorHAnsi"/>
                <w:sz w:val="18"/>
                <w:szCs w:val="18"/>
              </w:rPr>
            </w:pPr>
            <w:r w:rsidRPr="00897D63">
              <w:rPr>
                <w:rFonts w:asciiTheme="minorHAnsi" w:hAnsiTheme="minorHAnsi" w:cstheme="minorHAnsi"/>
                <w:sz w:val="18"/>
                <w:szCs w:val="18"/>
                <w:lang w:val="en-US"/>
              </w:rPr>
              <w:t>Ensuring effective plan for the sector</w:t>
            </w:r>
          </w:p>
          <w:p w14:paraId="46AEF73D" w14:textId="77777777" w:rsidR="00897D63" w:rsidRPr="00897D63" w:rsidRDefault="00897D63" w:rsidP="00AA639A">
            <w:pPr>
              <w:numPr>
                <w:ilvl w:val="1"/>
                <w:numId w:val="20"/>
              </w:numPr>
              <w:rPr>
                <w:rFonts w:asciiTheme="minorHAnsi" w:hAnsiTheme="minorHAnsi" w:cstheme="minorHAnsi"/>
                <w:sz w:val="18"/>
                <w:szCs w:val="18"/>
              </w:rPr>
            </w:pPr>
            <w:r w:rsidRPr="00897D63">
              <w:rPr>
                <w:rFonts w:asciiTheme="minorHAnsi" w:hAnsiTheme="minorHAnsi" w:cstheme="minorHAnsi"/>
                <w:sz w:val="18"/>
                <w:szCs w:val="18"/>
                <w:lang w:val="en-US"/>
              </w:rPr>
              <w:t xml:space="preserve">Helping to strengthen capacity in MEHR </w:t>
            </w:r>
            <w:r w:rsidRPr="00897D63">
              <w:rPr>
                <w:rFonts w:asciiTheme="minorHAnsi" w:hAnsiTheme="minorHAnsi" w:cstheme="minorHAnsi"/>
                <w:sz w:val="18"/>
                <w:szCs w:val="18"/>
              </w:rPr>
              <w:t xml:space="preserve">to provide leadership for the development of the TVET sector and inter regional partnerships </w:t>
            </w:r>
          </w:p>
          <w:p w14:paraId="0B2DDCEB" w14:textId="77777777" w:rsidR="000D1BDC" w:rsidRDefault="00897D63" w:rsidP="00AA639A">
            <w:pPr>
              <w:numPr>
                <w:ilvl w:val="1"/>
                <w:numId w:val="20"/>
              </w:numPr>
              <w:rPr>
                <w:rFonts w:asciiTheme="minorHAnsi" w:hAnsiTheme="minorHAnsi" w:cstheme="minorHAnsi"/>
                <w:sz w:val="18"/>
                <w:szCs w:val="18"/>
              </w:rPr>
            </w:pPr>
            <w:r w:rsidRPr="00897D63">
              <w:rPr>
                <w:rFonts w:asciiTheme="minorHAnsi" w:hAnsiTheme="minorHAnsi" w:cstheme="minorHAnsi"/>
                <w:sz w:val="18"/>
                <w:szCs w:val="18"/>
                <w:lang w:val="en-US"/>
              </w:rPr>
              <w:t xml:space="preserve">Support MEHR in </w:t>
            </w:r>
            <w:r w:rsidRPr="00897D63">
              <w:rPr>
                <w:rFonts w:asciiTheme="minorHAnsi" w:hAnsiTheme="minorHAnsi" w:cstheme="minorHAnsi"/>
                <w:sz w:val="18"/>
                <w:szCs w:val="18"/>
              </w:rPr>
              <w:t>managing labour mobility initiatives from recruitment to reintegration</w:t>
            </w:r>
          </w:p>
          <w:p w14:paraId="414FC13E" w14:textId="770B8E6C" w:rsidR="00897D63" w:rsidRPr="00897D63" w:rsidRDefault="000D1BDC" w:rsidP="000D1BDC">
            <w:pPr>
              <w:numPr>
                <w:ilvl w:val="0"/>
                <w:numId w:val="20"/>
              </w:numPr>
              <w:rPr>
                <w:rFonts w:asciiTheme="minorHAnsi" w:hAnsiTheme="minorHAnsi" w:cstheme="minorHAnsi"/>
                <w:sz w:val="18"/>
                <w:szCs w:val="18"/>
              </w:rPr>
            </w:pPr>
            <w:r>
              <w:rPr>
                <w:rFonts w:asciiTheme="minorHAnsi" w:hAnsiTheme="minorHAnsi" w:cstheme="minorHAnsi"/>
                <w:sz w:val="18"/>
                <w:szCs w:val="18"/>
              </w:rPr>
              <w:t xml:space="preserve">Flexible Support Facility is under utilised, and not being used to engage </w:t>
            </w:r>
            <w:r w:rsidR="00FE0785">
              <w:rPr>
                <w:rFonts w:asciiTheme="minorHAnsi" w:hAnsiTheme="minorHAnsi" w:cstheme="minorHAnsi"/>
                <w:sz w:val="18"/>
                <w:szCs w:val="18"/>
              </w:rPr>
              <w:t>strategically</w:t>
            </w:r>
            <w:r>
              <w:rPr>
                <w:rFonts w:asciiTheme="minorHAnsi" w:hAnsiTheme="minorHAnsi" w:cstheme="minorHAnsi"/>
                <w:sz w:val="18"/>
                <w:szCs w:val="18"/>
              </w:rPr>
              <w:t xml:space="preserve"> with the MEHR</w:t>
            </w:r>
            <w:r w:rsidR="00897D63" w:rsidRPr="00897D63">
              <w:rPr>
                <w:rFonts w:asciiTheme="minorHAnsi" w:hAnsiTheme="minorHAnsi" w:cstheme="minorHAnsi"/>
                <w:sz w:val="18"/>
                <w:szCs w:val="18"/>
              </w:rPr>
              <w:t xml:space="preserve"> </w:t>
            </w:r>
          </w:p>
        </w:tc>
        <w:tc>
          <w:tcPr>
            <w:tcW w:w="2077" w:type="pct"/>
            <w:hideMark/>
          </w:tcPr>
          <w:p w14:paraId="2BB53873" w14:textId="77777777" w:rsidR="00897D63" w:rsidRPr="00897D63" w:rsidRDefault="00897D63" w:rsidP="00897D63">
            <w:pPr>
              <w:rPr>
                <w:rFonts w:asciiTheme="minorHAnsi" w:hAnsiTheme="minorHAnsi" w:cstheme="minorHAnsi"/>
                <w:sz w:val="18"/>
                <w:szCs w:val="18"/>
              </w:rPr>
            </w:pPr>
            <w:r w:rsidRPr="00897D63">
              <w:rPr>
                <w:rFonts w:asciiTheme="minorHAnsi" w:hAnsiTheme="minorHAnsi" w:cstheme="minorHAnsi"/>
                <w:sz w:val="18"/>
                <w:szCs w:val="18"/>
              </w:rPr>
              <w:t>Support efforts to renew MEHR Strategic Plan</w:t>
            </w:r>
          </w:p>
          <w:p w14:paraId="324808FB" w14:textId="5A7E6FBF" w:rsidR="000D1BDC" w:rsidRDefault="000D1BDC" w:rsidP="00AA639A">
            <w:pPr>
              <w:numPr>
                <w:ilvl w:val="0"/>
                <w:numId w:val="21"/>
              </w:numPr>
              <w:rPr>
                <w:rFonts w:asciiTheme="minorHAnsi" w:hAnsiTheme="minorHAnsi" w:cstheme="minorHAnsi"/>
                <w:sz w:val="18"/>
                <w:szCs w:val="18"/>
              </w:rPr>
            </w:pPr>
            <w:r w:rsidRPr="00897D63">
              <w:rPr>
                <w:rFonts w:asciiTheme="minorHAnsi" w:hAnsiTheme="minorHAnsi" w:cstheme="minorHAnsi"/>
                <w:sz w:val="18"/>
                <w:szCs w:val="18"/>
              </w:rPr>
              <w:t>Resurrect FSF to provide expertise and resources for coordinating, identifying and implementing initiatives across a number of program areas, identified on an annual basis</w:t>
            </w:r>
          </w:p>
          <w:p w14:paraId="62434DD8" w14:textId="076113FA" w:rsidR="00897D63" w:rsidRPr="00897D63" w:rsidRDefault="00897D63" w:rsidP="00AA639A">
            <w:pPr>
              <w:numPr>
                <w:ilvl w:val="0"/>
                <w:numId w:val="21"/>
              </w:numPr>
              <w:rPr>
                <w:rFonts w:asciiTheme="minorHAnsi" w:hAnsiTheme="minorHAnsi" w:cstheme="minorHAnsi"/>
                <w:sz w:val="18"/>
                <w:szCs w:val="18"/>
              </w:rPr>
            </w:pPr>
            <w:r w:rsidRPr="00897D63">
              <w:rPr>
                <w:rFonts w:asciiTheme="minorHAnsi" w:hAnsiTheme="minorHAnsi" w:cstheme="minorHAnsi"/>
                <w:sz w:val="18"/>
                <w:szCs w:val="18"/>
              </w:rPr>
              <w:t xml:space="preserve">Use FSH to support process (e.g. with a policy </w:t>
            </w:r>
            <w:r w:rsidR="00023E50">
              <w:rPr>
                <w:rFonts w:asciiTheme="minorHAnsi" w:hAnsiTheme="minorHAnsi" w:cstheme="minorHAnsi"/>
                <w:sz w:val="18"/>
                <w:szCs w:val="18"/>
              </w:rPr>
              <w:t>adviser</w:t>
            </w:r>
            <w:r w:rsidRPr="00897D63">
              <w:rPr>
                <w:rFonts w:asciiTheme="minorHAnsi" w:hAnsiTheme="minorHAnsi" w:cstheme="minorHAnsi"/>
                <w:sz w:val="18"/>
                <w:szCs w:val="18"/>
              </w:rPr>
              <w:t>)</w:t>
            </w:r>
          </w:p>
          <w:p w14:paraId="4B0E4EE7" w14:textId="77777777" w:rsidR="00897D63" w:rsidRPr="00897D63" w:rsidRDefault="00897D63" w:rsidP="00AA639A">
            <w:pPr>
              <w:numPr>
                <w:ilvl w:val="0"/>
                <w:numId w:val="21"/>
              </w:numPr>
              <w:rPr>
                <w:rFonts w:asciiTheme="minorHAnsi" w:hAnsiTheme="minorHAnsi" w:cstheme="minorHAnsi"/>
                <w:sz w:val="18"/>
                <w:szCs w:val="18"/>
              </w:rPr>
            </w:pPr>
            <w:r w:rsidRPr="00897D63">
              <w:rPr>
                <w:rFonts w:asciiTheme="minorHAnsi" w:hAnsiTheme="minorHAnsi" w:cstheme="minorHAnsi"/>
                <w:sz w:val="18"/>
                <w:szCs w:val="18"/>
              </w:rPr>
              <w:t>Explore Policy and planning systems to support skills sector development related to KIT</w:t>
            </w:r>
          </w:p>
          <w:p w14:paraId="7EF5E249" w14:textId="77777777" w:rsidR="00897D63" w:rsidRPr="00897D63" w:rsidRDefault="00897D63" w:rsidP="00AA639A">
            <w:pPr>
              <w:numPr>
                <w:ilvl w:val="0"/>
                <w:numId w:val="21"/>
              </w:numPr>
              <w:rPr>
                <w:rFonts w:asciiTheme="minorHAnsi" w:hAnsiTheme="minorHAnsi" w:cstheme="minorHAnsi"/>
                <w:sz w:val="18"/>
                <w:szCs w:val="18"/>
              </w:rPr>
            </w:pPr>
            <w:r w:rsidRPr="00897D63">
              <w:rPr>
                <w:rFonts w:asciiTheme="minorHAnsi" w:hAnsiTheme="minorHAnsi" w:cstheme="minorHAnsi"/>
                <w:sz w:val="18"/>
                <w:szCs w:val="18"/>
              </w:rPr>
              <w:t>Investigate mechanisms to improve the policy, planning, coordination and oversight of the skills sector</w:t>
            </w:r>
          </w:p>
        </w:tc>
      </w:tr>
      <w:tr w:rsidR="00BD51B9" w:rsidRPr="008E36CC" w14:paraId="7EB433E2" w14:textId="77777777" w:rsidTr="00F57082">
        <w:trPr>
          <w:trHeight w:val="1395"/>
        </w:trPr>
        <w:tc>
          <w:tcPr>
            <w:tcW w:w="828" w:type="pct"/>
          </w:tcPr>
          <w:p w14:paraId="22AE7C29" w14:textId="7A5B158E" w:rsidR="00BD51B9" w:rsidRDefault="00BD51B9" w:rsidP="00BD51B9">
            <w:pPr>
              <w:pStyle w:val="ListParagraph"/>
              <w:numPr>
                <w:ilvl w:val="0"/>
                <w:numId w:val="30"/>
              </w:numPr>
              <w:rPr>
                <w:rFonts w:cstheme="minorHAnsi"/>
                <w:b/>
                <w:sz w:val="18"/>
                <w:szCs w:val="18"/>
              </w:rPr>
            </w:pPr>
            <w:r>
              <w:rPr>
                <w:rFonts w:cstheme="minorHAnsi"/>
                <w:b/>
                <w:sz w:val="18"/>
                <w:szCs w:val="18"/>
              </w:rPr>
              <w:t>Policy Dialogue</w:t>
            </w:r>
          </w:p>
        </w:tc>
        <w:tc>
          <w:tcPr>
            <w:tcW w:w="2095" w:type="pct"/>
          </w:tcPr>
          <w:p w14:paraId="364D3907" w14:textId="77777777" w:rsidR="00BD51B9" w:rsidRDefault="00BD51B9" w:rsidP="00AA639A">
            <w:pPr>
              <w:numPr>
                <w:ilvl w:val="0"/>
                <w:numId w:val="20"/>
              </w:numPr>
              <w:tabs>
                <w:tab w:val="num" w:pos="720"/>
              </w:tabs>
              <w:rPr>
                <w:rFonts w:asciiTheme="minorHAnsi" w:hAnsiTheme="minorHAnsi" w:cstheme="minorHAnsi"/>
                <w:sz w:val="18"/>
                <w:szCs w:val="18"/>
                <w:lang w:val="en-US"/>
              </w:rPr>
            </w:pPr>
            <w:r>
              <w:rPr>
                <w:rFonts w:asciiTheme="minorHAnsi" w:hAnsiTheme="minorHAnsi" w:cstheme="minorHAnsi"/>
                <w:sz w:val="18"/>
                <w:szCs w:val="18"/>
                <w:lang w:val="en-US"/>
              </w:rPr>
              <w:t>Few opportunities for policy dialogue between the Government of Kiribati, the MEHR and DFAT</w:t>
            </w:r>
          </w:p>
          <w:p w14:paraId="1ADE044B" w14:textId="5A7A7937" w:rsidR="00BD51B9" w:rsidRDefault="00BD51B9" w:rsidP="00AA639A">
            <w:pPr>
              <w:numPr>
                <w:ilvl w:val="0"/>
                <w:numId w:val="20"/>
              </w:numPr>
              <w:tabs>
                <w:tab w:val="num" w:pos="720"/>
              </w:tabs>
              <w:rPr>
                <w:rFonts w:asciiTheme="minorHAnsi" w:hAnsiTheme="minorHAnsi" w:cstheme="minorHAnsi"/>
                <w:sz w:val="18"/>
                <w:szCs w:val="18"/>
                <w:lang w:val="en-US"/>
              </w:rPr>
            </w:pPr>
            <w:r>
              <w:rPr>
                <w:rFonts w:asciiTheme="minorHAnsi" w:hAnsiTheme="minorHAnsi" w:cstheme="minorHAnsi"/>
                <w:sz w:val="18"/>
                <w:szCs w:val="18"/>
                <w:lang w:val="en-US"/>
              </w:rPr>
              <w:t>The need for strategy renewal (key strategies end this year) and the imminent arrival of the new labour mobility advisor provide ideal opportunities to start a more regular dialogue process</w:t>
            </w:r>
          </w:p>
        </w:tc>
        <w:tc>
          <w:tcPr>
            <w:tcW w:w="2077" w:type="pct"/>
          </w:tcPr>
          <w:p w14:paraId="78A135B9" w14:textId="37E662E9" w:rsidR="00BD51B9" w:rsidRPr="00BD51B9" w:rsidRDefault="00BD51B9" w:rsidP="00BD51B9">
            <w:pPr>
              <w:numPr>
                <w:ilvl w:val="0"/>
                <w:numId w:val="22"/>
              </w:numPr>
              <w:tabs>
                <w:tab w:val="num" w:pos="720"/>
              </w:tabs>
              <w:rPr>
                <w:rFonts w:asciiTheme="minorHAnsi" w:hAnsiTheme="minorHAnsi" w:cstheme="minorHAnsi"/>
                <w:sz w:val="18"/>
                <w:szCs w:val="18"/>
              </w:rPr>
            </w:pPr>
            <w:r w:rsidRPr="00BD51B9">
              <w:rPr>
                <w:rFonts w:asciiTheme="minorHAnsi" w:hAnsiTheme="minorHAnsi" w:cstheme="minorHAnsi"/>
                <w:sz w:val="18"/>
                <w:szCs w:val="18"/>
              </w:rPr>
              <w:t xml:space="preserve">Establish a policy dialogue process that will be of mutual benefit to the </w:t>
            </w:r>
            <w:r>
              <w:rPr>
                <w:rFonts w:asciiTheme="minorHAnsi" w:hAnsiTheme="minorHAnsi" w:cstheme="minorHAnsi"/>
                <w:sz w:val="18"/>
                <w:szCs w:val="18"/>
              </w:rPr>
              <w:t xml:space="preserve">MEHR </w:t>
            </w:r>
            <w:r w:rsidRPr="00BD51B9">
              <w:rPr>
                <w:rFonts w:asciiTheme="minorHAnsi" w:hAnsiTheme="minorHAnsi" w:cstheme="minorHAnsi"/>
                <w:sz w:val="18"/>
                <w:szCs w:val="18"/>
              </w:rPr>
              <w:t xml:space="preserve">and DFAT, ensuring issues, priority needs and policy agendas are discussed. </w:t>
            </w:r>
          </w:p>
          <w:p w14:paraId="52576B17" w14:textId="77777777" w:rsidR="00BD51B9" w:rsidRDefault="00BD51B9" w:rsidP="00BD51B9">
            <w:pPr>
              <w:tabs>
                <w:tab w:val="num" w:pos="720"/>
              </w:tabs>
              <w:ind w:left="360"/>
              <w:rPr>
                <w:rFonts w:asciiTheme="minorHAnsi" w:hAnsiTheme="minorHAnsi" w:cstheme="minorHAnsi"/>
                <w:sz w:val="18"/>
                <w:szCs w:val="18"/>
              </w:rPr>
            </w:pPr>
          </w:p>
        </w:tc>
      </w:tr>
      <w:tr w:rsidR="008E36CC" w:rsidRPr="008E36CC" w14:paraId="78A06892" w14:textId="77777777" w:rsidTr="00F57082">
        <w:trPr>
          <w:cnfStyle w:val="000000100000" w:firstRow="0" w:lastRow="0" w:firstColumn="0" w:lastColumn="0" w:oddVBand="0" w:evenVBand="0" w:oddHBand="1" w:evenHBand="0" w:firstRowFirstColumn="0" w:firstRowLastColumn="0" w:lastRowFirstColumn="0" w:lastRowLastColumn="0"/>
          <w:trHeight w:val="1395"/>
        </w:trPr>
        <w:tc>
          <w:tcPr>
            <w:tcW w:w="828" w:type="pct"/>
          </w:tcPr>
          <w:p w14:paraId="1783F969" w14:textId="1A5CEF92" w:rsidR="008E36CC" w:rsidRPr="00F57082" w:rsidRDefault="000D1BDC" w:rsidP="00BD51B9">
            <w:pPr>
              <w:pStyle w:val="ListParagraph"/>
              <w:numPr>
                <w:ilvl w:val="0"/>
                <w:numId w:val="30"/>
              </w:numPr>
              <w:rPr>
                <w:rFonts w:cstheme="minorHAnsi"/>
                <w:b/>
                <w:sz w:val="18"/>
                <w:szCs w:val="18"/>
              </w:rPr>
            </w:pPr>
            <w:r>
              <w:rPr>
                <w:rFonts w:cstheme="minorHAnsi"/>
                <w:b/>
                <w:sz w:val="18"/>
                <w:szCs w:val="18"/>
              </w:rPr>
              <w:t>G</w:t>
            </w:r>
            <w:r w:rsidRPr="00BD51B9">
              <w:rPr>
                <w:rFonts w:cstheme="minorHAnsi"/>
                <w:b/>
                <w:sz w:val="18"/>
                <w:szCs w:val="18"/>
              </w:rPr>
              <w:t>overnance</w:t>
            </w:r>
          </w:p>
        </w:tc>
        <w:tc>
          <w:tcPr>
            <w:tcW w:w="2095" w:type="pct"/>
          </w:tcPr>
          <w:p w14:paraId="2CED690C" w14:textId="0BE3D51B" w:rsidR="00D712B0" w:rsidRDefault="00D712B0" w:rsidP="00AA639A">
            <w:pPr>
              <w:numPr>
                <w:ilvl w:val="0"/>
                <w:numId w:val="20"/>
              </w:numPr>
              <w:tabs>
                <w:tab w:val="num" w:pos="720"/>
              </w:tabs>
              <w:rPr>
                <w:rFonts w:asciiTheme="minorHAnsi" w:hAnsiTheme="minorHAnsi" w:cstheme="minorHAnsi"/>
                <w:sz w:val="18"/>
                <w:szCs w:val="18"/>
                <w:lang w:val="en-US"/>
              </w:rPr>
            </w:pPr>
            <w:r>
              <w:rPr>
                <w:rFonts w:asciiTheme="minorHAnsi" w:hAnsiTheme="minorHAnsi" w:cstheme="minorHAnsi"/>
                <w:sz w:val="18"/>
                <w:szCs w:val="18"/>
                <w:lang w:val="en-US"/>
              </w:rPr>
              <w:t>Context has changed since 2015 when the Kiribati Facility was designed, and warrants a reconfirmation of SPAG and KAC mandates</w:t>
            </w:r>
          </w:p>
          <w:p w14:paraId="3E731D96" w14:textId="2FE3981A" w:rsidR="00D712B0" w:rsidRDefault="00D712B0" w:rsidP="00D712B0">
            <w:pPr>
              <w:numPr>
                <w:ilvl w:val="1"/>
                <w:numId w:val="20"/>
              </w:numPr>
              <w:rPr>
                <w:rFonts w:asciiTheme="minorHAnsi" w:hAnsiTheme="minorHAnsi" w:cstheme="minorHAnsi"/>
                <w:sz w:val="18"/>
                <w:szCs w:val="18"/>
                <w:lang w:val="en-US"/>
              </w:rPr>
            </w:pPr>
            <w:r>
              <w:rPr>
                <w:rFonts w:asciiTheme="minorHAnsi" w:hAnsiTheme="minorHAnsi" w:cstheme="minorHAnsi"/>
                <w:sz w:val="18"/>
                <w:szCs w:val="18"/>
                <w:lang w:val="en-US"/>
              </w:rPr>
              <w:t>In 2018 Australia launched its Pacific mobility policy</w:t>
            </w:r>
          </w:p>
          <w:p w14:paraId="494EEA2C" w14:textId="6FDABEF7" w:rsidR="00D712B0" w:rsidRDefault="00D712B0" w:rsidP="002B4D47">
            <w:pPr>
              <w:numPr>
                <w:ilvl w:val="1"/>
                <w:numId w:val="20"/>
              </w:numPr>
              <w:rPr>
                <w:rFonts w:asciiTheme="minorHAnsi" w:hAnsiTheme="minorHAnsi" w:cstheme="minorHAnsi"/>
                <w:sz w:val="18"/>
                <w:szCs w:val="18"/>
                <w:lang w:val="en-US"/>
              </w:rPr>
            </w:pPr>
            <w:r>
              <w:rPr>
                <w:rFonts w:asciiTheme="minorHAnsi" w:hAnsiTheme="minorHAnsi" w:cstheme="minorHAnsi"/>
                <w:sz w:val="18"/>
                <w:szCs w:val="18"/>
                <w:lang w:val="en-US"/>
              </w:rPr>
              <w:t>March 2018 New Zealand offered to fund the expansion of KIT (stages 1 &amp; 2 of the Master Plan)</w:t>
            </w:r>
          </w:p>
          <w:p w14:paraId="573C1E8A" w14:textId="2E8484F5" w:rsidR="008E36CC" w:rsidRDefault="000D1BDC" w:rsidP="00AA639A">
            <w:pPr>
              <w:numPr>
                <w:ilvl w:val="0"/>
                <w:numId w:val="20"/>
              </w:numPr>
              <w:tabs>
                <w:tab w:val="num" w:pos="720"/>
              </w:tabs>
              <w:rPr>
                <w:rFonts w:asciiTheme="minorHAnsi" w:hAnsiTheme="minorHAnsi" w:cstheme="minorHAnsi"/>
                <w:sz w:val="18"/>
                <w:szCs w:val="18"/>
                <w:lang w:val="en-US"/>
              </w:rPr>
            </w:pPr>
            <w:r>
              <w:rPr>
                <w:rFonts w:asciiTheme="minorHAnsi" w:hAnsiTheme="minorHAnsi" w:cstheme="minorHAnsi"/>
                <w:sz w:val="18"/>
                <w:szCs w:val="18"/>
                <w:lang w:val="en-US"/>
              </w:rPr>
              <w:t>Whilst SPAG and the KIT Advisory Council operate effectively, both are too operational and focused almost solely on KIT</w:t>
            </w:r>
          </w:p>
          <w:p w14:paraId="3D03E359" w14:textId="18FCE89A" w:rsidR="00DA3546" w:rsidRPr="008E36CC" w:rsidRDefault="00DA3546" w:rsidP="00AA639A">
            <w:pPr>
              <w:numPr>
                <w:ilvl w:val="0"/>
                <w:numId w:val="20"/>
              </w:numPr>
              <w:tabs>
                <w:tab w:val="num" w:pos="720"/>
              </w:tabs>
              <w:rPr>
                <w:rFonts w:asciiTheme="minorHAnsi" w:hAnsiTheme="minorHAnsi" w:cstheme="minorHAnsi"/>
                <w:sz w:val="18"/>
                <w:szCs w:val="18"/>
                <w:lang w:val="en-US"/>
              </w:rPr>
            </w:pPr>
            <w:r>
              <w:rPr>
                <w:rFonts w:asciiTheme="minorHAnsi" w:hAnsiTheme="minorHAnsi" w:cstheme="minorHAnsi"/>
                <w:sz w:val="18"/>
                <w:szCs w:val="18"/>
                <w:lang w:val="en-US"/>
              </w:rPr>
              <w:t xml:space="preserve">Neither SPAG nor the KIT Advisory Council are providing any input into </w:t>
            </w:r>
            <w:r w:rsidRPr="00DA3546">
              <w:rPr>
                <w:rFonts w:asciiTheme="minorHAnsi" w:hAnsiTheme="minorHAnsi" w:cstheme="minorHAnsi"/>
                <w:sz w:val="18"/>
                <w:szCs w:val="18"/>
                <w:lang w:val="en-US"/>
              </w:rPr>
              <w:t xml:space="preserve">into either the coordination of skills or employment in the sector. </w:t>
            </w:r>
          </w:p>
        </w:tc>
        <w:tc>
          <w:tcPr>
            <w:tcW w:w="2077" w:type="pct"/>
          </w:tcPr>
          <w:p w14:paraId="1467CB28" w14:textId="75BACBC5" w:rsidR="002215EF" w:rsidRPr="002215EF" w:rsidRDefault="002215EF" w:rsidP="002215EF">
            <w:pPr>
              <w:numPr>
                <w:ilvl w:val="0"/>
                <w:numId w:val="22"/>
              </w:numPr>
              <w:tabs>
                <w:tab w:val="num" w:pos="720"/>
              </w:tabs>
              <w:rPr>
                <w:rFonts w:asciiTheme="minorHAnsi" w:hAnsiTheme="minorHAnsi" w:cstheme="minorHAnsi"/>
                <w:sz w:val="18"/>
                <w:szCs w:val="18"/>
              </w:rPr>
            </w:pPr>
            <w:r>
              <w:rPr>
                <w:rFonts w:asciiTheme="minorHAnsi" w:hAnsiTheme="minorHAnsi" w:cstheme="minorHAnsi"/>
                <w:sz w:val="18"/>
                <w:szCs w:val="18"/>
              </w:rPr>
              <w:t>Need for the establishment of a sector-wide TVET sector reference group to be led by MEHR whose key mandate would be to provide strategic advice to the GoK pertaining to the Skills and Employment Sector, including the labour mobility component</w:t>
            </w:r>
          </w:p>
          <w:p w14:paraId="1DAE04DD" w14:textId="6A839051" w:rsidR="008E36CC" w:rsidRDefault="00DA3546" w:rsidP="00DA3546">
            <w:pPr>
              <w:numPr>
                <w:ilvl w:val="0"/>
                <w:numId w:val="22"/>
              </w:numPr>
              <w:tabs>
                <w:tab w:val="num" w:pos="720"/>
              </w:tabs>
              <w:rPr>
                <w:rFonts w:asciiTheme="minorHAnsi" w:hAnsiTheme="minorHAnsi" w:cstheme="minorHAnsi"/>
                <w:sz w:val="18"/>
                <w:szCs w:val="18"/>
              </w:rPr>
            </w:pPr>
            <w:r>
              <w:rPr>
                <w:rFonts w:asciiTheme="minorHAnsi" w:hAnsiTheme="minorHAnsi" w:cstheme="minorHAnsi"/>
                <w:sz w:val="18"/>
                <w:szCs w:val="18"/>
              </w:rPr>
              <w:t>Revisit the mandate of both SPAG and the KIT Advisory Council</w:t>
            </w:r>
            <w:r w:rsidR="00D712B0">
              <w:rPr>
                <w:rFonts w:asciiTheme="minorHAnsi" w:hAnsiTheme="minorHAnsi" w:cstheme="minorHAnsi"/>
                <w:sz w:val="18"/>
                <w:szCs w:val="18"/>
              </w:rPr>
              <w:t xml:space="preserve"> to ensure it aligns with its original intent</w:t>
            </w:r>
          </w:p>
          <w:p w14:paraId="5444647E" w14:textId="721FF6A6" w:rsidR="00D712B0" w:rsidRDefault="00D712B0" w:rsidP="00DA3546">
            <w:pPr>
              <w:numPr>
                <w:ilvl w:val="0"/>
                <w:numId w:val="22"/>
              </w:numPr>
              <w:tabs>
                <w:tab w:val="num" w:pos="720"/>
              </w:tabs>
              <w:rPr>
                <w:rFonts w:asciiTheme="minorHAnsi" w:hAnsiTheme="minorHAnsi" w:cstheme="minorHAnsi"/>
                <w:sz w:val="18"/>
                <w:szCs w:val="18"/>
              </w:rPr>
            </w:pPr>
            <w:r>
              <w:rPr>
                <w:rFonts w:asciiTheme="minorHAnsi" w:hAnsiTheme="minorHAnsi" w:cstheme="minorHAnsi"/>
                <w:sz w:val="18"/>
                <w:szCs w:val="18"/>
              </w:rPr>
              <w:t>Ro</w:t>
            </w:r>
            <w:r w:rsidR="00341556">
              <w:rPr>
                <w:rFonts w:asciiTheme="minorHAnsi" w:hAnsiTheme="minorHAnsi" w:cstheme="minorHAnsi"/>
                <w:sz w:val="18"/>
                <w:szCs w:val="18"/>
              </w:rPr>
              <w:t>l</w:t>
            </w:r>
            <w:r>
              <w:rPr>
                <w:rFonts w:asciiTheme="minorHAnsi" w:hAnsiTheme="minorHAnsi" w:cstheme="minorHAnsi"/>
                <w:sz w:val="18"/>
                <w:szCs w:val="18"/>
              </w:rPr>
              <w:t>es of APTC, PLF, and NZMFAT in SPAG and KAC need</w:t>
            </w:r>
            <w:r w:rsidR="00DD7BDC">
              <w:rPr>
                <w:rFonts w:asciiTheme="minorHAnsi" w:hAnsiTheme="minorHAnsi" w:cstheme="minorHAnsi"/>
                <w:sz w:val="18"/>
                <w:szCs w:val="18"/>
              </w:rPr>
              <w:t>s</w:t>
            </w:r>
            <w:r>
              <w:rPr>
                <w:rFonts w:asciiTheme="minorHAnsi" w:hAnsiTheme="minorHAnsi" w:cstheme="minorHAnsi"/>
                <w:sz w:val="18"/>
                <w:szCs w:val="18"/>
              </w:rPr>
              <w:t xml:space="preserve"> to be clarified</w:t>
            </w:r>
          </w:p>
          <w:p w14:paraId="7A8F2439" w14:textId="216C9F69" w:rsidR="00D712B0" w:rsidRDefault="00D712B0" w:rsidP="00DA3546">
            <w:pPr>
              <w:numPr>
                <w:ilvl w:val="0"/>
                <w:numId w:val="22"/>
              </w:numPr>
              <w:tabs>
                <w:tab w:val="num" w:pos="720"/>
              </w:tabs>
              <w:rPr>
                <w:rFonts w:asciiTheme="minorHAnsi" w:hAnsiTheme="minorHAnsi" w:cstheme="minorHAnsi"/>
                <w:sz w:val="18"/>
                <w:szCs w:val="18"/>
              </w:rPr>
            </w:pPr>
            <w:r>
              <w:rPr>
                <w:rFonts w:asciiTheme="minorHAnsi" w:hAnsiTheme="minorHAnsi" w:cstheme="minorHAnsi"/>
                <w:sz w:val="18"/>
                <w:szCs w:val="18"/>
              </w:rPr>
              <w:t>SPAG and KAC meetings need to occur more frequently (e.g. quarterly instead of six-monthly)</w:t>
            </w:r>
          </w:p>
          <w:p w14:paraId="59359BA2" w14:textId="2ADA9908" w:rsidR="00DA3546" w:rsidRPr="008E36CC" w:rsidRDefault="00DA3546" w:rsidP="002B4D47">
            <w:pPr>
              <w:numPr>
                <w:ilvl w:val="0"/>
                <w:numId w:val="22"/>
              </w:numPr>
              <w:tabs>
                <w:tab w:val="num" w:pos="720"/>
              </w:tabs>
              <w:rPr>
                <w:rFonts w:asciiTheme="minorHAnsi" w:hAnsiTheme="minorHAnsi" w:cstheme="minorHAnsi"/>
                <w:sz w:val="18"/>
                <w:szCs w:val="18"/>
              </w:rPr>
            </w:pPr>
            <w:r>
              <w:rPr>
                <w:rFonts w:asciiTheme="minorHAnsi" w:hAnsiTheme="minorHAnsi" w:cstheme="minorHAnsi"/>
                <w:sz w:val="18"/>
                <w:szCs w:val="18"/>
              </w:rPr>
              <w:t>KIT advisory Council</w:t>
            </w:r>
            <w:r w:rsidR="00341556">
              <w:rPr>
                <w:rFonts w:asciiTheme="minorHAnsi" w:hAnsiTheme="minorHAnsi" w:cstheme="minorHAnsi"/>
                <w:sz w:val="18"/>
                <w:szCs w:val="18"/>
              </w:rPr>
              <w:t xml:space="preserve"> receives better quality </w:t>
            </w:r>
            <w:r w:rsidRPr="00341556">
              <w:rPr>
                <w:rFonts w:asciiTheme="minorHAnsi" w:hAnsiTheme="minorHAnsi" w:cstheme="minorHAnsi"/>
                <w:sz w:val="18"/>
                <w:szCs w:val="18"/>
              </w:rPr>
              <w:t xml:space="preserve"> employment data, and </w:t>
            </w:r>
            <w:r w:rsidR="00341556">
              <w:rPr>
                <w:rFonts w:asciiTheme="minorHAnsi" w:hAnsiTheme="minorHAnsi" w:cstheme="minorHAnsi"/>
                <w:sz w:val="18"/>
                <w:szCs w:val="18"/>
              </w:rPr>
              <w:t xml:space="preserve">timely information </w:t>
            </w:r>
            <w:r w:rsidRPr="00DA3546">
              <w:rPr>
                <w:rFonts w:asciiTheme="minorHAnsi" w:hAnsiTheme="minorHAnsi" w:cstheme="minorHAnsi"/>
                <w:sz w:val="18"/>
                <w:szCs w:val="18"/>
              </w:rPr>
              <w:t xml:space="preserve"> from the labour mobility unit within the MEHR.</w:t>
            </w:r>
          </w:p>
        </w:tc>
      </w:tr>
      <w:tr w:rsidR="00F06DFC" w:rsidRPr="008E36CC" w14:paraId="68B8F84A" w14:textId="77777777" w:rsidTr="00F57082">
        <w:trPr>
          <w:trHeight w:val="1375"/>
        </w:trPr>
        <w:tc>
          <w:tcPr>
            <w:tcW w:w="828" w:type="pct"/>
          </w:tcPr>
          <w:p w14:paraId="4B13ADFB" w14:textId="65417593" w:rsidR="00F06DFC" w:rsidRPr="00F57082" w:rsidRDefault="00F06DFC" w:rsidP="00BD51B9">
            <w:pPr>
              <w:pStyle w:val="ListParagraph"/>
              <w:numPr>
                <w:ilvl w:val="0"/>
                <w:numId w:val="30"/>
              </w:numPr>
              <w:rPr>
                <w:rFonts w:cstheme="minorHAnsi"/>
                <w:b/>
                <w:sz w:val="18"/>
                <w:szCs w:val="18"/>
              </w:rPr>
            </w:pPr>
            <w:r>
              <w:rPr>
                <w:rFonts w:cstheme="minorHAnsi"/>
                <w:b/>
                <w:sz w:val="18"/>
                <w:szCs w:val="18"/>
              </w:rPr>
              <w:t>Program Leadership</w:t>
            </w:r>
          </w:p>
        </w:tc>
        <w:tc>
          <w:tcPr>
            <w:tcW w:w="2095" w:type="pct"/>
          </w:tcPr>
          <w:p w14:paraId="7C8C5F98" w14:textId="1F2D9DA0" w:rsidR="00F06DFC" w:rsidRDefault="00F06DFC" w:rsidP="00AA639A">
            <w:pPr>
              <w:numPr>
                <w:ilvl w:val="0"/>
                <w:numId w:val="20"/>
              </w:numPr>
              <w:tabs>
                <w:tab w:val="num" w:pos="720"/>
              </w:tabs>
              <w:rPr>
                <w:rFonts w:asciiTheme="minorHAnsi" w:hAnsiTheme="minorHAnsi" w:cstheme="minorHAnsi"/>
                <w:sz w:val="18"/>
                <w:szCs w:val="18"/>
                <w:lang w:val="en-US"/>
              </w:rPr>
            </w:pPr>
            <w:r>
              <w:rPr>
                <w:rFonts w:asciiTheme="minorHAnsi" w:hAnsiTheme="minorHAnsi" w:cstheme="minorHAnsi"/>
                <w:sz w:val="18"/>
                <w:szCs w:val="18"/>
                <w:lang w:val="en-US"/>
              </w:rPr>
              <w:t>Original design of Kiribati Facility merged different roles and responsibilities into one (e.g. Director of KIT and SfEP Team Leader as one position)</w:t>
            </w:r>
          </w:p>
          <w:p w14:paraId="0E0D1365" w14:textId="77777777" w:rsidR="00F06DFC" w:rsidRDefault="00F06DFC" w:rsidP="00AA639A">
            <w:pPr>
              <w:numPr>
                <w:ilvl w:val="0"/>
                <w:numId w:val="20"/>
              </w:numPr>
              <w:tabs>
                <w:tab w:val="num" w:pos="720"/>
              </w:tabs>
              <w:rPr>
                <w:rFonts w:asciiTheme="minorHAnsi" w:hAnsiTheme="minorHAnsi" w:cstheme="minorHAnsi"/>
                <w:sz w:val="18"/>
                <w:szCs w:val="18"/>
                <w:lang w:val="en-US"/>
              </w:rPr>
            </w:pPr>
            <w:r>
              <w:rPr>
                <w:rFonts w:asciiTheme="minorHAnsi" w:hAnsiTheme="minorHAnsi" w:cstheme="minorHAnsi"/>
                <w:sz w:val="18"/>
                <w:szCs w:val="18"/>
                <w:lang w:val="en-US"/>
              </w:rPr>
              <w:t xml:space="preserve">MEHR </w:t>
            </w:r>
            <w:r w:rsidRPr="00F06DFC">
              <w:rPr>
                <w:rFonts w:asciiTheme="minorHAnsi" w:hAnsiTheme="minorHAnsi" w:cstheme="minorHAnsi"/>
                <w:sz w:val="18"/>
                <w:szCs w:val="18"/>
                <w:lang w:val="en-US"/>
              </w:rPr>
              <w:t>feel they do not have sense of ownership of KIT, because it is governed by Australian advisers, and not by an I-Kiribati Ministry Official</w:t>
            </w:r>
          </w:p>
          <w:p w14:paraId="4D065664" w14:textId="65F8F6ED" w:rsidR="00F06DFC" w:rsidRPr="008E36CC" w:rsidRDefault="00F06DFC" w:rsidP="00AA639A">
            <w:pPr>
              <w:numPr>
                <w:ilvl w:val="0"/>
                <w:numId w:val="20"/>
              </w:numPr>
              <w:tabs>
                <w:tab w:val="num" w:pos="720"/>
              </w:tabs>
              <w:rPr>
                <w:rFonts w:asciiTheme="minorHAnsi" w:hAnsiTheme="minorHAnsi" w:cstheme="minorHAnsi"/>
                <w:sz w:val="18"/>
                <w:szCs w:val="18"/>
                <w:lang w:val="en-US"/>
              </w:rPr>
            </w:pPr>
            <w:r w:rsidRPr="00F06DFC">
              <w:rPr>
                <w:rFonts w:asciiTheme="minorHAnsi" w:hAnsiTheme="minorHAnsi" w:cstheme="minorHAnsi"/>
                <w:sz w:val="18"/>
                <w:szCs w:val="18"/>
                <w:lang w:val="en-US"/>
              </w:rPr>
              <w:t>Project Director of the Kiribati Facility has provided very little strategic direction to the sector as a whole</w:t>
            </w:r>
          </w:p>
        </w:tc>
        <w:tc>
          <w:tcPr>
            <w:tcW w:w="2077" w:type="pct"/>
          </w:tcPr>
          <w:p w14:paraId="750A44B6" w14:textId="5941BFBD" w:rsidR="00244CB7" w:rsidRDefault="00244CB7" w:rsidP="000224A3">
            <w:pPr>
              <w:numPr>
                <w:ilvl w:val="0"/>
                <w:numId w:val="22"/>
              </w:numPr>
              <w:tabs>
                <w:tab w:val="num" w:pos="720"/>
              </w:tabs>
              <w:rPr>
                <w:rFonts w:asciiTheme="minorHAnsi" w:hAnsiTheme="minorHAnsi" w:cstheme="minorHAnsi"/>
                <w:sz w:val="18"/>
                <w:szCs w:val="18"/>
              </w:rPr>
            </w:pPr>
            <w:r w:rsidRPr="002B4D47">
              <w:rPr>
                <w:rFonts w:asciiTheme="minorHAnsi" w:hAnsiTheme="minorHAnsi" w:cstheme="minorHAnsi"/>
                <w:sz w:val="18"/>
                <w:szCs w:val="18"/>
              </w:rPr>
              <w:t>Continue to support initiatives to strengthen MEHR management and leadership in line with the MEHR HRD plan</w:t>
            </w:r>
            <w:r w:rsidR="000224A3" w:rsidRPr="002B4D47">
              <w:rPr>
                <w:rFonts w:asciiTheme="minorHAnsi" w:hAnsiTheme="minorHAnsi" w:cstheme="minorHAnsi"/>
                <w:sz w:val="18"/>
                <w:szCs w:val="18"/>
              </w:rPr>
              <w:t>.</w:t>
            </w:r>
          </w:p>
          <w:p w14:paraId="4A658A41" w14:textId="7659D429" w:rsidR="000224A3" w:rsidRPr="002B4D47" w:rsidRDefault="000224A3" w:rsidP="000224A3">
            <w:pPr>
              <w:numPr>
                <w:ilvl w:val="0"/>
                <w:numId w:val="22"/>
              </w:numPr>
              <w:tabs>
                <w:tab w:val="num" w:pos="720"/>
              </w:tabs>
              <w:rPr>
                <w:rFonts w:asciiTheme="minorHAnsi" w:hAnsiTheme="minorHAnsi" w:cstheme="minorHAnsi"/>
                <w:sz w:val="18"/>
                <w:szCs w:val="18"/>
              </w:rPr>
            </w:pPr>
            <w:r>
              <w:rPr>
                <w:rFonts w:asciiTheme="minorHAnsi" w:hAnsiTheme="minorHAnsi" w:cstheme="minorHAnsi"/>
                <w:sz w:val="18"/>
                <w:szCs w:val="18"/>
              </w:rPr>
              <w:t xml:space="preserve">Continue through dialogue with the MEHR </w:t>
            </w:r>
            <w:r w:rsidRPr="002B4D47">
              <w:rPr>
                <w:rFonts w:asciiTheme="minorHAnsi" w:hAnsiTheme="minorHAnsi" w:cstheme="minorHAnsi"/>
                <w:sz w:val="18"/>
                <w:szCs w:val="18"/>
              </w:rPr>
              <w:t>to ensure that the MEHR recognise the importance of the international dimension that the current management team bring to KIT</w:t>
            </w:r>
          </w:p>
          <w:p w14:paraId="3D661E2F" w14:textId="0B9F303D" w:rsidR="00F06DFC" w:rsidRDefault="00F06DFC" w:rsidP="00AA639A">
            <w:pPr>
              <w:numPr>
                <w:ilvl w:val="0"/>
                <w:numId w:val="22"/>
              </w:numPr>
              <w:tabs>
                <w:tab w:val="num" w:pos="720"/>
              </w:tabs>
              <w:rPr>
                <w:rFonts w:asciiTheme="minorHAnsi" w:hAnsiTheme="minorHAnsi" w:cstheme="minorHAnsi"/>
                <w:sz w:val="18"/>
                <w:szCs w:val="18"/>
              </w:rPr>
            </w:pPr>
            <w:r>
              <w:rPr>
                <w:rFonts w:asciiTheme="minorHAnsi" w:hAnsiTheme="minorHAnsi" w:cstheme="minorHAnsi"/>
                <w:sz w:val="18"/>
                <w:szCs w:val="18"/>
              </w:rPr>
              <w:t>P</w:t>
            </w:r>
            <w:r w:rsidRPr="00F06DFC">
              <w:rPr>
                <w:rFonts w:asciiTheme="minorHAnsi" w:hAnsiTheme="minorHAnsi" w:cstheme="minorHAnsi"/>
                <w:sz w:val="18"/>
                <w:szCs w:val="18"/>
              </w:rPr>
              <w:t>rogram leadership roles need to be adjusted to ensure greater relevance to the needs of the program</w:t>
            </w:r>
          </w:p>
          <w:p w14:paraId="04BCEADF" w14:textId="037AEF57" w:rsidR="00A7719F" w:rsidRDefault="000224A3" w:rsidP="00CD2E1C">
            <w:pPr>
              <w:numPr>
                <w:ilvl w:val="1"/>
                <w:numId w:val="22"/>
              </w:numPr>
              <w:rPr>
                <w:rFonts w:asciiTheme="minorHAnsi" w:hAnsiTheme="minorHAnsi" w:cstheme="minorHAnsi"/>
                <w:sz w:val="18"/>
                <w:szCs w:val="18"/>
              </w:rPr>
            </w:pPr>
            <w:r>
              <w:rPr>
                <w:rFonts w:asciiTheme="minorHAnsi" w:hAnsiTheme="minorHAnsi" w:cstheme="minorHAnsi"/>
                <w:sz w:val="18"/>
                <w:szCs w:val="18"/>
              </w:rPr>
              <w:t xml:space="preserve">KIT Director merges with </w:t>
            </w:r>
            <w:r w:rsidR="00A7719F">
              <w:rPr>
                <w:rFonts w:asciiTheme="minorHAnsi" w:hAnsiTheme="minorHAnsi" w:cstheme="minorHAnsi"/>
                <w:sz w:val="18"/>
                <w:szCs w:val="18"/>
              </w:rPr>
              <w:t xml:space="preserve">SfEP Team Leader and Project Director </w:t>
            </w:r>
            <w:r>
              <w:rPr>
                <w:rFonts w:asciiTheme="minorHAnsi" w:hAnsiTheme="minorHAnsi" w:cstheme="minorHAnsi"/>
                <w:sz w:val="18"/>
                <w:szCs w:val="18"/>
              </w:rPr>
              <w:t xml:space="preserve">to ensure </w:t>
            </w:r>
            <w:r w:rsidR="00A7719F">
              <w:rPr>
                <w:rFonts w:asciiTheme="minorHAnsi" w:hAnsiTheme="minorHAnsi" w:cstheme="minorHAnsi"/>
                <w:sz w:val="18"/>
                <w:szCs w:val="18"/>
              </w:rPr>
              <w:t>a dedicated in-country position to drive strategic direction of the sector</w:t>
            </w:r>
          </w:p>
          <w:p w14:paraId="72C1ED05" w14:textId="675CE7CA" w:rsidR="000224A3" w:rsidRDefault="000224A3" w:rsidP="00CD2E1C">
            <w:pPr>
              <w:numPr>
                <w:ilvl w:val="1"/>
                <w:numId w:val="22"/>
              </w:numPr>
              <w:rPr>
                <w:rFonts w:asciiTheme="minorHAnsi" w:hAnsiTheme="minorHAnsi" w:cstheme="minorHAnsi"/>
                <w:sz w:val="18"/>
                <w:szCs w:val="18"/>
              </w:rPr>
            </w:pPr>
            <w:r>
              <w:rPr>
                <w:rFonts w:asciiTheme="minorHAnsi" w:hAnsiTheme="minorHAnsi" w:cstheme="minorHAnsi"/>
                <w:sz w:val="18"/>
                <w:szCs w:val="18"/>
              </w:rPr>
              <w:t>Contract representative becomes a separate position based in Australia</w:t>
            </w:r>
          </w:p>
          <w:p w14:paraId="072D1CDD" w14:textId="53BA3C4D" w:rsidR="00A7719F" w:rsidRPr="008E36CC" w:rsidRDefault="00A7719F" w:rsidP="002B4D47">
            <w:pPr>
              <w:ind w:left="1080"/>
              <w:rPr>
                <w:rFonts w:asciiTheme="minorHAnsi" w:hAnsiTheme="minorHAnsi" w:cstheme="minorHAnsi"/>
                <w:sz w:val="18"/>
                <w:szCs w:val="18"/>
              </w:rPr>
            </w:pPr>
          </w:p>
        </w:tc>
      </w:tr>
      <w:tr w:rsidR="008E36CC" w:rsidRPr="008E36CC" w14:paraId="03016A84" w14:textId="77777777" w:rsidTr="00F57082">
        <w:trPr>
          <w:cnfStyle w:val="000000100000" w:firstRow="0" w:lastRow="0" w:firstColumn="0" w:lastColumn="0" w:oddVBand="0" w:evenVBand="0" w:oddHBand="1" w:evenHBand="0" w:firstRowFirstColumn="0" w:firstRowLastColumn="0" w:lastRowFirstColumn="0" w:lastRowLastColumn="0"/>
          <w:trHeight w:val="1375"/>
        </w:trPr>
        <w:tc>
          <w:tcPr>
            <w:tcW w:w="828" w:type="pct"/>
          </w:tcPr>
          <w:p w14:paraId="52D6AA3C" w14:textId="3DCA4BC8" w:rsidR="008E36CC" w:rsidRPr="00F57082" w:rsidRDefault="008E36CC" w:rsidP="00BD51B9">
            <w:pPr>
              <w:pStyle w:val="ListParagraph"/>
              <w:numPr>
                <w:ilvl w:val="0"/>
                <w:numId w:val="30"/>
              </w:numPr>
              <w:rPr>
                <w:rFonts w:cstheme="minorHAnsi"/>
                <w:b/>
                <w:sz w:val="18"/>
                <w:szCs w:val="18"/>
              </w:rPr>
            </w:pPr>
            <w:r w:rsidRPr="00F57082">
              <w:rPr>
                <w:rFonts w:cstheme="minorHAnsi"/>
                <w:b/>
                <w:sz w:val="18"/>
                <w:szCs w:val="18"/>
              </w:rPr>
              <w:t>State owned Enterprises</w:t>
            </w:r>
          </w:p>
        </w:tc>
        <w:tc>
          <w:tcPr>
            <w:tcW w:w="2095" w:type="pct"/>
          </w:tcPr>
          <w:p w14:paraId="181412C7" w14:textId="77777777" w:rsidR="008E36CC" w:rsidRPr="008E36CC" w:rsidRDefault="008E36CC" w:rsidP="00AA639A">
            <w:pPr>
              <w:numPr>
                <w:ilvl w:val="0"/>
                <w:numId w:val="20"/>
              </w:numPr>
              <w:tabs>
                <w:tab w:val="num" w:pos="720"/>
              </w:tabs>
              <w:rPr>
                <w:rFonts w:asciiTheme="minorHAnsi" w:hAnsiTheme="minorHAnsi" w:cstheme="minorHAnsi"/>
                <w:sz w:val="18"/>
                <w:szCs w:val="18"/>
                <w:lang w:val="en-US"/>
              </w:rPr>
            </w:pPr>
            <w:r w:rsidRPr="008E36CC">
              <w:rPr>
                <w:rFonts w:asciiTheme="minorHAnsi" w:hAnsiTheme="minorHAnsi" w:cstheme="minorHAnsi"/>
                <w:sz w:val="18"/>
                <w:szCs w:val="18"/>
                <w:lang w:val="en-US"/>
              </w:rPr>
              <w:t>Major employer in Kiribati</w:t>
            </w:r>
          </w:p>
          <w:p w14:paraId="0E30DB30" w14:textId="320FCD63" w:rsidR="00897D63" w:rsidRPr="00897D63" w:rsidRDefault="008E36CC" w:rsidP="00AA639A">
            <w:pPr>
              <w:numPr>
                <w:ilvl w:val="0"/>
                <w:numId w:val="20"/>
              </w:numPr>
              <w:tabs>
                <w:tab w:val="num" w:pos="720"/>
              </w:tabs>
              <w:rPr>
                <w:rFonts w:asciiTheme="minorHAnsi" w:hAnsiTheme="minorHAnsi" w:cstheme="minorHAnsi"/>
                <w:sz w:val="18"/>
                <w:szCs w:val="18"/>
                <w:lang w:val="en-US"/>
              </w:rPr>
            </w:pPr>
            <w:r w:rsidRPr="008E36CC">
              <w:rPr>
                <w:rFonts w:asciiTheme="minorHAnsi" w:hAnsiTheme="minorHAnsi" w:cstheme="minorHAnsi"/>
                <w:sz w:val="18"/>
                <w:szCs w:val="18"/>
                <w:lang w:val="en-US"/>
              </w:rPr>
              <w:t>KIT does seek inputs from public sector bodies on course design and implementation, but consultation does not systematically involve ‘whole of GoK’</w:t>
            </w:r>
          </w:p>
        </w:tc>
        <w:tc>
          <w:tcPr>
            <w:tcW w:w="2077" w:type="pct"/>
          </w:tcPr>
          <w:p w14:paraId="035585FA" w14:textId="161891F4" w:rsidR="00897D63" w:rsidRPr="00897D63" w:rsidRDefault="008E36CC" w:rsidP="00AA639A">
            <w:pPr>
              <w:numPr>
                <w:ilvl w:val="0"/>
                <w:numId w:val="22"/>
              </w:numPr>
              <w:tabs>
                <w:tab w:val="num" w:pos="720"/>
              </w:tabs>
              <w:rPr>
                <w:rFonts w:asciiTheme="minorHAnsi" w:hAnsiTheme="minorHAnsi" w:cstheme="minorHAnsi"/>
                <w:sz w:val="18"/>
                <w:szCs w:val="18"/>
              </w:rPr>
            </w:pPr>
            <w:r w:rsidRPr="008E36CC">
              <w:rPr>
                <w:rFonts w:asciiTheme="minorHAnsi" w:hAnsiTheme="minorHAnsi" w:cstheme="minorHAnsi"/>
                <w:sz w:val="18"/>
                <w:szCs w:val="18"/>
              </w:rPr>
              <w:t>Investigate the extent to which KIT could provide courses tailored to needs of SOEs/PUB or even public sector more generally as a means to diversifying employment opportunities for graduates</w:t>
            </w:r>
          </w:p>
        </w:tc>
      </w:tr>
      <w:tr w:rsidR="008E36CC" w:rsidRPr="008E36CC" w14:paraId="74DC9507" w14:textId="77777777" w:rsidTr="00F57082">
        <w:trPr>
          <w:trHeight w:val="3986"/>
        </w:trPr>
        <w:tc>
          <w:tcPr>
            <w:tcW w:w="828" w:type="pct"/>
          </w:tcPr>
          <w:p w14:paraId="6993097F" w14:textId="595F69D9" w:rsidR="008E36CC" w:rsidRPr="00F57082" w:rsidRDefault="008E36CC" w:rsidP="00BD51B9">
            <w:pPr>
              <w:pStyle w:val="ListParagraph"/>
              <w:numPr>
                <w:ilvl w:val="0"/>
                <w:numId w:val="30"/>
              </w:numPr>
              <w:rPr>
                <w:rFonts w:cstheme="minorHAnsi"/>
                <w:b/>
                <w:sz w:val="18"/>
                <w:szCs w:val="18"/>
              </w:rPr>
            </w:pPr>
            <w:r w:rsidRPr="00F57082">
              <w:rPr>
                <w:rFonts w:cstheme="minorHAnsi"/>
                <w:b/>
                <w:sz w:val="18"/>
                <w:szCs w:val="18"/>
              </w:rPr>
              <w:t>Private Sector</w:t>
            </w:r>
          </w:p>
        </w:tc>
        <w:tc>
          <w:tcPr>
            <w:tcW w:w="2095" w:type="pct"/>
          </w:tcPr>
          <w:p w14:paraId="17F227BB" w14:textId="77777777" w:rsidR="008E36CC" w:rsidRPr="008E36CC" w:rsidRDefault="008E36CC" w:rsidP="00AA639A">
            <w:pPr>
              <w:pStyle w:val="ListParagraph"/>
              <w:numPr>
                <w:ilvl w:val="0"/>
                <w:numId w:val="23"/>
              </w:numPr>
              <w:rPr>
                <w:rFonts w:cstheme="minorHAnsi"/>
                <w:sz w:val="18"/>
                <w:szCs w:val="18"/>
              </w:rPr>
            </w:pPr>
            <w:r w:rsidRPr="008E36CC">
              <w:rPr>
                <w:rFonts w:cstheme="minorHAnsi"/>
                <w:sz w:val="18"/>
                <w:szCs w:val="18"/>
                <w:lang w:val="en-US"/>
              </w:rPr>
              <w:t>Limited Capacity for private sector growth</w:t>
            </w:r>
          </w:p>
          <w:p w14:paraId="48E038E2" w14:textId="320C831D" w:rsidR="008E36CC" w:rsidRPr="008E36CC" w:rsidRDefault="008E36CC" w:rsidP="00AA639A">
            <w:pPr>
              <w:pStyle w:val="ListParagraph"/>
              <w:numPr>
                <w:ilvl w:val="0"/>
                <w:numId w:val="23"/>
              </w:numPr>
              <w:rPr>
                <w:rFonts w:cstheme="minorHAnsi"/>
                <w:sz w:val="18"/>
                <w:szCs w:val="18"/>
              </w:rPr>
            </w:pPr>
            <w:r w:rsidRPr="008E36CC">
              <w:rPr>
                <w:rFonts w:cstheme="minorHAnsi"/>
                <w:sz w:val="18"/>
                <w:szCs w:val="18"/>
                <w:lang w:val="en-US"/>
              </w:rPr>
              <w:t>Business incubator, with limited resources, has had some success</w:t>
            </w:r>
          </w:p>
        </w:tc>
        <w:tc>
          <w:tcPr>
            <w:tcW w:w="2077" w:type="pct"/>
          </w:tcPr>
          <w:p w14:paraId="63B401D1" w14:textId="77777777" w:rsidR="008E36CC" w:rsidRPr="008E36CC" w:rsidRDefault="008E36CC" w:rsidP="00AA639A">
            <w:pPr>
              <w:pStyle w:val="ListParagraph"/>
              <w:numPr>
                <w:ilvl w:val="0"/>
                <w:numId w:val="23"/>
              </w:numPr>
              <w:rPr>
                <w:rFonts w:cstheme="minorHAnsi"/>
                <w:sz w:val="18"/>
                <w:szCs w:val="18"/>
              </w:rPr>
            </w:pPr>
            <w:r w:rsidRPr="008E36CC">
              <w:rPr>
                <w:rFonts w:cstheme="minorHAnsi"/>
                <w:sz w:val="18"/>
                <w:szCs w:val="18"/>
              </w:rPr>
              <w:t xml:space="preserve">Provide greater investment in a ‘virtual’ Business Enterprise Centre will be established in 2019 </w:t>
            </w:r>
          </w:p>
          <w:p w14:paraId="7D0B5912" w14:textId="39D2B69A" w:rsidR="008E36CC" w:rsidRPr="008E36CC" w:rsidRDefault="008E36CC" w:rsidP="00AA639A">
            <w:pPr>
              <w:pStyle w:val="ListParagraph"/>
              <w:numPr>
                <w:ilvl w:val="1"/>
                <w:numId w:val="23"/>
              </w:numPr>
              <w:rPr>
                <w:rFonts w:cstheme="minorHAnsi"/>
                <w:sz w:val="18"/>
                <w:szCs w:val="18"/>
              </w:rPr>
            </w:pPr>
            <w:r w:rsidRPr="008E36CC">
              <w:rPr>
                <w:rFonts w:cstheme="minorHAnsi"/>
                <w:sz w:val="18"/>
                <w:szCs w:val="18"/>
              </w:rPr>
              <w:t>Broaden horizon to include IT,  horticulture (vegetable gardens)</w:t>
            </w:r>
          </w:p>
          <w:p w14:paraId="37650738" w14:textId="77777777" w:rsidR="008E36CC" w:rsidRPr="008E36CC" w:rsidRDefault="008E36CC" w:rsidP="00AA639A">
            <w:pPr>
              <w:pStyle w:val="ListParagraph"/>
              <w:numPr>
                <w:ilvl w:val="1"/>
                <w:numId w:val="23"/>
              </w:numPr>
              <w:rPr>
                <w:rFonts w:cstheme="minorHAnsi"/>
                <w:sz w:val="18"/>
                <w:szCs w:val="18"/>
              </w:rPr>
            </w:pPr>
            <w:r w:rsidRPr="008E36CC">
              <w:rPr>
                <w:rFonts w:cstheme="minorHAnsi"/>
                <w:sz w:val="18"/>
                <w:szCs w:val="18"/>
              </w:rPr>
              <w:t>Investigate other innovative ways and/or scaling up of other incubator options (e.g. drawing on other DFAT initiatives to support SMMEs elsewhere – e.g. DFAT’s innovationXchange in PNG, Pacific  Innovation initiative)</w:t>
            </w:r>
          </w:p>
          <w:p w14:paraId="5CF31795" w14:textId="1D9AC3A2" w:rsidR="008E36CC" w:rsidRPr="00F57082" w:rsidRDefault="008E36CC" w:rsidP="008E36CC">
            <w:pPr>
              <w:pStyle w:val="ListParagraph"/>
              <w:numPr>
                <w:ilvl w:val="0"/>
                <w:numId w:val="23"/>
              </w:numPr>
              <w:rPr>
                <w:rFonts w:cstheme="minorHAnsi"/>
                <w:sz w:val="18"/>
                <w:szCs w:val="18"/>
              </w:rPr>
            </w:pPr>
            <w:r w:rsidRPr="008E36CC">
              <w:rPr>
                <w:rFonts w:eastAsia="Times New Roman" w:cstheme="minorHAnsi"/>
                <w:sz w:val="18"/>
                <w:szCs w:val="18"/>
              </w:rPr>
              <w:t>Revisit opportunities to offer short courses to SMEs</w:t>
            </w:r>
          </w:p>
        </w:tc>
      </w:tr>
      <w:tr w:rsidR="008E36CC" w:rsidRPr="008E36CC" w14:paraId="66D858F9" w14:textId="77777777" w:rsidTr="00F57082">
        <w:trPr>
          <w:cnfStyle w:val="000000100000" w:firstRow="0" w:lastRow="0" w:firstColumn="0" w:lastColumn="0" w:oddVBand="0" w:evenVBand="0" w:oddHBand="1" w:evenHBand="0" w:firstRowFirstColumn="0" w:firstRowLastColumn="0" w:lastRowFirstColumn="0" w:lastRowLastColumn="0"/>
          <w:trHeight w:val="981"/>
        </w:trPr>
        <w:tc>
          <w:tcPr>
            <w:tcW w:w="828" w:type="pct"/>
          </w:tcPr>
          <w:p w14:paraId="524DD2A7" w14:textId="45ABD46C" w:rsidR="008E36CC" w:rsidRPr="00F57082" w:rsidRDefault="008E36CC" w:rsidP="00BD51B9">
            <w:pPr>
              <w:pStyle w:val="ListParagraph"/>
              <w:numPr>
                <w:ilvl w:val="0"/>
                <w:numId w:val="30"/>
              </w:numPr>
              <w:rPr>
                <w:rFonts w:cstheme="minorHAnsi"/>
                <w:b/>
                <w:sz w:val="18"/>
                <w:szCs w:val="18"/>
              </w:rPr>
            </w:pPr>
            <w:r w:rsidRPr="00F57082">
              <w:rPr>
                <w:rFonts w:cstheme="minorHAnsi"/>
                <w:b/>
                <w:sz w:val="18"/>
                <w:szCs w:val="18"/>
              </w:rPr>
              <w:t>APTC</w:t>
            </w:r>
          </w:p>
        </w:tc>
        <w:tc>
          <w:tcPr>
            <w:tcW w:w="2095" w:type="pct"/>
          </w:tcPr>
          <w:p w14:paraId="50325E43" w14:textId="77777777" w:rsidR="008E36CC" w:rsidRPr="008E36CC" w:rsidRDefault="008E36CC" w:rsidP="00AA639A">
            <w:pPr>
              <w:pStyle w:val="ListParagraph"/>
              <w:numPr>
                <w:ilvl w:val="0"/>
                <w:numId w:val="23"/>
              </w:numPr>
              <w:rPr>
                <w:rFonts w:cstheme="minorHAnsi"/>
                <w:sz w:val="18"/>
                <w:szCs w:val="18"/>
                <w:lang w:val="en-US"/>
              </w:rPr>
            </w:pPr>
            <w:r w:rsidRPr="008E36CC">
              <w:rPr>
                <w:rFonts w:cstheme="minorHAnsi"/>
                <w:sz w:val="18"/>
                <w:szCs w:val="18"/>
                <w:lang w:val="en-US"/>
              </w:rPr>
              <w:t>Good relationship between APTC and KIT</w:t>
            </w:r>
          </w:p>
          <w:p w14:paraId="4E259E14" w14:textId="77777777" w:rsidR="008E36CC" w:rsidRPr="008E36CC" w:rsidRDefault="008E36CC" w:rsidP="00AA639A">
            <w:pPr>
              <w:pStyle w:val="ListParagraph"/>
              <w:numPr>
                <w:ilvl w:val="0"/>
                <w:numId w:val="23"/>
              </w:numPr>
              <w:rPr>
                <w:rFonts w:cstheme="minorHAnsi"/>
                <w:sz w:val="18"/>
                <w:szCs w:val="18"/>
                <w:lang w:val="en-US"/>
              </w:rPr>
            </w:pPr>
            <w:r w:rsidRPr="008E36CC">
              <w:rPr>
                <w:rFonts w:cstheme="minorHAnsi"/>
                <w:sz w:val="18"/>
                <w:szCs w:val="18"/>
                <w:lang w:val="en-US"/>
              </w:rPr>
              <w:t>Largely a transactional relationship</w:t>
            </w:r>
          </w:p>
          <w:p w14:paraId="0E972BDC" w14:textId="28012197" w:rsidR="008E36CC" w:rsidRPr="008E36CC" w:rsidRDefault="008E36CC" w:rsidP="00AA639A">
            <w:pPr>
              <w:pStyle w:val="ListParagraph"/>
              <w:numPr>
                <w:ilvl w:val="0"/>
                <w:numId w:val="23"/>
              </w:numPr>
              <w:rPr>
                <w:rFonts w:cstheme="minorHAnsi"/>
                <w:sz w:val="18"/>
                <w:szCs w:val="18"/>
                <w:lang w:val="en-US"/>
              </w:rPr>
            </w:pPr>
            <w:r w:rsidRPr="008E36CC">
              <w:rPr>
                <w:rFonts w:cstheme="minorHAnsi"/>
                <w:sz w:val="18"/>
                <w:szCs w:val="18"/>
                <w:lang w:val="en-US"/>
              </w:rPr>
              <w:t>Potential for greater collaboration</w:t>
            </w:r>
          </w:p>
        </w:tc>
        <w:tc>
          <w:tcPr>
            <w:tcW w:w="2077" w:type="pct"/>
          </w:tcPr>
          <w:p w14:paraId="587A4C92" w14:textId="1E0531C0" w:rsidR="008E36CC" w:rsidRPr="008E36CC" w:rsidRDefault="008E36CC" w:rsidP="00AA639A">
            <w:pPr>
              <w:pStyle w:val="ListParagraph"/>
              <w:numPr>
                <w:ilvl w:val="0"/>
                <w:numId w:val="23"/>
              </w:numPr>
              <w:rPr>
                <w:rFonts w:cstheme="minorHAnsi"/>
                <w:sz w:val="18"/>
                <w:szCs w:val="18"/>
              </w:rPr>
            </w:pPr>
            <w:r w:rsidRPr="008E36CC">
              <w:rPr>
                <w:rFonts w:cstheme="minorHAnsi"/>
                <w:sz w:val="18"/>
                <w:szCs w:val="18"/>
              </w:rPr>
              <w:t>Thought should be given by to developing an implementation strategy for APTC to support TVET national system in Kiribati</w:t>
            </w:r>
            <w:r w:rsidR="000D1BDC">
              <w:rPr>
                <w:rStyle w:val="FootnoteReference"/>
                <w:rFonts w:cstheme="minorHAnsi"/>
                <w:sz w:val="18"/>
                <w:szCs w:val="18"/>
              </w:rPr>
              <w:footnoteReference w:id="28"/>
            </w:r>
          </w:p>
        </w:tc>
      </w:tr>
      <w:tr w:rsidR="008E36CC" w:rsidRPr="008E36CC" w14:paraId="613ECB81" w14:textId="77777777" w:rsidTr="008E36CC">
        <w:trPr>
          <w:trHeight w:val="1572"/>
        </w:trPr>
        <w:tc>
          <w:tcPr>
            <w:tcW w:w="828" w:type="pct"/>
          </w:tcPr>
          <w:p w14:paraId="13767B6E" w14:textId="5822EE4D" w:rsidR="008E36CC" w:rsidRPr="00F57082" w:rsidRDefault="008E36CC" w:rsidP="00BD51B9">
            <w:pPr>
              <w:pStyle w:val="ListParagraph"/>
              <w:numPr>
                <w:ilvl w:val="0"/>
                <w:numId w:val="30"/>
              </w:numPr>
              <w:rPr>
                <w:rFonts w:cstheme="minorHAnsi"/>
                <w:b/>
                <w:sz w:val="18"/>
                <w:szCs w:val="18"/>
              </w:rPr>
            </w:pPr>
            <w:r w:rsidRPr="00F57082">
              <w:rPr>
                <w:rFonts w:cstheme="minorHAnsi"/>
                <w:b/>
                <w:sz w:val="18"/>
                <w:szCs w:val="18"/>
              </w:rPr>
              <w:t>Language</w:t>
            </w:r>
          </w:p>
        </w:tc>
        <w:tc>
          <w:tcPr>
            <w:tcW w:w="2095" w:type="pct"/>
          </w:tcPr>
          <w:p w14:paraId="1542EB08" w14:textId="77777777" w:rsidR="008E36CC" w:rsidRPr="008E36CC" w:rsidRDefault="008E36CC" w:rsidP="00AA639A">
            <w:pPr>
              <w:numPr>
                <w:ilvl w:val="0"/>
                <w:numId w:val="22"/>
              </w:numPr>
              <w:rPr>
                <w:rFonts w:asciiTheme="minorHAnsi" w:hAnsiTheme="minorHAnsi" w:cstheme="minorHAnsi"/>
                <w:sz w:val="18"/>
                <w:szCs w:val="18"/>
                <w:lang w:val="en-US"/>
              </w:rPr>
            </w:pPr>
            <w:r w:rsidRPr="008E36CC">
              <w:rPr>
                <w:rFonts w:asciiTheme="minorHAnsi" w:hAnsiTheme="minorHAnsi" w:cstheme="minorHAnsi"/>
                <w:sz w:val="18"/>
                <w:szCs w:val="18"/>
              </w:rPr>
              <w:t>Concerted effort by KIT (including important role of ESS) in driving multiple approaches to implementing English Language Strategy</w:t>
            </w:r>
          </w:p>
          <w:p w14:paraId="4369E8ED" w14:textId="2E27C829" w:rsidR="008E36CC" w:rsidRPr="008E36CC" w:rsidRDefault="008E36CC" w:rsidP="00AA639A">
            <w:pPr>
              <w:numPr>
                <w:ilvl w:val="0"/>
                <w:numId w:val="22"/>
              </w:numPr>
              <w:rPr>
                <w:rFonts w:asciiTheme="minorHAnsi" w:hAnsiTheme="minorHAnsi" w:cstheme="minorHAnsi"/>
                <w:sz w:val="18"/>
                <w:szCs w:val="18"/>
                <w:lang w:val="en-US"/>
              </w:rPr>
            </w:pPr>
            <w:r w:rsidRPr="008E36CC">
              <w:rPr>
                <w:rFonts w:asciiTheme="minorHAnsi" w:hAnsiTheme="minorHAnsi" w:cstheme="minorHAnsi"/>
                <w:sz w:val="18"/>
                <w:szCs w:val="18"/>
              </w:rPr>
              <w:t>Challenges remain as KIT/SfEP cannot always overcome deficiencies in Primary/Secondary Education sector</w:t>
            </w:r>
          </w:p>
        </w:tc>
        <w:tc>
          <w:tcPr>
            <w:tcW w:w="2077" w:type="pct"/>
          </w:tcPr>
          <w:p w14:paraId="7BD5E747" w14:textId="77777777" w:rsidR="008E36CC" w:rsidRDefault="008E36CC" w:rsidP="00AA639A">
            <w:pPr>
              <w:numPr>
                <w:ilvl w:val="0"/>
                <w:numId w:val="22"/>
              </w:numPr>
              <w:rPr>
                <w:rFonts w:asciiTheme="minorHAnsi" w:hAnsiTheme="minorHAnsi" w:cstheme="minorHAnsi"/>
                <w:sz w:val="18"/>
                <w:szCs w:val="18"/>
              </w:rPr>
            </w:pPr>
            <w:r w:rsidRPr="008E36CC">
              <w:rPr>
                <w:rFonts w:asciiTheme="minorHAnsi" w:hAnsiTheme="minorHAnsi" w:cstheme="minorHAnsi"/>
                <w:sz w:val="18"/>
                <w:szCs w:val="18"/>
              </w:rPr>
              <w:t>Greater recognition that addressing English language challenges requires more than investing in KIT</w:t>
            </w:r>
          </w:p>
          <w:p w14:paraId="5119AE41" w14:textId="08CFAC77" w:rsidR="008E36CC" w:rsidRPr="008E36CC" w:rsidRDefault="008E36CC" w:rsidP="00AA639A">
            <w:pPr>
              <w:numPr>
                <w:ilvl w:val="0"/>
                <w:numId w:val="22"/>
              </w:numPr>
              <w:rPr>
                <w:rFonts w:asciiTheme="minorHAnsi" w:hAnsiTheme="minorHAnsi" w:cstheme="minorHAnsi"/>
                <w:sz w:val="18"/>
                <w:szCs w:val="18"/>
              </w:rPr>
            </w:pPr>
            <w:r w:rsidRPr="008E36CC">
              <w:rPr>
                <w:rFonts w:asciiTheme="minorHAnsi" w:hAnsiTheme="minorHAnsi" w:cstheme="minorHAnsi"/>
                <w:sz w:val="18"/>
                <w:szCs w:val="18"/>
              </w:rPr>
              <w:t>DFAT should give thought to a ‘whole of aid investment’ approach to promoting English Language competency (e.g. create greater synergy between KEIP and SfEP on this issue</w:t>
            </w:r>
            <w:r>
              <w:rPr>
                <w:rFonts w:asciiTheme="minorHAnsi" w:hAnsiTheme="minorHAnsi" w:cstheme="minorHAnsi"/>
                <w:sz w:val="18"/>
                <w:szCs w:val="18"/>
              </w:rPr>
              <w:t>).</w:t>
            </w:r>
          </w:p>
        </w:tc>
      </w:tr>
      <w:tr w:rsidR="008E36CC" w:rsidRPr="008E36CC" w14:paraId="13C883A3" w14:textId="77777777" w:rsidTr="008E36CC">
        <w:trPr>
          <w:cnfStyle w:val="000000100000" w:firstRow="0" w:lastRow="0" w:firstColumn="0" w:lastColumn="0" w:oddVBand="0" w:evenVBand="0" w:oddHBand="1" w:evenHBand="0" w:firstRowFirstColumn="0" w:firstRowLastColumn="0" w:lastRowFirstColumn="0" w:lastRowLastColumn="0"/>
          <w:trHeight w:val="1109"/>
        </w:trPr>
        <w:tc>
          <w:tcPr>
            <w:tcW w:w="828" w:type="pct"/>
          </w:tcPr>
          <w:p w14:paraId="41D68DD4" w14:textId="73EC334E" w:rsidR="008E36CC" w:rsidRPr="00F57082" w:rsidRDefault="008E36CC" w:rsidP="00BD51B9">
            <w:pPr>
              <w:pStyle w:val="ListParagraph"/>
              <w:numPr>
                <w:ilvl w:val="0"/>
                <w:numId w:val="30"/>
              </w:numPr>
              <w:rPr>
                <w:rFonts w:cstheme="minorHAnsi"/>
                <w:b/>
                <w:sz w:val="18"/>
                <w:szCs w:val="18"/>
              </w:rPr>
            </w:pPr>
            <w:r w:rsidRPr="00F57082">
              <w:rPr>
                <w:rFonts w:cstheme="minorHAnsi"/>
                <w:b/>
                <w:sz w:val="18"/>
                <w:szCs w:val="18"/>
              </w:rPr>
              <w:t>Data challenges</w:t>
            </w:r>
          </w:p>
        </w:tc>
        <w:tc>
          <w:tcPr>
            <w:tcW w:w="2095" w:type="pct"/>
          </w:tcPr>
          <w:p w14:paraId="20A6AF41" w14:textId="7BD6D62C" w:rsidR="008E36CC" w:rsidRPr="001777AB" w:rsidRDefault="008E36CC" w:rsidP="00223FC0">
            <w:pPr>
              <w:numPr>
                <w:ilvl w:val="0"/>
                <w:numId w:val="22"/>
              </w:numPr>
              <w:rPr>
                <w:rFonts w:asciiTheme="minorHAnsi" w:hAnsiTheme="minorHAnsi" w:cstheme="minorHAnsi"/>
                <w:sz w:val="18"/>
                <w:szCs w:val="18"/>
              </w:rPr>
            </w:pPr>
            <w:r w:rsidRPr="008E36CC">
              <w:rPr>
                <w:rFonts w:asciiTheme="minorHAnsi" w:hAnsiTheme="minorHAnsi" w:cstheme="minorHAnsi"/>
                <w:sz w:val="18"/>
                <w:szCs w:val="18"/>
              </w:rPr>
              <w:t>Challenges with LMIS</w:t>
            </w:r>
            <w:r w:rsidRPr="00223FC0">
              <w:rPr>
                <w:rFonts w:asciiTheme="minorHAnsi" w:hAnsiTheme="minorHAnsi" w:cstheme="minorHAnsi"/>
                <w:sz w:val="18"/>
                <w:szCs w:val="18"/>
              </w:rPr>
              <w:t xml:space="preserve"> </w:t>
            </w:r>
          </w:p>
          <w:p w14:paraId="5F0BD48E" w14:textId="25231CA9" w:rsidR="008E36CC" w:rsidRPr="008E36CC" w:rsidRDefault="008E36CC" w:rsidP="00AA639A">
            <w:pPr>
              <w:numPr>
                <w:ilvl w:val="0"/>
                <w:numId w:val="22"/>
              </w:numPr>
              <w:rPr>
                <w:rFonts w:asciiTheme="minorHAnsi" w:hAnsiTheme="minorHAnsi" w:cstheme="minorHAnsi"/>
                <w:sz w:val="18"/>
                <w:szCs w:val="18"/>
                <w:lang w:val="en-US"/>
              </w:rPr>
            </w:pPr>
            <w:r w:rsidRPr="008E36CC">
              <w:rPr>
                <w:rFonts w:asciiTheme="minorHAnsi" w:hAnsiTheme="minorHAnsi" w:cstheme="minorHAnsi"/>
                <w:sz w:val="18"/>
                <w:szCs w:val="18"/>
              </w:rPr>
              <w:t>Data collection, analysis and reporting is not yet systematically supporting labour mobility needs.</w:t>
            </w:r>
          </w:p>
        </w:tc>
        <w:tc>
          <w:tcPr>
            <w:tcW w:w="2077" w:type="pct"/>
          </w:tcPr>
          <w:p w14:paraId="64796F11" w14:textId="77777777" w:rsidR="00431CDA" w:rsidRPr="002B4D47" w:rsidRDefault="00431CDA" w:rsidP="00BD51B9">
            <w:pPr>
              <w:numPr>
                <w:ilvl w:val="0"/>
                <w:numId w:val="22"/>
              </w:numPr>
              <w:rPr>
                <w:rFonts w:asciiTheme="minorHAnsi" w:hAnsiTheme="minorHAnsi" w:cstheme="minorHAnsi"/>
                <w:sz w:val="18"/>
                <w:szCs w:val="18"/>
              </w:rPr>
            </w:pPr>
            <w:r w:rsidRPr="00431CDA">
              <w:rPr>
                <w:rFonts w:asciiTheme="minorHAnsi" w:hAnsiTheme="minorHAnsi" w:cstheme="minorHAnsi"/>
                <w:sz w:val="18"/>
                <w:szCs w:val="18"/>
              </w:rPr>
              <w:t xml:space="preserve">Escalate efforts </w:t>
            </w:r>
            <w:r w:rsidRPr="002B4D47">
              <w:rPr>
                <w:rFonts w:ascii="Calibri" w:hAnsi="Calibri" w:cs="Calibri"/>
                <w:iCs/>
                <w:sz w:val="18"/>
                <w:szCs w:val="18"/>
              </w:rPr>
              <w:t xml:space="preserve">to ensure MEHR ownership of database management, including </w:t>
            </w:r>
          </w:p>
          <w:p w14:paraId="46F6CBFC" w14:textId="59A28388" w:rsidR="00431CDA" w:rsidRPr="002B4D47" w:rsidRDefault="00431CDA" w:rsidP="00431CDA">
            <w:pPr>
              <w:numPr>
                <w:ilvl w:val="1"/>
                <w:numId w:val="22"/>
              </w:numPr>
              <w:rPr>
                <w:rFonts w:asciiTheme="minorHAnsi" w:hAnsiTheme="minorHAnsi" w:cstheme="minorHAnsi"/>
                <w:sz w:val="18"/>
                <w:szCs w:val="18"/>
              </w:rPr>
            </w:pPr>
            <w:r w:rsidRPr="002B4D47">
              <w:rPr>
                <w:rFonts w:ascii="Calibri" w:hAnsi="Calibri" w:cs="Calibri"/>
                <w:iCs/>
                <w:sz w:val="18"/>
                <w:szCs w:val="18"/>
              </w:rPr>
              <w:t>supporting ongoing efforts to roll-out the LMIS</w:t>
            </w:r>
            <w:r w:rsidR="009D7CDD">
              <w:rPr>
                <w:rStyle w:val="FootnoteReference"/>
                <w:rFonts w:ascii="Calibri" w:hAnsi="Calibri" w:cs="Calibri"/>
                <w:iCs/>
                <w:sz w:val="18"/>
                <w:szCs w:val="18"/>
              </w:rPr>
              <w:footnoteReference w:id="29"/>
            </w:r>
            <w:r w:rsidRPr="002B4D47">
              <w:rPr>
                <w:rFonts w:ascii="Calibri" w:hAnsi="Calibri" w:cs="Calibri"/>
                <w:iCs/>
                <w:sz w:val="18"/>
                <w:szCs w:val="18"/>
              </w:rPr>
              <w:t xml:space="preserve">, and </w:t>
            </w:r>
          </w:p>
          <w:p w14:paraId="46D7CC7F" w14:textId="14ABC8CB" w:rsidR="008E36CC" w:rsidRPr="00431CDA" w:rsidRDefault="00431CDA" w:rsidP="002B4D47">
            <w:pPr>
              <w:numPr>
                <w:ilvl w:val="1"/>
                <w:numId w:val="22"/>
              </w:numPr>
              <w:rPr>
                <w:rFonts w:asciiTheme="minorHAnsi" w:hAnsiTheme="minorHAnsi" w:cstheme="minorHAnsi"/>
                <w:sz w:val="18"/>
                <w:szCs w:val="18"/>
              </w:rPr>
            </w:pPr>
            <w:r w:rsidRPr="002B4D47">
              <w:rPr>
                <w:rFonts w:ascii="Calibri" w:hAnsi="Calibri" w:cs="Calibri"/>
                <w:iCs/>
                <w:sz w:val="18"/>
                <w:szCs w:val="18"/>
              </w:rPr>
              <w:t>facilitating a consultative process with MEHR, PLF, APTC, KIT, MTC and MFAT to develop strategies to address potential conflicts and challenges to make different systems work coherently for MEHR</w:t>
            </w:r>
            <w:r w:rsidR="00223FC0" w:rsidRPr="00431CDA">
              <w:rPr>
                <w:rFonts w:asciiTheme="minorHAnsi" w:hAnsiTheme="minorHAnsi" w:cstheme="minorHAnsi"/>
                <w:sz w:val="18"/>
                <w:szCs w:val="18"/>
              </w:rPr>
              <w:t>.</w:t>
            </w:r>
          </w:p>
          <w:p w14:paraId="63E643EB" w14:textId="64F96A5D" w:rsidR="00223FC0" w:rsidRPr="008E36CC" w:rsidRDefault="00431CDA" w:rsidP="00BD51B9">
            <w:pPr>
              <w:numPr>
                <w:ilvl w:val="0"/>
                <w:numId w:val="22"/>
              </w:numPr>
              <w:rPr>
                <w:rFonts w:asciiTheme="minorHAnsi" w:hAnsiTheme="minorHAnsi" w:cstheme="minorHAnsi"/>
                <w:sz w:val="18"/>
                <w:szCs w:val="18"/>
              </w:rPr>
            </w:pPr>
            <w:r>
              <w:rPr>
                <w:rFonts w:asciiTheme="minorHAnsi" w:hAnsiTheme="minorHAnsi" w:cstheme="minorHAnsi"/>
                <w:sz w:val="18"/>
                <w:szCs w:val="18"/>
              </w:rPr>
              <w:t xml:space="preserve">Fast track </w:t>
            </w:r>
            <w:r w:rsidR="0040689D">
              <w:rPr>
                <w:rFonts w:asciiTheme="minorHAnsi" w:hAnsiTheme="minorHAnsi" w:cstheme="minorHAnsi"/>
                <w:sz w:val="18"/>
                <w:szCs w:val="18"/>
              </w:rPr>
              <w:t>gathering</w:t>
            </w:r>
            <w:r w:rsidR="00223FC0" w:rsidRPr="002B4D47">
              <w:rPr>
                <w:rFonts w:asciiTheme="minorHAnsi" w:hAnsiTheme="minorHAnsi" w:cstheme="minorHAnsi"/>
                <w:sz w:val="18"/>
                <w:szCs w:val="18"/>
              </w:rPr>
              <w:t xml:space="preserve"> of</w:t>
            </w:r>
            <w:r>
              <w:rPr>
                <w:rFonts w:asciiTheme="minorHAnsi" w:hAnsiTheme="minorHAnsi" w:cstheme="minorHAnsi"/>
                <w:sz w:val="18"/>
                <w:szCs w:val="18"/>
              </w:rPr>
              <w:t xml:space="preserve"> data on</w:t>
            </w:r>
            <w:r w:rsidR="00223FC0" w:rsidRPr="002B4D47">
              <w:rPr>
                <w:rFonts w:asciiTheme="minorHAnsi" w:hAnsiTheme="minorHAnsi" w:cstheme="minorHAnsi"/>
                <w:sz w:val="18"/>
                <w:szCs w:val="18"/>
              </w:rPr>
              <w:t xml:space="preserve"> Australian employer needs/labour mobility needs to </w:t>
            </w:r>
            <w:r w:rsidR="0040689D">
              <w:rPr>
                <w:rFonts w:asciiTheme="minorHAnsi" w:hAnsiTheme="minorHAnsi" w:cstheme="minorHAnsi"/>
                <w:sz w:val="18"/>
                <w:szCs w:val="18"/>
              </w:rPr>
              <w:t>better inform</w:t>
            </w:r>
            <w:r w:rsidR="00223FC0" w:rsidRPr="002B4D47">
              <w:rPr>
                <w:rFonts w:asciiTheme="minorHAnsi" w:hAnsiTheme="minorHAnsi" w:cstheme="minorHAnsi"/>
                <w:sz w:val="18"/>
                <w:szCs w:val="18"/>
              </w:rPr>
              <w:t xml:space="preserve"> </w:t>
            </w:r>
            <w:r w:rsidR="0040689D">
              <w:rPr>
                <w:rFonts w:asciiTheme="minorHAnsi" w:hAnsiTheme="minorHAnsi" w:cstheme="minorHAnsi"/>
                <w:sz w:val="18"/>
                <w:szCs w:val="18"/>
              </w:rPr>
              <w:t>KIT’s academic planning process</w:t>
            </w:r>
          </w:p>
        </w:tc>
      </w:tr>
      <w:tr w:rsidR="008E36CC" w:rsidRPr="008E36CC" w14:paraId="38E7A513" w14:textId="77777777" w:rsidTr="00941D79">
        <w:trPr>
          <w:trHeight w:val="1572"/>
        </w:trPr>
        <w:tc>
          <w:tcPr>
            <w:tcW w:w="828" w:type="pct"/>
          </w:tcPr>
          <w:p w14:paraId="19ECA9AA" w14:textId="77777777" w:rsidR="008E36CC" w:rsidRPr="00F57082" w:rsidRDefault="008E36CC" w:rsidP="00BD51B9">
            <w:pPr>
              <w:pStyle w:val="ListParagraph"/>
              <w:numPr>
                <w:ilvl w:val="0"/>
                <w:numId w:val="30"/>
              </w:numPr>
              <w:rPr>
                <w:rFonts w:cstheme="minorHAnsi"/>
                <w:b/>
                <w:sz w:val="18"/>
                <w:szCs w:val="18"/>
              </w:rPr>
            </w:pPr>
            <w:r w:rsidRPr="00F57082">
              <w:rPr>
                <w:rFonts w:cstheme="minorHAnsi"/>
                <w:b/>
                <w:sz w:val="18"/>
                <w:szCs w:val="18"/>
              </w:rPr>
              <w:t>Gender</w:t>
            </w:r>
          </w:p>
        </w:tc>
        <w:tc>
          <w:tcPr>
            <w:tcW w:w="2095" w:type="pct"/>
          </w:tcPr>
          <w:p w14:paraId="27359528" w14:textId="1AB28A58" w:rsidR="008E36CC" w:rsidRPr="008E36CC" w:rsidRDefault="008E36CC" w:rsidP="00AA639A">
            <w:pPr>
              <w:numPr>
                <w:ilvl w:val="0"/>
                <w:numId w:val="22"/>
              </w:numPr>
              <w:rPr>
                <w:rFonts w:asciiTheme="minorHAnsi" w:hAnsiTheme="minorHAnsi" w:cstheme="minorHAnsi"/>
                <w:sz w:val="18"/>
                <w:szCs w:val="18"/>
              </w:rPr>
            </w:pPr>
            <w:r>
              <w:rPr>
                <w:rFonts w:asciiTheme="minorHAnsi" w:hAnsiTheme="minorHAnsi" w:cstheme="minorHAnsi"/>
                <w:sz w:val="18"/>
                <w:szCs w:val="18"/>
              </w:rPr>
              <w:t>I</w:t>
            </w:r>
            <w:r w:rsidRPr="008E36CC">
              <w:rPr>
                <w:rFonts w:asciiTheme="minorHAnsi" w:hAnsiTheme="minorHAnsi" w:cstheme="minorHAnsi"/>
                <w:sz w:val="18"/>
                <w:szCs w:val="18"/>
              </w:rPr>
              <w:t xml:space="preserve">ncreased participation of women in skills development programs at KIT </w:t>
            </w:r>
          </w:p>
          <w:p w14:paraId="4DA7F46D" w14:textId="77777777" w:rsidR="008E36CC" w:rsidRPr="008E36CC" w:rsidRDefault="008E36CC" w:rsidP="00AA639A">
            <w:pPr>
              <w:numPr>
                <w:ilvl w:val="0"/>
                <w:numId w:val="22"/>
              </w:numPr>
              <w:rPr>
                <w:rFonts w:asciiTheme="minorHAnsi" w:hAnsiTheme="minorHAnsi" w:cstheme="minorHAnsi"/>
                <w:sz w:val="18"/>
                <w:szCs w:val="18"/>
              </w:rPr>
            </w:pPr>
            <w:r w:rsidRPr="008E36CC">
              <w:rPr>
                <w:rFonts w:asciiTheme="minorHAnsi" w:hAnsiTheme="minorHAnsi" w:cstheme="minorHAnsi"/>
                <w:sz w:val="18"/>
                <w:szCs w:val="18"/>
              </w:rPr>
              <w:t>Gender equality and women’s empowerment considerations have been integrated across SfEP</w:t>
            </w:r>
          </w:p>
          <w:p w14:paraId="3F58CBB8" w14:textId="31B70913" w:rsidR="008E36CC" w:rsidRPr="008E36CC" w:rsidRDefault="008E36CC" w:rsidP="00AA639A">
            <w:pPr>
              <w:numPr>
                <w:ilvl w:val="0"/>
                <w:numId w:val="22"/>
              </w:numPr>
              <w:rPr>
                <w:rFonts w:asciiTheme="minorHAnsi" w:hAnsiTheme="minorHAnsi" w:cstheme="minorHAnsi"/>
                <w:sz w:val="18"/>
                <w:szCs w:val="18"/>
              </w:rPr>
            </w:pPr>
            <w:r w:rsidRPr="008E36CC">
              <w:rPr>
                <w:rFonts w:asciiTheme="minorHAnsi" w:hAnsiTheme="minorHAnsi" w:cstheme="minorHAnsi"/>
                <w:sz w:val="18"/>
                <w:szCs w:val="18"/>
              </w:rPr>
              <w:t>Recognition at KIT that it could do better</w:t>
            </w:r>
            <w:r w:rsidR="004B6763">
              <w:rPr>
                <w:rFonts w:asciiTheme="minorHAnsi" w:hAnsiTheme="minorHAnsi" w:cstheme="minorHAnsi"/>
                <w:sz w:val="18"/>
                <w:szCs w:val="18"/>
              </w:rPr>
              <w:t>,</w:t>
            </w:r>
            <w:r w:rsidRPr="008E36CC">
              <w:rPr>
                <w:rFonts w:asciiTheme="minorHAnsi" w:hAnsiTheme="minorHAnsi" w:cstheme="minorHAnsi"/>
                <w:sz w:val="18"/>
                <w:szCs w:val="18"/>
              </w:rPr>
              <w:t xml:space="preserve"> and hence the Gender Review funded by the FSF</w:t>
            </w:r>
          </w:p>
        </w:tc>
        <w:tc>
          <w:tcPr>
            <w:tcW w:w="2077" w:type="pct"/>
          </w:tcPr>
          <w:p w14:paraId="1F02C18C" w14:textId="77777777" w:rsidR="008E36CC" w:rsidRDefault="008E36CC" w:rsidP="00AA639A">
            <w:pPr>
              <w:numPr>
                <w:ilvl w:val="0"/>
                <w:numId w:val="22"/>
              </w:numPr>
              <w:rPr>
                <w:rFonts w:asciiTheme="minorHAnsi" w:hAnsiTheme="minorHAnsi" w:cstheme="minorHAnsi"/>
                <w:sz w:val="18"/>
                <w:szCs w:val="18"/>
              </w:rPr>
            </w:pPr>
            <w:r w:rsidRPr="008E36CC">
              <w:rPr>
                <w:rFonts w:asciiTheme="minorHAnsi" w:hAnsiTheme="minorHAnsi" w:cstheme="minorHAnsi"/>
                <w:sz w:val="18"/>
                <w:szCs w:val="18"/>
              </w:rPr>
              <w:t>Developing a KIT management response to the review, which will include a road map/ plan as to how KIT plans to address recommendations made in the Gender Review</w:t>
            </w:r>
          </w:p>
          <w:p w14:paraId="3802C915" w14:textId="77777777" w:rsidR="002472C4" w:rsidRDefault="002472C4" w:rsidP="00AA639A">
            <w:pPr>
              <w:numPr>
                <w:ilvl w:val="0"/>
                <w:numId w:val="22"/>
              </w:numPr>
              <w:rPr>
                <w:rFonts w:asciiTheme="minorHAnsi" w:hAnsiTheme="minorHAnsi" w:cstheme="minorHAnsi"/>
                <w:sz w:val="18"/>
                <w:szCs w:val="18"/>
              </w:rPr>
            </w:pPr>
            <w:r>
              <w:rPr>
                <w:rFonts w:asciiTheme="minorHAnsi" w:hAnsiTheme="minorHAnsi" w:cstheme="minorHAnsi"/>
                <w:sz w:val="18"/>
                <w:szCs w:val="18"/>
              </w:rPr>
              <w:t xml:space="preserve">Ensure that future reporting of data is systematically disaggregated </w:t>
            </w:r>
            <w:r w:rsidRPr="002B4D47">
              <w:rPr>
                <w:rFonts w:asciiTheme="minorHAnsi" w:hAnsiTheme="minorHAnsi" w:cstheme="minorHAnsi"/>
                <w:sz w:val="18"/>
                <w:szCs w:val="18"/>
              </w:rPr>
              <w:t xml:space="preserve">to enable a better perspective on any gender dimensions with regards to the EOPOs. </w:t>
            </w:r>
          </w:p>
          <w:p w14:paraId="50D8BBA8" w14:textId="77777777" w:rsidR="002472C4" w:rsidRDefault="002472C4" w:rsidP="00AA639A">
            <w:pPr>
              <w:numPr>
                <w:ilvl w:val="0"/>
                <w:numId w:val="22"/>
              </w:numPr>
              <w:rPr>
                <w:rFonts w:asciiTheme="minorHAnsi" w:hAnsiTheme="minorHAnsi" w:cstheme="minorHAnsi"/>
                <w:sz w:val="18"/>
                <w:szCs w:val="18"/>
              </w:rPr>
            </w:pPr>
            <w:r w:rsidRPr="002B4D47">
              <w:rPr>
                <w:rFonts w:asciiTheme="minorHAnsi" w:hAnsiTheme="minorHAnsi" w:cstheme="minorHAnsi"/>
                <w:sz w:val="18"/>
                <w:szCs w:val="18"/>
              </w:rPr>
              <w:t>Further research is also required on how KIT has managed to increase women’s participation in non-traditional courses, and what steps need to be taken to consolidate these gains</w:t>
            </w:r>
          </w:p>
          <w:p w14:paraId="4C8C2EAE" w14:textId="7AE83865" w:rsidR="002472C4" w:rsidRPr="008E36CC" w:rsidRDefault="002472C4" w:rsidP="00AA639A">
            <w:pPr>
              <w:numPr>
                <w:ilvl w:val="0"/>
                <w:numId w:val="22"/>
              </w:numPr>
              <w:rPr>
                <w:rFonts w:asciiTheme="minorHAnsi" w:hAnsiTheme="minorHAnsi" w:cstheme="minorHAnsi"/>
                <w:sz w:val="18"/>
                <w:szCs w:val="18"/>
              </w:rPr>
            </w:pPr>
            <w:r w:rsidRPr="002B4D47">
              <w:rPr>
                <w:rFonts w:asciiTheme="minorHAnsi" w:hAnsiTheme="minorHAnsi" w:cstheme="minorHAnsi"/>
                <w:sz w:val="18"/>
                <w:szCs w:val="18"/>
              </w:rPr>
              <w:t>KIT should be encouraged to gather more data on the extent to which gender-orientated activities are being used (in particular the GBN referrals) and what more needs to be done to reduce course withdrawal rates</w:t>
            </w:r>
          </w:p>
        </w:tc>
      </w:tr>
      <w:tr w:rsidR="008E36CC" w:rsidRPr="008E36CC" w14:paraId="567AD762" w14:textId="77777777" w:rsidTr="001D3B2B">
        <w:trPr>
          <w:cnfStyle w:val="000000100000" w:firstRow="0" w:lastRow="0" w:firstColumn="0" w:lastColumn="0" w:oddVBand="0" w:evenVBand="0" w:oddHBand="1" w:evenHBand="0" w:firstRowFirstColumn="0" w:firstRowLastColumn="0" w:lastRowFirstColumn="0" w:lastRowLastColumn="0"/>
          <w:trHeight w:val="1251"/>
        </w:trPr>
        <w:tc>
          <w:tcPr>
            <w:tcW w:w="828" w:type="pct"/>
          </w:tcPr>
          <w:p w14:paraId="05C172D5" w14:textId="0EEA144F" w:rsidR="008E36CC" w:rsidRPr="00F57082" w:rsidRDefault="008E36CC" w:rsidP="00BD51B9">
            <w:pPr>
              <w:pStyle w:val="ListParagraph"/>
              <w:numPr>
                <w:ilvl w:val="0"/>
                <w:numId w:val="30"/>
              </w:numPr>
              <w:rPr>
                <w:rFonts w:cstheme="minorHAnsi"/>
                <w:b/>
                <w:sz w:val="18"/>
                <w:szCs w:val="18"/>
              </w:rPr>
            </w:pPr>
            <w:r w:rsidRPr="00F57082">
              <w:rPr>
                <w:rFonts w:cstheme="minorHAnsi"/>
                <w:b/>
                <w:sz w:val="18"/>
                <w:szCs w:val="18"/>
              </w:rPr>
              <w:t>Value for Money</w:t>
            </w:r>
          </w:p>
        </w:tc>
        <w:tc>
          <w:tcPr>
            <w:tcW w:w="2095" w:type="pct"/>
          </w:tcPr>
          <w:p w14:paraId="581FCAC3" w14:textId="77777777" w:rsidR="008E36CC" w:rsidRPr="008E36CC" w:rsidRDefault="008E36CC" w:rsidP="00AA639A">
            <w:pPr>
              <w:numPr>
                <w:ilvl w:val="0"/>
                <w:numId w:val="22"/>
              </w:numPr>
              <w:rPr>
                <w:rFonts w:asciiTheme="minorHAnsi" w:hAnsiTheme="minorHAnsi" w:cstheme="minorHAnsi"/>
                <w:sz w:val="18"/>
                <w:szCs w:val="18"/>
                <w:lang w:val="en-US"/>
              </w:rPr>
            </w:pPr>
            <w:r w:rsidRPr="008E36CC">
              <w:rPr>
                <w:rFonts w:asciiTheme="minorHAnsi" w:hAnsiTheme="minorHAnsi" w:cstheme="minorHAnsi"/>
                <w:sz w:val="18"/>
                <w:szCs w:val="18"/>
              </w:rPr>
              <w:t>Original Design document makes a strong argument for Kiribati Facility’s value proposition</w:t>
            </w:r>
          </w:p>
          <w:p w14:paraId="695F0927" w14:textId="09D64F7F" w:rsidR="008E36CC" w:rsidRPr="008E36CC" w:rsidRDefault="008E36CC" w:rsidP="00AA639A">
            <w:pPr>
              <w:numPr>
                <w:ilvl w:val="0"/>
                <w:numId w:val="22"/>
              </w:numPr>
              <w:rPr>
                <w:rFonts w:asciiTheme="minorHAnsi" w:hAnsiTheme="minorHAnsi" w:cstheme="minorHAnsi"/>
                <w:sz w:val="18"/>
                <w:szCs w:val="18"/>
                <w:lang w:val="en-US"/>
              </w:rPr>
            </w:pPr>
            <w:r w:rsidRPr="008E36CC">
              <w:rPr>
                <w:rFonts w:asciiTheme="minorHAnsi" w:hAnsiTheme="minorHAnsi" w:cstheme="minorHAnsi"/>
                <w:sz w:val="18"/>
                <w:szCs w:val="18"/>
              </w:rPr>
              <w:t>Not systematically reported upon in reports</w:t>
            </w:r>
          </w:p>
        </w:tc>
        <w:tc>
          <w:tcPr>
            <w:tcW w:w="2077" w:type="pct"/>
          </w:tcPr>
          <w:p w14:paraId="36319891" w14:textId="77777777" w:rsidR="008E36CC" w:rsidRDefault="008E36CC" w:rsidP="00AA639A">
            <w:pPr>
              <w:numPr>
                <w:ilvl w:val="0"/>
                <w:numId w:val="22"/>
              </w:numPr>
              <w:rPr>
                <w:rFonts w:asciiTheme="minorHAnsi" w:hAnsiTheme="minorHAnsi" w:cstheme="minorHAnsi"/>
                <w:sz w:val="18"/>
                <w:szCs w:val="18"/>
              </w:rPr>
            </w:pPr>
            <w:r w:rsidRPr="008E36CC">
              <w:rPr>
                <w:rFonts w:asciiTheme="minorHAnsi" w:hAnsiTheme="minorHAnsi" w:cstheme="minorHAnsi"/>
                <w:sz w:val="18"/>
                <w:szCs w:val="18"/>
              </w:rPr>
              <w:t xml:space="preserve">Revisit design document and use it as a basis to develop a VfM rubric in order to report VfM systematically </w:t>
            </w:r>
          </w:p>
          <w:p w14:paraId="7DEF0AB6" w14:textId="6E7FC190" w:rsidR="008E36CC" w:rsidRPr="008E36CC" w:rsidRDefault="008E36CC" w:rsidP="00AA639A">
            <w:pPr>
              <w:numPr>
                <w:ilvl w:val="0"/>
                <w:numId w:val="22"/>
              </w:numPr>
              <w:rPr>
                <w:rFonts w:asciiTheme="minorHAnsi" w:hAnsiTheme="minorHAnsi" w:cstheme="minorHAnsi"/>
                <w:sz w:val="18"/>
                <w:szCs w:val="18"/>
              </w:rPr>
            </w:pPr>
            <w:r w:rsidRPr="008E36CC">
              <w:rPr>
                <w:rFonts w:asciiTheme="minorHAnsi" w:hAnsiTheme="minorHAnsi" w:cstheme="minorHAnsi"/>
                <w:sz w:val="18"/>
                <w:szCs w:val="18"/>
              </w:rPr>
              <w:t>Report on unit cost per KIT graduate on an annual basis</w:t>
            </w:r>
          </w:p>
        </w:tc>
      </w:tr>
    </w:tbl>
    <w:p w14:paraId="1F1A755F" w14:textId="77777777" w:rsidR="00897D63" w:rsidRPr="00D63906" w:rsidRDefault="00897D63" w:rsidP="00D63906">
      <w:pPr>
        <w:rPr>
          <w:rFonts w:asciiTheme="minorHAnsi" w:hAnsiTheme="minorHAnsi" w:cs="Arial"/>
          <w:sz w:val="20"/>
          <w:szCs w:val="20"/>
        </w:rPr>
      </w:pPr>
    </w:p>
    <w:p w14:paraId="63847AE7" w14:textId="2D72FB87" w:rsidR="00B851A5" w:rsidRPr="00E22B40" w:rsidRDefault="00B851A5" w:rsidP="00726F0B">
      <w:pPr>
        <w:pStyle w:val="Heading2"/>
        <w:spacing w:before="360"/>
        <w:rPr>
          <w:rFonts w:asciiTheme="minorHAnsi" w:hAnsiTheme="minorHAnsi" w:cs="Arial"/>
        </w:rPr>
      </w:pPr>
      <w:r w:rsidRPr="00E22B40">
        <w:rPr>
          <w:rFonts w:asciiTheme="minorHAnsi" w:hAnsiTheme="minorHAnsi" w:cs="Arial"/>
          <w:b w:val="0"/>
          <w:bCs w:val="0"/>
        </w:rPr>
        <w:br w:type="page"/>
      </w:r>
    </w:p>
    <w:p w14:paraId="4C71A056" w14:textId="30765075" w:rsidR="009B7E95" w:rsidRDefault="009B7E95" w:rsidP="009B7E95">
      <w:pPr>
        <w:pStyle w:val="Heading2"/>
        <w:spacing w:before="360"/>
        <w:ind w:left="431" w:hanging="431"/>
        <w:rPr>
          <w:rFonts w:asciiTheme="minorHAnsi" w:hAnsiTheme="minorHAnsi" w:cs="Arial"/>
        </w:rPr>
      </w:pPr>
      <w:bookmarkStart w:id="45" w:name="_Toc8623415"/>
      <w:r w:rsidRPr="00E22B40">
        <w:rPr>
          <w:rFonts w:asciiTheme="minorHAnsi" w:hAnsiTheme="minorHAnsi" w:cs="Arial"/>
        </w:rPr>
        <w:t xml:space="preserve">Annex 1: </w:t>
      </w:r>
      <w:r w:rsidR="00EA6781">
        <w:rPr>
          <w:rFonts w:asciiTheme="minorHAnsi" w:hAnsiTheme="minorHAnsi" w:cs="Arial"/>
        </w:rPr>
        <w:t xml:space="preserve">Proposed Amendments to </w:t>
      </w:r>
      <w:r w:rsidR="00EA6781" w:rsidRPr="002D23C3">
        <w:rPr>
          <w:i/>
        </w:rPr>
        <w:t>S</w:t>
      </w:r>
      <w:r w:rsidR="00EA6781">
        <w:rPr>
          <w:i/>
        </w:rPr>
        <w:t>chedule 1 - S</w:t>
      </w:r>
      <w:r w:rsidR="00EA6781" w:rsidRPr="002D23C3">
        <w:rPr>
          <w:i/>
        </w:rPr>
        <w:t>tatement of Requirements</w:t>
      </w:r>
      <w:r w:rsidR="00EA6781">
        <w:t>, Contract# 72209</w:t>
      </w:r>
      <w:bookmarkEnd w:id="45"/>
    </w:p>
    <w:p w14:paraId="74983DEF" w14:textId="272C3882" w:rsidR="001216D1" w:rsidRDefault="001216D1" w:rsidP="001216D1">
      <w:pPr>
        <w:pStyle w:val="ListParagraph"/>
        <w:numPr>
          <w:ilvl w:val="0"/>
          <w:numId w:val="27"/>
        </w:numPr>
        <w:spacing w:after="0" w:line="240" w:lineRule="auto"/>
        <w:rPr>
          <w:sz w:val="20"/>
          <w:szCs w:val="20"/>
        </w:rPr>
      </w:pPr>
      <w:r w:rsidRPr="00F57082">
        <w:rPr>
          <w:sz w:val="20"/>
          <w:szCs w:val="20"/>
        </w:rPr>
        <w:t xml:space="preserve">Governance arrangements need to be adjusted as suggested under </w:t>
      </w:r>
      <w:r w:rsidR="00C9541B">
        <w:rPr>
          <w:sz w:val="20"/>
          <w:szCs w:val="20"/>
        </w:rPr>
        <w:t>Recommendation #3 above</w:t>
      </w:r>
      <w:r w:rsidRPr="00F57082">
        <w:rPr>
          <w:sz w:val="20"/>
          <w:szCs w:val="20"/>
        </w:rPr>
        <w:t>, i.e.:</w:t>
      </w:r>
    </w:p>
    <w:p w14:paraId="4CC420F3" w14:textId="77777777" w:rsidR="00C9541B" w:rsidRPr="002B4D47" w:rsidRDefault="00C9541B" w:rsidP="002B4D47">
      <w:pPr>
        <w:pStyle w:val="ListParagraph"/>
        <w:numPr>
          <w:ilvl w:val="1"/>
          <w:numId w:val="27"/>
        </w:numPr>
        <w:spacing w:after="0" w:line="240" w:lineRule="auto"/>
        <w:rPr>
          <w:sz w:val="20"/>
          <w:szCs w:val="20"/>
        </w:rPr>
      </w:pPr>
      <w:r w:rsidRPr="002B4D47">
        <w:rPr>
          <w:sz w:val="20"/>
          <w:szCs w:val="20"/>
        </w:rPr>
        <w:t>Need for the establishment of a sector-wide TVET sector reference group to be led by MEHR whose key mandate would be to provide strategic advice to the GoK pertaining to the Skills and Employment Sector, including the labour mobility component</w:t>
      </w:r>
    </w:p>
    <w:p w14:paraId="1B30EEE9" w14:textId="77777777" w:rsidR="00C9541B" w:rsidRPr="002B4D47" w:rsidRDefault="00C9541B" w:rsidP="002B4D47">
      <w:pPr>
        <w:pStyle w:val="ListParagraph"/>
        <w:numPr>
          <w:ilvl w:val="1"/>
          <w:numId w:val="27"/>
        </w:numPr>
        <w:spacing w:after="0" w:line="240" w:lineRule="auto"/>
        <w:rPr>
          <w:sz w:val="20"/>
          <w:szCs w:val="20"/>
        </w:rPr>
      </w:pPr>
      <w:r w:rsidRPr="002B4D47">
        <w:rPr>
          <w:sz w:val="20"/>
          <w:szCs w:val="20"/>
        </w:rPr>
        <w:t>Revisit the mandate of both SPAG and the KIT Advisory Council to ensure it aligns with its original intent</w:t>
      </w:r>
    </w:p>
    <w:p w14:paraId="3F4A11F3" w14:textId="36F0A0AF" w:rsidR="00C9541B" w:rsidRPr="002B4D47" w:rsidRDefault="00C9541B" w:rsidP="002B4D47">
      <w:pPr>
        <w:pStyle w:val="ListParagraph"/>
        <w:numPr>
          <w:ilvl w:val="1"/>
          <w:numId w:val="27"/>
        </w:numPr>
        <w:spacing w:after="0" w:line="240" w:lineRule="auto"/>
        <w:rPr>
          <w:sz w:val="20"/>
          <w:szCs w:val="20"/>
        </w:rPr>
      </w:pPr>
      <w:r w:rsidRPr="002B4D47">
        <w:rPr>
          <w:sz w:val="20"/>
          <w:szCs w:val="20"/>
        </w:rPr>
        <w:t>Roles of APTC, PLF, and NZMFAT in SPAG and KAC need</w:t>
      </w:r>
      <w:r w:rsidR="00716007">
        <w:rPr>
          <w:sz w:val="20"/>
          <w:szCs w:val="20"/>
        </w:rPr>
        <w:t>s</w:t>
      </w:r>
      <w:r w:rsidRPr="002B4D47">
        <w:rPr>
          <w:sz w:val="20"/>
          <w:szCs w:val="20"/>
        </w:rPr>
        <w:t xml:space="preserve"> to be clarified</w:t>
      </w:r>
    </w:p>
    <w:p w14:paraId="179F5EB0" w14:textId="77777777" w:rsidR="00C9541B" w:rsidRPr="002B4D47" w:rsidRDefault="00C9541B" w:rsidP="002B4D47">
      <w:pPr>
        <w:pStyle w:val="ListParagraph"/>
        <w:numPr>
          <w:ilvl w:val="1"/>
          <w:numId w:val="27"/>
        </w:numPr>
        <w:spacing w:after="0" w:line="240" w:lineRule="auto"/>
        <w:rPr>
          <w:sz w:val="20"/>
          <w:szCs w:val="20"/>
        </w:rPr>
      </w:pPr>
      <w:r w:rsidRPr="002B4D47">
        <w:rPr>
          <w:sz w:val="20"/>
          <w:szCs w:val="20"/>
        </w:rPr>
        <w:t>SPAG and KAC meetings need to occur more frequently (e.g. quarterly instead of six-monthly)</w:t>
      </w:r>
    </w:p>
    <w:p w14:paraId="7DAF650A" w14:textId="48513762" w:rsidR="00C9541B" w:rsidRPr="00F57082" w:rsidRDefault="00C9541B" w:rsidP="002B4D47">
      <w:pPr>
        <w:pStyle w:val="ListParagraph"/>
        <w:numPr>
          <w:ilvl w:val="1"/>
          <w:numId w:val="27"/>
        </w:numPr>
        <w:spacing w:after="0" w:line="240" w:lineRule="auto"/>
        <w:rPr>
          <w:sz w:val="20"/>
          <w:szCs w:val="20"/>
        </w:rPr>
      </w:pPr>
      <w:r w:rsidRPr="002B4D47">
        <w:rPr>
          <w:sz w:val="20"/>
          <w:szCs w:val="20"/>
        </w:rPr>
        <w:t>KIT advisory Council receives better quality employment data, and timely information from the labour mobility unit within the MEHR</w:t>
      </w:r>
    </w:p>
    <w:p w14:paraId="0F8CDDC8" w14:textId="77777777" w:rsidR="001216D1" w:rsidRPr="00F57082" w:rsidRDefault="001216D1" w:rsidP="001216D1">
      <w:pPr>
        <w:pStyle w:val="ListParagraph"/>
        <w:rPr>
          <w:sz w:val="20"/>
          <w:szCs w:val="20"/>
        </w:rPr>
      </w:pPr>
    </w:p>
    <w:p w14:paraId="2A25011F" w14:textId="77777777" w:rsidR="001216D1" w:rsidRPr="00F57082" w:rsidRDefault="001216D1" w:rsidP="001216D1">
      <w:pPr>
        <w:pStyle w:val="ListParagraph"/>
        <w:numPr>
          <w:ilvl w:val="0"/>
          <w:numId w:val="27"/>
        </w:numPr>
        <w:spacing w:after="0" w:line="240" w:lineRule="auto"/>
        <w:rPr>
          <w:sz w:val="20"/>
          <w:szCs w:val="20"/>
        </w:rPr>
      </w:pPr>
      <w:r w:rsidRPr="00F57082">
        <w:rPr>
          <w:sz w:val="20"/>
          <w:szCs w:val="20"/>
        </w:rPr>
        <w:t xml:space="preserve">With regards to </w:t>
      </w:r>
      <w:r w:rsidRPr="00F57082">
        <w:rPr>
          <w:b/>
          <w:sz w:val="20"/>
          <w:szCs w:val="20"/>
        </w:rPr>
        <w:t>Table 1: SfEP Requirements</w:t>
      </w:r>
      <w:r w:rsidRPr="00F57082">
        <w:rPr>
          <w:sz w:val="20"/>
          <w:szCs w:val="20"/>
        </w:rPr>
        <w:t xml:space="preserve"> – the following could be amended:</w:t>
      </w:r>
    </w:p>
    <w:p w14:paraId="68A8D654" w14:textId="77777777" w:rsidR="001216D1" w:rsidRPr="00F57082" w:rsidRDefault="001216D1" w:rsidP="001216D1">
      <w:pPr>
        <w:pStyle w:val="ListParagraph"/>
        <w:rPr>
          <w:sz w:val="20"/>
          <w:szCs w:val="20"/>
        </w:rPr>
      </w:pPr>
    </w:p>
    <w:p w14:paraId="30334D14" w14:textId="77777777" w:rsidR="001216D1" w:rsidRPr="00F57082" w:rsidRDefault="001216D1" w:rsidP="001216D1">
      <w:pPr>
        <w:pStyle w:val="ListParagraph"/>
        <w:numPr>
          <w:ilvl w:val="0"/>
          <w:numId w:val="28"/>
        </w:numPr>
        <w:spacing w:after="0" w:line="240" w:lineRule="auto"/>
        <w:rPr>
          <w:sz w:val="20"/>
          <w:szCs w:val="20"/>
        </w:rPr>
      </w:pPr>
      <w:r w:rsidRPr="00F57082">
        <w:rPr>
          <w:sz w:val="20"/>
          <w:szCs w:val="20"/>
          <w:lang w:val="en-US"/>
        </w:rPr>
        <w:t>Performance targets need to be reset/revisited</w:t>
      </w:r>
    </w:p>
    <w:p w14:paraId="3B20B5B5" w14:textId="61A8A641" w:rsidR="001216D1" w:rsidRPr="00F57082" w:rsidRDefault="001216D1" w:rsidP="001216D1">
      <w:pPr>
        <w:pStyle w:val="ListParagraph"/>
        <w:numPr>
          <w:ilvl w:val="1"/>
          <w:numId w:val="28"/>
        </w:numPr>
        <w:spacing w:after="0" w:line="240" w:lineRule="auto"/>
        <w:rPr>
          <w:sz w:val="20"/>
          <w:szCs w:val="20"/>
        </w:rPr>
      </w:pPr>
      <w:r w:rsidRPr="00F57082">
        <w:rPr>
          <w:sz w:val="20"/>
          <w:szCs w:val="20"/>
          <w:lang w:val="en-US"/>
        </w:rPr>
        <w:t xml:space="preserve">An incremental increase is needed in women in non-traditional trade courses (e.g. </w:t>
      </w:r>
      <w:r w:rsidR="00C9541B">
        <w:rPr>
          <w:sz w:val="20"/>
          <w:szCs w:val="20"/>
          <w:lang w:val="en-US"/>
        </w:rPr>
        <w:t>to achieve an end of phase increase by 15% in these courses</w:t>
      </w:r>
      <w:r w:rsidRPr="00F57082">
        <w:rPr>
          <w:sz w:val="20"/>
          <w:szCs w:val="20"/>
          <w:lang w:val="en-US"/>
        </w:rPr>
        <w:t>)</w:t>
      </w:r>
    </w:p>
    <w:p w14:paraId="70E7B87E" w14:textId="1AB72F97" w:rsidR="001216D1" w:rsidRPr="00F57082" w:rsidRDefault="001216D1" w:rsidP="001216D1">
      <w:pPr>
        <w:pStyle w:val="ListParagraph"/>
        <w:numPr>
          <w:ilvl w:val="1"/>
          <w:numId w:val="28"/>
        </w:numPr>
        <w:spacing w:after="0" w:line="240" w:lineRule="auto"/>
        <w:rPr>
          <w:sz w:val="20"/>
          <w:szCs w:val="20"/>
        </w:rPr>
      </w:pPr>
      <w:r w:rsidRPr="00F57082">
        <w:rPr>
          <w:sz w:val="20"/>
          <w:szCs w:val="20"/>
          <w:lang w:val="en-US"/>
        </w:rPr>
        <w:t xml:space="preserve">Specific </w:t>
      </w:r>
      <w:r w:rsidR="00C9541B">
        <w:rPr>
          <w:sz w:val="20"/>
          <w:szCs w:val="20"/>
          <w:lang w:val="en-US"/>
        </w:rPr>
        <w:t xml:space="preserve">end of phase </w:t>
      </w:r>
      <w:r w:rsidRPr="00F57082">
        <w:rPr>
          <w:sz w:val="20"/>
          <w:szCs w:val="20"/>
          <w:lang w:val="en-US"/>
        </w:rPr>
        <w:t>targets needed for KIT profile – enrolments now at original target – which will need to be set in consultation with KIT</w:t>
      </w:r>
    </w:p>
    <w:p w14:paraId="049DAE84" w14:textId="77777777" w:rsidR="001216D1" w:rsidRPr="00F57082" w:rsidRDefault="001216D1" w:rsidP="001216D1">
      <w:pPr>
        <w:pStyle w:val="ListParagraph"/>
        <w:numPr>
          <w:ilvl w:val="1"/>
          <w:numId w:val="28"/>
        </w:numPr>
        <w:spacing w:after="0" w:line="240" w:lineRule="auto"/>
        <w:rPr>
          <w:sz w:val="20"/>
          <w:szCs w:val="20"/>
        </w:rPr>
      </w:pPr>
      <w:r w:rsidRPr="00F57082">
        <w:rPr>
          <w:sz w:val="20"/>
          <w:szCs w:val="20"/>
          <w:lang w:val="en-US"/>
        </w:rPr>
        <w:t>No targets currently exist for graduation rates – targets should be set in consultation with KIT</w:t>
      </w:r>
    </w:p>
    <w:p w14:paraId="303CB16E" w14:textId="77777777" w:rsidR="001216D1" w:rsidRPr="00F57082" w:rsidRDefault="001216D1" w:rsidP="001216D1">
      <w:pPr>
        <w:pStyle w:val="ListParagraph"/>
        <w:numPr>
          <w:ilvl w:val="0"/>
          <w:numId w:val="28"/>
        </w:numPr>
        <w:spacing w:after="0" w:line="240" w:lineRule="auto"/>
        <w:rPr>
          <w:sz w:val="20"/>
          <w:szCs w:val="20"/>
        </w:rPr>
      </w:pPr>
      <w:r w:rsidRPr="00F57082">
        <w:rPr>
          <w:sz w:val="20"/>
          <w:szCs w:val="20"/>
        </w:rPr>
        <w:t>At present the Table refers to courses being aligned with the Australian Skills Quality Authority – this could be amended to also make reference to the Pacific Quality Framework.</w:t>
      </w:r>
    </w:p>
    <w:p w14:paraId="236F9AA3" w14:textId="77777777" w:rsidR="001216D1" w:rsidRPr="00F57082" w:rsidRDefault="001216D1" w:rsidP="001216D1">
      <w:pPr>
        <w:pStyle w:val="ListParagraph"/>
        <w:numPr>
          <w:ilvl w:val="0"/>
          <w:numId w:val="28"/>
        </w:numPr>
        <w:spacing w:after="0" w:line="240" w:lineRule="auto"/>
        <w:rPr>
          <w:sz w:val="20"/>
          <w:szCs w:val="20"/>
        </w:rPr>
      </w:pPr>
      <w:r w:rsidRPr="00F57082">
        <w:rPr>
          <w:sz w:val="20"/>
          <w:szCs w:val="20"/>
        </w:rPr>
        <w:t>There is not reference to Gender in the table – the contractor should be asked to develop a Gender Plan as part of the Annual Plan, in which KIT outlines appropriate strategies and support interventions to be implemented to increase participation of women in non-traditional courses and to also link up with student services in order to provide support to women.</w:t>
      </w:r>
    </w:p>
    <w:p w14:paraId="0B8C123F" w14:textId="77777777" w:rsidR="001216D1" w:rsidRPr="00F57082" w:rsidRDefault="001216D1" w:rsidP="001216D1">
      <w:pPr>
        <w:pStyle w:val="ListParagraph"/>
        <w:numPr>
          <w:ilvl w:val="0"/>
          <w:numId w:val="28"/>
        </w:numPr>
        <w:spacing w:after="0" w:line="240" w:lineRule="auto"/>
        <w:rPr>
          <w:sz w:val="20"/>
          <w:szCs w:val="20"/>
        </w:rPr>
      </w:pPr>
      <w:r w:rsidRPr="00F57082">
        <w:rPr>
          <w:sz w:val="20"/>
          <w:szCs w:val="20"/>
        </w:rPr>
        <w:t>Business Enterprise Centre could be tasked with expanding its offerings and giving thought to other businesses (such as in ICT or Horticulture)</w:t>
      </w:r>
    </w:p>
    <w:p w14:paraId="17A4A2C0" w14:textId="57537DB3" w:rsidR="001216D1" w:rsidRPr="00F57082" w:rsidRDefault="001216D1" w:rsidP="001216D1">
      <w:pPr>
        <w:pStyle w:val="ListParagraph"/>
        <w:numPr>
          <w:ilvl w:val="0"/>
          <w:numId w:val="28"/>
        </w:numPr>
        <w:spacing w:after="0" w:line="240" w:lineRule="auto"/>
        <w:rPr>
          <w:sz w:val="20"/>
          <w:szCs w:val="20"/>
        </w:rPr>
      </w:pPr>
      <w:r w:rsidRPr="00F57082">
        <w:rPr>
          <w:sz w:val="20"/>
          <w:szCs w:val="20"/>
        </w:rPr>
        <w:t xml:space="preserve">To date there has been very little progress on the Job Search Centre – </w:t>
      </w:r>
      <w:r w:rsidR="00C9541B">
        <w:rPr>
          <w:sz w:val="20"/>
          <w:szCs w:val="20"/>
        </w:rPr>
        <w:t xml:space="preserve">suggest </w:t>
      </w:r>
      <w:r w:rsidR="00C9541B" w:rsidRPr="002B4D47">
        <w:rPr>
          <w:sz w:val="20"/>
          <w:szCs w:val="20"/>
        </w:rPr>
        <w:t>subsuming JSC operations under ESS for KIT Graduates only as MEHR want to retain ownership of job brokerage for community and overseas employment through the NCCEC</w:t>
      </w:r>
      <w:r w:rsidRPr="00F57082">
        <w:rPr>
          <w:sz w:val="20"/>
          <w:szCs w:val="20"/>
        </w:rPr>
        <w:t>.</w:t>
      </w:r>
    </w:p>
    <w:p w14:paraId="22046B81" w14:textId="77777777" w:rsidR="001216D1" w:rsidRPr="00F57082" w:rsidRDefault="001216D1" w:rsidP="001216D1">
      <w:pPr>
        <w:pStyle w:val="ListParagraph"/>
        <w:numPr>
          <w:ilvl w:val="0"/>
          <w:numId w:val="28"/>
        </w:numPr>
        <w:spacing w:after="0" w:line="240" w:lineRule="auto"/>
        <w:rPr>
          <w:sz w:val="20"/>
          <w:szCs w:val="20"/>
        </w:rPr>
      </w:pPr>
      <w:r w:rsidRPr="00F57082">
        <w:rPr>
          <w:sz w:val="20"/>
          <w:szCs w:val="20"/>
        </w:rPr>
        <w:t>Little progress has been achieved with regards to Fee-for-service – again this is probably an area that still requires attention and should not be removed from the list of services the contractor is meant to be providing.</w:t>
      </w:r>
    </w:p>
    <w:p w14:paraId="1E9CFFD8" w14:textId="20E0E174" w:rsidR="001216D1" w:rsidRPr="00F57082" w:rsidRDefault="001216D1" w:rsidP="001216D1">
      <w:pPr>
        <w:pStyle w:val="ListParagraph"/>
        <w:numPr>
          <w:ilvl w:val="0"/>
          <w:numId w:val="28"/>
        </w:numPr>
        <w:spacing w:after="0" w:line="240" w:lineRule="auto"/>
        <w:rPr>
          <w:sz w:val="20"/>
          <w:szCs w:val="20"/>
        </w:rPr>
      </w:pPr>
      <w:r w:rsidRPr="00F57082">
        <w:rPr>
          <w:sz w:val="20"/>
          <w:szCs w:val="20"/>
        </w:rPr>
        <w:t>As already noted above activities under EOPO4 have not yet been implemented. There is no good reason why these activities should not remain as part of the list of services to be provided by the contractor.</w:t>
      </w:r>
    </w:p>
    <w:p w14:paraId="080FBBFE" w14:textId="77777777" w:rsidR="001216D1" w:rsidRPr="00F57082" w:rsidRDefault="001216D1" w:rsidP="001216D1">
      <w:pPr>
        <w:pStyle w:val="ListParagraph"/>
        <w:rPr>
          <w:sz w:val="20"/>
          <w:szCs w:val="20"/>
        </w:rPr>
      </w:pPr>
    </w:p>
    <w:p w14:paraId="5EABAD6D" w14:textId="2FBE0016" w:rsidR="001216D1" w:rsidRPr="00F57082" w:rsidRDefault="001216D1" w:rsidP="001216D1">
      <w:pPr>
        <w:pStyle w:val="ListParagraph"/>
        <w:numPr>
          <w:ilvl w:val="0"/>
          <w:numId w:val="27"/>
        </w:numPr>
        <w:spacing w:after="0" w:line="240" w:lineRule="auto"/>
        <w:rPr>
          <w:sz w:val="20"/>
          <w:szCs w:val="20"/>
        </w:rPr>
      </w:pPr>
      <w:r w:rsidRPr="00F57082">
        <w:rPr>
          <w:sz w:val="20"/>
          <w:szCs w:val="20"/>
        </w:rPr>
        <w:t xml:space="preserve">None of the services under </w:t>
      </w:r>
      <w:r w:rsidRPr="00F57082">
        <w:rPr>
          <w:b/>
          <w:sz w:val="20"/>
          <w:szCs w:val="20"/>
        </w:rPr>
        <w:t>Table 2: FSF Requirements</w:t>
      </w:r>
      <w:r w:rsidRPr="00F57082">
        <w:rPr>
          <w:sz w:val="20"/>
          <w:szCs w:val="20"/>
        </w:rPr>
        <w:t xml:space="preserve"> have been provided by the contractor, and therefore they should remain</w:t>
      </w:r>
      <w:r w:rsidR="00C9541B">
        <w:rPr>
          <w:sz w:val="20"/>
          <w:szCs w:val="20"/>
        </w:rPr>
        <w:t xml:space="preserve">, albeit references to specific projects under item ii should be removed – for example the table </w:t>
      </w:r>
      <w:r w:rsidR="00C9541B" w:rsidRPr="002B4D47">
        <w:rPr>
          <w:sz w:val="20"/>
          <w:szCs w:val="20"/>
        </w:rPr>
        <w:t>it references the TB elimination activity with the Ministry of Health which was not implemented by DFAT through the FS</w:t>
      </w:r>
      <w:r w:rsidR="00C9541B">
        <w:rPr>
          <w:sz w:val="20"/>
          <w:szCs w:val="20"/>
        </w:rPr>
        <w:t>F</w:t>
      </w:r>
      <w:r w:rsidRPr="00F57082">
        <w:rPr>
          <w:sz w:val="20"/>
          <w:szCs w:val="20"/>
        </w:rPr>
        <w:t>.</w:t>
      </w:r>
    </w:p>
    <w:p w14:paraId="7B292A9A" w14:textId="77777777" w:rsidR="001216D1" w:rsidRPr="00F57082" w:rsidRDefault="001216D1" w:rsidP="001216D1">
      <w:pPr>
        <w:pStyle w:val="ListParagraph"/>
        <w:rPr>
          <w:sz w:val="20"/>
          <w:szCs w:val="20"/>
        </w:rPr>
      </w:pPr>
    </w:p>
    <w:p w14:paraId="75544762" w14:textId="390A18F0" w:rsidR="001216D1" w:rsidRPr="00F57082" w:rsidRDefault="001216D1" w:rsidP="001216D1">
      <w:pPr>
        <w:pStyle w:val="ListParagraph"/>
        <w:numPr>
          <w:ilvl w:val="0"/>
          <w:numId w:val="27"/>
        </w:numPr>
        <w:spacing w:after="0" w:line="240" w:lineRule="auto"/>
        <w:rPr>
          <w:sz w:val="20"/>
          <w:szCs w:val="20"/>
        </w:rPr>
      </w:pPr>
      <w:r w:rsidRPr="00F57082">
        <w:rPr>
          <w:sz w:val="20"/>
          <w:szCs w:val="20"/>
        </w:rPr>
        <w:t xml:space="preserve">Contract </w:t>
      </w:r>
      <w:r w:rsidR="00C9541B">
        <w:rPr>
          <w:sz w:val="20"/>
          <w:szCs w:val="20"/>
        </w:rPr>
        <w:t>milestones</w:t>
      </w:r>
      <w:r w:rsidR="00C9541B" w:rsidRPr="00F57082">
        <w:rPr>
          <w:sz w:val="20"/>
          <w:szCs w:val="20"/>
        </w:rPr>
        <w:t xml:space="preserve"> </w:t>
      </w:r>
      <w:r w:rsidRPr="00F57082">
        <w:rPr>
          <w:sz w:val="20"/>
          <w:szCs w:val="20"/>
        </w:rPr>
        <w:t xml:space="preserve">(outlined in </w:t>
      </w:r>
      <w:r w:rsidRPr="00F57082">
        <w:rPr>
          <w:b/>
          <w:sz w:val="20"/>
          <w:szCs w:val="20"/>
        </w:rPr>
        <w:t>Tables 3, 4, and 5</w:t>
      </w:r>
      <w:r w:rsidRPr="00F57082">
        <w:rPr>
          <w:sz w:val="20"/>
          <w:szCs w:val="20"/>
        </w:rPr>
        <w:t>) should remain but require updating in terms of dates.</w:t>
      </w:r>
    </w:p>
    <w:p w14:paraId="56880C8C" w14:textId="77777777" w:rsidR="001216D1" w:rsidRPr="00F57082" w:rsidRDefault="001216D1" w:rsidP="002B4D47"/>
    <w:p w14:paraId="60D68210" w14:textId="27062C77" w:rsidR="001216D1" w:rsidRDefault="001216D1" w:rsidP="001216D1">
      <w:pPr>
        <w:pStyle w:val="ListParagraph"/>
        <w:numPr>
          <w:ilvl w:val="0"/>
          <w:numId w:val="27"/>
        </w:numPr>
        <w:spacing w:after="0" w:line="240" w:lineRule="auto"/>
        <w:rPr>
          <w:sz w:val="20"/>
          <w:szCs w:val="20"/>
        </w:rPr>
      </w:pPr>
      <w:r w:rsidRPr="00F57082">
        <w:rPr>
          <w:sz w:val="20"/>
          <w:szCs w:val="20"/>
        </w:rPr>
        <w:t xml:space="preserve">The functions for the </w:t>
      </w:r>
      <w:r w:rsidR="00C9541B">
        <w:rPr>
          <w:sz w:val="20"/>
          <w:szCs w:val="20"/>
        </w:rPr>
        <w:t>KIT Director</w:t>
      </w:r>
      <w:r w:rsidRPr="00F57082">
        <w:rPr>
          <w:sz w:val="20"/>
          <w:szCs w:val="20"/>
        </w:rPr>
        <w:t xml:space="preserve"> </w:t>
      </w:r>
      <w:r w:rsidR="003C0B09">
        <w:rPr>
          <w:sz w:val="20"/>
          <w:szCs w:val="20"/>
        </w:rPr>
        <w:t>will</w:t>
      </w:r>
      <w:r w:rsidRPr="00F57082">
        <w:rPr>
          <w:sz w:val="20"/>
          <w:szCs w:val="20"/>
        </w:rPr>
        <w:t xml:space="preserve"> require any adjustment, </w:t>
      </w:r>
      <w:r w:rsidR="003C0B09">
        <w:rPr>
          <w:sz w:val="20"/>
          <w:szCs w:val="20"/>
        </w:rPr>
        <w:t>especially as</w:t>
      </w:r>
      <w:r w:rsidR="00C9541B" w:rsidRPr="00F57082">
        <w:rPr>
          <w:sz w:val="20"/>
          <w:szCs w:val="20"/>
        </w:rPr>
        <w:t xml:space="preserve"> </w:t>
      </w:r>
      <w:r w:rsidRPr="00F57082">
        <w:rPr>
          <w:sz w:val="20"/>
          <w:szCs w:val="20"/>
        </w:rPr>
        <w:t>the Director will also be overseeing the implementation of the new Master Plan for KIT</w:t>
      </w:r>
      <w:r w:rsidR="003C0B09">
        <w:rPr>
          <w:sz w:val="20"/>
          <w:szCs w:val="20"/>
        </w:rPr>
        <w:t>. The following adjustments are proposed</w:t>
      </w:r>
      <w:r w:rsidRPr="00F57082">
        <w:rPr>
          <w:sz w:val="20"/>
          <w:szCs w:val="20"/>
        </w:rPr>
        <w:t>.</w:t>
      </w:r>
    </w:p>
    <w:p w14:paraId="149C70CC" w14:textId="77777777" w:rsidR="004B6763" w:rsidRPr="004B6763" w:rsidRDefault="004B6763" w:rsidP="004B6763">
      <w:pPr>
        <w:pStyle w:val="ListParagraph"/>
        <w:rPr>
          <w:sz w:val="20"/>
          <w:szCs w:val="20"/>
        </w:rPr>
      </w:pPr>
    </w:p>
    <w:p w14:paraId="5CBA0496" w14:textId="674EC3AF" w:rsidR="004B6763" w:rsidRDefault="004B6763" w:rsidP="004B6763">
      <w:pPr>
        <w:pStyle w:val="ListParagraph"/>
        <w:numPr>
          <w:ilvl w:val="1"/>
          <w:numId w:val="27"/>
        </w:numPr>
        <w:spacing w:after="0" w:line="240" w:lineRule="auto"/>
        <w:rPr>
          <w:sz w:val="20"/>
          <w:szCs w:val="20"/>
        </w:rPr>
      </w:pPr>
      <w:r w:rsidRPr="004B6763">
        <w:rPr>
          <w:sz w:val="20"/>
          <w:szCs w:val="20"/>
        </w:rPr>
        <w:t>Need to consider a review of team leader remuneration, particularly if the statement of requirements expands and anticipated additional work</w:t>
      </w:r>
      <w:r>
        <w:rPr>
          <w:sz w:val="20"/>
          <w:szCs w:val="20"/>
        </w:rPr>
        <w:t>.</w:t>
      </w:r>
    </w:p>
    <w:p w14:paraId="2DD60D7F" w14:textId="4C3307AB" w:rsidR="004B6763" w:rsidRPr="004B6763" w:rsidRDefault="004B6763" w:rsidP="004B6763">
      <w:pPr>
        <w:pStyle w:val="ListParagraph"/>
        <w:numPr>
          <w:ilvl w:val="1"/>
          <w:numId w:val="27"/>
        </w:numPr>
        <w:spacing w:after="0" w:line="240" w:lineRule="auto"/>
        <w:rPr>
          <w:sz w:val="20"/>
          <w:szCs w:val="20"/>
        </w:rPr>
      </w:pPr>
      <w:r w:rsidRPr="004B6763">
        <w:rPr>
          <w:sz w:val="20"/>
          <w:szCs w:val="20"/>
        </w:rPr>
        <w:t xml:space="preserve">The current Team Leader/KIT Director position is ARF C4 (mid-range). An increase to minimum C4 MRP rate is commensurate with similar-type roles in other programs. </w:t>
      </w:r>
      <w:r>
        <w:rPr>
          <w:sz w:val="20"/>
          <w:szCs w:val="20"/>
        </w:rPr>
        <w:t>There is a need</w:t>
      </w:r>
      <w:r w:rsidRPr="004B6763">
        <w:rPr>
          <w:sz w:val="20"/>
          <w:szCs w:val="20"/>
        </w:rPr>
        <w:t xml:space="preserve"> to recognise the complexity of the team leader role in the context of Kiribati</w:t>
      </w:r>
      <w:r>
        <w:rPr>
          <w:sz w:val="20"/>
          <w:szCs w:val="20"/>
        </w:rPr>
        <w:t>.</w:t>
      </w:r>
    </w:p>
    <w:p w14:paraId="1E19AEC2" w14:textId="77777777" w:rsidR="003C0B09" w:rsidRDefault="004B6763" w:rsidP="004B6763">
      <w:pPr>
        <w:pStyle w:val="ListParagraph"/>
        <w:numPr>
          <w:ilvl w:val="1"/>
          <w:numId w:val="27"/>
        </w:numPr>
        <w:spacing w:after="0" w:line="240" w:lineRule="auto"/>
        <w:rPr>
          <w:sz w:val="20"/>
          <w:szCs w:val="20"/>
        </w:rPr>
      </w:pPr>
      <w:r w:rsidRPr="004B6763">
        <w:rPr>
          <w:sz w:val="20"/>
          <w:szCs w:val="20"/>
        </w:rPr>
        <w:t xml:space="preserve">Retention of staff and/or attracting appropriately qualified and experienced staff is something </w:t>
      </w:r>
      <w:r>
        <w:rPr>
          <w:sz w:val="20"/>
          <w:szCs w:val="20"/>
        </w:rPr>
        <w:t>that is vital to</w:t>
      </w:r>
      <w:r w:rsidRPr="004B6763">
        <w:rPr>
          <w:sz w:val="20"/>
          <w:szCs w:val="20"/>
        </w:rPr>
        <w:t xml:space="preserve"> program continuity and success in the next phase</w:t>
      </w:r>
    </w:p>
    <w:p w14:paraId="1E2BC103" w14:textId="77777777" w:rsidR="003C0B09" w:rsidRDefault="003C0B09" w:rsidP="004B6763">
      <w:pPr>
        <w:pStyle w:val="ListParagraph"/>
        <w:numPr>
          <w:ilvl w:val="1"/>
          <w:numId w:val="27"/>
        </w:numPr>
        <w:spacing w:after="0" w:line="240" w:lineRule="auto"/>
        <w:rPr>
          <w:sz w:val="20"/>
          <w:szCs w:val="20"/>
        </w:rPr>
      </w:pPr>
      <w:r>
        <w:rPr>
          <w:sz w:val="20"/>
          <w:szCs w:val="20"/>
        </w:rPr>
        <w:t>By merging KIT Director with SfEP Team Leader and Project Director, responsibilities will also need to now include:</w:t>
      </w:r>
    </w:p>
    <w:p w14:paraId="01F29B18" w14:textId="5854C420" w:rsidR="004B6763" w:rsidRDefault="003C0B09" w:rsidP="003C0B09">
      <w:pPr>
        <w:pStyle w:val="ListParagraph"/>
        <w:numPr>
          <w:ilvl w:val="2"/>
          <w:numId w:val="27"/>
        </w:numPr>
        <w:spacing w:after="0" w:line="240" w:lineRule="auto"/>
        <w:rPr>
          <w:sz w:val="20"/>
          <w:szCs w:val="20"/>
        </w:rPr>
      </w:pPr>
      <w:r>
        <w:rPr>
          <w:sz w:val="20"/>
          <w:szCs w:val="20"/>
        </w:rPr>
        <w:t>T</w:t>
      </w:r>
      <w:r w:rsidRPr="00F57082">
        <w:rPr>
          <w:sz w:val="20"/>
          <w:szCs w:val="20"/>
        </w:rPr>
        <w:t>ake responsibility for overseeing strategic direction, leadership and management in the delivery of the Kiribati Facility</w:t>
      </w:r>
      <w:r>
        <w:rPr>
          <w:rStyle w:val="FootnoteReference"/>
          <w:sz w:val="20"/>
          <w:szCs w:val="20"/>
        </w:rPr>
        <w:footnoteReference w:id="30"/>
      </w:r>
      <w:r w:rsidR="004B6763" w:rsidRPr="004B6763">
        <w:rPr>
          <w:sz w:val="20"/>
          <w:szCs w:val="20"/>
        </w:rPr>
        <w:t xml:space="preserve">. </w:t>
      </w:r>
    </w:p>
    <w:p w14:paraId="46F4D4E5" w14:textId="79FC2DEC" w:rsidR="003C0B09" w:rsidRPr="004B6763" w:rsidRDefault="003C0B09" w:rsidP="002B4D47">
      <w:pPr>
        <w:pStyle w:val="ListParagraph"/>
        <w:numPr>
          <w:ilvl w:val="2"/>
          <w:numId w:val="27"/>
        </w:numPr>
        <w:spacing w:after="0" w:line="240" w:lineRule="auto"/>
        <w:rPr>
          <w:sz w:val="20"/>
          <w:szCs w:val="20"/>
        </w:rPr>
      </w:pPr>
      <w:r w:rsidRPr="00F57082">
        <w:rPr>
          <w:sz w:val="20"/>
          <w:szCs w:val="20"/>
        </w:rPr>
        <w:t>Liaising with the MEHR and other agencies and institutions to support a range of seamless education and training pathways for I-Kiribati</w:t>
      </w:r>
      <w:r>
        <w:rPr>
          <w:sz w:val="20"/>
          <w:szCs w:val="20"/>
        </w:rPr>
        <w:t>.</w:t>
      </w:r>
    </w:p>
    <w:p w14:paraId="2048960D" w14:textId="77777777" w:rsidR="001216D1" w:rsidRPr="00F57082" w:rsidRDefault="001216D1" w:rsidP="002B4D47"/>
    <w:p w14:paraId="1BB13C54" w14:textId="00F48739" w:rsidR="001216D1" w:rsidRPr="00F57082" w:rsidRDefault="001216D1" w:rsidP="001216D1">
      <w:pPr>
        <w:pStyle w:val="ListParagraph"/>
        <w:numPr>
          <w:ilvl w:val="0"/>
          <w:numId w:val="27"/>
        </w:numPr>
        <w:spacing w:after="0" w:line="240" w:lineRule="auto"/>
        <w:rPr>
          <w:sz w:val="20"/>
          <w:szCs w:val="20"/>
        </w:rPr>
      </w:pPr>
      <w:r w:rsidRPr="00F57082">
        <w:rPr>
          <w:sz w:val="20"/>
          <w:szCs w:val="20"/>
        </w:rPr>
        <w:t>The functions for the Contractor Representative are kept separate and will include the functions already listed such as quality assurance of delivery,</w:t>
      </w:r>
      <w:r w:rsidR="00222235" w:rsidRPr="00F57082">
        <w:rPr>
          <w:sz w:val="20"/>
          <w:szCs w:val="20"/>
        </w:rPr>
        <w:t xml:space="preserve"> performance management, contractual matters, corporate resources, management of risk and so on.</w:t>
      </w:r>
    </w:p>
    <w:p w14:paraId="70BD6765" w14:textId="5176BD03" w:rsidR="00EA6781" w:rsidRPr="00F57082" w:rsidRDefault="00EA6781" w:rsidP="00EA6781">
      <w:pPr>
        <w:rPr>
          <w:sz w:val="20"/>
          <w:szCs w:val="20"/>
        </w:rPr>
      </w:pPr>
    </w:p>
    <w:p w14:paraId="533DFCD2" w14:textId="77777777" w:rsidR="00EA6781" w:rsidRPr="00F57082" w:rsidRDefault="00EA6781" w:rsidP="00EA6781">
      <w:pPr>
        <w:rPr>
          <w:sz w:val="20"/>
          <w:szCs w:val="20"/>
        </w:rPr>
      </w:pPr>
    </w:p>
    <w:p w14:paraId="6DD85B69" w14:textId="060D90C0" w:rsidR="0022125D" w:rsidRPr="00E22B40" w:rsidRDefault="0022125D" w:rsidP="0022125D">
      <w:pPr>
        <w:rPr>
          <w:rFonts w:asciiTheme="minorHAnsi" w:hAnsiTheme="minorHAnsi" w:cstheme="minorHAnsi"/>
          <w:sz w:val="20"/>
          <w:szCs w:val="20"/>
        </w:rPr>
      </w:pPr>
    </w:p>
    <w:p w14:paraId="0118B10A" w14:textId="77777777" w:rsidR="00A3732B" w:rsidRPr="00E22B40" w:rsidRDefault="00A3732B" w:rsidP="0022125D"/>
    <w:p w14:paraId="3AF8A8A5" w14:textId="01606486" w:rsidR="00980964" w:rsidRPr="00E22B40" w:rsidRDefault="00980964" w:rsidP="00980964">
      <w:pPr>
        <w:rPr>
          <w:rFonts w:asciiTheme="minorHAnsi" w:hAnsiTheme="minorHAnsi" w:cs="Arial"/>
        </w:rPr>
      </w:pPr>
    </w:p>
    <w:p w14:paraId="423DD7FB" w14:textId="77777777" w:rsidR="00980964" w:rsidRPr="00E22B40" w:rsidRDefault="00980964">
      <w:pPr>
        <w:rPr>
          <w:rFonts w:asciiTheme="minorHAnsi" w:hAnsiTheme="minorHAnsi" w:cs="Arial"/>
        </w:rPr>
      </w:pPr>
      <w:r w:rsidRPr="00E22B40">
        <w:rPr>
          <w:rFonts w:asciiTheme="minorHAnsi" w:hAnsiTheme="minorHAnsi" w:cs="Arial"/>
        </w:rPr>
        <w:br w:type="page"/>
      </w:r>
    </w:p>
    <w:p w14:paraId="2D8252DC" w14:textId="77777777" w:rsidR="005A546D" w:rsidRPr="00E22B40" w:rsidRDefault="005A546D" w:rsidP="006645C1">
      <w:pPr>
        <w:pStyle w:val="Heading2"/>
        <w:spacing w:before="360"/>
        <w:rPr>
          <w:rFonts w:asciiTheme="minorHAnsi" w:hAnsiTheme="minorHAnsi" w:cs="Arial"/>
        </w:rPr>
        <w:sectPr w:rsidR="005A546D" w:rsidRPr="00E22B40" w:rsidSect="00BF7314">
          <w:headerReference w:type="even" r:id="rId19"/>
          <w:headerReference w:type="default" r:id="rId20"/>
          <w:footerReference w:type="default" r:id="rId21"/>
          <w:headerReference w:type="first" r:id="rId22"/>
          <w:pgSz w:w="11906" w:h="16838"/>
          <w:pgMar w:top="1440" w:right="1080" w:bottom="1440" w:left="1080" w:header="708" w:footer="500" w:gutter="0"/>
          <w:pgNumType w:start="1"/>
          <w:cols w:space="708"/>
          <w:docGrid w:linePitch="360"/>
        </w:sectPr>
      </w:pPr>
    </w:p>
    <w:p w14:paraId="6E6A6339" w14:textId="105F8AB8" w:rsidR="00EA6781" w:rsidRPr="00DE1159" w:rsidRDefault="00EA6781" w:rsidP="00DE1159">
      <w:pPr>
        <w:pStyle w:val="Heading2"/>
        <w:spacing w:before="360"/>
        <w:ind w:left="431" w:hanging="431"/>
        <w:rPr>
          <w:rFonts w:asciiTheme="minorHAnsi" w:hAnsiTheme="minorHAnsi" w:cs="Arial"/>
        </w:rPr>
      </w:pPr>
      <w:bookmarkStart w:id="46" w:name="_Toc8623416"/>
      <w:r w:rsidRPr="00E22B40">
        <w:rPr>
          <w:rFonts w:asciiTheme="minorHAnsi" w:hAnsiTheme="minorHAnsi" w:cs="Arial"/>
        </w:rPr>
        <w:t xml:space="preserve">Annex </w:t>
      </w:r>
      <w:r>
        <w:rPr>
          <w:rFonts w:asciiTheme="minorHAnsi" w:hAnsiTheme="minorHAnsi" w:cs="Arial"/>
        </w:rPr>
        <w:t>2</w:t>
      </w:r>
      <w:r w:rsidRPr="00E22B40">
        <w:rPr>
          <w:rFonts w:asciiTheme="minorHAnsi" w:hAnsiTheme="minorHAnsi" w:cs="Arial"/>
        </w:rPr>
        <w:t>: Terms of Reference</w:t>
      </w:r>
      <w:bookmarkEnd w:id="46"/>
    </w:p>
    <w:p w14:paraId="4CCC7AB3" w14:textId="77777777" w:rsidR="00EA6781" w:rsidRDefault="00EA6781">
      <w:pPr>
        <w:spacing w:after="200" w:line="276" w:lineRule="auto"/>
        <w:rPr>
          <w:rFonts w:asciiTheme="minorHAnsi" w:hAnsiTheme="minorHAnsi" w:cs="Arial"/>
        </w:rPr>
      </w:pPr>
    </w:p>
    <w:p w14:paraId="078FCC29" w14:textId="08D775BD" w:rsidR="00EA6781" w:rsidRDefault="00EA6781">
      <w:pPr>
        <w:spacing w:after="200" w:line="276" w:lineRule="auto"/>
        <w:rPr>
          <w:rFonts w:asciiTheme="minorHAnsi" w:eastAsiaTheme="majorEastAsia" w:hAnsiTheme="minorHAnsi" w:cs="Arial"/>
          <w:b/>
          <w:bCs/>
          <w:color w:val="757575"/>
          <w:sz w:val="50"/>
          <w:szCs w:val="26"/>
        </w:rPr>
      </w:pPr>
      <w:r>
        <w:rPr>
          <w:rFonts w:asciiTheme="minorHAnsi" w:hAnsiTheme="minorHAnsi" w:cs="Arial"/>
        </w:rPr>
        <w:br w:type="page"/>
      </w:r>
    </w:p>
    <w:p w14:paraId="2DA1405F" w14:textId="0F3054A2" w:rsidR="002C1180" w:rsidRPr="00E22B40" w:rsidRDefault="002C1180" w:rsidP="002C1180">
      <w:pPr>
        <w:pStyle w:val="Heading2"/>
        <w:spacing w:before="360"/>
        <w:ind w:left="431" w:hanging="431"/>
        <w:rPr>
          <w:rFonts w:asciiTheme="minorHAnsi" w:hAnsiTheme="minorHAnsi" w:cs="Arial"/>
        </w:rPr>
      </w:pPr>
      <w:bookmarkStart w:id="47" w:name="_Toc8623417"/>
      <w:r w:rsidRPr="00E22B40">
        <w:rPr>
          <w:rFonts w:asciiTheme="minorHAnsi" w:hAnsiTheme="minorHAnsi" w:cs="Arial"/>
        </w:rPr>
        <w:t xml:space="preserve">Annex </w:t>
      </w:r>
      <w:r w:rsidR="00EA6781">
        <w:rPr>
          <w:rFonts w:asciiTheme="minorHAnsi" w:hAnsiTheme="minorHAnsi" w:cs="Arial"/>
        </w:rPr>
        <w:t>3</w:t>
      </w:r>
      <w:r w:rsidRPr="00E22B40">
        <w:rPr>
          <w:rFonts w:asciiTheme="minorHAnsi" w:hAnsiTheme="minorHAnsi" w:cs="Arial"/>
        </w:rPr>
        <w:t xml:space="preserve">: Documents </w:t>
      </w:r>
      <w:r w:rsidR="00EA6781">
        <w:rPr>
          <w:rFonts w:asciiTheme="minorHAnsi" w:hAnsiTheme="minorHAnsi" w:cs="Arial"/>
        </w:rPr>
        <w:t>Reviewed</w:t>
      </w:r>
      <w:bookmarkEnd w:id="47"/>
    </w:p>
    <w:p w14:paraId="1602AF8C" w14:textId="77777777" w:rsidR="002C1180" w:rsidRPr="00E22B40" w:rsidRDefault="002C1180" w:rsidP="002C1180">
      <w:pPr>
        <w:rPr>
          <w:rFonts w:asciiTheme="minorHAnsi" w:hAnsiTheme="minorHAnsi" w:cs="Arial"/>
        </w:rPr>
      </w:pPr>
    </w:p>
    <w:tbl>
      <w:tblPr>
        <w:tblW w:w="5000" w:type="pct"/>
        <w:tblLayout w:type="fixed"/>
        <w:tblLook w:val="0000" w:firstRow="0" w:lastRow="0" w:firstColumn="0" w:lastColumn="0" w:noHBand="0" w:noVBand="0"/>
      </w:tblPr>
      <w:tblGrid>
        <w:gridCol w:w="1216"/>
        <w:gridCol w:w="8514"/>
      </w:tblGrid>
      <w:tr w:rsidR="005335E9" w:rsidRPr="00E22B40" w14:paraId="4483DEF0" w14:textId="77777777" w:rsidTr="007A6257">
        <w:trPr>
          <w:trHeight w:val="300"/>
        </w:trPr>
        <w:tc>
          <w:tcPr>
            <w:tcW w:w="625" w:type="pct"/>
            <w:tcBorders>
              <w:top w:val="single" w:sz="6" w:space="0" w:color="auto"/>
              <w:left w:val="single" w:sz="6" w:space="0" w:color="auto"/>
              <w:bottom w:val="single" w:sz="6" w:space="0" w:color="auto"/>
              <w:right w:val="single" w:sz="6" w:space="0" w:color="auto"/>
            </w:tcBorders>
          </w:tcPr>
          <w:p w14:paraId="1D412C01" w14:textId="77777777" w:rsidR="005335E9" w:rsidRPr="00E22B40" w:rsidRDefault="005335E9" w:rsidP="007A6257">
            <w:pPr>
              <w:autoSpaceDE w:val="0"/>
              <w:autoSpaceDN w:val="0"/>
              <w:adjustRightInd w:val="0"/>
              <w:jc w:val="center"/>
              <w:rPr>
                <w:rFonts w:ascii="Calibri" w:hAnsi="Calibri" w:cs="Calibri"/>
                <w:color w:val="000000" w:themeColor="text1"/>
                <w:sz w:val="20"/>
                <w:szCs w:val="20"/>
              </w:rPr>
            </w:pPr>
            <w:r w:rsidRPr="00E22B40">
              <w:rPr>
                <w:rFonts w:ascii="Calibri" w:hAnsi="Calibri" w:cs="Calibri"/>
                <w:color w:val="000000" w:themeColor="text1"/>
                <w:sz w:val="20"/>
                <w:szCs w:val="20"/>
              </w:rPr>
              <w:t>1</w:t>
            </w:r>
          </w:p>
        </w:tc>
        <w:tc>
          <w:tcPr>
            <w:tcW w:w="4375" w:type="pct"/>
            <w:tcBorders>
              <w:top w:val="single" w:sz="6" w:space="0" w:color="auto"/>
              <w:left w:val="single" w:sz="6" w:space="0" w:color="auto"/>
              <w:bottom w:val="single" w:sz="6" w:space="0" w:color="auto"/>
              <w:right w:val="single" w:sz="6" w:space="0" w:color="auto"/>
            </w:tcBorders>
          </w:tcPr>
          <w:p w14:paraId="6841EF3D" w14:textId="77777777" w:rsidR="005335E9" w:rsidRPr="00E22B40" w:rsidRDefault="005335E9" w:rsidP="007A6257">
            <w:pPr>
              <w:rPr>
                <w:rFonts w:ascii="Calibri" w:hAnsi="Calibri" w:cs="Calibri"/>
                <w:color w:val="000000" w:themeColor="text1"/>
                <w:sz w:val="20"/>
                <w:szCs w:val="20"/>
              </w:rPr>
            </w:pPr>
            <w:r w:rsidRPr="00E22B40">
              <w:rPr>
                <w:rFonts w:ascii="Calibri" w:hAnsi="Calibri" w:cs="Calibri"/>
                <w:color w:val="000000" w:themeColor="text1"/>
                <w:sz w:val="20"/>
                <w:szCs w:val="20"/>
              </w:rPr>
              <w:t>DFAT, Design document for the Kiribati Facility</w:t>
            </w:r>
          </w:p>
        </w:tc>
      </w:tr>
      <w:tr w:rsidR="005335E9" w:rsidRPr="00E22B40" w14:paraId="507A9650" w14:textId="77777777" w:rsidTr="007A6257">
        <w:trPr>
          <w:trHeight w:val="300"/>
        </w:trPr>
        <w:tc>
          <w:tcPr>
            <w:tcW w:w="625" w:type="pct"/>
            <w:tcBorders>
              <w:top w:val="single" w:sz="6" w:space="0" w:color="auto"/>
              <w:left w:val="single" w:sz="6" w:space="0" w:color="auto"/>
              <w:bottom w:val="single" w:sz="6" w:space="0" w:color="auto"/>
              <w:right w:val="single" w:sz="6" w:space="0" w:color="auto"/>
            </w:tcBorders>
          </w:tcPr>
          <w:p w14:paraId="120C669F" w14:textId="77777777" w:rsidR="005335E9" w:rsidRPr="00E22B40" w:rsidRDefault="005335E9" w:rsidP="007A6257">
            <w:pPr>
              <w:autoSpaceDE w:val="0"/>
              <w:autoSpaceDN w:val="0"/>
              <w:adjustRightInd w:val="0"/>
              <w:jc w:val="center"/>
              <w:rPr>
                <w:rFonts w:ascii="Calibri" w:hAnsi="Calibri" w:cs="Calibri"/>
                <w:color w:val="000000" w:themeColor="text1"/>
                <w:sz w:val="20"/>
                <w:szCs w:val="20"/>
              </w:rPr>
            </w:pPr>
            <w:r w:rsidRPr="00E22B40">
              <w:rPr>
                <w:rFonts w:ascii="Calibri" w:hAnsi="Calibri" w:cs="Calibri"/>
                <w:color w:val="000000" w:themeColor="text1"/>
                <w:sz w:val="20"/>
                <w:szCs w:val="20"/>
              </w:rPr>
              <w:t>2</w:t>
            </w:r>
          </w:p>
        </w:tc>
        <w:tc>
          <w:tcPr>
            <w:tcW w:w="4375" w:type="pct"/>
            <w:tcBorders>
              <w:top w:val="single" w:sz="6" w:space="0" w:color="auto"/>
              <w:left w:val="single" w:sz="6" w:space="0" w:color="auto"/>
              <w:bottom w:val="single" w:sz="6" w:space="0" w:color="auto"/>
              <w:right w:val="single" w:sz="6" w:space="0" w:color="auto"/>
            </w:tcBorders>
          </w:tcPr>
          <w:p w14:paraId="00C9958B" w14:textId="77777777" w:rsidR="005335E9" w:rsidRPr="00E22B40" w:rsidRDefault="005335E9" w:rsidP="007A6257">
            <w:pPr>
              <w:rPr>
                <w:rFonts w:ascii="Calibri" w:hAnsi="Calibri" w:cs="Calibri"/>
                <w:color w:val="000000" w:themeColor="text1"/>
                <w:sz w:val="20"/>
                <w:szCs w:val="20"/>
              </w:rPr>
            </w:pPr>
            <w:r w:rsidRPr="00E22B40">
              <w:rPr>
                <w:rFonts w:ascii="Calibri" w:hAnsi="Calibri" w:cs="Calibri"/>
                <w:color w:val="000000" w:themeColor="text1"/>
                <w:sz w:val="20"/>
                <w:szCs w:val="20"/>
              </w:rPr>
              <w:t>DFAT (2017) Annual Quality Check Report</w:t>
            </w:r>
          </w:p>
        </w:tc>
      </w:tr>
      <w:tr w:rsidR="005335E9" w:rsidRPr="00E22B40" w14:paraId="7A4DDA2F" w14:textId="77777777" w:rsidTr="007A6257">
        <w:trPr>
          <w:trHeight w:val="300"/>
        </w:trPr>
        <w:tc>
          <w:tcPr>
            <w:tcW w:w="625" w:type="pct"/>
            <w:tcBorders>
              <w:top w:val="single" w:sz="6" w:space="0" w:color="auto"/>
              <w:left w:val="single" w:sz="6" w:space="0" w:color="auto"/>
              <w:bottom w:val="single" w:sz="6" w:space="0" w:color="auto"/>
              <w:right w:val="single" w:sz="6" w:space="0" w:color="auto"/>
            </w:tcBorders>
          </w:tcPr>
          <w:p w14:paraId="09E56A56" w14:textId="77777777" w:rsidR="005335E9" w:rsidRPr="00E22B40" w:rsidRDefault="005335E9" w:rsidP="007A6257">
            <w:pPr>
              <w:autoSpaceDE w:val="0"/>
              <w:autoSpaceDN w:val="0"/>
              <w:adjustRightInd w:val="0"/>
              <w:jc w:val="center"/>
              <w:rPr>
                <w:rFonts w:ascii="Calibri" w:hAnsi="Calibri" w:cs="Calibri"/>
                <w:color w:val="000000" w:themeColor="text1"/>
                <w:sz w:val="20"/>
                <w:szCs w:val="20"/>
              </w:rPr>
            </w:pPr>
            <w:r w:rsidRPr="00E22B40">
              <w:rPr>
                <w:rFonts w:ascii="Calibri" w:hAnsi="Calibri" w:cs="Calibri"/>
                <w:color w:val="000000" w:themeColor="text1"/>
                <w:sz w:val="20"/>
                <w:szCs w:val="20"/>
              </w:rPr>
              <w:t>3</w:t>
            </w:r>
          </w:p>
        </w:tc>
        <w:tc>
          <w:tcPr>
            <w:tcW w:w="4375" w:type="pct"/>
            <w:tcBorders>
              <w:top w:val="single" w:sz="6" w:space="0" w:color="auto"/>
              <w:left w:val="single" w:sz="6" w:space="0" w:color="auto"/>
              <w:bottom w:val="single" w:sz="6" w:space="0" w:color="auto"/>
              <w:right w:val="single" w:sz="6" w:space="0" w:color="auto"/>
            </w:tcBorders>
          </w:tcPr>
          <w:p w14:paraId="412D1A11" w14:textId="77777777" w:rsidR="005335E9" w:rsidRPr="00E22B40" w:rsidRDefault="005335E9" w:rsidP="007A6257">
            <w:pPr>
              <w:rPr>
                <w:rFonts w:ascii="Calibri" w:hAnsi="Calibri" w:cs="Calibri"/>
                <w:color w:val="000000" w:themeColor="text1"/>
                <w:sz w:val="20"/>
                <w:szCs w:val="20"/>
              </w:rPr>
            </w:pPr>
            <w:r w:rsidRPr="00E22B40">
              <w:rPr>
                <w:rFonts w:ascii="Calibri" w:hAnsi="Calibri" w:cs="Calibri"/>
                <w:color w:val="000000" w:themeColor="text1"/>
                <w:sz w:val="20"/>
                <w:szCs w:val="20"/>
              </w:rPr>
              <w:t>DFAT (2018) Annual Quality Check Report</w:t>
            </w:r>
          </w:p>
        </w:tc>
      </w:tr>
      <w:tr w:rsidR="005335E9" w:rsidRPr="00E22B40" w14:paraId="2569896E" w14:textId="77777777" w:rsidTr="007A6257">
        <w:trPr>
          <w:trHeight w:val="300"/>
        </w:trPr>
        <w:tc>
          <w:tcPr>
            <w:tcW w:w="625" w:type="pct"/>
            <w:tcBorders>
              <w:top w:val="single" w:sz="6" w:space="0" w:color="auto"/>
              <w:left w:val="single" w:sz="6" w:space="0" w:color="auto"/>
              <w:bottom w:val="single" w:sz="6" w:space="0" w:color="auto"/>
              <w:right w:val="single" w:sz="6" w:space="0" w:color="auto"/>
            </w:tcBorders>
          </w:tcPr>
          <w:p w14:paraId="17B83F61" w14:textId="77777777" w:rsidR="005335E9" w:rsidRPr="00E22B40" w:rsidRDefault="005335E9" w:rsidP="007A6257">
            <w:pPr>
              <w:autoSpaceDE w:val="0"/>
              <w:autoSpaceDN w:val="0"/>
              <w:adjustRightInd w:val="0"/>
              <w:jc w:val="center"/>
              <w:rPr>
                <w:rFonts w:ascii="Calibri" w:hAnsi="Calibri" w:cs="Calibri"/>
                <w:color w:val="000000" w:themeColor="text1"/>
                <w:sz w:val="20"/>
                <w:szCs w:val="20"/>
              </w:rPr>
            </w:pPr>
            <w:r w:rsidRPr="00E22B40">
              <w:rPr>
                <w:rFonts w:ascii="Calibri" w:hAnsi="Calibri" w:cs="Calibri"/>
                <w:color w:val="000000" w:themeColor="text1"/>
                <w:sz w:val="20"/>
                <w:szCs w:val="20"/>
              </w:rPr>
              <w:t>4</w:t>
            </w:r>
          </w:p>
        </w:tc>
        <w:tc>
          <w:tcPr>
            <w:tcW w:w="4375" w:type="pct"/>
            <w:tcBorders>
              <w:top w:val="single" w:sz="6" w:space="0" w:color="auto"/>
              <w:left w:val="single" w:sz="6" w:space="0" w:color="auto"/>
              <w:bottom w:val="single" w:sz="6" w:space="0" w:color="auto"/>
              <w:right w:val="single" w:sz="6" w:space="0" w:color="auto"/>
            </w:tcBorders>
          </w:tcPr>
          <w:p w14:paraId="12641AEC" w14:textId="77777777" w:rsidR="005335E9" w:rsidRPr="00E22B40" w:rsidRDefault="005335E9" w:rsidP="007A6257">
            <w:pPr>
              <w:rPr>
                <w:rFonts w:ascii="Calibri" w:hAnsi="Calibri" w:cs="Calibri"/>
                <w:color w:val="000000" w:themeColor="text1"/>
                <w:sz w:val="20"/>
                <w:szCs w:val="20"/>
              </w:rPr>
            </w:pPr>
            <w:r w:rsidRPr="00E22B40">
              <w:rPr>
                <w:rFonts w:ascii="Calibri" w:hAnsi="Calibri" w:cs="Calibri"/>
                <w:color w:val="000000" w:themeColor="text1"/>
                <w:sz w:val="20"/>
                <w:szCs w:val="20"/>
              </w:rPr>
              <w:t>DFAT (2017) Partner Performance Assessment of Scope Global</w:t>
            </w:r>
          </w:p>
        </w:tc>
      </w:tr>
      <w:tr w:rsidR="005335E9" w:rsidRPr="00E22B40" w14:paraId="3EFEFC7C" w14:textId="77777777" w:rsidTr="007A6257">
        <w:trPr>
          <w:trHeight w:val="300"/>
        </w:trPr>
        <w:tc>
          <w:tcPr>
            <w:tcW w:w="625" w:type="pct"/>
            <w:tcBorders>
              <w:top w:val="single" w:sz="6" w:space="0" w:color="auto"/>
              <w:left w:val="single" w:sz="6" w:space="0" w:color="auto"/>
              <w:bottom w:val="single" w:sz="6" w:space="0" w:color="auto"/>
              <w:right w:val="single" w:sz="6" w:space="0" w:color="auto"/>
            </w:tcBorders>
          </w:tcPr>
          <w:p w14:paraId="5CCA158E" w14:textId="77777777" w:rsidR="005335E9" w:rsidRPr="00E22B40" w:rsidRDefault="005335E9" w:rsidP="007A6257">
            <w:pPr>
              <w:autoSpaceDE w:val="0"/>
              <w:autoSpaceDN w:val="0"/>
              <w:adjustRightInd w:val="0"/>
              <w:jc w:val="center"/>
              <w:rPr>
                <w:rFonts w:ascii="Calibri" w:hAnsi="Calibri" w:cs="Calibri"/>
                <w:color w:val="000000" w:themeColor="text1"/>
                <w:sz w:val="20"/>
                <w:szCs w:val="20"/>
              </w:rPr>
            </w:pPr>
            <w:r w:rsidRPr="00E22B40">
              <w:rPr>
                <w:rFonts w:ascii="Calibri" w:hAnsi="Calibri" w:cs="Calibri"/>
                <w:color w:val="000000" w:themeColor="text1"/>
                <w:sz w:val="20"/>
                <w:szCs w:val="20"/>
              </w:rPr>
              <w:t>5</w:t>
            </w:r>
          </w:p>
        </w:tc>
        <w:tc>
          <w:tcPr>
            <w:tcW w:w="4375" w:type="pct"/>
            <w:tcBorders>
              <w:top w:val="single" w:sz="6" w:space="0" w:color="auto"/>
              <w:left w:val="single" w:sz="6" w:space="0" w:color="auto"/>
              <w:bottom w:val="single" w:sz="6" w:space="0" w:color="auto"/>
              <w:right w:val="single" w:sz="6" w:space="0" w:color="auto"/>
            </w:tcBorders>
          </w:tcPr>
          <w:p w14:paraId="4FA9C532" w14:textId="77777777" w:rsidR="005335E9" w:rsidRPr="00E22B40" w:rsidRDefault="005335E9" w:rsidP="007A6257">
            <w:pPr>
              <w:rPr>
                <w:rFonts w:ascii="Calibri" w:hAnsi="Calibri" w:cs="Calibri"/>
                <w:color w:val="000000" w:themeColor="text1"/>
                <w:sz w:val="20"/>
                <w:szCs w:val="20"/>
              </w:rPr>
            </w:pPr>
            <w:r w:rsidRPr="00E22B40">
              <w:rPr>
                <w:rFonts w:ascii="Calibri" w:hAnsi="Calibri" w:cs="Calibri"/>
                <w:color w:val="000000" w:themeColor="text1"/>
                <w:sz w:val="20"/>
                <w:szCs w:val="20"/>
              </w:rPr>
              <w:t>DFAT (2018) Partner Performance Assessment of Scope Global</w:t>
            </w:r>
          </w:p>
        </w:tc>
      </w:tr>
      <w:tr w:rsidR="005335E9" w:rsidRPr="00E22B40" w14:paraId="28850557" w14:textId="77777777" w:rsidTr="007A6257">
        <w:trPr>
          <w:trHeight w:val="300"/>
        </w:trPr>
        <w:tc>
          <w:tcPr>
            <w:tcW w:w="625" w:type="pct"/>
            <w:tcBorders>
              <w:top w:val="single" w:sz="6" w:space="0" w:color="auto"/>
              <w:left w:val="single" w:sz="6" w:space="0" w:color="auto"/>
              <w:bottom w:val="single" w:sz="6" w:space="0" w:color="auto"/>
              <w:right w:val="single" w:sz="6" w:space="0" w:color="auto"/>
            </w:tcBorders>
          </w:tcPr>
          <w:p w14:paraId="5728FB69" w14:textId="77777777" w:rsidR="005335E9" w:rsidRPr="00E22B40" w:rsidRDefault="005335E9" w:rsidP="007A6257">
            <w:pPr>
              <w:autoSpaceDE w:val="0"/>
              <w:autoSpaceDN w:val="0"/>
              <w:adjustRightInd w:val="0"/>
              <w:jc w:val="center"/>
              <w:rPr>
                <w:rFonts w:ascii="Calibri" w:hAnsi="Calibri" w:cs="Calibri"/>
                <w:color w:val="000000" w:themeColor="text1"/>
                <w:sz w:val="20"/>
                <w:szCs w:val="20"/>
              </w:rPr>
            </w:pPr>
            <w:r w:rsidRPr="00E22B40">
              <w:rPr>
                <w:rFonts w:ascii="Calibri" w:hAnsi="Calibri" w:cs="Calibri"/>
                <w:color w:val="000000" w:themeColor="text1"/>
                <w:sz w:val="20"/>
                <w:szCs w:val="20"/>
              </w:rPr>
              <w:t>6</w:t>
            </w:r>
          </w:p>
        </w:tc>
        <w:tc>
          <w:tcPr>
            <w:tcW w:w="4375" w:type="pct"/>
            <w:tcBorders>
              <w:top w:val="single" w:sz="6" w:space="0" w:color="auto"/>
              <w:left w:val="single" w:sz="6" w:space="0" w:color="auto"/>
              <w:bottom w:val="single" w:sz="6" w:space="0" w:color="auto"/>
              <w:right w:val="single" w:sz="6" w:space="0" w:color="auto"/>
            </w:tcBorders>
          </w:tcPr>
          <w:p w14:paraId="5A41C73B" w14:textId="77777777" w:rsidR="005335E9" w:rsidRPr="00E22B40" w:rsidRDefault="005335E9" w:rsidP="007A6257">
            <w:pPr>
              <w:rPr>
                <w:rFonts w:ascii="Calibri" w:hAnsi="Calibri" w:cs="Calibri"/>
                <w:color w:val="000000" w:themeColor="text1"/>
                <w:sz w:val="20"/>
                <w:szCs w:val="20"/>
              </w:rPr>
            </w:pPr>
            <w:r w:rsidRPr="00E22B40">
              <w:rPr>
                <w:rFonts w:ascii="Calibri" w:hAnsi="Calibri" w:cs="Calibri"/>
                <w:color w:val="000000" w:themeColor="text1"/>
                <w:sz w:val="20"/>
                <w:szCs w:val="20"/>
              </w:rPr>
              <w:t xml:space="preserve">DFAT (2016 ) DFAT Goods and Services Contract #72209 </w:t>
            </w:r>
          </w:p>
        </w:tc>
      </w:tr>
      <w:tr w:rsidR="005335E9" w:rsidRPr="00E22B40" w14:paraId="4AA0C180" w14:textId="77777777" w:rsidTr="007A6257">
        <w:trPr>
          <w:trHeight w:val="300"/>
        </w:trPr>
        <w:tc>
          <w:tcPr>
            <w:tcW w:w="625" w:type="pct"/>
            <w:tcBorders>
              <w:top w:val="single" w:sz="6" w:space="0" w:color="auto"/>
              <w:left w:val="single" w:sz="6" w:space="0" w:color="auto"/>
              <w:bottom w:val="single" w:sz="6" w:space="0" w:color="auto"/>
              <w:right w:val="single" w:sz="6" w:space="0" w:color="auto"/>
            </w:tcBorders>
          </w:tcPr>
          <w:p w14:paraId="122AAB75" w14:textId="77777777" w:rsidR="005335E9" w:rsidRPr="00E22B40" w:rsidRDefault="005335E9" w:rsidP="007A6257">
            <w:pPr>
              <w:autoSpaceDE w:val="0"/>
              <w:autoSpaceDN w:val="0"/>
              <w:adjustRightInd w:val="0"/>
              <w:jc w:val="center"/>
              <w:rPr>
                <w:rFonts w:ascii="Calibri" w:hAnsi="Calibri" w:cs="Calibri"/>
                <w:color w:val="000000" w:themeColor="text1"/>
                <w:sz w:val="20"/>
                <w:szCs w:val="20"/>
              </w:rPr>
            </w:pPr>
            <w:r w:rsidRPr="00E22B40">
              <w:rPr>
                <w:rFonts w:ascii="Calibri" w:hAnsi="Calibri" w:cs="Calibri"/>
                <w:color w:val="000000" w:themeColor="text1"/>
                <w:sz w:val="20"/>
                <w:szCs w:val="20"/>
              </w:rPr>
              <w:t>7</w:t>
            </w:r>
          </w:p>
        </w:tc>
        <w:tc>
          <w:tcPr>
            <w:tcW w:w="4375" w:type="pct"/>
            <w:tcBorders>
              <w:top w:val="single" w:sz="6" w:space="0" w:color="auto"/>
              <w:left w:val="single" w:sz="6" w:space="0" w:color="auto"/>
              <w:bottom w:val="single" w:sz="6" w:space="0" w:color="auto"/>
              <w:right w:val="single" w:sz="6" w:space="0" w:color="auto"/>
            </w:tcBorders>
          </w:tcPr>
          <w:p w14:paraId="0A005A9C" w14:textId="77777777" w:rsidR="005335E9" w:rsidRPr="00E22B40" w:rsidRDefault="005335E9" w:rsidP="007A6257">
            <w:pPr>
              <w:rPr>
                <w:rFonts w:ascii="Calibri" w:hAnsi="Calibri" w:cs="Calibri"/>
                <w:color w:val="000000" w:themeColor="text1"/>
                <w:sz w:val="20"/>
                <w:szCs w:val="20"/>
              </w:rPr>
            </w:pPr>
            <w:r w:rsidRPr="00E22B40">
              <w:rPr>
                <w:rFonts w:ascii="Calibri" w:hAnsi="Calibri" w:cs="Calibri"/>
                <w:color w:val="000000" w:themeColor="text1"/>
                <w:sz w:val="20"/>
                <w:szCs w:val="20"/>
              </w:rPr>
              <w:t>DFAT (2018) Pacific Labour facility Investment Design Document</w:t>
            </w:r>
          </w:p>
        </w:tc>
      </w:tr>
      <w:tr w:rsidR="005335E9" w:rsidRPr="00E22B40" w14:paraId="32F55DC6" w14:textId="77777777" w:rsidTr="007A6257">
        <w:trPr>
          <w:trHeight w:val="300"/>
        </w:trPr>
        <w:tc>
          <w:tcPr>
            <w:tcW w:w="625" w:type="pct"/>
            <w:tcBorders>
              <w:top w:val="single" w:sz="6" w:space="0" w:color="auto"/>
              <w:left w:val="single" w:sz="6" w:space="0" w:color="auto"/>
              <w:bottom w:val="single" w:sz="6" w:space="0" w:color="auto"/>
              <w:right w:val="single" w:sz="6" w:space="0" w:color="auto"/>
            </w:tcBorders>
          </w:tcPr>
          <w:p w14:paraId="142C397F" w14:textId="77777777" w:rsidR="005335E9" w:rsidRPr="00E22B40" w:rsidRDefault="005335E9" w:rsidP="007A6257">
            <w:pPr>
              <w:autoSpaceDE w:val="0"/>
              <w:autoSpaceDN w:val="0"/>
              <w:adjustRightInd w:val="0"/>
              <w:jc w:val="center"/>
              <w:rPr>
                <w:rFonts w:ascii="Calibri" w:hAnsi="Calibri" w:cs="Calibri"/>
                <w:color w:val="000000" w:themeColor="text1"/>
                <w:sz w:val="20"/>
                <w:szCs w:val="20"/>
              </w:rPr>
            </w:pPr>
            <w:r w:rsidRPr="00E22B40">
              <w:rPr>
                <w:rFonts w:ascii="Calibri" w:hAnsi="Calibri" w:cs="Calibri"/>
                <w:color w:val="000000" w:themeColor="text1"/>
                <w:sz w:val="20"/>
                <w:szCs w:val="20"/>
              </w:rPr>
              <w:t>8</w:t>
            </w:r>
          </w:p>
        </w:tc>
        <w:tc>
          <w:tcPr>
            <w:tcW w:w="4375" w:type="pct"/>
            <w:tcBorders>
              <w:top w:val="single" w:sz="6" w:space="0" w:color="auto"/>
              <w:left w:val="single" w:sz="6" w:space="0" w:color="auto"/>
              <w:bottom w:val="single" w:sz="6" w:space="0" w:color="auto"/>
              <w:right w:val="single" w:sz="6" w:space="0" w:color="auto"/>
            </w:tcBorders>
          </w:tcPr>
          <w:p w14:paraId="7FA6897C" w14:textId="77777777" w:rsidR="005335E9" w:rsidRPr="00E22B40" w:rsidRDefault="005335E9" w:rsidP="007A6257">
            <w:pPr>
              <w:autoSpaceDE w:val="0"/>
              <w:autoSpaceDN w:val="0"/>
              <w:adjustRightInd w:val="0"/>
              <w:rPr>
                <w:rFonts w:ascii="Calibri" w:hAnsi="Calibri" w:cs="Calibri"/>
                <w:color w:val="000000" w:themeColor="text1"/>
                <w:sz w:val="20"/>
                <w:szCs w:val="20"/>
              </w:rPr>
            </w:pPr>
            <w:r w:rsidRPr="00E22B40">
              <w:rPr>
                <w:rFonts w:ascii="Calibri" w:hAnsi="Calibri" w:cs="Calibri"/>
                <w:color w:val="000000" w:themeColor="text1"/>
                <w:sz w:val="20"/>
                <w:szCs w:val="20"/>
              </w:rPr>
              <w:t>DFAT (2017) Australia Pacific Training Coalition Stage 3 Investment Design Document</w:t>
            </w:r>
          </w:p>
        </w:tc>
      </w:tr>
      <w:tr w:rsidR="005335E9" w:rsidRPr="00E22B40" w14:paraId="5DC98C29" w14:textId="77777777" w:rsidTr="007A6257">
        <w:trPr>
          <w:trHeight w:val="300"/>
        </w:trPr>
        <w:tc>
          <w:tcPr>
            <w:tcW w:w="625" w:type="pct"/>
            <w:tcBorders>
              <w:top w:val="single" w:sz="6" w:space="0" w:color="auto"/>
              <w:left w:val="single" w:sz="6" w:space="0" w:color="auto"/>
              <w:bottom w:val="single" w:sz="6" w:space="0" w:color="auto"/>
              <w:right w:val="single" w:sz="6" w:space="0" w:color="auto"/>
            </w:tcBorders>
          </w:tcPr>
          <w:p w14:paraId="0A1B34FF" w14:textId="77777777" w:rsidR="005335E9" w:rsidRPr="00E22B40" w:rsidRDefault="005335E9" w:rsidP="007A6257">
            <w:pPr>
              <w:autoSpaceDE w:val="0"/>
              <w:autoSpaceDN w:val="0"/>
              <w:adjustRightInd w:val="0"/>
              <w:jc w:val="center"/>
              <w:rPr>
                <w:rFonts w:ascii="Calibri" w:hAnsi="Calibri" w:cs="Calibri"/>
                <w:color w:val="000000" w:themeColor="text1"/>
                <w:sz w:val="20"/>
                <w:szCs w:val="20"/>
              </w:rPr>
            </w:pPr>
            <w:r w:rsidRPr="00E22B40">
              <w:rPr>
                <w:rFonts w:ascii="Calibri" w:hAnsi="Calibri" w:cs="Calibri"/>
                <w:color w:val="000000" w:themeColor="text1"/>
                <w:sz w:val="20"/>
                <w:szCs w:val="20"/>
              </w:rPr>
              <w:t>9</w:t>
            </w:r>
          </w:p>
        </w:tc>
        <w:tc>
          <w:tcPr>
            <w:tcW w:w="4375" w:type="pct"/>
            <w:tcBorders>
              <w:top w:val="single" w:sz="6" w:space="0" w:color="auto"/>
              <w:left w:val="single" w:sz="6" w:space="0" w:color="auto"/>
              <w:bottom w:val="single" w:sz="6" w:space="0" w:color="auto"/>
              <w:right w:val="single" w:sz="6" w:space="0" w:color="auto"/>
            </w:tcBorders>
          </w:tcPr>
          <w:p w14:paraId="50CCD9BA" w14:textId="77777777" w:rsidR="005335E9" w:rsidRPr="00E22B40" w:rsidRDefault="005335E9" w:rsidP="007A6257">
            <w:pPr>
              <w:rPr>
                <w:rFonts w:ascii="Calibri" w:hAnsi="Calibri" w:cs="Calibri"/>
                <w:color w:val="000000" w:themeColor="text1"/>
                <w:sz w:val="20"/>
                <w:szCs w:val="20"/>
              </w:rPr>
            </w:pPr>
            <w:r w:rsidRPr="00E22B40">
              <w:rPr>
                <w:rFonts w:ascii="Calibri" w:hAnsi="Calibri" w:cs="Calibri"/>
                <w:color w:val="000000" w:themeColor="text1"/>
                <w:sz w:val="20"/>
                <w:szCs w:val="20"/>
              </w:rPr>
              <w:t>Australian Government (2017) Foreign Policy White Paper</w:t>
            </w:r>
          </w:p>
        </w:tc>
      </w:tr>
      <w:tr w:rsidR="005335E9" w:rsidRPr="00E22B40" w14:paraId="0BF8A592" w14:textId="77777777" w:rsidTr="007A6257">
        <w:trPr>
          <w:trHeight w:val="300"/>
        </w:trPr>
        <w:tc>
          <w:tcPr>
            <w:tcW w:w="625" w:type="pct"/>
            <w:tcBorders>
              <w:top w:val="single" w:sz="6" w:space="0" w:color="auto"/>
              <w:left w:val="single" w:sz="6" w:space="0" w:color="auto"/>
              <w:bottom w:val="single" w:sz="6" w:space="0" w:color="auto"/>
              <w:right w:val="single" w:sz="6" w:space="0" w:color="auto"/>
            </w:tcBorders>
          </w:tcPr>
          <w:p w14:paraId="1812E7B3" w14:textId="77777777" w:rsidR="005335E9" w:rsidRPr="00E22B40" w:rsidRDefault="005335E9" w:rsidP="007A6257">
            <w:pPr>
              <w:autoSpaceDE w:val="0"/>
              <w:autoSpaceDN w:val="0"/>
              <w:adjustRightInd w:val="0"/>
              <w:jc w:val="center"/>
              <w:rPr>
                <w:rFonts w:ascii="Calibri" w:hAnsi="Calibri" w:cs="Calibri"/>
                <w:color w:val="000000" w:themeColor="text1"/>
                <w:sz w:val="20"/>
                <w:szCs w:val="20"/>
              </w:rPr>
            </w:pPr>
            <w:r w:rsidRPr="00E22B40">
              <w:rPr>
                <w:rFonts w:ascii="Calibri" w:hAnsi="Calibri" w:cs="Calibri"/>
                <w:color w:val="000000" w:themeColor="text1"/>
                <w:sz w:val="20"/>
                <w:szCs w:val="20"/>
              </w:rPr>
              <w:t>10</w:t>
            </w:r>
          </w:p>
        </w:tc>
        <w:tc>
          <w:tcPr>
            <w:tcW w:w="4375" w:type="pct"/>
            <w:tcBorders>
              <w:top w:val="single" w:sz="6" w:space="0" w:color="auto"/>
              <w:left w:val="single" w:sz="6" w:space="0" w:color="auto"/>
              <w:bottom w:val="single" w:sz="6" w:space="0" w:color="auto"/>
              <w:right w:val="single" w:sz="6" w:space="0" w:color="auto"/>
            </w:tcBorders>
          </w:tcPr>
          <w:p w14:paraId="284F7999" w14:textId="77777777" w:rsidR="005335E9" w:rsidRPr="00E22B40" w:rsidRDefault="005335E9" w:rsidP="007A6257">
            <w:pPr>
              <w:autoSpaceDE w:val="0"/>
              <w:autoSpaceDN w:val="0"/>
              <w:adjustRightInd w:val="0"/>
              <w:rPr>
                <w:rFonts w:ascii="Calibri" w:hAnsi="Calibri" w:cs="Calibri"/>
                <w:color w:val="000000" w:themeColor="text1"/>
                <w:sz w:val="20"/>
                <w:szCs w:val="20"/>
              </w:rPr>
            </w:pPr>
            <w:r w:rsidRPr="00E22B40">
              <w:rPr>
                <w:rFonts w:ascii="Calibri" w:hAnsi="Calibri" w:cs="Calibri"/>
                <w:color w:val="000000" w:themeColor="text1"/>
                <w:sz w:val="20"/>
                <w:szCs w:val="20"/>
              </w:rPr>
              <w:t>GoK (2016) Kiribati 20-Year Vision</w:t>
            </w:r>
          </w:p>
        </w:tc>
      </w:tr>
      <w:tr w:rsidR="005335E9" w:rsidRPr="00E22B40" w14:paraId="5455BBDD" w14:textId="77777777" w:rsidTr="007A6257">
        <w:trPr>
          <w:trHeight w:val="300"/>
        </w:trPr>
        <w:tc>
          <w:tcPr>
            <w:tcW w:w="625" w:type="pct"/>
            <w:tcBorders>
              <w:top w:val="single" w:sz="6" w:space="0" w:color="auto"/>
              <w:left w:val="single" w:sz="6" w:space="0" w:color="auto"/>
              <w:bottom w:val="single" w:sz="6" w:space="0" w:color="auto"/>
              <w:right w:val="single" w:sz="6" w:space="0" w:color="auto"/>
            </w:tcBorders>
          </w:tcPr>
          <w:p w14:paraId="5CF49459" w14:textId="77777777" w:rsidR="005335E9" w:rsidRPr="00E22B40" w:rsidRDefault="005335E9" w:rsidP="007A6257">
            <w:pPr>
              <w:autoSpaceDE w:val="0"/>
              <w:autoSpaceDN w:val="0"/>
              <w:adjustRightInd w:val="0"/>
              <w:jc w:val="center"/>
              <w:rPr>
                <w:rFonts w:ascii="Calibri" w:hAnsi="Calibri" w:cs="Calibri"/>
                <w:color w:val="000000" w:themeColor="text1"/>
                <w:sz w:val="20"/>
                <w:szCs w:val="20"/>
              </w:rPr>
            </w:pPr>
            <w:r w:rsidRPr="00E22B40">
              <w:rPr>
                <w:rFonts w:ascii="Calibri" w:hAnsi="Calibri" w:cs="Calibri"/>
                <w:color w:val="000000" w:themeColor="text1"/>
                <w:sz w:val="20"/>
                <w:szCs w:val="20"/>
              </w:rPr>
              <w:t>11</w:t>
            </w:r>
          </w:p>
        </w:tc>
        <w:tc>
          <w:tcPr>
            <w:tcW w:w="4375" w:type="pct"/>
            <w:tcBorders>
              <w:top w:val="single" w:sz="6" w:space="0" w:color="auto"/>
              <w:left w:val="single" w:sz="6" w:space="0" w:color="auto"/>
              <w:bottom w:val="single" w:sz="6" w:space="0" w:color="auto"/>
              <w:right w:val="single" w:sz="6" w:space="0" w:color="auto"/>
            </w:tcBorders>
          </w:tcPr>
          <w:p w14:paraId="2DEC1105" w14:textId="5A1777D4" w:rsidR="005335E9" w:rsidRPr="00E22B40" w:rsidRDefault="005335E9" w:rsidP="007A6257">
            <w:pPr>
              <w:autoSpaceDE w:val="0"/>
              <w:autoSpaceDN w:val="0"/>
              <w:adjustRightInd w:val="0"/>
              <w:rPr>
                <w:rFonts w:ascii="Calibri" w:hAnsi="Calibri" w:cs="Calibri"/>
                <w:color w:val="000000" w:themeColor="text1"/>
                <w:sz w:val="20"/>
                <w:szCs w:val="20"/>
              </w:rPr>
            </w:pPr>
            <w:r w:rsidRPr="00E22B40">
              <w:rPr>
                <w:rFonts w:ascii="Calibri" w:hAnsi="Calibri" w:cs="Calibri"/>
                <w:color w:val="000000" w:themeColor="text1"/>
                <w:sz w:val="20"/>
                <w:szCs w:val="20"/>
              </w:rPr>
              <w:t>GOK (2016) Ministry of Labour and Human Resources Development Strategic Plan, 2016 - 2019</w:t>
            </w:r>
          </w:p>
        </w:tc>
      </w:tr>
      <w:tr w:rsidR="005335E9" w:rsidRPr="00E22B40" w14:paraId="40983FC2" w14:textId="77777777" w:rsidTr="007A6257">
        <w:trPr>
          <w:trHeight w:val="300"/>
        </w:trPr>
        <w:tc>
          <w:tcPr>
            <w:tcW w:w="625" w:type="pct"/>
            <w:tcBorders>
              <w:top w:val="single" w:sz="6" w:space="0" w:color="auto"/>
              <w:left w:val="single" w:sz="6" w:space="0" w:color="auto"/>
              <w:bottom w:val="single" w:sz="6" w:space="0" w:color="auto"/>
              <w:right w:val="single" w:sz="6" w:space="0" w:color="auto"/>
            </w:tcBorders>
          </w:tcPr>
          <w:p w14:paraId="7814FF53" w14:textId="77777777" w:rsidR="005335E9" w:rsidRPr="00E22B40" w:rsidRDefault="005335E9" w:rsidP="007A6257">
            <w:pPr>
              <w:autoSpaceDE w:val="0"/>
              <w:autoSpaceDN w:val="0"/>
              <w:adjustRightInd w:val="0"/>
              <w:jc w:val="center"/>
              <w:rPr>
                <w:rFonts w:ascii="Calibri" w:hAnsi="Calibri" w:cs="Calibri"/>
                <w:color w:val="000000" w:themeColor="text1"/>
                <w:sz w:val="20"/>
                <w:szCs w:val="20"/>
              </w:rPr>
            </w:pPr>
            <w:r w:rsidRPr="00E22B40">
              <w:rPr>
                <w:rFonts w:ascii="Calibri" w:hAnsi="Calibri" w:cs="Calibri"/>
                <w:color w:val="000000" w:themeColor="text1"/>
                <w:sz w:val="20"/>
                <w:szCs w:val="20"/>
              </w:rPr>
              <w:t>12</w:t>
            </w:r>
          </w:p>
        </w:tc>
        <w:tc>
          <w:tcPr>
            <w:tcW w:w="4375" w:type="pct"/>
            <w:tcBorders>
              <w:top w:val="single" w:sz="6" w:space="0" w:color="auto"/>
              <w:left w:val="single" w:sz="6" w:space="0" w:color="auto"/>
              <w:bottom w:val="single" w:sz="6" w:space="0" w:color="auto"/>
              <w:right w:val="single" w:sz="6" w:space="0" w:color="auto"/>
            </w:tcBorders>
          </w:tcPr>
          <w:p w14:paraId="5893FE86" w14:textId="77777777" w:rsidR="005335E9" w:rsidRPr="00E22B40" w:rsidRDefault="005335E9" w:rsidP="007A6257">
            <w:pPr>
              <w:rPr>
                <w:rFonts w:ascii="Calibri" w:hAnsi="Calibri" w:cs="Calibri"/>
                <w:color w:val="000000" w:themeColor="text1"/>
                <w:sz w:val="20"/>
                <w:szCs w:val="20"/>
              </w:rPr>
            </w:pPr>
            <w:r w:rsidRPr="00E22B40">
              <w:rPr>
                <w:rFonts w:ascii="Calibri" w:hAnsi="Calibri" w:cs="Calibri"/>
                <w:color w:val="000000" w:themeColor="text1"/>
                <w:sz w:val="20"/>
                <w:szCs w:val="20"/>
              </w:rPr>
              <w:t>Scope Global (2015) Kiribati TVET Sector Strengthening Program – Phase II Delivery Plan: 2016</w:t>
            </w:r>
          </w:p>
        </w:tc>
      </w:tr>
      <w:tr w:rsidR="005335E9" w:rsidRPr="00E22B40" w14:paraId="7684289C" w14:textId="77777777" w:rsidTr="007A6257">
        <w:trPr>
          <w:trHeight w:val="300"/>
        </w:trPr>
        <w:tc>
          <w:tcPr>
            <w:tcW w:w="625" w:type="pct"/>
            <w:tcBorders>
              <w:top w:val="single" w:sz="6" w:space="0" w:color="auto"/>
              <w:left w:val="single" w:sz="6" w:space="0" w:color="auto"/>
              <w:bottom w:val="single" w:sz="6" w:space="0" w:color="auto"/>
              <w:right w:val="single" w:sz="6" w:space="0" w:color="auto"/>
            </w:tcBorders>
          </w:tcPr>
          <w:p w14:paraId="2BD2D097" w14:textId="77777777" w:rsidR="005335E9" w:rsidRPr="00E22B40" w:rsidRDefault="005335E9" w:rsidP="007A6257">
            <w:pPr>
              <w:autoSpaceDE w:val="0"/>
              <w:autoSpaceDN w:val="0"/>
              <w:adjustRightInd w:val="0"/>
              <w:jc w:val="center"/>
              <w:rPr>
                <w:rFonts w:ascii="Calibri" w:hAnsi="Calibri" w:cs="Calibri"/>
                <w:color w:val="000000" w:themeColor="text1"/>
                <w:sz w:val="20"/>
                <w:szCs w:val="20"/>
              </w:rPr>
            </w:pPr>
            <w:r w:rsidRPr="00E22B40">
              <w:rPr>
                <w:rFonts w:ascii="Calibri" w:hAnsi="Calibri" w:cs="Calibri"/>
                <w:color w:val="000000" w:themeColor="text1"/>
                <w:sz w:val="20"/>
                <w:szCs w:val="20"/>
              </w:rPr>
              <w:t>13</w:t>
            </w:r>
          </w:p>
        </w:tc>
        <w:tc>
          <w:tcPr>
            <w:tcW w:w="4375" w:type="pct"/>
            <w:tcBorders>
              <w:top w:val="single" w:sz="6" w:space="0" w:color="auto"/>
              <w:left w:val="single" w:sz="6" w:space="0" w:color="auto"/>
              <w:bottom w:val="single" w:sz="6" w:space="0" w:color="auto"/>
              <w:right w:val="single" w:sz="6" w:space="0" w:color="auto"/>
            </w:tcBorders>
          </w:tcPr>
          <w:p w14:paraId="519905E6" w14:textId="77777777" w:rsidR="005335E9" w:rsidRPr="00E22B40" w:rsidRDefault="005335E9" w:rsidP="007A6257">
            <w:pPr>
              <w:autoSpaceDE w:val="0"/>
              <w:autoSpaceDN w:val="0"/>
              <w:adjustRightInd w:val="0"/>
              <w:rPr>
                <w:rFonts w:ascii="Calibri" w:hAnsi="Calibri" w:cs="Calibri"/>
                <w:color w:val="000000" w:themeColor="text1"/>
                <w:sz w:val="20"/>
                <w:szCs w:val="20"/>
              </w:rPr>
            </w:pPr>
            <w:r w:rsidRPr="00E22B40">
              <w:rPr>
                <w:rFonts w:ascii="Calibri" w:hAnsi="Calibri" w:cs="Calibri"/>
                <w:color w:val="000000" w:themeColor="text1"/>
                <w:sz w:val="20"/>
                <w:szCs w:val="20"/>
              </w:rPr>
              <w:t>Scope Global (2016) Kiribati Facility Inception Report</w:t>
            </w:r>
          </w:p>
        </w:tc>
      </w:tr>
      <w:tr w:rsidR="005335E9" w:rsidRPr="00E22B40" w14:paraId="08A0B047" w14:textId="77777777" w:rsidTr="007A6257">
        <w:trPr>
          <w:trHeight w:val="300"/>
        </w:trPr>
        <w:tc>
          <w:tcPr>
            <w:tcW w:w="625" w:type="pct"/>
            <w:tcBorders>
              <w:top w:val="single" w:sz="6" w:space="0" w:color="auto"/>
              <w:left w:val="single" w:sz="6" w:space="0" w:color="auto"/>
              <w:bottom w:val="single" w:sz="6" w:space="0" w:color="auto"/>
              <w:right w:val="single" w:sz="6" w:space="0" w:color="auto"/>
            </w:tcBorders>
          </w:tcPr>
          <w:p w14:paraId="4716E3A1" w14:textId="77777777" w:rsidR="005335E9" w:rsidRPr="00E22B40" w:rsidRDefault="005335E9" w:rsidP="007A6257">
            <w:pPr>
              <w:autoSpaceDE w:val="0"/>
              <w:autoSpaceDN w:val="0"/>
              <w:adjustRightInd w:val="0"/>
              <w:jc w:val="center"/>
              <w:rPr>
                <w:rFonts w:ascii="Calibri" w:hAnsi="Calibri" w:cs="Calibri"/>
                <w:color w:val="000000" w:themeColor="text1"/>
                <w:sz w:val="20"/>
                <w:szCs w:val="20"/>
              </w:rPr>
            </w:pPr>
            <w:r w:rsidRPr="00E22B40">
              <w:rPr>
                <w:rFonts w:ascii="Calibri" w:hAnsi="Calibri" w:cs="Calibri"/>
                <w:color w:val="000000" w:themeColor="text1"/>
                <w:sz w:val="20"/>
                <w:szCs w:val="20"/>
              </w:rPr>
              <w:t>14</w:t>
            </w:r>
          </w:p>
        </w:tc>
        <w:tc>
          <w:tcPr>
            <w:tcW w:w="4375" w:type="pct"/>
            <w:tcBorders>
              <w:top w:val="single" w:sz="6" w:space="0" w:color="auto"/>
              <w:left w:val="single" w:sz="6" w:space="0" w:color="auto"/>
              <w:bottom w:val="single" w:sz="6" w:space="0" w:color="auto"/>
              <w:right w:val="single" w:sz="6" w:space="0" w:color="auto"/>
            </w:tcBorders>
          </w:tcPr>
          <w:p w14:paraId="5427742C" w14:textId="77777777" w:rsidR="005335E9" w:rsidRPr="00E22B40" w:rsidRDefault="005335E9" w:rsidP="007A6257">
            <w:pPr>
              <w:autoSpaceDE w:val="0"/>
              <w:autoSpaceDN w:val="0"/>
              <w:adjustRightInd w:val="0"/>
              <w:rPr>
                <w:rFonts w:ascii="Calibri" w:hAnsi="Calibri" w:cs="Calibri"/>
                <w:color w:val="000000" w:themeColor="text1"/>
                <w:sz w:val="20"/>
                <w:szCs w:val="20"/>
              </w:rPr>
            </w:pPr>
            <w:r w:rsidRPr="00E22B40">
              <w:rPr>
                <w:rFonts w:ascii="Calibri" w:hAnsi="Calibri" w:cs="Calibri"/>
                <w:color w:val="000000" w:themeColor="text1"/>
                <w:sz w:val="20"/>
                <w:szCs w:val="20"/>
              </w:rPr>
              <w:t>Scope Global (2016) Kiribati Facility Annual Plan: 1 January – 31 December 2017</w:t>
            </w:r>
          </w:p>
        </w:tc>
      </w:tr>
      <w:tr w:rsidR="005335E9" w:rsidRPr="00E22B40" w14:paraId="6380984C" w14:textId="77777777" w:rsidTr="007A6257">
        <w:trPr>
          <w:trHeight w:val="300"/>
        </w:trPr>
        <w:tc>
          <w:tcPr>
            <w:tcW w:w="625" w:type="pct"/>
            <w:tcBorders>
              <w:top w:val="single" w:sz="6" w:space="0" w:color="auto"/>
              <w:left w:val="single" w:sz="6" w:space="0" w:color="auto"/>
              <w:bottom w:val="single" w:sz="6" w:space="0" w:color="auto"/>
              <w:right w:val="single" w:sz="6" w:space="0" w:color="auto"/>
            </w:tcBorders>
          </w:tcPr>
          <w:p w14:paraId="179743AD" w14:textId="77777777" w:rsidR="005335E9" w:rsidRPr="00E22B40" w:rsidRDefault="005335E9" w:rsidP="007A6257">
            <w:pPr>
              <w:autoSpaceDE w:val="0"/>
              <w:autoSpaceDN w:val="0"/>
              <w:adjustRightInd w:val="0"/>
              <w:jc w:val="center"/>
              <w:rPr>
                <w:rFonts w:ascii="Calibri" w:hAnsi="Calibri" w:cs="Calibri"/>
                <w:color w:val="000000" w:themeColor="text1"/>
                <w:sz w:val="20"/>
                <w:szCs w:val="20"/>
              </w:rPr>
            </w:pPr>
            <w:r w:rsidRPr="00E22B40">
              <w:rPr>
                <w:rFonts w:ascii="Calibri" w:hAnsi="Calibri" w:cs="Calibri"/>
                <w:color w:val="000000" w:themeColor="text1"/>
                <w:sz w:val="20"/>
                <w:szCs w:val="20"/>
              </w:rPr>
              <w:t>15</w:t>
            </w:r>
          </w:p>
        </w:tc>
        <w:tc>
          <w:tcPr>
            <w:tcW w:w="4375" w:type="pct"/>
            <w:tcBorders>
              <w:top w:val="single" w:sz="6" w:space="0" w:color="auto"/>
              <w:left w:val="single" w:sz="6" w:space="0" w:color="auto"/>
              <w:bottom w:val="single" w:sz="6" w:space="0" w:color="auto"/>
              <w:right w:val="single" w:sz="6" w:space="0" w:color="auto"/>
            </w:tcBorders>
          </w:tcPr>
          <w:p w14:paraId="210BF9F3" w14:textId="77777777" w:rsidR="005335E9" w:rsidRPr="00E22B40" w:rsidRDefault="005335E9" w:rsidP="007A6257">
            <w:pPr>
              <w:autoSpaceDE w:val="0"/>
              <w:autoSpaceDN w:val="0"/>
              <w:adjustRightInd w:val="0"/>
              <w:rPr>
                <w:rFonts w:ascii="Calibri" w:hAnsi="Calibri" w:cs="Calibri"/>
                <w:color w:val="000000" w:themeColor="text1"/>
                <w:sz w:val="20"/>
                <w:szCs w:val="20"/>
              </w:rPr>
            </w:pPr>
            <w:r w:rsidRPr="00E22B40">
              <w:rPr>
                <w:rFonts w:ascii="Calibri" w:hAnsi="Calibri" w:cs="Calibri"/>
                <w:color w:val="000000" w:themeColor="text1"/>
                <w:sz w:val="20"/>
                <w:szCs w:val="20"/>
              </w:rPr>
              <w:t>Scope Global (2017) Kiribati Facility Annual Plan 2018</w:t>
            </w:r>
          </w:p>
        </w:tc>
      </w:tr>
      <w:tr w:rsidR="005335E9" w:rsidRPr="00E22B40" w14:paraId="2F791060" w14:textId="77777777" w:rsidTr="007A6257">
        <w:trPr>
          <w:trHeight w:val="300"/>
        </w:trPr>
        <w:tc>
          <w:tcPr>
            <w:tcW w:w="625" w:type="pct"/>
            <w:tcBorders>
              <w:top w:val="single" w:sz="6" w:space="0" w:color="auto"/>
              <w:left w:val="single" w:sz="6" w:space="0" w:color="auto"/>
              <w:bottom w:val="single" w:sz="6" w:space="0" w:color="auto"/>
              <w:right w:val="single" w:sz="6" w:space="0" w:color="auto"/>
            </w:tcBorders>
          </w:tcPr>
          <w:p w14:paraId="575F7E37" w14:textId="77777777" w:rsidR="005335E9" w:rsidRPr="00E22B40" w:rsidRDefault="005335E9" w:rsidP="007A6257">
            <w:pPr>
              <w:autoSpaceDE w:val="0"/>
              <w:autoSpaceDN w:val="0"/>
              <w:adjustRightInd w:val="0"/>
              <w:jc w:val="center"/>
              <w:rPr>
                <w:rFonts w:ascii="Calibri" w:hAnsi="Calibri" w:cs="Calibri"/>
                <w:color w:val="000000" w:themeColor="text1"/>
                <w:sz w:val="20"/>
                <w:szCs w:val="20"/>
              </w:rPr>
            </w:pPr>
            <w:r w:rsidRPr="00E22B40">
              <w:rPr>
                <w:rFonts w:ascii="Calibri" w:hAnsi="Calibri" w:cs="Calibri"/>
                <w:color w:val="000000" w:themeColor="text1"/>
                <w:sz w:val="20"/>
                <w:szCs w:val="20"/>
              </w:rPr>
              <w:t>16</w:t>
            </w:r>
          </w:p>
        </w:tc>
        <w:tc>
          <w:tcPr>
            <w:tcW w:w="4375" w:type="pct"/>
            <w:tcBorders>
              <w:top w:val="single" w:sz="6" w:space="0" w:color="auto"/>
              <w:left w:val="single" w:sz="6" w:space="0" w:color="auto"/>
              <w:bottom w:val="single" w:sz="6" w:space="0" w:color="auto"/>
              <w:right w:val="single" w:sz="6" w:space="0" w:color="auto"/>
            </w:tcBorders>
          </w:tcPr>
          <w:p w14:paraId="0579DF52" w14:textId="77777777" w:rsidR="005335E9" w:rsidRPr="00E22B40" w:rsidRDefault="005335E9" w:rsidP="007A6257">
            <w:pPr>
              <w:autoSpaceDE w:val="0"/>
              <w:autoSpaceDN w:val="0"/>
              <w:adjustRightInd w:val="0"/>
              <w:rPr>
                <w:rFonts w:ascii="Calibri" w:hAnsi="Calibri" w:cs="Calibri"/>
                <w:color w:val="000000" w:themeColor="text1"/>
                <w:sz w:val="20"/>
                <w:szCs w:val="20"/>
              </w:rPr>
            </w:pPr>
            <w:r w:rsidRPr="00E22B40">
              <w:rPr>
                <w:rFonts w:ascii="Calibri" w:hAnsi="Calibri" w:cs="Calibri"/>
                <w:color w:val="000000" w:themeColor="text1"/>
                <w:sz w:val="20"/>
                <w:szCs w:val="20"/>
              </w:rPr>
              <w:t>Scope Global (2018) Kiribati Facility Annual Plan 2019-2020</w:t>
            </w:r>
          </w:p>
        </w:tc>
      </w:tr>
      <w:tr w:rsidR="005335E9" w:rsidRPr="00E22B40" w14:paraId="78E2B885" w14:textId="77777777" w:rsidTr="007A6257">
        <w:trPr>
          <w:trHeight w:val="300"/>
        </w:trPr>
        <w:tc>
          <w:tcPr>
            <w:tcW w:w="625" w:type="pct"/>
            <w:tcBorders>
              <w:top w:val="single" w:sz="6" w:space="0" w:color="auto"/>
              <w:left w:val="single" w:sz="6" w:space="0" w:color="auto"/>
              <w:bottom w:val="single" w:sz="6" w:space="0" w:color="auto"/>
              <w:right w:val="single" w:sz="6" w:space="0" w:color="auto"/>
            </w:tcBorders>
          </w:tcPr>
          <w:p w14:paraId="52760692" w14:textId="77777777" w:rsidR="005335E9" w:rsidRPr="00E22B40" w:rsidRDefault="005335E9" w:rsidP="007A6257">
            <w:pPr>
              <w:autoSpaceDE w:val="0"/>
              <w:autoSpaceDN w:val="0"/>
              <w:adjustRightInd w:val="0"/>
              <w:jc w:val="center"/>
              <w:rPr>
                <w:rFonts w:ascii="Calibri" w:hAnsi="Calibri" w:cs="Calibri"/>
                <w:color w:val="000000" w:themeColor="text1"/>
                <w:sz w:val="20"/>
                <w:szCs w:val="20"/>
              </w:rPr>
            </w:pPr>
            <w:r w:rsidRPr="00E22B40">
              <w:rPr>
                <w:rFonts w:ascii="Calibri" w:hAnsi="Calibri" w:cs="Calibri"/>
                <w:color w:val="000000" w:themeColor="text1"/>
                <w:sz w:val="20"/>
                <w:szCs w:val="20"/>
              </w:rPr>
              <w:t>17</w:t>
            </w:r>
          </w:p>
        </w:tc>
        <w:tc>
          <w:tcPr>
            <w:tcW w:w="4375" w:type="pct"/>
            <w:tcBorders>
              <w:top w:val="single" w:sz="6" w:space="0" w:color="auto"/>
              <w:left w:val="single" w:sz="6" w:space="0" w:color="auto"/>
              <w:bottom w:val="single" w:sz="6" w:space="0" w:color="auto"/>
              <w:right w:val="single" w:sz="6" w:space="0" w:color="auto"/>
            </w:tcBorders>
          </w:tcPr>
          <w:p w14:paraId="14E6E4C3" w14:textId="77777777" w:rsidR="005335E9" w:rsidRPr="00E22B40" w:rsidRDefault="005335E9" w:rsidP="007A6257">
            <w:pPr>
              <w:autoSpaceDE w:val="0"/>
              <w:autoSpaceDN w:val="0"/>
              <w:adjustRightInd w:val="0"/>
              <w:rPr>
                <w:rFonts w:ascii="Calibri" w:hAnsi="Calibri" w:cs="Calibri"/>
                <w:color w:val="000000" w:themeColor="text1"/>
                <w:sz w:val="20"/>
                <w:szCs w:val="20"/>
              </w:rPr>
            </w:pPr>
            <w:r w:rsidRPr="00E22B40">
              <w:rPr>
                <w:rFonts w:ascii="Calibri" w:hAnsi="Calibri" w:cs="Calibri"/>
                <w:color w:val="000000" w:themeColor="text1"/>
                <w:sz w:val="20"/>
                <w:szCs w:val="20"/>
              </w:rPr>
              <w:t>Scope Global (2018) Kiribati Facility Annual Report 2017</w:t>
            </w:r>
          </w:p>
        </w:tc>
      </w:tr>
      <w:tr w:rsidR="005335E9" w:rsidRPr="00E22B40" w14:paraId="50A26FD6" w14:textId="77777777" w:rsidTr="007A6257">
        <w:trPr>
          <w:trHeight w:val="300"/>
        </w:trPr>
        <w:tc>
          <w:tcPr>
            <w:tcW w:w="625" w:type="pct"/>
            <w:tcBorders>
              <w:top w:val="single" w:sz="6" w:space="0" w:color="auto"/>
              <w:left w:val="single" w:sz="6" w:space="0" w:color="auto"/>
              <w:bottom w:val="single" w:sz="6" w:space="0" w:color="auto"/>
              <w:right w:val="single" w:sz="6" w:space="0" w:color="auto"/>
            </w:tcBorders>
          </w:tcPr>
          <w:p w14:paraId="2CCDC28D" w14:textId="77777777" w:rsidR="005335E9" w:rsidRPr="00E22B40" w:rsidRDefault="005335E9" w:rsidP="007A6257">
            <w:pPr>
              <w:autoSpaceDE w:val="0"/>
              <w:autoSpaceDN w:val="0"/>
              <w:adjustRightInd w:val="0"/>
              <w:jc w:val="center"/>
              <w:rPr>
                <w:rFonts w:ascii="Calibri" w:hAnsi="Calibri" w:cs="Calibri"/>
                <w:color w:val="000000" w:themeColor="text1"/>
                <w:sz w:val="20"/>
                <w:szCs w:val="20"/>
              </w:rPr>
            </w:pPr>
            <w:r w:rsidRPr="00E22B40">
              <w:rPr>
                <w:rFonts w:ascii="Calibri" w:hAnsi="Calibri" w:cs="Calibri"/>
                <w:color w:val="000000" w:themeColor="text1"/>
                <w:sz w:val="20"/>
                <w:szCs w:val="20"/>
              </w:rPr>
              <w:t>18</w:t>
            </w:r>
          </w:p>
        </w:tc>
        <w:tc>
          <w:tcPr>
            <w:tcW w:w="4375" w:type="pct"/>
            <w:tcBorders>
              <w:top w:val="single" w:sz="6" w:space="0" w:color="auto"/>
              <w:left w:val="single" w:sz="6" w:space="0" w:color="auto"/>
              <w:bottom w:val="single" w:sz="6" w:space="0" w:color="auto"/>
              <w:right w:val="single" w:sz="6" w:space="0" w:color="auto"/>
            </w:tcBorders>
          </w:tcPr>
          <w:p w14:paraId="6CAD54FD" w14:textId="77777777" w:rsidR="005335E9" w:rsidRPr="00E22B40" w:rsidRDefault="005335E9" w:rsidP="007A6257">
            <w:pPr>
              <w:autoSpaceDE w:val="0"/>
              <w:autoSpaceDN w:val="0"/>
              <w:adjustRightInd w:val="0"/>
              <w:rPr>
                <w:rFonts w:ascii="Calibri" w:hAnsi="Calibri" w:cs="Calibri"/>
                <w:color w:val="000000" w:themeColor="text1"/>
                <w:sz w:val="20"/>
                <w:szCs w:val="20"/>
              </w:rPr>
            </w:pPr>
            <w:r w:rsidRPr="00E22B40">
              <w:rPr>
                <w:rFonts w:ascii="Calibri" w:hAnsi="Calibri" w:cs="Calibri"/>
                <w:color w:val="000000" w:themeColor="text1"/>
                <w:sz w:val="20"/>
                <w:szCs w:val="20"/>
              </w:rPr>
              <w:t>Scope Global (2019) Kiribati Facility Annual Report 2018</w:t>
            </w:r>
          </w:p>
        </w:tc>
      </w:tr>
      <w:tr w:rsidR="005335E9" w:rsidRPr="00E22B40" w14:paraId="15AF129E" w14:textId="77777777" w:rsidTr="007A6257">
        <w:trPr>
          <w:trHeight w:val="300"/>
        </w:trPr>
        <w:tc>
          <w:tcPr>
            <w:tcW w:w="625" w:type="pct"/>
            <w:tcBorders>
              <w:top w:val="single" w:sz="6" w:space="0" w:color="auto"/>
              <w:left w:val="single" w:sz="6" w:space="0" w:color="auto"/>
              <w:bottom w:val="single" w:sz="6" w:space="0" w:color="auto"/>
              <w:right w:val="single" w:sz="6" w:space="0" w:color="auto"/>
            </w:tcBorders>
          </w:tcPr>
          <w:p w14:paraId="02A93D63" w14:textId="77777777" w:rsidR="005335E9" w:rsidRPr="00E22B40" w:rsidRDefault="005335E9" w:rsidP="007A6257">
            <w:pPr>
              <w:autoSpaceDE w:val="0"/>
              <w:autoSpaceDN w:val="0"/>
              <w:adjustRightInd w:val="0"/>
              <w:jc w:val="center"/>
              <w:rPr>
                <w:rFonts w:ascii="Calibri" w:hAnsi="Calibri" w:cs="Calibri"/>
                <w:color w:val="000000" w:themeColor="text1"/>
                <w:sz w:val="20"/>
                <w:szCs w:val="20"/>
              </w:rPr>
            </w:pPr>
            <w:r w:rsidRPr="00E22B40">
              <w:rPr>
                <w:rFonts w:ascii="Calibri" w:hAnsi="Calibri" w:cs="Calibri"/>
                <w:color w:val="000000" w:themeColor="text1"/>
                <w:sz w:val="20"/>
                <w:szCs w:val="20"/>
              </w:rPr>
              <w:t>19</w:t>
            </w:r>
          </w:p>
        </w:tc>
        <w:tc>
          <w:tcPr>
            <w:tcW w:w="4375" w:type="pct"/>
            <w:tcBorders>
              <w:top w:val="single" w:sz="6" w:space="0" w:color="auto"/>
              <w:left w:val="single" w:sz="6" w:space="0" w:color="auto"/>
              <w:bottom w:val="single" w:sz="6" w:space="0" w:color="auto"/>
              <w:right w:val="single" w:sz="6" w:space="0" w:color="auto"/>
            </w:tcBorders>
          </w:tcPr>
          <w:p w14:paraId="31A4ADDF" w14:textId="729A12AB" w:rsidR="005335E9" w:rsidRPr="00E22B40" w:rsidRDefault="005335E9" w:rsidP="007A6257">
            <w:pPr>
              <w:autoSpaceDE w:val="0"/>
              <w:autoSpaceDN w:val="0"/>
              <w:adjustRightInd w:val="0"/>
              <w:rPr>
                <w:rFonts w:asciiTheme="minorHAnsi" w:hAnsiTheme="minorHAnsi" w:cstheme="minorHAnsi"/>
                <w:color w:val="000000" w:themeColor="text1"/>
                <w:sz w:val="18"/>
                <w:szCs w:val="18"/>
              </w:rPr>
            </w:pPr>
            <w:r w:rsidRPr="00E22B40">
              <w:rPr>
                <w:rFonts w:asciiTheme="minorHAnsi" w:hAnsiTheme="minorHAnsi" w:cstheme="minorHAnsi"/>
                <w:sz w:val="18"/>
                <w:szCs w:val="18"/>
              </w:rPr>
              <w:t>International Monetary Fund (IMF),  </w:t>
            </w:r>
            <w:r w:rsidRPr="00E22B40">
              <w:rPr>
                <w:rFonts w:asciiTheme="minorHAnsi" w:hAnsiTheme="minorHAnsi" w:cstheme="minorHAnsi"/>
                <w:i/>
                <w:iCs/>
                <w:sz w:val="18"/>
                <w:szCs w:val="18"/>
              </w:rPr>
              <w:t>Kiribati: Staff Concluding Statement of the 2018 Article IV Mission</w:t>
            </w:r>
            <w:r w:rsidRPr="00E22B40">
              <w:rPr>
                <w:rFonts w:asciiTheme="minorHAnsi" w:hAnsiTheme="minorHAnsi" w:cstheme="minorHAnsi"/>
                <w:sz w:val="18"/>
                <w:szCs w:val="18"/>
              </w:rPr>
              <w:t>, (30</w:t>
            </w:r>
            <w:r w:rsidRPr="00E22B40">
              <w:rPr>
                <w:rFonts w:asciiTheme="minorHAnsi" w:hAnsiTheme="minorHAnsi" w:cstheme="minorHAnsi"/>
                <w:sz w:val="18"/>
                <w:szCs w:val="18"/>
                <w:vertAlign w:val="superscript"/>
              </w:rPr>
              <w:t>th</w:t>
            </w:r>
            <w:r w:rsidRPr="00E22B40">
              <w:rPr>
                <w:rFonts w:asciiTheme="minorHAnsi" w:hAnsiTheme="minorHAnsi" w:cstheme="minorHAnsi"/>
                <w:sz w:val="18"/>
                <w:szCs w:val="18"/>
              </w:rPr>
              <w:t> October, 2018)   </w:t>
            </w:r>
            <w:hyperlink r:id="rId23" w:history="1">
              <w:r w:rsidRPr="00E22B40">
                <w:rPr>
                  <w:rStyle w:val="Hyperlink"/>
                  <w:rFonts w:asciiTheme="minorHAnsi" w:hAnsiTheme="minorHAnsi" w:cstheme="minorHAnsi"/>
                  <w:sz w:val="18"/>
                  <w:szCs w:val="18"/>
                </w:rPr>
                <w:t>https://www.imf.org/en/News/Articles/2018/10/30/ms10318-kiribati-staff-concluding-statement-of-the-2018-article-iv-mission</w:t>
              </w:r>
            </w:hyperlink>
          </w:p>
        </w:tc>
      </w:tr>
      <w:tr w:rsidR="005335E9" w:rsidRPr="00E22B40" w14:paraId="34531F07" w14:textId="77777777" w:rsidTr="007A6257">
        <w:trPr>
          <w:trHeight w:val="300"/>
        </w:trPr>
        <w:tc>
          <w:tcPr>
            <w:tcW w:w="625" w:type="pct"/>
            <w:tcBorders>
              <w:top w:val="single" w:sz="6" w:space="0" w:color="auto"/>
              <w:left w:val="single" w:sz="6" w:space="0" w:color="auto"/>
              <w:bottom w:val="single" w:sz="6" w:space="0" w:color="auto"/>
              <w:right w:val="single" w:sz="6" w:space="0" w:color="auto"/>
            </w:tcBorders>
          </w:tcPr>
          <w:p w14:paraId="7869F044" w14:textId="77777777" w:rsidR="005335E9" w:rsidRPr="00E22B40" w:rsidRDefault="005335E9" w:rsidP="007A6257">
            <w:pPr>
              <w:autoSpaceDE w:val="0"/>
              <w:autoSpaceDN w:val="0"/>
              <w:adjustRightInd w:val="0"/>
              <w:jc w:val="center"/>
              <w:rPr>
                <w:rFonts w:ascii="Calibri" w:hAnsi="Calibri" w:cs="Calibri"/>
                <w:color w:val="000000" w:themeColor="text1"/>
                <w:sz w:val="20"/>
                <w:szCs w:val="20"/>
              </w:rPr>
            </w:pPr>
            <w:r w:rsidRPr="00E22B40">
              <w:rPr>
                <w:rFonts w:ascii="Calibri" w:hAnsi="Calibri" w:cs="Calibri"/>
                <w:color w:val="000000" w:themeColor="text1"/>
                <w:sz w:val="20"/>
                <w:szCs w:val="20"/>
              </w:rPr>
              <w:t>20</w:t>
            </w:r>
          </w:p>
        </w:tc>
        <w:tc>
          <w:tcPr>
            <w:tcW w:w="4375" w:type="pct"/>
            <w:tcBorders>
              <w:top w:val="single" w:sz="6" w:space="0" w:color="auto"/>
              <w:left w:val="single" w:sz="6" w:space="0" w:color="auto"/>
              <w:bottom w:val="single" w:sz="6" w:space="0" w:color="auto"/>
              <w:right w:val="single" w:sz="6" w:space="0" w:color="auto"/>
            </w:tcBorders>
          </w:tcPr>
          <w:p w14:paraId="13335BBD" w14:textId="3D43D1FA" w:rsidR="005335E9" w:rsidRPr="00E22B40" w:rsidRDefault="005335E9" w:rsidP="005335E9">
            <w:pPr>
              <w:pStyle w:val="FootnoteText"/>
            </w:pPr>
            <w:r w:rsidRPr="00E22B40">
              <w:t xml:space="preserve">World Bank, </w:t>
            </w:r>
            <w:hyperlink r:id="rId24" w:history="1">
              <w:r w:rsidRPr="00E22B40">
                <w:rPr>
                  <w:rStyle w:val="Hyperlink"/>
                </w:rPr>
                <w:t>https://data.worldbank.org/indicator/bx.trf.pwkr.dt.gd.zs</w:t>
              </w:r>
            </w:hyperlink>
            <w:r w:rsidRPr="00E22B40">
              <w:t xml:space="preserve"> </w:t>
            </w:r>
          </w:p>
        </w:tc>
      </w:tr>
      <w:tr w:rsidR="005335E9" w:rsidRPr="00E22B40" w14:paraId="15679DAD" w14:textId="77777777" w:rsidTr="007A6257">
        <w:trPr>
          <w:trHeight w:val="300"/>
        </w:trPr>
        <w:tc>
          <w:tcPr>
            <w:tcW w:w="625" w:type="pct"/>
            <w:tcBorders>
              <w:top w:val="single" w:sz="6" w:space="0" w:color="auto"/>
              <w:left w:val="single" w:sz="6" w:space="0" w:color="auto"/>
              <w:bottom w:val="single" w:sz="6" w:space="0" w:color="auto"/>
              <w:right w:val="single" w:sz="6" w:space="0" w:color="auto"/>
            </w:tcBorders>
          </w:tcPr>
          <w:p w14:paraId="2F7CB77F" w14:textId="70061E47" w:rsidR="005335E9" w:rsidRPr="00E22B40" w:rsidRDefault="005335E9" w:rsidP="007A6257">
            <w:pPr>
              <w:autoSpaceDE w:val="0"/>
              <w:autoSpaceDN w:val="0"/>
              <w:adjustRightInd w:val="0"/>
              <w:jc w:val="center"/>
              <w:rPr>
                <w:rFonts w:ascii="Calibri" w:hAnsi="Calibri" w:cs="Calibri"/>
                <w:color w:val="000000" w:themeColor="text1"/>
                <w:sz w:val="20"/>
                <w:szCs w:val="20"/>
              </w:rPr>
            </w:pPr>
            <w:r w:rsidRPr="00E22B40">
              <w:rPr>
                <w:rFonts w:ascii="Calibri" w:hAnsi="Calibri" w:cs="Calibri"/>
                <w:color w:val="000000" w:themeColor="text1"/>
                <w:sz w:val="20"/>
                <w:szCs w:val="20"/>
              </w:rPr>
              <w:t>21</w:t>
            </w:r>
          </w:p>
        </w:tc>
        <w:tc>
          <w:tcPr>
            <w:tcW w:w="4375" w:type="pct"/>
            <w:tcBorders>
              <w:top w:val="single" w:sz="6" w:space="0" w:color="auto"/>
              <w:left w:val="single" w:sz="6" w:space="0" w:color="auto"/>
              <w:bottom w:val="single" w:sz="6" w:space="0" w:color="auto"/>
              <w:right w:val="single" w:sz="6" w:space="0" w:color="auto"/>
            </w:tcBorders>
          </w:tcPr>
          <w:p w14:paraId="5E9857A7" w14:textId="77777777" w:rsidR="005335E9" w:rsidRPr="00E22B40" w:rsidRDefault="005335E9" w:rsidP="007A6257">
            <w:pPr>
              <w:autoSpaceDE w:val="0"/>
              <w:autoSpaceDN w:val="0"/>
              <w:adjustRightInd w:val="0"/>
              <w:rPr>
                <w:rFonts w:ascii="Calibri" w:hAnsi="Calibri" w:cs="Calibri"/>
                <w:color w:val="000000" w:themeColor="text1"/>
                <w:sz w:val="20"/>
                <w:szCs w:val="20"/>
              </w:rPr>
            </w:pPr>
            <w:r w:rsidRPr="00E22B40">
              <w:rPr>
                <w:rFonts w:ascii="Calibri" w:hAnsi="Calibri" w:cs="Calibri"/>
                <w:color w:val="000000" w:themeColor="text1"/>
                <w:sz w:val="20"/>
                <w:szCs w:val="20"/>
              </w:rPr>
              <w:t>Dr J Barbara (2018) ‘Thinking and working politically in the Vanuatu skills sector: supporting local leadership and building a political constituency for change.</w:t>
            </w:r>
          </w:p>
        </w:tc>
      </w:tr>
      <w:tr w:rsidR="005335E9" w:rsidRPr="00E22B40" w14:paraId="0FB8C9FC" w14:textId="77777777" w:rsidTr="007A6257">
        <w:trPr>
          <w:trHeight w:val="900"/>
        </w:trPr>
        <w:tc>
          <w:tcPr>
            <w:tcW w:w="625" w:type="pct"/>
            <w:tcBorders>
              <w:top w:val="single" w:sz="6" w:space="0" w:color="auto"/>
              <w:left w:val="single" w:sz="6" w:space="0" w:color="auto"/>
              <w:bottom w:val="single" w:sz="6" w:space="0" w:color="auto"/>
              <w:right w:val="single" w:sz="6" w:space="0" w:color="auto"/>
            </w:tcBorders>
          </w:tcPr>
          <w:p w14:paraId="06B98A87" w14:textId="2CEC0A88" w:rsidR="005335E9" w:rsidRPr="00E22B40" w:rsidRDefault="005335E9" w:rsidP="007A6257">
            <w:pPr>
              <w:autoSpaceDE w:val="0"/>
              <w:autoSpaceDN w:val="0"/>
              <w:adjustRightInd w:val="0"/>
              <w:jc w:val="center"/>
              <w:rPr>
                <w:rFonts w:ascii="Calibri" w:hAnsi="Calibri" w:cs="Calibri"/>
                <w:color w:val="000000" w:themeColor="text1"/>
                <w:sz w:val="20"/>
                <w:szCs w:val="20"/>
              </w:rPr>
            </w:pPr>
            <w:r w:rsidRPr="00E22B40">
              <w:rPr>
                <w:rFonts w:ascii="Calibri" w:hAnsi="Calibri" w:cs="Calibri"/>
                <w:color w:val="000000" w:themeColor="text1"/>
                <w:sz w:val="20"/>
                <w:szCs w:val="20"/>
              </w:rPr>
              <w:t>22</w:t>
            </w:r>
          </w:p>
        </w:tc>
        <w:tc>
          <w:tcPr>
            <w:tcW w:w="4375" w:type="pct"/>
            <w:tcBorders>
              <w:top w:val="single" w:sz="6" w:space="0" w:color="auto"/>
              <w:left w:val="single" w:sz="6" w:space="0" w:color="auto"/>
              <w:bottom w:val="single" w:sz="6" w:space="0" w:color="auto"/>
              <w:right w:val="single" w:sz="6" w:space="0" w:color="auto"/>
            </w:tcBorders>
          </w:tcPr>
          <w:p w14:paraId="17040176" w14:textId="77777777" w:rsidR="005335E9" w:rsidRPr="00E22B40" w:rsidRDefault="005335E9" w:rsidP="007A6257">
            <w:pPr>
              <w:autoSpaceDE w:val="0"/>
              <w:autoSpaceDN w:val="0"/>
              <w:adjustRightInd w:val="0"/>
              <w:rPr>
                <w:rFonts w:ascii="Calibri" w:hAnsi="Calibri" w:cs="Calibri"/>
                <w:color w:val="000000" w:themeColor="text1"/>
                <w:sz w:val="20"/>
                <w:szCs w:val="20"/>
              </w:rPr>
            </w:pPr>
            <w:r w:rsidRPr="00E22B40">
              <w:rPr>
                <w:rFonts w:ascii="Calibri" w:hAnsi="Calibri" w:cs="Calibri"/>
                <w:color w:val="000000" w:themeColor="text1"/>
                <w:sz w:val="20"/>
                <w:szCs w:val="20"/>
              </w:rPr>
              <w:t>Mayne, 2008. Contribution Analysis: An approach to exploring cause and effect. The Institutional Learning and Change (ILAC) Initiative, Methodological brief. 2008; http://www.betterevaluation.org/sites/default/files/ILAC_Brief16_Contribution_Analysis.pdf</w:t>
            </w:r>
          </w:p>
        </w:tc>
      </w:tr>
    </w:tbl>
    <w:p w14:paraId="00154948" w14:textId="77777777" w:rsidR="002C1180" w:rsidRPr="00E22B40" w:rsidRDefault="002C1180" w:rsidP="002C1180">
      <w:pPr>
        <w:rPr>
          <w:rFonts w:asciiTheme="minorHAnsi" w:hAnsiTheme="minorHAnsi" w:cs="Arial"/>
        </w:rPr>
      </w:pPr>
    </w:p>
    <w:p w14:paraId="6FDCDA1A" w14:textId="77777777" w:rsidR="00C754EE" w:rsidRPr="00E22B40" w:rsidRDefault="00C754EE" w:rsidP="005A546D">
      <w:pPr>
        <w:spacing w:after="160" w:line="259" w:lineRule="auto"/>
        <w:jc w:val="both"/>
        <w:rPr>
          <w:rFonts w:asciiTheme="minorHAnsi" w:hAnsiTheme="minorHAnsi" w:cs="Arial"/>
        </w:rPr>
      </w:pPr>
    </w:p>
    <w:p w14:paraId="5B4A1CFB" w14:textId="781F9D27" w:rsidR="009F6227" w:rsidRPr="00E22B40" w:rsidRDefault="009F6227" w:rsidP="005A546D">
      <w:pPr>
        <w:spacing w:after="160" w:line="259" w:lineRule="auto"/>
        <w:jc w:val="both"/>
        <w:rPr>
          <w:rFonts w:asciiTheme="minorHAnsi" w:hAnsiTheme="minorHAnsi" w:cs="Arial"/>
        </w:rPr>
        <w:sectPr w:rsidR="009F6227" w:rsidRPr="00E22B40" w:rsidSect="005A546D">
          <w:footerReference w:type="default" r:id="rId25"/>
          <w:pgSz w:w="11906" w:h="16838"/>
          <w:pgMar w:top="1440" w:right="1080" w:bottom="1440" w:left="1080" w:header="708" w:footer="500" w:gutter="0"/>
          <w:cols w:space="708"/>
          <w:docGrid w:linePitch="360"/>
        </w:sectPr>
      </w:pPr>
    </w:p>
    <w:p w14:paraId="7520E407" w14:textId="5D1C3E2F" w:rsidR="008C482A" w:rsidRPr="00E22B40" w:rsidRDefault="008C482A" w:rsidP="008C482A">
      <w:pPr>
        <w:pStyle w:val="Heading2"/>
        <w:spacing w:before="360"/>
        <w:ind w:left="431" w:hanging="431"/>
        <w:rPr>
          <w:rFonts w:asciiTheme="minorHAnsi" w:hAnsiTheme="minorHAnsi" w:cs="Arial"/>
        </w:rPr>
      </w:pPr>
      <w:bookmarkStart w:id="48" w:name="_Toc8623418"/>
      <w:r w:rsidRPr="00E22B40">
        <w:rPr>
          <w:rFonts w:asciiTheme="minorHAnsi" w:hAnsiTheme="minorHAnsi" w:cs="Arial"/>
        </w:rPr>
        <w:t xml:space="preserve">Annex </w:t>
      </w:r>
      <w:r w:rsidR="00132297" w:rsidRPr="00E22B40">
        <w:rPr>
          <w:rFonts w:asciiTheme="minorHAnsi" w:hAnsiTheme="minorHAnsi" w:cs="Arial"/>
        </w:rPr>
        <w:t>4</w:t>
      </w:r>
      <w:r w:rsidRPr="00E22B40">
        <w:rPr>
          <w:rFonts w:asciiTheme="minorHAnsi" w:hAnsiTheme="minorHAnsi" w:cs="Arial"/>
        </w:rPr>
        <w:t xml:space="preserve">: List of </w:t>
      </w:r>
      <w:r w:rsidR="00D12309" w:rsidRPr="00E22B40">
        <w:rPr>
          <w:rFonts w:asciiTheme="minorHAnsi" w:hAnsiTheme="minorHAnsi" w:cs="Arial"/>
        </w:rPr>
        <w:t>Mid Term Review</w:t>
      </w:r>
      <w:r w:rsidRPr="00E22B40">
        <w:rPr>
          <w:rFonts w:asciiTheme="minorHAnsi" w:hAnsiTheme="minorHAnsi" w:cs="Arial"/>
        </w:rPr>
        <w:t xml:space="preserve"> Participants</w:t>
      </w:r>
      <w:bookmarkEnd w:id="48"/>
      <w:r w:rsidRPr="00E22B40">
        <w:rPr>
          <w:rFonts w:asciiTheme="minorHAnsi" w:hAnsiTheme="minorHAnsi" w:cs="Arial"/>
        </w:rPr>
        <w:t xml:space="preserve"> </w:t>
      </w:r>
    </w:p>
    <w:p w14:paraId="09D8D715" w14:textId="19AF4430" w:rsidR="008C482A" w:rsidRPr="00E22B40" w:rsidRDefault="008C482A" w:rsidP="008C482A">
      <w:pPr>
        <w:spacing w:after="160" w:line="259" w:lineRule="auto"/>
        <w:jc w:val="both"/>
        <w:rPr>
          <w:rFonts w:asciiTheme="minorHAnsi" w:hAnsiTheme="minorHAnsi" w:cs="Arial"/>
        </w:rPr>
      </w:pPr>
      <w:r w:rsidRPr="00E22B40">
        <w:rPr>
          <w:rFonts w:asciiTheme="minorHAnsi" w:hAnsiTheme="minorHAnsi" w:cs="Arial"/>
        </w:rPr>
        <w:t xml:space="preserve">List includes those who </w:t>
      </w:r>
      <w:r w:rsidR="00EA6781">
        <w:rPr>
          <w:rFonts w:asciiTheme="minorHAnsi" w:hAnsiTheme="minorHAnsi" w:cs="Arial"/>
        </w:rPr>
        <w:t>participated</w:t>
      </w:r>
      <w:r w:rsidRPr="00E22B40">
        <w:rPr>
          <w:rFonts w:asciiTheme="minorHAnsi" w:hAnsiTheme="minorHAnsi" w:cs="Arial"/>
        </w:rPr>
        <w:t xml:space="preserve"> in either an interview</w:t>
      </w:r>
      <w:r w:rsidR="00631239" w:rsidRPr="00E22B40">
        <w:rPr>
          <w:rFonts w:asciiTheme="minorHAnsi" w:hAnsiTheme="minorHAnsi" w:cs="Arial"/>
        </w:rPr>
        <w:t xml:space="preserve"> (either in person or remotely)</w:t>
      </w:r>
      <w:r w:rsidRPr="00E22B40">
        <w:rPr>
          <w:rFonts w:asciiTheme="minorHAnsi" w:hAnsiTheme="minorHAnsi" w:cs="Arial"/>
        </w:rPr>
        <w:t xml:space="preserve"> </w:t>
      </w:r>
      <w:r w:rsidR="000F31F2" w:rsidRPr="00E22B40">
        <w:rPr>
          <w:rFonts w:asciiTheme="minorHAnsi" w:hAnsiTheme="minorHAnsi" w:cs="Arial"/>
        </w:rPr>
        <w:t>and/or in the workshop (11 April, 2019)</w:t>
      </w:r>
      <w:r w:rsidRPr="00E22B40">
        <w:rPr>
          <w:rFonts w:asciiTheme="minorHAnsi" w:hAnsiTheme="minorHAnsi" w:cs="Arial"/>
        </w:rPr>
        <w:t>.</w:t>
      </w:r>
    </w:p>
    <w:p w14:paraId="03D639E3" w14:textId="5A85E355" w:rsidR="00A950E5" w:rsidRPr="00E22B40" w:rsidRDefault="00A950E5" w:rsidP="00C87289">
      <w:pPr>
        <w:rPr>
          <w:rFonts w:asciiTheme="minorHAnsi" w:hAnsiTheme="minorHAnsi" w:cs="Arial"/>
        </w:rPr>
      </w:pPr>
    </w:p>
    <w:tbl>
      <w:tblPr>
        <w:tblStyle w:val="GridTable2-Accent1"/>
        <w:tblW w:w="5000" w:type="pct"/>
        <w:tblLook w:val="04A0" w:firstRow="1" w:lastRow="0" w:firstColumn="1" w:lastColumn="0" w:noHBand="0" w:noVBand="1"/>
      </w:tblPr>
      <w:tblGrid>
        <w:gridCol w:w="2104"/>
        <w:gridCol w:w="7529"/>
      </w:tblGrid>
      <w:tr w:rsidR="004B6763" w:rsidRPr="00E22B40" w14:paraId="20732258" w14:textId="77777777" w:rsidTr="004028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 w:type="pct"/>
          </w:tcPr>
          <w:p w14:paraId="4B7E9AFB" w14:textId="77777777" w:rsidR="004B6763" w:rsidRPr="00E22B40" w:rsidRDefault="004B6763" w:rsidP="00402898">
            <w:pPr>
              <w:rPr>
                <w:rFonts w:ascii="Calibri" w:hAnsi="Calibri" w:cs="Calibri"/>
                <w:color w:val="000000"/>
                <w:sz w:val="20"/>
                <w:szCs w:val="20"/>
              </w:rPr>
            </w:pPr>
            <w:r w:rsidRPr="00E22B40">
              <w:rPr>
                <w:rFonts w:ascii="Calibri" w:hAnsi="Calibri" w:cs="Calibri"/>
                <w:color w:val="000000"/>
                <w:sz w:val="20"/>
                <w:szCs w:val="20"/>
              </w:rPr>
              <w:t>Stakeholder</w:t>
            </w:r>
          </w:p>
        </w:tc>
        <w:tc>
          <w:tcPr>
            <w:tcW w:w="3908" w:type="pct"/>
          </w:tcPr>
          <w:p w14:paraId="530C7862" w14:textId="77777777" w:rsidR="004B6763" w:rsidRPr="00E22B40" w:rsidRDefault="004B6763" w:rsidP="00402898">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E22B40">
              <w:rPr>
                <w:rFonts w:ascii="Calibri" w:hAnsi="Calibri" w:cs="Calibri"/>
                <w:color w:val="000000"/>
                <w:sz w:val="20"/>
                <w:szCs w:val="20"/>
              </w:rPr>
              <w:t>Name</w:t>
            </w:r>
          </w:p>
        </w:tc>
      </w:tr>
      <w:tr w:rsidR="004B6763" w:rsidRPr="00E22B40" w14:paraId="16376E57" w14:textId="77777777" w:rsidTr="004028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 w:type="pct"/>
          </w:tcPr>
          <w:p w14:paraId="7BF93C2B" w14:textId="77777777" w:rsidR="004B6763" w:rsidRPr="00E22B40" w:rsidRDefault="004B6763" w:rsidP="00402898">
            <w:pPr>
              <w:rPr>
                <w:rFonts w:ascii="Calibri" w:hAnsi="Calibri" w:cs="Calibri"/>
                <w:color w:val="000000"/>
                <w:sz w:val="20"/>
                <w:szCs w:val="20"/>
              </w:rPr>
            </w:pPr>
            <w:r w:rsidRPr="00E22B40">
              <w:rPr>
                <w:rFonts w:ascii="Calibri" w:hAnsi="Calibri" w:cs="Calibri"/>
                <w:color w:val="000000"/>
                <w:sz w:val="20"/>
                <w:szCs w:val="20"/>
              </w:rPr>
              <w:t>Government of Australia</w:t>
            </w:r>
          </w:p>
        </w:tc>
        <w:tc>
          <w:tcPr>
            <w:tcW w:w="3908" w:type="pct"/>
          </w:tcPr>
          <w:p w14:paraId="23863249" w14:textId="77777777" w:rsidR="004B6763" w:rsidRDefault="004B6763" w:rsidP="004B6763">
            <w:pPr>
              <w:pStyle w:val="ListParagraph"/>
              <w:numPr>
                <w:ilvl w:val="0"/>
                <w:numId w:val="13"/>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Bruce Cowled – Australian High Commissioner</w:t>
            </w:r>
          </w:p>
          <w:p w14:paraId="6E43ED50" w14:textId="77777777" w:rsidR="004B6763" w:rsidRPr="00E22B40" w:rsidRDefault="004B6763" w:rsidP="004B6763">
            <w:pPr>
              <w:pStyle w:val="ListParagraph"/>
              <w:numPr>
                <w:ilvl w:val="0"/>
                <w:numId w:val="13"/>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E22B40">
              <w:rPr>
                <w:rFonts w:ascii="Calibri" w:hAnsi="Calibri" w:cs="Calibri"/>
                <w:color w:val="000000"/>
                <w:sz w:val="20"/>
                <w:szCs w:val="20"/>
              </w:rPr>
              <w:t>Andrew Hodges – Deputy Australian High Commissioner</w:t>
            </w:r>
          </w:p>
          <w:p w14:paraId="3EF40B40" w14:textId="77777777" w:rsidR="004B6763" w:rsidRPr="00E22B40" w:rsidRDefault="004B6763" w:rsidP="004B6763">
            <w:pPr>
              <w:pStyle w:val="ListParagraph"/>
              <w:numPr>
                <w:ilvl w:val="0"/>
                <w:numId w:val="13"/>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E22B40">
              <w:rPr>
                <w:rFonts w:ascii="Calibri" w:hAnsi="Calibri" w:cs="Calibri"/>
                <w:color w:val="000000"/>
                <w:sz w:val="20"/>
                <w:szCs w:val="20"/>
              </w:rPr>
              <w:t>Isolde Mulligan – Second Secretary, Australian High Commission</w:t>
            </w:r>
          </w:p>
          <w:p w14:paraId="33607363" w14:textId="77777777" w:rsidR="004B6763" w:rsidRPr="00E22B40" w:rsidRDefault="004B6763" w:rsidP="004B6763">
            <w:pPr>
              <w:pStyle w:val="ListParagraph"/>
              <w:numPr>
                <w:ilvl w:val="0"/>
                <w:numId w:val="13"/>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E22B40">
              <w:rPr>
                <w:rFonts w:ascii="Calibri" w:hAnsi="Calibri" w:cs="Calibri"/>
                <w:color w:val="000000"/>
                <w:sz w:val="20"/>
                <w:szCs w:val="20"/>
              </w:rPr>
              <w:t>Tekira Matiota – Program Manager Kiribati Facility</w:t>
            </w:r>
          </w:p>
        </w:tc>
      </w:tr>
      <w:tr w:rsidR="004B6763" w:rsidRPr="00E22B40" w14:paraId="42D4B14A" w14:textId="77777777" w:rsidTr="00402898">
        <w:tc>
          <w:tcPr>
            <w:cnfStyle w:val="001000000000" w:firstRow="0" w:lastRow="0" w:firstColumn="1" w:lastColumn="0" w:oddVBand="0" w:evenVBand="0" w:oddHBand="0" w:evenHBand="0" w:firstRowFirstColumn="0" w:firstRowLastColumn="0" w:lastRowFirstColumn="0" w:lastRowLastColumn="0"/>
            <w:tcW w:w="1092" w:type="pct"/>
          </w:tcPr>
          <w:p w14:paraId="6790BD1F" w14:textId="77777777" w:rsidR="004B6763" w:rsidRPr="00E22B40" w:rsidRDefault="004B6763" w:rsidP="00402898">
            <w:pPr>
              <w:rPr>
                <w:rFonts w:ascii="Calibri" w:hAnsi="Calibri" w:cs="Calibri"/>
                <w:color w:val="000000"/>
                <w:sz w:val="20"/>
                <w:szCs w:val="20"/>
              </w:rPr>
            </w:pPr>
            <w:r w:rsidRPr="00E22B40">
              <w:rPr>
                <w:rFonts w:ascii="Calibri" w:hAnsi="Calibri" w:cs="Calibri"/>
                <w:color w:val="000000"/>
                <w:sz w:val="20"/>
                <w:szCs w:val="20"/>
              </w:rPr>
              <w:t>MEHR</w:t>
            </w:r>
          </w:p>
        </w:tc>
        <w:tc>
          <w:tcPr>
            <w:tcW w:w="3908" w:type="pct"/>
          </w:tcPr>
          <w:p w14:paraId="36B42CF9" w14:textId="77777777" w:rsidR="004B6763" w:rsidRPr="00E22B40" w:rsidRDefault="004B6763" w:rsidP="004B6763">
            <w:pPr>
              <w:pStyle w:val="ListParagraph"/>
              <w:numPr>
                <w:ilvl w:val="0"/>
                <w:numId w:val="14"/>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E22B40">
              <w:rPr>
                <w:rFonts w:ascii="Calibri" w:hAnsi="Calibri" w:cs="Calibri"/>
                <w:color w:val="000000"/>
                <w:sz w:val="20"/>
                <w:szCs w:val="20"/>
              </w:rPr>
              <w:t>Secretary, Ms Tiene Tooki Kanoua</w:t>
            </w:r>
          </w:p>
          <w:p w14:paraId="392E16B6" w14:textId="77777777" w:rsidR="004B6763" w:rsidRPr="00E22B40" w:rsidRDefault="004B6763" w:rsidP="004B6763">
            <w:pPr>
              <w:pStyle w:val="ListParagraph"/>
              <w:numPr>
                <w:ilvl w:val="0"/>
                <w:numId w:val="14"/>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E22B40">
              <w:rPr>
                <w:rFonts w:ascii="Calibri" w:hAnsi="Calibri" w:cs="Calibri"/>
                <w:color w:val="000000"/>
                <w:sz w:val="20"/>
                <w:szCs w:val="20"/>
              </w:rPr>
              <w:t>Deputy Secretary, Mr Timoa Tokataam</w:t>
            </w:r>
          </w:p>
          <w:p w14:paraId="382A1E2F" w14:textId="77777777" w:rsidR="004B6763" w:rsidRPr="00E22B40" w:rsidRDefault="004B6763" w:rsidP="004B6763">
            <w:pPr>
              <w:pStyle w:val="ListParagraph"/>
              <w:numPr>
                <w:ilvl w:val="0"/>
                <w:numId w:val="14"/>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E22B40">
              <w:rPr>
                <w:rFonts w:ascii="Calibri" w:hAnsi="Calibri" w:cs="Calibri"/>
                <w:color w:val="000000"/>
                <w:sz w:val="20"/>
                <w:szCs w:val="20"/>
              </w:rPr>
              <w:t>Director Labour, Ms Batataake T Taoieta</w:t>
            </w:r>
          </w:p>
        </w:tc>
      </w:tr>
      <w:tr w:rsidR="004B6763" w:rsidRPr="00E22B40" w14:paraId="5EE99DBC" w14:textId="77777777" w:rsidTr="004028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 w:type="pct"/>
          </w:tcPr>
          <w:p w14:paraId="74A230E8" w14:textId="77777777" w:rsidR="004B6763" w:rsidRPr="00E22B40" w:rsidRDefault="004B6763" w:rsidP="00402898">
            <w:pPr>
              <w:rPr>
                <w:rFonts w:ascii="Calibri" w:hAnsi="Calibri" w:cs="Calibri"/>
                <w:color w:val="000000"/>
                <w:sz w:val="20"/>
                <w:szCs w:val="20"/>
              </w:rPr>
            </w:pPr>
            <w:r w:rsidRPr="00E22B40">
              <w:rPr>
                <w:rFonts w:ascii="Calibri" w:hAnsi="Calibri" w:cs="Calibri"/>
                <w:color w:val="000000"/>
                <w:sz w:val="20"/>
                <w:szCs w:val="20"/>
              </w:rPr>
              <w:t>KIT</w:t>
            </w:r>
          </w:p>
        </w:tc>
        <w:tc>
          <w:tcPr>
            <w:tcW w:w="3908" w:type="pct"/>
          </w:tcPr>
          <w:p w14:paraId="0D3B29FF" w14:textId="77777777" w:rsidR="004B6763" w:rsidRPr="00E22B40" w:rsidRDefault="004B6763" w:rsidP="0040289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E22B40">
              <w:rPr>
                <w:rFonts w:ascii="Calibri" w:hAnsi="Calibri" w:cs="Calibri"/>
                <w:color w:val="000000"/>
                <w:sz w:val="20"/>
                <w:szCs w:val="20"/>
              </w:rPr>
              <w:t>In Kiribati</w:t>
            </w:r>
          </w:p>
          <w:p w14:paraId="31C6DCE7" w14:textId="77777777" w:rsidR="004B6763" w:rsidRPr="00E22B40" w:rsidRDefault="004B6763" w:rsidP="004B6763">
            <w:pPr>
              <w:pStyle w:val="ListParagraph"/>
              <w:numPr>
                <w:ilvl w:val="0"/>
                <w:numId w:val="13"/>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E22B40">
              <w:rPr>
                <w:rFonts w:ascii="Calibri" w:hAnsi="Calibri" w:cs="Calibri"/>
                <w:color w:val="000000"/>
                <w:sz w:val="20"/>
                <w:szCs w:val="20"/>
              </w:rPr>
              <w:t>Peter Langbien (Team Leader Skills for Employment Program and Director KIT)</w:t>
            </w:r>
          </w:p>
          <w:p w14:paraId="35154569" w14:textId="77777777" w:rsidR="004B6763" w:rsidRPr="00E22B40" w:rsidRDefault="004B6763" w:rsidP="004B6763">
            <w:pPr>
              <w:pStyle w:val="ListParagraph"/>
              <w:numPr>
                <w:ilvl w:val="0"/>
                <w:numId w:val="13"/>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E22B40">
              <w:rPr>
                <w:rFonts w:ascii="Calibri" w:hAnsi="Calibri" w:cs="Calibri"/>
                <w:color w:val="000000"/>
                <w:sz w:val="20"/>
                <w:szCs w:val="20"/>
              </w:rPr>
              <w:t>KIT Executive Team</w:t>
            </w:r>
          </w:p>
          <w:p w14:paraId="0C14AF87" w14:textId="77777777" w:rsidR="004B6763" w:rsidRPr="00E22B40" w:rsidRDefault="004B6763" w:rsidP="004B6763">
            <w:pPr>
              <w:pStyle w:val="ListParagraph"/>
              <w:numPr>
                <w:ilvl w:val="0"/>
                <w:numId w:val="13"/>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E22B40">
              <w:rPr>
                <w:rFonts w:ascii="Calibri" w:hAnsi="Calibri" w:cs="Calibri"/>
                <w:color w:val="000000"/>
                <w:sz w:val="20"/>
                <w:szCs w:val="20"/>
              </w:rPr>
              <w:t>KIT Employment Support Services</w:t>
            </w:r>
          </w:p>
          <w:p w14:paraId="109E947B" w14:textId="77777777" w:rsidR="004B6763" w:rsidRPr="00E22B40" w:rsidRDefault="004B6763" w:rsidP="0040289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p w14:paraId="2EB2DC45" w14:textId="77777777" w:rsidR="004B6763" w:rsidRPr="00E22B40" w:rsidRDefault="004B6763" w:rsidP="0040289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E22B40">
              <w:rPr>
                <w:rFonts w:ascii="Calibri" w:hAnsi="Calibri" w:cs="Calibri"/>
                <w:color w:val="000000"/>
                <w:sz w:val="20"/>
                <w:szCs w:val="20"/>
              </w:rPr>
              <w:t>Kiribati Facility Long-term advisors (in country)</w:t>
            </w:r>
          </w:p>
          <w:p w14:paraId="1EB915A4" w14:textId="77777777" w:rsidR="004B6763" w:rsidRPr="00E22B40" w:rsidRDefault="004B6763" w:rsidP="004B6763">
            <w:pPr>
              <w:pStyle w:val="ListParagraph"/>
              <w:numPr>
                <w:ilvl w:val="0"/>
                <w:numId w:val="13"/>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E22B40">
              <w:rPr>
                <w:rFonts w:ascii="Calibri" w:hAnsi="Calibri" w:cs="Calibri"/>
                <w:color w:val="000000"/>
                <w:sz w:val="20"/>
                <w:szCs w:val="20"/>
              </w:rPr>
              <w:t>Helen Cherry, Academic Services Advisor</w:t>
            </w:r>
          </w:p>
          <w:p w14:paraId="3D7FEE80" w14:textId="77777777" w:rsidR="004B6763" w:rsidRPr="00E22B40" w:rsidRDefault="004B6763" w:rsidP="0040289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p w14:paraId="6FED67A2" w14:textId="77777777" w:rsidR="004B6763" w:rsidRPr="00E22B40" w:rsidRDefault="004B6763" w:rsidP="0040289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E22B40">
              <w:rPr>
                <w:rFonts w:ascii="Calibri" w:hAnsi="Calibri" w:cs="Calibri"/>
                <w:color w:val="000000"/>
                <w:sz w:val="20"/>
                <w:szCs w:val="20"/>
              </w:rPr>
              <w:t>Kiribati Facility Short-term advisors</w:t>
            </w:r>
          </w:p>
          <w:p w14:paraId="01ADA878" w14:textId="77777777" w:rsidR="004B6763" w:rsidRPr="00E22B40" w:rsidRDefault="004B6763" w:rsidP="004B6763">
            <w:pPr>
              <w:pStyle w:val="ListParagraph"/>
              <w:numPr>
                <w:ilvl w:val="0"/>
                <w:numId w:val="13"/>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E22B40">
              <w:rPr>
                <w:rFonts w:ascii="Calibri" w:hAnsi="Calibri" w:cs="Calibri"/>
                <w:color w:val="000000"/>
                <w:sz w:val="20"/>
                <w:szCs w:val="20"/>
              </w:rPr>
              <w:t xml:space="preserve">Kate Alliott, Inclusion and Equity Advisor </w:t>
            </w:r>
          </w:p>
          <w:p w14:paraId="7E24A562" w14:textId="77777777" w:rsidR="004B6763" w:rsidRPr="00E22B40" w:rsidRDefault="004B6763" w:rsidP="004B6763">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r>
      <w:tr w:rsidR="004B6763" w:rsidRPr="00E22B40" w14:paraId="48E38234" w14:textId="77777777" w:rsidTr="00402898">
        <w:tc>
          <w:tcPr>
            <w:cnfStyle w:val="001000000000" w:firstRow="0" w:lastRow="0" w:firstColumn="1" w:lastColumn="0" w:oddVBand="0" w:evenVBand="0" w:oddHBand="0" w:evenHBand="0" w:firstRowFirstColumn="0" w:firstRowLastColumn="0" w:lastRowFirstColumn="0" w:lastRowLastColumn="0"/>
            <w:tcW w:w="1092" w:type="pct"/>
          </w:tcPr>
          <w:p w14:paraId="43550CE3" w14:textId="77777777" w:rsidR="004B6763" w:rsidRPr="00E22B40" w:rsidRDefault="004B6763" w:rsidP="00402898">
            <w:pPr>
              <w:rPr>
                <w:rFonts w:ascii="Calibri" w:hAnsi="Calibri" w:cs="Calibri"/>
                <w:color w:val="000000"/>
                <w:sz w:val="20"/>
                <w:szCs w:val="20"/>
              </w:rPr>
            </w:pPr>
            <w:r w:rsidRPr="00E22B40">
              <w:rPr>
                <w:rFonts w:ascii="Calibri" w:hAnsi="Calibri" w:cs="Calibri"/>
                <w:color w:val="000000"/>
                <w:sz w:val="20"/>
                <w:szCs w:val="20"/>
              </w:rPr>
              <w:t>Kiribati Facility Strategic Program Advisory Group</w:t>
            </w:r>
          </w:p>
        </w:tc>
        <w:tc>
          <w:tcPr>
            <w:tcW w:w="3908" w:type="pct"/>
          </w:tcPr>
          <w:p w14:paraId="30DC4745" w14:textId="51D7B835" w:rsidR="004B6763" w:rsidRPr="00E22B40" w:rsidRDefault="004B6763" w:rsidP="004B6763">
            <w:pPr>
              <w:pStyle w:val="ListParagraph"/>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E22B40">
              <w:rPr>
                <w:rFonts w:ascii="Calibri" w:hAnsi="Calibri" w:cs="Calibri"/>
                <w:color w:val="000000"/>
                <w:sz w:val="20"/>
                <w:szCs w:val="20"/>
              </w:rPr>
              <w:t>MEHR (as above)</w:t>
            </w:r>
          </w:p>
          <w:p w14:paraId="0DA6DDA3" w14:textId="77777777" w:rsidR="004B6763" w:rsidRPr="00E22B40" w:rsidRDefault="004B6763" w:rsidP="004B6763">
            <w:pPr>
              <w:pStyle w:val="ListParagraph"/>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E22B40">
              <w:rPr>
                <w:rFonts w:ascii="Calibri" w:hAnsi="Calibri" w:cs="Calibri"/>
                <w:color w:val="000000"/>
                <w:sz w:val="20"/>
                <w:szCs w:val="20"/>
              </w:rPr>
              <w:t>DFAT (as above)</w:t>
            </w:r>
          </w:p>
          <w:p w14:paraId="55917933" w14:textId="77777777" w:rsidR="004B6763" w:rsidRPr="00E22B40" w:rsidRDefault="004B6763" w:rsidP="004B6763">
            <w:pPr>
              <w:pStyle w:val="ListParagraph"/>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E22B40">
              <w:rPr>
                <w:rFonts w:ascii="Calibri" w:hAnsi="Calibri" w:cs="Calibri"/>
                <w:color w:val="000000"/>
                <w:sz w:val="20"/>
                <w:szCs w:val="20"/>
              </w:rPr>
              <w:t>KIT and Scope Global</w:t>
            </w:r>
          </w:p>
        </w:tc>
      </w:tr>
      <w:tr w:rsidR="004B6763" w:rsidRPr="00E22B40" w14:paraId="27A28A82" w14:textId="77777777" w:rsidTr="004028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 w:type="pct"/>
          </w:tcPr>
          <w:p w14:paraId="5B06D536" w14:textId="77777777" w:rsidR="004B6763" w:rsidRPr="00E22B40" w:rsidRDefault="004B6763" w:rsidP="00402898">
            <w:pPr>
              <w:rPr>
                <w:rFonts w:ascii="Calibri" w:hAnsi="Calibri" w:cs="Calibri"/>
                <w:color w:val="000000"/>
                <w:sz w:val="20"/>
                <w:szCs w:val="20"/>
              </w:rPr>
            </w:pPr>
            <w:r w:rsidRPr="00E22B40">
              <w:rPr>
                <w:rFonts w:ascii="Calibri" w:hAnsi="Calibri" w:cs="Calibri"/>
                <w:color w:val="000000"/>
                <w:sz w:val="20"/>
                <w:szCs w:val="20"/>
              </w:rPr>
              <w:t xml:space="preserve">Scope Global  </w:t>
            </w:r>
          </w:p>
        </w:tc>
        <w:tc>
          <w:tcPr>
            <w:tcW w:w="3908" w:type="pct"/>
          </w:tcPr>
          <w:p w14:paraId="302E6E08" w14:textId="77777777" w:rsidR="004B6763" w:rsidRPr="00E22B40" w:rsidRDefault="004B6763" w:rsidP="004B6763">
            <w:pPr>
              <w:pStyle w:val="ListParagraph"/>
              <w:numPr>
                <w:ilvl w:val="0"/>
                <w:numId w:val="14"/>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E22B40">
              <w:rPr>
                <w:rFonts w:ascii="Calibri" w:hAnsi="Calibri" w:cs="Calibri"/>
                <w:color w:val="000000"/>
                <w:sz w:val="20"/>
                <w:szCs w:val="20"/>
              </w:rPr>
              <w:t>Anthony Bailey</w:t>
            </w:r>
          </w:p>
          <w:p w14:paraId="003FF497" w14:textId="77777777" w:rsidR="004B6763" w:rsidRPr="00E22B40" w:rsidRDefault="004B6763" w:rsidP="004B6763">
            <w:pPr>
              <w:pStyle w:val="ListParagraph"/>
              <w:numPr>
                <w:ilvl w:val="0"/>
                <w:numId w:val="14"/>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E22B40">
              <w:rPr>
                <w:rFonts w:ascii="Calibri" w:hAnsi="Calibri" w:cs="Calibri"/>
                <w:color w:val="000000"/>
                <w:sz w:val="20"/>
                <w:szCs w:val="20"/>
              </w:rPr>
              <w:t>Amber Hall</w:t>
            </w:r>
          </w:p>
          <w:p w14:paraId="3096E381" w14:textId="77777777" w:rsidR="004B6763" w:rsidRPr="00E22B40" w:rsidRDefault="004B6763" w:rsidP="004B6763">
            <w:pPr>
              <w:pStyle w:val="ListParagraph"/>
              <w:numPr>
                <w:ilvl w:val="0"/>
                <w:numId w:val="14"/>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E22B40">
              <w:rPr>
                <w:rFonts w:ascii="Calibri" w:hAnsi="Calibri" w:cs="Calibri"/>
                <w:color w:val="000000"/>
                <w:sz w:val="20"/>
                <w:szCs w:val="20"/>
              </w:rPr>
              <w:t>Andrew Brown</w:t>
            </w:r>
          </w:p>
        </w:tc>
      </w:tr>
      <w:tr w:rsidR="004B6763" w:rsidRPr="00E22B40" w14:paraId="7073C6A2" w14:textId="77777777" w:rsidTr="00402898">
        <w:tc>
          <w:tcPr>
            <w:cnfStyle w:val="001000000000" w:firstRow="0" w:lastRow="0" w:firstColumn="1" w:lastColumn="0" w:oddVBand="0" w:evenVBand="0" w:oddHBand="0" w:evenHBand="0" w:firstRowFirstColumn="0" w:firstRowLastColumn="0" w:lastRowFirstColumn="0" w:lastRowLastColumn="0"/>
            <w:tcW w:w="1092" w:type="pct"/>
          </w:tcPr>
          <w:p w14:paraId="21A85965" w14:textId="77777777" w:rsidR="004B6763" w:rsidRPr="00E22B40" w:rsidRDefault="004B6763" w:rsidP="00402898">
            <w:pPr>
              <w:rPr>
                <w:rFonts w:ascii="Calibri" w:hAnsi="Calibri" w:cs="Calibri"/>
                <w:color w:val="000000"/>
                <w:sz w:val="20"/>
                <w:szCs w:val="20"/>
              </w:rPr>
            </w:pPr>
            <w:r w:rsidRPr="00E22B40">
              <w:rPr>
                <w:rFonts w:ascii="Calibri" w:hAnsi="Calibri" w:cs="Calibri"/>
                <w:color w:val="000000"/>
                <w:sz w:val="20"/>
                <w:szCs w:val="20"/>
              </w:rPr>
              <w:t>Marine Training Centre</w:t>
            </w:r>
          </w:p>
        </w:tc>
        <w:tc>
          <w:tcPr>
            <w:tcW w:w="3908" w:type="pct"/>
          </w:tcPr>
          <w:p w14:paraId="527A4C0F" w14:textId="77777777" w:rsidR="004B6763" w:rsidRPr="00E22B40" w:rsidRDefault="004B6763" w:rsidP="004B6763">
            <w:pPr>
              <w:pStyle w:val="ListParagraph"/>
              <w:numPr>
                <w:ilvl w:val="0"/>
                <w:numId w:val="14"/>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E22B40">
              <w:rPr>
                <w:rFonts w:ascii="Calibri" w:hAnsi="Calibri" w:cs="Calibri"/>
                <w:color w:val="000000"/>
                <w:sz w:val="20"/>
                <w:szCs w:val="20"/>
              </w:rPr>
              <w:t xml:space="preserve">Christian Mitta, Captain Superintendent </w:t>
            </w:r>
          </w:p>
          <w:p w14:paraId="38C4C985" w14:textId="77777777" w:rsidR="004B6763" w:rsidRPr="00E22B40" w:rsidRDefault="004B6763" w:rsidP="00402898">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E22B40">
              <w:rPr>
                <w:rFonts w:ascii="Calibri" w:hAnsi="Calibri" w:cs="Calibri"/>
                <w:color w:val="000000"/>
                <w:sz w:val="20"/>
                <w:szCs w:val="20"/>
              </w:rPr>
              <w:t xml:space="preserve"> </w:t>
            </w:r>
          </w:p>
        </w:tc>
      </w:tr>
      <w:tr w:rsidR="004B6763" w:rsidRPr="00E22B40" w14:paraId="04FB9620" w14:textId="77777777" w:rsidTr="004028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 w:type="pct"/>
          </w:tcPr>
          <w:p w14:paraId="24983475" w14:textId="77777777" w:rsidR="004B6763" w:rsidRPr="00E22B40" w:rsidRDefault="004B6763" w:rsidP="00402898">
            <w:pPr>
              <w:rPr>
                <w:rFonts w:ascii="Calibri" w:hAnsi="Calibri" w:cs="Calibri"/>
                <w:color w:val="000000"/>
                <w:sz w:val="20"/>
                <w:szCs w:val="20"/>
              </w:rPr>
            </w:pPr>
            <w:r w:rsidRPr="00E22B40">
              <w:rPr>
                <w:rFonts w:ascii="Calibri" w:hAnsi="Calibri" w:cs="Calibri"/>
                <w:color w:val="000000"/>
                <w:sz w:val="20"/>
                <w:szCs w:val="20"/>
              </w:rPr>
              <w:t>Other GoK Ministries/entities</w:t>
            </w:r>
          </w:p>
        </w:tc>
        <w:tc>
          <w:tcPr>
            <w:tcW w:w="3908" w:type="pct"/>
          </w:tcPr>
          <w:p w14:paraId="7E212CDD" w14:textId="77777777" w:rsidR="004B6763" w:rsidRPr="00E22B40" w:rsidRDefault="004B6763" w:rsidP="004B6763">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Sama Morrison – Secretary, Public Service Office</w:t>
            </w:r>
          </w:p>
          <w:p w14:paraId="59C31B9C" w14:textId="77777777" w:rsidR="004B6763" w:rsidRPr="00E22B40" w:rsidRDefault="004B6763" w:rsidP="004B6763">
            <w:pPr>
              <w:pStyle w:val="ListParagraph"/>
              <w:numPr>
                <w:ilvl w:val="0"/>
                <w:numId w:val="14"/>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Kirita Tabwene - </w:t>
            </w:r>
            <w:r w:rsidRPr="00E22B40">
              <w:rPr>
                <w:rFonts w:ascii="Calibri" w:hAnsi="Calibri" w:cs="Calibri"/>
                <w:color w:val="000000"/>
                <w:sz w:val="20"/>
                <w:szCs w:val="20"/>
              </w:rPr>
              <w:t>Public Utilities Board</w:t>
            </w:r>
          </w:p>
          <w:p w14:paraId="2D071D4B" w14:textId="77777777" w:rsidR="004B6763" w:rsidRPr="004B6763" w:rsidRDefault="004B6763" w:rsidP="004B676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r>
      <w:tr w:rsidR="004B6763" w:rsidRPr="00E22B40" w14:paraId="1B5AF696" w14:textId="77777777" w:rsidTr="00402898">
        <w:tc>
          <w:tcPr>
            <w:cnfStyle w:val="001000000000" w:firstRow="0" w:lastRow="0" w:firstColumn="1" w:lastColumn="0" w:oddVBand="0" w:evenVBand="0" w:oddHBand="0" w:evenHBand="0" w:firstRowFirstColumn="0" w:firstRowLastColumn="0" w:lastRowFirstColumn="0" w:lastRowLastColumn="0"/>
            <w:tcW w:w="1092" w:type="pct"/>
          </w:tcPr>
          <w:p w14:paraId="42BAEEDD" w14:textId="77777777" w:rsidR="004B6763" w:rsidRPr="00E22B40" w:rsidRDefault="004B6763" w:rsidP="00402898">
            <w:pPr>
              <w:rPr>
                <w:rFonts w:ascii="Calibri" w:hAnsi="Calibri" w:cs="Calibri"/>
                <w:color w:val="000000"/>
                <w:sz w:val="20"/>
                <w:szCs w:val="20"/>
              </w:rPr>
            </w:pPr>
            <w:r w:rsidRPr="00E22B40">
              <w:rPr>
                <w:rFonts w:ascii="Calibri" w:hAnsi="Calibri" w:cs="Calibri"/>
                <w:color w:val="000000"/>
                <w:sz w:val="20"/>
                <w:szCs w:val="20"/>
              </w:rPr>
              <w:t>APTC</w:t>
            </w:r>
          </w:p>
        </w:tc>
        <w:tc>
          <w:tcPr>
            <w:tcW w:w="3908" w:type="pct"/>
          </w:tcPr>
          <w:p w14:paraId="186A78B1" w14:textId="77777777" w:rsidR="004B6763" w:rsidRPr="00E22B40" w:rsidRDefault="004B6763" w:rsidP="004B6763">
            <w:pPr>
              <w:pStyle w:val="ListParagraph"/>
              <w:numPr>
                <w:ilvl w:val="0"/>
                <w:numId w:val="14"/>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E22B40">
              <w:rPr>
                <w:rFonts w:ascii="Calibri" w:hAnsi="Calibri" w:cs="Calibri"/>
                <w:color w:val="000000"/>
                <w:sz w:val="20"/>
                <w:szCs w:val="20"/>
              </w:rPr>
              <w:t>Alfred Schuster, Development Effectiveness Advisor</w:t>
            </w:r>
            <w:r w:rsidRPr="00E22B40">
              <w:rPr>
                <w:rFonts w:ascii="Calibri" w:hAnsi="Calibri" w:cs="Calibri"/>
                <w:sz w:val="20"/>
                <w:szCs w:val="20"/>
              </w:rPr>
              <w:t> </w:t>
            </w:r>
          </w:p>
          <w:p w14:paraId="47A4E110" w14:textId="77777777" w:rsidR="004B6763" w:rsidRPr="00AB4310" w:rsidRDefault="004B6763" w:rsidP="004B6763">
            <w:pPr>
              <w:pStyle w:val="ListParagraph"/>
              <w:numPr>
                <w:ilvl w:val="0"/>
                <w:numId w:val="14"/>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E22B40">
              <w:rPr>
                <w:rFonts w:ascii="Calibri" w:hAnsi="Calibri" w:cs="Calibri"/>
                <w:color w:val="000000"/>
                <w:sz w:val="20"/>
                <w:szCs w:val="20"/>
              </w:rPr>
              <w:t>Glyn Milhench, Vocational Training Manager &amp; member of APTC’s country leadership team for Solomon Islands and Kiribat</w:t>
            </w:r>
            <w:r>
              <w:rPr>
                <w:rFonts w:ascii="Calibri" w:hAnsi="Calibri" w:cs="Calibri"/>
                <w:color w:val="000000"/>
                <w:sz w:val="20"/>
                <w:szCs w:val="20"/>
              </w:rPr>
              <w:t>i</w:t>
            </w:r>
          </w:p>
        </w:tc>
      </w:tr>
      <w:tr w:rsidR="004B6763" w:rsidRPr="00E22B40" w14:paraId="007CCCA7" w14:textId="77777777" w:rsidTr="004028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 w:type="pct"/>
          </w:tcPr>
          <w:p w14:paraId="0BB28ED2" w14:textId="77777777" w:rsidR="004B6763" w:rsidRPr="00E22B40" w:rsidRDefault="004B6763" w:rsidP="00402898">
            <w:pPr>
              <w:rPr>
                <w:rFonts w:ascii="Calibri" w:hAnsi="Calibri" w:cs="Calibri"/>
                <w:color w:val="000000"/>
                <w:sz w:val="20"/>
                <w:szCs w:val="20"/>
              </w:rPr>
            </w:pPr>
            <w:r w:rsidRPr="00E22B40">
              <w:rPr>
                <w:rFonts w:ascii="Calibri" w:hAnsi="Calibri" w:cs="Calibri"/>
                <w:color w:val="000000"/>
                <w:sz w:val="20"/>
                <w:szCs w:val="20"/>
              </w:rPr>
              <w:t>Local Stakeholders</w:t>
            </w:r>
          </w:p>
        </w:tc>
        <w:tc>
          <w:tcPr>
            <w:tcW w:w="3908" w:type="pct"/>
          </w:tcPr>
          <w:p w14:paraId="5C1DB5DA" w14:textId="77777777" w:rsidR="004B6763" w:rsidRPr="00E22B40" w:rsidRDefault="004B6763" w:rsidP="0040289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E22B40">
              <w:rPr>
                <w:rFonts w:ascii="Calibri" w:hAnsi="Calibri" w:cs="Calibri"/>
                <w:color w:val="000000"/>
                <w:sz w:val="20"/>
                <w:szCs w:val="20"/>
              </w:rPr>
              <w:t>Private sector</w:t>
            </w:r>
          </w:p>
          <w:p w14:paraId="7AD6426F" w14:textId="77777777" w:rsidR="004B6763" w:rsidRDefault="004B6763" w:rsidP="004B6763">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AB4310">
              <w:rPr>
                <w:rFonts w:ascii="Calibri" w:hAnsi="Calibri" w:cs="Calibri"/>
                <w:color w:val="000000"/>
                <w:sz w:val="20"/>
                <w:szCs w:val="20"/>
              </w:rPr>
              <w:t>KCCI</w:t>
            </w:r>
          </w:p>
          <w:p w14:paraId="08BF9F27" w14:textId="77777777" w:rsidR="004B6763" w:rsidRPr="00AB4310" w:rsidRDefault="004B6763" w:rsidP="004B6763">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Banaketa Betero, Taotin Trading</w:t>
            </w:r>
          </w:p>
          <w:p w14:paraId="3A495457" w14:textId="77777777" w:rsidR="004B6763" w:rsidRPr="00E22B40" w:rsidRDefault="004B6763" w:rsidP="0040289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E22B40">
              <w:rPr>
                <w:rFonts w:ascii="Calibri" w:hAnsi="Calibri" w:cs="Calibri"/>
                <w:color w:val="000000"/>
                <w:sz w:val="20"/>
                <w:szCs w:val="20"/>
              </w:rPr>
              <w:t>Community Sector</w:t>
            </w:r>
          </w:p>
          <w:p w14:paraId="2A3557C9" w14:textId="77777777" w:rsidR="004B6763" w:rsidRDefault="004B6763" w:rsidP="004B6763">
            <w:pPr>
              <w:pStyle w:val="ListParagraph"/>
              <w:numPr>
                <w:ilvl w:val="0"/>
                <w:numId w:val="14"/>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David Kakiakia</w:t>
            </w:r>
            <w:r w:rsidRPr="00E22B40">
              <w:rPr>
                <w:rFonts w:ascii="Calibri" w:hAnsi="Calibri" w:cs="Calibri"/>
                <w:color w:val="000000"/>
                <w:sz w:val="20"/>
                <w:szCs w:val="20"/>
              </w:rPr>
              <w:t>, ChildFund Kiribati</w:t>
            </w:r>
          </w:p>
          <w:p w14:paraId="5B758D1D" w14:textId="77777777" w:rsidR="004B6763" w:rsidRPr="00AB4310" w:rsidRDefault="004B6763" w:rsidP="004B6763">
            <w:pPr>
              <w:pStyle w:val="ListParagraph"/>
              <w:numPr>
                <w:ilvl w:val="0"/>
                <w:numId w:val="14"/>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Seretia </w:t>
            </w:r>
            <w:r w:rsidRPr="00E22B40">
              <w:rPr>
                <w:rFonts w:ascii="Calibri" w:hAnsi="Calibri" w:cs="Calibri"/>
                <w:color w:val="000000"/>
                <w:sz w:val="20"/>
                <w:szCs w:val="20"/>
              </w:rPr>
              <w:t>, ChildFund Kiribati</w:t>
            </w:r>
          </w:p>
          <w:p w14:paraId="47B37C3C" w14:textId="77777777" w:rsidR="004B6763" w:rsidRPr="00E22B40" w:rsidRDefault="004B6763" w:rsidP="004B6763">
            <w:pPr>
              <w:pStyle w:val="ListParagraph"/>
              <w:numPr>
                <w:ilvl w:val="0"/>
                <w:numId w:val="14"/>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Bakarebo Tamara, </w:t>
            </w:r>
            <w:r w:rsidRPr="00E22B40">
              <w:rPr>
                <w:rFonts w:ascii="Calibri" w:hAnsi="Calibri" w:cs="Calibri"/>
                <w:color w:val="000000"/>
                <w:sz w:val="20"/>
                <w:szCs w:val="20"/>
              </w:rPr>
              <w:t>Te Toa Matoa (Disabled People’s Association)</w:t>
            </w:r>
          </w:p>
          <w:p w14:paraId="4BB1D673" w14:textId="77777777" w:rsidR="004B6763" w:rsidRPr="00E22B40" w:rsidRDefault="004B6763" w:rsidP="004B6763">
            <w:pPr>
              <w:pStyle w:val="ListParagraph"/>
              <w:numPr>
                <w:ilvl w:val="0"/>
                <w:numId w:val="14"/>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r>
      <w:tr w:rsidR="004B6763" w:rsidRPr="00E22B40" w14:paraId="7E71B64A" w14:textId="77777777" w:rsidTr="00402898">
        <w:tc>
          <w:tcPr>
            <w:cnfStyle w:val="001000000000" w:firstRow="0" w:lastRow="0" w:firstColumn="1" w:lastColumn="0" w:oddVBand="0" w:evenVBand="0" w:oddHBand="0" w:evenHBand="0" w:firstRowFirstColumn="0" w:firstRowLastColumn="0" w:lastRowFirstColumn="0" w:lastRowLastColumn="0"/>
            <w:tcW w:w="1092" w:type="pct"/>
          </w:tcPr>
          <w:p w14:paraId="4EC3D219" w14:textId="77777777" w:rsidR="004B6763" w:rsidRPr="00E22B40" w:rsidRDefault="004B6763" w:rsidP="00402898">
            <w:pPr>
              <w:rPr>
                <w:rFonts w:ascii="Calibri" w:hAnsi="Calibri" w:cs="Calibri"/>
                <w:color w:val="000000"/>
                <w:sz w:val="20"/>
                <w:szCs w:val="20"/>
              </w:rPr>
            </w:pPr>
            <w:r w:rsidRPr="00E22B40">
              <w:rPr>
                <w:rFonts w:ascii="Calibri" w:hAnsi="Calibri" w:cs="Calibri"/>
                <w:color w:val="000000"/>
                <w:sz w:val="20"/>
                <w:szCs w:val="20"/>
              </w:rPr>
              <w:t>NZ MFAT</w:t>
            </w:r>
          </w:p>
        </w:tc>
        <w:tc>
          <w:tcPr>
            <w:tcW w:w="3908" w:type="pct"/>
          </w:tcPr>
          <w:p w14:paraId="495FE219" w14:textId="77777777" w:rsidR="004B6763" w:rsidRPr="00AB4310" w:rsidRDefault="004B6763" w:rsidP="004B6763">
            <w:pPr>
              <w:pStyle w:val="ListParagraph"/>
              <w:numPr>
                <w:ilvl w:val="0"/>
                <w:numId w:val="14"/>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E22B40">
              <w:rPr>
                <w:rFonts w:ascii="Calibri" w:hAnsi="Calibri" w:cs="Calibri"/>
                <w:color w:val="000000"/>
                <w:sz w:val="20"/>
                <w:szCs w:val="20"/>
              </w:rPr>
              <w:t>Michael Upton, High Commissioner</w:t>
            </w:r>
          </w:p>
        </w:tc>
      </w:tr>
    </w:tbl>
    <w:p w14:paraId="68B37AB0" w14:textId="5886A8DF" w:rsidR="00DE5D30" w:rsidRDefault="00DE5D30" w:rsidP="00DE5D30"/>
    <w:p w14:paraId="410948E1" w14:textId="1C3DBFB9" w:rsidR="00F14C5D" w:rsidRDefault="00F14C5D">
      <w:pPr>
        <w:spacing w:after="200" w:line="276" w:lineRule="auto"/>
      </w:pPr>
      <w:r>
        <w:br w:type="page"/>
      </w:r>
    </w:p>
    <w:p w14:paraId="02219148" w14:textId="7217CE0F" w:rsidR="00325909" w:rsidRPr="00E22B40" w:rsidRDefault="00325909" w:rsidP="00325909">
      <w:pPr>
        <w:pStyle w:val="Heading2"/>
        <w:spacing w:before="360"/>
        <w:ind w:left="431" w:hanging="431"/>
        <w:rPr>
          <w:rFonts w:asciiTheme="minorHAnsi" w:hAnsiTheme="minorHAnsi" w:cs="Arial"/>
        </w:rPr>
      </w:pPr>
      <w:bookmarkStart w:id="49" w:name="_Toc8623419"/>
      <w:r w:rsidRPr="00E22B40">
        <w:rPr>
          <w:rFonts w:asciiTheme="minorHAnsi" w:hAnsiTheme="minorHAnsi" w:cs="Arial"/>
        </w:rPr>
        <w:t xml:space="preserve">Annex </w:t>
      </w:r>
      <w:r>
        <w:rPr>
          <w:rFonts w:asciiTheme="minorHAnsi" w:hAnsiTheme="minorHAnsi" w:cs="Arial"/>
        </w:rPr>
        <w:t>5</w:t>
      </w:r>
      <w:r w:rsidRPr="00E22B40">
        <w:rPr>
          <w:rFonts w:asciiTheme="minorHAnsi" w:hAnsiTheme="minorHAnsi" w:cs="Arial"/>
        </w:rPr>
        <w:t xml:space="preserve">: </w:t>
      </w:r>
      <w:r>
        <w:rPr>
          <w:rFonts w:asciiTheme="minorHAnsi" w:hAnsiTheme="minorHAnsi" w:cs="Arial"/>
        </w:rPr>
        <w:t>APTC – Kiribati Facility Coherence</w:t>
      </w:r>
      <w:bookmarkEnd w:id="49"/>
      <w:r w:rsidRPr="00E22B40">
        <w:rPr>
          <w:rFonts w:asciiTheme="minorHAnsi" w:hAnsiTheme="minorHAnsi" w:cs="Arial"/>
        </w:rPr>
        <w:t xml:space="preserve"> </w:t>
      </w:r>
    </w:p>
    <w:p w14:paraId="19DA189D" w14:textId="77777777" w:rsidR="00325909" w:rsidRPr="00325909" w:rsidRDefault="00325909" w:rsidP="00325909">
      <w:pPr>
        <w:spacing w:after="120"/>
        <w:rPr>
          <w:rFonts w:asciiTheme="minorHAnsi" w:hAnsiTheme="minorHAnsi" w:cstheme="minorHAnsi"/>
          <w:bCs/>
          <w:color w:val="808080" w:themeColor="background1" w:themeShade="80"/>
          <w:sz w:val="22"/>
          <w:szCs w:val="22"/>
        </w:rPr>
      </w:pPr>
      <w:r w:rsidRPr="00325909">
        <w:rPr>
          <w:rFonts w:asciiTheme="minorHAnsi" w:hAnsiTheme="minorHAnsi" w:cstheme="minorHAnsi"/>
          <w:bCs/>
          <w:color w:val="808080" w:themeColor="background1" w:themeShade="80"/>
          <w:sz w:val="22"/>
          <w:szCs w:val="22"/>
        </w:rPr>
        <w:t>Purpose</w:t>
      </w:r>
    </w:p>
    <w:p w14:paraId="5EEEFD73" w14:textId="77777777" w:rsidR="00325909" w:rsidRPr="00325909" w:rsidRDefault="00325909" w:rsidP="00325909">
      <w:pPr>
        <w:spacing w:after="120"/>
        <w:jc w:val="both"/>
        <w:rPr>
          <w:rFonts w:asciiTheme="minorHAnsi" w:hAnsiTheme="minorHAnsi" w:cstheme="minorHAnsi"/>
          <w:sz w:val="22"/>
          <w:szCs w:val="22"/>
        </w:rPr>
      </w:pPr>
      <w:r w:rsidRPr="00325909">
        <w:rPr>
          <w:rFonts w:asciiTheme="minorHAnsi" w:hAnsiTheme="minorHAnsi" w:cstheme="minorHAnsi"/>
          <w:sz w:val="22"/>
          <w:szCs w:val="22"/>
        </w:rPr>
        <w:t xml:space="preserve">This brief paper sets out preliminary ideas on how to improve coherence between DFAT’s bilateral investments (specifically the Kiribati Facility) and regional investments (specifically APTC) in Kiribati. </w:t>
      </w:r>
    </w:p>
    <w:p w14:paraId="117E0A62" w14:textId="77777777" w:rsidR="00325909" w:rsidRPr="00325909" w:rsidRDefault="00325909" w:rsidP="00325909">
      <w:pPr>
        <w:spacing w:after="120"/>
        <w:jc w:val="both"/>
        <w:rPr>
          <w:rFonts w:asciiTheme="minorHAnsi" w:hAnsiTheme="minorHAnsi" w:cstheme="minorHAnsi"/>
          <w:sz w:val="22"/>
          <w:szCs w:val="22"/>
        </w:rPr>
      </w:pPr>
      <w:r w:rsidRPr="00325909">
        <w:rPr>
          <w:rFonts w:asciiTheme="minorHAnsi" w:hAnsiTheme="minorHAnsi" w:cstheme="minorHAnsi"/>
          <w:sz w:val="22"/>
          <w:szCs w:val="22"/>
        </w:rPr>
        <w:t>Greater coherence is sought in order to maximise effectiveness and efficiency of DFAT’s investments, and to better enable Government of Kiribati (GoK) leadership of development initiatives in the TVET and skills sector.</w:t>
      </w:r>
    </w:p>
    <w:p w14:paraId="2B6110C5" w14:textId="77777777" w:rsidR="00325909" w:rsidRPr="00325909" w:rsidRDefault="00325909" w:rsidP="00325909">
      <w:pPr>
        <w:spacing w:after="120"/>
        <w:jc w:val="both"/>
        <w:rPr>
          <w:rFonts w:asciiTheme="minorHAnsi" w:hAnsiTheme="minorHAnsi" w:cstheme="minorHAnsi"/>
          <w:sz w:val="22"/>
          <w:szCs w:val="22"/>
        </w:rPr>
      </w:pPr>
      <w:r w:rsidRPr="00325909">
        <w:rPr>
          <w:rFonts w:asciiTheme="minorHAnsi" w:hAnsiTheme="minorHAnsi" w:cstheme="minorHAnsi"/>
          <w:sz w:val="22"/>
          <w:szCs w:val="22"/>
        </w:rPr>
        <w:t>The ideas set out here are for consideration – and action – by DFAT, the Kiribati Facility, APTC and the Government of Kiribati.</w:t>
      </w:r>
    </w:p>
    <w:p w14:paraId="45CD0DC3" w14:textId="77777777" w:rsidR="00325909" w:rsidRPr="00325909" w:rsidRDefault="00325909" w:rsidP="00325909">
      <w:pPr>
        <w:spacing w:after="120"/>
        <w:rPr>
          <w:rFonts w:asciiTheme="minorHAnsi" w:hAnsiTheme="minorHAnsi" w:cstheme="minorHAnsi"/>
          <w:bCs/>
          <w:color w:val="808080" w:themeColor="background1" w:themeShade="80"/>
          <w:sz w:val="22"/>
          <w:szCs w:val="22"/>
        </w:rPr>
      </w:pPr>
      <w:r w:rsidRPr="00325909">
        <w:rPr>
          <w:rFonts w:asciiTheme="minorHAnsi" w:hAnsiTheme="minorHAnsi" w:cstheme="minorHAnsi"/>
          <w:bCs/>
          <w:color w:val="808080" w:themeColor="background1" w:themeShade="80"/>
          <w:sz w:val="22"/>
          <w:szCs w:val="22"/>
        </w:rPr>
        <w:t>Principles</w:t>
      </w:r>
    </w:p>
    <w:p w14:paraId="6695D485" w14:textId="77777777" w:rsidR="00325909" w:rsidRPr="00325909" w:rsidRDefault="00325909" w:rsidP="00325909">
      <w:pPr>
        <w:spacing w:after="120"/>
        <w:jc w:val="both"/>
        <w:rPr>
          <w:rFonts w:asciiTheme="minorHAnsi" w:hAnsiTheme="minorHAnsi" w:cstheme="minorHAnsi"/>
          <w:sz w:val="22"/>
          <w:szCs w:val="22"/>
        </w:rPr>
      </w:pPr>
      <w:r w:rsidRPr="00325909">
        <w:rPr>
          <w:rFonts w:asciiTheme="minorHAnsi" w:hAnsiTheme="minorHAnsi" w:cstheme="minorHAnsi"/>
          <w:sz w:val="22"/>
          <w:szCs w:val="22"/>
        </w:rPr>
        <w:t>The principles underpinning improvements to coherence between these programs are:</w:t>
      </w:r>
    </w:p>
    <w:p w14:paraId="1D06D4A0" w14:textId="77777777" w:rsidR="00325909" w:rsidRPr="00325909" w:rsidRDefault="00325909" w:rsidP="00325909">
      <w:pPr>
        <w:pStyle w:val="ListParagraph"/>
        <w:numPr>
          <w:ilvl w:val="0"/>
          <w:numId w:val="32"/>
        </w:numPr>
        <w:spacing w:after="120" w:line="240" w:lineRule="auto"/>
        <w:jc w:val="both"/>
        <w:rPr>
          <w:rFonts w:cstheme="minorHAnsi"/>
        </w:rPr>
      </w:pPr>
      <w:r w:rsidRPr="00325909">
        <w:rPr>
          <w:rFonts w:cstheme="minorHAnsi"/>
        </w:rPr>
        <w:t>Government of Kiribati leadership of development initiatives in Kiribati</w:t>
      </w:r>
    </w:p>
    <w:p w14:paraId="2A17BD97" w14:textId="77777777" w:rsidR="00325909" w:rsidRPr="00325909" w:rsidRDefault="00325909" w:rsidP="00325909">
      <w:pPr>
        <w:pStyle w:val="ListParagraph"/>
        <w:numPr>
          <w:ilvl w:val="0"/>
          <w:numId w:val="32"/>
        </w:numPr>
        <w:spacing w:after="120" w:line="240" w:lineRule="auto"/>
        <w:jc w:val="both"/>
        <w:rPr>
          <w:rFonts w:cstheme="minorHAnsi"/>
        </w:rPr>
      </w:pPr>
      <w:r w:rsidRPr="00325909">
        <w:rPr>
          <w:rFonts w:cstheme="minorHAnsi"/>
        </w:rPr>
        <w:t>Maximising effectiveness and efficiency of development investments</w:t>
      </w:r>
    </w:p>
    <w:p w14:paraId="6BD11DEC" w14:textId="77777777" w:rsidR="00325909" w:rsidRPr="00325909" w:rsidRDefault="00325909" w:rsidP="00325909">
      <w:pPr>
        <w:pStyle w:val="ListParagraph"/>
        <w:numPr>
          <w:ilvl w:val="0"/>
          <w:numId w:val="32"/>
        </w:numPr>
        <w:spacing w:after="120" w:line="240" w:lineRule="auto"/>
        <w:jc w:val="both"/>
        <w:rPr>
          <w:rFonts w:cstheme="minorHAnsi"/>
        </w:rPr>
      </w:pPr>
      <w:r w:rsidRPr="00325909">
        <w:rPr>
          <w:rFonts w:cstheme="minorHAnsi"/>
        </w:rPr>
        <w:t>Collaborative, respectful relationships between implementing partners</w:t>
      </w:r>
    </w:p>
    <w:p w14:paraId="5075DF4B" w14:textId="77777777" w:rsidR="00325909" w:rsidRPr="00325909" w:rsidRDefault="00325909" w:rsidP="00325909">
      <w:pPr>
        <w:spacing w:after="120"/>
        <w:rPr>
          <w:rFonts w:asciiTheme="minorHAnsi" w:hAnsiTheme="minorHAnsi" w:cstheme="minorHAnsi"/>
          <w:bCs/>
          <w:color w:val="808080" w:themeColor="background1" w:themeShade="80"/>
          <w:sz w:val="22"/>
          <w:szCs w:val="22"/>
        </w:rPr>
      </w:pPr>
      <w:r w:rsidRPr="00325909">
        <w:rPr>
          <w:rFonts w:asciiTheme="minorHAnsi" w:hAnsiTheme="minorHAnsi" w:cstheme="minorHAnsi"/>
          <w:bCs/>
          <w:color w:val="808080" w:themeColor="background1" w:themeShade="80"/>
          <w:sz w:val="22"/>
          <w:szCs w:val="22"/>
        </w:rPr>
        <w:t>Context</w:t>
      </w:r>
    </w:p>
    <w:p w14:paraId="55042420" w14:textId="77777777" w:rsidR="00325909" w:rsidRPr="00325909" w:rsidRDefault="00325909" w:rsidP="00325909">
      <w:pPr>
        <w:spacing w:after="120"/>
        <w:jc w:val="both"/>
        <w:rPr>
          <w:rFonts w:asciiTheme="minorHAnsi" w:hAnsiTheme="minorHAnsi" w:cstheme="minorHAnsi"/>
          <w:sz w:val="22"/>
          <w:szCs w:val="22"/>
        </w:rPr>
      </w:pPr>
      <w:r w:rsidRPr="00325909">
        <w:rPr>
          <w:rFonts w:asciiTheme="minorHAnsi" w:hAnsiTheme="minorHAnsi" w:cstheme="minorHAnsi"/>
          <w:b/>
          <w:sz w:val="22"/>
          <w:szCs w:val="22"/>
        </w:rPr>
        <w:t>The Kiribati Facility plays a dual role</w:t>
      </w:r>
      <w:r w:rsidRPr="00325909">
        <w:rPr>
          <w:rFonts w:asciiTheme="minorHAnsi" w:hAnsiTheme="minorHAnsi" w:cstheme="minorHAnsi"/>
          <w:sz w:val="22"/>
          <w:szCs w:val="22"/>
        </w:rPr>
        <w:t>, supporting management and delivery of KIT through the Skills for Employment Program (SfEP) and flexibly supporting a range of activities in the sector through the Flexible Support Facility (FSF).</w:t>
      </w:r>
    </w:p>
    <w:p w14:paraId="1AEABE56" w14:textId="77777777" w:rsidR="00325909" w:rsidRPr="00325909" w:rsidRDefault="00325909" w:rsidP="00325909">
      <w:pPr>
        <w:spacing w:after="120"/>
        <w:jc w:val="both"/>
        <w:rPr>
          <w:rFonts w:asciiTheme="minorHAnsi" w:hAnsiTheme="minorHAnsi" w:cstheme="minorHAnsi"/>
          <w:sz w:val="22"/>
          <w:szCs w:val="22"/>
        </w:rPr>
      </w:pPr>
      <w:r w:rsidRPr="00325909">
        <w:rPr>
          <w:rFonts w:asciiTheme="minorHAnsi" w:hAnsiTheme="minorHAnsi" w:cstheme="minorHAnsi"/>
          <w:b/>
          <w:sz w:val="22"/>
          <w:szCs w:val="22"/>
        </w:rPr>
        <w:t>APTC has a significantly revised mandate</w:t>
      </w:r>
      <w:r w:rsidRPr="00325909">
        <w:rPr>
          <w:rFonts w:asciiTheme="minorHAnsi" w:hAnsiTheme="minorHAnsi" w:cstheme="minorHAnsi"/>
          <w:sz w:val="22"/>
          <w:szCs w:val="22"/>
        </w:rPr>
        <w:t xml:space="preserve"> in its third phase (2018-2022), involving a transformational shift away from being a separate training institution and towards supporting a sustainable, locally-led TVET system in the Pacific. </w:t>
      </w:r>
    </w:p>
    <w:p w14:paraId="3A94B37F" w14:textId="77777777" w:rsidR="00325909" w:rsidRPr="00325909" w:rsidRDefault="00325909" w:rsidP="00325909">
      <w:pPr>
        <w:spacing w:after="120"/>
        <w:jc w:val="both"/>
        <w:rPr>
          <w:rFonts w:asciiTheme="minorHAnsi" w:hAnsiTheme="minorHAnsi" w:cstheme="minorHAnsi"/>
          <w:sz w:val="22"/>
          <w:szCs w:val="22"/>
        </w:rPr>
      </w:pPr>
      <w:r w:rsidRPr="00325909">
        <w:rPr>
          <w:rFonts w:asciiTheme="minorHAnsi" w:hAnsiTheme="minorHAnsi" w:cstheme="minorHAnsi"/>
          <w:b/>
          <w:sz w:val="22"/>
          <w:szCs w:val="22"/>
        </w:rPr>
        <w:t>The Kiribati 20 Year Vision</w:t>
      </w:r>
      <w:r w:rsidRPr="00325909">
        <w:rPr>
          <w:rFonts w:asciiTheme="minorHAnsi" w:hAnsiTheme="minorHAnsi" w:cstheme="minorHAnsi"/>
          <w:sz w:val="22"/>
          <w:szCs w:val="22"/>
        </w:rPr>
        <w:t xml:space="preserve"> (KV20) includes priorities to identify new overseas labour markets, increase overseas employment and grow the domestic economy.</w:t>
      </w:r>
    </w:p>
    <w:p w14:paraId="75B6E933" w14:textId="77777777" w:rsidR="00325909" w:rsidRPr="00325909" w:rsidRDefault="00325909" w:rsidP="00325909">
      <w:pPr>
        <w:spacing w:after="120"/>
        <w:jc w:val="both"/>
        <w:rPr>
          <w:rFonts w:asciiTheme="minorHAnsi" w:hAnsiTheme="minorHAnsi" w:cstheme="minorHAnsi"/>
          <w:sz w:val="22"/>
          <w:szCs w:val="22"/>
        </w:rPr>
      </w:pPr>
      <w:r w:rsidRPr="00325909">
        <w:rPr>
          <w:rFonts w:asciiTheme="minorHAnsi" w:hAnsiTheme="minorHAnsi" w:cstheme="minorHAnsi"/>
          <w:sz w:val="22"/>
          <w:szCs w:val="22"/>
        </w:rPr>
        <w:t xml:space="preserve">Support for skills development and a renewed focus on labour mobility are key priorities in </w:t>
      </w:r>
      <w:r w:rsidRPr="00325909">
        <w:rPr>
          <w:rFonts w:asciiTheme="minorHAnsi" w:hAnsiTheme="minorHAnsi" w:cstheme="minorHAnsi"/>
          <w:b/>
          <w:sz w:val="22"/>
          <w:szCs w:val="22"/>
        </w:rPr>
        <w:t>DFAT’s aid investment plan</w:t>
      </w:r>
      <w:r w:rsidRPr="00325909">
        <w:rPr>
          <w:rFonts w:asciiTheme="minorHAnsi" w:hAnsiTheme="minorHAnsi" w:cstheme="minorHAnsi"/>
          <w:sz w:val="22"/>
          <w:szCs w:val="22"/>
        </w:rPr>
        <w:t xml:space="preserve"> for Kiribati 2016-2019. Program coherence, including between its regional and bilateral investments is an ongoing priority for DFAT. </w:t>
      </w:r>
    </w:p>
    <w:p w14:paraId="051D301C" w14:textId="77777777" w:rsidR="00325909" w:rsidRPr="00325909" w:rsidRDefault="00325909" w:rsidP="00325909">
      <w:pPr>
        <w:spacing w:after="120"/>
        <w:jc w:val="both"/>
        <w:rPr>
          <w:rFonts w:asciiTheme="minorHAnsi" w:hAnsiTheme="minorHAnsi" w:cstheme="minorHAnsi"/>
          <w:bCs/>
          <w:color w:val="808080" w:themeColor="background1" w:themeShade="80"/>
          <w:sz w:val="22"/>
          <w:szCs w:val="22"/>
        </w:rPr>
      </w:pPr>
      <w:r w:rsidRPr="00325909">
        <w:rPr>
          <w:rFonts w:asciiTheme="minorHAnsi" w:hAnsiTheme="minorHAnsi" w:cstheme="minorHAnsi"/>
          <w:bCs/>
          <w:color w:val="808080" w:themeColor="background1" w:themeShade="80"/>
          <w:sz w:val="22"/>
          <w:szCs w:val="22"/>
        </w:rPr>
        <w:t>A possible model for improved coherence</w:t>
      </w:r>
    </w:p>
    <w:p w14:paraId="4BCB48E9" w14:textId="77777777" w:rsidR="00325909" w:rsidRPr="00325909" w:rsidRDefault="00325909" w:rsidP="00325909">
      <w:pPr>
        <w:spacing w:after="120"/>
        <w:jc w:val="both"/>
        <w:rPr>
          <w:rFonts w:asciiTheme="minorHAnsi" w:hAnsiTheme="minorHAnsi" w:cstheme="minorHAnsi"/>
          <w:sz w:val="22"/>
          <w:szCs w:val="22"/>
        </w:rPr>
      </w:pPr>
      <w:r w:rsidRPr="00325909">
        <w:rPr>
          <w:rFonts w:asciiTheme="minorHAnsi" w:hAnsiTheme="minorHAnsi" w:cstheme="minorHAnsi"/>
          <w:sz w:val="22"/>
          <w:szCs w:val="22"/>
        </w:rPr>
        <w:t>One model for improved coherence would be to clearly differentiate between operational support for KIT (and associated functions) and strategic guidance to GoK. The former would be the domain of the Kiribati Facility, while the latter would involve both the Kiribati Facility and APTC.</w:t>
      </w:r>
    </w:p>
    <w:p w14:paraId="50B8E8F6" w14:textId="77777777" w:rsidR="00325909" w:rsidRPr="00325909" w:rsidRDefault="00325909" w:rsidP="00325909">
      <w:pPr>
        <w:spacing w:after="120"/>
        <w:jc w:val="both"/>
        <w:rPr>
          <w:rFonts w:asciiTheme="minorHAnsi" w:hAnsiTheme="minorHAnsi" w:cstheme="minorHAnsi"/>
          <w:sz w:val="22"/>
          <w:szCs w:val="22"/>
        </w:rPr>
      </w:pPr>
      <w:r w:rsidRPr="00325909">
        <w:rPr>
          <w:rFonts w:asciiTheme="minorHAnsi" w:hAnsiTheme="minorHAnsi" w:cstheme="minorHAnsi"/>
          <w:sz w:val="22"/>
          <w:szCs w:val="22"/>
        </w:rPr>
        <w:t xml:space="preserve">Strategic guidance to GoK would be provided through a TVET/Skills Reference Group led by the Ministry of Employment and Human Resources (MEHR) with participation from the Kiribati Facility, APTC and other stakeholders. </w:t>
      </w:r>
    </w:p>
    <w:p w14:paraId="60CE08CC" w14:textId="77777777" w:rsidR="00325909" w:rsidRPr="00325909" w:rsidRDefault="00325909" w:rsidP="00325909">
      <w:pPr>
        <w:spacing w:after="120"/>
        <w:jc w:val="both"/>
        <w:rPr>
          <w:rFonts w:asciiTheme="minorHAnsi" w:hAnsiTheme="minorHAnsi" w:cstheme="minorHAnsi"/>
          <w:sz w:val="22"/>
          <w:szCs w:val="22"/>
        </w:rPr>
      </w:pPr>
      <w:r w:rsidRPr="00325909">
        <w:rPr>
          <w:rFonts w:asciiTheme="minorHAnsi" w:hAnsiTheme="minorHAnsi" w:cstheme="minorHAnsi"/>
          <w:sz w:val="22"/>
          <w:szCs w:val="22"/>
        </w:rPr>
        <w:t xml:space="preserve">The Reference Group would support GoK to develop a Sector Strategy outlining guiding priorities for the sector which would guide the roles of the various donor and program partners.  </w:t>
      </w:r>
    </w:p>
    <w:p w14:paraId="5B34555F" w14:textId="77777777" w:rsidR="00325909" w:rsidRPr="00325909" w:rsidRDefault="00325909" w:rsidP="00325909">
      <w:pPr>
        <w:spacing w:after="120"/>
        <w:rPr>
          <w:rFonts w:asciiTheme="minorHAnsi" w:hAnsiTheme="minorHAnsi" w:cstheme="minorHAnsi"/>
          <w:bCs/>
          <w:color w:val="808080" w:themeColor="background1" w:themeShade="80"/>
          <w:sz w:val="22"/>
          <w:szCs w:val="22"/>
        </w:rPr>
      </w:pPr>
      <w:r w:rsidRPr="00325909">
        <w:rPr>
          <w:rFonts w:asciiTheme="minorHAnsi" w:hAnsiTheme="minorHAnsi" w:cstheme="minorHAnsi"/>
          <w:bCs/>
          <w:color w:val="808080" w:themeColor="background1" w:themeShade="80"/>
          <w:sz w:val="22"/>
          <w:szCs w:val="22"/>
        </w:rPr>
        <w:t>Possible next steps</w:t>
      </w:r>
    </w:p>
    <w:p w14:paraId="01BC007F" w14:textId="77777777" w:rsidR="00325909" w:rsidRPr="00325909" w:rsidRDefault="00325909" w:rsidP="00325909">
      <w:pPr>
        <w:pStyle w:val="ListParagraph"/>
        <w:numPr>
          <w:ilvl w:val="0"/>
          <w:numId w:val="33"/>
        </w:numPr>
        <w:spacing w:after="120" w:line="240" w:lineRule="auto"/>
        <w:jc w:val="both"/>
        <w:rPr>
          <w:rFonts w:cstheme="minorHAnsi"/>
        </w:rPr>
      </w:pPr>
      <w:r w:rsidRPr="00325909">
        <w:rPr>
          <w:rFonts w:cstheme="minorHAnsi"/>
        </w:rPr>
        <w:t>The Kiribati Facility and APTC meet to share information on the two programs’ respective activities, and to discuss the potential Sector Strategy and Reference Group and jointly advise GoK (and DFAT) on the merits of the idea</w:t>
      </w:r>
    </w:p>
    <w:p w14:paraId="246BB997" w14:textId="77777777" w:rsidR="00325909" w:rsidRPr="00325909" w:rsidRDefault="00325909" w:rsidP="00325909">
      <w:pPr>
        <w:pStyle w:val="ListParagraph"/>
        <w:numPr>
          <w:ilvl w:val="0"/>
          <w:numId w:val="33"/>
        </w:numPr>
        <w:spacing w:after="120" w:line="240" w:lineRule="auto"/>
        <w:jc w:val="both"/>
        <w:rPr>
          <w:rFonts w:cstheme="minorHAnsi"/>
        </w:rPr>
      </w:pPr>
      <w:r w:rsidRPr="00325909">
        <w:rPr>
          <w:rFonts w:cstheme="minorHAnsi"/>
        </w:rPr>
        <w:t>The Kiribati Facility and APTC meet to explore and identify ‘low hanging fruit’ in program alignment – in particular identifying where the two existing M&amp;E Frameworks align in order to share performance information</w:t>
      </w:r>
    </w:p>
    <w:p w14:paraId="53BBAB33" w14:textId="77777777" w:rsidR="00325909" w:rsidRPr="00325909" w:rsidRDefault="00325909" w:rsidP="00325909">
      <w:pPr>
        <w:pStyle w:val="ListParagraph"/>
        <w:numPr>
          <w:ilvl w:val="0"/>
          <w:numId w:val="33"/>
        </w:numPr>
        <w:spacing w:after="120" w:line="240" w:lineRule="auto"/>
        <w:jc w:val="both"/>
        <w:rPr>
          <w:rFonts w:cstheme="minorHAnsi"/>
        </w:rPr>
      </w:pPr>
      <w:r w:rsidRPr="00325909">
        <w:rPr>
          <w:rFonts w:cstheme="minorHAnsi"/>
        </w:rPr>
        <w:t>An externally-facilitated partnership brokering exercise would help the two programs to articulate the principles, objectives, contributions, initiatives and ways of working in collaboration between the two programs</w:t>
      </w:r>
    </w:p>
    <w:p w14:paraId="61A3B019" w14:textId="77777777" w:rsidR="00325909" w:rsidRPr="00325909" w:rsidRDefault="00325909" w:rsidP="00325909">
      <w:pPr>
        <w:pStyle w:val="ListParagraph"/>
        <w:numPr>
          <w:ilvl w:val="0"/>
          <w:numId w:val="33"/>
        </w:numPr>
        <w:spacing w:after="120" w:line="240" w:lineRule="auto"/>
        <w:jc w:val="both"/>
        <w:rPr>
          <w:rFonts w:cstheme="minorHAnsi"/>
        </w:rPr>
      </w:pPr>
      <w:r w:rsidRPr="00325909">
        <w:rPr>
          <w:rFonts w:cstheme="minorHAnsi"/>
        </w:rPr>
        <w:t xml:space="preserve">Establish a TVET/Skills Reference Group and Sector Strategy under the leadership of MEHR.  </w:t>
      </w:r>
    </w:p>
    <w:p w14:paraId="5FA7907D" w14:textId="77777777" w:rsidR="00325909" w:rsidRDefault="00325909" w:rsidP="00325909">
      <w:pPr>
        <w:spacing w:after="120"/>
        <w:jc w:val="both"/>
      </w:pPr>
    </w:p>
    <w:p w14:paraId="07F0E9D6" w14:textId="2EF75F4E" w:rsidR="00F14C5D" w:rsidRDefault="00F14C5D" w:rsidP="00DE5D30"/>
    <w:p w14:paraId="63100AB3" w14:textId="79776D49" w:rsidR="00325909" w:rsidRDefault="00325909">
      <w:pPr>
        <w:spacing w:after="200" w:line="276" w:lineRule="auto"/>
      </w:pPr>
      <w:r>
        <w:br w:type="page"/>
      </w:r>
    </w:p>
    <w:p w14:paraId="6340482D" w14:textId="77777777" w:rsidR="00325909" w:rsidRDefault="00325909" w:rsidP="00325909">
      <w:pPr>
        <w:pStyle w:val="Heading2"/>
        <w:spacing w:before="360"/>
        <w:ind w:left="431" w:hanging="431"/>
        <w:rPr>
          <w:rFonts w:asciiTheme="minorHAnsi" w:hAnsiTheme="minorHAnsi" w:cs="Arial"/>
        </w:rPr>
        <w:sectPr w:rsidR="00325909" w:rsidSect="00424A44">
          <w:headerReference w:type="even" r:id="rId26"/>
          <w:headerReference w:type="default" r:id="rId27"/>
          <w:footerReference w:type="default" r:id="rId28"/>
          <w:headerReference w:type="first" r:id="rId29"/>
          <w:pgSz w:w="11901" w:h="16817" w:code="9"/>
          <w:pgMar w:top="1134" w:right="1134" w:bottom="1134" w:left="1134" w:header="567" w:footer="567" w:gutter="0"/>
          <w:cols w:space="708"/>
          <w:docGrid w:linePitch="360"/>
        </w:sectPr>
      </w:pPr>
    </w:p>
    <w:p w14:paraId="5B094EC9" w14:textId="57E40FD5" w:rsidR="00325909" w:rsidRPr="00E22B40" w:rsidRDefault="00325909" w:rsidP="00325909">
      <w:pPr>
        <w:pStyle w:val="Heading2"/>
        <w:spacing w:before="360"/>
        <w:ind w:left="431" w:hanging="431"/>
        <w:rPr>
          <w:rFonts w:asciiTheme="minorHAnsi" w:hAnsiTheme="minorHAnsi" w:cs="Arial"/>
        </w:rPr>
      </w:pPr>
      <w:bookmarkStart w:id="50" w:name="_Toc8623420"/>
      <w:r w:rsidRPr="00E22B40">
        <w:rPr>
          <w:rFonts w:asciiTheme="minorHAnsi" w:hAnsiTheme="minorHAnsi" w:cs="Arial"/>
        </w:rPr>
        <w:t xml:space="preserve">Annex </w:t>
      </w:r>
      <w:r>
        <w:rPr>
          <w:rFonts w:asciiTheme="minorHAnsi" w:hAnsiTheme="minorHAnsi" w:cs="Arial"/>
        </w:rPr>
        <w:t>6</w:t>
      </w:r>
      <w:r w:rsidRPr="00E22B40">
        <w:rPr>
          <w:rFonts w:asciiTheme="minorHAnsi" w:hAnsiTheme="minorHAnsi" w:cs="Arial"/>
        </w:rPr>
        <w:t xml:space="preserve">: </w:t>
      </w:r>
      <w:r>
        <w:rPr>
          <w:rFonts w:asciiTheme="minorHAnsi" w:hAnsiTheme="minorHAnsi" w:cs="Arial"/>
        </w:rPr>
        <w:t>Pacific TVET Comparison</w:t>
      </w:r>
      <w:bookmarkEnd w:id="50"/>
    </w:p>
    <w:tbl>
      <w:tblPr>
        <w:tblW w:w="0" w:type="auto"/>
        <w:tblBorders>
          <w:top w:val="single" w:sz="8" w:space="0" w:color="8EAADB"/>
          <w:left w:val="single" w:sz="8" w:space="0" w:color="8EAADB"/>
          <w:bottom w:val="single" w:sz="8" w:space="0" w:color="8EAADB"/>
          <w:right w:val="single" w:sz="8" w:space="0" w:color="8EAADB"/>
          <w:insideH w:val="single" w:sz="8" w:space="0" w:color="8EAADB"/>
          <w:insideV w:val="single" w:sz="8" w:space="0" w:color="8EAADB"/>
        </w:tblBorders>
        <w:tblCellMar>
          <w:left w:w="0" w:type="dxa"/>
          <w:right w:w="0" w:type="dxa"/>
        </w:tblCellMar>
        <w:tblLook w:val="04A0" w:firstRow="1" w:lastRow="0" w:firstColumn="1" w:lastColumn="0" w:noHBand="0" w:noVBand="1"/>
      </w:tblPr>
      <w:tblGrid>
        <w:gridCol w:w="1745"/>
        <w:gridCol w:w="3140"/>
        <w:gridCol w:w="3141"/>
        <w:gridCol w:w="3140"/>
        <w:gridCol w:w="3141"/>
      </w:tblGrid>
      <w:tr w:rsidR="00325909" w:rsidRPr="00325909" w14:paraId="1FCDC05B" w14:textId="77777777" w:rsidTr="00325909">
        <w:trPr>
          <w:tblHeader/>
        </w:trPr>
        <w:tc>
          <w:tcPr>
            <w:tcW w:w="1745" w:type="dxa"/>
            <w:shd w:val="clear" w:color="auto" w:fill="FFFFFF"/>
            <w:tcMar>
              <w:top w:w="0" w:type="dxa"/>
              <w:left w:w="108" w:type="dxa"/>
              <w:bottom w:w="0" w:type="dxa"/>
              <w:right w:w="108" w:type="dxa"/>
            </w:tcMar>
            <w:hideMark/>
          </w:tcPr>
          <w:p w14:paraId="508E3A86" w14:textId="77777777" w:rsidR="00325909" w:rsidRPr="00325909" w:rsidRDefault="00325909" w:rsidP="00402898">
            <w:pPr>
              <w:spacing w:before="100" w:beforeAutospacing="1" w:after="100" w:afterAutospacing="1"/>
              <w:rPr>
                <w:rFonts w:asciiTheme="minorHAnsi" w:hAnsiTheme="minorHAnsi" w:cstheme="minorHAnsi"/>
                <w:sz w:val="18"/>
                <w:szCs w:val="18"/>
              </w:rPr>
            </w:pPr>
            <w:r w:rsidRPr="00325909">
              <w:rPr>
                <w:rFonts w:asciiTheme="minorHAnsi" w:hAnsiTheme="minorHAnsi" w:cstheme="minorHAnsi"/>
                <w:b/>
                <w:bCs/>
                <w:sz w:val="18"/>
                <w:szCs w:val="18"/>
              </w:rPr>
              <w:t>Country</w:t>
            </w:r>
          </w:p>
        </w:tc>
        <w:tc>
          <w:tcPr>
            <w:tcW w:w="3140" w:type="dxa"/>
            <w:shd w:val="clear" w:color="auto" w:fill="FFFFFF"/>
            <w:tcMar>
              <w:top w:w="0" w:type="dxa"/>
              <w:left w:w="108" w:type="dxa"/>
              <w:bottom w:w="0" w:type="dxa"/>
              <w:right w:w="108" w:type="dxa"/>
            </w:tcMar>
            <w:hideMark/>
          </w:tcPr>
          <w:p w14:paraId="7B67FCB2" w14:textId="77777777" w:rsidR="00325909" w:rsidRPr="00325909" w:rsidRDefault="00325909" w:rsidP="00402898">
            <w:pPr>
              <w:spacing w:before="100" w:beforeAutospacing="1" w:after="100" w:afterAutospacing="1"/>
              <w:rPr>
                <w:rFonts w:asciiTheme="minorHAnsi" w:hAnsiTheme="minorHAnsi" w:cstheme="minorHAnsi"/>
                <w:sz w:val="18"/>
                <w:szCs w:val="18"/>
              </w:rPr>
            </w:pPr>
            <w:r w:rsidRPr="00325909">
              <w:rPr>
                <w:rFonts w:asciiTheme="minorHAnsi" w:hAnsiTheme="minorHAnsi" w:cstheme="minorHAnsi"/>
                <w:b/>
                <w:bCs/>
                <w:sz w:val="18"/>
                <w:szCs w:val="18"/>
              </w:rPr>
              <w:t>Name of TVET/ FET College or System</w:t>
            </w:r>
          </w:p>
        </w:tc>
        <w:tc>
          <w:tcPr>
            <w:tcW w:w="3141" w:type="dxa"/>
            <w:shd w:val="clear" w:color="auto" w:fill="FFFFFF"/>
            <w:tcMar>
              <w:top w:w="0" w:type="dxa"/>
              <w:left w:w="108" w:type="dxa"/>
              <w:bottom w:w="0" w:type="dxa"/>
              <w:right w:w="108" w:type="dxa"/>
            </w:tcMar>
            <w:hideMark/>
          </w:tcPr>
          <w:p w14:paraId="5F562695" w14:textId="77777777" w:rsidR="00325909" w:rsidRPr="00325909" w:rsidRDefault="00325909" w:rsidP="00402898">
            <w:pPr>
              <w:spacing w:before="100" w:beforeAutospacing="1" w:after="100" w:afterAutospacing="1"/>
              <w:rPr>
                <w:rFonts w:asciiTheme="minorHAnsi" w:hAnsiTheme="minorHAnsi" w:cstheme="minorHAnsi"/>
                <w:sz w:val="18"/>
                <w:szCs w:val="18"/>
              </w:rPr>
            </w:pPr>
            <w:r w:rsidRPr="00325909">
              <w:rPr>
                <w:rFonts w:asciiTheme="minorHAnsi" w:hAnsiTheme="minorHAnsi" w:cstheme="minorHAnsi"/>
                <w:b/>
                <w:bCs/>
                <w:sz w:val="18"/>
                <w:szCs w:val="18"/>
              </w:rPr>
              <w:t>Key Characteristics (e.g. Enrolment size, Range of course offerings, accredited by Pacific Board for Education Quality etc)</w:t>
            </w:r>
          </w:p>
        </w:tc>
        <w:tc>
          <w:tcPr>
            <w:tcW w:w="3140" w:type="dxa"/>
            <w:shd w:val="clear" w:color="auto" w:fill="FFFFFF"/>
            <w:tcMar>
              <w:top w:w="0" w:type="dxa"/>
              <w:left w:w="108" w:type="dxa"/>
              <w:bottom w:w="0" w:type="dxa"/>
              <w:right w:w="108" w:type="dxa"/>
            </w:tcMar>
            <w:hideMark/>
          </w:tcPr>
          <w:p w14:paraId="07130DF4" w14:textId="77777777" w:rsidR="00325909" w:rsidRPr="00325909" w:rsidRDefault="00325909" w:rsidP="00402898">
            <w:pPr>
              <w:spacing w:before="100" w:beforeAutospacing="1" w:after="100" w:afterAutospacing="1"/>
              <w:rPr>
                <w:rFonts w:asciiTheme="minorHAnsi" w:hAnsiTheme="minorHAnsi" w:cstheme="minorHAnsi"/>
                <w:sz w:val="18"/>
                <w:szCs w:val="18"/>
              </w:rPr>
            </w:pPr>
            <w:r w:rsidRPr="00325909">
              <w:rPr>
                <w:rFonts w:asciiTheme="minorHAnsi" w:hAnsiTheme="minorHAnsi" w:cstheme="minorHAnsi"/>
                <w:b/>
                <w:bCs/>
                <w:sz w:val="18"/>
                <w:szCs w:val="18"/>
              </w:rPr>
              <w:t>Recent adjustments made by college/ system to respond to Pacific Labour Scheme (PLS)</w:t>
            </w:r>
          </w:p>
        </w:tc>
        <w:tc>
          <w:tcPr>
            <w:tcW w:w="3141" w:type="dxa"/>
            <w:shd w:val="clear" w:color="auto" w:fill="FFFFFF"/>
            <w:tcMar>
              <w:top w:w="0" w:type="dxa"/>
              <w:left w:w="108" w:type="dxa"/>
              <w:bottom w:w="0" w:type="dxa"/>
              <w:right w:w="108" w:type="dxa"/>
            </w:tcMar>
            <w:hideMark/>
          </w:tcPr>
          <w:p w14:paraId="010B0BBB" w14:textId="77777777" w:rsidR="00325909" w:rsidRPr="00325909" w:rsidRDefault="00325909" w:rsidP="00402898">
            <w:pPr>
              <w:spacing w:before="100" w:beforeAutospacing="1" w:after="100" w:afterAutospacing="1"/>
              <w:rPr>
                <w:rFonts w:asciiTheme="minorHAnsi" w:hAnsiTheme="minorHAnsi" w:cstheme="minorHAnsi"/>
                <w:sz w:val="18"/>
                <w:szCs w:val="18"/>
              </w:rPr>
            </w:pPr>
            <w:r w:rsidRPr="00325909">
              <w:rPr>
                <w:rFonts w:asciiTheme="minorHAnsi" w:hAnsiTheme="minorHAnsi" w:cstheme="minorHAnsi"/>
                <w:b/>
                <w:bCs/>
                <w:sz w:val="18"/>
                <w:szCs w:val="18"/>
              </w:rPr>
              <w:t>Recent adjustments made by college/ system to respond to APTC3</w:t>
            </w:r>
          </w:p>
        </w:tc>
      </w:tr>
      <w:tr w:rsidR="00325909" w:rsidRPr="00325909" w14:paraId="46D3DC85" w14:textId="77777777" w:rsidTr="00402898">
        <w:tc>
          <w:tcPr>
            <w:tcW w:w="1745" w:type="dxa"/>
            <w:shd w:val="clear" w:color="auto" w:fill="FFFFFF"/>
            <w:tcMar>
              <w:top w:w="0" w:type="dxa"/>
              <w:left w:w="108" w:type="dxa"/>
              <w:bottom w:w="0" w:type="dxa"/>
              <w:right w:w="108" w:type="dxa"/>
            </w:tcMar>
          </w:tcPr>
          <w:p w14:paraId="3359181C" w14:textId="77777777" w:rsidR="00325909" w:rsidRPr="00325909" w:rsidRDefault="00325909" w:rsidP="00402898">
            <w:pPr>
              <w:spacing w:before="100" w:beforeAutospacing="1" w:after="100" w:afterAutospacing="1"/>
              <w:rPr>
                <w:rFonts w:asciiTheme="minorHAnsi" w:hAnsiTheme="minorHAnsi" w:cstheme="minorHAnsi"/>
                <w:b/>
                <w:bCs/>
                <w:sz w:val="18"/>
                <w:szCs w:val="18"/>
              </w:rPr>
            </w:pPr>
            <w:r w:rsidRPr="00325909">
              <w:rPr>
                <w:rFonts w:asciiTheme="minorHAnsi" w:hAnsiTheme="minorHAnsi" w:cstheme="minorHAnsi"/>
                <w:b/>
                <w:bCs/>
                <w:sz w:val="18"/>
                <w:szCs w:val="18"/>
              </w:rPr>
              <w:t>APTC</w:t>
            </w:r>
          </w:p>
        </w:tc>
        <w:tc>
          <w:tcPr>
            <w:tcW w:w="3140" w:type="dxa"/>
            <w:shd w:val="clear" w:color="auto" w:fill="FFFFFF"/>
            <w:tcMar>
              <w:top w:w="0" w:type="dxa"/>
              <w:left w:w="108" w:type="dxa"/>
              <w:bottom w:w="0" w:type="dxa"/>
              <w:right w:w="108" w:type="dxa"/>
            </w:tcMar>
          </w:tcPr>
          <w:p w14:paraId="7BFEC039" w14:textId="77777777" w:rsidR="00325909" w:rsidRPr="00325909" w:rsidRDefault="00325909" w:rsidP="00402898">
            <w:pPr>
              <w:spacing w:before="100" w:beforeAutospacing="1" w:after="100" w:afterAutospacing="1"/>
              <w:rPr>
                <w:rFonts w:asciiTheme="minorHAnsi" w:hAnsiTheme="minorHAnsi" w:cstheme="minorHAnsi"/>
                <w:bCs/>
                <w:sz w:val="18"/>
                <w:szCs w:val="18"/>
              </w:rPr>
            </w:pPr>
            <w:r w:rsidRPr="00325909">
              <w:rPr>
                <w:rFonts w:asciiTheme="minorHAnsi" w:hAnsiTheme="minorHAnsi" w:cstheme="minorHAnsi"/>
                <w:bCs/>
                <w:sz w:val="18"/>
                <w:szCs w:val="18"/>
              </w:rPr>
              <w:t>APTC</w:t>
            </w:r>
          </w:p>
          <w:p w14:paraId="77214F4A" w14:textId="77777777" w:rsidR="00325909" w:rsidRPr="00325909" w:rsidRDefault="00325909" w:rsidP="00402898">
            <w:pPr>
              <w:spacing w:before="100" w:beforeAutospacing="1" w:after="100" w:afterAutospacing="1"/>
              <w:rPr>
                <w:rFonts w:asciiTheme="minorHAnsi" w:hAnsiTheme="minorHAnsi" w:cstheme="minorHAnsi"/>
                <w:bCs/>
                <w:sz w:val="18"/>
                <w:szCs w:val="18"/>
              </w:rPr>
            </w:pPr>
            <w:r w:rsidRPr="00325909">
              <w:rPr>
                <w:rFonts w:asciiTheme="minorHAnsi" w:hAnsiTheme="minorHAnsi" w:cstheme="minorHAnsi"/>
                <w:bCs/>
                <w:sz w:val="18"/>
                <w:szCs w:val="18"/>
              </w:rPr>
              <w:t xml:space="preserve">Covers 14 Pacific Island Countries </w:t>
            </w:r>
          </w:p>
          <w:p w14:paraId="53EBC6CA" w14:textId="77777777" w:rsidR="00325909" w:rsidRPr="00325909" w:rsidRDefault="00325909" w:rsidP="00402898">
            <w:pPr>
              <w:spacing w:before="100" w:beforeAutospacing="1" w:after="100" w:afterAutospacing="1"/>
              <w:rPr>
                <w:rFonts w:asciiTheme="minorHAnsi" w:hAnsiTheme="minorHAnsi" w:cstheme="minorHAnsi"/>
                <w:bCs/>
                <w:sz w:val="18"/>
                <w:szCs w:val="18"/>
              </w:rPr>
            </w:pPr>
            <w:r w:rsidRPr="00325909">
              <w:rPr>
                <w:rFonts w:asciiTheme="minorHAnsi" w:hAnsiTheme="minorHAnsi" w:cstheme="minorHAnsi"/>
                <w:bCs/>
                <w:sz w:val="18"/>
                <w:szCs w:val="18"/>
              </w:rPr>
              <w:t>5 campus locations: Fiji, Samoa, Vanuatu, Papua New Guinea and Solomon Islands.</w:t>
            </w:r>
          </w:p>
          <w:p w14:paraId="1736056F" w14:textId="77777777" w:rsidR="00325909" w:rsidRPr="00325909" w:rsidRDefault="00325909" w:rsidP="00402898">
            <w:pPr>
              <w:spacing w:before="100" w:beforeAutospacing="1" w:after="100" w:afterAutospacing="1"/>
              <w:rPr>
                <w:rFonts w:asciiTheme="minorHAnsi" w:hAnsiTheme="minorHAnsi" w:cstheme="minorHAnsi"/>
                <w:bCs/>
                <w:sz w:val="18"/>
                <w:szCs w:val="18"/>
              </w:rPr>
            </w:pPr>
          </w:p>
        </w:tc>
        <w:tc>
          <w:tcPr>
            <w:tcW w:w="3141" w:type="dxa"/>
            <w:shd w:val="clear" w:color="auto" w:fill="FFFFFF"/>
            <w:tcMar>
              <w:top w:w="0" w:type="dxa"/>
              <w:left w:w="108" w:type="dxa"/>
              <w:bottom w:w="0" w:type="dxa"/>
              <w:right w:w="108" w:type="dxa"/>
            </w:tcMar>
          </w:tcPr>
          <w:p w14:paraId="0E7B22D5" w14:textId="77777777" w:rsidR="00325909" w:rsidRPr="00325909" w:rsidRDefault="00325909" w:rsidP="00402898">
            <w:pPr>
              <w:rPr>
                <w:rFonts w:asciiTheme="minorHAnsi" w:hAnsiTheme="minorHAnsi" w:cstheme="minorHAnsi"/>
                <w:sz w:val="18"/>
                <w:szCs w:val="18"/>
              </w:rPr>
            </w:pPr>
            <w:r w:rsidRPr="00325909">
              <w:rPr>
                <w:rFonts w:asciiTheme="minorHAnsi" w:hAnsiTheme="minorHAnsi" w:cstheme="minorHAnsi"/>
                <w:color w:val="333333"/>
                <w:sz w:val="18"/>
                <w:szCs w:val="18"/>
                <w:shd w:val="clear" w:color="auto" w:fill="FFFFFF"/>
              </w:rPr>
              <w:t>Since 2007, APTC has enrolled 14406 students of which 12887 have gone on to successfully complete their programs in various disciplines.</w:t>
            </w:r>
            <w:r w:rsidRPr="00325909">
              <w:rPr>
                <w:rStyle w:val="FootnoteReference"/>
                <w:rFonts w:asciiTheme="minorHAnsi" w:hAnsiTheme="minorHAnsi" w:cstheme="minorHAnsi"/>
                <w:color w:val="333333"/>
                <w:sz w:val="18"/>
                <w:szCs w:val="18"/>
                <w:shd w:val="clear" w:color="auto" w:fill="FFFFFF"/>
              </w:rPr>
              <w:footnoteReference w:id="31"/>
            </w:r>
          </w:p>
          <w:p w14:paraId="24F3FF00" w14:textId="77777777" w:rsidR="00325909" w:rsidRPr="00325909" w:rsidRDefault="00325909" w:rsidP="00402898">
            <w:pPr>
              <w:spacing w:before="100" w:beforeAutospacing="1" w:after="100" w:afterAutospacing="1"/>
              <w:rPr>
                <w:rFonts w:asciiTheme="minorHAnsi" w:hAnsiTheme="minorHAnsi" w:cstheme="minorHAnsi"/>
                <w:bCs/>
                <w:sz w:val="18"/>
                <w:szCs w:val="18"/>
              </w:rPr>
            </w:pPr>
            <w:r w:rsidRPr="00325909">
              <w:rPr>
                <w:rFonts w:asciiTheme="minorHAnsi" w:hAnsiTheme="minorHAnsi" w:cstheme="minorHAnsi"/>
                <w:bCs/>
                <w:sz w:val="18"/>
                <w:szCs w:val="18"/>
              </w:rPr>
              <w:t>40% female students</w:t>
            </w:r>
          </w:p>
          <w:p w14:paraId="3F8A70A0" w14:textId="77777777" w:rsidR="00325909" w:rsidRPr="00325909" w:rsidRDefault="00325909" w:rsidP="00402898">
            <w:pPr>
              <w:spacing w:before="100" w:beforeAutospacing="1" w:after="100" w:afterAutospacing="1"/>
              <w:rPr>
                <w:rFonts w:asciiTheme="minorHAnsi" w:hAnsiTheme="minorHAnsi" w:cstheme="minorHAnsi"/>
                <w:bCs/>
                <w:sz w:val="18"/>
                <w:szCs w:val="18"/>
              </w:rPr>
            </w:pPr>
            <w:r w:rsidRPr="00325909">
              <w:rPr>
                <w:rFonts w:asciiTheme="minorHAnsi" w:hAnsiTheme="minorHAnsi" w:cstheme="minorHAnsi"/>
                <w:bCs/>
                <w:sz w:val="18"/>
                <w:szCs w:val="18"/>
              </w:rPr>
              <w:t>60% male students</w:t>
            </w:r>
          </w:p>
          <w:p w14:paraId="3D0F8ADC" w14:textId="77777777" w:rsidR="00325909" w:rsidRPr="00325909" w:rsidRDefault="00325909" w:rsidP="00402898">
            <w:pPr>
              <w:spacing w:before="100" w:beforeAutospacing="1" w:after="100" w:afterAutospacing="1"/>
              <w:rPr>
                <w:rFonts w:asciiTheme="minorHAnsi" w:hAnsiTheme="minorHAnsi" w:cstheme="minorHAnsi"/>
                <w:bCs/>
                <w:sz w:val="18"/>
                <w:szCs w:val="18"/>
              </w:rPr>
            </w:pPr>
            <w:r w:rsidRPr="00325909">
              <w:rPr>
                <w:rFonts w:asciiTheme="minorHAnsi" w:hAnsiTheme="minorHAnsi" w:cstheme="minorHAnsi"/>
                <w:bCs/>
                <w:sz w:val="18"/>
                <w:szCs w:val="18"/>
              </w:rPr>
              <w:t>In 2017 47% of graduates were female.</w:t>
            </w:r>
            <w:r w:rsidRPr="00325909">
              <w:rPr>
                <w:rStyle w:val="FootnoteReference"/>
                <w:rFonts w:asciiTheme="minorHAnsi" w:hAnsiTheme="minorHAnsi" w:cstheme="minorHAnsi"/>
                <w:bCs/>
                <w:sz w:val="18"/>
                <w:szCs w:val="18"/>
              </w:rPr>
              <w:footnoteReference w:id="32"/>
            </w:r>
          </w:p>
          <w:p w14:paraId="184EE082" w14:textId="77777777" w:rsidR="00325909" w:rsidRPr="00325909" w:rsidRDefault="00325909" w:rsidP="00402898">
            <w:pPr>
              <w:spacing w:before="100" w:beforeAutospacing="1" w:after="100" w:afterAutospacing="1"/>
              <w:rPr>
                <w:rFonts w:asciiTheme="minorHAnsi" w:hAnsiTheme="minorHAnsi" w:cstheme="minorHAnsi"/>
                <w:bCs/>
                <w:sz w:val="18"/>
                <w:szCs w:val="18"/>
              </w:rPr>
            </w:pPr>
            <w:r w:rsidRPr="00325909">
              <w:rPr>
                <w:rFonts w:asciiTheme="minorHAnsi" w:hAnsiTheme="minorHAnsi" w:cstheme="minorHAnsi"/>
                <w:bCs/>
                <w:sz w:val="18"/>
                <w:szCs w:val="18"/>
              </w:rPr>
              <w:t>282 APTC graduates have migrated from their countries of residence/citizenship following completion of their study with APTC. 184 people from APTC Stage 2 have migrated to date.</w:t>
            </w:r>
            <w:r w:rsidRPr="00325909">
              <w:rPr>
                <w:rStyle w:val="FootnoteReference"/>
                <w:rFonts w:asciiTheme="minorHAnsi" w:hAnsiTheme="minorHAnsi" w:cstheme="minorHAnsi"/>
                <w:bCs/>
                <w:sz w:val="18"/>
                <w:szCs w:val="18"/>
              </w:rPr>
              <w:footnoteReference w:id="33"/>
            </w:r>
            <w:r w:rsidRPr="00325909">
              <w:rPr>
                <w:rFonts w:asciiTheme="minorHAnsi" w:hAnsiTheme="minorHAnsi" w:cstheme="minorHAnsi"/>
                <w:bCs/>
                <w:sz w:val="18"/>
                <w:szCs w:val="18"/>
              </w:rPr>
              <w:t xml:space="preserve"> </w:t>
            </w:r>
          </w:p>
          <w:p w14:paraId="250792C0" w14:textId="77777777" w:rsidR="00325909" w:rsidRPr="00325909" w:rsidRDefault="00325909" w:rsidP="00402898">
            <w:pPr>
              <w:spacing w:before="100" w:beforeAutospacing="1" w:after="100" w:afterAutospacing="1"/>
              <w:rPr>
                <w:rFonts w:asciiTheme="minorHAnsi" w:hAnsiTheme="minorHAnsi" w:cstheme="minorHAnsi"/>
                <w:bCs/>
                <w:sz w:val="18"/>
                <w:szCs w:val="18"/>
              </w:rPr>
            </w:pPr>
            <w:r w:rsidRPr="00325909">
              <w:rPr>
                <w:rFonts w:asciiTheme="minorHAnsi" w:hAnsiTheme="minorHAnsi" w:cstheme="minorHAnsi"/>
                <w:bCs/>
                <w:sz w:val="18"/>
                <w:szCs w:val="18"/>
              </w:rPr>
              <w:t>11 core programs on offer for Semester 1 2019, anticipating 286 graduates from Fiji delivery and 38 graduates from Tuvalu delivery</w:t>
            </w:r>
          </w:p>
          <w:p w14:paraId="2E959A15" w14:textId="77777777" w:rsidR="00325909" w:rsidRPr="00325909" w:rsidRDefault="00325909" w:rsidP="00402898">
            <w:pPr>
              <w:spacing w:before="100" w:beforeAutospacing="1" w:after="100" w:afterAutospacing="1"/>
              <w:rPr>
                <w:rFonts w:asciiTheme="minorHAnsi" w:hAnsiTheme="minorHAnsi" w:cstheme="minorHAnsi"/>
                <w:bCs/>
                <w:sz w:val="18"/>
                <w:szCs w:val="18"/>
              </w:rPr>
            </w:pPr>
            <w:r w:rsidRPr="00325909">
              <w:rPr>
                <w:rFonts w:asciiTheme="minorHAnsi" w:hAnsiTheme="minorHAnsi" w:cstheme="minorHAnsi"/>
                <w:bCs/>
                <w:sz w:val="18"/>
                <w:szCs w:val="18"/>
              </w:rPr>
              <w:t>Semester 2 2019 anticipates 275 graduates from Fiji delivery and 30 graduates from Tuvalu delivery</w:t>
            </w:r>
          </w:p>
        </w:tc>
        <w:tc>
          <w:tcPr>
            <w:tcW w:w="3140" w:type="dxa"/>
            <w:shd w:val="clear" w:color="auto" w:fill="FFFFFF"/>
            <w:tcMar>
              <w:top w:w="0" w:type="dxa"/>
              <w:left w:w="108" w:type="dxa"/>
              <w:bottom w:w="0" w:type="dxa"/>
              <w:right w:w="108" w:type="dxa"/>
            </w:tcMar>
          </w:tcPr>
          <w:p w14:paraId="3C44D24C" w14:textId="77777777" w:rsidR="00325909" w:rsidRPr="00325909" w:rsidRDefault="00325909" w:rsidP="00402898">
            <w:pPr>
              <w:spacing w:before="100" w:beforeAutospacing="1" w:after="100" w:afterAutospacing="1"/>
              <w:rPr>
                <w:rFonts w:asciiTheme="minorHAnsi" w:hAnsiTheme="minorHAnsi" w:cstheme="minorHAnsi"/>
                <w:sz w:val="18"/>
                <w:szCs w:val="18"/>
              </w:rPr>
            </w:pPr>
            <w:r w:rsidRPr="00325909">
              <w:rPr>
                <w:rFonts w:asciiTheme="minorHAnsi" w:hAnsiTheme="minorHAnsi" w:cstheme="minorHAnsi"/>
                <w:sz w:val="18"/>
                <w:szCs w:val="18"/>
              </w:rPr>
              <w:t>APTC will engage directly with Pacific Labour Facility to create a partnership</w:t>
            </w:r>
          </w:p>
          <w:p w14:paraId="37449011" w14:textId="77777777" w:rsidR="00325909" w:rsidRPr="00325909" w:rsidRDefault="00325909" w:rsidP="00402898">
            <w:pPr>
              <w:spacing w:before="100" w:beforeAutospacing="1" w:after="100" w:afterAutospacing="1"/>
              <w:rPr>
                <w:rFonts w:asciiTheme="minorHAnsi" w:hAnsiTheme="minorHAnsi" w:cstheme="minorHAnsi"/>
                <w:sz w:val="18"/>
                <w:szCs w:val="18"/>
              </w:rPr>
            </w:pPr>
            <w:r w:rsidRPr="00325909">
              <w:rPr>
                <w:rFonts w:asciiTheme="minorHAnsi" w:hAnsiTheme="minorHAnsi" w:cstheme="minorHAnsi"/>
                <w:sz w:val="18"/>
                <w:szCs w:val="18"/>
              </w:rPr>
              <w:t>APTC training profile has been adapted in light of labour market needs (more broadly than PLS). APTC has identified that infrastructure development, hospitality, cookery, tourism, leadership and management, counselling are all skills in demand.</w:t>
            </w:r>
            <w:r w:rsidRPr="00325909">
              <w:rPr>
                <w:rStyle w:val="FootnoteReference"/>
                <w:rFonts w:asciiTheme="minorHAnsi" w:hAnsiTheme="minorHAnsi" w:cstheme="minorHAnsi"/>
                <w:sz w:val="18"/>
                <w:szCs w:val="18"/>
              </w:rPr>
              <w:footnoteReference w:id="34"/>
            </w:r>
            <w:r w:rsidRPr="00325909">
              <w:rPr>
                <w:rFonts w:asciiTheme="minorHAnsi" w:hAnsiTheme="minorHAnsi" w:cstheme="minorHAnsi"/>
                <w:sz w:val="18"/>
                <w:szCs w:val="18"/>
              </w:rPr>
              <w:t xml:space="preserve"> More labour market analysis planned for APTC</w:t>
            </w:r>
          </w:p>
          <w:p w14:paraId="5C57A993" w14:textId="77777777" w:rsidR="00325909" w:rsidRPr="00325909" w:rsidRDefault="00325909" w:rsidP="00402898">
            <w:pPr>
              <w:pStyle w:val="NoSpacing"/>
              <w:rPr>
                <w:rFonts w:cstheme="minorHAnsi"/>
                <w:sz w:val="18"/>
                <w:szCs w:val="18"/>
              </w:rPr>
            </w:pPr>
            <w:r w:rsidRPr="00325909">
              <w:rPr>
                <w:rFonts w:cstheme="minorHAnsi"/>
                <w:sz w:val="18"/>
                <w:szCs w:val="18"/>
              </w:rPr>
              <w:t xml:space="preserve">“Pacific Labour Scheme is open to all sectors and industries with an initial focus on those that generally match employment projections in Australia: </w:t>
            </w:r>
          </w:p>
          <w:p w14:paraId="2A115E98" w14:textId="77777777" w:rsidR="00325909" w:rsidRPr="00325909" w:rsidRDefault="00325909" w:rsidP="00325909">
            <w:pPr>
              <w:pStyle w:val="NoSpacing"/>
              <w:numPr>
                <w:ilvl w:val="0"/>
                <w:numId w:val="38"/>
              </w:numPr>
              <w:rPr>
                <w:rFonts w:cstheme="minorHAnsi"/>
                <w:sz w:val="18"/>
                <w:szCs w:val="18"/>
              </w:rPr>
            </w:pPr>
            <w:r w:rsidRPr="00325909">
              <w:rPr>
                <w:rFonts w:cstheme="minorHAnsi"/>
                <w:sz w:val="18"/>
                <w:szCs w:val="18"/>
              </w:rPr>
              <w:t xml:space="preserve">accommodation and food services industry (e.g. hospitality and tourism); </w:t>
            </w:r>
          </w:p>
          <w:p w14:paraId="7766C029" w14:textId="77777777" w:rsidR="00325909" w:rsidRPr="00325909" w:rsidRDefault="00325909" w:rsidP="00325909">
            <w:pPr>
              <w:pStyle w:val="NoSpacing"/>
              <w:numPr>
                <w:ilvl w:val="0"/>
                <w:numId w:val="38"/>
              </w:numPr>
              <w:rPr>
                <w:rFonts w:cstheme="minorHAnsi"/>
                <w:sz w:val="18"/>
                <w:szCs w:val="18"/>
              </w:rPr>
            </w:pPr>
            <w:r w:rsidRPr="00325909">
              <w:rPr>
                <w:rFonts w:cstheme="minorHAnsi"/>
                <w:sz w:val="18"/>
                <w:szCs w:val="18"/>
              </w:rPr>
              <w:t xml:space="preserve">health care and social assistance industry (e.g. aged care, disability care); and </w:t>
            </w:r>
          </w:p>
          <w:p w14:paraId="3BE6E805" w14:textId="77777777" w:rsidR="00325909" w:rsidRPr="00325909" w:rsidRDefault="00325909" w:rsidP="00325909">
            <w:pPr>
              <w:pStyle w:val="NoSpacing"/>
              <w:numPr>
                <w:ilvl w:val="0"/>
                <w:numId w:val="38"/>
              </w:numPr>
              <w:rPr>
                <w:rFonts w:cstheme="minorHAnsi"/>
                <w:sz w:val="18"/>
                <w:szCs w:val="18"/>
              </w:rPr>
            </w:pPr>
            <w:r w:rsidRPr="00325909">
              <w:rPr>
                <w:rFonts w:cstheme="minorHAnsi"/>
                <w:sz w:val="18"/>
                <w:szCs w:val="18"/>
              </w:rPr>
              <w:t xml:space="preserve">non-seasonal agriculture, forestry and fishing industries </w:t>
            </w:r>
          </w:p>
          <w:p w14:paraId="245FDCDD" w14:textId="77777777" w:rsidR="00325909" w:rsidRPr="00325909" w:rsidRDefault="00325909" w:rsidP="00402898">
            <w:pPr>
              <w:pStyle w:val="NoSpacing"/>
              <w:rPr>
                <w:rFonts w:cstheme="minorHAnsi"/>
                <w:sz w:val="18"/>
                <w:szCs w:val="18"/>
              </w:rPr>
            </w:pPr>
            <w:r w:rsidRPr="00325909">
              <w:rPr>
                <w:rFonts w:cstheme="minorHAnsi"/>
                <w:sz w:val="18"/>
                <w:szCs w:val="18"/>
              </w:rPr>
              <w:t>The Scheme focuses on low and semi-skilled occupations, i.e. Australian and New Zealand Standard Classification of Occupations levels 3 to 5, requiring Australian Qualifications Framework Certificate Levels 1 to 4 or relevant work experience. The Australia Pacific Training Coalition, an Australian Government initiative, will provide many participants with Australian-standard vocational qualifications that will prepare them for work in Australia.”</w:t>
            </w:r>
            <w:r w:rsidRPr="00325909">
              <w:rPr>
                <w:rStyle w:val="FootnoteReference"/>
                <w:rFonts w:cstheme="minorHAnsi"/>
                <w:sz w:val="18"/>
                <w:szCs w:val="18"/>
              </w:rPr>
              <w:footnoteReference w:id="35"/>
            </w:r>
          </w:p>
          <w:p w14:paraId="0CA8C3FC" w14:textId="77777777" w:rsidR="00325909" w:rsidRPr="00325909" w:rsidRDefault="00325909" w:rsidP="00402898">
            <w:pPr>
              <w:pStyle w:val="NoSpacing"/>
              <w:rPr>
                <w:rFonts w:cstheme="minorHAnsi"/>
                <w:sz w:val="18"/>
                <w:szCs w:val="18"/>
              </w:rPr>
            </w:pPr>
          </w:p>
        </w:tc>
        <w:tc>
          <w:tcPr>
            <w:tcW w:w="3141" w:type="dxa"/>
            <w:shd w:val="clear" w:color="auto" w:fill="FFFFFF"/>
            <w:tcMar>
              <w:top w:w="0" w:type="dxa"/>
              <w:left w:w="108" w:type="dxa"/>
              <w:bottom w:w="0" w:type="dxa"/>
              <w:right w:w="108" w:type="dxa"/>
            </w:tcMar>
          </w:tcPr>
          <w:p w14:paraId="417348C7" w14:textId="77777777" w:rsidR="00325909" w:rsidRPr="00325909" w:rsidRDefault="00325909" w:rsidP="00402898">
            <w:pPr>
              <w:rPr>
                <w:rFonts w:asciiTheme="minorHAnsi" w:hAnsiTheme="minorHAnsi" w:cstheme="minorHAnsi"/>
                <w:sz w:val="18"/>
                <w:szCs w:val="18"/>
              </w:rPr>
            </w:pPr>
            <w:r w:rsidRPr="00325909">
              <w:rPr>
                <w:rFonts w:asciiTheme="minorHAnsi" w:hAnsiTheme="minorHAnsi" w:cstheme="minorHAnsi"/>
                <w:sz w:val="18"/>
                <w:szCs w:val="18"/>
              </w:rPr>
              <w:t>APTC3 EOPOs:</w:t>
            </w:r>
          </w:p>
          <w:p w14:paraId="7EBBD6E7" w14:textId="77777777" w:rsidR="00325909" w:rsidRPr="00325909" w:rsidRDefault="00325909" w:rsidP="00325909">
            <w:pPr>
              <w:pStyle w:val="ListParagraph"/>
              <w:numPr>
                <w:ilvl w:val="0"/>
                <w:numId w:val="37"/>
              </w:numPr>
              <w:spacing w:before="100" w:beforeAutospacing="1" w:after="100" w:afterAutospacing="1" w:line="240" w:lineRule="auto"/>
              <w:contextualSpacing w:val="0"/>
              <w:rPr>
                <w:rFonts w:cstheme="minorHAnsi"/>
                <w:sz w:val="18"/>
                <w:szCs w:val="18"/>
              </w:rPr>
            </w:pPr>
            <w:r w:rsidRPr="00325909">
              <w:rPr>
                <w:rFonts w:cstheme="minorHAnsi"/>
                <w:sz w:val="18"/>
                <w:szCs w:val="18"/>
              </w:rPr>
              <w:t>Graduates have improved employment outcomes;</w:t>
            </w:r>
          </w:p>
          <w:p w14:paraId="0730493E" w14:textId="77777777" w:rsidR="00325909" w:rsidRPr="00325909" w:rsidRDefault="00325909" w:rsidP="00325909">
            <w:pPr>
              <w:pStyle w:val="ListParagraph"/>
              <w:numPr>
                <w:ilvl w:val="0"/>
                <w:numId w:val="37"/>
              </w:numPr>
              <w:spacing w:before="100" w:beforeAutospacing="1" w:after="100" w:afterAutospacing="1" w:line="240" w:lineRule="auto"/>
              <w:contextualSpacing w:val="0"/>
              <w:rPr>
                <w:rFonts w:cstheme="minorHAnsi"/>
                <w:sz w:val="18"/>
                <w:szCs w:val="18"/>
              </w:rPr>
            </w:pPr>
            <w:r w:rsidRPr="00325909">
              <w:rPr>
                <w:rFonts w:cstheme="minorHAnsi"/>
                <w:sz w:val="18"/>
                <w:szCs w:val="18"/>
              </w:rPr>
              <w:t xml:space="preserve">Co-investment in skills training increases; and </w:t>
            </w:r>
          </w:p>
          <w:p w14:paraId="62768399" w14:textId="77777777" w:rsidR="00325909" w:rsidRPr="00325909" w:rsidRDefault="00325909" w:rsidP="00325909">
            <w:pPr>
              <w:pStyle w:val="ListParagraph"/>
              <w:numPr>
                <w:ilvl w:val="0"/>
                <w:numId w:val="37"/>
              </w:numPr>
              <w:spacing w:before="100" w:beforeAutospacing="1" w:after="100" w:afterAutospacing="1" w:line="240" w:lineRule="auto"/>
              <w:contextualSpacing w:val="0"/>
              <w:rPr>
                <w:rFonts w:cstheme="minorHAnsi"/>
                <w:sz w:val="18"/>
                <w:szCs w:val="18"/>
              </w:rPr>
            </w:pPr>
            <w:r w:rsidRPr="00325909">
              <w:rPr>
                <w:rFonts w:cstheme="minorHAnsi"/>
                <w:sz w:val="18"/>
                <w:szCs w:val="18"/>
              </w:rPr>
              <w:t>Selected partners demonstrate quality TVET provision</w:t>
            </w:r>
          </w:p>
          <w:p w14:paraId="77A367A2" w14:textId="77777777" w:rsidR="00325909" w:rsidRPr="00325909" w:rsidRDefault="00325909" w:rsidP="00402898">
            <w:pPr>
              <w:rPr>
                <w:rFonts w:asciiTheme="minorHAnsi" w:hAnsiTheme="minorHAnsi" w:cstheme="minorHAnsi"/>
                <w:sz w:val="18"/>
                <w:szCs w:val="18"/>
              </w:rPr>
            </w:pPr>
          </w:p>
          <w:p w14:paraId="52CBB700" w14:textId="77777777" w:rsidR="00325909" w:rsidRPr="00325909" w:rsidRDefault="00325909" w:rsidP="00402898">
            <w:pPr>
              <w:rPr>
                <w:rFonts w:asciiTheme="minorHAnsi" w:hAnsiTheme="minorHAnsi" w:cstheme="minorHAnsi"/>
                <w:sz w:val="18"/>
                <w:szCs w:val="18"/>
              </w:rPr>
            </w:pPr>
          </w:p>
          <w:p w14:paraId="6C384C4B" w14:textId="77777777" w:rsidR="00325909" w:rsidRPr="00325909" w:rsidRDefault="00325909" w:rsidP="00402898">
            <w:pPr>
              <w:rPr>
                <w:rFonts w:asciiTheme="minorHAnsi" w:hAnsiTheme="minorHAnsi" w:cstheme="minorHAnsi"/>
                <w:sz w:val="18"/>
                <w:szCs w:val="18"/>
              </w:rPr>
            </w:pPr>
          </w:p>
        </w:tc>
      </w:tr>
      <w:tr w:rsidR="00325909" w:rsidRPr="00325909" w14:paraId="679AC35B" w14:textId="77777777" w:rsidTr="00402898">
        <w:tc>
          <w:tcPr>
            <w:tcW w:w="1745" w:type="dxa"/>
            <w:shd w:val="clear" w:color="auto" w:fill="auto"/>
            <w:tcMar>
              <w:top w:w="0" w:type="dxa"/>
              <w:left w:w="108" w:type="dxa"/>
              <w:bottom w:w="0" w:type="dxa"/>
              <w:right w:w="108" w:type="dxa"/>
            </w:tcMar>
          </w:tcPr>
          <w:p w14:paraId="48BFBD26" w14:textId="77777777" w:rsidR="00325909" w:rsidRPr="00325909" w:rsidRDefault="00325909" w:rsidP="00402898">
            <w:pPr>
              <w:spacing w:before="100" w:beforeAutospacing="1" w:after="100" w:afterAutospacing="1"/>
              <w:rPr>
                <w:rFonts w:asciiTheme="minorHAnsi" w:hAnsiTheme="minorHAnsi" w:cstheme="minorHAnsi"/>
                <w:b/>
                <w:bCs/>
                <w:sz w:val="18"/>
                <w:szCs w:val="18"/>
              </w:rPr>
            </w:pPr>
            <w:r w:rsidRPr="00325909">
              <w:rPr>
                <w:rFonts w:asciiTheme="minorHAnsi" w:hAnsiTheme="minorHAnsi" w:cstheme="minorHAnsi"/>
                <w:b/>
                <w:bCs/>
                <w:sz w:val="18"/>
                <w:szCs w:val="18"/>
              </w:rPr>
              <w:t>Kiribati</w:t>
            </w:r>
          </w:p>
        </w:tc>
        <w:tc>
          <w:tcPr>
            <w:tcW w:w="3140" w:type="dxa"/>
            <w:shd w:val="clear" w:color="auto" w:fill="auto"/>
            <w:tcMar>
              <w:top w:w="0" w:type="dxa"/>
              <w:left w:w="108" w:type="dxa"/>
              <w:bottom w:w="0" w:type="dxa"/>
              <w:right w:w="108" w:type="dxa"/>
            </w:tcMar>
          </w:tcPr>
          <w:p w14:paraId="7EC824AE" w14:textId="77777777" w:rsidR="00325909" w:rsidRPr="00325909" w:rsidRDefault="00325909" w:rsidP="00402898">
            <w:pPr>
              <w:rPr>
                <w:rFonts w:asciiTheme="minorHAnsi" w:hAnsiTheme="minorHAnsi" w:cstheme="minorHAnsi"/>
                <w:sz w:val="18"/>
                <w:szCs w:val="18"/>
              </w:rPr>
            </w:pPr>
            <w:r w:rsidRPr="00325909">
              <w:rPr>
                <w:rFonts w:asciiTheme="minorHAnsi" w:hAnsiTheme="minorHAnsi" w:cstheme="minorHAnsi"/>
                <w:sz w:val="18"/>
                <w:szCs w:val="18"/>
              </w:rPr>
              <w:t>TVET providers in Kiribati:</w:t>
            </w:r>
          </w:p>
          <w:p w14:paraId="5F342B28" w14:textId="77777777" w:rsidR="00325909" w:rsidRPr="00325909" w:rsidRDefault="00325909" w:rsidP="00402898">
            <w:pPr>
              <w:pStyle w:val="NoSpacing"/>
              <w:rPr>
                <w:rFonts w:cstheme="minorHAnsi"/>
                <w:sz w:val="18"/>
                <w:szCs w:val="18"/>
              </w:rPr>
            </w:pPr>
            <w:r w:rsidRPr="00325909">
              <w:rPr>
                <w:rFonts w:cstheme="minorHAnsi"/>
                <w:sz w:val="18"/>
                <w:szCs w:val="18"/>
              </w:rPr>
              <w:t>·      </w:t>
            </w:r>
            <w:hyperlink r:id="rId30" w:history="1">
              <w:r w:rsidRPr="00325909">
                <w:rPr>
                  <w:rStyle w:val="Hyperlink"/>
                  <w:rFonts w:cstheme="minorHAnsi"/>
                  <w:sz w:val="18"/>
                  <w:szCs w:val="18"/>
                </w:rPr>
                <w:t>Kiribati Institute of Technology</w:t>
              </w:r>
            </w:hyperlink>
            <w:r w:rsidRPr="00325909">
              <w:rPr>
                <w:rFonts w:cstheme="minorHAnsi"/>
                <w:sz w:val="18"/>
                <w:szCs w:val="18"/>
              </w:rPr>
              <w:t xml:space="preserve"> (KIT)</w:t>
            </w:r>
          </w:p>
          <w:p w14:paraId="6F6898C9" w14:textId="77777777" w:rsidR="00325909" w:rsidRPr="00325909" w:rsidRDefault="00325909" w:rsidP="00402898">
            <w:pPr>
              <w:pStyle w:val="NoSpacing"/>
              <w:rPr>
                <w:rFonts w:cstheme="minorHAnsi"/>
                <w:sz w:val="18"/>
                <w:szCs w:val="18"/>
              </w:rPr>
            </w:pPr>
            <w:r w:rsidRPr="00325909">
              <w:rPr>
                <w:rFonts w:cstheme="minorHAnsi"/>
                <w:sz w:val="18"/>
                <w:szCs w:val="18"/>
              </w:rPr>
              <w:t>·      </w:t>
            </w:r>
            <w:hyperlink r:id="rId31" w:history="1">
              <w:r w:rsidRPr="00325909">
                <w:rPr>
                  <w:rStyle w:val="Hyperlink"/>
                  <w:rFonts w:cstheme="minorHAnsi"/>
                  <w:sz w:val="18"/>
                  <w:szCs w:val="18"/>
                </w:rPr>
                <w:t>Maritime Training College</w:t>
              </w:r>
            </w:hyperlink>
            <w:r w:rsidRPr="00325909">
              <w:rPr>
                <w:rFonts w:cstheme="minorHAnsi"/>
                <w:sz w:val="18"/>
                <w:szCs w:val="18"/>
              </w:rPr>
              <w:t xml:space="preserve"> (MTC)</w:t>
            </w:r>
          </w:p>
          <w:p w14:paraId="1ABA4F82" w14:textId="77777777" w:rsidR="00325909" w:rsidRPr="00325909" w:rsidRDefault="00325909" w:rsidP="00402898">
            <w:pPr>
              <w:rPr>
                <w:rFonts w:asciiTheme="minorHAnsi" w:hAnsiTheme="minorHAnsi" w:cstheme="minorHAnsi"/>
                <w:sz w:val="18"/>
                <w:szCs w:val="18"/>
              </w:rPr>
            </w:pPr>
          </w:p>
          <w:p w14:paraId="7888E4B2" w14:textId="77777777" w:rsidR="00325909" w:rsidRPr="00325909" w:rsidRDefault="00325909" w:rsidP="00402898">
            <w:pPr>
              <w:rPr>
                <w:rFonts w:asciiTheme="minorHAnsi" w:hAnsiTheme="minorHAnsi" w:cstheme="minorHAnsi"/>
                <w:sz w:val="18"/>
                <w:szCs w:val="18"/>
              </w:rPr>
            </w:pPr>
            <w:r w:rsidRPr="00325909">
              <w:rPr>
                <w:rFonts w:asciiTheme="minorHAnsi" w:hAnsiTheme="minorHAnsi" w:cstheme="minorHAnsi"/>
                <w:sz w:val="18"/>
                <w:szCs w:val="18"/>
              </w:rPr>
              <w:t>There is no APTC campus in Kiribati</w:t>
            </w:r>
          </w:p>
          <w:p w14:paraId="36BA82E4" w14:textId="77777777" w:rsidR="00325909" w:rsidRPr="00325909" w:rsidRDefault="00325909" w:rsidP="00402898">
            <w:pPr>
              <w:rPr>
                <w:rFonts w:asciiTheme="minorHAnsi" w:hAnsiTheme="minorHAnsi" w:cstheme="minorHAnsi"/>
                <w:sz w:val="18"/>
                <w:szCs w:val="18"/>
              </w:rPr>
            </w:pPr>
          </w:p>
          <w:p w14:paraId="2C3C32FB" w14:textId="77777777" w:rsidR="00325909" w:rsidRPr="00325909" w:rsidRDefault="00325909" w:rsidP="00402898">
            <w:pPr>
              <w:rPr>
                <w:rFonts w:asciiTheme="minorHAnsi" w:hAnsiTheme="minorHAnsi" w:cstheme="minorHAnsi"/>
                <w:sz w:val="18"/>
                <w:szCs w:val="18"/>
              </w:rPr>
            </w:pPr>
            <w:r w:rsidRPr="00325909">
              <w:rPr>
                <w:rFonts w:asciiTheme="minorHAnsi" w:hAnsiTheme="minorHAnsi" w:cstheme="minorHAnsi"/>
                <w:sz w:val="18"/>
                <w:szCs w:val="18"/>
              </w:rPr>
              <w:t>National Qualifications Framework:</w:t>
            </w:r>
          </w:p>
          <w:p w14:paraId="1C7C8BF8" w14:textId="77777777" w:rsidR="00325909" w:rsidRPr="00325909" w:rsidRDefault="00325909" w:rsidP="00402898">
            <w:pPr>
              <w:rPr>
                <w:rFonts w:asciiTheme="minorHAnsi" w:hAnsiTheme="minorHAnsi" w:cstheme="minorHAnsi"/>
                <w:sz w:val="18"/>
                <w:szCs w:val="18"/>
              </w:rPr>
            </w:pPr>
            <w:r w:rsidRPr="00325909">
              <w:rPr>
                <w:rFonts w:asciiTheme="minorHAnsi" w:hAnsiTheme="minorHAnsi" w:cstheme="minorHAnsi"/>
                <w:sz w:val="18"/>
                <w:szCs w:val="18"/>
              </w:rPr>
              <w:t>·       Pacific Qualifications Framework EQAP</w:t>
            </w:r>
          </w:p>
          <w:p w14:paraId="71127930" w14:textId="77777777" w:rsidR="00325909" w:rsidRPr="00325909" w:rsidRDefault="00325909" w:rsidP="00402898">
            <w:pPr>
              <w:rPr>
                <w:rFonts w:asciiTheme="minorHAnsi" w:hAnsiTheme="minorHAnsi" w:cstheme="minorHAnsi"/>
                <w:sz w:val="18"/>
                <w:szCs w:val="18"/>
              </w:rPr>
            </w:pPr>
          </w:p>
          <w:p w14:paraId="6CC02D4E" w14:textId="77777777" w:rsidR="00325909" w:rsidRPr="00325909" w:rsidRDefault="00325909" w:rsidP="00402898">
            <w:pPr>
              <w:rPr>
                <w:rFonts w:asciiTheme="minorHAnsi" w:hAnsiTheme="minorHAnsi" w:cstheme="minorHAnsi"/>
                <w:sz w:val="18"/>
                <w:szCs w:val="18"/>
              </w:rPr>
            </w:pPr>
            <w:r w:rsidRPr="00325909">
              <w:rPr>
                <w:rFonts w:asciiTheme="minorHAnsi" w:hAnsiTheme="minorHAnsi" w:cstheme="minorHAnsi"/>
                <w:sz w:val="18"/>
                <w:szCs w:val="18"/>
              </w:rPr>
              <w:t>Regulator:</w:t>
            </w:r>
          </w:p>
          <w:p w14:paraId="239707BE" w14:textId="77777777" w:rsidR="00325909" w:rsidRPr="00325909" w:rsidRDefault="00325909" w:rsidP="00402898">
            <w:pPr>
              <w:rPr>
                <w:rFonts w:asciiTheme="minorHAnsi" w:hAnsiTheme="minorHAnsi" w:cstheme="minorHAnsi"/>
                <w:sz w:val="18"/>
                <w:szCs w:val="18"/>
              </w:rPr>
            </w:pPr>
            <w:r w:rsidRPr="00325909">
              <w:rPr>
                <w:rFonts w:asciiTheme="minorHAnsi" w:hAnsiTheme="minorHAnsi" w:cstheme="minorHAnsi"/>
                <w:sz w:val="18"/>
                <w:szCs w:val="18"/>
              </w:rPr>
              <w:t>·      Ministry of Labour &amp; Human Resource Development</w:t>
            </w:r>
          </w:p>
        </w:tc>
        <w:tc>
          <w:tcPr>
            <w:tcW w:w="3141" w:type="dxa"/>
            <w:shd w:val="clear" w:color="auto" w:fill="auto"/>
            <w:tcMar>
              <w:top w:w="0" w:type="dxa"/>
              <w:left w:w="108" w:type="dxa"/>
              <w:bottom w:w="0" w:type="dxa"/>
              <w:right w:w="108" w:type="dxa"/>
            </w:tcMar>
          </w:tcPr>
          <w:p w14:paraId="7410C7FB" w14:textId="77777777" w:rsidR="00325909" w:rsidRPr="00325909" w:rsidRDefault="00325909" w:rsidP="00402898">
            <w:pPr>
              <w:pStyle w:val="NoSpacing"/>
              <w:rPr>
                <w:rFonts w:cstheme="minorHAnsi"/>
                <w:sz w:val="18"/>
                <w:szCs w:val="18"/>
              </w:rPr>
            </w:pPr>
            <w:r w:rsidRPr="00325909">
              <w:rPr>
                <w:rFonts w:cstheme="minorHAnsi"/>
                <w:sz w:val="18"/>
                <w:szCs w:val="18"/>
              </w:rPr>
              <w:t>·       KIT has two campuses located        on South Tarawa Island</w:t>
            </w:r>
          </w:p>
          <w:p w14:paraId="42D4DEB8" w14:textId="77777777" w:rsidR="00325909" w:rsidRPr="00325909" w:rsidRDefault="00325909" w:rsidP="00402898">
            <w:pPr>
              <w:pStyle w:val="NoSpacing"/>
              <w:rPr>
                <w:rFonts w:cstheme="minorHAnsi"/>
                <w:sz w:val="18"/>
                <w:szCs w:val="18"/>
              </w:rPr>
            </w:pPr>
            <w:r w:rsidRPr="00325909">
              <w:rPr>
                <w:rFonts w:cstheme="minorHAnsi"/>
                <w:sz w:val="18"/>
                <w:szCs w:val="18"/>
              </w:rPr>
              <w:t>·       Each year, KIT enrols over 280 students, with over 400 students participating in accredited study each term</w:t>
            </w:r>
          </w:p>
          <w:p w14:paraId="7B712077"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KIT is accredited with the Educational Quality and Assessment Programme (EQAP) which means that KIT meets the Pacific Quality Assurance Framework standards</w:t>
            </w:r>
          </w:p>
          <w:p w14:paraId="3DF77D73"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All KIT staff will be trained to Australian Adult Teaching qualifications (Certificate IV in Teaching and Assessment)</w:t>
            </w:r>
          </w:p>
          <w:p w14:paraId="5A94874F"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KIT courses include accounting, automotive, business, community services, construction, electrotechnology, English communication skills, IT, nursing, and plumbing. Also offers short courses.</w:t>
            </w:r>
          </w:p>
          <w:p w14:paraId="0F17B612"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KIT offers international pre-departure training for workers leaving Kiribati</w:t>
            </w:r>
            <w:r w:rsidRPr="00325909">
              <w:rPr>
                <w:rStyle w:val="FootnoteReference"/>
                <w:rFonts w:asciiTheme="minorHAnsi" w:hAnsiTheme="minorHAnsi" w:cstheme="minorHAnsi"/>
                <w:sz w:val="18"/>
                <w:szCs w:val="18"/>
              </w:rPr>
              <w:footnoteReference w:id="36"/>
            </w:r>
          </w:p>
          <w:p w14:paraId="1BB0983F"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The Marine Training Centre trains seafarers. It has historically been supported by New Zealand. It does not have EQAP accreditation</w:t>
            </w:r>
          </w:p>
        </w:tc>
        <w:tc>
          <w:tcPr>
            <w:tcW w:w="3140" w:type="dxa"/>
            <w:shd w:val="clear" w:color="auto" w:fill="auto"/>
            <w:tcMar>
              <w:top w:w="0" w:type="dxa"/>
              <w:left w:w="108" w:type="dxa"/>
              <w:bottom w:w="0" w:type="dxa"/>
              <w:right w:w="108" w:type="dxa"/>
            </w:tcMar>
          </w:tcPr>
          <w:p w14:paraId="60CD7C35"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Since 1 July 2018 Kiribati has been part of the PLS</w:t>
            </w:r>
          </w:p>
          <w:p w14:paraId="4622D67E"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Since PLS, KIT has had greater emphasis on contributing to the work ready pool and delivering English language training</w:t>
            </w:r>
          </w:p>
          <w:p w14:paraId="418B866D"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KIT website boasts that it’s qualifications lead graduates to international employment opportunities in Australia and New Zealand.</w:t>
            </w:r>
            <w:r w:rsidRPr="00325909">
              <w:rPr>
                <w:rStyle w:val="FootnoteReference"/>
                <w:rFonts w:asciiTheme="minorHAnsi" w:hAnsiTheme="minorHAnsi" w:cstheme="minorHAnsi"/>
                <w:sz w:val="18"/>
                <w:szCs w:val="18"/>
              </w:rPr>
              <w:footnoteReference w:id="37"/>
            </w:r>
            <w:r w:rsidRPr="00325909">
              <w:rPr>
                <w:rFonts w:asciiTheme="minorHAnsi" w:hAnsiTheme="minorHAnsi" w:cstheme="minorHAnsi"/>
                <w:sz w:val="18"/>
                <w:szCs w:val="18"/>
              </w:rPr>
              <w:t xml:space="preserve"> </w:t>
            </w:r>
          </w:p>
          <w:p w14:paraId="20B0D798"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APTC will create international track training to support Pacific labour mobility through engagement with the PLF, relevant government ministries in Kiribati, and other local and national TVET providers.</w:t>
            </w:r>
            <w:r w:rsidRPr="00325909">
              <w:rPr>
                <w:rStyle w:val="FootnoteReference"/>
                <w:rFonts w:asciiTheme="minorHAnsi" w:hAnsiTheme="minorHAnsi" w:cstheme="minorHAnsi"/>
                <w:sz w:val="18"/>
                <w:szCs w:val="18"/>
              </w:rPr>
              <w:footnoteReference w:id="38"/>
            </w:r>
          </w:p>
          <w:p w14:paraId="3B4BAD73"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p>
          <w:p w14:paraId="6149D657"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p>
          <w:p w14:paraId="68B09EF8"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p>
        </w:tc>
        <w:tc>
          <w:tcPr>
            <w:tcW w:w="3141" w:type="dxa"/>
            <w:shd w:val="clear" w:color="auto" w:fill="auto"/>
            <w:tcMar>
              <w:top w:w="0" w:type="dxa"/>
              <w:left w:w="108" w:type="dxa"/>
              <w:bottom w:w="0" w:type="dxa"/>
              <w:right w:w="108" w:type="dxa"/>
            </w:tcMar>
          </w:tcPr>
          <w:p w14:paraId="5ACF885A"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APTC and KIT are working on a partnership.</w:t>
            </w:r>
            <w:r w:rsidRPr="00325909">
              <w:rPr>
                <w:rStyle w:val="FootnoteReference"/>
                <w:rFonts w:asciiTheme="minorHAnsi" w:hAnsiTheme="minorHAnsi" w:cstheme="minorHAnsi"/>
                <w:sz w:val="18"/>
                <w:szCs w:val="18"/>
              </w:rPr>
              <w:footnoteReference w:id="39"/>
            </w:r>
          </w:p>
          <w:p w14:paraId="66AED2FD"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APTC will supply a Hospitality/Tourism Trainer to mentor KIT and MTC trainers in quality Hospitality/Tourism training to build capacity and improve training provided.</w:t>
            </w:r>
            <w:r w:rsidRPr="00325909">
              <w:rPr>
                <w:rStyle w:val="FootnoteReference"/>
                <w:rFonts w:asciiTheme="minorHAnsi" w:hAnsiTheme="minorHAnsi" w:cstheme="minorHAnsi"/>
                <w:sz w:val="18"/>
                <w:szCs w:val="18"/>
              </w:rPr>
              <w:footnoteReference w:id="40"/>
            </w:r>
            <w:r w:rsidRPr="00325909">
              <w:rPr>
                <w:rFonts w:asciiTheme="minorHAnsi" w:hAnsiTheme="minorHAnsi" w:cstheme="minorHAnsi"/>
                <w:sz w:val="18"/>
                <w:szCs w:val="18"/>
              </w:rPr>
              <w:t xml:space="preserve"> </w:t>
            </w:r>
          </w:p>
          <w:p w14:paraId="5BE11C22"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APTC will deliver Australian accredited qualifications in training and Assessment and skill sets in Wall and Floor Tiling and Construction. Expecting 18 graduates in semester 1 for Kiribati.</w:t>
            </w:r>
            <w:r w:rsidRPr="00325909">
              <w:rPr>
                <w:rStyle w:val="FootnoteReference"/>
                <w:rFonts w:asciiTheme="minorHAnsi" w:hAnsiTheme="minorHAnsi" w:cstheme="minorHAnsi"/>
                <w:sz w:val="18"/>
                <w:szCs w:val="18"/>
              </w:rPr>
              <w:footnoteReference w:id="41"/>
            </w:r>
          </w:p>
          <w:p w14:paraId="66013797"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APTC will provide training delivery development assistance to KIT and conduct RPL assessment in order to provide Australian Qualifications to KIT Automotive students.</w:t>
            </w:r>
            <w:r w:rsidRPr="00325909">
              <w:rPr>
                <w:rStyle w:val="FootnoteReference"/>
                <w:rFonts w:asciiTheme="minorHAnsi" w:hAnsiTheme="minorHAnsi" w:cstheme="minorHAnsi"/>
                <w:sz w:val="18"/>
                <w:szCs w:val="18"/>
              </w:rPr>
              <w:footnoteReference w:id="42"/>
            </w:r>
          </w:p>
          <w:p w14:paraId="57BE83A1"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Since Phase 2 of APTC, there has been an agreement between Australia’s bilateral TVET program in Kiribati and APTC.</w:t>
            </w:r>
          </w:p>
          <w:p w14:paraId="42CCA748"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The APTC country office for Kiribati will work with partners including KIT to review the training profile to identify opportunities for collaboration and ensure offerings are responsive to workforce development and labour market needs.</w:t>
            </w:r>
            <w:r w:rsidRPr="00325909">
              <w:rPr>
                <w:rStyle w:val="FootnoteReference"/>
                <w:rFonts w:asciiTheme="minorHAnsi" w:hAnsiTheme="minorHAnsi" w:cstheme="minorHAnsi"/>
                <w:sz w:val="18"/>
                <w:szCs w:val="18"/>
              </w:rPr>
              <w:footnoteReference w:id="43"/>
            </w:r>
          </w:p>
          <w:p w14:paraId="403A4F4C"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APTC to conduct labour market assessment for Kiribati to determine employment needs that will better inform APTC’s training profiles.</w:t>
            </w:r>
            <w:r w:rsidRPr="00325909">
              <w:rPr>
                <w:rStyle w:val="FootnoteReference"/>
                <w:rFonts w:asciiTheme="minorHAnsi" w:hAnsiTheme="minorHAnsi" w:cstheme="minorHAnsi"/>
                <w:sz w:val="18"/>
                <w:szCs w:val="18"/>
              </w:rPr>
              <w:footnoteReference w:id="44"/>
            </w:r>
          </w:p>
          <w:p w14:paraId="1800DDCB"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APTC Annual Plan 2019 foreshadows regular discussions with DFAT office and bilateral program in Kiribati.</w:t>
            </w:r>
            <w:r w:rsidRPr="00325909">
              <w:rPr>
                <w:rStyle w:val="FootnoteReference"/>
                <w:rFonts w:asciiTheme="minorHAnsi" w:hAnsiTheme="minorHAnsi" w:cstheme="minorHAnsi"/>
                <w:sz w:val="18"/>
                <w:szCs w:val="18"/>
              </w:rPr>
              <w:footnoteReference w:id="45"/>
            </w:r>
            <w:r w:rsidRPr="00325909">
              <w:rPr>
                <w:rFonts w:asciiTheme="minorHAnsi" w:hAnsiTheme="minorHAnsi" w:cstheme="minorHAnsi"/>
                <w:sz w:val="18"/>
                <w:szCs w:val="18"/>
              </w:rPr>
              <w:t xml:space="preserve"> </w:t>
            </w:r>
          </w:p>
          <w:p w14:paraId="74497DA6"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TVET System Strengthening Platform to be established in early 2019 by APTC with collaboration with stakeholders in country and the DFAT Post.</w:t>
            </w:r>
            <w:r w:rsidRPr="00325909">
              <w:rPr>
                <w:rStyle w:val="FootnoteReference"/>
                <w:rFonts w:asciiTheme="minorHAnsi" w:hAnsiTheme="minorHAnsi" w:cstheme="minorHAnsi"/>
                <w:sz w:val="18"/>
                <w:szCs w:val="18"/>
              </w:rPr>
              <w:footnoteReference w:id="46"/>
            </w:r>
          </w:p>
          <w:p w14:paraId="42663F64"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APTC will hold a Work Skills Forum for Information sharing to encourage dialogue between national TVET sector stakeholders.</w:t>
            </w:r>
            <w:r w:rsidRPr="00325909">
              <w:rPr>
                <w:rStyle w:val="FootnoteReference"/>
                <w:rFonts w:asciiTheme="minorHAnsi" w:hAnsiTheme="minorHAnsi" w:cstheme="minorHAnsi"/>
                <w:sz w:val="18"/>
                <w:szCs w:val="18"/>
              </w:rPr>
              <w:footnoteReference w:id="47"/>
            </w:r>
          </w:p>
        </w:tc>
      </w:tr>
      <w:tr w:rsidR="00325909" w:rsidRPr="00325909" w14:paraId="2FBBDC5D" w14:textId="77777777" w:rsidTr="00402898">
        <w:tc>
          <w:tcPr>
            <w:tcW w:w="1745" w:type="dxa"/>
            <w:shd w:val="clear" w:color="auto" w:fill="auto"/>
            <w:tcMar>
              <w:top w:w="0" w:type="dxa"/>
              <w:left w:w="108" w:type="dxa"/>
              <w:bottom w:w="0" w:type="dxa"/>
              <w:right w:w="108" w:type="dxa"/>
            </w:tcMar>
            <w:hideMark/>
          </w:tcPr>
          <w:p w14:paraId="374566B5" w14:textId="77777777" w:rsidR="00325909" w:rsidRPr="00325909" w:rsidRDefault="00325909" w:rsidP="00402898">
            <w:pPr>
              <w:spacing w:before="100" w:beforeAutospacing="1" w:after="100" w:afterAutospacing="1"/>
              <w:rPr>
                <w:rFonts w:asciiTheme="minorHAnsi" w:hAnsiTheme="minorHAnsi" w:cstheme="minorHAnsi"/>
                <w:sz w:val="18"/>
                <w:szCs w:val="18"/>
              </w:rPr>
            </w:pPr>
            <w:r w:rsidRPr="00325909">
              <w:rPr>
                <w:rFonts w:asciiTheme="minorHAnsi" w:hAnsiTheme="minorHAnsi" w:cstheme="minorHAnsi"/>
                <w:b/>
                <w:bCs/>
                <w:sz w:val="18"/>
                <w:szCs w:val="18"/>
              </w:rPr>
              <w:t>Samoa</w:t>
            </w:r>
          </w:p>
        </w:tc>
        <w:tc>
          <w:tcPr>
            <w:tcW w:w="3140" w:type="dxa"/>
            <w:shd w:val="clear" w:color="auto" w:fill="auto"/>
            <w:tcMar>
              <w:top w:w="0" w:type="dxa"/>
              <w:left w:w="108" w:type="dxa"/>
              <w:bottom w:w="0" w:type="dxa"/>
              <w:right w:w="108" w:type="dxa"/>
            </w:tcMar>
            <w:hideMark/>
          </w:tcPr>
          <w:p w14:paraId="7C81EFC3" w14:textId="77777777" w:rsidR="00325909" w:rsidRPr="00325909" w:rsidRDefault="00325909" w:rsidP="00402898">
            <w:pPr>
              <w:spacing w:before="100" w:beforeAutospacing="1" w:after="100" w:afterAutospacing="1"/>
              <w:rPr>
                <w:rFonts w:asciiTheme="minorHAnsi" w:hAnsiTheme="minorHAnsi" w:cstheme="minorHAnsi"/>
                <w:sz w:val="18"/>
                <w:szCs w:val="18"/>
              </w:rPr>
            </w:pPr>
            <w:r w:rsidRPr="00325909">
              <w:rPr>
                <w:rFonts w:asciiTheme="minorHAnsi" w:hAnsiTheme="minorHAnsi" w:cstheme="minorHAnsi"/>
                <w:sz w:val="18"/>
                <w:szCs w:val="18"/>
              </w:rPr>
              <w:t xml:space="preserve">TVET Course providers in Samoa: </w:t>
            </w:r>
            <w:r w:rsidRPr="00325909">
              <w:rPr>
                <w:rFonts w:asciiTheme="minorHAnsi" w:hAnsiTheme="minorHAnsi" w:cstheme="minorHAnsi"/>
                <w:sz w:val="18"/>
                <w:szCs w:val="18"/>
              </w:rPr>
              <w:br/>
              <w:t xml:space="preserve">·        </w:t>
            </w:r>
            <w:hyperlink r:id="rId32" w:history="1">
              <w:r w:rsidRPr="00325909">
                <w:rPr>
                  <w:rStyle w:val="Hyperlink"/>
                  <w:rFonts w:asciiTheme="minorHAnsi" w:hAnsiTheme="minorHAnsi" w:cstheme="minorHAnsi"/>
                  <w:sz w:val="18"/>
                  <w:szCs w:val="18"/>
                </w:rPr>
                <w:t>National University of Samoa</w:t>
              </w:r>
            </w:hyperlink>
            <w:r w:rsidRPr="00325909">
              <w:rPr>
                <w:rFonts w:asciiTheme="minorHAnsi" w:hAnsiTheme="minorHAnsi" w:cstheme="minorHAnsi"/>
                <w:sz w:val="18"/>
                <w:szCs w:val="18"/>
              </w:rPr>
              <w:t xml:space="preserve"> (NUS)</w:t>
            </w:r>
            <w:r w:rsidRPr="00325909">
              <w:rPr>
                <w:rFonts w:asciiTheme="minorHAnsi" w:hAnsiTheme="minorHAnsi" w:cstheme="minorHAnsi"/>
                <w:sz w:val="18"/>
                <w:szCs w:val="18"/>
              </w:rPr>
              <w:br/>
              <w:t>·       </w:t>
            </w:r>
            <w:hyperlink r:id="rId33" w:history="1">
              <w:r w:rsidRPr="00325909">
                <w:rPr>
                  <w:rStyle w:val="Hyperlink"/>
                  <w:rFonts w:asciiTheme="minorHAnsi" w:hAnsiTheme="minorHAnsi" w:cstheme="minorHAnsi"/>
                  <w:sz w:val="18"/>
                  <w:szCs w:val="18"/>
                </w:rPr>
                <w:t>Don Bosco Technical College</w:t>
              </w:r>
            </w:hyperlink>
            <w:r w:rsidRPr="00325909">
              <w:rPr>
                <w:rFonts w:asciiTheme="minorHAnsi" w:hAnsiTheme="minorHAnsi" w:cstheme="minorHAnsi"/>
                <w:sz w:val="18"/>
                <w:szCs w:val="18"/>
              </w:rPr>
              <w:br/>
              <w:t>·       Laumua o Punaoa Technical &amp; Vocational Centre (LPTC) ·       Uesiliana Technical &amp; Vocational Centre (UTVC)</w:t>
            </w:r>
            <w:r w:rsidRPr="00325909">
              <w:rPr>
                <w:rFonts w:asciiTheme="minorHAnsi" w:hAnsiTheme="minorHAnsi" w:cstheme="minorHAnsi"/>
                <w:sz w:val="18"/>
                <w:szCs w:val="18"/>
              </w:rPr>
              <w:br/>
              <w:t xml:space="preserve">·       Tesese Institute of Administrative Studies (TIAS) </w:t>
            </w:r>
            <w:r w:rsidRPr="00325909">
              <w:rPr>
                <w:rFonts w:asciiTheme="minorHAnsi" w:hAnsiTheme="minorHAnsi" w:cstheme="minorHAnsi"/>
                <w:sz w:val="18"/>
                <w:szCs w:val="18"/>
              </w:rPr>
              <w:br/>
              <w:t>·       </w:t>
            </w:r>
            <w:hyperlink r:id="rId34" w:history="1">
              <w:r w:rsidRPr="00325909">
                <w:rPr>
                  <w:rStyle w:val="Hyperlink"/>
                  <w:rFonts w:asciiTheme="minorHAnsi" w:hAnsiTheme="minorHAnsi" w:cstheme="minorHAnsi"/>
                  <w:sz w:val="18"/>
                  <w:szCs w:val="18"/>
                </w:rPr>
                <w:t>University of the South Pacific Alafua Campus</w:t>
              </w:r>
            </w:hyperlink>
          </w:p>
          <w:p w14:paraId="1FD80D05"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ATPC has an agreement with the National University of Samoa – Institute of Technology only</w:t>
            </w:r>
            <w:r w:rsidRPr="00325909">
              <w:rPr>
                <w:rStyle w:val="FootnoteReference"/>
                <w:rFonts w:asciiTheme="minorHAnsi" w:hAnsiTheme="minorHAnsi" w:cstheme="minorHAnsi"/>
                <w:sz w:val="18"/>
                <w:szCs w:val="18"/>
              </w:rPr>
              <w:footnoteReference w:id="48"/>
            </w:r>
          </w:p>
          <w:p w14:paraId="3E7831FD"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There is an APTC campus in Samoa</w:t>
            </w:r>
          </w:p>
          <w:p w14:paraId="24228117" w14:textId="77777777" w:rsidR="00325909" w:rsidRPr="00325909" w:rsidRDefault="00325909" w:rsidP="00402898">
            <w:pPr>
              <w:pStyle w:val="NoSpacing"/>
              <w:rPr>
                <w:rFonts w:cstheme="minorHAnsi"/>
                <w:sz w:val="18"/>
                <w:szCs w:val="18"/>
              </w:rPr>
            </w:pPr>
            <w:r w:rsidRPr="00325909">
              <w:rPr>
                <w:rFonts w:cstheme="minorHAnsi"/>
                <w:sz w:val="18"/>
                <w:szCs w:val="18"/>
              </w:rPr>
              <w:t>National Qualifications Authority:</w:t>
            </w:r>
            <w:r w:rsidRPr="00325909">
              <w:rPr>
                <w:rFonts w:cstheme="minorHAnsi"/>
                <w:sz w:val="18"/>
                <w:szCs w:val="18"/>
              </w:rPr>
              <w:br/>
              <w:t xml:space="preserve">·       Samoa Qualifications Authority </w:t>
            </w:r>
          </w:p>
          <w:p w14:paraId="5ABF2273"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APTC holds full registration with the Samoa Qualifications Authority.</w:t>
            </w:r>
            <w:r w:rsidRPr="00325909">
              <w:rPr>
                <w:rStyle w:val="FootnoteReference"/>
                <w:rFonts w:asciiTheme="minorHAnsi" w:hAnsiTheme="minorHAnsi" w:cstheme="minorHAnsi"/>
                <w:sz w:val="18"/>
                <w:szCs w:val="18"/>
              </w:rPr>
              <w:footnoteReference w:id="49"/>
            </w:r>
          </w:p>
          <w:p w14:paraId="71998079"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p>
          <w:p w14:paraId="28E294F9"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p>
          <w:p w14:paraId="1779E768"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p>
          <w:p w14:paraId="3AAF372E"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p>
          <w:p w14:paraId="6EE4B49A"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p>
          <w:p w14:paraId="56F1706E"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p>
          <w:p w14:paraId="077308CD"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p>
          <w:p w14:paraId="632555F8" w14:textId="77777777" w:rsidR="00325909" w:rsidRPr="00325909" w:rsidRDefault="00325909" w:rsidP="00402898">
            <w:pPr>
              <w:rPr>
                <w:rFonts w:asciiTheme="minorHAnsi" w:hAnsiTheme="minorHAnsi" w:cstheme="minorHAnsi"/>
                <w:sz w:val="18"/>
                <w:szCs w:val="18"/>
              </w:rPr>
            </w:pPr>
          </w:p>
        </w:tc>
        <w:tc>
          <w:tcPr>
            <w:tcW w:w="3141" w:type="dxa"/>
            <w:shd w:val="clear" w:color="auto" w:fill="auto"/>
            <w:tcMar>
              <w:top w:w="0" w:type="dxa"/>
              <w:left w:w="108" w:type="dxa"/>
              <w:bottom w:w="0" w:type="dxa"/>
              <w:right w:w="108" w:type="dxa"/>
            </w:tcMar>
            <w:hideMark/>
          </w:tcPr>
          <w:p w14:paraId="2A5FFF76" w14:textId="77777777" w:rsidR="00325909" w:rsidRPr="00325909" w:rsidRDefault="00325909" w:rsidP="00402898">
            <w:pPr>
              <w:tabs>
                <w:tab w:val="right" w:pos="1843"/>
              </w:tabs>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Since 2007 over 1300 Samoans have graduated from the APTC by 2017.</w:t>
            </w:r>
            <w:r w:rsidRPr="00325909">
              <w:rPr>
                <w:rStyle w:val="FootnoteReference"/>
                <w:rFonts w:asciiTheme="minorHAnsi" w:hAnsiTheme="minorHAnsi" w:cstheme="minorHAnsi"/>
                <w:sz w:val="18"/>
                <w:szCs w:val="18"/>
              </w:rPr>
              <w:footnoteReference w:id="50"/>
            </w:r>
          </w:p>
          <w:p w14:paraId="3FD808B7" w14:textId="77777777" w:rsidR="00325909" w:rsidRPr="00325909" w:rsidRDefault="00325909" w:rsidP="00402898">
            <w:pPr>
              <w:tabs>
                <w:tab w:val="right" w:pos="1843"/>
              </w:tabs>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Each year approximately 100 Samoan students study courses offered by APTC.</w:t>
            </w:r>
            <w:r w:rsidRPr="00325909">
              <w:rPr>
                <w:rStyle w:val="FootnoteReference"/>
                <w:rFonts w:asciiTheme="minorHAnsi" w:hAnsiTheme="minorHAnsi" w:cstheme="minorHAnsi"/>
                <w:sz w:val="18"/>
                <w:szCs w:val="18"/>
              </w:rPr>
              <w:footnoteReference w:id="51"/>
            </w:r>
          </w:p>
          <w:p w14:paraId="5DD32CD2" w14:textId="77777777" w:rsidR="00325909" w:rsidRPr="00325909" w:rsidRDefault="00325909" w:rsidP="00402898">
            <w:pPr>
              <w:tabs>
                <w:tab w:val="right" w:pos="1843"/>
              </w:tabs>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APTC has worked to strengthen the capacity of local TVET providers by offering Certificate IV courses in Training and Assessment.</w:t>
            </w:r>
            <w:r w:rsidRPr="00325909">
              <w:rPr>
                <w:rStyle w:val="FootnoteReference"/>
                <w:rFonts w:asciiTheme="minorHAnsi" w:hAnsiTheme="minorHAnsi" w:cstheme="minorHAnsi"/>
                <w:sz w:val="18"/>
                <w:szCs w:val="18"/>
              </w:rPr>
              <w:footnoteReference w:id="52"/>
            </w:r>
          </w:p>
          <w:p w14:paraId="096B540D" w14:textId="77777777" w:rsidR="00325909" w:rsidRPr="00325909" w:rsidRDefault="00325909" w:rsidP="00402898">
            <w:pPr>
              <w:tabs>
                <w:tab w:val="right" w:pos="1843"/>
              </w:tabs>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Qualifications of APTC graduates include hospitality, cookery, tourism, carpentry, plumbing, sheet metal fabrication, and community services.</w:t>
            </w:r>
          </w:p>
          <w:p w14:paraId="75842F71" w14:textId="77777777" w:rsidR="00325909" w:rsidRPr="00325909" w:rsidRDefault="00325909" w:rsidP="00402898">
            <w:pPr>
              <w:tabs>
                <w:tab w:val="right" w:pos="1843"/>
              </w:tabs>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NUS currently has around 3,500 students enrolled across all courses, not only TVET courses.</w:t>
            </w:r>
            <w:r w:rsidRPr="00325909">
              <w:rPr>
                <w:rStyle w:val="FootnoteReference"/>
                <w:rFonts w:asciiTheme="minorHAnsi" w:hAnsiTheme="minorHAnsi" w:cstheme="minorHAnsi"/>
                <w:sz w:val="18"/>
                <w:szCs w:val="18"/>
              </w:rPr>
              <w:footnoteReference w:id="53"/>
            </w:r>
          </w:p>
          <w:p w14:paraId="6B1CEF25" w14:textId="77777777" w:rsidR="00325909" w:rsidRPr="00325909" w:rsidRDefault="00325909" w:rsidP="00402898">
            <w:pPr>
              <w:tabs>
                <w:tab w:val="right" w:pos="1843"/>
              </w:tabs>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NUS offers 61 qualifications across 4 sites as well as a suite of online distance learning programmes</w:t>
            </w:r>
          </w:p>
          <w:p w14:paraId="500F4A43" w14:textId="77777777" w:rsidR="00325909" w:rsidRPr="00325909" w:rsidRDefault="00325909" w:rsidP="00402898">
            <w:pPr>
              <w:tabs>
                <w:tab w:val="right" w:pos="1843"/>
              </w:tabs>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NUS had a total 369 graduates from TVET courses in 2017.</w:t>
            </w:r>
            <w:r w:rsidRPr="00325909">
              <w:rPr>
                <w:rStyle w:val="FootnoteReference"/>
                <w:rFonts w:asciiTheme="minorHAnsi" w:hAnsiTheme="minorHAnsi" w:cstheme="minorHAnsi"/>
                <w:sz w:val="18"/>
                <w:szCs w:val="18"/>
              </w:rPr>
              <w:footnoteReference w:id="54"/>
            </w:r>
          </w:p>
          <w:p w14:paraId="75A0D4DD" w14:textId="77777777" w:rsidR="00325909" w:rsidRPr="00325909" w:rsidRDefault="00325909" w:rsidP="00402898">
            <w:pPr>
              <w:tabs>
                <w:tab w:val="right" w:pos="1843"/>
              </w:tabs>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Don Bosco Technical College The centre offers 2 year and 4 year trades training courses, specialising in the areas of welding, motor mechanics, woodwork, electronics and plumbing</w:t>
            </w:r>
          </w:p>
          <w:p w14:paraId="36130B09" w14:textId="77777777" w:rsidR="00325909" w:rsidRPr="00325909" w:rsidRDefault="00325909" w:rsidP="00402898">
            <w:pPr>
              <w:tabs>
                <w:tab w:val="right" w:pos="1843"/>
              </w:tabs>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APTC has also worked to develop courses specifically for Samoans based on local demand such as the Certificate III in Education Support delivered in 2017.</w:t>
            </w:r>
            <w:r w:rsidRPr="00325909">
              <w:rPr>
                <w:rStyle w:val="FootnoteReference"/>
                <w:rFonts w:asciiTheme="minorHAnsi" w:hAnsiTheme="minorHAnsi" w:cstheme="minorHAnsi"/>
                <w:sz w:val="18"/>
                <w:szCs w:val="18"/>
              </w:rPr>
              <w:footnoteReference w:id="55"/>
            </w:r>
          </w:p>
          <w:p w14:paraId="139B2FB7" w14:textId="77777777" w:rsidR="00325909" w:rsidRPr="00325909" w:rsidRDefault="00325909" w:rsidP="00402898">
            <w:pPr>
              <w:tabs>
                <w:tab w:val="right" w:pos="1843"/>
              </w:tabs>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APTC will deliver five core programs in Samoa in Semester 1 2019 and expects 146 graduates.</w:t>
            </w:r>
            <w:r w:rsidRPr="00325909">
              <w:rPr>
                <w:rStyle w:val="FootnoteReference"/>
                <w:rFonts w:asciiTheme="minorHAnsi" w:hAnsiTheme="minorHAnsi" w:cstheme="minorHAnsi"/>
                <w:sz w:val="18"/>
                <w:szCs w:val="18"/>
              </w:rPr>
              <w:footnoteReference w:id="56"/>
            </w:r>
            <w:r w:rsidRPr="00325909">
              <w:rPr>
                <w:rFonts w:asciiTheme="minorHAnsi" w:hAnsiTheme="minorHAnsi" w:cstheme="minorHAnsi"/>
                <w:sz w:val="18"/>
                <w:szCs w:val="18"/>
              </w:rPr>
              <w:t xml:space="preserve"> Semester 2 2019 also expects graduates from delivery in Samoa.</w:t>
            </w:r>
          </w:p>
        </w:tc>
        <w:tc>
          <w:tcPr>
            <w:tcW w:w="3140" w:type="dxa"/>
            <w:shd w:val="clear" w:color="auto" w:fill="auto"/>
            <w:tcMar>
              <w:top w:w="0" w:type="dxa"/>
              <w:left w:w="108" w:type="dxa"/>
              <w:bottom w:w="0" w:type="dxa"/>
              <w:right w:w="108" w:type="dxa"/>
            </w:tcMar>
            <w:hideMark/>
          </w:tcPr>
          <w:p w14:paraId="438231FB"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Since November 2018 Samoa has been part of the PLS</w:t>
            </w:r>
          </w:p>
          <w:p w14:paraId="74C4545B"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“APTC will create international track training to support Pacific labour mobility through engagement with the PLF, relevant government ministries in Samoa, and other local and national TVET Providers.”</w:t>
            </w:r>
            <w:r w:rsidRPr="00325909">
              <w:rPr>
                <w:rStyle w:val="FootnoteReference"/>
                <w:rFonts w:asciiTheme="minorHAnsi" w:hAnsiTheme="minorHAnsi" w:cstheme="minorHAnsi"/>
                <w:sz w:val="18"/>
                <w:szCs w:val="18"/>
              </w:rPr>
              <w:footnoteReference w:id="57"/>
            </w:r>
          </w:p>
          <w:p w14:paraId="2AE50FA9" w14:textId="77777777" w:rsidR="00325909" w:rsidRPr="00325909" w:rsidRDefault="00325909" w:rsidP="00325909">
            <w:pPr>
              <w:pStyle w:val="ListParagraph"/>
              <w:numPr>
                <w:ilvl w:val="0"/>
                <w:numId w:val="35"/>
              </w:numPr>
              <w:spacing w:before="100" w:beforeAutospacing="1" w:after="100" w:afterAutospacing="1" w:line="240" w:lineRule="auto"/>
              <w:contextualSpacing w:val="0"/>
              <w:rPr>
                <w:rFonts w:cstheme="minorHAnsi"/>
                <w:sz w:val="18"/>
                <w:szCs w:val="18"/>
              </w:rPr>
            </w:pPr>
            <w:r w:rsidRPr="00325909">
              <w:rPr>
                <w:rFonts w:cstheme="minorHAnsi"/>
                <w:sz w:val="18"/>
                <w:szCs w:val="18"/>
              </w:rPr>
              <w:t xml:space="preserve">No further details publicly available </w:t>
            </w:r>
          </w:p>
        </w:tc>
        <w:tc>
          <w:tcPr>
            <w:tcW w:w="3141" w:type="dxa"/>
            <w:shd w:val="clear" w:color="auto" w:fill="auto"/>
            <w:tcMar>
              <w:top w:w="0" w:type="dxa"/>
              <w:left w:w="108" w:type="dxa"/>
              <w:bottom w:w="0" w:type="dxa"/>
              <w:right w:w="108" w:type="dxa"/>
            </w:tcMar>
            <w:hideMark/>
          </w:tcPr>
          <w:p w14:paraId="30968FC0" w14:textId="77777777" w:rsidR="00325909" w:rsidRPr="00325909" w:rsidRDefault="00325909" w:rsidP="00402898">
            <w:pPr>
              <w:tabs>
                <w:tab w:val="right" w:pos="1843"/>
              </w:tabs>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APTC’s 2019 Annual Plan shows it intends to refresh the NUS Partnership ‘to support a more transformational approach to collaboration’ in early 2019.</w:t>
            </w:r>
            <w:r w:rsidRPr="00325909">
              <w:rPr>
                <w:rStyle w:val="FootnoteReference"/>
                <w:rFonts w:asciiTheme="minorHAnsi" w:hAnsiTheme="minorHAnsi" w:cstheme="minorHAnsi"/>
                <w:sz w:val="18"/>
                <w:szCs w:val="18"/>
              </w:rPr>
              <w:footnoteReference w:id="58"/>
            </w:r>
          </w:p>
          <w:p w14:paraId="1B158BEC" w14:textId="77777777" w:rsidR="00325909" w:rsidRPr="00325909" w:rsidRDefault="00325909" w:rsidP="00402898">
            <w:pPr>
              <w:tabs>
                <w:tab w:val="right" w:pos="1843"/>
              </w:tabs>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APTC’s 2019 Annual Plan also shows it intends to prioritise Government sector coordination, engagement and visibility.</w:t>
            </w:r>
            <w:r w:rsidRPr="00325909">
              <w:rPr>
                <w:rStyle w:val="FootnoteReference"/>
                <w:rFonts w:asciiTheme="minorHAnsi" w:hAnsiTheme="minorHAnsi" w:cstheme="minorHAnsi"/>
                <w:sz w:val="18"/>
                <w:szCs w:val="18"/>
              </w:rPr>
              <w:footnoteReference w:id="59"/>
            </w:r>
          </w:p>
          <w:p w14:paraId="24A5A80A" w14:textId="77777777" w:rsidR="00325909" w:rsidRPr="00325909" w:rsidRDefault="00325909" w:rsidP="00402898">
            <w:pPr>
              <w:tabs>
                <w:tab w:val="right" w:pos="1843"/>
              </w:tabs>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APTC will roll out the TVET System Strengthening Platform in 2019 in Samoa</w:t>
            </w:r>
            <w:r w:rsidRPr="00325909">
              <w:rPr>
                <w:rStyle w:val="FootnoteReference"/>
                <w:rFonts w:asciiTheme="minorHAnsi" w:hAnsiTheme="minorHAnsi" w:cstheme="minorHAnsi"/>
                <w:sz w:val="18"/>
                <w:szCs w:val="18"/>
              </w:rPr>
              <w:footnoteReference w:id="60"/>
            </w:r>
          </w:p>
          <w:p w14:paraId="022C502B" w14:textId="77777777" w:rsidR="00325909" w:rsidRPr="00325909" w:rsidRDefault="00325909" w:rsidP="00402898">
            <w:pPr>
              <w:tabs>
                <w:tab w:val="right" w:pos="1843"/>
              </w:tabs>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APTC will continue to support coordination with bilateral programs to encourage coherent approaches to the development of the TVET sector.</w:t>
            </w:r>
            <w:r w:rsidRPr="00325909">
              <w:rPr>
                <w:rStyle w:val="FootnoteReference"/>
                <w:rFonts w:asciiTheme="minorHAnsi" w:hAnsiTheme="minorHAnsi" w:cstheme="minorHAnsi"/>
                <w:sz w:val="18"/>
                <w:szCs w:val="18"/>
              </w:rPr>
              <w:footnoteReference w:id="61"/>
            </w:r>
            <w:r w:rsidRPr="00325909">
              <w:rPr>
                <w:rFonts w:asciiTheme="minorHAnsi" w:hAnsiTheme="minorHAnsi" w:cstheme="minorHAnsi"/>
                <w:sz w:val="18"/>
                <w:szCs w:val="18"/>
              </w:rPr>
              <w:t xml:space="preserve"> APTC Annual Plan 2019 specifically foreshadows engagement by APTC in the design process for the DFAT-funded bilateral. Skill program in Samoa.</w:t>
            </w:r>
            <w:r w:rsidRPr="00325909">
              <w:rPr>
                <w:rStyle w:val="FootnoteReference"/>
                <w:rFonts w:asciiTheme="minorHAnsi" w:hAnsiTheme="minorHAnsi" w:cstheme="minorHAnsi"/>
                <w:sz w:val="18"/>
                <w:szCs w:val="18"/>
              </w:rPr>
              <w:footnoteReference w:id="62"/>
            </w:r>
            <w:r w:rsidRPr="00325909">
              <w:rPr>
                <w:rFonts w:asciiTheme="minorHAnsi" w:hAnsiTheme="minorHAnsi" w:cstheme="minorHAnsi"/>
                <w:sz w:val="18"/>
                <w:szCs w:val="18"/>
              </w:rPr>
              <w:t xml:space="preserve"> </w:t>
            </w:r>
          </w:p>
          <w:p w14:paraId="790C2E80" w14:textId="77777777" w:rsidR="00325909" w:rsidRPr="00325909" w:rsidRDefault="00325909" w:rsidP="00402898">
            <w:pPr>
              <w:tabs>
                <w:tab w:val="right" w:pos="1843"/>
              </w:tabs>
              <w:spacing w:before="100" w:beforeAutospacing="1" w:after="100" w:afterAutospacing="1"/>
              <w:ind w:left="360" w:hanging="360"/>
              <w:rPr>
                <w:rFonts w:asciiTheme="minorHAnsi" w:hAnsiTheme="minorHAnsi" w:cstheme="minorHAnsi"/>
                <w:sz w:val="18"/>
                <w:szCs w:val="18"/>
                <w:vertAlign w:val="superscript"/>
              </w:rPr>
            </w:pPr>
            <w:r w:rsidRPr="00325909">
              <w:rPr>
                <w:rFonts w:asciiTheme="minorHAnsi" w:hAnsiTheme="minorHAnsi" w:cstheme="minorHAnsi"/>
                <w:sz w:val="18"/>
                <w:szCs w:val="18"/>
              </w:rPr>
              <w:t>·        A recent press release highlighted APTC’s commitment to delivering training that leads graduates into improved employment outcomes, and also emphasised the coalition approach of APTC, working with govt, TVET providers, private sector, development partners and civil society.</w:t>
            </w:r>
            <w:r w:rsidRPr="00325909">
              <w:rPr>
                <w:rFonts w:asciiTheme="minorHAnsi" w:hAnsiTheme="minorHAnsi" w:cstheme="minorHAnsi"/>
                <w:sz w:val="18"/>
                <w:szCs w:val="18"/>
                <w:vertAlign w:val="superscript"/>
              </w:rPr>
              <w:footnoteReference w:id="63"/>
            </w:r>
            <w:r w:rsidRPr="00325909">
              <w:rPr>
                <w:rFonts w:asciiTheme="minorHAnsi" w:hAnsiTheme="minorHAnsi" w:cstheme="minorHAnsi"/>
                <w:sz w:val="18"/>
                <w:szCs w:val="18"/>
                <w:vertAlign w:val="superscript"/>
              </w:rPr>
              <w:t xml:space="preserve"> </w:t>
            </w:r>
          </w:p>
          <w:p w14:paraId="6360DD23" w14:textId="77777777" w:rsidR="00325909" w:rsidRPr="00325909" w:rsidRDefault="00325909" w:rsidP="00402898">
            <w:pPr>
              <w:tabs>
                <w:tab w:val="right" w:pos="1843"/>
              </w:tabs>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NUS continues to seek diverse avenues of funds including the Government of Samoa, NUS revenue from tuition and services and well as from their own reserves.</w:t>
            </w:r>
            <w:r w:rsidRPr="00325909">
              <w:rPr>
                <w:rFonts w:asciiTheme="minorHAnsi" w:hAnsiTheme="minorHAnsi" w:cstheme="minorHAnsi"/>
                <w:sz w:val="18"/>
                <w:szCs w:val="18"/>
                <w:vertAlign w:val="superscript"/>
              </w:rPr>
              <w:footnoteReference w:id="64"/>
            </w:r>
          </w:p>
          <w:p w14:paraId="16106335" w14:textId="77777777" w:rsidR="00325909" w:rsidRPr="00325909" w:rsidRDefault="00325909" w:rsidP="00402898">
            <w:pPr>
              <w:tabs>
                <w:tab w:val="right" w:pos="1843"/>
              </w:tabs>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xml:space="preserve">·     An evaluation of Australia’s Programme in Samoa’s TVET system was conducted in 2016. Among that report’s Principal Lessons: </w:t>
            </w:r>
          </w:p>
          <w:p w14:paraId="0DBA936A" w14:textId="77777777" w:rsidR="00325909" w:rsidRPr="00325909" w:rsidRDefault="00325909" w:rsidP="00325909">
            <w:pPr>
              <w:pStyle w:val="NormalWeb"/>
              <w:numPr>
                <w:ilvl w:val="0"/>
                <w:numId w:val="36"/>
              </w:numPr>
              <w:tabs>
                <w:tab w:val="right" w:pos="1843"/>
              </w:tabs>
              <w:spacing w:before="100" w:beforeAutospacing="1"/>
              <w:ind w:left="360"/>
              <w:rPr>
                <w:rFonts w:asciiTheme="minorHAnsi" w:hAnsiTheme="minorHAnsi" w:cstheme="minorHAnsi"/>
                <w:sz w:val="18"/>
                <w:szCs w:val="18"/>
              </w:rPr>
            </w:pPr>
            <w:r w:rsidRPr="00325909">
              <w:rPr>
                <w:rFonts w:asciiTheme="minorHAnsi" w:hAnsiTheme="minorHAnsi" w:cstheme="minorHAnsi"/>
                <w:sz w:val="18"/>
                <w:szCs w:val="18"/>
              </w:rPr>
              <w:t xml:space="preserve">It does not necessarily follow that the offer of incentive mechanisms will naturally lead to training provider buy-in to the national qualification system reforms being promoted by the SQA. There is evidence of a number of factors which cause resistance to change and slow the reform process. </w:t>
            </w:r>
          </w:p>
          <w:p w14:paraId="49B614F6" w14:textId="77777777" w:rsidR="00325909" w:rsidRPr="00325909" w:rsidRDefault="00325909" w:rsidP="00325909">
            <w:pPr>
              <w:pStyle w:val="NormalWeb"/>
              <w:numPr>
                <w:ilvl w:val="0"/>
                <w:numId w:val="36"/>
              </w:numPr>
              <w:tabs>
                <w:tab w:val="right" w:pos="1843"/>
              </w:tabs>
              <w:spacing w:before="100" w:beforeAutospacing="1"/>
              <w:ind w:left="360"/>
              <w:rPr>
                <w:rFonts w:asciiTheme="minorHAnsi" w:hAnsiTheme="minorHAnsi" w:cstheme="minorHAnsi"/>
                <w:sz w:val="18"/>
                <w:szCs w:val="18"/>
              </w:rPr>
            </w:pPr>
            <w:r w:rsidRPr="00325909">
              <w:rPr>
                <w:rFonts w:asciiTheme="minorHAnsi" w:hAnsiTheme="minorHAnsi" w:cstheme="minorHAnsi"/>
                <w:sz w:val="18"/>
                <w:szCs w:val="18"/>
              </w:rPr>
              <w:t xml:space="preserve">It does not necessarily follow that despite training providers having responded to the incentives on offer and accepted professional development and materials/consumables support will actually complete programme accreditation requirements. </w:t>
            </w:r>
          </w:p>
          <w:p w14:paraId="694EF7D5" w14:textId="77777777" w:rsidR="00325909" w:rsidRPr="00325909" w:rsidRDefault="00325909" w:rsidP="00325909">
            <w:pPr>
              <w:pStyle w:val="NormalWeb"/>
              <w:numPr>
                <w:ilvl w:val="0"/>
                <w:numId w:val="36"/>
              </w:numPr>
              <w:tabs>
                <w:tab w:val="right" w:pos="1843"/>
              </w:tabs>
              <w:spacing w:before="100" w:beforeAutospacing="1"/>
              <w:ind w:left="360"/>
              <w:rPr>
                <w:rFonts w:asciiTheme="minorHAnsi" w:hAnsiTheme="minorHAnsi" w:cstheme="minorHAnsi"/>
                <w:sz w:val="18"/>
                <w:szCs w:val="18"/>
              </w:rPr>
            </w:pPr>
            <w:r w:rsidRPr="00325909">
              <w:rPr>
                <w:rFonts w:asciiTheme="minorHAnsi" w:hAnsiTheme="minorHAnsi" w:cstheme="minorHAnsi"/>
                <w:sz w:val="18"/>
                <w:szCs w:val="18"/>
              </w:rPr>
              <w:t xml:space="preserve">Nevertheless, the incentive mechanisms offered through the TVET Programme in Stage 2 have produced results given the momentum that has now been established for programme accreditation. </w:t>
            </w:r>
          </w:p>
          <w:p w14:paraId="158697C0" w14:textId="77777777" w:rsidR="00325909" w:rsidRPr="00325909" w:rsidRDefault="00325909" w:rsidP="00325909">
            <w:pPr>
              <w:pStyle w:val="NormalWeb"/>
              <w:numPr>
                <w:ilvl w:val="0"/>
                <w:numId w:val="36"/>
              </w:numPr>
              <w:tabs>
                <w:tab w:val="right" w:pos="1843"/>
              </w:tabs>
              <w:spacing w:before="0" w:after="0" w:afterAutospacing="0"/>
              <w:ind w:left="360"/>
              <w:rPr>
                <w:rFonts w:asciiTheme="minorHAnsi" w:hAnsiTheme="minorHAnsi" w:cstheme="minorHAnsi"/>
                <w:sz w:val="18"/>
                <w:szCs w:val="18"/>
              </w:rPr>
            </w:pPr>
            <w:r w:rsidRPr="00325909">
              <w:rPr>
                <w:rFonts w:asciiTheme="minorHAnsi" w:hAnsiTheme="minorHAnsi" w:cstheme="minorHAnsi"/>
                <w:sz w:val="18"/>
                <w:szCs w:val="18"/>
              </w:rPr>
              <w:t>An extensive communications strategy needs to be developed and applied on a continual basis to engage key stakeholders both on the demand side (employers/productive sector agencies) and the supply side (training providers and their respective public or private governance authorities) to build a common understanding and a constituency for national system reform.</w:t>
            </w:r>
            <w:r w:rsidRPr="00325909">
              <w:rPr>
                <w:rStyle w:val="FootnoteReference"/>
                <w:rFonts w:asciiTheme="minorHAnsi" w:hAnsiTheme="minorHAnsi" w:cstheme="minorHAnsi"/>
                <w:sz w:val="18"/>
                <w:szCs w:val="18"/>
              </w:rPr>
              <w:footnoteReference w:id="65"/>
            </w:r>
          </w:p>
          <w:p w14:paraId="67784D68" w14:textId="77777777" w:rsidR="00325909" w:rsidRPr="00325909" w:rsidRDefault="00325909" w:rsidP="00402898">
            <w:pPr>
              <w:pStyle w:val="NormalWeb"/>
              <w:tabs>
                <w:tab w:val="right" w:pos="1843"/>
              </w:tabs>
              <w:rPr>
                <w:rFonts w:asciiTheme="minorHAnsi" w:hAnsiTheme="minorHAnsi" w:cstheme="minorHAnsi"/>
                <w:sz w:val="18"/>
                <w:szCs w:val="18"/>
              </w:rPr>
            </w:pPr>
          </w:p>
          <w:p w14:paraId="0D3E7284" w14:textId="77777777" w:rsidR="00325909" w:rsidRPr="00325909" w:rsidRDefault="00325909" w:rsidP="00402898">
            <w:pPr>
              <w:pStyle w:val="NormalWeb"/>
              <w:tabs>
                <w:tab w:val="right" w:pos="1843"/>
              </w:tabs>
              <w:rPr>
                <w:rFonts w:asciiTheme="minorHAnsi" w:hAnsiTheme="minorHAnsi" w:cstheme="minorHAnsi"/>
                <w:sz w:val="18"/>
                <w:szCs w:val="18"/>
              </w:rPr>
            </w:pPr>
            <w:r w:rsidRPr="00325909">
              <w:rPr>
                <w:rFonts w:asciiTheme="minorHAnsi" w:hAnsiTheme="minorHAnsi" w:cstheme="minorHAnsi"/>
                <w:sz w:val="18"/>
                <w:szCs w:val="18"/>
              </w:rPr>
              <w:t>APTC will conduct a labour market assessment for Samoa to determine employment needs that will better inform APTC’s training in Samoa in future.</w:t>
            </w:r>
            <w:r w:rsidRPr="00325909">
              <w:rPr>
                <w:rStyle w:val="FootnoteReference"/>
                <w:rFonts w:asciiTheme="minorHAnsi" w:hAnsiTheme="minorHAnsi" w:cstheme="minorHAnsi"/>
                <w:sz w:val="18"/>
                <w:szCs w:val="18"/>
              </w:rPr>
              <w:footnoteReference w:id="66"/>
            </w:r>
          </w:p>
        </w:tc>
      </w:tr>
      <w:tr w:rsidR="00325909" w:rsidRPr="00325909" w14:paraId="311FAC85" w14:textId="77777777" w:rsidTr="00402898">
        <w:tc>
          <w:tcPr>
            <w:tcW w:w="1745" w:type="dxa"/>
            <w:shd w:val="clear" w:color="auto" w:fill="auto"/>
            <w:tcMar>
              <w:top w:w="0" w:type="dxa"/>
              <w:left w:w="108" w:type="dxa"/>
              <w:bottom w:w="0" w:type="dxa"/>
              <w:right w:w="108" w:type="dxa"/>
            </w:tcMar>
          </w:tcPr>
          <w:p w14:paraId="5501AE48" w14:textId="77777777" w:rsidR="00325909" w:rsidRPr="00325909" w:rsidRDefault="00325909" w:rsidP="00402898">
            <w:pPr>
              <w:spacing w:before="100" w:beforeAutospacing="1" w:after="100" w:afterAutospacing="1"/>
              <w:rPr>
                <w:rFonts w:asciiTheme="minorHAnsi" w:hAnsiTheme="minorHAnsi" w:cstheme="minorHAnsi"/>
                <w:b/>
                <w:bCs/>
                <w:color w:val="000000" w:themeColor="text1"/>
                <w:sz w:val="18"/>
                <w:szCs w:val="18"/>
              </w:rPr>
            </w:pPr>
            <w:r w:rsidRPr="00325909">
              <w:rPr>
                <w:rFonts w:asciiTheme="minorHAnsi" w:hAnsiTheme="minorHAnsi" w:cstheme="minorHAnsi"/>
                <w:b/>
                <w:bCs/>
                <w:color w:val="000000" w:themeColor="text1"/>
                <w:sz w:val="18"/>
                <w:szCs w:val="18"/>
              </w:rPr>
              <w:t>Solomon Islands</w:t>
            </w:r>
          </w:p>
          <w:p w14:paraId="3C87D979" w14:textId="77777777" w:rsidR="00325909" w:rsidRPr="00325909" w:rsidRDefault="00325909" w:rsidP="00402898">
            <w:pPr>
              <w:spacing w:before="100" w:beforeAutospacing="1" w:after="100" w:afterAutospacing="1"/>
              <w:rPr>
                <w:rFonts w:asciiTheme="minorHAnsi" w:hAnsiTheme="minorHAnsi" w:cstheme="minorHAnsi"/>
                <w:b/>
                <w:bCs/>
                <w:color w:val="000000" w:themeColor="text1"/>
                <w:sz w:val="18"/>
                <w:szCs w:val="18"/>
              </w:rPr>
            </w:pPr>
          </w:p>
        </w:tc>
        <w:tc>
          <w:tcPr>
            <w:tcW w:w="3140" w:type="dxa"/>
            <w:shd w:val="clear" w:color="auto" w:fill="auto"/>
            <w:tcMar>
              <w:top w:w="0" w:type="dxa"/>
              <w:left w:w="108" w:type="dxa"/>
              <w:bottom w:w="0" w:type="dxa"/>
              <w:right w:w="108" w:type="dxa"/>
            </w:tcMar>
          </w:tcPr>
          <w:p w14:paraId="42AEBE37" w14:textId="77777777" w:rsidR="00325909" w:rsidRPr="00325909" w:rsidRDefault="00325909" w:rsidP="00402898">
            <w:pPr>
              <w:spacing w:before="100" w:beforeAutospacing="1" w:after="100" w:afterAutospacing="1"/>
              <w:ind w:firstLine="45"/>
              <w:rPr>
                <w:rFonts w:asciiTheme="minorHAnsi" w:hAnsiTheme="minorHAnsi" w:cstheme="minorHAnsi"/>
                <w:color w:val="000000" w:themeColor="text1"/>
                <w:sz w:val="18"/>
                <w:szCs w:val="18"/>
              </w:rPr>
            </w:pPr>
            <w:r w:rsidRPr="00325909">
              <w:rPr>
                <w:rFonts w:asciiTheme="minorHAnsi" w:hAnsiTheme="minorHAnsi" w:cstheme="minorHAnsi"/>
                <w:color w:val="000000" w:themeColor="text1"/>
                <w:sz w:val="18"/>
                <w:szCs w:val="18"/>
              </w:rPr>
              <w:t>TVET Course Providers:</w:t>
            </w:r>
            <w:r w:rsidRPr="00325909">
              <w:rPr>
                <w:rFonts w:asciiTheme="minorHAnsi" w:hAnsiTheme="minorHAnsi" w:cstheme="minorHAnsi"/>
                <w:color w:val="000000" w:themeColor="text1"/>
                <w:sz w:val="18"/>
                <w:szCs w:val="18"/>
              </w:rPr>
              <w:br/>
            </w:r>
            <w:r w:rsidRPr="00325909">
              <w:rPr>
                <w:rFonts w:asciiTheme="minorHAnsi" w:hAnsiTheme="minorHAnsi" w:cstheme="minorHAnsi"/>
                <w:sz w:val="18"/>
                <w:szCs w:val="18"/>
              </w:rPr>
              <w:t>·       </w:t>
            </w:r>
            <w:hyperlink r:id="rId35" w:history="1">
              <w:r w:rsidRPr="00325909">
                <w:rPr>
                  <w:rStyle w:val="Hyperlink"/>
                  <w:rFonts w:asciiTheme="minorHAnsi" w:hAnsiTheme="minorHAnsi" w:cstheme="minorHAnsi"/>
                  <w:sz w:val="18"/>
                  <w:szCs w:val="18"/>
                </w:rPr>
                <w:t>Solomon Islands National University</w:t>
              </w:r>
            </w:hyperlink>
            <w:r w:rsidRPr="00325909">
              <w:rPr>
                <w:rFonts w:asciiTheme="minorHAnsi" w:hAnsiTheme="minorHAnsi" w:cstheme="minorHAnsi"/>
                <w:sz w:val="18"/>
                <w:szCs w:val="18"/>
              </w:rPr>
              <w:br/>
              <w:t>·       Don Bosco Technical Institute</w:t>
            </w:r>
            <w:r w:rsidRPr="00325909">
              <w:rPr>
                <w:rFonts w:asciiTheme="minorHAnsi" w:hAnsiTheme="minorHAnsi" w:cstheme="minorHAnsi"/>
                <w:sz w:val="18"/>
                <w:szCs w:val="18"/>
              </w:rPr>
              <w:br/>
              <w:t>·       University of South Pacific campus</w:t>
            </w:r>
          </w:p>
          <w:p w14:paraId="44C413DB" w14:textId="77777777" w:rsidR="00325909" w:rsidRPr="00325909" w:rsidRDefault="00325909" w:rsidP="00402898">
            <w:pPr>
              <w:spacing w:before="100" w:beforeAutospacing="1" w:after="100" w:afterAutospacing="1"/>
              <w:ind w:left="360" w:hanging="360"/>
              <w:rPr>
                <w:rFonts w:asciiTheme="minorHAnsi" w:hAnsiTheme="minorHAnsi" w:cstheme="minorHAnsi"/>
                <w:color w:val="000000" w:themeColor="text1"/>
                <w:sz w:val="18"/>
                <w:szCs w:val="18"/>
              </w:rPr>
            </w:pPr>
            <w:r w:rsidRPr="00325909">
              <w:rPr>
                <w:rFonts w:asciiTheme="minorHAnsi" w:hAnsiTheme="minorHAnsi" w:cstheme="minorHAnsi"/>
                <w:color w:val="000000" w:themeColor="text1"/>
                <w:sz w:val="18"/>
                <w:szCs w:val="18"/>
              </w:rPr>
              <w:t xml:space="preserve">APTC has an agreement with Don Bosco Technical Institute </w:t>
            </w:r>
          </w:p>
          <w:p w14:paraId="313A842A" w14:textId="77777777" w:rsidR="00325909" w:rsidRPr="00325909" w:rsidRDefault="00325909" w:rsidP="00402898">
            <w:pPr>
              <w:spacing w:before="100" w:beforeAutospacing="1" w:after="100" w:afterAutospacing="1"/>
              <w:ind w:left="360" w:hanging="360"/>
              <w:rPr>
                <w:rFonts w:asciiTheme="minorHAnsi" w:hAnsiTheme="minorHAnsi" w:cstheme="minorHAnsi"/>
                <w:color w:val="000000" w:themeColor="text1"/>
                <w:sz w:val="18"/>
                <w:szCs w:val="18"/>
              </w:rPr>
            </w:pPr>
            <w:r w:rsidRPr="00325909">
              <w:rPr>
                <w:rFonts w:asciiTheme="minorHAnsi" w:hAnsiTheme="minorHAnsi" w:cstheme="minorHAnsi"/>
                <w:color w:val="000000" w:themeColor="text1"/>
                <w:sz w:val="18"/>
                <w:szCs w:val="18"/>
              </w:rPr>
              <w:t>There is now an APTC campus in the Solomon Islands</w:t>
            </w:r>
          </w:p>
          <w:p w14:paraId="2CECFD4D" w14:textId="77777777" w:rsidR="00325909" w:rsidRPr="00325909" w:rsidRDefault="00325909" w:rsidP="00402898">
            <w:pPr>
              <w:spacing w:before="100" w:beforeAutospacing="1" w:after="100" w:afterAutospacing="1"/>
              <w:ind w:hanging="20"/>
              <w:rPr>
                <w:rFonts w:asciiTheme="minorHAnsi" w:hAnsiTheme="minorHAnsi" w:cstheme="minorHAnsi"/>
                <w:color w:val="000000" w:themeColor="text1"/>
                <w:sz w:val="18"/>
                <w:szCs w:val="18"/>
              </w:rPr>
            </w:pPr>
            <w:r w:rsidRPr="00325909">
              <w:rPr>
                <w:rFonts w:asciiTheme="minorHAnsi" w:hAnsiTheme="minorHAnsi" w:cstheme="minorHAnsi"/>
                <w:color w:val="000000" w:themeColor="text1"/>
                <w:sz w:val="18"/>
                <w:szCs w:val="18"/>
              </w:rPr>
              <w:t>National Qualifications Authority:</w:t>
            </w:r>
            <w:r w:rsidRPr="00325909">
              <w:rPr>
                <w:rFonts w:asciiTheme="minorHAnsi" w:hAnsiTheme="minorHAnsi" w:cstheme="minorHAnsi"/>
                <w:color w:val="000000" w:themeColor="text1"/>
                <w:sz w:val="18"/>
                <w:szCs w:val="18"/>
              </w:rPr>
              <w:br/>
            </w:r>
            <w:r w:rsidRPr="00325909">
              <w:rPr>
                <w:rFonts w:asciiTheme="minorHAnsi" w:hAnsiTheme="minorHAnsi" w:cstheme="minorHAnsi"/>
                <w:sz w:val="18"/>
                <w:szCs w:val="18"/>
              </w:rPr>
              <w:t xml:space="preserve">·        </w:t>
            </w:r>
            <w:r w:rsidRPr="00325909">
              <w:rPr>
                <w:rFonts w:asciiTheme="minorHAnsi" w:hAnsiTheme="minorHAnsi" w:cstheme="minorHAnsi"/>
                <w:color w:val="000000" w:themeColor="text1"/>
                <w:sz w:val="18"/>
                <w:szCs w:val="18"/>
              </w:rPr>
              <w:t>MEHRD Ministry of Education &amp; Human Resources Development</w:t>
            </w:r>
            <w:r w:rsidRPr="00325909">
              <w:rPr>
                <w:rFonts w:asciiTheme="minorHAnsi" w:hAnsiTheme="minorHAnsi" w:cstheme="minorHAnsi"/>
                <w:color w:val="000000" w:themeColor="text1"/>
                <w:sz w:val="18"/>
                <w:szCs w:val="18"/>
              </w:rPr>
              <w:br/>
            </w:r>
            <w:r w:rsidRPr="00325909">
              <w:rPr>
                <w:rFonts w:asciiTheme="minorHAnsi" w:hAnsiTheme="minorHAnsi" w:cstheme="minorHAnsi"/>
                <w:sz w:val="18"/>
                <w:szCs w:val="18"/>
              </w:rPr>
              <w:t>·       </w:t>
            </w:r>
            <w:r w:rsidRPr="00325909">
              <w:rPr>
                <w:rFonts w:asciiTheme="minorHAnsi" w:hAnsiTheme="minorHAnsi" w:cstheme="minorHAnsi"/>
                <w:color w:val="000000" w:themeColor="text1"/>
                <w:sz w:val="18"/>
                <w:szCs w:val="18"/>
              </w:rPr>
              <w:t>Solomon Island Tertiary and Skills Authority</w:t>
            </w:r>
          </w:p>
          <w:p w14:paraId="1ABE35BD" w14:textId="77777777" w:rsidR="00325909" w:rsidRPr="00325909" w:rsidRDefault="00325909" w:rsidP="00402898">
            <w:pPr>
              <w:spacing w:before="100" w:beforeAutospacing="1" w:after="100" w:afterAutospacing="1"/>
              <w:ind w:left="360" w:hanging="360"/>
              <w:rPr>
                <w:rFonts w:asciiTheme="minorHAnsi" w:hAnsiTheme="minorHAnsi" w:cstheme="minorHAnsi"/>
                <w:color w:val="000000" w:themeColor="text1"/>
                <w:sz w:val="18"/>
                <w:szCs w:val="18"/>
              </w:rPr>
            </w:pPr>
          </w:p>
        </w:tc>
        <w:tc>
          <w:tcPr>
            <w:tcW w:w="3141" w:type="dxa"/>
            <w:shd w:val="clear" w:color="auto" w:fill="auto"/>
            <w:tcMar>
              <w:top w:w="0" w:type="dxa"/>
              <w:left w:w="108" w:type="dxa"/>
              <w:bottom w:w="0" w:type="dxa"/>
              <w:right w:w="108" w:type="dxa"/>
            </w:tcMar>
          </w:tcPr>
          <w:p w14:paraId="0E204112"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APTC has trained over 1500 Solomon Islanders since 2007.</w:t>
            </w:r>
            <w:r w:rsidRPr="00325909">
              <w:rPr>
                <w:rStyle w:val="FootnoteReference"/>
                <w:rFonts w:asciiTheme="minorHAnsi" w:hAnsiTheme="minorHAnsi" w:cstheme="minorHAnsi"/>
                <w:sz w:val="18"/>
                <w:szCs w:val="18"/>
              </w:rPr>
              <w:footnoteReference w:id="67"/>
            </w:r>
          </w:p>
          <w:p w14:paraId="066D05DE"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APTC graduates have qualifications in:</w:t>
            </w:r>
            <w:r w:rsidRPr="00325909">
              <w:rPr>
                <w:rFonts w:asciiTheme="minorHAnsi" w:hAnsiTheme="minorHAnsi" w:cstheme="minorHAnsi"/>
                <w:sz w:val="18"/>
                <w:szCs w:val="18"/>
              </w:rPr>
              <w:br/>
              <w:t>Air-Conditioning, Applied Fashion Design and Technology, Carpentry, Commercial Cookery, Electrotechnology, Fabrication Trade, Fitting and Machining, Diesel Fitting, Hospitality, Individual Support, Leadership and Management, Light Vehicle Mechanical Technology, Painting and Decorating, Tourism, and Wall and Floor Tiling.</w:t>
            </w:r>
          </w:p>
          <w:p w14:paraId="1F86BD36"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Course offerings at Don Bosco Technical Institute include:</w:t>
            </w:r>
            <w:r w:rsidRPr="00325909">
              <w:rPr>
                <w:rFonts w:asciiTheme="minorHAnsi" w:hAnsiTheme="minorHAnsi" w:cstheme="minorHAnsi"/>
                <w:sz w:val="18"/>
                <w:szCs w:val="18"/>
              </w:rPr>
              <w:br/>
              <w:t>·     Automotive Technology</w:t>
            </w:r>
            <w:r w:rsidRPr="00325909">
              <w:rPr>
                <w:rFonts w:asciiTheme="minorHAnsi" w:hAnsiTheme="minorHAnsi" w:cstheme="minorHAnsi"/>
                <w:sz w:val="18"/>
                <w:szCs w:val="18"/>
              </w:rPr>
              <w:br/>
              <w:t xml:space="preserve">·      Life Skill Training (Tourism, Hospitality, Clothing &amp; Textiles) </w:t>
            </w:r>
            <w:r w:rsidRPr="00325909">
              <w:rPr>
                <w:rFonts w:asciiTheme="minorHAnsi" w:hAnsiTheme="minorHAnsi" w:cstheme="minorHAnsi"/>
                <w:sz w:val="18"/>
                <w:szCs w:val="18"/>
              </w:rPr>
              <w:br/>
              <w:t xml:space="preserve">·       Carpentry Technology </w:t>
            </w:r>
            <w:r w:rsidRPr="00325909">
              <w:rPr>
                <w:rFonts w:asciiTheme="minorHAnsi" w:hAnsiTheme="minorHAnsi" w:cstheme="minorHAnsi"/>
                <w:sz w:val="18"/>
                <w:szCs w:val="18"/>
              </w:rPr>
              <w:br/>
              <w:t>·       Computer Technology</w:t>
            </w:r>
            <w:r w:rsidRPr="00325909">
              <w:rPr>
                <w:rFonts w:asciiTheme="minorHAnsi" w:hAnsiTheme="minorHAnsi" w:cstheme="minorHAnsi"/>
                <w:sz w:val="18"/>
                <w:szCs w:val="18"/>
              </w:rPr>
              <w:br/>
              <w:t>·       Electrical Technology</w:t>
            </w:r>
            <w:r w:rsidRPr="00325909">
              <w:rPr>
                <w:rFonts w:asciiTheme="minorHAnsi" w:hAnsiTheme="minorHAnsi" w:cstheme="minorHAnsi"/>
                <w:sz w:val="18"/>
                <w:szCs w:val="18"/>
              </w:rPr>
              <w:br/>
              <w:t>·        Machine Fitting and Maintenance (MFM) Training</w:t>
            </w:r>
          </w:p>
        </w:tc>
        <w:tc>
          <w:tcPr>
            <w:tcW w:w="3140" w:type="dxa"/>
            <w:shd w:val="clear" w:color="auto" w:fill="auto"/>
            <w:tcMar>
              <w:top w:w="0" w:type="dxa"/>
              <w:left w:w="108" w:type="dxa"/>
              <w:bottom w:w="0" w:type="dxa"/>
              <w:right w:w="108" w:type="dxa"/>
            </w:tcMar>
          </w:tcPr>
          <w:p w14:paraId="0F1596DD"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Since November 2018 Solomon Islands has been part of the PLS</w:t>
            </w:r>
          </w:p>
          <w:p w14:paraId="4A495262"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xml:space="preserve">·       Don Bosco Technical Institute website currently down so cannot see if it promotes linking graduates with the PLS, the Seasonal Worker Program or NZ equivalent </w:t>
            </w:r>
          </w:p>
          <w:p w14:paraId="79EA58FB"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APTC will create international track training to support Pacific labour mobility through engagement with the PLF, relevant government ministries in Solomon Islands, and other local and national TVET providers.</w:t>
            </w:r>
            <w:r w:rsidRPr="00325909">
              <w:rPr>
                <w:rStyle w:val="FootnoteReference"/>
                <w:rFonts w:asciiTheme="minorHAnsi" w:hAnsiTheme="minorHAnsi" w:cstheme="minorHAnsi"/>
                <w:sz w:val="18"/>
                <w:szCs w:val="18"/>
              </w:rPr>
              <w:footnoteReference w:id="68"/>
            </w:r>
          </w:p>
          <w:p w14:paraId="2E649E27"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p>
          <w:p w14:paraId="65141981"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p>
        </w:tc>
        <w:tc>
          <w:tcPr>
            <w:tcW w:w="3141" w:type="dxa"/>
            <w:shd w:val="clear" w:color="auto" w:fill="auto"/>
            <w:tcMar>
              <w:top w:w="0" w:type="dxa"/>
              <w:left w:w="108" w:type="dxa"/>
              <w:bottom w:w="0" w:type="dxa"/>
              <w:right w:w="108" w:type="dxa"/>
            </w:tcMar>
          </w:tcPr>
          <w:p w14:paraId="4F2353D0"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APTC press release about graduates in 2019 highlights continuity rather than change in APTC3: “APTC is now in its third stage and will continue to deliver high quality, internationally recognised training to improve graduates’ employment outcomes, support greater investment in skills training, and promote higher quality TVET delivery across the Pacific.”</w:t>
            </w:r>
            <w:r w:rsidRPr="00325909">
              <w:rPr>
                <w:rStyle w:val="FootnoteReference"/>
                <w:rFonts w:asciiTheme="minorHAnsi" w:hAnsiTheme="minorHAnsi" w:cstheme="minorHAnsi"/>
                <w:sz w:val="18"/>
                <w:szCs w:val="18"/>
              </w:rPr>
              <w:footnoteReference w:id="69"/>
            </w:r>
          </w:p>
          <w:p w14:paraId="19532643"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APTC will deliver one program in Semester 1 2019 with additional courses to be delivered on a fee-for-service basis. Expected to produce 106 graduates from Solomon Islands delivery in Semester 1 and 122 in Semester 2.</w:t>
            </w:r>
            <w:r w:rsidRPr="00325909">
              <w:rPr>
                <w:rStyle w:val="FootnoteReference"/>
                <w:rFonts w:asciiTheme="minorHAnsi" w:hAnsiTheme="minorHAnsi" w:cstheme="minorHAnsi"/>
                <w:sz w:val="18"/>
                <w:szCs w:val="18"/>
              </w:rPr>
              <w:footnoteReference w:id="70"/>
            </w:r>
            <w:r w:rsidRPr="00325909">
              <w:rPr>
                <w:rFonts w:asciiTheme="minorHAnsi" w:hAnsiTheme="minorHAnsi" w:cstheme="minorHAnsi"/>
                <w:sz w:val="18"/>
                <w:szCs w:val="18"/>
              </w:rPr>
              <w:t xml:space="preserve"> </w:t>
            </w:r>
          </w:p>
          <w:p w14:paraId="25EF87B2"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The country office for Solomon Islands will work with partners including SINU and Don Bosco to review the training profile to identify opportunities for collaboration and ensure offerings are responsive to workforce development and labour market needs.</w:t>
            </w:r>
            <w:r w:rsidRPr="00325909">
              <w:rPr>
                <w:rStyle w:val="FootnoteReference"/>
                <w:rFonts w:asciiTheme="minorHAnsi" w:hAnsiTheme="minorHAnsi" w:cstheme="minorHAnsi"/>
                <w:sz w:val="18"/>
                <w:szCs w:val="18"/>
              </w:rPr>
              <w:footnoteReference w:id="71"/>
            </w:r>
          </w:p>
          <w:p w14:paraId="713589B5"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APTC is in conversations with SINU to establish a partnership.</w:t>
            </w:r>
            <w:r w:rsidRPr="00325909">
              <w:rPr>
                <w:rStyle w:val="FootnoteReference"/>
                <w:rFonts w:asciiTheme="minorHAnsi" w:hAnsiTheme="minorHAnsi" w:cstheme="minorHAnsi"/>
                <w:sz w:val="18"/>
                <w:szCs w:val="18"/>
              </w:rPr>
              <w:footnoteReference w:id="72"/>
            </w:r>
          </w:p>
          <w:p w14:paraId="2DF0E0FD"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APTC intends to work towards a partnership with Don Bosco.</w:t>
            </w:r>
            <w:r w:rsidRPr="00325909">
              <w:rPr>
                <w:rStyle w:val="FootnoteReference"/>
                <w:rFonts w:asciiTheme="minorHAnsi" w:hAnsiTheme="minorHAnsi" w:cstheme="minorHAnsi"/>
                <w:sz w:val="18"/>
                <w:szCs w:val="18"/>
              </w:rPr>
              <w:footnoteReference w:id="73"/>
            </w:r>
          </w:p>
          <w:p w14:paraId="0CF403AF"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APTC plans to increase alumni engagement.</w:t>
            </w:r>
            <w:r w:rsidRPr="00325909">
              <w:rPr>
                <w:rStyle w:val="FootnoteReference"/>
                <w:rFonts w:asciiTheme="minorHAnsi" w:hAnsiTheme="minorHAnsi" w:cstheme="minorHAnsi"/>
                <w:sz w:val="18"/>
                <w:szCs w:val="18"/>
              </w:rPr>
              <w:footnoteReference w:id="74"/>
            </w:r>
          </w:p>
          <w:p w14:paraId="083E05C7"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APTC to conduct labour market assessment for Solomon Islands to determine employment needs that will better inform APTC’s training profiles.</w:t>
            </w:r>
            <w:r w:rsidRPr="00325909">
              <w:rPr>
                <w:rStyle w:val="FootnoteReference"/>
                <w:rFonts w:asciiTheme="minorHAnsi" w:hAnsiTheme="minorHAnsi" w:cstheme="minorHAnsi"/>
                <w:sz w:val="18"/>
                <w:szCs w:val="18"/>
              </w:rPr>
              <w:footnoteReference w:id="75"/>
            </w:r>
          </w:p>
          <w:p w14:paraId="4E70556B"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TVET System Strengthening Platform to be established in 2019.</w:t>
            </w:r>
            <w:r w:rsidRPr="00325909">
              <w:rPr>
                <w:rStyle w:val="FootnoteReference"/>
                <w:rFonts w:asciiTheme="minorHAnsi" w:hAnsiTheme="minorHAnsi" w:cstheme="minorHAnsi"/>
                <w:sz w:val="18"/>
                <w:szCs w:val="18"/>
              </w:rPr>
              <w:footnoteReference w:id="76"/>
            </w:r>
          </w:p>
          <w:p w14:paraId="4689D791"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No further details publicly available about APTC3</w:t>
            </w:r>
          </w:p>
        </w:tc>
      </w:tr>
      <w:tr w:rsidR="00325909" w:rsidRPr="00325909" w14:paraId="2092A250" w14:textId="77777777" w:rsidTr="00402898">
        <w:tc>
          <w:tcPr>
            <w:tcW w:w="1745" w:type="dxa"/>
            <w:shd w:val="clear" w:color="auto" w:fill="auto"/>
            <w:tcMar>
              <w:top w:w="0" w:type="dxa"/>
              <w:left w:w="108" w:type="dxa"/>
              <w:bottom w:w="0" w:type="dxa"/>
              <w:right w:w="108" w:type="dxa"/>
            </w:tcMar>
            <w:hideMark/>
          </w:tcPr>
          <w:p w14:paraId="272A31CD" w14:textId="77777777" w:rsidR="00325909" w:rsidRPr="00325909" w:rsidRDefault="00325909" w:rsidP="00402898">
            <w:pPr>
              <w:spacing w:before="100" w:beforeAutospacing="1" w:after="100" w:afterAutospacing="1"/>
              <w:rPr>
                <w:rFonts w:asciiTheme="minorHAnsi" w:hAnsiTheme="minorHAnsi" w:cstheme="minorHAnsi"/>
                <w:color w:val="000000" w:themeColor="text1"/>
                <w:sz w:val="18"/>
                <w:szCs w:val="18"/>
              </w:rPr>
            </w:pPr>
            <w:r w:rsidRPr="00325909">
              <w:rPr>
                <w:rFonts w:asciiTheme="minorHAnsi" w:hAnsiTheme="minorHAnsi" w:cstheme="minorHAnsi"/>
                <w:b/>
                <w:bCs/>
                <w:color w:val="000000" w:themeColor="text1"/>
                <w:sz w:val="18"/>
                <w:szCs w:val="18"/>
              </w:rPr>
              <w:t>Tonga</w:t>
            </w:r>
          </w:p>
        </w:tc>
        <w:tc>
          <w:tcPr>
            <w:tcW w:w="3140" w:type="dxa"/>
            <w:shd w:val="clear" w:color="auto" w:fill="auto"/>
            <w:tcMar>
              <w:top w:w="0" w:type="dxa"/>
              <w:left w:w="108" w:type="dxa"/>
              <w:bottom w:w="0" w:type="dxa"/>
              <w:right w:w="108" w:type="dxa"/>
            </w:tcMar>
            <w:hideMark/>
          </w:tcPr>
          <w:p w14:paraId="18C543E4" w14:textId="77777777" w:rsidR="00325909" w:rsidRPr="00325909" w:rsidRDefault="00325909" w:rsidP="00402898">
            <w:pPr>
              <w:spacing w:before="100" w:beforeAutospacing="1" w:after="100" w:afterAutospacing="1"/>
              <w:rPr>
                <w:rFonts w:asciiTheme="minorHAnsi" w:hAnsiTheme="minorHAnsi" w:cstheme="minorHAnsi"/>
                <w:sz w:val="18"/>
                <w:szCs w:val="18"/>
              </w:rPr>
            </w:pPr>
            <w:r w:rsidRPr="00325909">
              <w:rPr>
                <w:rFonts w:asciiTheme="minorHAnsi" w:hAnsiTheme="minorHAnsi" w:cstheme="minorHAnsi"/>
                <w:color w:val="000000" w:themeColor="text1"/>
                <w:sz w:val="18"/>
                <w:szCs w:val="18"/>
              </w:rPr>
              <w:t>TVET providers in Tonga:</w:t>
            </w:r>
            <w:r w:rsidRPr="00325909">
              <w:rPr>
                <w:rFonts w:asciiTheme="minorHAnsi" w:hAnsiTheme="minorHAnsi" w:cstheme="minorHAnsi"/>
                <w:color w:val="000000" w:themeColor="text1"/>
                <w:sz w:val="18"/>
                <w:szCs w:val="18"/>
              </w:rPr>
              <w:br/>
            </w:r>
            <w:r w:rsidRPr="00325909">
              <w:rPr>
                <w:rFonts w:asciiTheme="minorHAnsi" w:hAnsiTheme="minorHAnsi" w:cstheme="minorHAnsi"/>
                <w:sz w:val="18"/>
                <w:szCs w:val="18"/>
              </w:rPr>
              <w:t xml:space="preserve">·        </w:t>
            </w:r>
            <w:hyperlink r:id="rId36" w:history="1">
              <w:r w:rsidRPr="00325909">
                <w:rPr>
                  <w:rStyle w:val="Hyperlink"/>
                  <w:rFonts w:asciiTheme="minorHAnsi" w:hAnsiTheme="minorHAnsi" w:cstheme="minorHAnsi"/>
                  <w:sz w:val="18"/>
                  <w:szCs w:val="18"/>
                </w:rPr>
                <w:t>Tonga Institute of Higher Education</w:t>
              </w:r>
            </w:hyperlink>
            <w:r w:rsidRPr="00325909">
              <w:rPr>
                <w:rFonts w:asciiTheme="minorHAnsi" w:hAnsiTheme="minorHAnsi" w:cstheme="minorHAnsi"/>
                <w:sz w:val="18"/>
                <w:szCs w:val="18"/>
              </w:rPr>
              <w:br/>
              <w:t>·     </w:t>
            </w:r>
            <w:hyperlink r:id="rId37" w:history="1">
              <w:r w:rsidRPr="00325909">
                <w:rPr>
                  <w:rStyle w:val="Hyperlink"/>
                  <w:rFonts w:asciiTheme="minorHAnsi" w:hAnsiTheme="minorHAnsi" w:cstheme="minorHAnsi"/>
                  <w:sz w:val="18"/>
                  <w:szCs w:val="18"/>
                </w:rPr>
                <w:t>Tonga Institute of Science and Technology</w:t>
              </w:r>
            </w:hyperlink>
            <w:r w:rsidRPr="00325909">
              <w:rPr>
                <w:rFonts w:asciiTheme="minorHAnsi" w:hAnsiTheme="minorHAnsi" w:cstheme="minorHAnsi"/>
                <w:sz w:val="18"/>
                <w:szCs w:val="18"/>
              </w:rPr>
              <w:br/>
              <w:t xml:space="preserve">·        </w:t>
            </w:r>
            <w:hyperlink r:id="rId38" w:history="1">
              <w:r w:rsidRPr="00325909">
                <w:rPr>
                  <w:rStyle w:val="Hyperlink"/>
                  <w:rFonts w:asciiTheme="minorHAnsi" w:hAnsiTheme="minorHAnsi" w:cstheme="minorHAnsi"/>
                  <w:sz w:val="18"/>
                  <w:szCs w:val="18"/>
                </w:rPr>
                <w:t>University of the South Pacific Tonga Campus</w:t>
              </w:r>
            </w:hyperlink>
            <w:r w:rsidRPr="00325909">
              <w:rPr>
                <w:rFonts w:asciiTheme="minorHAnsi" w:hAnsiTheme="minorHAnsi" w:cstheme="minorHAnsi"/>
                <w:sz w:val="18"/>
                <w:szCs w:val="18"/>
              </w:rPr>
              <w:br/>
              <w:t xml:space="preserve">·        </w:t>
            </w:r>
            <w:hyperlink r:id="rId39" w:history="1">
              <w:r w:rsidRPr="00325909">
                <w:rPr>
                  <w:rStyle w:val="Hyperlink"/>
                  <w:rFonts w:asciiTheme="minorHAnsi" w:hAnsiTheme="minorHAnsi" w:cstheme="minorHAnsi"/>
                  <w:sz w:val="18"/>
                  <w:szCs w:val="18"/>
                </w:rPr>
                <w:t>Tupou Tertiary Institute</w:t>
              </w:r>
            </w:hyperlink>
            <w:r w:rsidRPr="00325909">
              <w:rPr>
                <w:rFonts w:asciiTheme="minorHAnsi" w:hAnsiTheme="minorHAnsi" w:cstheme="minorHAnsi"/>
                <w:sz w:val="18"/>
                <w:szCs w:val="18"/>
              </w:rPr>
              <w:br/>
              <w:t>·        ‘Ahopanilolo Technical College</w:t>
            </w:r>
            <w:r w:rsidRPr="00325909">
              <w:rPr>
                <w:rFonts w:asciiTheme="minorHAnsi" w:hAnsiTheme="minorHAnsi" w:cstheme="minorHAnsi"/>
                <w:sz w:val="18"/>
                <w:szCs w:val="18"/>
              </w:rPr>
              <w:br/>
              <w:t xml:space="preserve">·        Hango Agricultural College </w:t>
            </w:r>
            <w:r w:rsidRPr="00325909">
              <w:rPr>
                <w:rFonts w:asciiTheme="minorHAnsi" w:hAnsiTheme="minorHAnsi" w:cstheme="minorHAnsi"/>
                <w:sz w:val="18"/>
                <w:szCs w:val="18"/>
              </w:rPr>
              <w:br/>
              <w:t>·        St Joseph’s Business College</w:t>
            </w:r>
            <w:r w:rsidRPr="00325909">
              <w:rPr>
                <w:rFonts w:asciiTheme="minorHAnsi" w:hAnsiTheme="minorHAnsi" w:cstheme="minorHAnsi"/>
                <w:sz w:val="18"/>
                <w:szCs w:val="18"/>
              </w:rPr>
              <w:br/>
              <w:t xml:space="preserve">·        Montfort Technical Institute </w:t>
            </w:r>
          </w:p>
          <w:p w14:paraId="62CA4111" w14:textId="77777777" w:rsidR="00325909" w:rsidRPr="00325909" w:rsidRDefault="00325909" w:rsidP="00402898">
            <w:pPr>
              <w:spacing w:before="100" w:beforeAutospacing="1" w:after="100" w:afterAutospacing="1"/>
              <w:rPr>
                <w:rFonts w:asciiTheme="minorHAnsi" w:hAnsiTheme="minorHAnsi" w:cstheme="minorHAnsi"/>
                <w:color w:val="000000" w:themeColor="text1"/>
                <w:sz w:val="18"/>
                <w:szCs w:val="18"/>
              </w:rPr>
            </w:pPr>
            <w:r w:rsidRPr="00325909">
              <w:rPr>
                <w:rFonts w:asciiTheme="minorHAnsi" w:hAnsiTheme="minorHAnsi" w:cstheme="minorHAnsi"/>
                <w:sz w:val="18"/>
                <w:szCs w:val="18"/>
              </w:rPr>
              <w:t>A</w:t>
            </w:r>
            <w:r w:rsidRPr="00325909">
              <w:rPr>
                <w:rFonts w:asciiTheme="minorHAnsi" w:hAnsiTheme="minorHAnsi" w:cstheme="minorHAnsi"/>
                <w:color w:val="000000" w:themeColor="text1"/>
                <w:sz w:val="18"/>
                <w:szCs w:val="18"/>
              </w:rPr>
              <w:t>PTC has an agreement with Tonga Skills for Inclusive Growth (TS4IG) Bilateral Program, an Australian Government Investment.</w:t>
            </w:r>
          </w:p>
          <w:p w14:paraId="042F0EB5" w14:textId="77777777" w:rsidR="00325909" w:rsidRPr="00325909" w:rsidRDefault="00325909" w:rsidP="00402898">
            <w:pPr>
              <w:rPr>
                <w:rFonts w:asciiTheme="minorHAnsi" w:hAnsiTheme="minorHAnsi" w:cstheme="minorHAnsi"/>
                <w:sz w:val="18"/>
                <w:szCs w:val="18"/>
              </w:rPr>
            </w:pPr>
            <w:r w:rsidRPr="00325909">
              <w:rPr>
                <w:rFonts w:asciiTheme="minorHAnsi" w:hAnsiTheme="minorHAnsi" w:cstheme="minorHAnsi"/>
                <w:color w:val="000000" w:themeColor="text1"/>
                <w:sz w:val="18"/>
                <w:szCs w:val="18"/>
              </w:rPr>
              <w:t>National Qualifications Authority:</w:t>
            </w:r>
            <w:r w:rsidRPr="00325909">
              <w:rPr>
                <w:rFonts w:asciiTheme="minorHAnsi" w:hAnsiTheme="minorHAnsi" w:cstheme="minorHAnsi"/>
                <w:color w:val="000000" w:themeColor="text1"/>
                <w:sz w:val="18"/>
                <w:szCs w:val="18"/>
              </w:rPr>
              <w:br/>
            </w:r>
            <w:r w:rsidRPr="00325909">
              <w:rPr>
                <w:rFonts w:asciiTheme="minorHAnsi" w:hAnsiTheme="minorHAnsi" w:cstheme="minorHAnsi"/>
                <w:sz w:val="18"/>
                <w:szCs w:val="18"/>
              </w:rPr>
              <w:t xml:space="preserve">·     Tonga National Qualifications and Accreditation Board </w:t>
            </w:r>
          </w:p>
          <w:p w14:paraId="1C53EDF4" w14:textId="77777777" w:rsidR="00325909" w:rsidRPr="00325909" w:rsidRDefault="00325909" w:rsidP="00402898">
            <w:pPr>
              <w:rPr>
                <w:rFonts w:asciiTheme="minorHAnsi" w:hAnsiTheme="minorHAnsi" w:cstheme="minorHAnsi"/>
                <w:sz w:val="18"/>
                <w:szCs w:val="18"/>
              </w:rPr>
            </w:pPr>
          </w:p>
          <w:p w14:paraId="5ADC65F5" w14:textId="77777777" w:rsidR="00325909" w:rsidRPr="00325909" w:rsidRDefault="00325909" w:rsidP="00402898">
            <w:pPr>
              <w:rPr>
                <w:rFonts w:asciiTheme="minorHAnsi" w:hAnsiTheme="minorHAnsi" w:cstheme="minorHAnsi"/>
                <w:sz w:val="18"/>
                <w:szCs w:val="18"/>
              </w:rPr>
            </w:pPr>
            <w:r w:rsidRPr="00325909">
              <w:rPr>
                <w:rFonts w:asciiTheme="minorHAnsi" w:hAnsiTheme="minorHAnsi" w:cstheme="minorHAnsi"/>
                <w:sz w:val="18"/>
                <w:szCs w:val="18"/>
              </w:rPr>
              <w:t>There is no APTC campus in Tonga. With donor support, Tongans have studied at APTC campuses in Fiji and Samoa.</w:t>
            </w:r>
          </w:p>
          <w:p w14:paraId="54404A4F" w14:textId="77777777" w:rsidR="00325909" w:rsidRPr="00325909" w:rsidRDefault="00325909" w:rsidP="00402898">
            <w:pPr>
              <w:spacing w:before="100" w:beforeAutospacing="1" w:after="100" w:afterAutospacing="1"/>
              <w:rPr>
                <w:rFonts w:asciiTheme="minorHAnsi" w:hAnsiTheme="minorHAnsi" w:cstheme="minorHAnsi"/>
                <w:color w:val="000000" w:themeColor="text1"/>
                <w:sz w:val="18"/>
                <w:szCs w:val="18"/>
              </w:rPr>
            </w:pPr>
          </w:p>
          <w:p w14:paraId="416F9E87" w14:textId="77777777" w:rsidR="00325909" w:rsidRPr="00325909" w:rsidRDefault="00325909" w:rsidP="00402898">
            <w:pPr>
              <w:spacing w:before="100" w:beforeAutospacing="1" w:after="100" w:afterAutospacing="1"/>
              <w:rPr>
                <w:rFonts w:asciiTheme="minorHAnsi" w:hAnsiTheme="minorHAnsi" w:cstheme="minorHAnsi"/>
                <w:color w:val="000000" w:themeColor="text1"/>
                <w:sz w:val="18"/>
                <w:szCs w:val="18"/>
              </w:rPr>
            </w:pPr>
          </w:p>
        </w:tc>
        <w:tc>
          <w:tcPr>
            <w:tcW w:w="3141" w:type="dxa"/>
            <w:shd w:val="clear" w:color="auto" w:fill="auto"/>
            <w:tcMar>
              <w:top w:w="0" w:type="dxa"/>
              <w:left w:w="108" w:type="dxa"/>
              <w:bottom w:w="0" w:type="dxa"/>
              <w:right w:w="108" w:type="dxa"/>
            </w:tcMar>
            <w:hideMark/>
          </w:tcPr>
          <w:p w14:paraId="7221751C" w14:textId="77777777" w:rsidR="00325909" w:rsidRPr="00325909" w:rsidRDefault="00325909" w:rsidP="00402898">
            <w:pPr>
              <w:spacing w:before="100" w:beforeAutospacing="1" w:after="100" w:afterAutospacing="1"/>
              <w:rPr>
                <w:rFonts w:asciiTheme="minorHAnsi" w:hAnsiTheme="minorHAnsi" w:cstheme="minorHAnsi"/>
                <w:sz w:val="18"/>
                <w:szCs w:val="18"/>
              </w:rPr>
            </w:pPr>
            <w:r w:rsidRPr="00325909">
              <w:rPr>
                <w:rFonts w:asciiTheme="minorHAnsi" w:hAnsiTheme="minorHAnsi" w:cstheme="minorHAnsi"/>
                <w:sz w:val="18"/>
                <w:szCs w:val="18"/>
              </w:rPr>
              <w:t> ·     APTC has helped over 450 Tongans gain Australian qualifications since 2007</w:t>
            </w:r>
            <w:r w:rsidRPr="00325909">
              <w:rPr>
                <w:rStyle w:val="FootnoteReference"/>
                <w:rFonts w:asciiTheme="minorHAnsi" w:hAnsiTheme="minorHAnsi" w:cstheme="minorHAnsi"/>
                <w:sz w:val="18"/>
                <w:szCs w:val="18"/>
              </w:rPr>
              <w:footnoteReference w:id="77"/>
            </w:r>
          </w:p>
          <w:p w14:paraId="0896ABBC" w14:textId="77777777" w:rsidR="00325909" w:rsidRPr="00325909" w:rsidRDefault="00325909" w:rsidP="00402898">
            <w:pPr>
              <w:spacing w:before="100" w:beforeAutospacing="1" w:after="100" w:afterAutospacing="1"/>
              <w:rPr>
                <w:rFonts w:asciiTheme="minorHAnsi" w:hAnsiTheme="minorHAnsi" w:cstheme="minorHAnsi"/>
                <w:sz w:val="18"/>
                <w:szCs w:val="18"/>
              </w:rPr>
            </w:pPr>
            <w:r w:rsidRPr="00325909">
              <w:rPr>
                <w:rFonts w:asciiTheme="minorHAnsi" w:hAnsiTheme="minorHAnsi" w:cstheme="minorHAnsi"/>
                <w:sz w:val="18"/>
                <w:szCs w:val="18"/>
              </w:rPr>
              <w:t>Course offerings by ATPC in Tonga include: fabrication trade, Painting and decorating, Leadership and Management, International Skills Training, and Management.</w:t>
            </w:r>
          </w:p>
          <w:p w14:paraId="174708D1" w14:textId="77777777" w:rsidR="00325909" w:rsidRPr="00325909" w:rsidRDefault="00325909" w:rsidP="00402898">
            <w:pPr>
              <w:spacing w:before="100" w:beforeAutospacing="1" w:after="100" w:afterAutospacing="1"/>
              <w:rPr>
                <w:rFonts w:asciiTheme="minorHAnsi" w:hAnsiTheme="minorHAnsi" w:cstheme="minorHAnsi"/>
                <w:sz w:val="18"/>
                <w:szCs w:val="18"/>
              </w:rPr>
            </w:pPr>
            <w:r w:rsidRPr="00325909">
              <w:rPr>
                <w:rFonts w:asciiTheme="minorHAnsi" w:hAnsiTheme="minorHAnsi" w:cstheme="minorHAnsi"/>
                <w:sz w:val="18"/>
                <w:szCs w:val="18"/>
              </w:rPr>
              <w:t>Tonga Institute of Higher Education courses include: mathematics, information technology, accounting, agriculture, media and journalism, tourism and hospitality</w:t>
            </w:r>
          </w:p>
          <w:p w14:paraId="1B29F246" w14:textId="77777777" w:rsidR="00325909" w:rsidRPr="00325909" w:rsidRDefault="00325909" w:rsidP="00402898">
            <w:pPr>
              <w:spacing w:before="100" w:beforeAutospacing="1" w:after="100" w:afterAutospacing="1"/>
              <w:rPr>
                <w:rFonts w:asciiTheme="minorHAnsi" w:hAnsiTheme="minorHAnsi" w:cstheme="minorHAnsi"/>
                <w:sz w:val="18"/>
                <w:szCs w:val="18"/>
              </w:rPr>
            </w:pPr>
            <w:r w:rsidRPr="00325909">
              <w:rPr>
                <w:rFonts w:asciiTheme="minorHAnsi" w:hAnsiTheme="minorHAnsi" w:cstheme="minorHAnsi"/>
                <w:sz w:val="18"/>
                <w:szCs w:val="18"/>
              </w:rPr>
              <w:t>Tonga Institute of Science and Technology courses include: carpentry, electrical, automotive, fitting and machining, and panel beating.</w:t>
            </w:r>
            <w:r w:rsidRPr="00325909">
              <w:rPr>
                <w:rFonts w:asciiTheme="minorHAnsi" w:hAnsiTheme="minorHAnsi" w:cstheme="minorHAnsi"/>
                <w:sz w:val="18"/>
                <w:szCs w:val="18"/>
              </w:rPr>
              <w:tab/>
            </w:r>
          </w:p>
          <w:p w14:paraId="334031AF" w14:textId="77777777" w:rsidR="00325909" w:rsidRPr="00325909" w:rsidRDefault="00325909" w:rsidP="00402898">
            <w:pPr>
              <w:spacing w:before="100" w:beforeAutospacing="1" w:after="100" w:afterAutospacing="1"/>
              <w:rPr>
                <w:rFonts w:asciiTheme="minorHAnsi" w:hAnsiTheme="minorHAnsi" w:cstheme="minorHAnsi"/>
                <w:sz w:val="18"/>
                <w:szCs w:val="18"/>
              </w:rPr>
            </w:pPr>
            <w:r w:rsidRPr="00325909">
              <w:rPr>
                <w:rFonts w:asciiTheme="minorHAnsi" w:hAnsiTheme="minorHAnsi" w:cstheme="minorHAnsi"/>
                <w:sz w:val="18"/>
                <w:szCs w:val="18"/>
              </w:rPr>
              <w:t>Tupou Tertiary Institute courses include: IT, architecture, business, counselling, youth services, nursing</w:t>
            </w:r>
          </w:p>
          <w:p w14:paraId="40BEE0A3" w14:textId="77777777" w:rsidR="00325909" w:rsidRPr="00325909" w:rsidRDefault="00325909" w:rsidP="00402898">
            <w:pPr>
              <w:spacing w:before="100" w:beforeAutospacing="1" w:after="100" w:afterAutospacing="1"/>
              <w:rPr>
                <w:rFonts w:asciiTheme="minorHAnsi" w:hAnsiTheme="minorHAnsi" w:cstheme="minorHAnsi"/>
                <w:sz w:val="18"/>
                <w:szCs w:val="18"/>
              </w:rPr>
            </w:pPr>
            <w:r w:rsidRPr="00325909">
              <w:rPr>
                <w:rFonts w:asciiTheme="minorHAnsi" w:hAnsiTheme="minorHAnsi" w:cstheme="minorHAnsi"/>
                <w:sz w:val="18"/>
                <w:szCs w:val="18"/>
              </w:rPr>
              <w:t>Courses in Tonga Skills for Inclusive Growth include: agriculture, tourism, handicraft manufacturing, plumbing, business, social media, marketing, disability support.</w:t>
            </w:r>
            <w:r w:rsidRPr="00325909">
              <w:rPr>
                <w:rStyle w:val="FootnoteReference"/>
                <w:rFonts w:asciiTheme="minorHAnsi" w:hAnsiTheme="minorHAnsi" w:cstheme="minorHAnsi"/>
                <w:sz w:val="18"/>
                <w:szCs w:val="18"/>
              </w:rPr>
              <w:footnoteReference w:id="78"/>
            </w:r>
            <w:r w:rsidRPr="00325909">
              <w:rPr>
                <w:rFonts w:asciiTheme="minorHAnsi" w:hAnsiTheme="minorHAnsi" w:cstheme="minorHAnsi"/>
                <w:sz w:val="18"/>
                <w:szCs w:val="18"/>
              </w:rPr>
              <w:t xml:space="preserve"> Trainees in Tonga Skills for Inclusive Growth:</w:t>
            </w:r>
            <w:r w:rsidRPr="00325909">
              <w:rPr>
                <w:rFonts w:asciiTheme="minorHAnsi" w:hAnsiTheme="minorHAnsi" w:cstheme="minorHAnsi"/>
                <w:sz w:val="18"/>
                <w:szCs w:val="18"/>
              </w:rPr>
              <w:br/>
              <w:t>·     53% female and 47% male.</w:t>
            </w:r>
            <w:r w:rsidRPr="00325909">
              <w:rPr>
                <w:rStyle w:val="FootnoteReference"/>
                <w:rFonts w:asciiTheme="minorHAnsi" w:hAnsiTheme="minorHAnsi" w:cstheme="minorHAnsi"/>
                <w:sz w:val="18"/>
                <w:szCs w:val="18"/>
              </w:rPr>
              <w:footnoteReference w:id="79"/>
            </w:r>
          </w:p>
          <w:p w14:paraId="75BCB3CA" w14:textId="77777777" w:rsidR="00325909" w:rsidRPr="00325909" w:rsidRDefault="00325909" w:rsidP="00402898">
            <w:pPr>
              <w:spacing w:before="100" w:beforeAutospacing="1" w:after="100" w:afterAutospacing="1"/>
              <w:rPr>
                <w:rFonts w:asciiTheme="minorHAnsi" w:hAnsiTheme="minorHAnsi" w:cstheme="minorHAnsi"/>
                <w:sz w:val="18"/>
                <w:szCs w:val="18"/>
              </w:rPr>
            </w:pPr>
            <w:r w:rsidRPr="00325909">
              <w:rPr>
                <w:rFonts w:asciiTheme="minorHAnsi" w:hAnsiTheme="minorHAnsi" w:cstheme="minorHAnsi"/>
                <w:sz w:val="18"/>
                <w:szCs w:val="18"/>
              </w:rPr>
              <w:t>·     APTC in Semester 1 2019 expects 36 graduates from Tonga delivery, and 35 in Semester 2. Additional courses will be delivered on a fee-for-service basis</w:t>
            </w:r>
          </w:p>
        </w:tc>
        <w:tc>
          <w:tcPr>
            <w:tcW w:w="3140" w:type="dxa"/>
            <w:shd w:val="clear" w:color="auto" w:fill="auto"/>
            <w:tcMar>
              <w:top w:w="0" w:type="dxa"/>
              <w:left w:w="108" w:type="dxa"/>
              <w:bottom w:w="0" w:type="dxa"/>
              <w:right w:w="108" w:type="dxa"/>
            </w:tcMar>
          </w:tcPr>
          <w:p w14:paraId="634A3FC5"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Since March 2019 Tonga has been part of the PLS</w:t>
            </w:r>
          </w:p>
          <w:p w14:paraId="327D5E48"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APTC will create international track training to support Pacific labour mobility through engagement with the PLF, relevant government ministries in Tonga, and other local and national TVET Providers</w:t>
            </w:r>
            <w:r w:rsidRPr="00325909">
              <w:rPr>
                <w:rStyle w:val="FootnoteReference"/>
                <w:rFonts w:asciiTheme="minorHAnsi" w:hAnsiTheme="minorHAnsi" w:cstheme="minorHAnsi"/>
                <w:sz w:val="18"/>
                <w:szCs w:val="18"/>
              </w:rPr>
              <w:footnoteReference w:id="80"/>
            </w:r>
          </w:p>
          <w:p w14:paraId="0E96B159"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The Mid-Term Review of Tonga Skills in May 2018 expressed scepticism of whether that program could deliver the promised labour mobility potential for clients.</w:t>
            </w:r>
            <w:r w:rsidRPr="00325909">
              <w:rPr>
                <w:rStyle w:val="FootnoteReference"/>
                <w:rFonts w:asciiTheme="minorHAnsi" w:hAnsiTheme="minorHAnsi" w:cstheme="minorHAnsi"/>
                <w:sz w:val="18"/>
                <w:szCs w:val="18"/>
              </w:rPr>
              <w:footnoteReference w:id="81"/>
            </w:r>
            <w:r w:rsidRPr="00325909">
              <w:rPr>
                <w:rFonts w:asciiTheme="minorHAnsi" w:hAnsiTheme="minorHAnsi" w:cstheme="minorHAnsi"/>
                <w:sz w:val="18"/>
                <w:szCs w:val="18"/>
              </w:rPr>
              <w:t xml:space="preserve"> Significantly, this review pre-dated the launch of the Pacific Labour Facility and Tonga’s inclusion in the Pacific Labour Scheme. Labour mobility was a part of one EOPO, but the mid-term review found there was little evidence of improving trainees’ employability into overseas markets: ‘The MTR Team therefore has some reservations about the likelihood of a significant number of Tongans benefiting from improved employability in international markets as a result of training brokered by Tonga Skills in the short to medium term.’</w:t>
            </w:r>
            <w:r w:rsidRPr="00325909">
              <w:rPr>
                <w:rStyle w:val="FootnoteReference"/>
                <w:rFonts w:asciiTheme="minorHAnsi" w:hAnsiTheme="minorHAnsi" w:cstheme="minorHAnsi"/>
                <w:sz w:val="18"/>
                <w:szCs w:val="18"/>
              </w:rPr>
              <w:footnoteReference w:id="82"/>
            </w:r>
          </w:p>
        </w:tc>
        <w:tc>
          <w:tcPr>
            <w:tcW w:w="3141" w:type="dxa"/>
            <w:shd w:val="clear" w:color="auto" w:fill="auto"/>
            <w:tcMar>
              <w:top w:w="0" w:type="dxa"/>
              <w:left w:w="108" w:type="dxa"/>
              <w:bottom w:w="0" w:type="dxa"/>
              <w:right w:w="108" w:type="dxa"/>
            </w:tcMar>
            <w:hideMark/>
          </w:tcPr>
          <w:p w14:paraId="461E57DB" w14:textId="77777777" w:rsidR="00325909" w:rsidRPr="00325909" w:rsidRDefault="00325909" w:rsidP="00402898">
            <w:pPr>
              <w:pStyle w:val="NormalWeb"/>
              <w:tabs>
                <w:tab w:val="right" w:pos="1843"/>
              </w:tabs>
              <w:rPr>
                <w:rFonts w:asciiTheme="minorHAnsi" w:hAnsiTheme="minorHAnsi" w:cstheme="minorHAnsi"/>
                <w:sz w:val="18"/>
                <w:szCs w:val="18"/>
              </w:rPr>
            </w:pPr>
            <w:r w:rsidRPr="00325909">
              <w:rPr>
                <w:rFonts w:asciiTheme="minorHAnsi" w:hAnsiTheme="minorHAnsi" w:cstheme="minorHAnsi"/>
                <w:sz w:val="18"/>
                <w:szCs w:val="18"/>
              </w:rPr>
              <w:t>·       APTC will conduct a labour market assessment in Tonga to determine employment needs that will better inform APTC’s training in Tonga in future.</w:t>
            </w:r>
            <w:r w:rsidRPr="00325909">
              <w:rPr>
                <w:rStyle w:val="FootnoteReference"/>
                <w:rFonts w:asciiTheme="minorHAnsi" w:hAnsiTheme="minorHAnsi" w:cstheme="minorHAnsi"/>
                <w:sz w:val="18"/>
                <w:szCs w:val="18"/>
              </w:rPr>
              <w:footnoteReference w:id="83"/>
            </w:r>
          </w:p>
          <w:p w14:paraId="151D5310" w14:textId="77777777" w:rsidR="00325909" w:rsidRPr="00325909" w:rsidRDefault="00325909" w:rsidP="00402898">
            <w:pPr>
              <w:pStyle w:val="NormalWeb"/>
              <w:tabs>
                <w:tab w:val="right" w:pos="1843"/>
              </w:tabs>
              <w:rPr>
                <w:rFonts w:asciiTheme="minorHAnsi" w:hAnsiTheme="minorHAnsi" w:cstheme="minorHAnsi"/>
                <w:sz w:val="18"/>
                <w:szCs w:val="18"/>
              </w:rPr>
            </w:pPr>
            <w:r w:rsidRPr="00325909">
              <w:rPr>
                <w:rFonts w:asciiTheme="minorHAnsi" w:hAnsiTheme="minorHAnsi" w:cstheme="minorHAnsi"/>
                <w:sz w:val="18"/>
                <w:szCs w:val="18"/>
              </w:rPr>
              <w:t>·     APTC will increase alumni engagement.</w:t>
            </w:r>
            <w:r w:rsidRPr="00325909">
              <w:rPr>
                <w:rStyle w:val="FootnoteReference"/>
                <w:rFonts w:asciiTheme="minorHAnsi" w:hAnsiTheme="minorHAnsi" w:cstheme="minorHAnsi"/>
                <w:sz w:val="18"/>
                <w:szCs w:val="18"/>
              </w:rPr>
              <w:footnoteReference w:id="84"/>
            </w:r>
          </w:p>
          <w:p w14:paraId="210852DF" w14:textId="77777777" w:rsidR="00325909" w:rsidRPr="00325909" w:rsidRDefault="00325909" w:rsidP="00402898">
            <w:pPr>
              <w:pStyle w:val="NormalWeb"/>
              <w:tabs>
                <w:tab w:val="right" w:pos="1843"/>
              </w:tabs>
              <w:rPr>
                <w:rFonts w:asciiTheme="minorHAnsi" w:hAnsiTheme="minorHAnsi" w:cstheme="minorHAnsi"/>
                <w:sz w:val="18"/>
                <w:szCs w:val="18"/>
              </w:rPr>
            </w:pPr>
            <w:r w:rsidRPr="00325909">
              <w:rPr>
                <w:rFonts w:asciiTheme="minorHAnsi" w:hAnsiTheme="minorHAnsi" w:cstheme="minorHAnsi"/>
                <w:sz w:val="18"/>
                <w:szCs w:val="18"/>
              </w:rPr>
              <w:t>·     APTC will engage with the World Bank Skills and Employment for Tongans Project to identify how it may contribute to initiatives in that program and potential partnership.</w:t>
            </w:r>
            <w:r w:rsidRPr="00325909">
              <w:rPr>
                <w:rStyle w:val="FootnoteReference"/>
                <w:rFonts w:asciiTheme="minorHAnsi" w:hAnsiTheme="minorHAnsi" w:cstheme="minorHAnsi"/>
                <w:sz w:val="18"/>
                <w:szCs w:val="18"/>
              </w:rPr>
              <w:footnoteReference w:id="85"/>
            </w:r>
          </w:p>
          <w:p w14:paraId="5760087B" w14:textId="77777777" w:rsidR="00325909" w:rsidRPr="00325909" w:rsidRDefault="00325909" w:rsidP="00402898">
            <w:pPr>
              <w:pStyle w:val="NormalWeb"/>
              <w:tabs>
                <w:tab w:val="right" w:pos="1843"/>
              </w:tabs>
              <w:rPr>
                <w:rFonts w:asciiTheme="minorHAnsi" w:hAnsiTheme="minorHAnsi" w:cstheme="minorHAnsi"/>
                <w:sz w:val="18"/>
                <w:szCs w:val="18"/>
              </w:rPr>
            </w:pPr>
            <w:r w:rsidRPr="00325909">
              <w:rPr>
                <w:rFonts w:asciiTheme="minorHAnsi" w:hAnsiTheme="minorHAnsi" w:cstheme="minorHAnsi"/>
                <w:sz w:val="18"/>
                <w:szCs w:val="18"/>
              </w:rPr>
              <w:t>·     APTC messaging with TVET stakeholders and students will drive co-investment in training through focus on the economic and productivity benefits of skills development relevant to employer needs.</w:t>
            </w:r>
            <w:r w:rsidRPr="00325909">
              <w:rPr>
                <w:rStyle w:val="FootnoteReference"/>
                <w:rFonts w:asciiTheme="minorHAnsi" w:hAnsiTheme="minorHAnsi" w:cstheme="minorHAnsi"/>
                <w:sz w:val="18"/>
                <w:szCs w:val="18"/>
              </w:rPr>
              <w:footnoteReference w:id="86"/>
            </w:r>
          </w:p>
          <w:p w14:paraId="1A323DDD" w14:textId="77777777" w:rsidR="00325909" w:rsidRPr="00325909" w:rsidRDefault="00325909" w:rsidP="00402898">
            <w:pPr>
              <w:tabs>
                <w:tab w:val="right" w:pos="1843"/>
              </w:tabs>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APTC will roll out the TVET System Strengthening Platform in 2019 in Tonga</w:t>
            </w:r>
            <w:r w:rsidRPr="00325909">
              <w:rPr>
                <w:rStyle w:val="FootnoteReference"/>
                <w:rFonts w:asciiTheme="minorHAnsi" w:hAnsiTheme="minorHAnsi" w:cstheme="minorHAnsi"/>
                <w:sz w:val="18"/>
                <w:szCs w:val="18"/>
              </w:rPr>
              <w:footnoteReference w:id="87"/>
            </w:r>
          </w:p>
          <w:p w14:paraId="147BFF56" w14:textId="77777777" w:rsidR="00325909" w:rsidRPr="00325909" w:rsidRDefault="00325909" w:rsidP="00402898">
            <w:pPr>
              <w:tabs>
                <w:tab w:val="right" w:pos="1843"/>
              </w:tabs>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APTC will continue to support coordination with bilateral programs to encourage coherent approaches to the development of the TVET sector.</w:t>
            </w:r>
            <w:r w:rsidRPr="00325909">
              <w:rPr>
                <w:rStyle w:val="FootnoteReference"/>
                <w:rFonts w:asciiTheme="minorHAnsi" w:hAnsiTheme="minorHAnsi" w:cstheme="minorHAnsi"/>
                <w:sz w:val="18"/>
                <w:szCs w:val="18"/>
              </w:rPr>
              <w:footnoteReference w:id="88"/>
            </w:r>
          </w:p>
          <w:p w14:paraId="73FF349F" w14:textId="77777777" w:rsidR="00325909" w:rsidRPr="00325909" w:rsidRDefault="00325909" w:rsidP="00402898">
            <w:pPr>
              <w:rPr>
                <w:rFonts w:asciiTheme="minorHAnsi" w:hAnsiTheme="minorHAnsi" w:cstheme="minorHAnsi"/>
                <w:sz w:val="18"/>
                <w:szCs w:val="18"/>
              </w:rPr>
            </w:pPr>
            <w:r w:rsidRPr="00325909">
              <w:rPr>
                <w:rFonts w:asciiTheme="minorHAnsi" w:hAnsiTheme="minorHAnsi" w:cstheme="minorHAnsi"/>
                <w:sz w:val="18"/>
                <w:szCs w:val="18"/>
              </w:rPr>
              <w:t>In terms of lessons for APTC/Kiribati, the MTR did point out that the training and qualification of TVET teachers was highly valued</w:t>
            </w:r>
          </w:p>
        </w:tc>
      </w:tr>
      <w:tr w:rsidR="00325909" w:rsidRPr="00325909" w14:paraId="1B5E19CC" w14:textId="77777777" w:rsidTr="00402898">
        <w:tc>
          <w:tcPr>
            <w:tcW w:w="1745" w:type="dxa"/>
            <w:shd w:val="clear" w:color="auto" w:fill="auto"/>
            <w:tcMar>
              <w:top w:w="0" w:type="dxa"/>
              <w:left w:w="108" w:type="dxa"/>
              <w:bottom w:w="0" w:type="dxa"/>
              <w:right w:w="108" w:type="dxa"/>
            </w:tcMar>
            <w:hideMark/>
          </w:tcPr>
          <w:p w14:paraId="346995EE" w14:textId="77777777" w:rsidR="00325909" w:rsidRPr="00325909" w:rsidRDefault="00325909" w:rsidP="00402898">
            <w:pPr>
              <w:spacing w:before="100" w:beforeAutospacing="1" w:after="100" w:afterAutospacing="1"/>
              <w:rPr>
                <w:rFonts w:asciiTheme="minorHAnsi" w:hAnsiTheme="minorHAnsi" w:cstheme="minorHAnsi"/>
                <w:color w:val="000000" w:themeColor="text1"/>
                <w:sz w:val="18"/>
                <w:szCs w:val="18"/>
              </w:rPr>
            </w:pPr>
            <w:r w:rsidRPr="00325909">
              <w:rPr>
                <w:rFonts w:asciiTheme="minorHAnsi" w:hAnsiTheme="minorHAnsi" w:cstheme="minorHAnsi"/>
                <w:b/>
                <w:bCs/>
                <w:color w:val="000000" w:themeColor="text1"/>
                <w:sz w:val="18"/>
                <w:szCs w:val="18"/>
              </w:rPr>
              <w:t> Vanuatu</w:t>
            </w:r>
          </w:p>
        </w:tc>
        <w:tc>
          <w:tcPr>
            <w:tcW w:w="3140" w:type="dxa"/>
            <w:shd w:val="clear" w:color="auto" w:fill="auto"/>
            <w:tcMar>
              <w:top w:w="0" w:type="dxa"/>
              <w:left w:w="108" w:type="dxa"/>
              <w:bottom w:w="0" w:type="dxa"/>
              <w:right w:w="108" w:type="dxa"/>
            </w:tcMar>
            <w:hideMark/>
          </w:tcPr>
          <w:p w14:paraId="51A98E25" w14:textId="77777777" w:rsidR="00325909" w:rsidRPr="00325909" w:rsidRDefault="00325909" w:rsidP="00402898">
            <w:pPr>
              <w:pStyle w:val="NoSpacing"/>
              <w:rPr>
                <w:rFonts w:cstheme="minorHAnsi"/>
                <w:sz w:val="18"/>
                <w:szCs w:val="18"/>
              </w:rPr>
            </w:pPr>
            <w:r w:rsidRPr="00325909">
              <w:rPr>
                <w:rFonts w:cstheme="minorHAnsi"/>
                <w:color w:val="000000" w:themeColor="text1"/>
                <w:sz w:val="18"/>
                <w:szCs w:val="18"/>
              </w:rPr>
              <w:t> </w:t>
            </w:r>
            <w:r w:rsidRPr="00325909">
              <w:rPr>
                <w:rFonts w:cstheme="minorHAnsi"/>
                <w:sz w:val="18"/>
                <w:szCs w:val="18"/>
              </w:rPr>
              <w:t>TVET Providers:</w:t>
            </w:r>
          </w:p>
          <w:p w14:paraId="70BF149B" w14:textId="77777777" w:rsidR="00325909" w:rsidRPr="00325909" w:rsidRDefault="00325909" w:rsidP="00402898">
            <w:pPr>
              <w:pStyle w:val="NoSpacing"/>
              <w:rPr>
                <w:rFonts w:cstheme="minorHAnsi"/>
                <w:sz w:val="18"/>
                <w:szCs w:val="18"/>
              </w:rPr>
            </w:pPr>
            <w:r w:rsidRPr="00325909">
              <w:rPr>
                <w:rFonts w:cstheme="minorHAnsi"/>
                <w:sz w:val="18"/>
                <w:szCs w:val="18"/>
              </w:rPr>
              <w:t>·    </w:t>
            </w:r>
            <w:hyperlink r:id="rId40" w:history="1">
              <w:r w:rsidRPr="00325909">
                <w:rPr>
                  <w:rStyle w:val="Hyperlink"/>
                  <w:rFonts w:cstheme="minorHAnsi"/>
                  <w:sz w:val="18"/>
                  <w:szCs w:val="18"/>
                </w:rPr>
                <w:t>Vanuatu Institute of Technology</w:t>
              </w:r>
            </w:hyperlink>
            <w:r w:rsidRPr="00325909">
              <w:rPr>
                <w:rFonts w:cstheme="minorHAnsi"/>
                <w:sz w:val="18"/>
                <w:szCs w:val="18"/>
              </w:rPr>
              <w:t xml:space="preserve"> </w:t>
            </w:r>
          </w:p>
          <w:p w14:paraId="6D865F1D" w14:textId="77777777" w:rsidR="00325909" w:rsidRPr="00325909" w:rsidRDefault="00325909" w:rsidP="00402898">
            <w:pPr>
              <w:pStyle w:val="NoSpacing"/>
              <w:rPr>
                <w:rFonts w:cstheme="minorHAnsi"/>
                <w:sz w:val="18"/>
                <w:szCs w:val="18"/>
              </w:rPr>
            </w:pPr>
            <w:r w:rsidRPr="00325909">
              <w:rPr>
                <w:rFonts w:cstheme="minorHAnsi"/>
                <w:sz w:val="18"/>
                <w:szCs w:val="18"/>
              </w:rPr>
              <w:t xml:space="preserve">·    TVET Division Ministry of Education &amp; Training </w:t>
            </w:r>
          </w:p>
          <w:p w14:paraId="56FBCF73" w14:textId="77777777" w:rsidR="00325909" w:rsidRPr="00325909" w:rsidRDefault="00325909" w:rsidP="00402898">
            <w:pPr>
              <w:pStyle w:val="NoSpacing"/>
              <w:rPr>
                <w:rFonts w:cstheme="minorHAnsi"/>
                <w:sz w:val="18"/>
                <w:szCs w:val="18"/>
              </w:rPr>
            </w:pPr>
            <w:r w:rsidRPr="00325909">
              <w:rPr>
                <w:rFonts w:cstheme="minorHAnsi"/>
                <w:sz w:val="18"/>
                <w:szCs w:val="18"/>
              </w:rPr>
              <w:t>·    </w:t>
            </w:r>
            <w:hyperlink r:id="rId41" w:history="1">
              <w:r w:rsidRPr="00325909">
                <w:rPr>
                  <w:rStyle w:val="Hyperlink"/>
                  <w:rFonts w:cstheme="minorHAnsi"/>
                  <w:sz w:val="18"/>
                  <w:szCs w:val="18"/>
                </w:rPr>
                <w:t>University of the South Pacific Emalus Campus</w:t>
              </w:r>
            </w:hyperlink>
            <w:r w:rsidRPr="00325909">
              <w:rPr>
                <w:rFonts w:cstheme="minorHAnsi"/>
                <w:sz w:val="18"/>
                <w:szCs w:val="18"/>
              </w:rPr>
              <w:t xml:space="preserve"> </w:t>
            </w:r>
          </w:p>
          <w:p w14:paraId="1552489F" w14:textId="77777777" w:rsidR="00325909" w:rsidRPr="00325909" w:rsidRDefault="00325909" w:rsidP="00402898">
            <w:pPr>
              <w:pStyle w:val="NoSpacing"/>
              <w:rPr>
                <w:rFonts w:cstheme="minorHAnsi"/>
                <w:sz w:val="18"/>
                <w:szCs w:val="18"/>
              </w:rPr>
            </w:pPr>
          </w:p>
          <w:p w14:paraId="10B8A713" w14:textId="77777777" w:rsidR="00325909" w:rsidRPr="00325909" w:rsidRDefault="00325909" w:rsidP="00402898">
            <w:pPr>
              <w:rPr>
                <w:rFonts w:asciiTheme="minorHAnsi" w:hAnsiTheme="minorHAnsi" w:cstheme="minorHAnsi"/>
                <w:sz w:val="18"/>
                <w:szCs w:val="18"/>
              </w:rPr>
            </w:pPr>
            <w:r w:rsidRPr="00325909">
              <w:rPr>
                <w:rFonts w:asciiTheme="minorHAnsi" w:hAnsiTheme="minorHAnsi" w:cstheme="minorHAnsi"/>
                <w:sz w:val="18"/>
                <w:szCs w:val="18"/>
              </w:rPr>
              <w:t>APTC has a campus in Vanuatu</w:t>
            </w:r>
          </w:p>
          <w:p w14:paraId="16EE36EE" w14:textId="77777777" w:rsidR="00325909" w:rsidRPr="00325909" w:rsidRDefault="00325909" w:rsidP="00402898">
            <w:pPr>
              <w:rPr>
                <w:rFonts w:asciiTheme="minorHAnsi" w:hAnsiTheme="minorHAnsi" w:cstheme="minorHAnsi"/>
                <w:sz w:val="18"/>
                <w:szCs w:val="18"/>
              </w:rPr>
            </w:pPr>
          </w:p>
          <w:p w14:paraId="4BBE16B0" w14:textId="77777777" w:rsidR="00325909" w:rsidRPr="00325909" w:rsidRDefault="00325909" w:rsidP="00402898">
            <w:pPr>
              <w:rPr>
                <w:rFonts w:asciiTheme="minorHAnsi" w:hAnsiTheme="minorHAnsi" w:cstheme="minorHAnsi"/>
                <w:sz w:val="18"/>
                <w:szCs w:val="18"/>
              </w:rPr>
            </w:pPr>
            <w:r w:rsidRPr="00325909">
              <w:rPr>
                <w:rFonts w:asciiTheme="minorHAnsi" w:hAnsiTheme="minorHAnsi" w:cstheme="minorHAnsi"/>
                <w:sz w:val="18"/>
                <w:szCs w:val="18"/>
              </w:rPr>
              <w:t>National Qualifications Authority:</w:t>
            </w:r>
          </w:p>
          <w:p w14:paraId="567929B0" w14:textId="77777777" w:rsidR="00325909" w:rsidRPr="00325909" w:rsidRDefault="00325909" w:rsidP="00402898">
            <w:pPr>
              <w:rPr>
                <w:rFonts w:asciiTheme="minorHAnsi" w:hAnsiTheme="minorHAnsi" w:cstheme="minorHAnsi"/>
                <w:sz w:val="18"/>
                <w:szCs w:val="18"/>
              </w:rPr>
            </w:pPr>
            <w:r w:rsidRPr="00325909">
              <w:rPr>
                <w:rFonts w:asciiTheme="minorHAnsi" w:hAnsiTheme="minorHAnsi" w:cstheme="minorHAnsi"/>
                <w:sz w:val="18"/>
                <w:szCs w:val="18"/>
              </w:rPr>
              <w:t>·       Vanuatu Qualifications Authority</w:t>
            </w:r>
          </w:p>
          <w:p w14:paraId="01413748" w14:textId="77777777" w:rsidR="00325909" w:rsidRPr="00325909" w:rsidRDefault="00325909" w:rsidP="00402898">
            <w:pPr>
              <w:rPr>
                <w:rFonts w:asciiTheme="minorHAnsi" w:hAnsiTheme="minorHAnsi" w:cstheme="minorHAnsi"/>
                <w:sz w:val="18"/>
                <w:szCs w:val="18"/>
              </w:rPr>
            </w:pPr>
          </w:p>
          <w:p w14:paraId="3DF27FAD" w14:textId="77777777" w:rsidR="00325909" w:rsidRPr="00325909" w:rsidRDefault="00325909" w:rsidP="00402898">
            <w:pPr>
              <w:rPr>
                <w:rFonts w:asciiTheme="minorHAnsi" w:hAnsiTheme="minorHAnsi" w:cstheme="minorHAnsi"/>
                <w:sz w:val="18"/>
                <w:szCs w:val="18"/>
              </w:rPr>
            </w:pPr>
            <w:r w:rsidRPr="00325909">
              <w:rPr>
                <w:rFonts w:asciiTheme="minorHAnsi" w:hAnsiTheme="minorHAnsi" w:cstheme="minorHAnsi"/>
                <w:sz w:val="18"/>
                <w:szCs w:val="18"/>
              </w:rPr>
              <w:t>APTC holds full registration with the Vanuatu Qualifications Authority.</w:t>
            </w:r>
            <w:r w:rsidRPr="00325909">
              <w:rPr>
                <w:rStyle w:val="FootnoteReference"/>
                <w:rFonts w:asciiTheme="minorHAnsi" w:hAnsiTheme="minorHAnsi" w:cstheme="minorHAnsi"/>
                <w:sz w:val="18"/>
                <w:szCs w:val="18"/>
              </w:rPr>
              <w:footnoteReference w:id="89"/>
            </w:r>
            <w:r w:rsidRPr="00325909">
              <w:rPr>
                <w:rFonts w:asciiTheme="minorHAnsi" w:hAnsiTheme="minorHAnsi" w:cstheme="minorHAnsi"/>
                <w:sz w:val="18"/>
                <w:szCs w:val="18"/>
              </w:rPr>
              <w:t xml:space="preserve">  </w:t>
            </w:r>
          </w:p>
          <w:p w14:paraId="1B18E45F" w14:textId="77777777" w:rsidR="00325909" w:rsidRPr="00325909" w:rsidRDefault="00325909" w:rsidP="00402898">
            <w:pPr>
              <w:spacing w:before="100" w:beforeAutospacing="1" w:after="100" w:afterAutospacing="1"/>
              <w:rPr>
                <w:rFonts w:asciiTheme="minorHAnsi" w:hAnsiTheme="minorHAnsi" w:cstheme="minorHAnsi"/>
                <w:color w:val="000000" w:themeColor="text1"/>
                <w:sz w:val="18"/>
                <w:szCs w:val="18"/>
              </w:rPr>
            </w:pPr>
            <w:r w:rsidRPr="00325909">
              <w:rPr>
                <w:rFonts w:asciiTheme="minorHAnsi" w:hAnsiTheme="minorHAnsi" w:cstheme="minorHAnsi"/>
                <w:color w:val="000000" w:themeColor="text1"/>
                <w:sz w:val="18"/>
                <w:szCs w:val="18"/>
              </w:rPr>
              <w:t>APTC has an agreement with Vanuatu Institute of Technology</w:t>
            </w:r>
          </w:p>
          <w:p w14:paraId="24FDCB42" w14:textId="77777777" w:rsidR="00325909" w:rsidRPr="00325909" w:rsidRDefault="00325909" w:rsidP="00402898">
            <w:pPr>
              <w:pStyle w:val="NoSpacing"/>
              <w:rPr>
                <w:rFonts w:cstheme="minorHAnsi"/>
                <w:sz w:val="18"/>
                <w:szCs w:val="18"/>
              </w:rPr>
            </w:pPr>
            <w:r w:rsidRPr="00325909">
              <w:rPr>
                <w:rFonts w:cstheme="minorHAnsi"/>
                <w:sz w:val="18"/>
                <w:szCs w:val="18"/>
              </w:rPr>
              <w:t xml:space="preserve">Vanuatu Skills Partnership is a co-investment between the Governments of Australia and Vanuatu to develop the national skills system. The Partnership aims to </w:t>
            </w:r>
          </w:p>
          <w:p w14:paraId="376B660A" w14:textId="77777777" w:rsidR="00325909" w:rsidRPr="00325909" w:rsidRDefault="00325909" w:rsidP="00402898">
            <w:pPr>
              <w:spacing w:before="100" w:beforeAutospacing="1" w:after="100" w:afterAutospacing="1"/>
              <w:rPr>
                <w:rFonts w:asciiTheme="minorHAnsi" w:hAnsiTheme="minorHAnsi" w:cstheme="minorHAnsi"/>
                <w:sz w:val="18"/>
                <w:szCs w:val="18"/>
              </w:rPr>
            </w:pPr>
            <w:r w:rsidRPr="00325909">
              <w:rPr>
                <w:rFonts w:asciiTheme="minorHAnsi" w:hAnsiTheme="minorHAnsi" w:cstheme="minorHAnsi"/>
                <w:sz w:val="18"/>
                <w:szCs w:val="18"/>
              </w:rPr>
              <w:t>·    improve the quality of local training to better develop the skills required for inclusive and sustainable private sector growth</w:t>
            </w:r>
          </w:p>
          <w:p w14:paraId="2E3656EA" w14:textId="77777777" w:rsidR="00325909" w:rsidRPr="00325909" w:rsidRDefault="00325909" w:rsidP="00402898">
            <w:pPr>
              <w:spacing w:before="100" w:beforeAutospacing="1" w:after="100" w:afterAutospacing="1"/>
              <w:rPr>
                <w:rFonts w:asciiTheme="minorHAnsi" w:hAnsiTheme="minorHAnsi" w:cstheme="minorHAnsi"/>
                <w:sz w:val="18"/>
                <w:szCs w:val="18"/>
              </w:rPr>
            </w:pPr>
            <w:r w:rsidRPr="00325909">
              <w:rPr>
                <w:rFonts w:asciiTheme="minorHAnsi" w:hAnsiTheme="minorHAnsi" w:cstheme="minorHAnsi"/>
                <w:sz w:val="18"/>
                <w:szCs w:val="18"/>
              </w:rPr>
              <w:t>·   facilitate the recognition of skills within the system, and in the region, for increased education pathways and labour mobility.</w:t>
            </w:r>
          </w:p>
          <w:p w14:paraId="75B11B35" w14:textId="77777777" w:rsidR="00325909" w:rsidRPr="00325909" w:rsidRDefault="00325909" w:rsidP="00402898">
            <w:pPr>
              <w:spacing w:before="100" w:beforeAutospacing="1" w:after="100" w:afterAutospacing="1"/>
              <w:rPr>
                <w:rFonts w:asciiTheme="minorHAnsi" w:hAnsiTheme="minorHAnsi" w:cstheme="minorHAnsi"/>
                <w:color w:val="000000" w:themeColor="text1"/>
                <w:sz w:val="18"/>
                <w:szCs w:val="18"/>
              </w:rPr>
            </w:pPr>
          </w:p>
        </w:tc>
        <w:tc>
          <w:tcPr>
            <w:tcW w:w="3141" w:type="dxa"/>
            <w:shd w:val="clear" w:color="auto" w:fill="auto"/>
            <w:tcMar>
              <w:top w:w="0" w:type="dxa"/>
              <w:left w:w="108" w:type="dxa"/>
              <w:bottom w:w="0" w:type="dxa"/>
              <w:right w:w="108" w:type="dxa"/>
            </w:tcMar>
            <w:hideMark/>
          </w:tcPr>
          <w:p w14:paraId="266DB60B" w14:textId="77777777" w:rsidR="00325909" w:rsidRPr="00325909" w:rsidRDefault="00325909" w:rsidP="00402898">
            <w:pPr>
              <w:spacing w:before="100" w:beforeAutospacing="1" w:after="100" w:afterAutospacing="1"/>
              <w:rPr>
                <w:rFonts w:asciiTheme="minorHAnsi" w:hAnsiTheme="minorHAnsi" w:cstheme="minorHAnsi"/>
                <w:sz w:val="18"/>
                <w:szCs w:val="18"/>
              </w:rPr>
            </w:pPr>
            <w:r w:rsidRPr="00325909">
              <w:rPr>
                <w:rFonts w:asciiTheme="minorHAnsi" w:hAnsiTheme="minorHAnsi" w:cstheme="minorHAnsi"/>
                <w:sz w:val="18"/>
                <w:szCs w:val="18"/>
              </w:rPr>
              <w:t>·       1635 total Ni-Vanuatu graduates of APTC</w:t>
            </w:r>
            <w:r w:rsidRPr="00325909">
              <w:rPr>
                <w:rStyle w:val="FootnoteReference"/>
                <w:rFonts w:asciiTheme="minorHAnsi" w:hAnsiTheme="minorHAnsi" w:cstheme="minorHAnsi"/>
                <w:sz w:val="18"/>
                <w:szCs w:val="18"/>
              </w:rPr>
              <w:footnoteReference w:id="90"/>
            </w:r>
          </w:p>
          <w:p w14:paraId="59ED8C27" w14:textId="77777777" w:rsidR="00325909" w:rsidRPr="00325909" w:rsidRDefault="00325909" w:rsidP="00402898">
            <w:pPr>
              <w:spacing w:before="100" w:beforeAutospacing="1" w:after="100" w:afterAutospacing="1"/>
              <w:rPr>
                <w:rFonts w:asciiTheme="minorHAnsi" w:hAnsiTheme="minorHAnsi" w:cstheme="minorHAnsi"/>
                <w:sz w:val="18"/>
                <w:szCs w:val="18"/>
              </w:rPr>
            </w:pPr>
            <w:r w:rsidRPr="00325909">
              <w:rPr>
                <w:rFonts w:asciiTheme="minorHAnsi" w:hAnsiTheme="minorHAnsi" w:cstheme="minorHAnsi"/>
                <w:sz w:val="18"/>
                <w:szCs w:val="18"/>
              </w:rPr>
              <w:t> ·       890 total Vanuatu female graduates of APTC (55%)</w:t>
            </w:r>
            <w:r w:rsidRPr="00325909">
              <w:rPr>
                <w:rStyle w:val="FootnoteReference"/>
                <w:rFonts w:asciiTheme="minorHAnsi" w:hAnsiTheme="minorHAnsi" w:cstheme="minorHAnsi"/>
                <w:sz w:val="18"/>
                <w:szCs w:val="18"/>
              </w:rPr>
              <w:footnoteReference w:id="91"/>
            </w:r>
          </w:p>
          <w:p w14:paraId="09268AF0" w14:textId="77777777" w:rsidR="00325909" w:rsidRPr="00325909" w:rsidRDefault="00325909" w:rsidP="00402898">
            <w:pPr>
              <w:spacing w:before="100" w:beforeAutospacing="1" w:after="100" w:afterAutospacing="1"/>
              <w:rPr>
                <w:rFonts w:asciiTheme="minorHAnsi" w:hAnsiTheme="minorHAnsi" w:cstheme="minorHAnsi"/>
                <w:sz w:val="18"/>
                <w:szCs w:val="18"/>
              </w:rPr>
            </w:pPr>
            <w:r w:rsidRPr="00325909">
              <w:rPr>
                <w:rFonts w:asciiTheme="minorHAnsi" w:hAnsiTheme="minorHAnsi" w:cstheme="minorHAnsi"/>
                <w:sz w:val="18"/>
                <w:szCs w:val="18"/>
              </w:rPr>
              <w:t xml:space="preserve"> ·       Other Pacific Islanders study at Vanuatu’s APTC facility </w:t>
            </w:r>
          </w:p>
          <w:p w14:paraId="26ACD9B4" w14:textId="77777777" w:rsidR="00325909" w:rsidRPr="00325909" w:rsidRDefault="00325909" w:rsidP="00402898">
            <w:pPr>
              <w:spacing w:before="100" w:beforeAutospacing="1" w:after="100" w:afterAutospacing="1"/>
              <w:rPr>
                <w:rFonts w:asciiTheme="minorHAnsi" w:hAnsiTheme="minorHAnsi" w:cstheme="minorHAnsi"/>
                <w:sz w:val="18"/>
                <w:szCs w:val="18"/>
              </w:rPr>
            </w:pPr>
            <w:r w:rsidRPr="00325909">
              <w:rPr>
                <w:rFonts w:asciiTheme="minorHAnsi" w:hAnsiTheme="minorHAnsi" w:cstheme="minorHAnsi"/>
                <w:sz w:val="18"/>
                <w:szCs w:val="18"/>
              </w:rPr>
              <w:t>·       APTC courses include Youth Work, Community Development, Hospitality, tourism, carpentry, tiling, training and assessment, management</w:t>
            </w:r>
          </w:p>
          <w:p w14:paraId="502890ED" w14:textId="77777777" w:rsidR="00325909" w:rsidRPr="00325909" w:rsidRDefault="00325909" w:rsidP="00402898">
            <w:pPr>
              <w:spacing w:before="100" w:beforeAutospacing="1" w:after="100" w:afterAutospacing="1"/>
              <w:rPr>
                <w:rFonts w:asciiTheme="minorHAnsi" w:hAnsiTheme="minorHAnsi" w:cstheme="minorHAnsi"/>
                <w:sz w:val="18"/>
                <w:szCs w:val="18"/>
              </w:rPr>
            </w:pPr>
            <w:r w:rsidRPr="00325909">
              <w:rPr>
                <w:rFonts w:asciiTheme="minorHAnsi" w:hAnsiTheme="minorHAnsi" w:cstheme="minorHAnsi"/>
                <w:sz w:val="18"/>
                <w:szCs w:val="18"/>
              </w:rPr>
              <w:t xml:space="preserve">·       Vanuatu Institute of Technology courses include tourism, business, training and assessment, </w:t>
            </w:r>
          </w:p>
          <w:p w14:paraId="3F4CB953" w14:textId="77777777" w:rsidR="00325909" w:rsidRPr="00325909" w:rsidRDefault="00325909" w:rsidP="00402898">
            <w:pPr>
              <w:spacing w:before="100" w:beforeAutospacing="1" w:after="100" w:afterAutospacing="1"/>
              <w:rPr>
                <w:rFonts w:asciiTheme="minorHAnsi" w:hAnsiTheme="minorHAnsi" w:cstheme="minorHAnsi"/>
                <w:sz w:val="18"/>
                <w:szCs w:val="18"/>
              </w:rPr>
            </w:pPr>
          </w:p>
          <w:p w14:paraId="7D6E8E33" w14:textId="77777777" w:rsidR="00325909" w:rsidRPr="00325909" w:rsidRDefault="00325909" w:rsidP="00402898">
            <w:pPr>
              <w:spacing w:before="100" w:beforeAutospacing="1" w:after="100" w:afterAutospacing="1"/>
              <w:rPr>
                <w:rFonts w:asciiTheme="minorHAnsi" w:hAnsiTheme="minorHAnsi" w:cstheme="minorHAnsi"/>
                <w:sz w:val="18"/>
                <w:szCs w:val="18"/>
              </w:rPr>
            </w:pPr>
          </w:p>
          <w:p w14:paraId="15522DB2" w14:textId="77777777" w:rsidR="00325909" w:rsidRPr="00325909" w:rsidRDefault="00325909" w:rsidP="00402898">
            <w:pPr>
              <w:spacing w:before="100" w:beforeAutospacing="1" w:after="100" w:afterAutospacing="1"/>
              <w:rPr>
                <w:rFonts w:asciiTheme="minorHAnsi" w:hAnsiTheme="minorHAnsi" w:cstheme="minorHAnsi"/>
                <w:sz w:val="18"/>
                <w:szCs w:val="18"/>
              </w:rPr>
            </w:pPr>
          </w:p>
          <w:p w14:paraId="0CAFC030" w14:textId="77777777" w:rsidR="00325909" w:rsidRPr="00325909" w:rsidRDefault="00325909" w:rsidP="00402898">
            <w:pPr>
              <w:spacing w:before="100" w:beforeAutospacing="1" w:after="100" w:afterAutospacing="1"/>
              <w:rPr>
                <w:rFonts w:asciiTheme="minorHAnsi" w:hAnsiTheme="minorHAnsi" w:cstheme="minorHAnsi"/>
                <w:sz w:val="18"/>
                <w:szCs w:val="18"/>
              </w:rPr>
            </w:pPr>
          </w:p>
        </w:tc>
        <w:tc>
          <w:tcPr>
            <w:tcW w:w="3140" w:type="dxa"/>
            <w:shd w:val="clear" w:color="auto" w:fill="auto"/>
            <w:tcMar>
              <w:top w:w="0" w:type="dxa"/>
              <w:left w:w="108" w:type="dxa"/>
              <w:bottom w:w="0" w:type="dxa"/>
              <w:right w:w="108" w:type="dxa"/>
            </w:tcMar>
            <w:hideMark/>
          </w:tcPr>
          <w:p w14:paraId="4D6C9F98"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Since November 2018 Vanuatu has been part of the PLS</w:t>
            </w:r>
          </w:p>
          <w:p w14:paraId="5B335FDC"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Vanuatu is the largest participant in the seasonal worker program</w:t>
            </w:r>
          </w:p>
          <w:p w14:paraId="5CF16C5D"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     “APTC will create international track training to support Pacific labour mobility through engagement with the PLF, relevant government ministries in Vanuatu and Nauru, and other local and national TVET Providers.”</w:t>
            </w:r>
            <w:r w:rsidRPr="00325909">
              <w:rPr>
                <w:rStyle w:val="FootnoteReference"/>
                <w:rFonts w:asciiTheme="minorHAnsi" w:hAnsiTheme="minorHAnsi" w:cstheme="minorHAnsi"/>
                <w:sz w:val="18"/>
                <w:szCs w:val="18"/>
              </w:rPr>
              <w:footnoteReference w:id="92"/>
            </w:r>
          </w:p>
          <w:p w14:paraId="34D705C6"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p>
        </w:tc>
        <w:tc>
          <w:tcPr>
            <w:tcW w:w="3141" w:type="dxa"/>
            <w:shd w:val="clear" w:color="auto" w:fill="auto"/>
            <w:tcMar>
              <w:top w:w="0" w:type="dxa"/>
              <w:left w:w="108" w:type="dxa"/>
              <w:bottom w:w="0" w:type="dxa"/>
              <w:right w:w="108" w:type="dxa"/>
            </w:tcMar>
            <w:hideMark/>
          </w:tcPr>
          <w:p w14:paraId="38055C8A"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    APTC in Vanuatu delivery expects 146 graduates from Semester 1 2019, and 108 from Semester 2. These numbers will increase as additional fee-for-service courses are confirmed.</w:t>
            </w:r>
          </w:p>
          <w:p w14:paraId="40BBEB48"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APTC will conduct a labour market assessment for Vanuatu to determine employment needs and to better inform APTC’s training profiles in Vanuatu.</w:t>
            </w:r>
            <w:r w:rsidRPr="00325909">
              <w:rPr>
                <w:rStyle w:val="FootnoteReference"/>
                <w:rFonts w:asciiTheme="minorHAnsi" w:hAnsiTheme="minorHAnsi" w:cstheme="minorHAnsi"/>
                <w:sz w:val="18"/>
                <w:szCs w:val="18"/>
              </w:rPr>
              <w:footnoteReference w:id="93"/>
            </w:r>
          </w:p>
          <w:p w14:paraId="043DF822"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APTC will increase alumni engagement.</w:t>
            </w:r>
            <w:r w:rsidRPr="00325909">
              <w:rPr>
                <w:rStyle w:val="FootnoteReference"/>
                <w:rFonts w:asciiTheme="minorHAnsi" w:hAnsiTheme="minorHAnsi" w:cstheme="minorHAnsi"/>
                <w:sz w:val="18"/>
                <w:szCs w:val="18"/>
              </w:rPr>
              <w:footnoteReference w:id="94"/>
            </w:r>
          </w:p>
          <w:p w14:paraId="5864F50F"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APTC will continue to raise awareness about it’s transition from a college to a coalition, and will work closely with the RHO and DFAT Posts to do so.</w:t>
            </w:r>
          </w:p>
          <w:p w14:paraId="341A2FF2"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APTC will continue to engage stakeholders in discussions in line with it’s co-investment strategy.</w:t>
            </w:r>
            <w:r w:rsidRPr="00325909">
              <w:rPr>
                <w:rStyle w:val="FootnoteReference"/>
                <w:rFonts w:asciiTheme="minorHAnsi" w:hAnsiTheme="minorHAnsi" w:cstheme="minorHAnsi"/>
                <w:sz w:val="18"/>
                <w:szCs w:val="18"/>
              </w:rPr>
              <w:footnoteReference w:id="95"/>
            </w:r>
          </w:p>
          <w:p w14:paraId="6BAE152D"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APTC will roll out the TVET Sector Strengthening Platform in early 2019 – interventions to be identified in collaboration with DFAT Posts and the RHO</w:t>
            </w:r>
            <w:r w:rsidRPr="00325909">
              <w:rPr>
                <w:rStyle w:val="FootnoteReference"/>
                <w:rFonts w:asciiTheme="minorHAnsi" w:hAnsiTheme="minorHAnsi" w:cstheme="minorHAnsi"/>
                <w:sz w:val="18"/>
                <w:szCs w:val="18"/>
              </w:rPr>
              <w:footnoteReference w:id="96"/>
            </w:r>
          </w:p>
          <w:p w14:paraId="106F5D61" w14:textId="77777777" w:rsidR="00325909" w:rsidRPr="00325909" w:rsidRDefault="00325909" w:rsidP="00402898">
            <w:pPr>
              <w:spacing w:before="100" w:beforeAutospacing="1" w:after="100" w:afterAutospacing="1"/>
              <w:ind w:left="360" w:hanging="360"/>
              <w:rPr>
                <w:rFonts w:asciiTheme="minorHAnsi" w:hAnsiTheme="minorHAnsi" w:cstheme="minorHAnsi"/>
                <w:sz w:val="18"/>
                <w:szCs w:val="18"/>
              </w:rPr>
            </w:pPr>
            <w:r w:rsidRPr="00325909">
              <w:rPr>
                <w:rFonts w:asciiTheme="minorHAnsi" w:hAnsiTheme="minorHAnsi" w:cstheme="minorHAnsi"/>
                <w:sz w:val="18"/>
                <w:szCs w:val="18"/>
              </w:rPr>
              <w:t>·    APTC in discussions to broker a transformational partnership with Vanuatu Institute of Technology</w:t>
            </w:r>
          </w:p>
        </w:tc>
      </w:tr>
    </w:tbl>
    <w:p w14:paraId="0F206856" w14:textId="77777777" w:rsidR="00325909" w:rsidRPr="00E22B40" w:rsidRDefault="00325909" w:rsidP="00325909"/>
    <w:p w14:paraId="75A877D0" w14:textId="77777777" w:rsidR="00325909" w:rsidRPr="00E22B40" w:rsidRDefault="00325909" w:rsidP="00DE5D30"/>
    <w:sectPr w:rsidR="00325909" w:rsidRPr="00E22B40" w:rsidSect="00325909">
      <w:pgSz w:w="16817" w:h="11901" w:orient="landscape"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50E57" w14:textId="77777777" w:rsidR="00836A4F" w:rsidRDefault="00836A4F" w:rsidP="00D6021F">
      <w:r>
        <w:separator/>
      </w:r>
    </w:p>
  </w:endnote>
  <w:endnote w:type="continuationSeparator" w:id="0">
    <w:p w14:paraId="6ADAEC10" w14:textId="77777777" w:rsidR="00836A4F" w:rsidRDefault="00836A4F" w:rsidP="00D6021F">
      <w:r>
        <w:continuationSeparator/>
      </w:r>
    </w:p>
  </w:endnote>
  <w:endnote w:type="continuationNotice" w:id="1">
    <w:p w14:paraId="5202CF8C" w14:textId="77777777" w:rsidR="00836A4F" w:rsidRDefault="00836A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90703" w14:textId="77777777" w:rsidR="008816CF" w:rsidRDefault="008816CF" w:rsidP="00DA39B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AEC9FE" w14:textId="77777777" w:rsidR="008816CF" w:rsidRDefault="008816CF" w:rsidP="00DA39BB">
    <w:pPr>
      <w:pStyle w:val="Footer"/>
      <w:framePr w:wrap="none"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687EF2F" w14:textId="77777777" w:rsidR="008816CF" w:rsidRDefault="008816CF" w:rsidP="00DA39BB">
    <w:pPr>
      <w:pStyle w:val="Footer"/>
      <w:framePr w:wrap="none"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7EFDD15" w14:textId="77777777" w:rsidR="008816CF" w:rsidRDefault="008816CF" w:rsidP="00DA39BB">
    <w:pPr>
      <w:pStyle w:val="Footer"/>
      <w:framePr w:wrap="none"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8011D89" w14:textId="77777777" w:rsidR="008816CF" w:rsidRDefault="008816CF" w:rsidP="00DA39BB">
    <w:pPr>
      <w:pStyle w:val="Footer"/>
      <w:framePr w:wrap="none"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7DD6DF5E" w14:textId="77777777" w:rsidR="008816CF" w:rsidRDefault="008816CF" w:rsidP="00355D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9E1C2" w14:textId="0BFDE26D" w:rsidR="008816CF" w:rsidRDefault="008816CF" w:rsidP="00DA39B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4F0B">
      <w:rPr>
        <w:rStyle w:val="PageNumber"/>
        <w:noProof/>
      </w:rPr>
      <w:t>iii</w:t>
    </w:r>
    <w:r>
      <w:rPr>
        <w:rStyle w:val="PageNumber"/>
      </w:rPr>
      <w:fldChar w:fldCharType="end"/>
    </w:r>
  </w:p>
  <w:sdt>
    <w:sdtPr>
      <w:id w:val="-2137555797"/>
      <w:docPartObj>
        <w:docPartGallery w:val="Page Numbers (Bottom of Page)"/>
        <w:docPartUnique/>
      </w:docPartObj>
    </w:sdtPr>
    <w:sdtEndPr>
      <w:rPr>
        <w:color w:val="808080" w:themeColor="background1" w:themeShade="80"/>
        <w:spacing w:val="60"/>
      </w:rPr>
    </w:sdtEndPr>
    <w:sdtContent>
      <w:p w14:paraId="7286B23B" w14:textId="77777777" w:rsidR="008816CF" w:rsidRPr="009D6F93" w:rsidRDefault="008816CF" w:rsidP="00355DD1">
        <w:pPr>
          <w:pStyle w:val="Footer"/>
          <w:pBdr>
            <w:top w:val="single" w:sz="4" w:space="1" w:color="D9D9D9" w:themeColor="background1" w:themeShade="D9"/>
          </w:pBdr>
          <w:ind w:right="360"/>
          <w:rPr>
            <w:b/>
            <w:bCs/>
          </w:rPr>
        </w:pPr>
        <w:r>
          <w:rPr>
            <w:color w:val="808080" w:themeColor="background1" w:themeShade="80"/>
            <w:spacing w:val="60"/>
          </w:rPr>
          <w:tab/>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9534" w14:textId="77777777" w:rsidR="00E24F0B" w:rsidRDefault="00E24F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532596"/>
      <w:docPartObj>
        <w:docPartGallery w:val="Page Numbers (Bottom of Page)"/>
        <w:docPartUnique/>
      </w:docPartObj>
    </w:sdtPr>
    <w:sdtEndPr>
      <w:rPr>
        <w:noProof/>
      </w:rPr>
    </w:sdtEndPr>
    <w:sdtContent>
      <w:p w14:paraId="504FA406" w14:textId="04CB996E" w:rsidR="008816CF" w:rsidRDefault="008816CF">
        <w:pPr>
          <w:pStyle w:val="Footer"/>
          <w:jc w:val="right"/>
        </w:pPr>
        <w:r>
          <w:fldChar w:fldCharType="begin"/>
        </w:r>
        <w:r>
          <w:instrText xml:space="preserve"> PAGE   \* MERGEFORMAT </w:instrText>
        </w:r>
        <w:r>
          <w:fldChar w:fldCharType="separate"/>
        </w:r>
        <w:r w:rsidR="00E24F0B">
          <w:rPr>
            <w:noProof/>
          </w:rPr>
          <w:t>1</w:t>
        </w:r>
        <w:r>
          <w:rPr>
            <w:noProof/>
          </w:rPr>
          <w:fldChar w:fldCharType="end"/>
        </w:r>
      </w:p>
    </w:sdtContent>
  </w:sdt>
  <w:p w14:paraId="1A54616F" w14:textId="77777777" w:rsidR="008816CF" w:rsidRPr="009D6F93" w:rsidRDefault="008816CF" w:rsidP="00866D52">
    <w:pPr>
      <w:pStyle w:val="Footer"/>
      <w:pBdr>
        <w:top w:val="single" w:sz="4" w:space="1" w:color="D9D9D9" w:themeColor="background1" w:themeShade="D9"/>
      </w:pBdr>
      <w:rPr>
        <w:b/>
        <w:bCs/>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DE3B5" w14:textId="77777777" w:rsidR="008E2598" w:rsidRDefault="008E2598">
    <w:pPr>
      <w:pStyle w:val="BodyText"/>
      <w:spacing w:line="14" w:lineRule="auto"/>
      <w:rPr>
        <w:sz w:val="20"/>
      </w:rPr>
    </w:pPr>
    <w:r>
      <w:rPr>
        <w:noProof/>
        <w:lang w:val="en-AU" w:eastAsia="en-AU"/>
      </w:rPr>
      <mc:AlternateContent>
        <mc:Choice Requires="wps">
          <w:drawing>
            <wp:anchor distT="0" distB="0" distL="114300" distR="114300" simplePos="0" relativeHeight="251692032" behindDoc="1" locked="0" layoutInCell="1" allowOverlap="1" wp14:anchorId="14FF8B47" wp14:editId="2A8EE542">
              <wp:simplePos x="0" y="0"/>
              <wp:positionH relativeFrom="page">
                <wp:posOffset>5869940</wp:posOffset>
              </wp:positionH>
              <wp:positionV relativeFrom="page">
                <wp:posOffset>10101580</wp:posOffset>
              </wp:positionV>
              <wp:extent cx="594360" cy="152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2D608" w14:textId="2B42748B" w:rsidR="008E2598" w:rsidRDefault="008E2598">
                          <w:pPr>
                            <w:spacing w:line="212" w:lineRule="exact"/>
                            <w:ind w:left="20"/>
                            <w:rPr>
                              <w:b/>
                              <w:sz w:val="20"/>
                            </w:rPr>
                          </w:pPr>
                          <w:r>
                            <w:rPr>
                              <w:w w:val="95"/>
                              <w:sz w:val="20"/>
                            </w:rPr>
                            <w:t>Page</w:t>
                          </w:r>
                          <w:r>
                            <w:rPr>
                              <w:spacing w:val="-27"/>
                              <w:w w:val="95"/>
                              <w:sz w:val="20"/>
                            </w:rPr>
                            <w:t xml:space="preserve"> </w:t>
                          </w:r>
                          <w:r>
                            <w:fldChar w:fldCharType="begin"/>
                          </w:r>
                          <w:r>
                            <w:rPr>
                              <w:b/>
                              <w:w w:val="95"/>
                              <w:sz w:val="20"/>
                            </w:rPr>
                            <w:instrText xml:space="preserve"> PAGE </w:instrText>
                          </w:r>
                          <w:r>
                            <w:fldChar w:fldCharType="separate"/>
                          </w:r>
                          <w:r w:rsidR="00E24F0B">
                            <w:rPr>
                              <w:b/>
                              <w:noProof/>
                              <w:w w:val="95"/>
                              <w:sz w:val="20"/>
                            </w:rPr>
                            <w:t>27</w:t>
                          </w:r>
                          <w:r>
                            <w:fldChar w:fldCharType="end"/>
                          </w:r>
                          <w:r>
                            <w:rPr>
                              <w:b/>
                              <w:spacing w:val="-27"/>
                              <w:w w:val="95"/>
                              <w:sz w:val="20"/>
                            </w:rPr>
                            <w:t xml:space="preserve"> </w:t>
                          </w:r>
                          <w:r>
                            <w:rPr>
                              <w:w w:val="95"/>
                              <w:sz w:val="20"/>
                            </w:rPr>
                            <w:t>of</w:t>
                          </w:r>
                          <w:r>
                            <w:rPr>
                              <w:spacing w:val="-27"/>
                              <w:w w:val="95"/>
                              <w:sz w:val="20"/>
                            </w:rPr>
                            <w:t xml:space="preserve"> </w:t>
                          </w:r>
                          <w:r>
                            <w:rPr>
                              <w:b/>
                              <w:w w:val="95"/>
                              <w:sz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F8B47" id="_x0000_t202" coordsize="21600,21600" o:spt="202" path="m,l,21600r21600,l21600,xe">
              <v:stroke joinstyle="miter"/>
              <v:path gradientshapeok="t" o:connecttype="rect"/>
            </v:shapetype>
            <v:shape id="_x0000_s1039" type="#_x0000_t202" style="position:absolute;left:0;text-align:left;margin-left:462.2pt;margin-top:795.4pt;width:46.8pt;height:12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" filled="f" stroked="f">
              <v:path arrowok="t"/>
              <v:textbox inset="0,0,0,0">
                <w:txbxContent>
                  <w:p w14:paraId="6252D608" w14:textId="2B42748B" w:rsidR="008E2598" w:rsidRDefault="008E2598">
                    <w:pPr>
                      <w:spacing w:line="212" w:lineRule="exact"/>
                      <w:ind w:left="20"/>
                      <w:rPr>
                        <w:b/>
                        <w:sz w:val="20"/>
                      </w:rPr>
                    </w:pPr>
                    <w:r>
                      <w:rPr>
                        <w:w w:val="95"/>
                        <w:sz w:val="20"/>
                      </w:rPr>
                      <w:t>Page</w:t>
                    </w:r>
                    <w:r>
                      <w:rPr>
                        <w:spacing w:val="-27"/>
                        <w:w w:val="95"/>
                        <w:sz w:val="20"/>
                      </w:rPr>
                      <w:t xml:space="preserve"> </w:t>
                    </w:r>
                    <w:r>
                      <w:fldChar w:fldCharType="begin"/>
                    </w:r>
                    <w:r>
                      <w:rPr>
                        <w:b/>
                        <w:w w:val="95"/>
                        <w:sz w:val="20"/>
                      </w:rPr>
                      <w:instrText xml:space="preserve"> PAGE </w:instrText>
                    </w:r>
                    <w:r>
                      <w:fldChar w:fldCharType="separate"/>
                    </w:r>
                    <w:r w:rsidR="00E24F0B">
                      <w:rPr>
                        <w:b/>
                        <w:noProof/>
                        <w:w w:val="95"/>
                        <w:sz w:val="20"/>
                      </w:rPr>
                      <w:t>27</w:t>
                    </w:r>
                    <w:r>
                      <w:fldChar w:fldCharType="end"/>
                    </w:r>
                    <w:r>
                      <w:rPr>
                        <w:b/>
                        <w:spacing w:val="-27"/>
                        <w:w w:val="95"/>
                        <w:sz w:val="20"/>
                      </w:rPr>
                      <w:t xml:space="preserve"> </w:t>
                    </w:r>
                    <w:r>
                      <w:rPr>
                        <w:w w:val="95"/>
                        <w:sz w:val="20"/>
                      </w:rPr>
                      <w:t>of</w:t>
                    </w:r>
                    <w:r>
                      <w:rPr>
                        <w:spacing w:val="-27"/>
                        <w:w w:val="95"/>
                        <w:sz w:val="20"/>
                      </w:rPr>
                      <w:t xml:space="preserve"> </w:t>
                    </w:r>
                    <w:r>
                      <w:rPr>
                        <w:b/>
                        <w:w w:val="95"/>
                        <w:sz w:val="20"/>
                      </w:rPr>
                      <w:t>6</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93056" behindDoc="1" locked="0" layoutInCell="1" allowOverlap="1" wp14:anchorId="46FDCCDF" wp14:editId="11A9742F">
              <wp:simplePos x="0" y="0"/>
              <wp:positionH relativeFrom="page">
                <wp:posOffset>706755</wp:posOffset>
              </wp:positionH>
              <wp:positionV relativeFrom="page">
                <wp:posOffset>10119995</wp:posOffset>
              </wp:positionV>
              <wp:extent cx="3630930" cy="127635"/>
              <wp:effectExtent l="0" t="0" r="0" b="0"/>
              <wp:wrapNone/>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309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C9808" w14:textId="77777777" w:rsidR="008E2598" w:rsidRDefault="008E2598">
                          <w:pPr>
                            <w:spacing w:line="175" w:lineRule="exact"/>
                            <w:ind w:left="20"/>
                            <w:rPr>
                              <w:sz w:val="16"/>
                            </w:rPr>
                          </w:pPr>
                          <w:r>
                            <w:rPr>
                              <w:w w:val="95"/>
                              <w:sz w:val="16"/>
                            </w:rPr>
                            <w:t>Terms</w:t>
                          </w:r>
                          <w:r>
                            <w:rPr>
                              <w:spacing w:val="-17"/>
                              <w:w w:val="95"/>
                              <w:sz w:val="16"/>
                            </w:rPr>
                            <w:t xml:space="preserve"> </w:t>
                          </w:r>
                          <w:r>
                            <w:rPr>
                              <w:w w:val="95"/>
                              <w:sz w:val="16"/>
                            </w:rPr>
                            <w:t>of</w:t>
                          </w:r>
                          <w:r>
                            <w:rPr>
                              <w:spacing w:val="-17"/>
                              <w:w w:val="95"/>
                              <w:sz w:val="16"/>
                            </w:rPr>
                            <w:t xml:space="preserve"> </w:t>
                          </w:r>
                          <w:r>
                            <w:rPr>
                              <w:w w:val="95"/>
                              <w:sz w:val="16"/>
                            </w:rPr>
                            <w:t>Reference</w:t>
                          </w:r>
                          <w:r>
                            <w:rPr>
                              <w:spacing w:val="-17"/>
                              <w:w w:val="95"/>
                              <w:sz w:val="16"/>
                            </w:rPr>
                            <w:t xml:space="preserve"> </w:t>
                          </w:r>
                          <w:r>
                            <w:rPr>
                              <w:w w:val="95"/>
                              <w:sz w:val="16"/>
                            </w:rPr>
                            <w:t>–</w:t>
                          </w:r>
                          <w:r>
                            <w:rPr>
                              <w:spacing w:val="-17"/>
                              <w:w w:val="95"/>
                              <w:sz w:val="16"/>
                            </w:rPr>
                            <w:t xml:space="preserve"> </w:t>
                          </w:r>
                          <w:r>
                            <w:rPr>
                              <w:w w:val="95"/>
                              <w:sz w:val="16"/>
                            </w:rPr>
                            <w:t>Midterm</w:t>
                          </w:r>
                          <w:r>
                            <w:rPr>
                              <w:spacing w:val="-16"/>
                              <w:w w:val="95"/>
                              <w:sz w:val="16"/>
                            </w:rPr>
                            <w:t xml:space="preserve"> </w:t>
                          </w:r>
                          <w:r>
                            <w:rPr>
                              <w:w w:val="95"/>
                              <w:sz w:val="16"/>
                            </w:rPr>
                            <w:t>Review</w:t>
                          </w:r>
                          <w:r>
                            <w:rPr>
                              <w:spacing w:val="-16"/>
                              <w:w w:val="95"/>
                              <w:sz w:val="16"/>
                            </w:rPr>
                            <w:t xml:space="preserve"> </w:t>
                          </w:r>
                          <w:r>
                            <w:rPr>
                              <w:w w:val="95"/>
                              <w:sz w:val="16"/>
                            </w:rPr>
                            <w:t>of</w:t>
                          </w:r>
                          <w:r>
                            <w:rPr>
                              <w:spacing w:val="-17"/>
                              <w:w w:val="95"/>
                              <w:sz w:val="16"/>
                            </w:rPr>
                            <w:t xml:space="preserve"> </w:t>
                          </w:r>
                          <w:r>
                            <w:rPr>
                              <w:w w:val="95"/>
                              <w:sz w:val="16"/>
                            </w:rPr>
                            <w:t>the</w:t>
                          </w:r>
                          <w:r>
                            <w:rPr>
                              <w:spacing w:val="-17"/>
                              <w:w w:val="95"/>
                              <w:sz w:val="16"/>
                            </w:rPr>
                            <w:t xml:space="preserve"> </w:t>
                          </w:r>
                          <w:r>
                            <w:rPr>
                              <w:w w:val="95"/>
                              <w:sz w:val="16"/>
                            </w:rPr>
                            <w:t>Kiribati</w:t>
                          </w:r>
                          <w:r>
                            <w:rPr>
                              <w:spacing w:val="-17"/>
                              <w:w w:val="95"/>
                              <w:sz w:val="16"/>
                            </w:rPr>
                            <w:t xml:space="preserve"> </w:t>
                          </w:r>
                          <w:r>
                            <w:rPr>
                              <w:w w:val="95"/>
                              <w:sz w:val="16"/>
                            </w:rPr>
                            <w:t>Facility</w:t>
                          </w:r>
                          <w:r>
                            <w:rPr>
                              <w:spacing w:val="-8"/>
                              <w:w w:val="95"/>
                              <w:sz w:val="16"/>
                            </w:rPr>
                            <w:t xml:space="preserve"> </w:t>
                          </w:r>
                          <w:r>
                            <w:rPr>
                              <w:w w:val="95"/>
                              <w:sz w:val="16"/>
                            </w:rPr>
                            <w:t>(Ver.19/02/2019</w:t>
                          </w:r>
                          <w:r>
                            <w:rPr>
                              <w:spacing w:val="-17"/>
                              <w:w w:val="95"/>
                              <w:sz w:val="16"/>
                            </w:rPr>
                            <w:t xml:space="preserve"> </w:t>
                          </w:r>
                          <w:r>
                            <w:rPr>
                              <w:w w:val="95"/>
                              <w:sz w:val="16"/>
                            </w:rPr>
                            <w:t>5:33</w:t>
                          </w:r>
                          <w:r>
                            <w:rPr>
                              <w:spacing w:val="-17"/>
                              <w:w w:val="95"/>
                              <w:sz w:val="16"/>
                            </w:rPr>
                            <w:t xml:space="preserve"> </w:t>
                          </w:r>
                          <w:r>
                            <w:rPr>
                              <w:w w:val="95"/>
                              <w:sz w:val="16"/>
                            </w:rPr>
                            <w:t>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FDCCDF" id="Text Box 1" o:spid="_x0000_s1040" type="#_x0000_t202" style="position:absolute;left:0;text-align:left;margin-left:55.65pt;margin-top:796.85pt;width:285.9pt;height:10.0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" filled="f" stroked="f">
              <v:path arrowok="t"/>
              <v:textbox inset="0,0,0,0">
                <w:txbxContent>
                  <w:p w14:paraId="0C6C9808" w14:textId="77777777" w:rsidR="008E2598" w:rsidRDefault="008E2598">
                    <w:pPr>
                      <w:spacing w:line="175" w:lineRule="exact"/>
                      <w:ind w:left="20"/>
                      <w:rPr>
                        <w:sz w:val="16"/>
                      </w:rPr>
                    </w:pPr>
                    <w:r>
                      <w:rPr>
                        <w:w w:val="95"/>
                        <w:sz w:val="16"/>
                      </w:rPr>
                      <w:t>Terms</w:t>
                    </w:r>
                    <w:r>
                      <w:rPr>
                        <w:spacing w:val="-17"/>
                        <w:w w:val="95"/>
                        <w:sz w:val="16"/>
                      </w:rPr>
                      <w:t xml:space="preserve"> </w:t>
                    </w:r>
                    <w:r>
                      <w:rPr>
                        <w:w w:val="95"/>
                        <w:sz w:val="16"/>
                      </w:rPr>
                      <w:t>of</w:t>
                    </w:r>
                    <w:r>
                      <w:rPr>
                        <w:spacing w:val="-17"/>
                        <w:w w:val="95"/>
                        <w:sz w:val="16"/>
                      </w:rPr>
                      <w:t xml:space="preserve"> </w:t>
                    </w:r>
                    <w:r>
                      <w:rPr>
                        <w:w w:val="95"/>
                        <w:sz w:val="16"/>
                      </w:rPr>
                      <w:t>Reference</w:t>
                    </w:r>
                    <w:r>
                      <w:rPr>
                        <w:spacing w:val="-17"/>
                        <w:w w:val="95"/>
                        <w:sz w:val="16"/>
                      </w:rPr>
                      <w:t xml:space="preserve"> </w:t>
                    </w:r>
                    <w:r>
                      <w:rPr>
                        <w:w w:val="95"/>
                        <w:sz w:val="16"/>
                      </w:rPr>
                      <w:t>–</w:t>
                    </w:r>
                    <w:r>
                      <w:rPr>
                        <w:spacing w:val="-17"/>
                        <w:w w:val="95"/>
                        <w:sz w:val="16"/>
                      </w:rPr>
                      <w:t xml:space="preserve"> </w:t>
                    </w:r>
                    <w:r>
                      <w:rPr>
                        <w:w w:val="95"/>
                        <w:sz w:val="16"/>
                      </w:rPr>
                      <w:t>Midterm</w:t>
                    </w:r>
                    <w:r>
                      <w:rPr>
                        <w:spacing w:val="-16"/>
                        <w:w w:val="95"/>
                        <w:sz w:val="16"/>
                      </w:rPr>
                      <w:t xml:space="preserve"> </w:t>
                    </w:r>
                    <w:r>
                      <w:rPr>
                        <w:w w:val="95"/>
                        <w:sz w:val="16"/>
                      </w:rPr>
                      <w:t>Review</w:t>
                    </w:r>
                    <w:r>
                      <w:rPr>
                        <w:spacing w:val="-16"/>
                        <w:w w:val="95"/>
                        <w:sz w:val="16"/>
                      </w:rPr>
                      <w:t xml:space="preserve"> </w:t>
                    </w:r>
                    <w:r>
                      <w:rPr>
                        <w:w w:val="95"/>
                        <w:sz w:val="16"/>
                      </w:rPr>
                      <w:t>of</w:t>
                    </w:r>
                    <w:r>
                      <w:rPr>
                        <w:spacing w:val="-17"/>
                        <w:w w:val="95"/>
                        <w:sz w:val="16"/>
                      </w:rPr>
                      <w:t xml:space="preserve"> </w:t>
                    </w:r>
                    <w:r>
                      <w:rPr>
                        <w:w w:val="95"/>
                        <w:sz w:val="16"/>
                      </w:rPr>
                      <w:t>the</w:t>
                    </w:r>
                    <w:r>
                      <w:rPr>
                        <w:spacing w:val="-17"/>
                        <w:w w:val="95"/>
                        <w:sz w:val="16"/>
                      </w:rPr>
                      <w:t xml:space="preserve"> </w:t>
                    </w:r>
                    <w:r>
                      <w:rPr>
                        <w:w w:val="95"/>
                        <w:sz w:val="16"/>
                      </w:rPr>
                      <w:t>Kiribati</w:t>
                    </w:r>
                    <w:r>
                      <w:rPr>
                        <w:spacing w:val="-17"/>
                        <w:w w:val="95"/>
                        <w:sz w:val="16"/>
                      </w:rPr>
                      <w:t xml:space="preserve"> </w:t>
                    </w:r>
                    <w:r>
                      <w:rPr>
                        <w:w w:val="95"/>
                        <w:sz w:val="16"/>
                      </w:rPr>
                      <w:t>Facility</w:t>
                    </w:r>
                    <w:r>
                      <w:rPr>
                        <w:spacing w:val="-8"/>
                        <w:w w:val="95"/>
                        <w:sz w:val="16"/>
                      </w:rPr>
                      <w:t xml:space="preserve"> </w:t>
                    </w:r>
                    <w:r>
                      <w:rPr>
                        <w:w w:val="95"/>
                        <w:sz w:val="16"/>
                      </w:rPr>
                      <w:t>(Ver.19/02/2019</w:t>
                    </w:r>
                    <w:r>
                      <w:rPr>
                        <w:spacing w:val="-17"/>
                        <w:w w:val="95"/>
                        <w:sz w:val="16"/>
                      </w:rPr>
                      <w:t xml:space="preserve"> </w:t>
                    </w:r>
                    <w:r>
                      <w:rPr>
                        <w:w w:val="95"/>
                        <w:sz w:val="16"/>
                      </w:rPr>
                      <w:t>5:33</w:t>
                    </w:r>
                    <w:r>
                      <w:rPr>
                        <w:spacing w:val="-17"/>
                        <w:w w:val="95"/>
                        <w:sz w:val="16"/>
                      </w:rPr>
                      <w:t xml:space="preserve"> </w:t>
                    </w:r>
                    <w:r>
                      <w:rPr>
                        <w:w w:val="95"/>
                        <w:sz w:val="16"/>
                      </w:rPr>
                      <w:t>PM)</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881327"/>
      <w:docPartObj>
        <w:docPartGallery w:val="Page Numbers (Bottom of Page)"/>
        <w:docPartUnique/>
      </w:docPartObj>
    </w:sdtPr>
    <w:sdtEndPr>
      <w:rPr>
        <w:noProof/>
      </w:rPr>
    </w:sdtEndPr>
    <w:sdtContent>
      <w:p w14:paraId="43DFD24F" w14:textId="646385F5" w:rsidR="008816CF" w:rsidRDefault="008816CF">
        <w:pPr>
          <w:pStyle w:val="Footer"/>
          <w:jc w:val="right"/>
        </w:pPr>
        <w:r>
          <w:fldChar w:fldCharType="begin"/>
        </w:r>
        <w:r>
          <w:instrText xml:space="preserve"> PAGE   \* MERGEFORMAT </w:instrText>
        </w:r>
        <w:r>
          <w:fldChar w:fldCharType="separate"/>
        </w:r>
        <w:r w:rsidR="00E24F0B">
          <w:rPr>
            <w:noProof/>
          </w:rPr>
          <w:t>29</w:t>
        </w:r>
        <w:r>
          <w:rPr>
            <w:noProof/>
          </w:rPr>
          <w:fldChar w:fldCharType="end"/>
        </w:r>
      </w:p>
    </w:sdtContent>
  </w:sdt>
  <w:p w14:paraId="7C93EE06" w14:textId="77777777" w:rsidR="008816CF" w:rsidRPr="009D6F93" w:rsidRDefault="008816CF" w:rsidP="009D6F93">
    <w:pPr>
      <w:pStyle w:val="Footer"/>
      <w:pBdr>
        <w:top w:val="single" w:sz="4" w:space="1" w:color="D9D9D9" w:themeColor="background1" w:themeShade="D9"/>
      </w:pBd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5DDB4" w14:textId="77777777" w:rsidR="00836A4F" w:rsidRDefault="00836A4F" w:rsidP="00D6021F">
      <w:r>
        <w:separator/>
      </w:r>
    </w:p>
  </w:footnote>
  <w:footnote w:type="continuationSeparator" w:id="0">
    <w:p w14:paraId="7E5B6CF5" w14:textId="77777777" w:rsidR="00836A4F" w:rsidRDefault="00836A4F" w:rsidP="00D6021F">
      <w:r>
        <w:continuationSeparator/>
      </w:r>
    </w:p>
  </w:footnote>
  <w:footnote w:type="continuationNotice" w:id="1">
    <w:p w14:paraId="25DD897C" w14:textId="77777777" w:rsidR="00836A4F" w:rsidRDefault="00836A4F"/>
  </w:footnote>
  <w:footnote w:id="2">
    <w:p w14:paraId="6A6A28BE" w14:textId="77777777" w:rsidR="008816CF" w:rsidRPr="00C57490" w:rsidRDefault="008816CF" w:rsidP="000E1F51">
      <w:pPr>
        <w:pStyle w:val="FootnoteText"/>
        <w:rPr>
          <w:sz w:val="18"/>
          <w:szCs w:val="18"/>
        </w:rPr>
      </w:pPr>
      <w:r>
        <w:rPr>
          <w:rStyle w:val="FootnoteReference"/>
        </w:rPr>
        <w:footnoteRef/>
      </w:r>
      <w:r>
        <w:t xml:space="preserve"> </w:t>
      </w:r>
      <w:r w:rsidRPr="00C57490">
        <w:rPr>
          <w:sz w:val="18"/>
          <w:szCs w:val="18"/>
        </w:rPr>
        <w:t>International Monetary Fund (IMF),  Kiribati: Staff Concluding Statement of the 2018 Article IV Mission, (30th October, 2018)   </w:t>
      </w:r>
      <w:hyperlink r:id="rId1" w:history="1">
        <w:r w:rsidRPr="00C57490">
          <w:rPr>
            <w:sz w:val="18"/>
            <w:szCs w:val="18"/>
          </w:rPr>
          <w:t>https://www.imf.org/en/News/Articles/2018/10/30/ms10318-kiribati-staff-concluding-statement-of-the-2018-article-iv-mission</w:t>
        </w:r>
      </w:hyperlink>
      <w:r w:rsidRPr="00C57490">
        <w:rPr>
          <w:sz w:val="18"/>
          <w:szCs w:val="18"/>
        </w:rPr>
        <w:t xml:space="preserve"> </w:t>
      </w:r>
    </w:p>
  </w:footnote>
  <w:footnote w:id="3">
    <w:p w14:paraId="05A9FC82" w14:textId="77777777" w:rsidR="008816CF" w:rsidRPr="00C57490" w:rsidRDefault="008816CF" w:rsidP="000E1F51">
      <w:pPr>
        <w:pStyle w:val="FootnoteText"/>
        <w:rPr>
          <w:sz w:val="18"/>
          <w:szCs w:val="18"/>
        </w:rPr>
      </w:pPr>
      <w:r>
        <w:rPr>
          <w:rStyle w:val="FootnoteReference"/>
        </w:rPr>
        <w:footnoteRef/>
      </w:r>
      <w:r>
        <w:t xml:space="preserve"> </w:t>
      </w:r>
      <w:r w:rsidRPr="00C57490">
        <w:rPr>
          <w:sz w:val="18"/>
          <w:szCs w:val="18"/>
        </w:rPr>
        <w:t>International Monetary Fund (IMF),  </w:t>
      </w:r>
      <w:r w:rsidRPr="00C57490">
        <w:rPr>
          <w:i/>
          <w:iCs/>
          <w:sz w:val="18"/>
          <w:szCs w:val="18"/>
        </w:rPr>
        <w:t>Kiribati: Staff Concluding Statement of the 2018 Article IV Mission</w:t>
      </w:r>
      <w:r w:rsidRPr="00C57490">
        <w:rPr>
          <w:sz w:val="18"/>
          <w:szCs w:val="18"/>
        </w:rPr>
        <w:t>, (30</w:t>
      </w:r>
      <w:r w:rsidRPr="00C57490">
        <w:rPr>
          <w:sz w:val="18"/>
          <w:szCs w:val="18"/>
          <w:vertAlign w:val="superscript"/>
        </w:rPr>
        <w:t>th</w:t>
      </w:r>
      <w:r w:rsidRPr="00C57490">
        <w:rPr>
          <w:sz w:val="18"/>
          <w:szCs w:val="18"/>
        </w:rPr>
        <w:t> October, 2018)   </w:t>
      </w:r>
      <w:hyperlink r:id="rId2" w:history="1">
        <w:r w:rsidRPr="00C57490">
          <w:rPr>
            <w:rStyle w:val="Hyperlink"/>
            <w:sz w:val="18"/>
            <w:szCs w:val="18"/>
          </w:rPr>
          <w:t>https://www.imf.org/en/News/Articles/2018/10/30/ms10318-kiribati-staff-concluding-statement-of-the-2018-article-iv-mission</w:t>
        </w:r>
      </w:hyperlink>
    </w:p>
  </w:footnote>
  <w:footnote w:id="4">
    <w:p w14:paraId="4E90D58E" w14:textId="77777777" w:rsidR="008816CF" w:rsidRDefault="008816CF" w:rsidP="000E1F51">
      <w:pPr>
        <w:pStyle w:val="FootnoteText"/>
      </w:pPr>
      <w:r>
        <w:rPr>
          <w:rStyle w:val="FootnoteReference"/>
        </w:rPr>
        <w:footnoteRef/>
      </w:r>
      <w:r>
        <w:t xml:space="preserve"> </w:t>
      </w:r>
      <w:r w:rsidRPr="00C57490">
        <w:rPr>
          <w:sz w:val="18"/>
          <w:szCs w:val="18"/>
        </w:rPr>
        <w:t xml:space="preserve">World Bank, </w:t>
      </w:r>
      <w:hyperlink r:id="rId3" w:history="1">
        <w:r w:rsidRPr="00C57490">
          <w:rPr>
            <w:rStyle w:val="Hyperlink"/>
            <w:sz w:val="18"/>
            <w:szCs w:val="18"/>
          </w:rPr>
          <w:t>https://data.worldbank.org/indicator/bx.trf.pwkr.dt.gd.zs</w:t>
        </w:r>
      </w:hyperlink>
      <w:r>
        <w:t xml:space="preserve"> </w:t>
      </w:r>
    </w:p>
  </w:footnote>
  <w:footnote w:id="5">
    <w:p w14:paraId="6942F28A" w14:textId="1DC16A04" w:rsidR="008816CF" w:rsidRDefault="008816CF">
      <w:pPr>
        <w:pStyle w:val="FootnoteText"/>
      </w:pPr>
      <w:r>
        <w:rPr>
          <w:rStyle w:val="FootnoteReference"/>
        </w:rPr>
        <w:footnoteRef/>
      </w:r>
      <w:r>
        <w:t xml:space="preserve"> </w:t>
      </w:r>
      <w:r w:rsidRPr="00C57490">
        <w:rPr>
          <w:sz w:val="18"/>
          <w:szCs w:val="18"/>
        </w:rPr>
        <w:t>As cited in the Kiribati Facility Annual Report, 2019, p. 15</w:t>
      </w:r>
    </w:p>
  </w:footnote>
  <w:footnote w:id="6">
    <w:p w14:paraId="34357B14" w14:textId="77777777" w:rsidR="008816CF" w:rsidRDefault="008816CF" w:rsidP="004120D9">
      <w:pPr>
        <w:pStyle w:val="FootnoteText"/>
      </w:pPr>
      <w:r>
        <w:rPr>
          <w:rStyle w:val="FootnoteReference"/>
        </w:rPr>
        <w:footnoteRef/>
      </w:r>
      <w:r>
        <w:t xml:space="preserve"> </w:t>
      </w:r>
      <w:r w:rsidRPr="00C57490">
        <w:rPr>
          <w:sz w:val="18"/>
          <w:szCs w:val="18"/>
        </w:rPr>
        <w:t>Kiribati 20 Year Vision 2016 – 2036, page 28.</w:t>
      </w:r>
    </w:p>
  </w:footnote>
  <w:footnote w:id="7">
    <w:p w14:paraId="0665E06D" w14:textId="76E345E8" w:rsidR="008816CF" w:rsidRPr="004061F5" w:rsidRDefault="008816CF">
      <w:pPr>
        <w:pStyle w:val="FootnoteText"/>
        <w:rPr>
          <w:rFonts w:cs="Arial"/>
          <w:sz w:val="18"/>
          <w:szCs w:val="18"/>
          <w:lang w:val="en-AU"/>
        </w:rPr>
      </w:pPr>
      <w:r>
        <w:rPr>
          <w:rStyle w:val="FootnoteReference"/>
        </w:rPr>
        <w:footnoteRef/>
      </w:r>
      <w:r>
        <w:t xml:space="preserve"> </w:t>
      </w:r>
      <w:r w:rsidRPr="004061F5">
        <w:rPr>
          <w:rFonts w:cs="Arial"/>
          <w:sz w:val="18"/>
          <w:szCs w:val="18"/>
          <w:lang w:val="en-AU"/>
        </w:rPr>
        <w:t xml:space="preserve">SPAG is the primary source of high-level advice to the program. It provides a forum for the development partners to meet and assess progress </w:t>
      </w:r>
      <w:r>
        <w:rPr>
          <w:rFonts w:cs="Arial"/>
          <w:sz w:val="18"/>
          <w:szCs w:val="18"/>
          <w:lang w:val="en-AU"/>
        </w:rPr>
        <w:t>of the Kiribati Facility</w:t>
      </w:r>
      <w:r w:rsidRPr="004061F5">
        <w:rPr>
          <w:rFonts w:cs="Arial"/>
          <w:sz w:val="18"/>
          <w:szCs w:val="18"/>
          <w:lang w:val="en-AU"/>
        </w:rPr>
        <w:t>. Where appropriate, it also provides advice on new directions or proposed changes</w:t>
      </w:r>
      <w:r>
        <w:rPr>
          <w:rFonts w:cs="Arial"/>
          <w:sz w:val="18"/>
          <w:szCs w:val="18"/>
          <w:lang w:val="en-AU"/>
        </w:rPr>
        <w:t>.</w:t>
      </w:r>
    </w:p>
  </w:footnote>
  <w:footnote w:id="8">
    <w:p w14:paraId="1F020EA2" w14:textId="7B9FE6FA" w:rsidR="008816CF" w:rsidRDefault="008816CF">
      <w:pPr>
        <w:pStyle w:val="FootnoteText"/>
      </w:pPr>
      <w:r>
        <w:rPr>
          <w:rStyle w:val="FootnoteReference"/>
        </w:rPr>
        <w:footnoteRef/>
      </w:r>
      <w:r>
        <w:t xml:space="preserve"> </w:t>
      </w:r>
      <w:r w:rsidRPr="00894D4B">
        <w:rPr>
          <w:rFonts w:cs="Arial"/>
          <w:sz w:val="18"/>
          <w:szCs w:val="18"/>
          <w:lang w:val="en-AU"/>
        </w:rPr>
        <w:t xml:space="preserve">The workshop included representatives of the business sector, members of relevant civil society organisations, KIT, government officials, </w:t>
      </w:r>
      <w:r>
        <w:rPr>
          <w:rFonts w:cs="Arial"/>
          <w:sz w:val="18"/>
          <w:szCs w:val="18"/>
          <w:lang w:val="en-AU"/>
        </w:rPr>
        <w:t xml:space="preserve">officials from state owned enterprises, </w:t>
      </w:r>
      <w:r w:rsidRPr="00894D4B">
        <w:rPr>
          <w:rFonts w:cs="Arial"/>
          <w:sz w:val="18"/>
          <w:szCs w:val="18"/>
          <w:lang w:val="en-AU"/>
        </w:rPr>
        <w:t>and representatives from APTC.</w:t>
      </w:r>
      <w:r>
        <w:rPr>
          <w:rFonts w:cs="Arial"/>
          <w:lang w:val="en-AU"/>
        </w:rPr>
        <w:t xml:space="preserve">  </w:t>
      </w:r>
    </w:p>
  </w:footnote>
  <w:footnote w:id="9">
    <w:p w14:paraId="2293EE25" w14:textId="10430A06" w:rsidR="008816CF" w:rsidRPr="00C078C8" w:rsidRDefault="008816CF" w:rsidP="00C078C8">
      <w:pPr>
        <w:rPr>
          <w:rFonts w:asciiTheme="minorHAnsi" w:hAnsiTheme="minorHAnsi"/>
          <w:sz w:val="18"/>
          <w:szCs w:val="18"/>
        </w:rPr>
      </w:pPr>
      <w:r>
        <w:rPr>
          <w:rStyle w:val="FootnoteReference"/>
        </w:rPr>
        <w:footnoteRef/>
      </w:r>
      <w:r>
        <w:t xml:space="preserve"> </w:t>
      </w:r>
      <w:r w:rsidRPr="00C078C8">
        <w:rPr>
          <w:rFonts w:asciiTheme="minorHAnsi" w:hAnsiTheme="minorHAnsi"/>
          <w:sz w:val="18"/>
          <w:szCs w:val="18"/>
        </w:rPr>
        <w:t>However, without accurate labour mobility evidence, some interviews have suggested that the identification of these areas as ‘niche areas for I-Kiribati’ needs to be questioned</w:t>
      </w:r>
      <w:r>
        <w:rPr>
          <w:rFonts w:asciiTheme="minorHAnsi" w:hAnsiTheme="minorHAnsi"/>
          <w:sz w:val="18"/>
          <w:szCs w:val="18"/>
        </w:rPr>
        <w:t>, albeit recent work by Jim Redden (2019) in his ‘Kiribati Facility – SfEP Labour Market Study’ does suggest some potential niche areas by the fact that Kiribati has an existing work ready pool which no other country has in personal care workers and unemployed trained stewards from MTC</w:t>
      </w:r>
      <w:r w:rsidRPr="00C078C8">
        <w:rPr>
          <w:rFonts w:asciiTheme="minorHAnsi" w:hAnsiTheme="minorHAnsi"/>
          <w:sz w:val="18"/>
          <w:szCs w:val="18"/>
        </w:rPr>
        <w:t xml:space="preserve">. </w:t>
      </w:r>
      <w:r>
        <w:rPr>
          <w:rFonts w:asciiTheme="minorHAnsi" w:hAnsiTheme="minorHAnsi"/>
          <w:sz w:val="18"/>
          <w:szCs w:val="18"/>
        </w:rPr>
        <w:t xml:space="preserve">Further research is needed on this topic, including the ramifications for female students with regards to how the courses in </w:t>
      </w:r>
      <w:r w:rsidRPr="002B4D47">
        <w:rPr>
          <w:rFonts w:asciiTheme="minorHAnsi" w:hAnsiTheme="minorHAnsi"/>
          <w:sz w:val="18"/>
          <w:szCs w:val="18"/>
        </w:rPr>
        <w:t>Hospitality, Aged care and Individual support</w:t>
      </w:r>
      <w:r>
        <w:rPr>
          <w:rFonts w:asciiTheme="minorHAnsi" w:hAnsiTheme="minorHAnsi"/>
          <w:sz w:val="18"/>
          <w:szCs w:val="18"/>
        </w:rPr>
        <w:t xml:space="preserve"> are currently being delivered, especially if the Royal Commission, as expected, makes recommendations pertaining to formalising training and stringent mandatory qualifications.</w:t>
      </w:r>
    </w:p>
  </w:footnote>
  <w:footnote w:id="10">
    <w:p w14:paraId="035BA116" w14:textId="55924292" w:rsidR="008816CF" w:rsidRPr="001615E5" w:rsidRDefault="008816CF" w:rsidP="001615E5">
      <w:pPr>
        <w:rPr>
          <w:rFonts w:asciiTheme="minorHAnsi" w:hAnsiTheme="minorHAnsi"/>
          <w:sz w:val="18"/>
          <w:szCs w:val="18"/>
        </w:rPr>
      </w:pPr>
      <w:r>
        <w:rPr>
          <w:rStyle w:val="FootnoteReference"/>
        </w:rPr>
        <w:footnoteRef/>
      </w:r>
      <w:r>
        <w:t xml:space="preserve"> </w:t>
      </w:r>
      <w:r w:rsidRPr="001615E5">
        <w:rPr>
          <w:rFonts w:asciiTheme="minorHAnsi" w:hAnsiTheme="minorHAnsi"/>
          <w:sz w:val="18"/>
          <w:szCs w:val="18"/>
        </w:rPr>
        <w:t xml:space="preserve">It is worth noting that this may not be strictly true. Other evidence suggests that </w:t>
      </w:r>
      <w:r>
        <w:rPr>
          <w:rFonts w:asciiTheme="minorHAnsi" w:hAnsiTheme="minorHAnsi"/>
          <w:sz w:val="18"/>
          <w:szCs w:val="18"/>
        </w:rPr>
        <w:t>t</w:t>
      </w:r>
      <w:r w:rsidRPr="001615E5">
        <w:rPr>
          <w:rFonts w:asciiTheme="minorHAnsi" w:hAnsiTheme="minorHAnsi"/>
          <w:color w:val="000000"/>
          <w:sz w:val="18"/>
          <w:szCs w:val="18"/>
        </w:rPr>
        <w:t>he early feedback from PLF to APTC is that employer demand is not necessarily for people with accredited training. In abattoirs and tourism operators it is often the case that employers value their own training way above formal training and are looking for good, teachable people, not people with accreditation.</w:t>
      </w:r>
    </w:p>
  </w:footnote>
  <w:footnote w:id="11">
    <w:p w14:paraId="4F930C9A" w14:textId="52D391BC" w:rsidR="008816CF" w:rsidRPr="002B4D47" w:rsidRDefault="008816CF">
      <w:pPr>
        <w:pStyle w:val="FootnoteText"/>
        <w:rPr>
          <w:sz w:val="18"/>
          <w:szCs w:val="18"/>
        </w:rPr>
      </w:pPr>
      <w:r>
        <w:rPr>
          <w:rStyle w:val="FootnoteReference"/>
        </w:rPr>
        <w:footnoteRef/>
      </w:r>
      <w:r>
        <w:t xml:space="preserve"> </w:t>
      </w:r>
      <w:r w:rsidRPr="002B4D47">
        <w:rPr>
          <w:sz w:val="18"/>
          <w:szCs w:val="18"/>
        </w:rPr>
        <w:t>Dialogue between DFAT and MEHR will be required to ensure that the MEHR recognise the importance of the international dimension that the current management team bring to KIT which ensures, for instance, that trainees are taught and eventually accredited against internationally recognised standards.</w:t>
      </w:r>
      <w:r>
        <w:rPr>
          <w:sz w:val="18"/>
          <w:szCs w:val="18"/>
        </w:rPr>
        <w:t xml:space="preserve"> An extensive understanding of the regional and Australian vocational training sector will remain important in leveraging the gains made to date in preparing I-Kiribati for international employment.</w:t>
      </w:r>
    </w:p>
  </w:footnote>
  <w:footnote w:id="12">
    <w:p w14:paraId="559C6F0E" w14:textId="306B5DE8" w:rsidR="008816CF" w:rsidRPr="00155EAD" w:rsidRDefault="008816CF">
      <w:pPr>
        <w:pStyle w:val="FootnoteText"/>
        <w:rPr>
          <w:sz w:val="18"/>
          <w:szCs w:val="18"/>
        </w:rPr>
      </w:pPr>
      <w:r>
        <w:rPr>
          <w:rStyle w:val="FootnoteReference"/>
        </w:rPr>
        <w:footnoteRef/>
      </w:r>
      <w:r>
        <w:t xml:space="preserve"> </w:t>
      </w:r>
      <w:r w:rsidRPr="00155EAD">
        <w:rPr>
          <w:b/>
          <w:sz w:val="18"/>
          <w:szCs w:val="18"/>
        </w:rPr>
        <w:t>Key</w:t>
      </w:r>
      <w:r w:rsidRPr="00155EAD">
        <w:rPr>
          <w:sz w:val="18"/>
          <w:szCs w:val="18"/>
        </w:rPr>
        <w:t>: RSE = Recognised Seasonal Employer; SWP = Seasonal Worker Program; NAWPP = Northern Australian Worker Pilot Program; PLS = Pacific Labour Scheme</w:t>
      </w:r>
    </w:p>
  </w:footnote>
  <w:footnote w:id="13">
    <w:p w14:paraId="4BDD7869" w14:textId="7073B66C" w:rsidR="008816CF" w:rsidRPr="00FD6106" w:rsidRDefault="008816CF">
      <w:pPr>
        <w:pStyle w:val="FootnoteText"/>
        <w:rPr>
          <w:sz w:val="18"/>
          <w:szCs w:val="18"/>
        </w:rPr>
      </w:pPr>
      <w:r>
        <w:rPr>
          <w:rStyle w:val="FootnoteReference"/>
        </w:rPr>
        <w:footnoteRef/>
      </w:r>
      <w:r>
        <w:t xml:space="preserve"> </w:t>
      </w:r>
      <w:r w:rsidRPr="00FD6106">
        <w:rPr>
          <w:rFonts w:ascii="Calibri" w:hAnsi="Calibri" w:cs="Calibri"/>
          <w:iCs/>
          <w:sz w:val="18"/>
          <w:szCs w:val="18"/>
        </w:rPr>
        <w:t>ESS could offer longer, more comprehensive training that is offered regularly rather than immediately before workers depart. Such a course would expand on the existing briefing and include additional topics identified through feedback from workers (such as oral hygiene, nutrition, personal hygiene, contractual issues, and so on). Workers who have completed the course would then be provided with a short ‘refresher’ course prior to their departure.</w:t>
      </w:r>
    </w:p>
  </w:footnote>
  <w:footnote w:id="14">
    <w:p w14:paraId="4D2E5F7C" w14:textId="14C22942" w:rsidR="008816CF" w:rsidRPr="007C73DD" w:rsidRDefault="008816CF">
      <w:pPr>
        <w:pStyle w:val="FootnoteText"/>
        <w:rPr>
          <w:sz w:val="18"/>
          <w:szCs w:val="18"/>
        </w:rPr>
      </w:pPr>
      <w:r>
        <w:rPr>
          <w:rStyle w:val="FootnoteReference"/>
        </w:rPr>
        <w:footnoteRef/>
      </w:r>
      <w:r>
        <w:t xml:space="preserve"> </w:t>
      </w:r>
      <w:r>
        <w:rPr>
          <w:sz w:val="18"/>
          <w:szCs w:val="18"/>
        </w:rPr>
        <w:t>ESS could be tasked with providing reintegration training that would include both socio-cultural and financial aspects regarding the workers return to home and reintegration into their respective communities.</w:t>
      </w:r>
    </w:p>
  </w:footnote>
  <w:footnote w:id="15">
    <w:p w14:paraId="5AFD049B" w14:textId="7C0D6B11" w:rsidR="008816CF" w:rsidRDefault="008816CF">
      <w:pPr>
        <w:pStyle w:val="FootnoteText"/>
      </w:pPr>
      <w:r>
        <w:rPr>
          <w:rStyle w:val="FootnoteReference"/>
        </w:rPr>
        <w:footnoteRef/>
      </w:r>
      <w:r>
        <w:t xml:space="preserve"> </w:t>
      </w:r>
      <w:r w:rsidRPr="001D3B2B">
        <w:rPr>
          <w:b/>
          <w:sz w:val="18"/>
          <w:szCs w:val="18"/>
        </w:rPr>
        <w:t>Annex 6</w:t>
      </w:r>
      <w:r w:rsidRPr="000D1BDC">
        <w:rPr>
          <w:sz w:val="18"/>
          <w:szCs w:val="18"/>
        </w:rPr>
        <w:t xml:space="preserve"> provides a summary of the </w:t>
      </w:r>
      <w:r>
        <w:rPr>
          <w:sz w:val="18"/>
          <w:szCs w:val="18"/>
        </w:rPr>
        <w:t>key characteristics of different TVET organisations operating in different countries across the Pacific. The annex also describes to what extent the organisation and/or system in each Pacific country has responded to the PLS and to what extent adjustments have been made to respond to the redesigned APTC.</w:t>
      </w:r>
    </w:p>
  </w:footnote>
  <w:footnote w:id="16">
    <w:p w14:paraId="744DB534" w14:textId="63BAE493" w:rsidR="008816CF" w:rsidRPr="002F3270" w:rsidRDefault="008816CF">
      <w:pPr>
        <w:pStyle w:val="FootnoteText"/>
        <w:rPr>
          <w:sz w:val="18"/>
          <w:szCs w:val="18"/>
        </w:rPr>
      </w:pPr>
      <w:r>
        <w:rPr>
          <w:rStyle w:val="FootnoteReference"/>
        </w:rPr>
        <w:footnoteRef/>
      </w:r>
      <w:r>
        <w:t xml:space="preserve"> </w:t>
      </w:r>
      <w:r w:rsidRPr="002B4D47">
        <w:rPr>
          <w:sz w:val="18"/>
          <w:szCs w:val="18"/>
        </w:rPr>
        <w:t>Future reporting by KIT should ensure all data (such as application, enrolment, graduation</w:t>
      </w:r>
      <w:r>
        <w:rPr>
          <w:sz w:val="18"/>
          <w:szCs w:val="18"/>
        </w:rPr>
        <w:t>, tracer studies</w:t>
      </w:r>
      <w:r w:rsidRPr="0072186B">
        <w:rPr>
          <w:sz w:val="18"/>
          <w:szCs w:val="18"/>
        </w:rPr>
        <w:t xml:space="preserve"> and employment outcomes</w:t>
      </w:r>
      <w:r w:rsidRPr="002B4D47">
        <w:rPr>
          <w:sz w:val="18"/>
          <w:szCs w:val="18"/>
        </w:rPr>
        <w:t>) is systematically disaggregated to enable a better perspective on any gender dimensions with regards to the EOPOs.</w:t>
      </w:r>
      <w:r w:rsidRPr="0072186B">
        <w:rPr>
          <w:sz w:val="18"/>
          <w:szCs w:val="18"/>
        </w:rPr>
        <w:t xml:space="preserve"> Further research is also required on how KIT </w:t>
      </w:r>
      <w:r w:rsidRPr="002F3270">
        <w:rPr>
          <w:sz w:val="18"/>
          <w:szCs w:val="18"/>
        </w:rPr>
        <w:t>has managed to increase women’s participation in non-traditional courses, and what steps need to be taken to consolidate these gains.</w:t>
      </w:r>
    </w:p>
  </w:footnote>
  <w:footnote w:id="17">
    <w:p w14:paraId="6086DFD0" w14:textId="49987A8F" w:rsidR="008816CF" w:rsidRDefault="008816CF">
      <w:pPr>
        <w:pStyle w:val="FootnoteText"/>
      </w:pPr>
      <w:r>
        <w:rPr>
          <w:rStyle w:val="FootnoteReference"/>
        </w:rPr>
        <w:footnoteRef/>
      </w:r>
      <w:r>
        <w:t xml:space="preserve"> </w:t>
      </w:r>
      <w:r w:rsidRPr="00A737D7">
        <w:rPr>
          <w:rFonts w:ascii="Calibri" w:hAnsi="Calibri" w:cs="Calibri"/>
          <w:iCs/>
          <w:sz w:val="18"/>
          <w:szCs w:val="18"/>
        </w:rPr>
        <w:t>The English for Employment course is a six-week course to teach students to understand and speak simple phrases in English.</w:t>
      </w:r>
    </w:p>
  </w:footnote>
  <w:footnote w:id="18">
    <w:p w14:paraId="4FABDCC0" w14:textId="77777777" w:rsidR="008816CF" w:rsidRDefault="008816CF" w:rsidP="00B855BF">
      <w:pPr>
        <w:pStyle w:val="FootnoteText"/>
      </w:pPr>
      <w:r>
        <w:rPr>
          <w:rStyle w:val="FootnoteReference"/>
        </w:rPr>
        <w:footnoteRef/>
      </w:r>
      <w:r>
        <w:t xml:space="preserve"> </w:t>
      </w:r>
      <w:r w:rsidRPr="00400934">
        <w:rPr>
          <w:sz w:val="18"/>
          <w:szCs w:val="18"/>
        </w:rPr>
        <w:t>To strengthen the capability and capacity of KIT lecturers to plan, deliver and assess training to Australian and international competency standards.</w:t>
      </w:r>
    </w:p>
  </w:footnote>
  <w:footnote w:id="19">
    <w:p w14:paraId="71C49D5C" w14:textId="1EC0E08B" w:rsidR="008816CF" w:rsidRPr="002B4D47" w:rsidRDefault="008816CF">
      <w:pPr>
        <w:pStyle w:val="FootnoteText"/>
        <w:rPr>
          <w:sz w:val="18"/>
          <w:szCs w:val="18"/>
        </w:rPr>
      </w:pPr>
      <w:r>
        <w:rPr>
          <w:rStyle w:val="FootnoteReference"/>
        </w:rPr>
        <w:footnoteRef/>
      </w:r>
      <w:r>
        <w:t xml:space="preserve"> </w:t>
      </w:r>
      <w:r w:rsidRPr="002B4D47">
        <w:rPr>
          <w:sz w:val="18"/>
          <w:szCs w:val="18"/>
        </w:rPr>
        <w:t>Nevertheless, and as indicated in the most recent AQC, KIT should be encouraged to gather more data on the extent to which gender-orientated activities are being used (in particular the GBN referrals) and what more needs to be done to reduce course withdrawal rates.</w:t>
      </w:r>
    </w:p>
  </w:footnote>
  <w:footnote w:id="20">
    <w:p w14:paraId="232B962D" w14:textId="77777777" w:rsidR="008816CF" w:rsidRPr="00A675E4" w:rsidRDefault="008816CF" w:rsidP="007225C4">
      <w:pPr>
        <w:pStyle w:val="FootnoteText"/>
        <w:rPr>
          <w:sz w:val="18"/>
          <w:szCs w:val="18"/>
        </w:rPr>
      </w:pPr>
      <w:r>
        <w:rPr>
          <w:rStyle w:val="FootnoteReference"/>
        </w:rPr>
        <w:footnoteRef/>
      </w:r>
      <w:r>
        <w:t xml:space="preserve"> </w:t>
      </w:r>
      <w:r w:rsidRPr="007A3E5A">
        <w:rPr>
          <w:sz w:val="18"/>
          <w:szCs w:val="18"/>
        </w:rPr>
        <w:t>During previous iterations of this program (</w:t>
      </w:r>
      <w:r>
        <w:rPr>
          <w:sz w:val="18"/>
          <w:szCs w:val="18"/>
        </w:rPr>
        <w:t xml:space="preserve">e.g. </w:t>
      </w:r>
      <w:r w:rsidRPr="007A3E5A">
        <w:rPr>
          <w:sz w:val="18"/>
          <w:szCs w:val="18"/>
        </w:rPr>
        <w:t>TVETSSP</w:t>
      </w:r>
      <w:r>
        <w:rPr>
          <w:sz w:val="18"/>
          <w:szCs w:val="18"/>
        </w:rPr>
        <w:t>, Phase 2</w:t>
      </w:r>
      <w:r w:rsidRPr="007A3E5A">
        <w:rPr>
          <w:sz w:val="18"/>
          <w:szCs w:val="18"/>
        </w:rPr>
        <w:t>) the QAI reports indicate that ‘approximately 34% of the Phase II budget has been allocated for advisers’ (DFAT, 2013).</w:t>
      </w:r>
      <w:r>
        <w:t xml:space="preserve"> </w:t>
      </w:r>
      <w:r w:rsidRPr="00A675E4">
        <w:rPr>
          <w:sz w:val="18"/>
          <w:szCs w:val="18"/>
        </w:rPr>
        <w:t xml:space="preserve">Whilst a different type of program, but nevertheless sitting within </w:t>
      </w:r>
      <w:r>
        <w:rPr>
          <w:sz w:val="18"/>
          <w:szCs w:val="18"/>
        </w:rPr>
        <w:t>the</w:t>
      </w:r>
      <w:r w:rsidRPr="00A675E4">
        <w:rPr>
          <w:sz w:val="18"/>
          <w:szCs w:val="18"/>
        </w:rPr>
        <w:t xml:space="preserve"> broadly defined Education</w:t>
      </w:r>
      <w:r>
        <w:rPr>
          <w:sz w:val="18"/>
          <w:szCs w:val="18"/>
        </w:rPr>
        <w:t>/Skills</w:t>
      </w:r>
      <w:r w:rsidRPr="00A675E4">
        <w:rPr>
          <w:sz w:val="18"/>
          <w:szCs w:val="18"/>
        </w:rPr>
        <w:t xml:space="preserve"> sector</w:t>
      </w:r>
      <w:r>
        <w:rPr>
          <w:sz w:val="18"/>
          <w:szCs w:val="18"/>
        </w:rPr>
        <w:t xml:space="preserve"> in Kiribati</w:t>
      </w:r>
      <w:r w:rsidRPr="00A675E4">
        <w:rPr>
          <w:sz w:val="18"/>
          <w:szCs w:val="18"/>
        </w:rPr>
        <w:t>, the Australian</w:t>
      </w:r>
      <w:r>
        <w:rPr>
          <w:sz w:val="18"/>
          <w:szCs w:val="18"/>
        </w:rPr>
        <w:t xml:space="preserve"> Government</w:t>
      </w:r>
      <w:r w:rsidRPr="00A675E4">
        <w:rPr>
          <w:sz w:val="18"/>
          <w:szCs w:val="18"/>
        </w:rPr>
        <w:t xml:space="preserve"> funded KEIP program allocates roughly half the budget to program activities, a quarter to personnel costs and a quarter to operational and support costs (which also includes the management fees).</w:t>
      </w:r>
    </w:p>
  </w:footnote>
  <w:footnote w:id="21">
    <w:p w14:paraId="2061828C" w14:textId="7742C0AC" w:rsidR="008816CF" w:rsidRPr="00B51441" w:rsidRDefault="008816CF" w:rsidP="00B51441">
      <w:pPr>
        <w:rPr>
          <w:rFonts w:asciiTheme="minorHAnsi" w:hAnsiTheme="minorHAnsi"/>
          <w:sz w:val="18"/>
          <w:szCs w:val="18"/>
        </w:rPr>
      </w:pPr>
      <w:r w:rsidRPr="001C6D38">
        <w:rPr>
          <w:rStyle w:val="FootnoteReference"/>
          <w:rFonts w:asciiTheme="minorHAnsi" w:eastAsiaTheme="minorHAnsi" w:hAnsiTheme="minorHAnsi" w:cstheme="minorBidi"/>
          <w:sz w:val="20"/>
          <w:szCs w:val="20"/>
        </w:rPr>
        <w:footnoteRef/>
      </w:r>
      <w:r w:rsidRPr="001C6D38">
        <w:rPr>
          <w:rStyle w:val="FootnoteReference"/>
          <w:rFonts w:asciiTheme="minorHAnsi" w:eastAsiaTheme="minorHAnsi" w:hAnsiTheme="minorHAnsi" w:cstheme="minorBidi"/>
          <w:sz w:val="20"/>
          <w:szCs w:val="20"/>
        </w:rPr>
        <w:t xml:space="preserve"> </w:t>
      </w:r>
      <w:r w:rsidRPr="00B51441">
        <w:rPr>
          <w:rFonts w:asciiTheme="minorHAnsi" w:hAnsiTheme="minorHAnsi"/>
          <w:color w:val="000000"/>
          <w:sz w:val="18"/>
          <w:szCs w:val="18"/>
        </w:rPr>
        <w:t>The relevant body is </w:t>
      </w:r>
      <w:hyperlink r:id="rId4" w:history="1">
        <w:r w:rsidRPr="00B51441">
          <w:rPr>
            <w:rStyle w:val="Hyperlink"/>
            <w:rFonts w:asciiTheme="minorHAnsi" w:eastAsia="Arial" w:hAnsiTheme="minorHAnsi"/>
            <w:sz w:val="18"/>
            <w:szCs w:val="18"/>
          </w:rPr>
          <w:t>ASQA</w:t>
        </w:r>
      </w:hyperlink>
      <w:r w:rsidRPr="00B51441">
        <w:rPr>
          <w:rFonts w:asciiTheme="minorHAnsi" w:hAnsiTheme="minorHAnsi"/>
          <w:color w:val="000000"/>
          <w:sz w:val="18"/>
          <w:szCs w:val="18"/>
        </w:rPr>
        <w:t xml:space="preserve"> (the Australian Skills Quality Authority), which is the definitive qualification authority in Australia. The ASQA is </w:t>
      </w:r>
      <w:r>
        <w:rPr>
          <w:rFonts w:asciiTheme="minorHAnsi" w:hAnsiTheme="minorHAnsi"/>
          <w:color w:val="000000"/>
          <w:sz w:val="18"/>
          <w:szCs w:val="18"/>
        </w:rPr>
        <w:t xml:space="preserve">a </w:t>
      </w:r>
      <w:r w:rsidRPr="00B51441">
        <w:rPr>
          <w:rFonts w:asciiTheme="minorHAnsi" w:hAnsiTheme="minorHAnsi"/>
          <w:color w:val="000000"/>
          <w:sz w:val="18"/>
          <w:szCs w:val="18"/>
        </w:rPr>
        <w:t>national</w:t>
      </w:r>
      <w:r>
        <w:rPr>
          <w:rFonts w:asciiTheme="minorHAnsi" w:hAnsiTheme="minorHAnsi"/>
          <w:color w:val="000000"/>
          <w:sz w:val="18"/>
          <w:szCs w:val="18"/>
        </w:rPr>
        <w:t xml:space="preserve"> institution</w:t>
      </w:r>
      <w:r w:rsidRPr="00B51441">
        <w:rPr>
          <w:rFonts w:asciiTheme="minorHAnsi" w:hAnsiTheme="minorHAnsi"/>
          <w:color w:val="000000"/>
          <w:sz w:val="18"/>
          <w:szCs w:val="18"/>
        </w:rPr>
        <w:t xml:space="preserve">, and not state-based, so accredited courses are accepted across Australia.  </w:t>
      </w:r>
    </w:p>
  </w:footnote>
  <w:footnote w:id="22">
    <w:p w14:paraId="02643C65" w14:textId="7109804B" w:rsidR="008816CF" w:rsidRDefault="008816CF">
      <w:pPr>
        <w:pStyle w:val="FootnoteText"/>
      </w:pPr>
      <w:r>
        <w:rPr>
          <w:rStyle w:val="FootnoteReference"/>
        </w:rPr>
        <w:footnoteRef/>
      </w:r>
      <w:r>
        <w:t xml:space="preserve"> </w:t>
      </w:r>
      <w:r w:rsidRPr="00586E5C">
        <w:rPr>
          <w:sz w:val="18"/>
          <w:szCs w:val="18"/>
        </w:rPr>
        <w:t xml:space="preserve">For instance, the IELTS website provides a useful article and instrument to show how the IELTS band scores align with the levels of the CEFR, see </w:t>
      </w:r>
      <w:hyperlink r:id="rId5" w:history="1">
        <w:r w:rsidRPr="00586E5C">
          <w:rPr>
            <w:rStyle w:val="Hyperlink"/>
            <w:sz w:val="18"/>
            <w:szCs w:val="18"/>
          </w:rPr>
          <w:t>https://www.ielts.org/-/media/pdfs/comparing-ielts-and-cefr.ashx</w:t>
        </w:r>
      </w:hyperlink>
      <w:r>
        <w:rPr>
          <w:sz w:val="18"/>
          <w:szCs w:val="18"/>
        </w:rPr>
        <w:t xml:space="preserve">, and </w:t>
      </w:r>
      <w:hyperlink r:id="rId6" w:history="1">
        <w:r w:rsidRPr="00A84219">
          <w:rPr>
            <w:rStyle w:val="Hyperlink"/>
            <w:sz w:val="18"/>
            <w:szCs w:val="18"/>
          </w:rPr>
          <w:t>https://www.cambridgeenglish.org/Images/461626-cambridge-english-qualifications-comparing-scores-to-ielts.pdf</w:t>
        </w:r>
      </w:hyperlink>
      <w:r>
        <w:rPr>
          <w:sz w:val="18"/>
          <w:szCs w:val="18"/>
        </w:rPr>
        <w:t xml:space="preserve">, and also </w:t>
      </w:r>
      <w:hyperlink r:id="rId7" w:history="1">
        <w:r w:rsidRPr="00A84219">
          <w:rPr>
            <w:rStyle w:val="Hyperlink"/>
            <w:sz w:val="18"/>
            <w:szCs w:val="18"/>
          </w:rPr>
          <w:t>https://www.cambridgeenglish.org/images/177867-the-methodology-behind-the-cambridge-english-scale.pdf</w:t>
        </w:r>
      </w:hyperlink>
      <w:r>
        <w:rPr>
          <w:sz w:val="18"/>
          <w:szCs w:val="18"/>
        </w:rPr>
        <w:t xml:space="preserve"> .</w:t>
      </w:r>
    </w:p>
  </w:footnote>
  <w:footnote w:id="23">
    <w:p w14:paraId="35935FED" w14:textId="5C071473" w:rsidR="008816CF" w:rsidRPr="00343AC8" w:rsidRDefault="008816CF">
      <w:pPr>
        <w:pStyle w:val="FootnoteText"/>
        <w:rPr>
          <w:sz w:val="18"/>
          <w:szCs w:val="18"/>
        </w:rPr>
      </w:pPr>
      <w:r>
        <w:rPr>
          <w:rStyle w:val="FootnoteReference"/>
        </w:rPr>
        <w:footnoteRef/>
      </w:r>
      <w:r>
        <w:t xml:space="preserve"> </w:t>
      </w:r>
      <w:r w:rsidRPr="00343AC8">
        <w:rPr>
          <w:sz w:val="18"/>
          <w:szCs w:val="18"/>
        </w:rPr>
        <w:t xml:space="preserve">KIT should also routinely be reporting on a range of data including student completion rates, graduate outcomes, class sizes, </w:t>
      </w:r>
      <w:r>
        <w:rPr>
          <w:sz w:val="18"/>
          <w:szCs w:val="18"/>
        </w:rPr>
        <w:t xml:space="preserve">staff profile, </w:t>
      </w:r>
      <w:r w:rsidRPr="00343AC8">
        <w:rPr>
          <w:sz w:val="18"/>
          <w:szCs w:val="18"/>
        </w:rPr>
        <w:t>staff-turnover, trainer contact hours and so on.</w:t>
      </w:r>
    </w:p>
  </w:footnote>
  <w:footnote w:id="24">
    <w:p w14:paraId="757FD899" w14:textId="1C6EB52B" w:rsidR="008816CF" w:rsidRPr="002B4D47" w:rsidRDefault="008816CF">
      <w:pPr>
        <w:pStyle w:val="FootnoteText"/>
        <w:rPr>
          <w:sz w:val="18"/>
          <w:szCs w:val="18"/>
        </w:rPr>
      </w:pPr>
      <w:r>
        <w:rPr>
          <w:rStyle w:val="FootnoteReference"/>
        </w:rPr>
        <w:footnoteRef/>
      </w:r>
      <w:r>
        <w:t xml:space="preserve"> </w:t>
      </w:r>
      <w:r w:rsidRPr="002B4D47">
        <w:rPr>
          <w:sz w:val="18"/>
          <w:szCs w:val="18"/>
        </w:rPr>
        <w:t>The number of approved positions on the GoK Establishment Register is not keeping pace with the growth in positions at KIT to meet increasing demand. In 2018 there was nil increase in GoK ER FTEs, in 2019 there was an increase of only 3 FTEs to accommodate Kiritimati Island expansion.</w:t>
      </w:r>
    </w:p>
  </w:footnote>
  <w:footnote w:id="25">
    <w:p w14:paraId="6FDAE40B" w14:textId="610DBBDF" w:rsidR="008816CF" w:rsidRPr="001C6D38" w:rsidRDefault="008816CF" w:rsidP="00D70895">
      <w:pPr>
        <w:pStyle w:val="FootnoteText"/>
        <w:rPr>
          <w:sz w:val="18"/>
          <w:szCs w:val="18"/>
        </w:rPr>
      </w:pPr>
      <w:r w:rsidRPr="000E3D08">
        <w:rPr>
          <w:rStyle w:val="FootnoteReference"/>
          <w:rFonts w:cstheme="minorHAnsi"/>
          <w:sz w:val="18"/>
          <w:szCs w:val="18"/>
        </w:rPr>
        <w:footnoteRef/>
      </w:r>
      <w:r w:rsidRPr="000E3D08">
        <w:rPr>
          <w:rFonts w:cstheme="minorHAnsi"/>
          <w:sz w:val="18"/>
          <w:szCs w:val="18"/>
        </w:rPr>
        <w:t xml:space="preserve"> </w:t>
      </w:r>
      <w:r w:rsidRPr="001C6D38">
        <w:rPr>
          <w:sz w:val="18"/>
          <w:szCs w:val="18"/>
        </w:rPr>
        <w:t>The Australian Government’s Aid Investment Plan for Kiribati (2015–19) notes that the Australian Government remains steadfast in retaining its status as ‘the leading aid donor in Kiribati’, and the primary donor skills and employment sector, based on a long - term approach to development assistance.</w:t>
      </w:r>
    </w:p>
  </w:footnote>
  <w:footnote w:id="26">
    <w:p w14:paraId="015B584C" w14:textId="6D1F52FF" w:rsidR="008816CF" w:rsidRPr="001C6D38" w:rsidRDefault="008816CF" w:rsidP="00DD7BDC">
      <w:pPr>
        <w:pStyle w:val="NormalWeb"/>
        <w:rPr>
          <w:rFonts w:asciiTheme="minorHAnsi" w:hAnsiTheme="minorHAnsi" w:cstheme="minorBidi"/>
          <w:sz w:val="18"/>
          <w:szCs w:val="18"/>
          <w:lang w:val="en-GB"/>
        </w:rPr>
      </w:pPr>
      <w:r w:rsidRPr="00D70895">
        <w:rPr>
          <w:rStyle w:val="FootnoteReference"/>
          <w:rFonts w:asciiTheme="minorHAnsi" w:hAnsiTheme="minorHAnsi" w:cstheme="minorBidi"/>
          <w:sz w:val="18"/>
          <w:szCs w:val="18"/>
          <w:lang w:val="en-GB"/>
        </w:rPr>
        <w:footnoteRef/>
      </w:r>
      <w:r w:rsidRPr="00D70895">
        <w:rPr>
          <w:rStyle w:val="FootnoteReference"/>
          <w:rFonts w:asciiTheme="minorHAnsi" w:hAnsiTheme="minorHAnsi" w:cstheme="minorBidi"/>
          <w:sz w:val="18"/>
          <w:szCs w:val="18"/>
          <w:lang w:val="en-GB"/>
        </w:rPr>
        <w:t xml:space="preserve"> </w:t>
      </w:r>
      <w:r w:rsidRPr="001C6D38">
        <w:rPr>
          <w:rFonts w:asciiTheme="minorHAnsi" w:hAnsiTheme="minorHAnsi" w:cstheme="minorBidi"/>
          <w:sz w:val="18"/>
          <w:szCs w:val="18"/>
          <w:lang w:val="en-GB"/>
        </w:rPr>
        <w:t>For the most recent Financial Year, GoK allocated AU$2,198,700.00 to KIT, up from AU$1,868,207 in the 2018 FY.</w:t>
      </w:r>
      <w:r>
        <w:rPr>
          <w:rFonts w:asciiTheme="minorHAnsi" w:hAnsiTheme="minorHAnsi" w:cstheme="minorBidi"/>
          <w:sz w:val="18"/>
          <w:szCs w:val="18"/>
          <w:lang w:val="en-GB"/>
        </w:rPr>
        <w:t xml:space="preserve"> Much of the allocation from the GoK is for staff on the Establishment Register (and their associated costs), communication and utilities, with only </w:t>
      </w:r>
      <w:r w:rsidRPr="001C6D38">
        <w:rPr>
          <w:rFonts w:asciiTheme="minorHAnsi" w:hAnsiTheme="minorHAnsi" w:cstheme="minorBidi"/>
          <w:sz w:val="18"/>
          <w:szCs w:val="18"/>
          <w:lang w:val="en-GB"/>
        </w:rPr>
        <w:t>AU$</w:t>
      </w:r>
      <w:r>
        <w:rPr>
          <w:rFonts w:asciiTheme="minorHAnsi" w:hAnsiTheme="minorHAnsi" w:cstheme="minorBidi"/>
          <w:sz w:val="18"/>
          <w:szCs w:val="18"/>
          <w:lang w:val="en-GB"/>
        </w:rPr>
        <w:t>50,000 earmarked for training materials and equipment at KIT.</w:t>
      </w:r>
    </w:p>
  </w:footnote>
  <w:footnote w:id="27">
    <w:p w14:paraId="51EDBAC7" w14:textId="3C63BE3C" w:rsidR="008816CF" w:rsidRPr="001C6D38" w:rsidRDefault="008816CF" w:rsidP="00DD7BDC">
      <w:pPr>
        <w:pStyle w:val="FootnoteText"/>
        <w:rPr>
          <w:sz w:val="18"/>
          <w:szCs w:val="18"/>
        </w:rPr>
      </w:pPr>
      <w:r w:rsidRPr="00D70895">
        <w:rPr>
          <w:rStyle w:val="FootnoteReference"/>
          <w:sz w:val="18"/>
          <w:szCs w:val="18"/>
        </w:rPr>
        <w:footnoteRef/>
      </w:r>
      <w:r w:rsidRPr="00D70895">
        <w:rPr>
          <w:sz w:val="18"/>
          <w:szCs w:val="18"/>
        </w:rPr>
        <w:t xml:space="preserve"> </w:t>
      </w:r>
      <w:r w:rsidRPr="001C6D38">
        <w:rPr>
          <w:sz w:val="18"/>
          <w:szCs w:val="18"/>
        </w:rPr>
        <w:t>The 2019-2020 Annual plan reports that for the current financial year ‘AU$6.8M invested into the skills sector in Kiribati. Of this, the major investments include an AU$1.69M investment into the Skills Development Fund activities, AU$771K will go towards local salaries and AU$308K will be put towards procuring resources for training delivery’ (p.8).</w:t>
      </w:r>
    </w:p>
  </w:footnote>
  <w:footnote w:id="28">
    <w:p w14:paraId="48525CEE" w14:textId="5F571AB1" w:rsidR="008816CF" w:rsidRDefault="008816CF">
      <w:pPr>
        <w:pStyle w:val="FootnoteText"/>
      </w:pPr>
      <w:r>
        <w:rPr>
          <w:rStyle w:val="FootnoteReference"/>
        </w:rPr>
        <w:footnoteRef/>
      </w:r>
      <w:r>
        <w:t xml:space="preserve"> </w:t>
      </w:r>
      <w:r w:rsidRPr="001D3B2B">
        <w:rPr>
          <w:b/>
          <w:sz w:val="18"/>
          <w:szCs w:val="18"/>
        </w:rPr>
        <w:t>Annex 5</w:t>
      </w:r>
      <w:r w:rsidRPr="000D1BDC">
        <w:rPr>
          <w:sz w:val="18"/>
          <w:szCs w:val="18"/>
        </w:rPr>
        <w:t xml:space="preserve"> outlines how this could be done in more detail. </w:t>
      </w:r>
      <w:r>
        <w:rPr>
          <w:sz w:val="18"/>
          <w:szCs w:val="18"/>
        </w:rPr>
        <w:t xml:space="preserve">See also </w:t>
      </w:r>
      <w:r w:rsidRPr="001D3B2B">
        <w:rPr>
          <w:b/>
          <w:sz w:val="18"/>
          <w:szCs w:val="18"/>
        </w:rPr>
        <w:t>Annex 6</w:t>
      </w:r>
      <w:r w:rsidRPr="000D1BDC">
        <w:rPr>
          <w:sz w:val="18"/>
          <w:szCs w:val="18"/>
        </w:rPr>
        <w:t xml:space="preserve"> </w:t>
      </w:r>
      <w:r>
        <w:rPr>
          <w:sz w:val="18"/>
          <w:szCs w:val="18"/>
        </w:rPr>
        <w:t>to see examples of how select Pacific Countries have  responded to the PLS and to what extent adjustments have been made to respond to the redesigned APTC.</w:t>
      </w:r>
    </w:p>
  </w:footnote>
  <w:footnote w:id="29">
    <w:p w14:paraId="4A9CE281" w14:textId="7CF6027B" w:rsidR="008816CF" w:rsidRPr="002B4D47" w:rsidRDefault="008816CF">
      <w:pPr>
        <w:pStyle w:val="FootnoteText"/>
        <w:rPr>
          <w:sz w:val="18"/>
          <w:szCs w:val="18"/>
        </w:rPr>
      </w:pPr>
      <w:r>
        <w:rPr>
          <w:rStyle w:val="FootnoteReference"/>
        </w:rPr>
        <w:footnoteRef/>
      </w:r>
      <w:r>
        <w:t xml:space="preserve"> </w:t>
      </w:r>
      <w:r w:rsidRPr="002B4D47">
        <w:rPr>
          <w:sz w:val="18"/>
          <w:szCs w:val="18"/>
        </w:rPr>
        <w:t>At the time of conducting the MTR the MEHR was negotiating with the International Migration Organisation (IOM) regarding the agency’s LMIS and its suitability for Kiribati.</w:t>
      </w:r>
    </w:p>
  </w:footnote>
  <w:footnote w:id="30">
    <w:p w14:paraId="0CC98384" w14:textId="681A69AB" w:rsidR="008816CF" w:rsidRDefault="008816CF">
      <w:pPr>
        <w:pStyle w:val="FootnoteText"/>
      </w:pPr>
      <w:r>
        <w:rPr>
          <w:rStyle w:val="FootnoteReference"/>
        </w:rPr>
        <w:footnoteRef/>
      </w:r>
      <w:r>
        <w:t xml:space="preserve"> </w:t>
      </w:r>
      <w:r w:rsidRPr="002B4D47">
        <w:rPr>
          <w:sz w:val="18"/>
          <w:szCs w:val="18"/>
        </w:rPr>
        <w:t>Items currently listed under Strategy and the FSF – such as developing and managing strategic relationships with MEHR and partners, leading SPAG, providing strategic advice to planning on an annual basic, working with partners including DFAT to identify emerging needs, develop capacity within MEHR to improve processes and approach to employability (in close liaison with labour mobility adviser</w:t>
      </w:r>
      <w:r>
        <w:t>.</w:t>
      </w:r>
    </w:p>
  </w:footnote>
  <w:footnote w:id="31">
    <w:p w14:paraId="04106C7F" w14:textId="77777777" w:rsidR="008816CF" w:rsidRPr="00325909" w:rsidRDefault="008816CF" w:rsidP="00325909">
      <w:pPr>
        <w:pStyle w:val="FootnoteText"/>
        <w:rPr>
          <w:sz w:val="18"/>
          <w:szCs w:val="18"/>
        </w:rPr>
      </w:pPr>
      <w:r>
        <w:rPr>
          <w:rStyle w:val="FootnoteReference"/>
        </w:rPr>
        <w:footnoteRef/>
      </w:r>
      <w:r>
        <w:t xml:space="preserve"> </w:t>
      </w:r>
      <w:hyperlink r:id="rId8" w:history="1">
        <w:r w:rsidRPr="00325909">
          <w:rPr>
            <w:rStyle w:val="Hyperlink"/>
            <w:sz w:val="18"/>
            <w:szCs w:val="18"/>
          </w:rPr>
          <w:t>https://www.aptc.edu.au/about/our-performance</w:t>
        </w:r>
      </w:hyperlink>
      <w:r w:rsidRPr="00325909">
        <w:rPr>
          <w:sz w:val="18"/>
          <w:szCs w:val="18"/>
        </w:rPr>
        <w:t xml:space="preserve"> </w:t>
      </w:r>
    </w:p>
  </w:footnote>
  <w:footnote w:id="32">
    <w:p w14:paraId="051EFF42" w14:textId="77777777" w:rsidR="008816CF" w:rsidRPr="00325909" w:rsidRDefault="008816CF" w:rsidP="00325909">
      <w:pPr>
        <w:pStyle w:val="FootnoteText"/>
        <w:rPr>
          <w:sz w:val="18"/>
          <w:szCs w:val="18"/>
        </w:rPr>
      </w:pPr>
      <w:r w:rsidRPr="00325909">
        <w:rPr>
          <w:rStyle w:val="FootnoteReference"/>
          <w:sz w:val="18"/>
          <w:szCs w:val="18"/>
        </w:rPr>
        <w:footnoteRef/>
      </w:r>
      <w:r w:rsidRPr="00325909">
        <w:rPr>
          <w:sz w:val="18"/>
          <w:szCs w:val="18"/>
        </w:rPr>
        <w:t xml:space="preserve"> APTC Annual Report and Plan 2017 – 2018 </w:t>
      </w:r>
      <w:hyperlink r:id="rId9" w:history="1">
        <w:r w:rsidRPr="00325909">
          <w:rPr>
            <w:rStyle w:val="Hyperlink"/>
            <w:sz w:val="18"/>
            <w:szCs w:val="18"/>
          </w:rPr>
          <w:t>https://www.aptc.edu.au/docs/default-source/reports/annual-reports/aptc-annual-report-and-plan-2017---2018.pdf?sfvrsn=c1640ed1_8</w:t>
        </w:r>
      </w:hyperlink>
      <w:r w:rsidRPr="00325909">
        <w:rPr>
          <w:sz w:val="18"/>
          <w:szCs w:val="18"/>
        </w:rPr>
        <w:t xml:space="preserve"> page 2. </w:t>
      </w:r>
    </w:p>
  </w:footnote>
  <w:footnote w:id="33">
    <w:p w14:paraId="11334685" w14:textId="77777777" w:rsidR="008816CF" w:rsidRPr="00325909" w:rsidRDefault="008816CF" w:rsidP="00325909">
      <w:pPr>
        <w:pStyle w:val="FootnoteText"/>
        <w:rPr>
          <w:sz w:val="18"/>
          <w:szCs w:val="18"/>
        </w:rPr>
      </w:pPr>
      <w:r w:rsidRPr="00325909">
        <w:rPr>
          <w:rStyle w:val="FootnoteReference"/>
          <w:sz w:val="18"/>
          <w:szCs w:val="18"/>
        </w:rPr>
        <w:footnoteRef/>
      </w:r>
      <w:r w:rsidRPr="00325909">
        <w:rPr>
          <w:sz w:val="18"/>
          <w:szCs w:val="18"/>
        </w:rPr>
        <w:t xml:space="preserve"> APTC Annual Report and Plan 2017 – 2018 </w:t>
      </w:r>
      <w:hyperlink r:id="rId10" w:history="1">
        <w:r w:rsidRPr="00325909">
          <w:rPr>
            <w:rStyle w:val="Hyperlink"/>
            <w:sz w:val="18"/>
            <w:szCs w:val="18"/>
          </w:rPr>
          <w:t>https://www.aptc.edu.au/docs/default-source/reports/annual-reports/aptc-annual-report-and-plan-2017---2018.pdf?sfvrsn=c1640ed1_8</w:t>
        </w:r>
      </w:hyperlink>
      <w:r w:rsidRPr="00325909">
        <w:rPr>
          <w:sz w:val="18"/>
          <w:szCs w:val="18"/>
        </w:rPr>
        <w:t xml:space="preserve"> page 36.</w:t>
      </w:r>
    </w:p>
  </w:footnote>
  <w:footnote w:id="34">
    <w:p w14:paraId="772510FD" w14:textId="77777777" w:rsidR="008816CF" w:rsidRDefault="008816CF" w:rsidP="00325909">
      <w:pPr>
        <w:pStyle w:val="FootnoteText"/>
      </w:pPr>
      <w:r w:rsidRPr="00325909">
        <w:rPr>
          <w:rStyle w:val="FootnoteReference"/>
          <w:sz w:val="18"/>
          <w:szCs w:val="18"/>
        </w:rPr>
        <w:footnoteRef/>
      </w:r>
      <w:r w:rsidRPr="00325909">
        <w:rPr>
          <w:sz w:val="18"/>
          <w:szCs w:val="18"/>
        </w:rPr>
        <w:t xml:space="preserve"> APTC Annual Plan 2019, page 1.</w:t>
      </w:r>
      <w:r>
        <w:t xml:space="preserve"> </w:t>
      </w:r>
    </w:p>
  </w:footnote>
  <w:footnote w:id="35">
    <w:p w14:paraId="6409AE59" w14:textId="77777777" w:rsidR="008816CF" w:rsidRPr="00325909" w:rsidRDefault="008816CF" w:rsidP="00325909">
      <w:pPr>
        <w:pStyle w:val="FootnoteText"/>
        <w:rPr>
          <w:sz w:val="18"/>
          <w:szCs w:val="18"/>
        </w:rPr>
      </w:pPr>
      <w:r>
        <w:rPr>
          <w:rStyle w:val="FootnoteReference"/>
        </w:rPr>
        <w:footnoteRef/>
      </w:r>
      <w:r>
        <w:t xml:space="preserve"> </w:t>
      </w:r>
      <w:r w:rsidRPr="00325909">
        <w:rPr>
          <w:sz w:val="18"/>
          <w:szCs w:val="18"/>
        </w:rPr>
        <w:t xml:space="preserve">DFAT Pacific Labour Scheme Factsheet </w:t>
      </w:r>
      <w:hyperlink r:id="rId11" w:history="1">
        <w:r w:rsidRPr="00325909">
          <w:rPr>
            <w:rStyle w:val="Hyperlink"/>
            <w:sz w:val="18"/>
            <w:szCs w:val="18"/>
          </w:rPr>
          <w:t>https://dfat.gov.au/geo/pacific/engagement/Documents/pacific-labour-scheme.pdf</w:t>
        </w:r>
      </w:hyperlink>
      <w:r w:rsidRPr="00325909">
        <w:rPr>
          <w:sz w:val="18"/>
          <w:szCs w:val="18"/>
        </w:rPr>
        <w:t xml:space="preserve"> </w:t>
      </w:r>
    </w:p>
  </w:footnote>
  <w:footnote w:id="36">
    <w:p w14:paraId="627270A9" w14:textId="77777777" w:rsidR="008816CF" w:rsidRPr="00EC74BA" w:rsidRDefault="008816CF" w:rsidP="00325909">
      <w:pPr>
        <w:pStyle w:val="FootnoteText"/>
        <w:rPr>
          <w:sz w:val="18"/>
          <w:szCs w:val="18"/>
        </w:rPr>
      </w:pPr>
      <w:r w:rsidRPr="00325909">
        <w:rPr>
          <w:rStyle w:val="FootnoteReference"/>
          <w:sz w:val="18"/>
          <w:szCs w:val="18"/>
        </w:rPr>
        <w:footnoteRef/>
      </w:r>
      <w:r w:rsidRPr="00325909">
        <w:rPr>
          <w:sz w:val="18"/>
          <w:szCs w:val="18"/>
        </w:rPr>
        <w:t xml:space="preserve"> </w:t>
      </w:r>
      <w:r w:rsidRPr="00EC74BA">
        <w:rPr>
          <w:sz w:val="18"/>
          <w:szCs w:val="18"/>
        </w:rPr>
        <w:t>https://kit.edu.ki/overseas-employment/</w:t>
      </w:r>
    </w:p>
  </w:footnote>
  <w:footnote w:id="37">
    <w:p w14:paraId="5B58E58D"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https://kit.edu.ki/overseas-employment/</w:t>
      </w:r>
    </w:p>
  </w:footnote>
  <w:footnote w:id="38">
    <w:p w14:paraId="7C6B2A1C"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APTC Country Office Plans, Annex A, page 44. </w:t>
      </w:r>
    </w:p>
  </w:footnote>
  <w:footnote w:id="39">
    <w:p w14:paraId="363B76D9"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APTC Country Office Plans, Annex A, page 44.</w:t>
      </w:r>
    </w:p>
  </w:footnote>
  <w:footnote w:id="40">
    <w:p w14:paraId="224B3448"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APTC Country Office Plans, Annex A, page 44.</w:t>
      </w:r>
    </w:p>
  </w:footnote>
  <w:footnote w:id="41">
    <w:p w14:paraId="3A2172A4"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APTC Country Office Plans, Annex A, page 43. </w:t>
      </w:r>
    </w:p>
  </w:footnote>
  <w:footnote w:id="42">
    <w:p w14:paraId="3037D82B"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APTC Country Office Plans, Annex A, page 43.</w:t>
      </w:r>
    </w:p>
  </w:footnote>
  <w:footnote w:id="43">
    <w:p w14:paraId="696CB43F"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APTC Country Office Plans, Annex A, page 43.</w:t>
      </w:r>
    </w:p>
  </w:footnote>
  <w:footnote w:id="44">
    <w:p w14:paraId="0A4BD1CC" w14:textId="77777777" w:rsidR="008816CF" w:rsidRDefault="008816CF" w:rsidP="00325909">
      <w:pPr>
        <w:pStyle w:val="FootnoteText"/>
      </w:pPr>
      <w:r w:rsidRPr="00EC74BA">
        <w:rPr>
          <w:rStyle w:val="FootnoteReference"/>
          <w:sz w:val="18"/>
          <w:szCs w:val="18"/>
        </w:rPr>
        <w:footnoteRef/>
      </w:r>
      <w:r w:rsidRPr="00EC74BA">
        <w:rPr>
          <w:sz w:val="18"/>
          <w:szCs w:val="18"/>
        </w:rPr>
        <w:t xml:space="preserve"> APTC Country Office Plans, Annex A, page 43.</w:t>
      </w:r>
      <w:r w:rsidRPr="00E41699">
        <w:rPr>
          <w:sz w:val="14"/>
          <w:szCs w:val="14"/>
        </w:rPr>
        <w:t>   </w:t>
      </w:r>
    </w:p>
  </w:footnote>
  <w:footnote w:id="45">
    <w:p w14:paraId="19BC2AB8" w14:textId="77777777" w:rsidR="008816CF" w:rsidRPr="00EC74BA" w:rsidRDefault="008816CF" w:rsidP="00325909">
      <w:pPr>
        <w:pStyle w:val="FootnoteText"/>
        <w:rPr>
          <w:sz w:val="18"/>
          <w:szCs w:val="18"/>
        </w:rPr>
      </w:pPr>
      <w:r>
        <w:rPr>
          <w:rStyle w:val="FootnoteReference"/>
        </w:rPr>
        <w:footnoteRef/>
      </w:r>
      <w:r>
        <w:t xml:space="preserve"> </w:t>
      </w:r>
      <w:r w:rsidRPr="00EC74BA">
        <w:rPr>
          <w:sz w:val="18"/>
          <w:szCs w:val="18"/>
        </w:rPr>
        <w:t>APTC Country Office Plans, Annex A, page 44.</w:t>
      </w:r>
    </w:p>
  </w:footnote>
  <w:footnote w:id="46">
    <w:p w14:paraId="62BFA3BE"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APTC Country Office Plans, Annex A, page 45.</w:t>
      </w:r>
    </w:p>
  </w:footnote>
  <w:footnote w:id="47">
    <w:p w14:paraId="6CF99420"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APTC Country Office Plans, Annex A, page 45.</w:t>
      </w:r>
    </w:p>
  </w:footnote>
  <w:footnote w:id="48">
    <w:p w14:paraId="3DB4833D"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Australia Pacific Training Coalition, </w:t>
      </w:r>
      <w:hyperlink r:id="rId12" w:history="1">
        <w:r w:rsidRPr="00EC74BA">
          <w:rPr>
            <w:rStyle w:val="Hyperlink"/>
            <w:sz w:val="18"/>
            <w:szCs w:val="18"/>
          </w:rPr>
          <w:t>https://www.aptc.edu.au/about/partners-and-industry</w:t>
        </w:r>
      </w:hyperlink>
      <w:r w:rsidRPr="00EC74BA">
        <w:rPr>
          <w:sz w:val="18"/>
          <w:szCs w:val="18"/>
        </w:rPr>
        <w:t xml:space="preserve"> </w:t>
      </w:r>
    </w:p>
  </w:footnote>
  <w:footnote w:id="49">
    <w:p w14:paraId="511B9F7D"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APTC Annual Report and Plan 2017 – 2018, page 23.</w:t>
      </w:r>
    </w:p>
  </w:footnote>
  <w:footnote w:id="50">
    <w:p w14:paraId="2BC26091"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Australia-Pacific Technical College, Samoa Impact Stories, page 1 </w:t>
      </w:r>
      <w:hyperlink r:id="rId13" w:anchor="p=2" w:history="1">
        <w:r w:rsidRPr="00EC74BA">
          <w:rPr>
            <w:rStyle w:val="Hyperlink"/>
            <w:sz w:val="18"/>
            <w:szCs w:val="18"/>
          </w:rPr>
          <w:t>http://online.fliphtml5.com/fzbsr/blew/#p=2</w:t>
        </w:r>
      </w:hyperlink>
    </w:p>
  </w:footnote>
  <w:footnote w:id="51">
    <w:p w14:paraId="5AFF7291"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Australia-Pacific Technical College, Samoa Impact Stories, page 1 </w:t>
      </w:r>
      <w:hyperlink r:id="rId14" w:anchor="p=2" w:history="1">
        <w:r w:rsidRPr="00EC74BA">
          <w:rPr>
            <w:rStyle w:val="Hyperlink"/>
            <w:sz w:val="18"/>
            <w:szCs w:val="18"/>
          </w:rPr>
          <w:t>http://online.fliphtml5.com/fzbsr/blew/#p=2</w:t>
        </w:r>
      </w:hyperlink>
      <w:r w:rsidRPr="00EC74BA">
        <w:rPr>
          <w:sz w:val="18"/>
          <w:szCs w:val="18"/>
        </w:rPr>
        <w:t xml:space="preserve"> </w:t>
      </w:r>
    </w:p>
  </w:footnote>
  <w:footnote w:id="52">
    <w:p w14:paraId="14DB00FE"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Australia-Pacific Technical College, Samoa Impact Stories, page 1 </w:t>
      </w:r>
      <w:hyperlink r:id="rId15" w:anchor="p=2" w:history="1">
        <w:r w:rsidRPr="00EC74BA">
          <w:rPr>
            <w:rStyle w:val="Hyperlink"/>
            <w:sz w:val="18"/>
            <w:szCs w:val="18"/>
          </w:rPr>
          <w:t>http://online.fliphtml5.com/fzbsr/blew/#p=2</w:t>
        </w:r>
      </w:hyperlink>
    </w:p>
  </w:footnote>
  <w:footnote w:id="53">
    <w:p w14:paraId="30C1BB5C"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https://www.nus.edu.ws/s/index.php/free-extensions-3/chancellery</w:t>
      </w:r>
    </w:p>
  </w:footnote>
  <w:footnote w:id="54">
    <w:p w14:paraId="133D7CE9"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NUS Annual Report 2018, </w:t>
      </w:r>
      <w:hyperlink r:id="rId16" w:history="1">
        <w:r w:rsidRPr="00EC74BA">
          <w:rPr>
            <w:rStyle w:val="Hyperlink"/>
            <w:sz w:val="18"/>
            <w:szCs w:val="18"/>
          </w:rPr>
          <w:t>https://www.nus.edu.ws/s/files/NUS-AR-2018-FINAL.pdf</w:t>
        </w:r>
      </w:hyperlink>
      <w:r w:rsidRPr="00EC74BA">
        <w:rPr>
          <w:sz w:val="18"/>
          <w:szCs w:val="18"/>
        </w:rPr>
        <w:t xml:space="preserve"> page 8. </w:t>
      </w:r>
    </w:p>
  </w:footnote>
  <w:footnote w:id="55">
    <w:p w14:paraId="38EDAADF"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Australia-Pacific Technical College, Samoa Impact Stories, page 1 </w:t>
      </w:r>
      <w:hyperlink r:id="rId17" w:anchor="p=2" w:history="1">
        <w:r w:rsidRPr="00EC74BA">
          <w:rPr>
            <w:rStyle w:val="Hyperlink"/>
            <w:sz w:val="18"/>
            <w:szCs w:val="18"/>
          </w:rPr>
          <w:t>http://online.fliphtml5.com/fzbsr/blew/#p=2</w:t>
        </w:r>
      </w:hyperlink>
    </w:p>
  </w:footnote>
  <w:footnote w:id="56">
    <w:p w14:paraId="10C0F7A5"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APTC Country Office Plans, Annex A, page 39. </w:t>
      </w:r>
    </w:p>
  </w:footnote>
  <w:footnote w:id="57">
    <w:p w14:paraId="55E9251F"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APTC Country Office Plans, Annex A, page 39. </w:t>
      </w:r>
    </w:p>
  </w:footnote>
  <w:footnote w:id="58">
    <w:p w14:paraId="6C41E83B"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APTC Country Office Plans, Annex A, page 39.</w:t>
      </w:r>
    </w:p>
  </w:footnote>
  <w:footnote w:id="59">
    <w:p w14:paraId="377714B2"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APTC Country Office Plans, Annex A, page 40.</w:t>
      </w:r>
    </w:p>
  </w:footnote>
  <w:footnote w:id="60">
    <w:p w14:paraId="6E61D4D7"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APTC Country Office Plans, Annex A, page 40.</w:t>
      </w:r>
    </w:p>
  </w:footnote>
  <w:footnote w:id="61">
    <w:p w14:paraId="3A2F36B0"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APTC Country Office Plans, Annex A, page 40.</w:t>
      </w:r>
    </w:p>
  </w:footnote>
  <w:footnote w:id="62">
    <w:p w14:paraId="4051DE12"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APTC Country Office Plans, Annex A, page 40.</w:t>
      </w:r>
    </w:p>
  </w:footnote>
  <w:footnote w:id="63">
    <w:p w14:paraId="1FC1341B"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w:t>
      </w:r>
      <w:r w:rsidRPr="00EC74BA">
        <w:rPr>
          <w:rFonts w:eastAsiaTheme="minorEastAsia"/>
          <w:sz w:val="18"/>
          <w:szCs w:val="18"/>
        </w:rPr>
        <w:t xml:space="preserve">APTC </w:t>
      </w:r>
      <w:r w:rsidRPr="00EC74BA">
        <w:rPr>
          <w:sz w:val="18"/>
          <w:szCs w:val="18"/>
        </w:rPr>
        <w:t xml:space="preserve">Welcomes New Country Director for Samoa and Tonga’ 25 September 2018 </w:t>
      </w:r>
      <w:hyperlink r:id="rId18" w:history="1">
        <w:r w:rsidRPr="00EC74BA">
          <w:rPr>
            <w:rStyle w:val="Hyperlink"/>
            <w:sz w:val="18"/>
            <w:szCs w:val="18"/>
          </w:rPr>
          <w:t>https://www.aptc.edu.au/news/news/2018/09/24/aptc-welcomes-new-country-director-for-samoa-and-tonga</w:t>
        </w:r>
      </w:hyperlink>
      <w:r w:rsidRPr="00EC74BA">
        <w:rPr>
          <w:sz w:val="18"/>
          <w:szCs w:val="18"/>
        </w:rPr>
        <w:t xml:space="preserve"> </w:t>
      </w:r>
    </w:p>
  </w:footnote>
  <w:footnote w:id="64">
    <w:p w14:paraId="51F8A1EF"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National University of Samoa, ‘Message from the Vice-Chancellor and President’ </w:t>
      </w:r>
      <w:hyperlink r:id="rId19" w:history="1">
        <w:r w:rsidRPr="00EC74BA">
          <w:rPr>
            <w:rStyle w:val="Hyperlink"/>
            <w:sz w:val="18"/>
            <w:szCs w:val="18"/>
          </w:rPr>
          <w:t>https://www.nus.edu.ws/s/index.php/free-extensions-3/chancellery</w:t>
        </w:r>
      </w:hyperlink>
      <w:r w:rsidRPr="00EC74BA">
        <w:rPr>
          <w:sz w:val="18"/>
          <w:szCs w:val="18"/>
        </w:rPr>
        <w:t xml:space="preserve"> </w:t>
      </w:r>
    </w:p>
  </w:footnote>
  <w:footnote w:id="65">
    <w:p w14:paraId="4A693B85" w14:textId="77777777" w:rsidR="008816CF" w:rsidRPr="00EC74BA" w:rsidRDefault="008816CF" w:rsidP="00325909">
      <w:pPr>
        <w:pStyle w:val="FootnoteText"/>
        <w:rPr>
          <w:sz w:val="18"/>
          <w:szCs w:val="18"/>
        </w:rPr>
      </w:pPr>
      <w:r>
        <w:rPr>
          <w:rStyle w:val="FootnoteReference"/>
        </w:rPr>
        <w:footnoteRef/>
      </w:r>
      <w:r>
        <w:t xml:space="preserve"> </w:t>
      </w:r>
      <w:r w:rsidRPr="00EC74BA">
        <w:rPr>
          <w:sz w:val="18"/>
          <w:szCs w:val="18"/>
        </w:rPr>
        <w:t xml:space="preserve">TVET Programme Completion Report, February 2016 </w:t>
      </w:r>
      <w:hyperlink r:id="rId20" w:history="1">
        <w:r w:rsidRPr="00EC74BA">
          <w:rPr>
            <w:rStyle w:val="Hyperlink"/>
            <w:sz w:val="18"/>
            <w:szCs w:val="18"/>
          </w:rPr>
          <w:t>https://dfat.gov.au/about-us/publications/Documents/samoa-tvet-roadmap-completion-report.pdf</w:t>
        </w:r>
      </w:hyperlink>
      <w:r w:rsidRPr="00EC74BA">
        <w:rPr>
          <w:sz w:val="18"/>
          <w:szCs w:val="18"/>
        </w:rPr>
        <w:t xml:space="preserve"> pages viii - ix.</w:t>
      </w:r>
    </w:p>
    <w:p w14:paraId="421D3429"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APTC, ‘APTC Students Graduate With Internationally Recognised Skills in Honiara’, 28 February 2019 </w:t>
      </w:r>
      <w:hyperlink r:id="rId21" w:history="1">
        <w:r w:rsidRPr="00EC74BA">
          <w:rPr>
            <w:rStyle w:val="Hyperlink"/>
            <w:sz w:val="18"/>
            <w:szCs w:val="18"/>
          </w:rPr>
          <w:t>https://www.aptc.edu.au/news/latest-news/2019/news/2019/02/27/aptc-students-graduate-with-internationally-recognised-skills-in-honiara</w:t>
        </w:r>
      </w:hyperlink>
    </w:p>
  </w:footnote>
  <w:footnote w:id="66">
    <w:p w14:paraId="7566D060"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APTC Country Office Plans, Annex A, page 39.</w:t>
      </w:r>
    </w:p>
  </w:footnote>
  <w:footnote w:id="67">
    <w:p w14:paraId="0454D7A8"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APTC, ‘APTC Students Graduate With Internationally Recognised Skills in Honiara’, 28 February 2019 </w:t>
      </w:r>
      <w:hyperlink r:id="rId22" w:history="1">
        <w:r w:rsidRPr="00EC74BA">
          <w:rPr>
            <w:rStyle w:val="Hyperlink"/>
            <w:sz w:val="18"/>
            <w:szCs w:val="18"/>
          </w:rPr>
          <w:t>https://www.aptc.edu.au/news/latest-news/2019/news/2019/02/27/aptc-students-graduate-with-internationally-recognised-skills-in-honiara</w:t>
        </w:r>
      </w:hyperlink>
      <w:r w:rsidRPr="00EC74BA">
        <w:rPr>
          <w:sz w:val="18"/>
          <w:szCs w:val="18"/>
        </w:rPr>
        <w:t xml:space="preserve"> </w:t>
      </w:r>
    </w:p>
  </w:footnote>
  <w:footnote w:id="68">
    <w:p w14:paraId="45E20758" w14:textId="77777777" w:rsidR="008816CF" w:rsidRPr="00EC74BA" w:rsidRDefault="008816CF" w:rsidP="00325909">
      <w:pPr>
        <w:pStyle w:val="FootnoteText"/>
        <w:rPr>
          <w:sz w:val="18"/>
          <w:szCs w:val="18"/>
        </w:rPr>
      </w:pPr>
      <w:r>
        <w:rPr>
          <w:rStyle w:val="FootnoteReference"/>
        </w:rPr>
        <w:footnoteRef/>
      </w:r>
      <w:r>
        <w:t xml:space="preserve"> </w:t>
      </w:r>
      <w:r w:rsidRPr="00EC74BA">
        <w:rPr>
          <w:sz w:val="18"/>
          <w:szCs w:val="18"/>
        </w:rPr>
        <w:t xml:space="preserve">APTC Country Office Plans, Annex A, page 44. </w:t>
      </w:r>
    </w:p>
  </w:footnote>
  <w:footnote w:id="69">
    <w:p w14:paraId="0B40A778"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APTC, ‘APTC Students Graduate With Internationally Recognised Skills in Honiara’, 28 February 2019 </w:t>
      </w:r>
      <w:hyperlink r:id="rId23" w:history="1">
        <w:r w:rsidRPr="00EC74BA">
          <w:rPr>
            <w:rStyle w:val="Hyperlink"/>
            <w:sz w:val="18"/>
            <w:szCs w:val="18"/>
          </w:rPr>
          <w:t>https://www.aptc.edu.au/news/latest-news/2019/news/2019/02/27/aptc-students-graduate-with-internationally-recognised-skills-in-honiara</w:t>
        </w:r>
      </w:hyperlink>
    </w:p>
  </w:footnote>
  <w:footnote w:id="70">
    <w:p w14:paraId="4A655AAB"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APTC Country Office Plans, Annex A, page 43. </w:t>
      </w:r>
    </w:p>
  </w:footnote>
  <w:footnote w:id="71">
    <w:p w14:paraId="2D54352E"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APTC Country Office Plans, Annex A, page 43.</w:t>
      </w:r>
    </w:p>
  </w:footnote>
  <w:footnote w:id="72">
    <w:p w14:paraId="1288DE23"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APTC Country Office Plans, Annex A, page 45.</w:t>
      </w:r>
    </w:p>
  </w:footnote>
  <w:footnote w:id="73">
    <w:p w14:paraId="27BE8F93" w14:textId="77777777" w:rsidR="008816CF" w:rsidRPr="00EC74BA" w:rsidRDefault="008816CF" w:rsidP="00325909">
      <w:pPr>
        <w:pStyle w:val="FootnoteText"/>
        <w:rPr>
          <w:sz w:val="18"/>
          <w:szCs w:val="18"/>
        </w:rPr>
      </w:pPr>
      <w:r>
        <w:rPr>
          <w:rStyle w:val="FootnoteReference"/>
        </w:rPr>
        <w:footnoteRef/>
      </w:r>
      <w:r>
        <w:t xml:space="preserve"> </w:t>
      </w:r>
      <w:r w:rsidRPr="00EC74BA">
        <w:rPr>
          <w:sz w:val="18"/>
          <w:szCs w:val="18"/>
        </w:rPr>
        <w:t>APTC Country Office Plans, Annex A, page 44.</w:t>
      </w:r>
    </w:p>
  </w:footnote>
  <w:footnote w:id="74">
    <w:p w14:paraId="5496D058"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APTC Country Office Plans, Annex A, page 43.   </w:t>
      </w:r>
    </w:p>
  </w:footnote>
  <w:footnote w:id="75">
    <w:p w14:paraId="38C3A6EC"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APTC Country Office Plans, Annex A, page 43.   </w:t>
      </w:r>
    </w:p>
  </w:footnote>
  <w:footnote w:id="76">
    <w:p w14:paraId="44E7753D"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APTC Country Office Plans, Annex A, page 45.</w:t>
      </w:r>
    </w:p>
  </w:footnote>
  <w:footnote w:id="77">
    <w:p w14:paraId="7E898644"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APTC, ‘APTC Awards Tongan Nationals with Internationally Recognised Qualifications’ 7 March 2019</w:t>
      </w:r>
    </w:p>
    <w:p w14:paraId="7CF0C820" w14:textId="77777777" w:rsidR="008816CF" w:rsidRPr="00EC74BA" w:rsidRDefault="008816CF" w:rsidP="00325909">
      <w:pPr>
        <w:pStyle w:val="FootnoteText"/>
        <w:rPr>
          <w:sz w:val="18"/>
          <w:szCs w:val="18"/>
        </w:rPr>
      </w:pPr>
      <w:r w:rsidRPr="00EC74BA">
        <w:rPr>
          <w:sz w:val="18"/>
          <w:szCs w:val="18"/>
        </w:rPr>
        <w:t xml:space="preserve">  </w:t>
      </w:r>
      <w:hyperlink r:id="rId24" w:history="1">
        <w:r w:rsidRPr="00EC74BA">
          <w:rPr>
            <w:rStyle w:val="Hyperlink"/>
            <w:sz w:val="18"/>
            <w:szCs w:val="18"/>
          </w:rPr>
          <w:t>https://www.aptc.edu.au/news/latest-news/2019/news/2019/03/06/aptc-awards-tongan-nationals-with-internationally-recognised-qualifications</w:t>
        </w:r>
      </w:hyperlink>
      <w:r w:rsidRPr="00EC74BA">
        <w:rPr>
          <w:sz w:val="18"/>
          <w:szCs w:val="18"/>
        </w:rPr>
        <w:t xml:space="preserve"> </w:t>
      </w:r>
    </w:p>
  </w:footnote>
  <w:footnote w:id="78">
    <w:p w14:paraId="3C3A6358"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Tonga Skills for Inclusive Economic Growth Final Report of the Mid Term Review, May 2018, </w:t>
      </w:r>
      <w:hyperlink r:id="rId25" w:history="1">
        <w:r w:rsidRPr="00EC74BA">
          <w:rPr>
            <w:rStyle w:val="Hyperlink"/>
            <w:sz w:val="18"/>
            <w:szCs w:val="18"/>
          </w:rPr>
          <w:t>https://dfat.gov.au/about-us/publications/Documents/tonga-skills-for-inclusive-economic-growth-mid-term-review.pdf</w:t>
        </w:r>
      </w:hyperlink>
    </w:p>
  </w:footnote>
  <w:footnote w:id="79">
    <w:p w14:paraId="2701FA37"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Tonga Skills for Inclusive Economic Growth Final Report of the Mid Term Review, May 2018, </w:t>
      </w:r>
      <w:hyperlink r:id="rId26" w:history="1">
        <w:r w:rsidRPr="00EC74BA">
          <w:rPr>
            <w:rStyle w:val="Hyperlink"/>
            <w:sz w:val="18"/>
            <w:szCs w:val="18"/>
          </w:rPr>
          <w:t>https://dfat.gov.au/about-us/publications/Documents/tonga-skills-for-inclusive-economic-growth-mid-term-review.pdf</w:t>
        </w:r>
      </w:hyperlink>
      <w:r w:rsidRPr="00EC74BA">
        <w:rPr>
          <w:sz w:val="18"/>
          <w:szCs w:val="18"/>
        </w:rPr>
        <w:t xml:space="preserve"> </w:t>
      </w:r>
    </w:p>
  </w:footnote>
  <w:footnote w:id="80">
    <w:p w14:paraId="11E8E241"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APTC Country Office Plans, Annex A, page 39.</w:t>
      </w:r>
    </w:p>
  </w:footnote>
  <w:footnote w:id="81">
    <w:p w14:paraId="2E3C9C06"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Tonga Skills for Inclusive Economic Growth Final Report of the Mid Term Review, May 2018, </w:t>
      </w:r>
      <w:hyperlink r:id="rId27" w:history="1">
        <w:r w:rsidRPr="00EC74BA">
          <w:rPr>
            <w:rStyle w:val="Hyperlink"/>
            <w:sz w:val="18"/>
            <w:szCs w:val="18"/>
          </w:rPr>
          <w:t>https://dfat.gov.au/about-us/publications/Documents/tonga-skills-for-inclusive-economic-growth-mid-term-review.pdf</w:t>
        </w:r>
      </w:hyperlink>
      <w:r w:rsidRPr="00EC74BA">
        <w:rPr>
          <w:sz w:val="18"/>
          <w:szCs w:val="18"/>
        </w:rPr>
        <w:t>, pages vii, and 15-17.</w:t>
      </w:r>
    </w:p>
  </w:footnote>
  <w:footnote w:id="82">
    <w:p w14:paraId="663A65CC"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Tonga Skills for Inclusive Economic Growth Final Report of the Mid Term Review, May 2018, </w:t>
      </w:r>
      <w:hyperlink r:id="rId28" w:history="1">
        <w:r w:rsidRPr="00EC74BA">
          <w:rPr>
            <w:rStyle w:val="Hyperlink"/>
            <w:sz w:val="18"/>
            <w:szCs w:val="18"/>
          </w:rPr>
          <w:t>https://dfat.gov.au/about-us/publications/Documents/tonga-skills-for-inclusive-economic-growth-mid-term-review.pdf</w:t>
        </w:r>
      </w:hyperlink>
      <w:r w:rsidRPr="00EC74BA">
        <w:rPr>
          <w:sz w:val="18"/>
          <w:szCs w:val="18"/>
        </w:rPr>
        <w:t>, pages16-17.</w:t>
      </w:r>
    </w:p>
  </w:footnote>
  <w:footnote w:id="83">
    <w:p w14:paraId="69603838"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APTC Country Office Plans, Annex A, page 39.</w:t>
      </w:r>
    </w:p>
  </w:footnote>
  <w:footnote w:id="84">
    <w:p w14:paraId="2B59B8E0"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APTC Country Office Plans, Annex A, page 39.</w:t>
      </w:r>
    </w:p>
  </w:footnote>
  <w:footnote w:id="85">
    <w:p w14:paraId="2C163EDF"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APTC Country Office Plans, Annex A, page 40.</w:t>
      </w:r>
    </w:p>
  </w:footnote>
  <w:footnote w:id="86">
    <w:p w14:paraId="6C76AE27"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APTC Country Office Plans, Annex A, page 40.</w:t>
      </w:r>
    </w:p>
  </w:footnote>
  <w:footnote w:id="87">
    <w:p w14:paraId="2003F067"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APTC Country Office Plans, Annex A, page 40.</w:t>
      </w:r>
    </w:p>
  </w:footnote>
  <w:footnote w:id="88">
    <w:p w14:paraId="522A57FD"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APTC Country Office Plans, Annex A, page 40.</w:t>
      </w:r>
    </w:p>
  </w:footnote>
  <w:footnote w:id="89">
    <w:p w14:paraId="3D7E6412"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APTC Annual Report and Plan 2017 – 2018, page 23.</w:t>
      </w:r>
    </w:p>
  </w:footnote>
  <w:footnote w:id="90">
    <w:p w14:paraId="34D1D43E"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APTC, Vanuatu Impact Stories, page 33 </w:t>
      </w:r>
      <w:hyperlink r:id="rId29" w:anchor="p=39" w:history="1">
        <w:r w:rsidRPr="00EC74BA">
          <w:rPr>
            <w:rStyle w:val="Hyperlink"/>
            <w:sz w:val="18"/>
            <w:szCs w:val="18"/>
          </w:rPr>
          <w:t>http://online.fliphtml5.com/fzbsr/wxwl/#p=39</w:t>
        </w:r>
      </w:hyperlink>
      <w:r w:rsidRPr="00EC74BA">
        <w:rPr>
          <w:sz w:val="18"/>
          <w:szCs w:val="18"/>
        </w:rPr>
        <w:t xml:space="preserve"> </w:t>
      </w:r>
    </w:p>
  </w:footnote>
  <w:footnote w:id="91">
    <w:p w14:paraId="70C80FDC"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APTC, Vanuatu Impact Stories, July 2017, </w:t>
      </w:r>
      <w:hyperlink r:id="rId30" w:anchor="p=39" w:history="1">
        <w:r w:rsidRPr="00EC74BA">
          <w:rPr>
            <w:rStyle w:val="Hyperlink"/>
            <w:sz w:val="18"/>
            <w:szCs w:val="18"/>
          </w:rPr>
          <w:t>http://online.fliphtml5.com/fzbsr/wxwl/#p=39</w:t>
        </w:r>
      </w:hyperlink>
    </w:p>
  </w:footnote>
  <w:footnote w:id="92">
    <w:p w14:paraId="461553BF"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APTC Country Office Plans, Annex A, page 47. </w:t>
      </w:r>
    </w:p>
  </w:footnote>
  <w:footnote w:id="93">
    <w:p w14:paraId="3B3AA4B9" w14:textId="77777777" w:rsidR="008816CF" w:rsidRPr="00EC74BA" w:rsidRDefault="008816CF" w:rsidP="00325909">
      <w:pPr>
        <w:pStyle w:val="FootnoteText"/>
        <w:rPr>
          <w:sz w:val="18"/>
          <w:szCs w:val="18"/>
        </w:rPr>
      </w:pPr>
      <w:r w:rsidRPr="00EC74BA">
        <w:rPr>
          <w:rStyle w:val="FootnoteReference"/>
          <w:sz w:val="18"/>
          <w:szCs w:val="18"/>
        </w:rPr>
        <w:footnoteRef/>
      </w:r>
      <w:r w:rsidRPr="00EC74BA">
        <w:rPr>
          <w:sz w:val="18"/>
          <w:szCs w:val="18"/>
        </w:rPr>
        <w:t xml:space="preserve"> APTC Country Office Plans, Annex A, page 47.</w:t>
      </w:r>
    </w:p>
  </w:footnote>
  <w:footnote w:id="94">
    <w:p w14:paraId="53CE1AFB" w14:textId="77777777" w:rsidR="008816CF" w:rsidRDefault="008816CF" w:rsidP="00325909">
      <w:pPr>
        <w:pStyle w:val="FootnoteText"/>
      </w:pPr>
      <w:r w:rsidRPr="00EC74BA">
        <w:rPr>
          <w:rStyle w:val="FootnoteReference"/>
          <w:sz w:val="18"/>
          <w:szCs w:val="18"/>
        </w:rPr>
        <w:footnoteRef/>
      </w:r>
      <w:r w:rsidRPr="00EC74BA">
        <w:rPr>
          <w:sz w:val="18"/>
          <w:szCs w:val="18"/>
        </w:rPr>
        <w:t xml:space="preserve"> APTC Country Office Plans, Annex A, page 47.</w:t>
      </w:r>
    </w:p>
  </w:footnote>
  <w:footnote w:id="95">
    <w:p w14:paraId="24EDFDDB" w14:textId="77777777" w:rsidR="008816CF" w:rsidRPr="00EC74BA" w:rsidRDefault="008816CF" w:rsidP="00325909">
      <w:pPr>
        <w:pStyle w:val="FootnoteText"/>
        <w:rPr>
          <w:sz w:val="18"/>
          <w:szCs w:val="18"/>
        </w:rPr>
      </w:pPr>
      <w:r>
        <w:rPr>
          <w:rStyle w:val="FootnoteReference"/>
        </w:rPr>
        <w:footnoteRef/>
      </w:r>
      <w:r>
        <w:t xml:space="preserve"> </w:t>
      </w:r>
      <w:r w:rsidRPr="00EC74BA">
        <w:rPr>
          <w:sz w:val="18"/>
          <w:szCs w:val="18"/>
        </w:rPr>
        <w:t>APTC Country Office Plans, Annex A, page 47.</w:t>
      </w:r>
    </w:p>
  </w:footnote>
  <w:footnote w:id="96">
    <w:p w14:paraId="593078E6" w14:textId="77777777" w:rsidR="008816CF" w:rsidRDefault="008816CF" w:rsidP="00325909">
      <w:pPr>
        <w:pStyle w:val="FootnoteText"/>
      </w:pPr>
      <w:r w:rsidRPr="00EC74BA">
        <w:rPr>
          <w:rStyle w:val="FootnoteReference"/>
          <w:sz w:val="18"/>
          <w:szCs w:val="18"/>
        </w:rPr>
        <w:footnoteRef/>
      </w:r>
      <w:r w:rsidRPr="00EC74BA">
        <w:rPr>
          <w:sz w:val="18"/>
          <w:szCs w:val="18"/>
        </w:rPr>
        <w:t xml:space="preserve"> APTC Country Office Plans, Annex A, page 48.</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DEE0F" w14:textId="4288ABEE" w:rsidR="008816CF" w:rsidRDefault="00E24F0B">
    <w:pPr>
      <w:pStyle w:val="Header"/>
    </w:pPr>
    <w:r>
      <w:rPr>
        <w:noProof/>
      </w:rPr>
      <w:pict w14:anchorId="5F4B5A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alt="" style="position:absolute;margin-left:0;margin-top:0;width:424.2pt;height:212.1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38E23" w14:textId="77777777" w:rsidR="00E24F0B" w:rsidRDefault="00E24F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3E485" w14:textId="77777777" w:rsidR="00E24F0B" w:rsidRDefault="00E24F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C4336" w14:textId="5453F6B0" w:rsidR="008816CF" w:rsidRDefault="00E24F0B">
    <w:pPr>
      <w:pStyle w:val="Header"/>
    </w:pPr>
    <w:r>
      <w:rPr>
        <w:noProof/>
      </w:rPr>
      <w:pict w14:anchorId="2B3CF7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alt="" style="position:absolute;margin-left:0;margin-top:0;width:424.2pt;height:212.1pt;rotation:315;z-index:-25163878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ACC9D" w14:textId="37073A98" w:rsidR="008816CF" w:rsidRDefault="008816C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50822" w14:textId="44B4EEFF" w:rsidR="008816CF" w:rsidRDefault="00E24F0B">
    <w:pPr>
      <w:pStyle w:val="Header"/>
    </w:pPr>
    <w:r>
      <w:rPr>
        <w:noProof/>
      </w:rPr>
      <w:pict w14:anchorId="0D1C5A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424.2pt;height:212.1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3FC5E" w14:textId="566CFFE8" w:rsidR="008816CF" w:rsidRDefault="00E24F0B">
    <w:pPr>
      <w:pStyle w:val="Header"/>
    </w:pPr>
    <w:r>
      <w:rPr>
        <w:noProof/>
      </w:rPr>
      <w:pict w14:anchorId="48AC14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424.2pt;height:212.1pt;rotation:315;z-index:-25162649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792FC" w14:textId="2B5F9C5B" w:rsidR="008816CF" w:rsidRDefault="008816C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31190" w14:textId="7F27BFDE" w:rsidR="008816CF" w:rsidRDefault="00E24F0B">
    <w:pPr>
      <w:pStyle w:val="Header"/>
    </w:pPr>
    <w:r>
      <w:rPr>
        <w:noProof/>
      </w:rPr>
      <w:pict w14:anchorId="7D3F47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margin-left:0;margin-top:0;width:424.2pt;height:212.1pt;rotation:315;z-index:-25163059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7A2644"/>
    <w:lvl w:ilvl="0">
      <w:start w:val="1"/>
      <w:numFmt w:val="bullet"/>
      <w:pStyle w:val="ListBullet"/>
      <w:lvlText w:val=""/>
      <w:lvlJc w:val="left"/>
      <w:pPr>
        <w:ind w:left="360" w:hanging="360"/>
      </w:pPr>
      <w:rPr>
        <w:rFonts w:ascii="Wingdings" w:hAnsi="Wingdings" w:hint="default"/>
        <w:color w:val="009F93"/>
      </w:rPr>
    </w:lvl>
  </w:abstractNum>
  <w:abstractNum w:abstractNumId="1" w15:restartNumberingAfterBreak="0">
    <w:nsid w:val="0A9F31A5"/>
    <w:multiLevelType w:val="hybridMultilevel"/>
    <w:tmpl w:val="9A568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C1587"/>
    <w:multiLevelType w:val="multilevel"/>
    <w:tmpl w:val="2758A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DA64D3"/>
    <w:multiLevelType w:val="hybridMultilevel"/>
    <w:tmpl w:val="8D428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83B8E"/>
    <w:multiLevelType w:val="hybridMultilevel"/>
    <w:tmpl w:val="4EBA8872"/>
    <w:lvl w:ilvl="0" w:tplc="0B3C4474">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93351"/>
    <w:multiLevelType w:val="multilevel"/>
    <w:tmpl w:val="286AD730"/>
    <w:lvl w:ilvl="0">
      <w:start w:val="5"/>
      <w:numFmt w:val="bullet"/>
      <w:lvlText w:val="-"/>
      <w:lvlJc w:val="left"/>
      <w:pPr>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6D2BF9"/>
    <w:multiLevelType w:val="hybridMultilevel"/>
    <w:tmpl w:val="3B28BA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851CCB"/>
    <w:multiLevelType w:val="hybridMultilevel"/>
    <w:tmpl w:val="36C6C3FA"/>
    <w:lvl w:ilvl="0" w:tplc="F9AA8370">
      <w:start w:val="1"/>
      <w:numFmt w:val="bullet"/>
      <w:pStyle w:val="PIFSbulletlis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ECC2C89"/>
    <w:multiLevelType w:val="multilevel"/>
    <w:tmpl w:val="818A0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622AB8"/>
    <w:multiLevelType w:val="hybridMultilevel"/>
    <w:tmpl w:val="25DCDAE2"/>
    <w:lvl w:ilvl="0" w:tplc="D160FB6A">
      <w:start w:val="1"/>
      <w:numFmt w:val="bullet"/>
      <w:lvlText w:val="•"/>
      <w:lvlJc w:val="left"/>
      <w:pPr>
        <w:tabs>
          <w:tab w:val="num" w:pos="720"/>
        </w:tabs>
        <w:ind w:left="720" w:hanging="360"/>
      </w:pPr>
      <w:rPr>
        <w:rFonts w:ascii="Arial" w:hAnsi="Arial" w:hint="default"/>
      </w:rPr>
    </w:lvl>
    <w:lvl w:ilvl="1" w:tplc="D4D0DAA2" w:tentative="1">
      <w:start w:val="1"/>
      <w:numFmt w:val="bullet"/>
      <w:lvlText w:val="•"/>
      <w:lvlJc w:val="left"/>
      <w:pPr>
        <w:tabs>
          <w:tab w:val="num" w:pos="1440"/>
        </w:tabs>
        <w:ind w:left="1440" w:hanging="360"/>
      </w:pPr>
      <w:rPr>
        <w:rFonts w:ascii="Arial" w:hAnsi="Arial" w:hint="default"/>
      </w:rPr>
    </w:lvl>
    <w:lvl w:ilvl="2" w:tplc="0C546E76" w:tentative="1">
      <w:start w:val="1"/>
      <w:numFmt w:val="bullet"/>
      <w:lvlText w:val="•"/>
      <w:lvlJc w:val="left"/>
      <w:pPr>
        <w:tabs>
          <w:tab w:val="num" w:pos="2160"/>
        </w:tabs>
        <w:ind w:left="2160" w:hanging="360"/>
      </w:pPr>
      <w:rPr>
        <w:rFonts w:ascii="Arial" w:hAnsi="Arial" w:hint="default"/>
      </w:rPr>
    </w:lvl>
    <w:lvl w:ilvl="3" w:tplc="06CAE166" w:tentative="1">
      <w:start w:val="1"/>
      <w:numFmt w:val="bullet"/>
      <w:lvlText w:val="•"/>
      <w:lvlJc w:val="left"/>
      <w:pPr>
        <w:tabs>
          <w:tab w:val="num" w:pos="2880"/>
        </w:tabs>
        <w:ind w:left="2880" w:hanging="360"/>
      </w:pPr>
      <w:rPr>
        <w:rFonts w:ascii="Arial" w:hAnsi="Arial" w:hint="default"/>
      </w:rPr>
    </w:lvl>
    <w:lvl w:ilvl="4" w:tplc="A56CCCF4" w:tentative="1">
      <w:start w:val="1"/>
      <w:numFmt w:val="bullet"/>
      <w:lvlText w:val="•"/>
      <w:lvlJc w:val="left"/>
      <w:pPr>
        <w:tabs>
          <w:tab w:val="num" w:pos="3600"/>
        </w:tabs>
        <w:ind w:left="3600" w:hanging="360"/>
      </w:pPr>
      <w:rPr>
        <w:rFonts w:ascii="Arial" w:hAnsi="Arial" w:hint="default"/>
      </w:rPr>
    </w:lvl>
    <w:lvl w:ilvl="5" w:tplc="69A67818" w:tentative="1">
      <w:start w:val="1"/>
      <w:numFmt w:val="bullet"/>
      <w:lvlText w:val="•"/>
      <w:lvlJc w:val="left"/>
      <w:pPr>
        <w:tabs>
          <w:tab w:val="num" w:pos="4320"/>
        </w:tabs>
        <w:ind w:left="4320" w:hanging="360"/>
      </w:pPr>
      <w:rPr>
        <w:rFonts w:ascii="Arial" w:hAnsi="Arial" w:hint="default"/>
      </w:rPr>
    </w:lvl>
    <w:lvl w:ilvl="6" w:tplc="D11A770A" w:tentative="1">
      <w:start w:val="1"/>
      <w:numFmt w:val="bullet"/>
      <w:lvlText w:val="•"/>
      <w:lvlJc w:val="left"/>
      <w:pPr>
        <w:tabs>
          <w:tab w:val="num" w:pos="5040"/>
        </w:tabs>
        <w:ind w:left="5040" w:hanging="360"/>
      </w:pPr>
      <w:rPr>
        <w:rFonts w:ascii="Arial" w:hAnsi="Arial" w:hint="default"/>
      </w:rPr>
    </w:lvl>
    <w:lvl w:ilvl="7" w:tplc="42342388" w:tentative="1">
      <w:start w:val="1"/>
      <w:numFmt w:val="bullet"/>
      <w:lvlText w:val="•"/>
      <w:lvlJc w:val="left"/>
      <w:pPr>
        <w:tabs>
          <w:tab w:val="num" w:pos="5760"/>
        </w:tabs>
        <w:ind w:left="5760" w:hanging="360"/>
      </w:pPr>
      <w:rPr>
        <w:rFonts w:ascii="Arial" w:hAnsi="Arial" w:hint="default"/>
      </w:rPr>
    </w:lvl>
    <w:lvl w:ilvl="8" w:tplc="59C40A8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CD1F6C"/>
    <w:multiLevelType w:val="hybridMultilevel"/>
    <w:tmpl w:val="78D05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C1431"/>
    <w:multiLevelType w:val="hybridMultilevel"/>
    <w:tmpl w:val="EDBA98A8"/>
    <w:lvl w:ilvl="0" w:tplc="DF7888EE">
      <w:start w:val="1"/>
      <w:numFmt w:val="bullet"/>
      <w:pStyle w:val="bullets"/>
      <w:lvlText w:val=""/>
      <w:lvlJc w:val="left"/>
      <w:pPr>
        <w:ind w:left="814" w:hanging="360"/>
      </w:pPr>
      <w:rPr>
        <w:rFonts w:ascii="Wingdings" w:hAnsi="Wingdings" w:hint="default"/>
        <w:color w:val="009F93"/>
      </w:rPr>
    </w:lvl>
    <w:lvl w:ilvl="1" w:tplc="0C090003">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2" w15:restartNumberingAfterBreak="0">
    <w:nsid w:val="25264A5A"/>
    <w:multiLevelType w:val="hybridMultilevel"/>
    <w:tmpl w:val="D466F466"/>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2F2882A6">
      <w:start w:val="1"/>
      <w:numFmt w:val="bullet"/>
      <w:lvlText w:val="-"/>
      <w:lvlJc w:val="left"/>
      <w:pPr>
        <w:tabs>
          <w:tab w:val="num" w:pos="1648"/>
        </w:tabs>
        <w:ind w:left="1648" w:hanging="284"/>
      </w:pPr>
      <w:rPr>
        <w:rFonts w:ascii="Times New Roman" w:eastAsia="Times New Roman" w:hAnsi="Times New Roman" w:hint="default"/>
        <w:color w:val="auto"/>
        <w:sz w:val="20"/>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C520B85"/>
    <w:multiLevelType w:val="multilevel"/>
    <w:tmpl w:val="7BCE0E70"/>
    <w:lvl w:ilvl="0">
      <w:start w:val="1"/>
      <w:numFmt w:val="none"/>
      <w:pStyle w:val="DPSListNumber3"/>
      <w:lvlText w:val=""/>
      <w:lvlJc w:val="left"/>
      <w:pPr>
        <w:tabs>
          <w:tab w:val="num" w:pos="0"/>
        </w:tabs>
        <w:ind w:left="-283" w:firstLine="283"/>
      </w:pPr>
      <w:rPr>
        <w:rFonts w:hint="default"/>
      </w:rPr>
    </w:lvl>
    <w:lvl w:ilvl="1">
      <w:start w:val="1"/>
      <w:numFmt w:val="decimal"/>
      <w:pStyle w:val="DPSListNumber1"/>
      <w:lvlText w:val="%2"/>
      <w:lvlJc w:val="left"/>
      <w:pPr>
        <w:tabs>
          <w:tab w:val="num" w:pos="720"/>
        </w:tabs>
        <w:ind w:left="0" w:firstLine="0"/>
      </w:pPr>
      <w:rPr>
        <w:rFonts w:ascii="Times New Roman" w:hAnsi="Times New Roman" w:cs="Times New Roman" w:hint="default"/>
        <w:b w:val="0"/>
        <w:i w:val="0"/>
        <w:sz w:val="24"/>
        <w:szCs w:val="24"/>
      </w:rPr>
    </w:lvl>
    <w:lvl w:ilvl="2">
      <w:start w:val="1"/>
      <w:numFmt w:val="lowerLetter"/>
      <w:pStyle w:val="DPSListNumber2"/>
      <w:lvlText w:val="(%3)"/>
      <w:lvlJc w:val="left"/>
      <w:pPr>
        <w:tabs>
          <w:tab w:val="num" w:pos="567"/>
        </w:tabs>
        <w:ind w:left="1287" w:hanging="567"/>
      </w:pPr>
      <w:rPr>
        <w:rFonts w:ascii="Times New Roman" w:hAnsi="Times New Roman" w:cs="Times New Roman" w:hint="default"/>
        <w:b w:val="0"/>
        <w:i w:val="0"/>
        <w:sz w:val="24"/>
        <w:szCs w:val="24"/>
      </w:rPr>
    </w:lvl>
    <w:lvl w:ilvl="3">
      <w:start w:val="1"/>
      <w:numFmt w:val="lowerRoman"/>
      <w:pStyle w:val="DPSListNumber3"/>
      <w:lvlText w:val="(%4)"/>
      <w:lvlJc w:val="left"/>
      <w:pPr>
        <w:tabs>
          <w:tab w:val="num" w:pos="567"/>
        </w:tabs>
        <w:ind w:left="1854" w:hanging="567"/>
      </w:pPr>
      <w:rPr>
        <w:rFonts w:ascii="Arial" w:hAnsi="Arial" w:cs="Arial" w:hint="default"/>
        <w:b w:val="0"/>
        <w:i w:val="0"/>
        <w:sz w:val="22"/>
        <w:szCs w:val="22"/>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4" w15:restartNumberingAfterBreak="0">
    <w:nsid w:val="2CAF6713"/>
    <w:multiLevelType w:val="hybridMultilevel"/>
    <w:tmpl w:val="0F8CA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315E79"/>
    <w:multiLevelType w:val="hybridMultilevel"/>
    <w:tmpl w:val="4362742A"/>
    <w:lvl w:ilvl="0" w:tplc="DA8CB578">
      <w:numFmt w:val="bullet"/>
      <w:lvlText w:val="•"/>
      <w:lvlJc w:val="left"/>
      <w:pPr>
        <w:ind w:left="833" w:hanging="360"/>
      </w:pPr>
      <w:rPr>
        <w:rFonts w:ascii="Arial" w:eastAsia="Arial" w:hAnsi="Arial" w:cs="Arial" w:hint="default"/>
        <w:w w:val="131"/>
        <w:sz w:val="22"/>
        <w:szCs w:val="22"/>
      </w:rPr>
    </w:lvl>
    <w:lvl w:ilvl="1" w:tplc="56DC88AA">
      <w:numFmt w:val="bullet"/>
      <w:lvlText w:val="•"/>
      <w:lvlJc w:val="left"/>
      <w:pPr>
        <w:ind w:left="955" w:hanging="360"/>
      </w:pPr>
      <w:rPr>
        <w:rFonts w:hint="default"/>
      </w:rPr>
    </w:lvl>
    <w:lvl w:ilvl="2" w:tplc="500EBD26">
      <w:numFmt w:val="bullet"/>
      <w:lvlText w:val="•"/>
      <w:lvlJc w:val="left"/>
      <w:pPr>
        <w:ind w:left="1071" w:hanging="360"/>
      </w:pPr>
      <w:rPr>
        <w:rFonts w:hint="default"/>
      </w:rPr>
    </w:lvl>
    <w:lvl w:ilvl="3" w:tplc="D714CC26">
      <w:numFmt w:val="bullet"/>
      <w:lvlText w:val="•"/>
      <w:lvlJc w:val="left"/>
      <w:pPr>
        <w:ind w:left="1187" w:hanging="360"/>
      </w:pPr>
      <w:rPr>
        <w:rFonts w:hint="default"/>
      </w:rPr>
    </w:lvl>
    <w:lvl w:ilvl="4" w:tplc="5F12A67E">
      <w:numFmt w:val="bullet"/>
      <w:lvlText w:val="•"/>
      <w:lvlJc w:val="left"/>
      <w:pPr>
        <w:ind w:left="1302" w:hanging="360"/>
      </w:pPr>
      <w:rPr>
        <w:rFonts w:hint="default"/>
      </w:rPr>
    </w:lvl>
    <w:lvl w:ilvl="5" w:tplc="E46A5D44">
      <w:numFmt w:val="bullet"/>
      <w:lvlText w:val="•"/>
      <w:lvlJc w:val="left"/>
      <w:pPr>
        <w:ind w:left="1418" w:hanging="360"/>
      </w:pPr>
      <w:rPr>
        <w:rFonts w:hint="default"/>
      </w:rPr>
    </w:lvl>
    <w:lvl w:ilvl="6" w:tplc="73805A96">
      <w:numFmt w:val="bullet"/>
      <w:lvlText w:val="•"/>
      <w:lvlJc w:val="left"/>
      <w:pPr>
        <w:ind w:left="1534" w:hanging="360"/>
      </w:pPr>
      <w:rPr>
        <w:rFonts w:hint="default"/>
      </w:rPr>
    </w:lvl>
    <w:lvl w:ilvl="7" w:tplc="C6D0B708">
      <w:numFmt w:val="bullet"/>
      <w:lvlText w:val="•"/>
      <w:lvlJc w:val="left"/>
      <w:pPr>
        <w:ind w:left="1650" w:hanging="360"/>
      </w:pPr>
      <w:rPr>
        <w:rFonts w:hint="default"/>
      </w:rPr>
    </w:lvl>
    <w:lvl w:ilvl="8" w:tplc="54BE9772">
      <w:numFmt w:val="bullet"/>
      <w:lvlText w:val="•"/>
      <w:lvlJc w:val="left"/>
      <w:pPr>
        <w:ind w:left="1765" w:hanging="360"/>
      </w:pPr>
      <w:rPr>
        <w:rFonts w:hint="default"/>
      </w:rPr>
    </w:lvl>
  </w:abstractNum>
  <w:abstractNum w:abstractNumId="16" w15:restartNumberingAfterBreak="0">
    <w:nsid w:val="2D3A33AB"/>
    <w:multiLevelType w:val="hybridMultilevel"/>
    <w:tmpl w:val="4130489C"/>
    <w:lvl w:ilvl="0" w:tplc="90E4F2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CC4FEE"/>
    <w:multiLevelType w:val="multilevel"/>
    <w:tmpl w:val="741CE534"/>
    <w:lvl w:ilvl="0">
      <w:start w:val="5"/>
      <w:numFmt w:val="decimal"/>
      <w:pStyle w:val="ClauseLevel1"/>
      <w:lvlText w:val="%1."/>
      <w:lvlJc w:val="left"/>
      <w:pPr>
        <w:tabs>
          <w:tab w:val="num" w:pos="1134"/>
        </w:tabs>
        <w:ind w:left="1134" w:hanging="1134"/>
      </w:pPr>
      <w:rPr>
        <w:rFonts w:hint="default"/>
        <w:sz w:val="20"/>
      </w:rPr>
    </w:lvl>
    <w:lvl w:ilvl="1">
      <w:start w:val="1"/>
      <w:numFmt w:val="bullet"/>
      <w:pStyle w:val="ClauseLevel2"/>
      <w:lvlText w:val=""/>
      <w:lvlJc w:val="left"/>
      <w:pPr>
        <w:tabs>
          <w:tab w:val="num" w:pos="1134"/>
        </w:tabs>
        <w:ind w:left="1134" w:hanging="1134"/>
      </w:pPr>
      <w:rPr>
        <w:rFonts w:ascii="Symbol" w:hAnsi="Symbol" w:hint="default"/>
        <w:sz w:val="24"/>
        <w:szCs w:val="24"/>
      </w:rPr>
    </w:lvl>
    <w:lvl w:ilvl="2">
      <w:start w:val="1"/>
      <w:numFmt w:val="bullet"/>
      <w:pStyle w:val="ClauseLevel3"/>
      <w:lvlText w:val=""/>
      <w:lvlJc w:val="left"/>
      <w:pPr>
        <w:tabs>
          <w:tab w:val="num" w:pos="1134"/>
        </w:tabs>
        <w:ind w:left="1134" w:hanging="1134"/>
      </w:pPr>
      <w:rPr>
        <w:rFonts w:ascii="Symbol" w:hAnsi="Symbol" w:hint="default"/>
        <w:sz w:val="22"/>
        <w:szCs w:val="22"/>
      </w:rPr>
    </w:lvl>
    <w:lvl w:ilvl="3">
      <w:start w:val="1"/>
      <w:numFmt w:val="lowerLetter"/>
      <w:pStyle w:val="ClauseLevel4"/>
      <w:lvlText w:val="(%4)"/>
      <w:lvlJc w:val="left"/>
      <w:pPr>
        <w:tabs>
          <w:tab w:val="num" w:pos="1865"/>
        </w:tabs>
        <w:ind w:left="1865"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18" w15:restartNumberingAfterBreak="0">
    <w:nsid w:val="316D6385"/>
    <w:multiLevelType w:val="hybridMultilevel"/>
    <w:tmpl w:val="6FEC0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1F0F44"/>
    <w:multiLevelType w:val="hybridMultilevel"/>
    <w:tmpl w:val="9F0E8A6E"/>
    <w:lvl w:ilvl="0" w:tplc="32BA9152">
      <w:start w:val="1"/>
      <w:numFmt w:val="bullet"/>
      <w:lvlText w:val="•"/>
      <w:lvlJc w:val="left"/>
      <w:pPr>
        <w:tabs>
          <w:tab w:val="num" w:pos="360"/>
        </w:tabs>
        <w:ind w:left="360" w:hanging="360"/>
      </w:pPr>
      <w:rPr>
        <w:rFonts w:ascii="Arial" w:hAnsi="Arial" w:hint="default"/>
      </w:rPr>
    </w:lvl>
    <w:lvl w:ilvl="1" w:tplc="9796D548">
      <w:start w:val="1"/>
      <w:numFmt w:val="bullet"/>
      <w:lvlText w:val="•"/>
      <w:lvlJc w:val="left"/>
      <w:pPr>
        <w:tabs>
          <w:tab w:val="num" w:pos="1080"/>
        </w:tabs>
        <w:ind w:left="1080" w:hanging="360"/>
      </w:pPr>
      <w:rPr>
        <w:rFonts w:ascii="Arial" w:hAnsi="Arial" w:hint="default"/>
      </w:rPr>
    </w:lvl>
    <w:lvl w:ilvl="2" w:tplc="C3FE9E2A" w:tentative="1">
      <w:start w:val="1"/>
      <w:numFmt w:val="bullet"/>
      <w:lvlText w:val="•"/>
      <w:lvlJc w:val="left"/>
      <w:pPr>
        <w:tabs>
          <w:tab w:val="num" w:pos="1800"/>
        </w:tabs>
        <w:ind w:left="1800" w:hanging="360"/>
      </w:pPr>
      <w:rPr>
        <w:rFonts w:ascii="Arial" w:hAnsi="Arial" w:hint="default"/>
      </w:rPr>
    </w:lvl>
    <w:lvl w:ilvl="3" w:tplc="61182F9C" w:tentative="1">
      <w:start w:val="1"/>
      <w:numFmt w:val="bullet"/>
      <w:lvlText w:val="•"/>
      <w:lvlJc w:val="left"/>
      <w:pPr>
        <w:tabs>
          <w:tab w:val="num" w:pos="2520"/>
        </w:tabs>
        <w:ind w:left="2520" w:hanging="360"/>
      </w:pPr>
      <w:rPr>
        <w:rFonts w:ascii="Arial" w:hAnsi="Arial" w:hint="default"/>
      </w:rPr>
    </w:lvl>
    <w:lvl w:ilvl="4" w:tplc="FE0EF978" w:tentative="1">
      <w:start w:val="1"/>
      <w:numFmt w:val="bullet"/>
      <w:lvlText w:val="•"/>
      <w:lvlJc w:val="left"/>
      <w:pPr>
        <w:tabs>
          <w:tab w:val="num" w:pos="3240"/>
        </w:tabs>
        <w:ind w:left="3240" w:hanging="360"/>
      </w:pPr>
      <w:rPr>
        <w:rFonts w:ascii="Arial" w:hAnsi="Arial" w:hint="default"/>
      </w:rPr>
    </w:lvl>
    <w:lvl w:ilvl="5" w:tplc="324614F8" w:tentative="1">
      <w:start w:val="1"/>
      <w:numFmt w:val="bullet"/>
      <w:lvlText w:val="•"/>
      <w:lvlJc w:val="left"/>
      <w:pPr>
        <w:tabs>
          <w:tab w:val="num" w:pos="3960"/>
        </w:tabs>
        <w:ind w:left="3960" w:hanging="360"/>
      </w:pPr>
      <w:rPr>
        <w:rFonts w:ascii="Arial" w:hAnsi="Arial" w:hint="default"/>
      </w:rPr>
    </w:lvl>
    <w:lvl w:ilvl="6" w:tplc="DC7AC53E" w:tentative="1">
      <w:start w:val="1"/>
      <w:numFmt w:val="bullet"/>
      <w:lvlText w:val="•"/>
      <w:lvlJc w:val="left"/>
      <w:pPr>
        <w:tabs>
          <w:tab w:val="num" w:pos="4680"/>
        </w:tabs>
        <w:ind w:left="4680" w:hanging="360"/>
      </w:pPr>
      <w:rPr>
        <w:rFonts w:ascii="Arial" w:hAnsi="Arial" w:hint="default"/>
      </w:rPr>
    </w:lvl>
    <w:lvl w:ilvl="7" w:tplc="8E3E7F48" w:tentative="1">
      <w:start w:val="1"/>
      <w:numFmt w:val="bullet"/>
      <w:lvlText w:val="•"/>
      <w:lvlJc w:val="left"/>
      <w:pPr>
        <w:tabs>
          <w:tab w:val="num" w:pos="5400"/>
        </w:tabs>
        <w:ind w:left="5400" w:hanging="360"/>
      </w:pPr>
      <w:rPr>
        <w:rFonts w:ascii="Arial" w:hAnsi="Arial" w:hint="default"/>
      </w:rPr>
    </w:lvl>
    <w:lvl w:ilvl="8" w:tplc="55AE4A8E"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344A2BDF"/>
    <w:multiLevelType w:val="hybridMultilevel"/>
    <w:tmpl w:val="7EA6154C"/>
    <w:lvl w:ilvl="0" w:tplc="6816A1DE">
      <w:numFmt w:val="bullet"/>
      <w:lvlText w:val="•"/>
      <w:lvlJc w:val="left"/>
      <w:pPr>
        <w:ind w:left="540" w:hanging="428"/>
      </w:pPr>
      <w:rPr>
        <w:rFonts w:ascii="Arial" w:eastAsia="Arial" w:hAnsi="Arial" w:cs="Arial" w:hint="default"/>
        <w:w w:val="131"/>
        <w:sz w:val="22"/>
        <w:szCs w:val="22"/>
      </w:rPr>
    </w:lvl>
    <w:lvl w:ilvl="1" w:tplc="3F4A5236">
      <w:numFmt w:val="bullet"/>
      <w:lvlText w:val="o"/>
      <w:lvlJc w:val="left"/>
      <w:pPr>
        <w:ind w:left="965" w:hanging="360"/>
      </w:pPr>
      <w:rPr>
        <w:rFonts w:ascii="Courier New" w:eastAsia="Courier New" w:hAnsi="Courier New" w:cs="Courier New" w:hint="default"/>
        <w:w w:val="100"/>
        <w:sz w:val="22"/>
        <w:szCs w:val="22"/>
      </w:rPr>
    </w:lvl>
    <w:lvl w:ilvl="2" w:tplc="4048829A">
      <w:numFmt w:val="bullet"/>
      <w:lvlText w:val="•"/>
      <w:lvlJc w:val="left"/>
      <w:pPr>
        <w:ind w:left="1947" w:hanging="360"/>
      </w:pPr>
      <w:rPr>
        <w:rFonts w:hint="default"/>
      </w:rPr>
    </w:lvl>
    <w:lvl w:ilvl="3" w:tplc="DA8EFD84">
      <w:numFmt w:val="bullet"/>
      <w:lvlText w:val="•"/>
      <w:lvlJc w:val="left"/>
      <w:pPr>
        <w:ind w:left="2934" w:hanging="360"/>
      </w:pPr>
      <w:rPr>
        <w:rFonts w:hint="default"/>
      </w:rPr>
    </w:lvl>
    <w:lvl w:ilvl="4" w:tplc="36E8CE30">
      <w:numFmt w:val="bullet"/>
      <w:lvlText w:val="•"/>
      <w:lvlJc w:val="left"/>
      <w:pPr>
        <w:ind w:left="3922" w:hanging="360"/>
      </w:pPr>
      <w:rPr>
        <w:rFonts w:hint="default"/>
      </w:rPr>
    </w:lvl>
    <w:lvl w:ilvl="5" w:tplc="C424149E">
      <w:numFmt w:val="bullet"/>
      <w:lvlText w:val="•"/>
      <w:lvlJc w:val="left"/>
      <w:pPr>
        <w:ind w:left="4909" w:hanging="360"/>
      </w:pPr>
      <w:rPr>
        <w:rFonts w:hint="default"/>
      </w:rPr>
    </w:lvl>
    <w:lvl w:ilvl="6" w:tplc="613A5768">
      <w:numFmt w:val="bullet"/>
      <w:lvlText w:val="•"/>
      <w:lvlJc w:val="left"/>
      <w:pPr>
        <w:ind w:left="5896" w:hanging="360"/>
      </w:pPr>
      <w:rPr>
        <w:rFonts w:hint="default"/>
      </w:rPr>
    </w:lvl>
    <w:lvl w:ilvl="7" w:tplc="9D08C3E4">
      <w:numFmt w:val="bullet"/>
      <w:lvlText w:val="•"/>
      <w:lvlJc w:val="left"/>
      <w:pPr>
        <w:ind w:left="6884" w:hanging="360"/>
      </w:pPr>
      <w:rPr>
        <w:rFonts w:hint="default"/>
      </w:rPr>
    </w:lvl>
    <w:lvl w:ilvl="8" w:tplc="998866D6">
      <w:numFmt w:val="bullet"/>
      <w:lvlText w:val="•"/>
      <w:lvlJc w:val="left"/>
      <w:pPr>
        <w:ind w:left="7871" w:hanging="360"/>
      </w:pPr>
      <w:rPr>
        <w:rFonts w:hint="default"/>
      </w:rPr>
    </w:lvl>
  </w:abstractNum>
  <w:abstractNum w:abstractNumId="21" w15:restartNumberingAfterBreak="0">
    <w:nsid w:val="353B56B8"/>
    <w:multiLevelType w:val="hybridMultilevel"/>
    <w:tmpl w:val="15D291B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7805FE0"/>
    <w:multiLevelType w:val="hybridMultilevel"/>
    <w:tmpl w:val="E4483BAE"/>
    <w:lvl w:ilvl="0" w:tplc="0B3C4474">
      <w:start w:val="1"/>
      <w:numFmt w:val="bullet"/>
      <w:lvlText w:val="•"/>
      <w:lvlJc w:val="left"/>
      <w:pPr>
        <w:tabs>
          <w:tab w:val="num" w:pos="360"/>
        </w:tabs>
        <w:ind w:left="360" w:hanging="360"/>
      </w:pPr>
      <w:rPr>
        <w:rFonts w:ascii="Arial" w:hAnsi="Arial" w:hint="default"/>
      </w:rPr>
    </w:lvl>
    <w:lvl w:ilvl="1" w:tplc="7E1A45A4">
      <w:numFmt w:val="bullet"/>
      <w:lvlText w:val="•"/>
      <w:lvlJc w:val="left"/>
      <w:pPr>
        <w:tabs>
          <w:tab w:val="num" w:pos="1080"/>
        </w:tabs>
        <w:ind w:left="1080" w:hanging="360"/>
      </w:pPr>
      <w:rPr>
        <w:rFonts w:ascii="Arial" w:hAnsi="Arial" w:hint="default"/>
      </w:rPr>
    </w:lvl>
    <w:lvl w:ilvl="2" w:tplc="F26242FA" w:tentative="1">
      <w:start w:val="1"/>
      <w:numFmt w:val="bullet"/>
      <w:lvlText w:val="•"/>
      <w:lvlJc w:val="left"/>
      <w:pPr>
        <w:tabs>
          <w:tab w:val="num" w:pos="1800"/>
        </w:tabs>
        <w:ind w:left="1800" w:hanging="360"/>
      </w:pPr>
      <w:rPr>
        <w:rFonts w:ascii="Arial" w:hAnsi="Arial" w:hint="default"/>
      </w:rPr>
    </w:lvl>
    <w:lvl w:ilvl="3" w:tplc="C1C2DE4E" w:tentative="1">
      <w:start w:val="1"/>
      <w:numFmt w:val="bullet"/>
      <w:lvlText w:val="•"/>
      <w:lvlJc w:val="left"/>
      <w:pPr>
        <w:tabs>
          <w:tab w:val="num" w:pos="2520"/>
        </w:tabs>
        <w:ind w:left="2520" w:hanging="360"/>
      </w:pPr>
      <w:rPr>
        <w:rFonts w:ascii="Arial" w:hAnsi="Arial" w:hint="default"/>
      </w:rPr>
    </w:lvl>
    <w:lvl w:ilvl="4" w:tplc="076CFD08" w:tentative="1">
      <w:start w:val="1"/>
      <w:numFmt w:val="bullet"/>
      <w:lvlText w:val="•"/>
      <w:lvlJc w:val="left"/>
      <w:pPr>
        <w:tabs>
          <w:tab w:val="num" w:pos="3240"/>
        </w:tabs>
        <w:ind w:left="3240" w:hanging="360"/>
      </w:pPr>
      <w:rPr>
        <w:rFonts w:ascii="Arial" w:hAnsi="Arial" w:hint="default"/>
      </w:rPr>
    </w:lvl>
    <w:lvl w:ilvl="5" w:tplc="E84E8D84" w:tentative="1">
      <w:start w:val="1"/>
      <w:numFmt w:val="bullet"/>
      <w:lvlText w:val="•"/>
      <w:lvlJc w:val="left"/>
      <w:pPr>
        <w:tabs>
          <w:tab w:val="num" w:pos="3960"/>
        </w:tabs>
        <w:ind w:left="3960" w:hanging="360"/>
      </w:pPr>
      <w:rPr>
        <w:rFonts w:ascii="Arial" w:hAnsi="Arial" w:hint="default"/>
      </w:rPr>
    </w:lvl>
    <w:lvl w:ilvl="6" w:tplc="8F5C2D1C" w:tentative="1">
      <w:start w:val="1"/>
      <w:numFmt w:val="bullet"/>
      <w:lvlText w:val="•"/>
      <w:lvlJc w:val="left"/>
      <w:pPr>
        <w:tabs>
          <w:tab w:val="num" w:pos="4680"/>
        </w:tabs>
        <w:ind w:left="4680" w:hanging="360"/>
      </w:pPr>
      <w:rPr>
        <w:rFonts w:ascii="Arial" w:hAnsi="Arial" w:hint="default"/>
      </w:rPr>
    </w:lvl>
    <w:lvl w:ilvl="7" w:tplc="DDA47B12" w:tentative="1">
      <w:start w:val="1"/>
      <w:numFmt w:val="bullet"/>
      <w:lvlText w:val="•"/>
      <w:lvlJc w:val="left"/>
      <w:pPr>
        <w:tabs>
          <w:tab w:val="num" w:pos="5400"/>
        </w:tabs>
        <w:ind w:left="5400" w:hanging="360"/>
      </w:pPr>
      <w:rPr>
        <w:rFonts w:ascii="Arial" w:hAnsi="Arial" w:hint="default"/>
      </w:rPr>
    </w:lvl>
    <w:lvl w:ilvl="8" w:tplc="DEA2A0DE"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3F8355EB"/>
    <w:multiLevelType w:val="hybridMultilevel"/>
    <w:tmpl w:val="B7EC752C"/>
    <w:lvl w:ilvl="0" w:tplc="8CF0755C">
      <w:start w:val="1"/>
      <w:numFmt w:val="decimal"/>
      <w:lvlText w:val="%1."/>
      <w:lvlJc w:val="left"/>
      <w:pPr>
        <w:ind w:left="473" w:hanging="360"/>
      </w:pPr>
      <w:rPr>
        <w:rFonts w:ascii="Arial" w:eastAsia="Arial" w:hAnsi="Arial" w:cs="Arial" w:hint="default"/>
        <w:b/>
        <w:bCs/>
        <w:w w:val="93"/>
        <w:sz w:val="22"/>
        <w:szCs w:val="22"/>
      </w:rPr>
    </w:lvl>
    <w:lvl w:ilvl="1" w:tplc="D50A9E64">
      <w:numFmt w:val="bullet"/>
      <w:lvlText w:val="-"/>
      <w:lvlJc w:val="left"/>
      <w:pPr>
        <w:ind w:left="833" w:hanging="360"/>
      </w:pPr>
      <w:rPr>
        <w:rFonts w:ascii="Arial" w:eastAsia="Arial" w:hAnsi="Arial" w:cs="Arial" w:hint="default"/>
        <w:w w:val="92"/>
        <w:sz w:val="22"/>
        <w:szCs w:val="22"/>
      </w:rPr>
    </w:lvl>
    <w:lvl w:ilvl="2" w:tplc="EE42DCBE">
      <w:numFmt w:val="bullet"/>
      <w:lvlText w:val="•"/>
      <w:lvlJc w:val="left"/>
      <w:pPr>
        <w:ind w:left="1840" w:hanging="360"/>
      </w:pPr>
      <w:rPr>
        <w:rFonts w:hint="default"/>
      </w:rPr>
    </w:lvl>
    <w:lvl w:ilvl="3" w:tplc="F96084F2">
      <w:numFmt w:val="bullet"/>
      <w:lvlText w:val="•"/>
      <w:lvlJc w:val="left"/>
      <w:pPr>
        <w:ind w:left="2841" w:hanging="360"/>
      </w:pPr>
      <w:rPr>
        <w:rFonts w:hint="default"/>
      </w:rPr>
    </w:lvl>
    <w:lvl w:ilvl="4" w:tplc="D0282098">
      <w:numFmt w:val="bullet"/>
      <w:lvlText w:val="•"/>
      <w:lvlJc w:val="left"/>
      <w:pPr>
        <w:ind w:left="3842" w:hanging="360"/>
      </w:pPr>
      <w:rPr>
        <w:rFonts w:hint="default"/>
      </w:rPr>
    </w:lvl>
    <w:lvl w:ilvl="5" w:tplc="B7782FC8">
      <w:numFmt w:val="bullet"/>
      <w:lvlText w:val="•"/>
      <w:lvlJc w:val="left"/>
      <w:pPr>
        <w:ind w:left="4842" w:hanging="360"/>
      </w:pPr>
      <w:rPr>
        <w:rFonts w:hint="default"/>
      </w:rPr>
    </w:lvl>
    <w:lvl w:ilvl="6" w:tplc="55866A84">
      <w:numFmt w:val="bullet"/>
      <w:lvlText w:val="•"/>
      <w:lvlJc w:val="left"/>
      <w:pPr>
        <w:ind w:left="5843" w:hanging="360"/>
      </w:pPr>
      <w:rPr>
        <w:rFonts w:hint="default"/>
      </w:rPr>
    </w:lvl>
    <w:lvl w:ilvl="7" w:tplc="B47A5A92">
      <w:numFmt w:val="bullet"/>
      <w:lvlText w:val="•"/>
      <w:lvlJc w:val="left"/>
      <w:pPr>
        <w:ind w:left="6844" w:hanging="360"/>
      </w:pPr>
      <w:rPr>
        <w:rFonts w:hint="default"/>
      </w:rPr>
    </w:lvl>
    <w:lvl w:ilvl="8" w:tplc="EE12C44A">
      <w:numFmt w:val="bullet"/>
      <w:lvlText w:val="•"/>
      <w:lvlJc w:val="left"/>
      <w:pPr>
        <w:ind w:left="7844" w:hanging="360"/>
      </w:pPr>
      <w:rPr>
        <w:rFonts w:hint="default"/>
      </w:rPr>
    </w:lvl>
  </w:abstractNum>
  <w:abstractNum w:abstractNumId="24" w15:restartNumberingAfterBreak="0">
    <w:nsid w:val="40A405D2"/>
    <w:multiLevelType w:val="hybridMultilevel"/>
    <w:tmpl w:val="0E869EB8"/>
    <w:lvl w:ilvl="0" w:tplc="9DE610E0">
      <w:start w:val="1"/>
      <w:numFmt w:val="decimal"/>
      <w:lvlText w:val="%1."/>
      <w:lvlJc w:val="left"/>
      <w:pPr>
        <w:ind w:left="538" w:hanging="425"/>
      </w:pPr>
      <w:rPr>
        <w:rFonts w:ascii="Arial" w:eastAsia="Arial" w:hAnsi="Arial" w:cs="Arial" w:hint="default"/>
        <w:w w:val="91"/>
        <w:sz w:val="22"/>
        <w:szCs w:val="22"/>
      </w:rPr>
    </w:lvl>
    <w:lvl w:ilvl="1" w:tplc="B412CD2E">
      <w:numFmt w:val="bullet"/>
      <w:lvlText w:val="•"/>
      <w:lvlJc w:val="left"/>
      <w:pPr>
        <w:ind w:left="1472" w:hanging="425"/>
      </w:pPr>
      <w:rPr>
        <w:rFonts w:hint="default"/>
      </w:rPr>
    </w:lvl>
    <w:lvl w:ilvl="2" w:tplc="167E1F40">
      <w:numFmt w:val="bullet"/>
      <w:lvlText w:val="•"/>
      <w:lvlJc w:val="left"/>
      <w:pPr>
        <w:ind w:left="2405" w:hanging="425"/>
      </w:pPr>
      <w:rPr>
        <w:rFonts w:hint="default"/>
      </w:rPr>
    </w:lvl>
    <w:lvl w:ilvl="3" w:tplc="3ACCFDC6">
      <w:numFmt w:val="bullet"/>
      <w:lvlText w:val="•"/>
      <w:lvlJc w:val="left"/>
      <w:pPr>
        <w:ind w:left="3337" w:hanging="425"/>
      </w:pPr>
      <w:rPr>
        <w:rFonts w:hint="default"/>
      </w:rPr>
    </w:lvl>
    <w:lvl w:ilvl="4" w:tplc="1FD228FE">
      <w:numFmt w:val="bullet"/>
      <w:lvlText w:val="•"/>
      <w:lvlJc w:val="left"/>
      <w:pPr>
        <w:ind w:left="4270" w:hanging="425"/>
      </w:pPr>
      <w:rPr>
        <w:rFonts w:hint="default"/>
      </w:rPr>
    </w:lvl>
    <w:lvl w:ilvl="5" w:tplc="F57C31BE">
      <w:numFmt w:val="bullet"/>
      <w:lvlText w:val="•"/>
      <w:lvlJc w:val="left"/>
      <w:pPr>
        <w:ind w:left="5203" w:hanging="425"/>
      </w:pPr>
      <w:rPr>
        <w:rFonts w:hint="default"/>
      </w:rPr>
    </w:lvl>
    <w:lvl w:ilvl="6" w:tplc="D2080670">
      <w:numFmt w:val="bullet"/>
      <w:lvlText w:val="•"/>
      <w:lvlJc w:val="left"/>
      <w:pPr>
        <w:ind w:left="6135" w:hanging="425"/>
      </w:pPr>
      <w:rPr>
        <w:rFonts w:hint="default"/>
      </w:rPr>
    </w:lvl>
    <w:lvl w:ilvl="7" w:tplc="4EAA1E8C">
      <w:numFmt w:val="bullet"/>
      <w:lvlText w:val="•"/>
      <w:lvlJc w:val="left"/>
      <w:pPr>
        <w:ind w:left="7068" w:hanging="425"/>
      </w:pPr>
      <w:rPr>
        <w:rFonts w:hint="default"/>
      </w:rPr>
    </w:lvl>
    <w:lvl w:ilvl="8" w:tplc="48320860">
      <w:numFmt w:val="bullet"/>
      <w:lvlText w:val="•"/>
      <w:lvlJc w:val="left"/>
      <w:pPr>
        <w:ind w:left="8001" w:hanging="425"/>
      </w:pPr>
      <w:rPr>
        <w:rFonts w:hint="default"/>
      </w:rPr>
    </w:lvl>
  </w:abstractNum>
  <w:abstractNum w:abstractNumId="25" w15:restartNumberingAfterBreak="0">
    <w:nsid w:val="42F608E3"/>
    <w:multiLevelType w:val="hybridMultilevel"/>
    <w:tmpl w:val="352A1ECC"/>
    <w:lvl w:ilvl="0" w:tplc="D0C0D75A">
      <w:start w:val="2"/>
      <w:numFmt w:val="decimal"/>
      <w:lvlText w:val="%1."/>
      <w:lvlJc w:val="left"/>
      <w:pPr>
        <w:ind w:left="470" w:hanging="358"/>
      </w:pPr>
      <w:rPr>
        <w:rFonts w:ascii="Arial" w:eastAsia="Arial" w:hAnsi="Arial" w:cs="Arial" w:hint="default"/>
        <w:b/>
        <w:bCs/>
        <w:w w:val="92"/>
        <w:sz w:val="24"/>
        <w:szCs w:val="24"/>
      </w:rPr>
    </w:lvl>
    <w:lvl w:ilvl="1" w:tplc="43DE1020">
      <w:start w:val="1"/>
      <w:numFmt w:val="lowerLetter"/>
      <w:lvlText w:val="%2)"/>
      <w:lvlJc w:val="left"/>
      <w:pPr>
        <w:ind w:left="965" w:hanging="360"/>
      </w:pPr>
      <w:rPr>
        <w:rFonts w:hint="default"/>
        <w:spacing w:val="-1"/>
        <w:w w:val="88"/>
      </w:rPr>
    </w:lvl>
    <w:lvl w:ilvl="2" w:tplc="E458A16E">
      <w:numFmt w:val="bullet"/>
      <w:lvlText w:val="•"/>
      <w:lvlJc w:val="left"/>
      <w:pPr>
        <w:ind w:left="1947" w:hanging="360"/>
      </w:pPr>
      <w:rPr>
        <w:rFonts w:hint="default"/>
      </w:rPr>
    </w:lvl>
    <w:lvl w:ilvl="3" w:tplc="97D69CAC">
      <w:numFmt w:val="bullet"/>
      <w:lvlText w:val="•"/>
      <w:lvlJc w:val="left"/>
      <w:pPr>
        <w:ind w:left="2934" w:hanging="360"/>
      </w:pPr>
      <w:rPr>
        <w:rFonts w:hint="default"/>
      </w:rPr>
    </w:lvl>
    <w:lvl w:ilvl="4" w:tplc="0C3E08BE">
      <w:numFmt w:val="bullet"/>
      <w:lvlText w:val="•"/>
      <w:lvlJc w:val="left"/>
      <w:pPr>
        <w:ind w:left="3922" w:hanging="360"/>
      </w:pPr>
      <w:rPr>
        <w:rFonts w:hint="default"/>
      </w:rPr>
    </w:lvl>
    <w:lvl w:ilvl="5" w:tplc="AFFCFE6A">
      <w:numFmt w:val="bullet"/>
      <w:lvlText w:val="•"/>
      <w:lvlJc w:val="left"/>
      <w:pPr>
        <w:ind w:left="4909" w:hanging="360"/>
      </w:pPr>
      <w:rPr>
        <w:rFonts w:hint="default"/>
      </w:rPr>
    </w:lvl>
    <w:lvl w:ilvl="6" w:tplc="B9A0D808">
      <w:numFmt w:val="bullet"/>
      <w:lvlText w:val="•"/>
      <w:lvlJc w:val="left"/>
      <w:pPr>
        <w:ind w:left="5896" w:hanging="360"/>
      </w:pPr>
      <w:rPr>
        <w:rFonts w:hint="default"/>
      </w:rPr>
    </w:lvl>
    <w:lvl w:ilvl="7" w:tplc="3BEC2E4C">
      <w:numFmt w:val="bullet"/>
      <w:lvlText w:val="•"/>
      <w:lvlJc w:val="left"/>
      <w:pPr>
        <w:ind w:left="6884" w:hanging="360"/>
      </w:pPr>
      <w:rPr>
        <w:rFonts w:hint="default"/>
      </w:rPr>
    </w:lvl>
    <w:lvl w:ilvl="8" w:tplc="6ACEFA00">
      <w:numFmt w:val="bullet"/>
      <w:lvlText w:val="•"/>
      <w:lvlJc w:val="left"/>
      <w:pPr>
        <w:ind w:left="7871" w:hanging="360"/>
      </w:pPr>
      <w:rPr>
        <w:rFonts w:hint="default"/>
      </w:rPr>
    </w:lvl>
  </w:abstractNum>
  <w:abstractNum w:abstractNumId="26" w15:restartNumberingAfterBreak="0">
    <w:nsid w:val="45BE5147"/>
    <w:multiLevelType w:val="hybridMultilevel"/>
    <w:tmpl w:val="9490E5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791DA8"/>
    <w:multiLevelType w:val="hybridMultilevel"/>
    <w:tmpl w:val="9A1E14A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7A379B7"/>
    <w:multiLevelType w:val="hybridMultilevel"/>
    <w:tmpl w:val="176CF08C"/>
    <w:lvl w:ilvl="0" w:tplc="0B3C4474">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366BB1"/>
    <w:multiLevelType w:val="hybridMultilevel"/>
    <w:tmpl w:val="33B058D4"/>
    <w:lvl w:ilvl="0" w:tplc="40E87958">
      <w:start w:val="1"/>
      <w:numFmt w:val="bullet"/>
      <w:pStyle w:val="detailswbullets1"/>
      <w:lvlText w:val=""/>
      <w:lvlJc w:val="left"/>
      <w:pPr>
        <w:tabs>
          <w:tab w:val="num" w:pos="360"/>
        </w:tabs>
        <w:ind w:left="360" w:hanging="245"/>
      </w:pPr>
      <w:rPr>
        <w:rFonts w:ascii="Symbol" w:hAnsi="Symbol" w:hint="default"/>
      </w:rPr>
    </w:lvl>
    <w:lvl w:ilvl="1" w:tplc="E0781BC0">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Wingdings"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Wingdings"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30" w15:restartNumberingAfterBreak="0">
    <w:nsid w:val="539A068B"/>
    <w:multiLevelType w:val="hybridMultilevel"/>
    <w:tmpl w:val="749E4A12"/>
    <w:lvl w:ilvl="0" w:tplc="80DABDD0">
      <w:start w:val="2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3B0BEF"/>
    <w:multiLevelType w:val="hybridMultilevel"/>
    <w:tmpl w:val="BDC01040"/>
    <w:lvl w:ilvl="0" w:tplc="D158C132">
      <w:start w:val="1"/>
      <w:numFmt w:val="decimal"/>
      <w:pStyle w:val="PIFSheading1"/>
      <w:lvlText w:val="%1."/>
      <w:lvlJc w:val="left"/>
      <w:pPr>
        <w:tabs>
          <w:tab w:val="num" w:pos="720"/>
        </w:tabs>
        <w:ind w:left="720" w:hanging="360"/>
      </w:pPr>
      <w:rPr>
        <w:b/>
        <w:sz w:val="28"/>
        <w:szCs w:val="28"/>
      </w:rPr>
    </w:lvl>
    <w:lvl w:ilvl="1" w:tplc="6AB2B6FE">
      <w:start w:val="1"/>
      <w:numFmt w:val="bullet"/>
      <w:lvlText w:val="o"/>
      <w:lvlJc w:val="left"/>
      <w:pPr>
        <w:tabs>
          <w:tab w:val="num" w:pos="1440"/>
        </w:tabs>
        <w:ind w:left="1440" w:hanging="360"/>
      </w:pPr>
      <w:rPr>
        <w:rFonts w:ascii="Courier New" w:hAnsi="Courier New" w:cs="Courier New" w:hint="default"/>
        <w:b/>
        <w:sz w:val="22"/>
        <w:szCs w:val="22"/>
      </w:rPr>
    </w:lvl>
    <w:lvl w:ilvl="2" w:tplc="04090001">
      <w:start w:val="1"/>
      <w:numFmt w:val="bullet"/>
      <w:lvlText w:val=""/>
      <w:lvlJc w:val="left"/>
      <w:pPr>
        <w:tabs>
          <w:tab w:val="num" w:pos="1440"/>
        </w:tabs>
        <w:ind w:left="1440" w:hanging="360"/>
      </w:pPr>
      <w:rPr>
        <w:rFonts w:ascii="Symbol" w:hAnsi="Symbol" w:hint="default"/>
        <w:b/>
        <w:sz w:val="28"/>
        <w:szCs w:val="2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9D1C77"/>
    <w:multiLevelType w:val="hybridMultilevel"/>
    <w:tmpl w:val="94341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3C16AC"/>
    <w:multiLevelType w:val="hybridMultilevel"/>
    <w:tmpl w:val="0ADE4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443A14"/>
    <w:multiLevelType w:val="hybridMultilevel"/>
    <w:tmpl w:val="BEC89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EE206E"/>
    <w:multiLevelType w:val="hybridMultilevel"/>
    <w:tmpl w:val="850C8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8890BA8"/>
    <w:multiLevelType w:val="hybridMultilevel"/>
    <w:tmpl w:val="0FDCC184"/>
    <w:lvl w:ilvl="0" w:tplc="6766223A">
      <w:start w:val="1"/>
      <w:numFmt w:val="decimal"/>
      <w:pStyle w:val="UNICEFTableTitle"/>
      <w:lvlText w:val="Table %1"/>
      <w:lvlJc w:val="left"/>
      <w:pPr>
        <w:ind w:left="2345" w:hanging="360"/>
      </w:pPr>
      <w:rPr>
        <w:rFonts w:ascii="Tahoma" w:hAnsi="Tahoma" w:cs="Tahoma" w:hint="default"/>
        <w:b/>
        <w:i w:val="0"/>
        <w:sz w:val="22"/>
        <w:szCs w:val="22"/>
      </w:rPr>
    </w:lvl>
    <w:lvl w:ilvl="1" w:tplc="08090019" w:tentative="1">
      <w:start w:val="1"/>
      <w:numFmt w:val="lowerLetter"/>
      <w:lvlText w:val="%2."/>
      <w:lvlJc w:val="left"/>
      <w:pPr>
        <w:ind w:left="-4940" w:hanging="360"/>
      </w:pPr>
    </w:lvl>
    <w:lvl w:ilvl="2" w:tplc="0809001B" w:tentative="1">
      <w:start w:val="1"/>
      <w:numFmt w:val="lowerRoman"/>
      <w:lvlText w:val="%3."/>
      <w:lvlJc w:val="right"/>
      <w:pPr>
        <w:ind w:left="-4220" w:hanging="180"/>
      </w:pPr>
    </w:lvl>
    <w:lvl w:ilvl="3" w:tplc="0809000F" w:tentative="1">
      <w:start w:val="1"/>
      <w:numFmt w:val="decimal"/>
      <w:lvlText w:val="%4."/>
      <w:lvlJc w:val="left"/>
      <w:pPr>
        <w:ind w:left="-3500" w:hanging="360"/>
      </w:pPr>
    </w:lvl>
    <w:lvl w:ilvl="4" w:tplc="08090019" w:tentative="1">
      <w:start w:val="1"/>
      <w:numFmt w:val="lowerLetter"/>
      <w:lvlText w:val="%5."/>
      <w:lvlJc w:val="left"/>
      <w:pPr>
        <w:ind w:left="-2780" w:hanging="360"/>
      </w:pPr>
    </w:lvl>
    <w:lvl w:ilvl="5" w:tplc="0809001B" w:tentative="1">
      <w:start w:val="1"/>
      <w:numFmt w:val="lowerRoman"/>
      <w:lvlText w:val="%6."/>
      <w:lvlJc w:val="right"/>
      <w:pPr>
        <w:ind w:left="-2060" w:hanging="180"/>
      </w:pPr>
    </w:lvl>
    <w:lvl w:ilvl="6" w:tplc="0809000F" w:tentative="1">
      <w:start w:val="1"/>
      <w:numFmt w:val="decimal"/>
      <w:lvlText w:val="%7."/>
      <w:lvlJc w:val="left"/>
      <w:pPr>
        <w:ind w:left="-1340" w:hanging="360"/>
      </w:pPr>
    </w:lvl>
    <w:lvl w:ilvl="7" w:tplc="08090019" w:tentative="1">
      <w:start w:val="1"/>
      <w:numFmt w:val="lowerLetter"/>
      <w:lvlText w:val="%8."/>
      <w:lvlJc w:val="left"/>
      <w:pPr>
        <w:ind w:left="-620" w:hanging="360"/>
      </w:pPr>
    </w:lvl>
    <w:lvl w:ilvl="8" w:tplc="0809001B" w:tentative="1">
      <w:start w:val="1"/>
      <w:numFmt w:val="lowerRoman"/>
      <w:lvlText w:val="%9."/>
      <w:lvlJc w:val="right"/>
      <w:pPr>
        <w:ind w:left="100" w:hanging="180"/>
      </w:pPr>
    </w:lvl>
  </w:abstractNum>
  <w:abstractNum w:abstractNumId="37" w15:restartNumberingAfterBreak="0">
    <w:nsid w:val="69232A6E"/>
    <w:multiLevelType w:val="hybridMultilevel"/>
    <w:tmpl w:val="FA509A10"/>
    <w:lvl w:ilvl="0" w:tplc="BBA0724A">
      <w:start w:val="5"/>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8375AE"/>
    <w:multiLevelType w:val="hybridMultilevel"/>
    <w:tmpl w:val="D0A023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23662B3"/>
    <w:multiLevelType w:val="hybridMultilevel"/>
    <w:tmpl w:val="82BE10C4"/>
    <w:lvl w:ilvl="0" w:tplc="8F54ED0C">
      <w:numFmt w:val="bullet"/>
      <w:lvlText w:val="•"/>
      <w:lvlJc w:val="left"/>
      <w:pPr>
        <w:ind w:left="833" w:hanging="360"/>
      </w:pPr>
      <w:rPr>
        <w:rFonts w:ascii="Arial" w:eastAsia="Arial" w:hAnsi="Arial" w:cs="Arial" w:hint="default"/>
        <w:w w:val="131"/>
        <w:sz w:val="22"/>
        <w:szCs w:val="22"/>
      </w:rPr>
    </w:lvl>
    <w:lvl w:ilvl="1" w:tplc="7870F568">
      <w:numFmt w:val="bullet"/>
      <w:lvlText w:val="•"/>
      <w:lvlJc w:val="left"/>
      <w:pPr>
        <w:ind w:left="1740" w:hanging="360"/>
      </w:pPr>
      <w:rPr>
        <w:rFonts w:hint="default"/>
      </w:rPr>
    </w:lvl>
    <w:lvl w:ilvl="2" w:tplc="5FBE6DF4">
      <w:numFmt w:val="bullet"/>
      <w:lvlText w:val="•"/>
      <w:lvlJc w:val="left"/>
      <w:pPr>
        <w:ind w:left="2641" w:hanging="360"/>
      </w:pPr>
      <w:rPr>
        <w:rFonts w:hint="default"/>
      </w:rPr>
    </w:lvl>
    <w:lvl w:ilvl="3" w:tplc="90441E4E">
      <w:numFmt w:val="bullet"/>
      <w:lvlText w:val="•"/>
      <w:lvlJc w:val="left"/>
      <w:pPr>
        <w:ind w:left="3541" w:hanging="360"/>
      </w:pPr>
      <w:rPr>
        <w:rFonts w:hint="default"/>
      </w:rPr>
    </w:lvl>
    <w:lvl w:ilvl="4" w:tplc="DFD0D334">
      <w:numFmt w:val="bullet"/>
      <w:lvlText w:val="•"/>
      <w:lvlJc w:val="left"/>
      <w:pPr>
        <w:ind w:left="4442" w:hanging="360"/>
      </w:pPr>
      <w:rPr>
        <w:rFonts w:hint="default"/>
      </w:rPr>
    </w:lvl>
    <w:lvl w:ilvl="5" w:tplc="1D942EDC">
      <w:numFmt w:val="bullet"/>
      <w:lvlText w:val="•"/>
      <w:lvlJc w:val="left"/>
      <w:pPr>
        <w:ind w:left="5343" w:hanging="360"/>
      </w:pPr>
      <w:rPr>
        <w:rFonts w:hint="default"/>
      </w:rPr>
    </w:lvl>
    <w:lvl w:ilvl="6" w:tplc="17A42BE8">
      <w:numFmt w:val="bullet"/>
      <w:lvlText w:val="•"/>
      <w:lvlJc w:val="left"/>
      <w:pPr>
        <w:ind w:left="6243" w:hanging="360"/>
      </w:pPr>
      <w:rPr>
        <w:rFonts w:hint="default"/>
      </w:rPr>
    </w:lvl>
    <w:lvl w:ilvl="7" w:tplc="E9DE768E">
      <w:numFmt w:val="bullet"/>
      <w:lvlText w:val="•"/>
      <w:lvlJc w:val="left"/>
      <w:pPr>
        <w:ind w:left="7144" w:hanging="360"/>
      </w:pPr>
      <w:rPr>
        <w:rFonts w:hint="default"/>
      </w:rPr>
    </w:lvl>
    <w:lvl w:ilvl="8" w:tplc="CB68E644">
      <w:numFmt w:val="bullet"/>
      <w:lvlText w:val="•"/>
      <w:lvlJc w:val="left"/>
      <w:pPr>
        <w:ind w:left="8045" w:hanging="360"/>
      </w:pPr>
      <w:rPr>
        <w:rFonts w:hint="default"/>
      </w:rPr>
    </w:lvl>
  </w:abstractNum>
  <w:abstractNum w:abstractNumId="40" w15:restartNumberingAfterBreak="0">
    <w:nsid w:val="75075E4D"/>
    <w:multiLevelType w:val="hybridMultilevel"/>
    <w:tmpl w:val="5B1A8B22"/>
    <w:lvl w:ilvl="0" w:tplc="D9DA1F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425935"/>
    <w:multiLevelType w:val="hybridMultilevel"/>
    <w:tmpl w:val="14F8C6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97567C"/>
    <w:multiLevelType w:val="hybridMultilevel"/>
    <w:tmpl w:val="2870A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ADA4EA9"/>
    <w:multiLevelType w:val="hybridMultilevel"/>
    <w:tmpl w:val="E7461564"/>
    <w:lvl w:ilvl="0" w:tplc="DE2A7B1C">
      <w:start w:val="1"/>
      <w:numFmt w:val="bullet"/>
      <w:pStyle w:val="SDAbulletpoints"/>
      <w:lvlText w:val=""/>
      <w:lvlJc w:val="left"/>
      <w:pPr>
        <w:ind w:left="720" w:hanging="360"/>
      </w:pPr>
      <w:rPr>
        <w:rFonts w:ascii="Symbol" w:hAnsi="Symbol" w:hint="default"/>
        <w:color w:val="CF5D27"/>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D53207C"/>
    <w:multiLevelType w:val="hybridMultilevel"/>
    <w:tmpl w:val="1AD840C6"/>
    <w:lvl w:ilvl="0" w:tplc="AF2CD8A2">
      <w:start w:val="1"/>
      <w:numFmt w:val="decimal"/>
      <w:pStyle w:val="SDAnumberedlist"/>
      <w:lvlText w:val="%1"/>
      <w:lvlJc w:val="left"/>
      <w:pPr>
        <w:ind w:left="1080" w:hanging="360"/>
      </w:pPr>
      <w:rPr>
        <w:rFonts w:hint="default"/>
        <w:b/>
        <w:color w:val="CF5D27"/>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7E792A8C"/>
    <w:multiLevelType w:val="hybridMultilevel"/>
    <w:tmpl w:val="A4642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7"/>
  </w:num>
  <w:num w:numId="3">
    <w:abstractNumId w:val="43"/>
  </w:num>
  <w:num w:numId="4">
    <w:abstractNumId w:val="44"/>
  </w:num>
  <w:num w:numId="5">
    <w:abstractNumId w:val="29"/>
  </w:num>
  <w:num w:numId="6">
    <w:abstractNumId w:val="13"/>
  </w:num>
  <w:num w:numId="7">
    <w:abstractNumId w:val="17"/>
  </w:num>
  <w:num w:numId="8">
    <w:abstractNumId w:val="0"/>
  </w:num>
  <w:num w:numId="9">
    <w:abstractNumId w:val="11"/>
  </w:num>
  <w:num w:numId="10">
    <w:abstractNumId w:val="36"/>
  </w:num>
  <w:num w:numId="11">
    <w:abstractNumId w:val="12"/>
  </w:num>
  <w:num w:numId="12">
    <w:abstractNumId w:val="2"/>
  </w:num>
  <w:num w:numId="13">
    <w:abstractNumId w:val="38"/>
  </w:num>
  <w:num w:numId="14">
    <w:abstractNumId w:val="42"/>
  </w:num>
  <w:num w:numId="15">
    <w:abstractNumId w:val="35"/>
  </w:num>
  <w:num w:numId="16">
    <w:abstractNumId w:val="40"/>
  </w:num>
  <w:num w:numId="17">
    <w:abstractNumId w:val="32"/>
  </w:num>
  <w:num w:numId="18">
    <w:abstractNumId w:val="33"/>
  </w:num>
  <w:num w:numId="19">
    <w:abstractNumId w:val="3"/>
  </w:num>
  <w:num w:numId="20">
    <w:abstractNumId w:val="22"/>
  </w:num>
  <w:num w:numId="21">
    <w:abstractNumId w:val="9"/>
  </w:num>
  <w:num w:numId="22">
    <w:abstractNumId w:val="19"/>
  </w:num>
  <w:num w:numId="23">
    <w:abstractNumId w:val="28"/>
  </w:num>
  <w:num w:numId="24">
    <w:abstractNumId w:val="4"/>
  </w:num>
  <w:num w:numId="25">
    <w:abstractNumId w:val="1"/>
  </w:num>
  <w:num w:numId="26">
    <w:abstractNumId w:val="26"/>
  </w:num>
  <w:num w:numId="27">
    <w:abstractNumId w:val="16"/>
  </w:num>
  <w:num w:numId="28">
    <w:abstractNumId w:val="41"/>
  </w:num>
  <w:num w:numId="29">
    <w:abstractNumId w:val="27"/>
  </w:num>
  <w:num w:numId="30">
    <w:abstractNumId w:val="6"/>
  </w:num>
  <w:num w:numId="31">
    <w:abstractNumId w:val="18"/>
  </w:num>
  <w:num w:numId="32">
    <w:abstractNumId w:val="30"/>
  </w:num>
  <w:num w:numId="33">
    <w:abstractNumId w:val="45"/>
  </w:num>
  <w:num w:numId="34">
    <w:abstractNumId w:val="10"/>
  </w:num>
  <w:num w:numId="35">
    <w:abstractNumId w:val="37"/>
  </w:num>
  <w:num w:numId="36">
    <w:abstractNumId w:val="8"/>
  </w:num>
  <w:num w:numId="37">
    <w:abstractNumId w:val="21"/>
  </w:num>
  <w:num w:numId="38">
    <w:abstractNumId w:val="5"/>
  </w:num>
  <w:num w:numId="39">
    <w:abstractNumId w:val="14"/>
  </w:num>
  <w:num w:numId="40">
    <w:abstractNumId w:val="34"/>
  </w:num>
  <w:num w:numId="41">
    <w:abstractNumId w:val="23"/>
  </w:num>
  <w:num w:numId="42">
    <w:abstractNumId w:val="39"/>
  </w:num>
  <w:num w:numId="43">
    <w:abstractNumId w:val="15"/>
  </w:num>
  <w:num w:numId="44">
    <w:abstractNumId w:val="25"/>
  </w:num>
  <w:num w:numId="45">
    <w:abstractNumId w:val="20"/>
  </w:num>
  <w:num w:numId="46">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en-AU"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4096" w:nlCheck="1" w:checkStyle="0"/>
  <w:activeWritingStyle w:appName="MSWord" w:lang="en-GB" w:vendorID="64" w:dllVersion="131078" w:nlCheck="1" w:checkStyle="1"/>
  <w:activeWritingStyle w:appName="MSWord" w:lang="en-AU" w:vendorID="64" w:dllVersion="131078" w:nlCheck="1" w:checkStyle="1"/>
  <w:doNotTrackMoves/>
  <w:defaultTabStop w:val="720"/>
  <w:drawingGridHorizontalSpacing w:val="110"/>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B6A"/>
    <w:rsid w:val="0000025E"/>
    <w:rsid w:val="000015E0"/>
    <w:rsid w:val="000022E7"/>
    <w:rsid w:val="000034F1"/>
    <w:rsid w:val="00003E3F"/>
    <w:rsid w:val="000043F3"/>
    <w:rsid w:val="00005142"/>
    <w:rsid w:val="00006A56"/>
    <w:rsid w:val="000078C9"/>
    <w:rsid w:val="00010CFF"/>
    <w:rsid w:val="000129DE"/>
    <w:rsid w:val="0001325C"/>
    <w:rsid w:val="000137E0"/>
    <w:rsid w:val="0001457D"/>
    <w:rsid w:val="00015E3F"/>
    <w:rsid w:val="00015F1A"/>
    <w:rsid w:val="00016F36"/>
    <w:rsid w:val="0001767F"/>
    <w:rsid w:val="00021004"/>
    <w:rsid w:val="000210D6"/>
    <w:rsid w:val="000219ED"/>
    <w:rsid w:val="000220ED"/>
    <w:rsid w:val="000224A3"/>
    <w:rsid w:val="00023689"/>
    <w:rsid w:val="00023E50"/>
    <w:rsid w:val="00025BF7"/>
    <w:rsid w:val="0003083E"/>
    <w:rsid w:val="00031D02"/>
    <w:rsid w:val="000323E3"/>
    <w:rsid w:val="00032677"/>
    <w:rsid w:val="00033722"/>
    <w:rsid w:val="00034BA7"/>
    <w:rsid w:val="00034D6E"/>
    <w:rsid w:val="00036267"/>
    <w:rsid w:val="000364C9"/>
    <w:rsid w:val="00036BE2"/>
    <w:rsid w:val="00037126"/>
    <w:rsid w:val="000371E4"/>
    <w:rsid w:val="00040431"/>
    <w:rsid w:val="00040A5C"/>
    <w:rsid w:val="00041654"/>
    <w:rsid w:val="000418E3"/>
    <w:rsid w:val="000434F9"/>
    <w:rsid w:val="000435A5"/>
    <w:rsid w:val="00043738"/>
    <w:rsid w:val="00043D07"/>
    <w:rsid w:val="00044496"/>
    <w:rsid w:val="00044705"/>
    <w:rsid w:val="000451FA"/>
    <w:rsid w:val="000453DD"/>
    <w:rsid w:val="00046EDC"/>
    <w:rsid w:val="00050DEF"/>
    <w:rsid w:val="00051B98"/>
    <w:rsid w:val="00052150"/>
    <w:rsid w:val="00053410"/>
    <w:rsid w:val="0005433A"/>
    <w:rsid w:val="0005686E"/>
    <w:rsid w:val="0005703A"/>
    <w:rsid w:val="0006096E"/>
    <w:rsid w:val="00061EE3"/>
    <w:rsid w:val="00062A2A"/>
    <w:rsid w:val="000636FD"/>
    <w:rsid w:val="00066003"/>
    <w:rsid w:val="000663FA"/>
    <w:rsid w:val="000679A8"/>
    <w:rsid w:val="00072A19"/>
    <w:rsid w:val="00075A41"/>
    <w:rsid w:val="00075DC8"/>
    <w:rsid w:val="0008030C"/>
    <w:rsid w:val="00080563"/>
    <w:rsid w:val="00081AF9"/>
    <w:rsid w:val="00081B1F"/>
    <w:rsid w:val="0008278F"/>
    <w:rsid w:val="00082FA5"/>
    <w:rsid w:val="00083E2E"/>
    <w:rsid w:val="000849F4"/>
    <w:rsid w:val="00084F54"/>
    <w:rsid w:val="00086FB8"/>
    <w:rsid w:val="000873D6"/>
    <w:rsid w:val="00087771"/>
    <w:rsid w:val="00090C0F"/>
    <w:rsid w:val="000923EF"/>
    <w:rsid w:val="00093822"/>
    <w:rsid w:val="000940F5"/>
    <w:rsid w:val="00094D38"/>
    <w:rsid w:val="00094F6C"/>
    <w:rsid w:val="000951C3"/>
    <w:rsid w:val="000959C8"/>
    <w:rsid w:val="0009759B"/>
    <w:rsid w:val="00097E19"/>
    <w:rsid w:val="000A2D43"/>
    <w:rsid w:val="000A3196"/>
    <w:rsid w:val="000A3840"/>
    <w:rsid w:val="000A3EF6"/>
    <w:rsid w:val="000A5416"/>
    <w:rsid w:val="000A700B"/>
    <w:rsid w:val="000B0E66"/>
    <w:rsid w:val="000B2444"/>
    <w:rsid w:val="000B26D1"/>
    <w:rsid w:val="000B33D1"/>
    <w:rsid w:val="000B3A26"/>
    <w:rsid w:val="000B3C67"/>
    <w:rsid w:val="000B4BD0"/>
    <w:rsid w:val="000B58D6"/>
    <w:rsid w:val="000B5C3F"/>
    <w:rsid w:val="000B62C7"/>
    <w:rsid w:val="000B6EC5"/>
    <w:rsid w:val="000B72E2"/>
    <w:rsid w:val="000C04C3"/>
    <w:rsid w:val="000C080F"/>
    <w:rsid w:val="000C162E"/>
    <w:rsid w:val="000C166D"/>
    <w:rsid w:val="000C17DF"/>
    <w:rsid w:val="000C2117"/>
    <w:rsid w:val="000C412A"/>
    <w:rsid w:val="000C54D4"/>
    <w:rsid w:val="000C565A"/>
    <w:rsid w:val="000C626A"/>
    <w:rsid w:val="000C7021"/>
    <w:rsid w:val="000C7CF6"/>
    <w:rsid w:val="000C7F08"/>
    <w:rsid w:val="000D1BDC"/>
    <w:rsid w:val="000D1F49"/>
    <w:rsid w:val="000D3047"/>
    <w:rsid w:val="000D3EEE"/>
    <w:rsid w:val="000D5259"/>
    <w:rsid w:val="000D5419"/>
    <w:rsid w:val="000D631C"/>
    <w:rsid w:val="000D650C"/>
    <w:rsid w:val="000D6DAC"/>
    <w:rsid w:val="000D73BE"/>
    <w:rsid w:val="000D783D"/>
    <w:rsid w:val="000D7EB1"/>
    <w:rsid w:val="000E018E"/>
    <w:rsid w:val="000E0ED5"/>
    <w:rsid w:val="000E1642"/>
    <w:rsid w:val="000E1771"/>
    <w:rsid w:val="000E1D87"/>
    <w:rsid w:val="000E1F51"/>
    <w:rsid w:val="000E3274"/>
    <w:rsid w:val="000E395B"/>
    <w:rsid w:val="000E3B26"/>
    <w:rsid w:val="000E5AA4"/>
    <w:rsid w:val="000E6378"/>
    <w:rsid w:val="000E6AE7"/>
    <w:rsid w:val="000E6CCF"/>
    <w:rsid w:val="000E7721"/>
    <w:rsid w:val="000F0396"/>
    <w:rsid w:val="000F0B1B"/>
    <w:rsid w:val="000F0E07"/>
    <w:rsid w:val="000F2E5E"/>
    <w:rsid w:val="000F31F2"/>
    <w:rsid w:val="000F36C5"/>
    <w:rsid w:val="000F39B9"/>
    <w:rsid w:val="000F41EB"/>
    <w:rsid w:val="000F572A"/>
    <w:rsid w:val="000F57A7"/>
    <w:rsid w:val="000F6D81"/>
    <w:rsid w:val="001007C1"/>
    <w:rsid w:val="001009BB"/>
    <w:rsid w:val="00100C72"/>
    <w:rsid w:val="00101E04"/>
    <w:rsid w:val="00102764"/>
    <w:rsid w:val="00104EF9"/>
    <w:rsid w:val="00107653"/>
    <w:rsid w:val="00107851"/>
    <w:rsid w:val="00110649"/>
    <w:rsid w:val="00110F57"/>
    <w:rsid w:val="00112840"/>
    <w:rsid w:val="0011300B"/>
    <w:rsid w:val="001138A4"/>
    <w:rsid w:val="001139B4"/>
    <w:rsid w:val="00114371"/>
    <w:rsid w:val="00115678"/>
    <w:rsid w:val="001164D3"/>
    <w:rsid w:val="001168EA"/>
    <w:rsid w:val="0012093D"/>
    <w:rsid w:val="001216D1"/>
    <w:rsid w:val="00121E78"/>
    <w:rsid w:val="00123C21"/>
    <w:rsid w:val="001241B5"/>
    <w:rsid w:val="0012438C"/>
    <w:rsid w:val="00125B21"/>
    <w:rsid w:val="00126111"/>
    <w:rsid w:val="00126549"/>
    <w:rsid w:val="00126F85"/>
    <w:rsid w:val="001273E9"/>
    <w:rsid w:val="001309A9"/>
    <w:rsid w:val="00132297"/>
    <w:rsid w:val="00132E65"/>
    <w:rsid w:val="001332BB"/>
    <w:rsid w:val="00134AED"/>
    <w:rsid w:val="00134DDD"/>
    <w:rsid w:val="001356F7"/>
    <w:rsid w:val="00136098"/>
    <w:rsid w:val="00140AE6"/>
    <w:rsid w:val="001415F4"/>
    <w:rsid w:val="00141C53"/>
    <w:rsid w:val="0014228D"/>
    <w:rsid w:val="001429E1"/>
    <w:rsid w:val="00145AFC"/>
    <w:rsid w:val="00147A68"/>
    <w:rsid w:val="00147B5E"/>
    <w:rsid w:val="00147C3E"/>
    <w:rsid w:val="0015039E"/>
    <w:rsid w:val="001528A5"/>
    <w:rsid w:val="00152CFE"/>
    <w:rsid w:val="00153185"/>
    <w:rsid w:val="00153B69"/>
    <w:rsid w:val="0015407E"/>
    <w:rsid w:val="0015483F"/>
    <w:rsid w:val="00155C1A"/>
    <w:rsid w:val="00155C9E"/>
    <w:rsid w:val="00155EAD"/>
    <w:rsid w:val="00156076"/>
    <w:rsid w:val="00156406"/>
    <w:rsid w:val="00157AA4"/>
    <w:rsid w:val="00157D12"/>
    <w:rsid w:val="001610FC"/>
    <w:rsid w:val="001614D3"/>
    <w:rsid w:val="001615E5"/>
    <w:rsid w:val="001651E9"/>
    <w:rsid w:val="00167E78"/>
    <w:rsid w:val="00170F59"/>
    <w:rsid w:val="0017203E"/>
    <w:rsid w:val="00172158"/>
    <w:rsid w:val="001722EE"/>
    <w:rsid w:val="001730D6"/>
    <w:rsid w:val="00173244"/>
    <w:rsid w:val="00173401"/>
    <w:rsid w:val="001739C1"/>
    <w:rsid w:val="00173AFE"/>
    <w:rsid w:val="00174ADE"/>
    <w:rsid w:val="00176577"/>
    <w:rsid w:val="001767FD"/>
    <w:rsid w:val="00176FDD"/>
    <w:rsid w:val="001772F0"/>
    <w:rsid w:val="001777AB"/>
    <w:rsid w:val="00182C04"/>
    <w:rsid w:val="00184B32"/>
    <w:rsid w:val="001862BF"/>
    <w:rsid w:val="00186C85"/>
    <w:rsid w:val="00191D21"/>
    <w:rsid w:val="00192204"/>
    <w:rsid w:val="001929F0"/>
    <w:rsid w:val="00194733"/>
    <w:rsid w:val="001974F5"/>
    <w:rsid w:val="001975EF"/>
    <w:rsid w:val="00197E66"/>
    <w:rsid w:val="001A00E2"/>
    <w:rsid w:val="001A1262"/>
    <w:rsid w:val="001A1612"/>
    <w:rsid w:val="001A1A0C"/>
    <w:rsid w:val="001A2049"/>
    <w:rsid w:val="001A206C"/>
    <w:rsid w:val="001A2AAC"/>
    <w:rsid w:val="001A394B"/>
    <w:rsid w:val="001A4EE9"/>
    <w:rsid w:val="001A621F"/>
    <w:rsid w:val="001A7775"/>
    <w:rsid w:val="001B049D"/>
    <w:rsid w:val="001B0C78"/>
    <w:rsid w:val="001B1F7C"/>
    <w:rsid w:val="001B2C8A"/>
    <w:rsid w:val="001B3370"/>
    <w:rsid w:val="001B3A0E"/>
    <w:rsid w:val="001B3A72"/>
    <w:rsid w:val="001B3ECA"/>
    <w:rsid w:val="001B40A5"/>
    <w:rsid w:val="001B4C90"/>
    <w:rsid w:val="001B535F"/>
    <w:rsid w:val="001B561D"/>
    <w:rsid w:val="001B7535"/>
    <w:rsid w:val="001B76BA"/>
    <w:rsid w:val="001C0033"/>
    <w:rsid w:val="001C06E9"/>
    <w:rsid w:val="001C1C7A"/>
    <w:rsid w:val="001C1E84"/>
    <w:rsid w:val="001C20CB"/>
    <w:rsid w:val="001C31F8"/>
    <w:rsid w:val="001C3F6A"/>
    <w:rsid w:val="001C42BE"/>
    <w:rsid w:val="001C4B95"/>
    <w:rsid w:val="001C518A"/>
    <w:rsid w:val="001C5A59"/>
    <w:rsid w:val="001C5AC8"/>
    <w:rsid w:val="001C6896"/>
    <w:rsid w:val="001C6D38"/>
    <w:rsid w:val="001C6DFA"/>
    <w:rsid w:val="001C6EDC"/>
    <w:rsid w:val="001C74AF"/>
    <w:rsid w:val="001C7669"/>
    <w:rsid w:val="001D09EC"/>
    <w:rsid w:val="001D3268"/>
    <w:rsid w:val="001D3B2B"/>
    <w:rsid w:val="001D400F"/>
    <w:rsid w:val="001D42D4"/>
    <w:rsid w:val="001D5715"/>
    <w:rsid w:val="001D614F"/>
    <w:rsid w:val="001D622C"/>
    <w:rsid w:val="001E19B6"/>
    <w:rsid w:val="001E1ED7"/>
    <w:rsid w:val="001E1FEA"/>
    <w:rsid w:val="001E3B1D"/>
    <w:rsid w:val="001E40D5"/>
    <w:rsid w:val="001E475F"/>
    <w:rsid w:val="001E4B6B"/>
    <w:rsid w:val="001F5462"/>
    <w:rsid w:val="001F5DD0"/>
    <w:rsid w:val="001F5EEC"/>
    <w:rsid w:val="001F5F04"/>
    <w:rsid w:val="001F67F7"/>
    <w:rsid w:val="002000B1"/>
    <w:rsid w:val="002003D7"/>
    <w:rsid w:val="0020127B"/>
    <w:rsid w:val="002013DD"/>
    <w:rsid w:val="00204ACB"/>
    <w:rsid w:val="00205FCB"/>
    <w:rsid w:val="0020689D"/>
    <w:rsid w:val="0020693E"/>
    <w:rsid w:val="00206BF0"/>
    <w:rsid w:val="0020769E"/>
    <w:rsid w:val="00210463"/>
    <w:rsid w:val="0021074C"/>
    <w:rsid w:val="0021121A"/>
    <w:rsid w:val="002118AF"/>
    <w:rsid w:val="0021239D"/>
    <w:rsid w:val="00216CEB"/>
    <w:rsid w:val="00216F01"/>
    <w:rsid w:val="00217BE1"/>
    <w:rsid w:val="002200FE"/>
    <w:rsid w:val="00221006"/>
    <w:rsid w:val="0022125D"/>
    <w:rsid w:val="002215EF"/>
    <w:rsid w:val="00222235"/>
    <w:rsid w:val="00223FC0"/>
    <w:rsid w:val="00224CC6"/>
    <w:rsid w:val="00225008"/>
    <w:rsid w:val="0022560B"/>
    <w:rsid w:val="00225D62"/>
    <w:rsid w:val="00225DAC"/>
    <w:rsid w:val="002260D6"/>
    <w:rsid w:val="00226D57"/>
    <w:rsid w:val="00226E86"/>
    <w:rsid w:val="00230914"/>
    <w:rsid w:val="00230E45"/>
    <w:rsid w:val="00231368"/>
    <w:rsid w:val="0023151F"/>
    <w:rsid w:val="00232667"/>
    <w:rsid w:val="002326A9"/>
    <w:rsid w:val="00233A11"/>
    <w:rsid w:val="00233D36"/>
    <w:rsid w:val="00234619"/>
    <w:rsid w:val="00234CEF"/>
    <w:rsid w:val="00235C7B"/>
    <w:rsid w:val="0023608F"/>
    <w:rsid w:val="0023703D"/>
    <w:rsid w:val="00237739"/>
    <w:rsid w:val="002377AB"/>
    <w:rsid w:val="002404D0"/>
    <w:rsid w:val="00240B8F"/>
    <w:rsid w:val="00240CC4"/>
    <w:rsid w:val="00241088"/>
    <w:rsid w:val="0024225F"/>
    <w:rsid w:val="00243201"/>
    <w:rsid w:val="002437D3"/>
    <w:rsid w:val="00244CB7"/>
    <w:rsid w:val="0024571A"/>
    <w:rsid w:val="00247116"/>
    <w:rsid w:val="002472C4"/>
    <w:rsid w:val="00251207"/>
    <w:rsid w:val="00253A61"/>
    <w:rsid w:val="00254563"/>
    <w:rsid w:val="00255374"/>
    <w:rsid w:val="00255726"/>
    <w:rsid w:val="00255998"/>
    <w:rsid w:val="00255C76"/>
    <w:rsid w:val="0025689B"/>
    <w:rsid w:val="00257540"/>
    <w:rsid w:val="00257A6A"/>
    <w:rsid w:val="002604CE"/>
    <w:rsid w:val="0026250B"/>
    <w:rsid w:val="00263931"/>
    <w:rsid w:val="00265B7F"/>
    <w:rsid w:val="00265E85"/>
    <w:rsid w:val="00266747"/>
    <w:rsid w:val="00266A8C"/>
    <w:rsid w:val="00266FFD"/>
    <w:rsid w:val="002674C9"/>
    <w:rsid w:val="00267B0E"/>
    <w:rsid w:val="002705D2"/>
    <w:rsid w:val="00270D67"/>
    <w:rsid w:val="00272354"/>
    <w:rsid w:val="0027411B"/>
    <w:rsid w:val="002741FD"/>
    <w:rsid w:val="00275A2B"/>
    <w:rsid w:val="0027697F"/>
    <w:rsid w:val="002770D7"/>
    <w:rsid w:val="0027739B"/>
    <w:rsid w:val="002778EA"/>
    <w:rsid w:val="002808FC"/>
    <w:rsid w:val="0028112E"/>
    <w:rsid w:val="00281D71"/>
    <w:rsid w:val="002822A0"/>
    <w:rsid w:val="0028375C"/>
    <w:rsid w:val="00283B31"/>
    <w:rsid w:val="00285286"/>
    <w:rsid w:val="0028697C"/>
    <w:rsid w:val="00286B0C"/>
    <w:rsid w:val="00287AC0"/>
    <w:rsid w:val="00287D2C"/>
    <w:rsid w:val="00290343"/>
    <w:rsid w:val="00290500"/>
    <w:rsid w:val="00290B70"/>
    <w:rsid w:val="0029270E"/>
    <w:rsid w:val="0029600A"/>
    <w:rsid w:val="002964AB"/>
    <w:rsid w:val="00296EB6"/>
    <w:rsid w:val="00297530"/>
    <w:rsid w:val="002975E3"/>
    <w:rsid w:val="002A0161"/>
    <w:rsid w:val="002A12CD"/>
    <w:rsid w:val="002A2775"/>
    <w:rsid w:val="002A2C41"/>
    <w:rsid w:val="002A2F9A"/>
    <w:rsid w:val="002A5279"/>
    <w:rsid w:val="002A5959"/>
    <w:rsid w:val="002A6214"/>
    <w:rsid w:val="002A621A"/>
    <w:rsid w:val="002A638A"/>
    <w:rsid w:val="002A65E1"/>
    <w:rsid w:val="002A6EE1"/>
    <w:rsid w:val="002A709E"/>
    <w:rsid w:val="002A78BA"/>
    <w:rsid w:val="002B07C7"/>
    <w:rsid w:val="002B0D09"/>
    <w:rsid w:val="002B2CE2"/>
    <w:rsid w:val="002B46E4"/>
    <w:rsid w:val="002B4737"/>
    <w:rsid w:val="002B4D47"/>
    <w:rsid w:val="002B52F1"/>
    <w:rsid w:val="002C076F"/>
    <w:rsid w:val="002C1180"/>
    <w:rsid w:val="002C1CCE"/>
    <w:rsid w:val="002C1D78"/>
    <w:rsid w:val="002C23F9"/>
    <w:rsid w:val="002C5E4D"/>
    <w:rsid w:val="002C7020"/>
    <w:rsid w:val="002D05BC"/>
    <w:rsid w:val="002D067D"/>
    <w:rsid w:val="002D0848"/>
    <w:rsid w:val="002D0DF4"/>
    <w:rsid w:val="002D1B49"/>
    <w:rsid w:val="002D2057"/>
    <w:rsid w:val="002D25AF"/>
    <w:rsid w:val="002D3145"/>
    <w:rsid w:val="002D4FFB"/>
    <w:rsid w:val="002E0158"/>
    <w:rsid w:val="002E0EF9"/>
    <w:rsid w:val="002E1EB2"/>
    <w:rsid w:val="002E31CF"/>
    <w:rsid w:val="002E3465"/>
    <w:rsid w:val="002E6A2F"/>
    <w:rsid w:val="002E6B0F"/>
    <w:rsid w:val="002E7A6F"/>
    <w:rsid w:val="002F04DE"/>
    <w:rsid w:val="002F0554"/>
    <w:rsid w:val="002F104D"/>
    <w:rsid w:val="002F1B4E"/>
    <w:rsid w:val="002F1DCA"/>
    <w:rsid w:val="002F2719"/>
    <w:rsid w:val="002F2960"/>
    <w:rsid w:val="002F3270"/>
    <w:rsid w:val="002F45EE"/>
    <w:rsid w:val="002F4AFD"/>
    <w:rsid w:val="002F5D4C"/>
    <w:rsid w:val="002F6B11"/>
    <w:rsid w:val="002F6D3C"/>
    <w:rsid w:val="002F7035"/>
    <w:rsid w:val="002F7FAD"/>
    <w:rsid w:val="00301275"/>
    <w:rsid w:val="0030248C"/>
    <w:rsid w:val="0030271A"/>
    <w:rsid w:val="00303D7B"/>
    <w:rsid w:val="0030457F"/>
    <w:rsid w:val="00304ADA"/>
    <w:rsid w:val="003066C5"/>
    <w:rsid w:val="00306874"/>
    <w:rsid w:val="00307723"/>
    <w:rsid w:val="00310CFE"/>
    <w:rsid w:val="0031125F"/>
    <w:rsid w:val="00311789"/>
    <w:rsid w:val="003137DE"/>
    <w:rsid w:val="00313D44"/>
    <w:rsid w:val="003165BE"/>
    <w:rsid w:val="00316C0D"/>
    <w:rsid w:val="00317316"/>
    <w:rsid w:val="00317A99"/>
    <w:rsid w:val="00317DC1"/>
    <w:rsid w:val="00321513"/>
    <w:rsid w:val="00321BC2"/>
    <w:rsid w:val="00322E14"/>
    <w:rsid w:val="003242E1"/>
    <w:rsid w:val="00324A1F"/>
    <w:rsid w:val="00324A67"/>
    <w:rsid w:val="00325909"/>
    <w:rsid w:val="00326CD5"/>
    <w:rsid w:val="00327132"/>
    <w:rsid w:val="003306E0"/>
    <w:rsid w:val="0033085D"/>
    <w:rsid w:val="00330C6C"/>
    <w:rsid w:val="003316DB"/>
    <w:rsid w:val="00331ABA"/>
    <w:rsid w:val="00331C3B"/>
    <w:rsid w:val="003327C2"/>
    <w:rsid w:val="00333CF2"/>
    <w:rsid w:val="00334C64"/>
    <w:rsid w:val="003353B8"/>
    <w:rsid w:val="00336064"/>
    <w:rsid w:val="00341133"/>
    <w:rsid w:val="00341556"/>
    <w:rsid w:val="003416D6"/>
    <w:rsid w:val="003428E5"/>
    <w:rsid w:val="00342B94"/>
    <w:rsid w:val="003430CF"/>
    <w:rsid w:val="00343860"/>
    <w:rsid w:val="00343AC8"/>
    <w:rsid w:val="00344785"/>
    <w:rsid w:val="00347AB6"/>
    <w:rsid w:val="00347AF9"/>
    <w:rsid w:val="00347C93"/>
    <w:rsid w:val="0035025D"/>
    <w:rsid w:val="00352C3F"/>
    <w:rsid w:val="00352F32"/>
    <w:rsid w:val="00353E0C"/>
    <w:rsid w:val="00354CC6"/>
    <w:rsid w:val="0035589B"/>
    <w:rsid w:val="00355DD1"/>
    <w:rsid w:val="0035766B"/>
    <w:rsid w:val="00360582"/>
    <w:rsid w:val="003607E6"/>
    <w:rsid w:val="003610E4"/>
    <w:rsid w:val="0036160B"/>
    <w:rsid w:val="00363A95"/>
    <w:rsid w:val="00364A1F"/>
    <w:rsid w:val="00365211"/>
    <w:rsid w:val="00365457"/>
    <w:rsid w:val="003700E6"/>
    <w:rsid w:val="00370753"/>
    <w:rsid w:val="00371335"/>
    <w:rsid w:val="0037141F"/>
    <w:rsid w:val="00371CC2"/>
    <w:rsid w:val="003733D0"/>
    <w:rsid w:val="00373601"/>
    <w:rsid w:val="00375563"/>
    <w:rsid w:val="00375B98"/>
    <w:rsid w:val="0037680E"/>
    <w:rsid w:val="00377195"/>
    <w:rsid w:val="003819DF"/>
    <w:rsid w:val="003822F3"/>
    <w:rsid w:val="003850B5"/>
    <w:rsid w:val="003852D2"/>
    <w:rsid w:val="00385432"/>
    <w:rsid w:val="00385EFF"/>
    <w:rsid w:val="0038601E"/>
    <w:rsid w:val="0038683E"/>
    <w:rsid w:val="0038784F"/>
    <w:rsid w:val="00387FA5"/>
    <w:rsid w:val="00390BE2"/>
    <w:rsid w:val="00390E25"/>
    <w:rsid w:val="00392235"/>
    <w:rsid w:val="003936B7"/>
    <w:rsid w:val="00394F13"/>
    <w:rsid w:val="003958CD"/>
    <w:rsid w:val="00396429"/>
    <w:rsid w:val="003964C3"/>
    <w:rsid w:val="003A1848"/>
    <w:rsid w:val="003A1EC6"/>
    <w:rsid w:val="003A3696"/>
    <w:rsid w:val="003A4232"/>
    <w:rsid w:val="003A4F19"/>
    <w:rsid w:val="003A5373"/>
    <w:rsid w:val="003A637F"/>
    <w:rsid w:val="003A6D14"/>
    <w:rsid w:val="003B0F24"/>
    <w:rsid w:val="003B1762"/>
    <w:rsid w:val="003B1A95"/>
    <w:rsid w:val="003B3263"/>
    <w:rsid w:val="003B555F"/>
    <w:rsid w:val="003B59DF"/>
    <w:rsid w:val="003B6B77"/>
    <w:rsid w:val="003B7842"/>
    <w:rsid w:val="003C07B9"/>
    <w:rsid w:val="003C0B09"/>
    <w:rsid w:val="003C1068"/>
    <w:rsid w:val="003C1401"/>
    <w:rsid w:val="003C25C3"/>
    <w:rsid w:val="003C2C6B"/>
    <w:rsid w:val="003C2E74"/>
    <w:rsid w:val="003C4C54"/>
    <w:rsid w:val="003D1D3F"/>
    <w:rsid w:val="003D3CC7"/>
    <w:rsid w:val="003D5E3C"/>
    <w:rsid w:val="003D63AE"/>
    <w:rsid w:val="003D63D9"/>
    <w:rsid w:val="003D6922"/>
    <w:rsid w:val="003D777D"/>
    <w:rsid w:val="003D7C3C"/>
    <w:rsid w:val="003D7DA8"/>
    <w:rsid w:val="003D7EDB"/>
    <w:rsid w:val="003E0180"/>
    <w:rsid w:val="003E05B7"/>
    <w:rsid w:val="003E24EC"/>
    <w:rsid w:val="003E3767"/>
    <w:rsid w:val="003E429D"/>
    <w:rsid w:val="003E44EF"/>
    <w:rsid w:val="003E4E03"/>
    <w:rsid w:val="003E5399"/>
    <w:rsid w:val="003E5AD5"/>
    <w:rsid w:val="003E5B1C"/>
    <w:rsid w:val="003E6760"/>
    <w:rsid w:val="003E716C"/>
    <w:rsid w:val="003E7546"/>
    <w:rsid w:val="003E7F1B"/>
    <w:rsid w:val="003F3390"/>
    <w:rsid w:val="003F37B9"/>
    <w:rsid w:val="003F3A20"/>
    <w:rsid w:val="003F4854"/>
    <w:rsid w:val="003F4A5A"/>
    <w:rsid w:val="003F4D3C"/>
    <w:rsid w:val="003F4DAD"/>
    <w:rsid w:val="003F5A7C"/>
    <w:rsid w:val="003F5F92"/>
    <w:rsid w:val="003F74F0"/>
    <w:rsid w:val="003F7DC4"/>
    <w:rsid w:val="004013F1"/>
    <w:rsid w:val="00402898"/>
    <w:rsid w:val="00402E89"/>
    <w:rsid w:val="004052FE"/>
    <w:rsid w:val="00405AC6"/>
    <w:rsid w:val="004061F5"/>
    <w:rsid w:val="004065C7"/>
    <w:rsid w:val="0040689D"/>
    <w:rsid w:val="00406952"/>
    <w:rsid w:val="004070F4"/>
    <w:rsid w:val="004104B0"/>
    <w:rsid w:val="004109A1"/>
    <w:rsid w:val="00411092"/>
    <w:rsid w:val="004110F1"/>
    <w:rsid w:val="004120D9"/>
    <w:rsid w:val="0041465D"/>
    <w:rsid w:val="00415D1A"/>
    <w:rsid w:val="0041663C"/>
    <w:rsid w:val="00417F10"/>
    <w:rsid w:val="004203B4"/>
    <w:rsid w:val="004205DE"/>
    <w:rsid w:val="00420600"/>
    <w:rsid w:val="00420A85"/>
    <w:rsid w:val="004211FD"/>
    <w:rsid w:val="00421475"/>
    <w:rsid w:val="00421A4F"/>
    <w:rsid w:val="00422379"/>
    <w:rsid w:val="00423413"/>
    <w:rsid w:val="0042361A"/>
    <w:rsid w:val="004240A7"/>
    <w:rsid w:val="00424A44"/>
    <w:rsid w:val="0042522E"/>
    <w:rsid w:val="00425B38"/>
    <w:rsid w:val="0043099F"/>
    <w:rsid w:val="004309E4"/>
    <w:rsid w:val="00431AB2"/>
    <w:rsid w:val="00431CDA"/>
    <w:rsid w:val="00432F6E"/>
    <w:rsid w:val="004341D5"/>
    <w:rsid w:val="0043480A"/>
    <w:rsid w:val="004349D7"/>
    <w:rsid w:val="00434CE9"/>
    <w:rsid w:val="0043689F"/>
    <w:rsid w:val="004403E0"/>
    <w:rsid w:val="00441528"/>
    <w:rsid w:val="00442421"/>
    <w:rsid w:val="00442BB7"/>
    <w:rsid w:val="004442F7"/>
    <w:rsid w:val="004442F8"/>
    <w:rsid w:val="00444E5E"/>
    <w:rsid w:val="00444F91"/>
    <w:rsid w:val="00445193"/>
    <w:rsid w:val="00445C9A"/>
    <w:rsid w:val="00446190"/>
    <w:rsid w:val="004463B0"/>
    <w:rsid w:val="00446552"/>
    <w:rsid w:val="004468BC"/>
    <w:rsid w:val="00446D85"/>
    <w:rsid w:val="0044730B"/>
    <w:rsid w:val="00447482"/>
    <w:rsid w:val="0044760B"/>
    <w:rsid w:val="00447DB8"/>
    <w:rsid w:val="00450353"/>
    <w:rsid w:val="00450550"/>
    <w:rsid w:val="00451069"/>
    <w:rsid w:val="004518BB"/>
    <w:rsid w:val="004545EC"/>
    <w:rsid w:val="00456005"/>
    <w:rsid w:val="004574DE"/>
    <w:rsid w:val="00457FE4"/>
    <w:rsid w:val="004606C5"/>
    <w:rsid w:val="0046071C"/>
    <w:rsid w:val="00461AB3"/>
    <w:rsid w:val="00461F63"/>
    <w:rsid w:val="004627E4"/>
    <w:rsid w:val="004630AB"/>
    <w:rsid w:val="00463C09"/>
    <w:rsid w:val="00463E25"/>
    <w:rsid w:val="00464F08"/>
    <w:rsid w:val="00465460"/>
    <w:rsid w:val="004654C2"/>
    <w:rsid w:val="004657EC"/>
    <w:rsid w:val="00465DCF"/>
    <w:rsid w:val="00466652"/>
    <w:rsid w:val="004679BF"/>
    <w:rsid w:val="00471007"/>
    <w:rsid w:val="004717E5"/>
    <w:rsid w:val="00471DA5"/>
    <w:rsid w:val="00471F16"/>
    <w:rsid w:val="00472119"/>
    <w:rsid w:val="00472BA9"/>
    <w:rsid w:val="00473801"/>
    <w:rsid w:val="00473DB9"/>
    <w:rsid w:val="00474C0B"/>
    <w:rsid w:val="00474E1C"/>
    <w:rsid w:val="0047501D"/>
    <w:rsid w:val="0047579D"/>
    <w:rsid w:val="004757A9"/>
    <w:rsid w:val="00481EF4"/>
    <w:rsid w:val="00482ECB"/>
    <w:rsid w:val="00483086"/>
    <w:rsid w:val="00483AAA"/>
    <w:rsid w:val="00483E63"/>
    <w:rsid w:val="00484304"/>
    <w:rsid w:val="004845F2"/>
    <w:rsid w:val="004846D3"/>
    <w:rsid w:val="0048471E"/>
    <w:rsid w:val="004849AE"/>
    <w:rsid w:val="00485C3E"/>
    <w:rsid w:val="004869BA"/>
    <w:rsid w:val="00487684"/>
    <w:rsid w:val="00487F39"/>
    <w:rsid w:val="004916CD"/>
    <w:rsid w:val="00492877"/>
    <w:rsid w:val="00492C5C"/>
    <w:rsid w:val="004939E0"/>
    <w:rsid w:val="0049415C"/>
    <w:rsid w:val="004949CC"/>
    <w:rsid w:val="004959C1"/>
    <w:rsid w:val="00495A28"/>
    <w:rsid w:val="00497F61"/>
    <w:rsid w:val="004A07A4"/>
    <w:rsid w:val="004A0A7A"/>
    <w:rsid w:val="004A23F7"/>
    <w:rsid w:val="004A2C88"/>
    <w:rsid w:val="004A300F"/>
    <w:rsid w:val="004A4071"/>
    <w:rsid w:val="004A4D4F"/>
    <w:rsid w:val="004A4F9A"/>
    <w:rsid w:val="004A62E7"/>
    <w:rsid w:val="004A686A"/>
    <w:rsid w:val="004A787D"/>
    <w:rsid w:val="004A78AB"/>
    <w:rsid w:val="004B0AED"/>
    <w:rsid w:val="004B0B19"/>
    <w:rsid w:val="004B1C28"/>
    <w:rsid w:val="004B1ECF"/>
    <w:rsid w:val="004B2606"/>
    <w:rsid w:val="004B2D98"/>
    <w:rsid w:val="004B4CEB"/>
    <w:rsid w:val="004B5402"/>
    <w:rsid w:val="004B5EA6"/>
    <w:rsid w:val="004B643F"/>
    <w:rsid w:val="004B6763"/>
    <w:rsid w:val="004B7EE7"/>
    <w:rsid w:val="004B7F94"/>
    <w:rsid w:val="004C07EF"/>
    <w:rsid w:val="004C0B54"/>
    <w:rsid w:val="004C27B9"/>
    <w:rsid w:val="004C31EB"/>
    <w:rsid w:val="004C3A4E"/>
    <w:rsid w:val="004C3DFC"/>
    <w:rsid w:val="004C4228"/>
    <w:rsid w:val="004C507D"/>
    <w:rsid w:val="004C5FFD"/>
    <w:rsid w:val="004C62BA"/>
    <w:rsid w:val="004C69E3"/>
    <w:rsid w:val="004C6C1F"/>
    <w:rsid w:val="004D0BC4"/>
    <w:rsid w:val="004D1014"/>
    <w:rsid w:val="004D151A"/>
    <w:rsid w:val="004D1BC9"/>
    <w:rsid w:val="004D1D9C"/>
    <w:rsid w:val="004D235E"/>
    <w:rsid w:val="004D244D"/>
    <w:rsid w:val="004D478B"/>
    <w:rsid w:val="004E1448"/>
    <w:rsid w:val="004E153F"/>
    <w:rsid w:val="004E211D"/>
    <w:rsid w:val="004E224A"/>
    <w:rsid w:val="004E294A"/>
    <w:rsid w:val="004E318C"/>
    <w:rsid w:val="004E41C3"/>
    <w:rsid w:val="004E4257"/>
    <w:rsid w:val="004E4364"/>
    <w:rsid w:val="004E4E1A"/>
    <w:rsid w:val="004E5535"/>
    <w:rsid w:val="004E5BBD"/>
    <w:rsid w:val="004E641A"/>
    <w:rsid w:val="004E6763"/>
    <w:rsid w:val="004E6BC4"/>
    <w:rsid w:val="004E6C46"/>
    <w:rsid w:val="004E7D49"/>
    <w:rsid w:val="004F1FD7"/>
    <w:rsid w:val="004F2891"/>
    <w:rsid w:val="004F2E41"/>
    <w:rsid w:val="004F2EF9"/>
    <w:rsid w:val="004F31EE"/>
    <w:rsid w:val="004F45FA"/>
    <w:rsid w:val="004F57AB"/>
    <w:rsid w:val="004F656D"/>
    <w:rsid w:val="004F730F"/>
    <w:rsid w:val="004F777C"/>
    <w:rsid w:val="005014ED"/>
    <w:rsid w:val="0050220D"/>
    <w:rsid w:val="0050225E"/>
    <w:rsid w:val="005029FE"/>
    <w:rsid w:val="00502A40"/>
    <w:rsid w:val="005031DD"/>
    <w:rsid w:val="0050366F"/>
    <w:rsid w:val="00505B19"/>
    <w:rsid w:val="00505D37"/>
    <w:rsid w:val="00505E65"/>
    <w:rsid w:val="00505EA6"/>
    <w:rsid w:val="0050606C"/>
    <w:rsid w:val="005067E1"/>
    <w:rsid w:val="00507762"/>
    <w:rsid w:val="0051082B"/>
    <w:rsid w:val="00511360"/>
    <w:rsid w:val="0051156E"/>
    <w:rsid w:val="00511CE9"/>
    <w:rsid w:val="00511D45"/>
    <w:rsid w:val="005120DF"/>
    <w:rsid w:val="005147B6"/>
    <w:rsid w:val="0051570E"/>
    <w:rsid w:val="00515762"/>
    <w:rsid w:val="00515D81"/>
    <w:rsid w:val="0051675B"/>
    <w:rsid w:val="00517836"/>
    <w:rsid w:val="00520065"/>
    <w:rsid w:val="005206B6"/>
    <w:rsid w:val="005209BB"/>
    <w:rsid w:val="00520F57"/>
    <w:rsid w:val="005225F4"/>
    <w:rsid w:val="005240CF"/>
    <w:rsid w:val="0052416D"/>
    <w:rsid w:val="005258C4"/>
    <w:rsid w:val="00525E0F"/>
    <w:rsid w:val="00526210"/>
    <w:rsid w:val="005273E8"/>
    <w:rsid w:val="00527D25"/>
    <w:rsid w:val="00527E18"/>
    <w:rsid w:val="005305E5"/>
    <w:rsid w:val="00531F35"/>
    <w:rsid w:val="0053213A"/>
    <w:rsid w:val="00532C09"/>
    <w:rsid w:val="005335E9"/>
    <w:rsid w:val="0053369F"/>
    <w:rsid w:val="00533C12"/>
    <w:rsid w:val="00534893"/>
    <w:rsid w:val="0053688A"/>
    <w:rsid w:val="005424FD"/>
    <w:rsid w:val="00543361"/>
    <w:rsid w:val="005437A7"/>
    <w:rsid w:val="00544B08"/>
    <w:rsid w:val="00545057"/>
    <w:rsid w:val="0054585E"/>
    <w:rsid w:val="00546573"/>
    <w:rsid w:val="00546620"/>
    <w:rsid w:val="0054673D"/>
    <w:rsid w:val="00546931"/>
    <w:rsid w:val="00546EE5"/>
    <w:rsid w:val="005478F6"/>
    <w:rsid w:val="00550368"/>
    <w:rsid w:val="0055156D"/>
    <w:rsid w:val="0055345C"/>
    <w:rsid w:val="00553854"/>
    <w:rsid w:val="0055489B"/>
    <w:rsid w:val="00554C34"/>
    <w:rsid w:val="00554FA3"/>
    <w:rsid w:val="00556096"/>
    <w:rsid w:val="005560E6"/>
    <w:rsid w:val="00556A22"/>
    <w:rsid w:val="0055734E"/>
    <w:rsid w:val="00557A98"/>
    <w:rsid w:val="00557E1C"/>
    <w:rsid w:val="00560B5F"/>
    <w:rsid w:val="0056294C"/>
    <w:rsid w:val="00562BC2"/>
    <w:rsid w:val="00562EA3"/>
    <w:rsid w:val="00562FC5"/>
    <w:rsid w:val="00563EF3"/>
    <w:rsid w:val="005646CE"/>
    <w:rsid w:val="00565770"/>
    <w:rsid w:val="00566812"/>
    <w:rsid w:val="00567085"/>
    <w:rsid w:val="005679B1"/>
    <w:rsid w:val="00567C2B"/>
    <w:rsid w:val="00567DC2"/>
    <w:rsid w:val="00567EB6"/>
    <w:rsid w:val="005735ED"/>
    <w:rsid w:val="00573C61"/>
    <w:rsid w:val="00574DA2"/>
    <w:rsid w:val="00575F8B"/>
    <w:rsid w:val="0057796C"/>
    <w:rsid w:val="00577E33"/>
    <w:rsid w:val="00581A0C"/>
    <w:rsid w:val="0058638E"/>
    <w:rsid w:val="00586456"/>
    <w:rsid w:val="00586879"/>
    <w:rsid w:val="00586C53"/>
    <w:rsid w:val="00586D4F"/>
    <w:rsid w:val="00586E5C"/>
    <w:rsid w:val="00587552"/>
    <w:rsid w:val="00591379"/>
    <w:rsid w:val="0059238C"/>
    <w:rsid w:val="00592EDC"/>
    <w:rsid w:val="00593848"/>
    <w:rsid w:val="0059413A"/>
    <w:rsid w:val="00596588"/>
    <w:rsid w:val="00596840"/>
    <w:rsid w:val="005971B8"/>
    <w:rsid w:val="00597FBD"/>
    <w:rsid w:val="005A048E"/>
    <w:rsid w:val="005A0C1F"/>
    <w:rsid w:val="005A0F12"/>
    <w:rsid w:val="005A46E2"/>
    <w:rsid w:val="005A546D"/>
    <w:rsid w:val="005A5AD1"/>
    <w:rsid w:val="005A7194"/>
    <w:rsid w:val="005B0BA8"/>
    <w:rsid w:val="005B0F88"/>
    <w:rsid w:val="005B1A87"/>
    <w:rsid w:val="005B2A4F"/>
    <w:rsid w:val="005B2CC2"/>
    <w:rsid w:val="005B37B2"/>
    <w:rsid w:val="005B526D"/>
    <w:rsid w:val="005B79E9"/>
    <w:rsid w:val="005C0D41"/>
    <w:rsid w:val="005C228A"/>
    <w:rsid w:val="005C2423"/>
    <w:rsid w:val="005C2D8F"/>
    <w:rsid w:val="005C30C4"/>
    <w:rsid w:val="005C33BB"/>
    <w:rsid w:val="005C589F"/>
    <w:rsid w:val="005C5A1A"/>
    <w:rsid w:val="005D054F"/>
    <w:rsid w:val="005D0BB5"/>
    <w:rsid w:val="005D144A"/>
    <w:rsid w:val="005D1685"/>
    <w:rsid w:val="005D327B"/>
    <w:rsid w:val="005D3556"/>
    <w:rsid w:val="005D44E6"/>
    <w:rsid w:val="005D6502"/>
    <w:rsid w:val="005D7527"/>
    <w:rsid w:val="005D7A81"/>
    <w:rsid w:val="005D7C76"/>
    <w:rsid w:val="005D7D34"/>
    <w:rsid w:val="005E03C7"/>
    <w:rsid w:val="005E09C8"/>
    <w:rsid w:val="005E36A8"/>
    <w:rsid w:val="005E3F84"/>
    <w:rsid w:val="005E6771"/>
    <w:rsid w:val="005E773E"/>
    <w:rsid w:val="005F04D9"/>
    <w:rsid w:val="005F05D9"/>
    <w:rsid w:val="005F1192"/>
    <w:rsid w:val="005F21B5"/>
    <w:rsid w:val="005F3917"/>
    <w:rsid w:val="005F5F06"/>
    <w:rsid w:val="005F5F22"/>
    <w:rsid w:val="005F70E2"/>
    <w:rsid w:val="00601CF1"/>
    <w:rsid w:val="00602D80"/>
    <w:rsid w:val="00605B4F"/>
    <w:rsid w:val="006074D1"/>
    <w:rsid w:val="00607937"/>
    <w:rsid w:val="00610088"/>
    <w:rsid w:val="00610332"/>
    <w:rsid w:val="0061051E"/>
    <w:rsid w:val="0061080A"/>
    <w:rsid w:val="00610868"/>
    <w:rsid w:val="00612051"/>
    <w:rsid w:val="0061426F"/>
    <w:rsid w:val="006167C2"/>
    <w:rsid w:val="00617CB7"/>
    <w:rsid w:val="00620B7C"/>
    <w:rsid w:val="0062208D"/>
    <w:rsid w:val="00622E75"/>
    <w:rsid w:val="0062344C"/>
    <w:rsid w:val="00624C00"/>
    <w:rsid w:val="0062649A"/>
    <w:rsid w:val="00631239"/>
    <w:rsid w:val="006317EB"/>
    <w:rsid w:val="00631CD7"/>
    <w:rsid w:val="006328CA"/>
    <w:rsid w:val="006335D3"/>
    <w:rsid w:val="0063393C"/>
    <w:rsid w:val="00635072"/>
    <w:rsid w:val="0064097E"/>
    <w:rsid w:val="006414B3"/>
    <w:rsid w:val="00641988"/>
    <w:rsid w:val="00641BFF"/>
    <w:rsid w:val="006431E8"/>
    <w:rsid w:val="00643786"/>
    <w:rsid w:val="00644E23"/>
    <w:rsid w:val="006463DF"/>
    <w:rsid w:val="00646684"/>
    <w:rsid w:val="006468C7"/>
    <w:rsid w:val="006477E9"/>
    <w:rsid w:val="00647975"/>
    <w:rsid w:val="00650701"/>
    <w:rsid w:val="00651894"/>
    <w:rsid w:val="00651CD3"/>
    <w:rsid w:val="00652D09"/>
    <w:rsid w:val="00653932"/>
    <w:rsid w:val="00654CBB"/>
    <w:rsid w:val="00655195"/>
    <w:rsid w:val="0065744C"/>
    <w:rsid w:val="00657BC5"/>
    <w:rsid w:val="0066037F"/>
    <w:rsid w:val="00663085"/>
    <w:rsid w:val="0066429C"/>
    <w:rsid w:val="006645C1"/>
    <w:rsid w:val="0066467D"/>
    <w:rsid w:val="00665568"/>
    <w:rsid w:val="00665E54"/>
    <w:rsid w:val="0066607E"/>
    <w:rsid w:val="00666150"/>
    <w:rsid w:val="006701BB"/>
    <w:rsid w:val="0067021E"/>
    <w:rsid w:val="0067055C"/>
    <w:rsid w:val="00672629"/>
    <w:rsid w:val="00674163"/>
    <w:rsid w:val="0067590A"/>
    <w:rsid w:val="00675E8B"/>
    <w:rsid w:val="0067620F"/>
    <w:rsid w:val="00676C1D"/>
    <w:rsid w:val="00677157"/>
    <w:rsid w:val="00677DBA"/>
    <w:rsid w:val="006826D4"/>
    <w:rsid w:val="00682ED3"/>
    <w:rsid w:val="006862D9"/>
    <w:rsid w:val="0068728D"/>
    <w:rsid w:val="00687A87"/>
    <w:rsid w:val="00687E3C"/>
    <w:rsid w:val="00690BCA"/>
    <w:rsid w:val="00690C24"/>
    <w:rsid w:val="006935D7"/>
    <w:rsid w:val="006947B1"/>
    <w:rsid w:val="00695011"/>
    <w:rsid w:val="0069631A"/>
    <w:rsid w:val="00697F89"/>
    <w:rsid w:val="006A0289"/>
    <w:rsid w:val="006A08BE"/>
    <w:rsid w:val="006A09F3"/>
    <w:rsid w:val="006A1D63"/>
    <w:rsid w:val="006A20B7"/>
    <w:rsid w:val="006A298E"/>
    <w:rsid w:val="006A2F8A"/>
    <w:rsid w:val="006A451C"/>
    <w:rsid w:val="006A504B"/>
    <w:rsid w:val="006A604F"/>
    <w:rsid w:val="006A60C8"/>
    <w:rsid w:val="006A6816"/>
    <w:rsid w:val="006A6C6E"/>
    <w:rsid w:val="006A7339"/>
    <w:rsid w:val="006A7440"/>
    <w:rsid w:val="006A7707"/>
    <w:rsid w:val="006A785A"/>
    <w:rsid w:val="006A78AE"/>
    <w:rsid w:val="006A7D07"/>
    <w:rsid w:val="006B0866"/>
    <w:rsid w:val="006B0C66"/>
    <w:rsid w:val="006B2A57"/>
    <w:rsid w:val="006B7108"/>
    <w:rsid w:val="006B76F0"/>
    <w:rsid w:val="006C006D"/>
    <w:rsid w:val="006C052F"/>
    <w:rsid w:val="006C10EB"/>
    <w:rsid w:val="006C1D27"/>
    <w:rsid w:val="006C2795"/>
    <w:rsid w:val="006C3BB7"/>
    <w:rsid w:val="006C3DC7"/>
    <w:rsid w:val="006C797D"/>
    <w:rsid w:val="006C7CCB"/>
    <w:rsid w:val="006D1EB9"/>
    <w:rsid w:val="006D220E"/>
    <w:rsid w:val="006D40B2"/>
    <w:rsid w:val="006D4A28"/>
    <w:rsid w:val="006D50E9"/>
    <w:rsid w:val="006D5CC1"/>
    <w:rsid w:val="006D6169"/>
    <w:rsid w:val="006D752D"/>
    <w:rsid w:val="006E1091"/>
    <w:rsid w:val="006E34CA"/>
    <w:rsid w:val="006E36AE"/>
    <w:rsid w:val="006E4852"/>
    <w:rsid w:val="006E49FF"/>
    <w:rsid w:val="006E4D59"/>
    <w:rsid w:val="006E6388"/>
    <w:rsid w:val="006E6D97"/>
    <w:rsid w:val="006E7520"/>
    <w:rsid w:val="006F0BFF"/>
    <w:rsid w:val="006F1856"/>
    <w:rsid w:val="006F2CE5"/>
    <w:rsid w:val="006F4665"/>
    <w:rsid w:val="006F5573"/>
    <w:rsid w:val="006F55B5"/>
    <w:rsid w:val="006F6821"/>
    <w:rsid w:val="006F743E"/>
    <w:rsid w:val="006F7692"/>
    <w:rsid w:val="006F7B29"/>
    <w:rsid w:val="007000B4"/>
    <w:rsid w:val="00701043"/>
    <w:rsid w:val="00701329"/>
    <w:rsid w:val="00701BA7"/>
    <w:rsid w:val="007026A1"/>
    <w:rsid w:val="00704CB7"/>
    <w:rsid w:val="00705665"/>
    <w:rsid w:val="00705DDB"/>
    <w:rsid w:val="00706BEE"/>
    <w:rsid w:val="007100D2"/>
    <w:rsid w:val="00711B43"/>
    <w:rsid w:val="00714663"/>
    <w:rsid w:val="0071513C"/>
    <w:rsid w:val="007154D7"/>
    <w:rsid w:val="007157B0"/>
    <w:rsid w:val="00715856"/>
    <w:rsid w:val="0071594A"/>
    <w:rsid w:val="00715FA7"/>
    <w:rsid w:val="00716007"/>
    <w:rsid w:val="007165F6"/>
    <w:rsid w:val="007175AC"/>
    <w:rsid w:val="00717CEF"/>
    <w:rsid w:val="00721859"/>
    <w:rsid w:val="0072186B"/>
    <w:rsid w:val="00721DB5"/>
    <w:rsid w:val="007222CC"/>
    <w:rsid w:val="007225C4"/>
    <w:rsid w:val="00722E00"/>
    <w:rsid w:val="00722F01"/>
    <w:rsid w:val="00723395"/>
    <w:rsid w:val="00723F0E"/>
    <w:rsid w:val="0072412B"/>
    <w:rsid w:val="00724196"/>
    <w:rsid w:val="00724DF1"/>
    <w:rsid w:val="00726E23"/>
    <w:rsid w:val="00726E38"/>
    <w:rsid w:val="00726F0B"/>
    <w:rsid w:val="007300E5"/>
    <w:rsid w:val="00732118"/>
    <w:rsid w:val="00732515"/>
    <w:rsid w:val="00732B1D"/>
    <w:rsid w:val="00732F68"/>
    <w:rsid w:val="00732F94"/>
    <w:rsid w:val="00733498"/>
    <w:rsid w:val="00733556"/>
    <w:rsid w:val="00733C9F"/>
    <w:rsid w:val="007341B8"/>
    <w:rsid w:val="007342F8"/>
    <w:rsid w:val="00734C47"/>
    <w:rsid w:val="00734DE6"/>
    <w:rsid w:val="00734EF7"/>
    <w:rsid w:val="00735449"/>
    <w:rsid w:val="0073599A"/>
    <w:rsid w:val="007359ED"/>
    <w:rsid w:val="00735AEB"/>
    <w:rsid w:val="00735E37"/>
    <w:rsid w:val="0073616C"/>
    <w:rsid w:val="00736D6C"/>
    <w:rsid w:val="007371D7"/>
    <w:rsid w:val="0074055D"/>
    <w:rsid w:val="007412EC"/>
    <w:rsid w:val="00741C39"/>
    <w:rsid w:val="00742D82"/>
    <w:rsid w:val="00743052"/>
    <w:rsid w:val="00743937"/>
    <w:rsid w:val="007445AC"/>
    <w:rsid w:val="00744FA6"/>
    <w:rsid w:val="007458B0"/>
    <w:rsid w:val="00745CF3"/>
    <w:rsid w:val="00746B98"/>
    <w:rsid w:val="00747A66"/>
    <w:rsid w:val="00750EA4"/>
    <w:rsid w:val="0075165C"/>
    <w:rsid w:val="00752C5D"/>
    <w:rsid w:val="007535F0"/>
    <w:rsid w:val="00755258"/>
    <w:rsid w:val="007559D9"/>
    <w:rsid w:val="0075772C"/>
    <w:rsid w:val="0075797E"/>
    <w:rsid w:val="00757E0D"/>
    <w:rsid w:val="00760304"/>
    <w:rsid w:val="007608DB"/>
    <w:rsid w:val="00761252"/>
    <w:rsid w:val="00761B68"/>
    <w:rsid w:val="007634C1"/>
    <w:rsid w:val="007637BA"/>
    <w:rsid w:val="00764649"/>
    <w:rsid w:val="0076484E"/>
    <w:rsid w:val="00765184"/>
    <w:rsid w:val="0076597D"/>
    <w:rsid w:val="00765B78"/>
    <w:rsid w:val="00767849"/>
    <w:rsid w:val="00767AE5"/>
    <w:rsid w:val="00771042"/>
    <w:rsid w:val="0077169E"/>
    <w:rsid w:val="00773598"/>
    <w:rsid w:val="00773E7D"/>
    <w:rsid w:val="0077417F"/>
    <w:rsid w:val="00774A2C"/>
    <w:rsid w:val="00774CDD"/>
    <w:rsid w:val="007766E5"/>
    <w:rsid w:val="00777924"/>
    <w:rsid w:val="00777FC3"/>
    <w:rsid w:val="00780BD8"/>
    <w:rsid w:val="00780BE4"/>
    <w:rsid w:val="00781A2D"/>
    <w:rsid w:val="00782797"/>
    <w:rsid w:val="007827AA"/>
    <w:rsid w:val="007831A5"/>
    <w:rsid w:val="007842B2"/>
    <w:rsid w:val="00784E1A"/>
    <w:rsid w:val="007852D2"/>
    <w:rsid w:val="007869F5"/>
    <w:rsid w:val="00786A8F"/>
    <w:rsid w:val="00786CEC"/>
    <w:rsid w:val="00787A69"/>
    <w:rsid w:val="00787ABB"/>
    <w:rsid w:val="00787D17"/>
    <w:rsid w:val="0079097B"/>
    <w:rsid w:val="00791454"/>
    <w:rsid w:val="00791918"/>
    <w:rsid w:val="007921C8"/>
    <w:rsid w:val="007922C0"/>
    <w:rsid w:val="0079298B"/>
    <w:rsid w:val="00793301"/>
    <w:rsid w:val="00795BED"/>
    <w:rsid w:val="0079619A"/>
    <w:rsid w:val="0079687A"/>
    <w:rsid w:val="00796E6C"/>
    <w:rsid w:val="007A0273"/>
    <w:rsid w:val="007A0D2D"/>
    <w:rsid w:val="007A285F"/>
    <w:rsid w:val="007A29A0"/>
    <w:rsid w:val="007A3037"/>
    <w:rsid w:val="007A33B8"/>
    <w:rsid w:val="007A3E5A"/>
    <w:rsid w:val="007A51BD"/>
    <w:rsid w:val="007A548A"/>
    <w:rsid w:val="007A6257"/>
    <w:rsid w:val="007A65EF"/>
    <w:rsid w:val="007A6A4A"/>
    <w:rsid w:val="007A7104"/>
    <w:rsid w:val="007A72FB"/>
    <w:rsid w:val="007A7B5F"/>
    <w:rsid w:val="007B0444"/>
    <w:rsid w:val="007B0EBD"/>
    <w:rsid w:val="007B149D"/>
    <w:rsid w:val="007B2028"/>
    <w:rsid w:val="007B2C6C"/>
    <w:rsid w:val="007B3F7F"/>
    <w:rsid w:val="007B520A"/>
    <w:rsid w:val="007B5A27"/>
    <w:rsid w:val="007C1443"/>
    <w:rsid w:val="007C1B10"/>
    <w:rsid w:val="007C2666"/>
    <w:rsid w:val="007C34AE"/>
    <w:rsid w:val="007C3949"/>
    <w:rsid w:val="007C620C"/>
    <w:rsid w:val="007C6AAB"/>
    <w:rsid w:val="007C73DD"/>
    <w:rsid w:val="007C770A"/>
    <w:rsid w:val="007D00B6"/>
    <w:rsid w:val="007D0C57"/>
    <w:rsid w:val="007D0C89"/>
    <w:rsid w:val="007D1549"/>
    <w:rsid w:val="007D16B2"/>
    <w:rsid w:val="007D1772"/>
    <w:rsid w:val="007D2C9D"/>
    <w:rsid w:val="007D38EB"/>
    <w:rsid w:val="007D391D"/>
    <w:rsid w:val="007D3E7A"/>
    <w:rsid w:val="007D445A"/>
    <w:rsid w:val="007D4593"/>
    <w:rsid w:val="007D4711"/>
    <w:rsid w:val="007D498D"/>
    <w:rsid w:val="007D6801"/>
    <w:rsid w:val="007E050A"/>
    <w:rsid w:val="007E07AC"/>
    <w:rsid w:val="007E2CAD"/>
    <w:rsid w:val="007E345B"/>
    <w:rsid w:val="007E38F0"/>
    <w:rsid w:val="007E3A7A"/>
    <w:rsid w:val="007E4A54"/>
    <w:rsid w:val="007E502A"/>
    <w:rsid w:val="007E5A3F"/>
    <w:rsid w:val="007E602D"/>
    <w:rsid w:val="007E7AFA"/>
    <w:rsid w:val="007E7B98"/>
    <w:rsid w:val="007E7C4B"/>
    <w:rsid w:val="007F0543"/>
    <w:rsid w:val="007F270B"/>
    <w:rsid w:val="007F2EDE"/>
    <w:rsid w:val="007F35BE"/>
    <w:rsid w:val="007F3C9E"/>
    <w:rsid w:val="007F40D3"/>
    <w:rsid w:val="007F43CF"/>
    <w:rsid w:val="007F59BE"/>
    <w:rsid w:val="007F60F1"/>
    <w:rsid w:val="007F62D1"/>
    <w:rsid w:val="007F6868"/>
    <w:rsid w:val="007F6B85"/>
    <w:rsid w:val="007F7038"/>
    <w:rsid w:val="008009D9"/>
    <w:rsid w:val="00800ABD"/>
    <w:rsid w:val="00802E87"/>
    <w:rsid w:val="008038DD"/>
    <w:rsid w:val="00803AD0"/>
    <w:rsid w:val="00803FD6"/>
    <w:rsid w:val="008043E1"/>
    <w:rsid w:val="0080603C"/>
    <w:rsid w:val="0081139A"/>
    <w:rsid w:val="0081225A"/>
    <w:rsid w:val="00812488"/>
    <w:rsid w:val="008135C4"/>
    <w:rsid w:val="00813B71"/>
    <w:rsid w:val="00813C73"/>
    <w:rsid w:val="008144E3"/>
    <w:rsid w:val="0081505B"/>
    <w:rsid w:val="008150F6"/>
    <w:rsid w:val="008151B3"/>
    <w:rsid w:val="008156C6"/>
    <w:rsid w:val="0081571D"/>
    <w:rsid w:val="008157F5"/>
    <w:rsid w:val="008164B7"/>
    <w:rsid w:val="00817ABE"/>
    <w:rsid w:val="00817D5B"/>
    <w:rsid w:val="00820147"/>
    <w:rsid w:val="0082030D"/>
    <w:rsid w:val="00820681"/>
    <w:rsid w:val="00820D83"/>
    <w:rsid w:val="008223B4"/>
    <w:rsid w:val="00823322"/>
    <w:rsid w:val="00823657"/>
    <w:rsid w:val="0082401A"/>
    <w:rsid w:val="0082449D"/>
    <w:rsid w:val="00824F5A"/>
    <w:rsid w:val="0082574E"/>
    <w:rsid w:val="00826C2C"/>
    <w:rsid w:val="008274C6"/>
    <w:rsid w:val="00827575"/>
    <w:rsid w:val="00827746"/>
    <w:rsid w:val="00827A50"/>
    <w:rsid w:val="0083056F"/>
    <w:rsid w:val="00830854"/>
    <w:rsid w:val="00830C86"/>
    <w:rsid w:val="00831536"/>
    <w:rsid w:val="00831B89"/>
    <w:rsid w:val="00831CF7"/>
    <w:rsid w:val="00831E28"/>
    <w:rsid w:val="00833977"/>
    <w:rsid w:val="00833DA4"/>
    <w:rsid w:val="0083407B"/>
    <w:rsid w:val="008350F1"/>
    <w:rsid w:val="008354AC"/>
    <w:rsid w:val="00835A05"/>
    <w:rsid w:val="00835E9F"/>
    <w:rsid w:val="00836A4F"/>
    <w:rsid w:val="00836BA7"/>
    <w:rsid w:val="00836D03"/>
    <w:rsid w:val="00837612"/>
    <w:rsid w:val="008377FB"/>
    <w:rsid w:val="00837E78"/>
    <w:rsid w:val="00844073"/>
    <w:rsid w:val="00844F9B"/>
    <w:rsid w:val="00845CD4"/>
    <w:rsid w:val="0084788E"/>
    <w:rsid w:val="00851C35"/>
    <w:rsid w:val="008522A2"/>
    <w:rsid w:val="00852385"/>
    <w:rsid w:val="008527B5"/>
    <w:rsid w:val="00854695"/>
    <w:rsid w:val="00855F1B"/>
    <w:rsid w:val="00861248"/>
    <w:rsid w:val="008622B4"/>
    <w:rsid w:val="008639EE"/>
    <w:rsid w:val="00864500"/>
    <w:rsid w:val="00864C52"/>
    <w:rsid w:val="00866850"/>
    <w:rsid w:val="00866D52"/>
    <w:rsid w:val="008707A1"/>
    <w:rsid w:val="0087094D"/>
    <w:rsid w:val="00871A99"/>
    <w:rsid w:val="00871E1F"/>
    <w:rsid w:val="0087296F"/>
    <w:rsid w:val="0087436B"/>
    <w:rsid w:val="00877C69"/>
    <w:rsid w:val="0088034F"/>
    <w:rsid w:val="0088086F"/>
    <w:rsid w:val="008814EB"/>
    <w:rsid w:val="00881521"/>
    <w:rsid w:val="008816CF"/>
    <w:rsid w:val="00881D12"/>
    <w:rsid w:val="0088256D"/>
    <w:rsid w:val="00882D11"/>
    <w:rsid w:val="008831A4"/>
    <w:rsid w:val="008842D8"/>
    <w:rsid w:val="00886054"/>
    <w:rsid w:val="00886264"/>
    <w:rsid w:val="0088741D"/>
    <w:rsid w:val="00887E21"/>
    <w:rsid w:val="0089049C"/>
    <w:rsid w:val="008909FC"/>
    <w:rsid w:val="00891DB6"/>
    <w:rsid w:val="008930D3"/>
    <w:rsid w:val="00893BC6"/>
    <w:rsid w:val="00893D2B"/>
    <w:rsid w:val="00894191"/>
    <w:rsid w:val="00894D4B"/>
    <w:rsid w:val="0089547E"/>
    <w:rsid w:val="00895C9A"/>
    <w:rsid w:val="008968A3"/>
    <w:rsid w:val="00896F71"/>
    <w:rsid w:val="00897205"/>
    <w:rsid w:val="00897D63"/>
    <w:rsid w:val="00897F31"/>
    <w:rsid w:val="008A0C2C"/>
    <w:rsid w:val="008A28B7"/>
    <w:rsid w:val="008A2B47"/>
    <w:rsid w:val="008A34CF"/>
    <w:rsid w:val="008A4340"/>
    <w:rsid w:val="008A60CA"/>
    <w:rsid w:val="008A750C"/>
    <w:rsid w:val="008B2042"/>
    <w:rsid w:val="008B28A6"/>
    <w:rsid w:val="008B2FCE"/>
    <w:rsid w:val="008B33A1"/>
    <w:rsid w:val="008B49E8"/>
    <w:rsid w:val="008B55F6"/>
    <w:rsid w:val="008B5F8B"/>
    <w:rsid w:val="008B6676"/>
    <w:rsid w:val="008B68FA"/>
    <w:rsid w:val="008B7E4B"/>
    <w:rsid w:val="008C1182"/>
    <w:rsid w:val="008C1B22"/>
    <w:rsid w:val="008C2FD3"/>
    <w:rsid w:val="008C406E"/>
    <w:rsid w:val="008C482A"/>
    <w:rsid w:val="008C5B09"/>
    <w:rsid w:val="008C636B"/>
    <w:rsid w:val="008C6602"/>
    <w:rsid w:val="008C71F5"/>
    <w:rsid w:val="008C7B9F"/>
    <w:rsid w:val="008C7C32"/>
    <w:rsid w:val="008C7E3A"/>
    <w:rsid w:val="008C7F25"/>
    <w:rsid w:val="008D11EA"/>
    <w:rsid w:val="008D18CC"/>
    <w:rsid w:val="008D235E"/>
    <w:rsid w:val="008D4564"/>
    <w:rsid w:val="008D4C39"/>
    <w:rsid w:val="008D50F8"/>
    <w:rsid w:val="008D6A26"/>
    <w:rsid w:val="008D706F"/>
    <w:rsid w:val="008E0C48"/>
    <w:rsid w:val="008E169B"/>
    <w:rsid w:val="008E2598"/>
    <w:rsid w:val="008E2C7E"/>
    <w:rsid w:val="008E36CC"/>
    <w:rsid w:val="008E3D48"/>
    <w:rsid w:val="008E472C"/>
    <w:rsid w:val="008E4B40"/>
    <w:rsid w:val="008E5137"/>
    <w:rsid w:val="008E578E"/>
    <w:rsid w:val="008E6504"/>
    <w:rsid w:val="008E6E9A"/>
    <w:rsid w:val="008E70AC"/>
    <w:rsid w:val="008F019C"/>
    <w:rsid w:val="008F0D74"/>
    <w:rsid w:val="008F2EDB"/>
    <w:rsid w:val="008F4B41"/>
    <w:rsid w:val="008F556C"/>
    <w:rsid w:val="008F57CF"/>
    <w:rsid w:val="008F5C7C"/>
    <w:rsid w:val="008F5D1B"/>
    <w:rsid w:val="008F5F4E"/>
    <w:rsid w:val="008F647E"/>
    <w:rsid w:val="008F6758"/>
    <w:rsid w:val="008F7F17"/>
    <w:rsid w:val="00900118"/>
    <w:rsid w:val="00903AC4"/>
    <w:rsid w:val="00903C3F"/>
    <w:rsid w:val="00907A9B"/>
    <w:rsid w:val="00910F1A"/>
    <w:rsid w:val="00912B3B"/>
    <w:rsid w:val="009131EC"/>
    <w:rsid w:val="0091477A"/>
    <w:rsid w:val="0091494D"/>
    <w:rsid w:val="00914B6A"/>
    <w:rsid w:val="00914CB6"/>
    <w:rsid w:val="0091777F"/>
    <w:rsid w:val="00920C46"/>
    <w:rsid w:val="00920F03"/>
    <w:rsid w:val="009216E9"/>
    <w:rsid w:val="0092185A"/>
    <w:rsid w:val="00923113"/>
    <w:rsid w:val="00923B4F"/>
    <w:rsid w:val="0092499A"/>
    <w:rsid w:val="00925E57"/>
    <w:rsid w:val="00925FC6"/>
    <w:rsid w:val="00926BF9"/>
    <w:rsid w:val="00926F86"/>
    <w:rsid w:val="00927A77"/>
    <w:rsid w:val="00927CDC"/>
    <w:rsid w:val="0093006D"/>
    <w:rsid w:val="00931739"/>
    <w:rsid w:val="009318BB"/>
    <w:rsid w:val="00932CB7"/>
    <w:rsid w:val="00932ED3"/>
    <w:rsid w:val="0093482F"/>
    <w:rsid w:val="00934E58"/>
    <w:rsid w:val="009350D6"/>
    <w:rsid w:val="0093555E"/>
    <w:rsid w:val="00936602"/>
    <w:rsid w:val="00936BE1"/>
    <w:rsid w:val="009378E2"/>
    <w:rsid w:val="009408C6"/>
    <w:rsid w:val="00941D79"/>
    <w:rsid w:val="00942151"/>
    <w:rsid w:val="009423F6"/>
    <w:rsid w:val="00944677"/>
    <w:rsid w:val="009446F9"/>
    <w:rsid w:val="00945002"/>
    <w:rsid w:val="00945EA4"/>
    <w:rsid w:val="00947E69"/>
    <w:rsid w:val="00950718"/>
    <w:rsid w:val="00950C30"/>
    <w:rsid w:val="009511EC"/>
    <w:rsid w:val="00952D3B"/>
    <w:rsid w:val="00953762"/>
    <w:rsid w:val="0095389B"/>
    <w:rsid w:val="00953B3A"/>
    <w:rsid w:val="009541D3"/>
    <w:rsid w:val="00954ECC"/>
    <w:rsid w:val="009554AC"/>
    <w:rsid w:val="0095566A"/>
    <w:rsid w:val="0095654D"/>
    <w:rsid w:val="00957C0C"/>
    <w:rsid w:val="00961115"/>
    <w:rsid w:val="00961F93"/>
    <w:rsid w:val="00962A2F"/>
    <w:rsid w:val="00962AA2"/>
    <w:rsid w:val="0096420A"/>
    <w:rsid w:val="00964635"/>
    <w:rsid w:val="00964BDA"/>
    <w:rsid w:val="00966474"/>
    <w:rsid w:val="00966D19"/>
    <w:rsid w:val="00967A56"/>
    <w:rsid w:val="0097246F"/>
    <w:rsid w:val="00972AF9"/>
    <w:rsid w:val="00973B70"/>
    <w:rsid w:val="009754AB"/>
    <w:rsid w:val="0097607C"/>
    <w:rsid w:val="00976CE8"/>
    <w:rsid w:val="00977520"/>
    <w:rsid w:val="00977FD4"/>
    <w:rsid w:val="00980964"/>
    <w:rsid w:val="009827D0"/>
    <w:rsid w:val="00983D37"/>
    <w:rsid w:val="0098405F"/>
    <w:rsid w:val="0098592E"/>
    <w:rsid w:val="00985DBE"/>
    <w:rsid w:val="00986984"/>
    <w:rsid w:val="00991A35"/>
    <w:rsid w:val="009921C3"/>
    <w:rsid w:val="00993767"/>
    <w:rsid w:val="009938D2"/>
    <w:rsid w:val="009959AB"/>
    <w:rsid w:val="00995AEA"/>
    <w:rsid w:val="009965FB"/>
    <w:rsid w:val="009971C2"/>
    <w:rsid w:val="00997422"/>
    <w:rsid w:val="00997835"/>
    <w:rsid w:val="00997FF6"/>
    <w:rsid w:val="009A2A33"/>
    <w:rsid w:val="009A2FF8"/>
    <w:rsid w:val="009A515E"/>
    <w:rsid w:val="009A5546"/>
    <w:rsid w:val="009A5B25"/>
    <w:rsid w:val="009A5F0A"/>
    <w:rsid w:val="009A73DB"/>
    <w:rsid w:val="009A7459"/>
    <w:rsid w:val="009B015A"/>
    <w:rsid w:val="009B138C"/>
    <w:rsid w:val="009B1619"/>
    <w:rsid w:val="009B1C4D"/>
    <w:rsid w:val="009B2439"/>
    <w:rsid w:val="009B2607"/>
    <w:rsid w:val="009B2C19"/>
    <w:rsid w:val="009B302C"/>
    <w:rsid w:val="009B492D"/>
    <w:rsid w:val="009B5A9C"/>
    <w:rsid w:val="009B5AEC"/>
    <w:rsid w:val="009B6CF1"/>
    <w:rsid w:val="009B6E20"/>
    <w:rsid w:val="009B7414"/>
    <w:rsid w:val="009B7E95"/>
    <w:rsid w:val="009C14CD"/>
    <w:rsid w:val="009C24DF"/>
    <w:rsid w:val="009C25E9"/>
    <w:rsid w:val="009C31B9"/>
    <w:rsid w:val="009C33F7"/>
    <w:rsid w:val="009C378A"/>
    <w:rsid w:val="009C3CC4"/>
    <w:rsid w:val="009C469E"/>
    <w:rsid w:val="009C51DE"/>
    <w:rsid w:val="009C76B2"/>
    <w:rsid w:val="009D09E9"/>
    <w:rsid w:val="009D3615"/>
    <w:rsid w:val="009D3DDF"/>
    <w:rsid w:val="009D44D0"/>
    <w:rsid w:val="009D56CA"/>
    <w:rsid w:val="009D5E91"/>
    <w:rsid w:val="009D63EB"/>
    <w:rsid w:val="009D6EE4"/>
    <w:rsid w:val="009D6F93"/>
    <w:rsid w:val="009D70A3"/>
    <w:rsid w:val="009D7B96"/>
    <w:rsid w:val="009D7CDD"/>
    <w:rsid w:val="009E0774"/>
    <w:rsid w:val="009E158B"/>
    <w:rsid w:val="009E1607"/>
    <w:rsid w:val="009E17F3"/>
    <w:rsid w:val="009E218D"/>
    <w:rsid w:val="009E2556"/>
    <w:rsid w:val="009E36CD"/>
    <w:rsid w:val="009E58C1"/>
    <w:rsid w:val="009E5956"/>
    <w:rsid w:val="009E6D1F"/>
    <w:rsid w:val="009E6E9C"/>
    <w:rsid w:val="009E7942"/>
    <w:rsid w:val="009E7BEA"/>
    <w:rsid w:val="009E7FE5"/>
    <w:rsid w:val="009F0124"/>
    <w:rsid w:val="009F0997"/>
    <w:rsid w:val="009F0D45"/>
    <w:rsid w:val="009F1C9B"/>
    <w:rsid w:val="009F2558"/>
    <w:rsid w:val="009F2BC9"/>
    <w:rsid w:val="009F2E79"/>
    <w:rsid w:val="009F40A1"/>
    <w:rsid w:val="009F4A43"/>
    <w:rsid w:val="009F5A90"/>
    <w:rsid w:val="009F6227"/>
    <w:rsid w:val="009F746D"/>
    <w:rsid w:val="009F7E1B"/>
    <w:rsid w:val="00A0052C"/>
    <w:rsid w:val="00A03157"/>
    <w:rsid w:val="00A032DD"/>
    <w:rsid w:val="00A035AC"/>
    <w:rsid w:val="00A03ED6"/>
    <w:rsid w:val="00A0442C"/>
    <w:rsid w:val="00A04A7A"/>
    <w:rsid w:val="00A0501B"/>
    <w:rsid w:val="00A05C58"/>
    <w:rsid w:val="00A0625A"/>
    <w:rsid w:val="00A06A35"/>
    <w:rsid w:val="00A06B15"/>
    <w:rsid w:val="00A07809"/>
    <w:rsid w:val="00A07CAD"/>
    <w:rsid w:val="00A10B46"/>
    <w:rsid w:val="00A10C6E"/>
    <w:rsid w:val="00A12FA0"/>
    <w:rsid w:val="00A14B38"/>
    <w:rsid w:val="00A151CB"/>
    <w:rsid w:val="00A15602"/>
    <w:rsid w:val="00A15F7D"/>
    <w:rsid w:val="00A17633"/>
    <w:rsid w:val="00A176C1"/>
    <w:rsid w:val="00A20653"/>
    <w:rsid w:val="00A20A2F"/>
    <w:rsid w:val="00A2192F"/>
    <w:rsid w:val="00A21ACE"/>
    <w:rsid w:val="00A23ACE"/>
    <w:rsid w:val="00A24291"/>
    <w:rsid w:val="00A24818"/>
    <w:rsid w:val="00A25EA4"/>
    <w:rsid w:val="00A26F4E"/>
    <w:rsid w:val="00A2786D"/>
    <w:rsid w:val="00A30AAE"/>
    <w:rsid w:val="00A31E2B"/>
    <w:rsid w:val="00A323FA"/>
    <w:rsid w:val="00A332EF"/>
    <w:rsid w:val="00A338D5"/>
    <w:rsid w:val="00A33C2D"/>
    <w:rsid w:val="00A34433"/>
    <w:rsid w:val="00A34627"/>
    <w:rsid w:val="00A3625B"/>
    <w:rsid w:val="00A36FF7"/>
    <w:rsid w:val="00A3732B"/>
    <w:rsid w:val="00A37556"/>
    <w:rsid w:val="00A42835"/>
    <w:rsid w:val="00A42B4A"/>
    <w:rsid w:val="00A43688"/>
    <w:rsid w:val="00A437BA"/>
    <w:rsid w:val="00A447EB"/>
    <w:rsid w:val="00A45A17"/>
    <w:rsid w:val="00A45ACC"/>
    <w:rsid w:val="00A47A6B"/>
    <w:rsid w:val="00A510D3"/>
    <w:rsid w:val="00A5263D"/>
    <w:rsid w:val="00A52EBB"/>
    <w:rsid w:val="00A5473C"/>
    <w:rsid w:val="00A54998"/>
    <w:rsid w:val="00A54B1A"/>
    <w:rsid w:val="00A54C36"/>
    <w:rsid w:val="00A55ED0"/>
    <w:rsid w:val="00A57D58"/>
    <w:rsid w:val="00A602FC"/>
    <w:rsid w:val="00A60AB8"/>
    <w:rsid w:val="00A60E62"/>
    <w:rsid w:val="00A60F58"/>
    <w:rsid w:val="00A6120A"/>
    <w:rsid w:val="00A61238"/>
    <w:rsid w:val="00A61671"/>
    <w:rsid w:val="00A61B74"/>
    <w:rsid w:val="00A620CE"/>
    <w:rsid w:val="00A64086"/>
    <w:rsid w:val="00A6567A"/>
    <w:rsid w:val="00A675E4"/>
    <w:rsid w:val="00A71AF4"/>
    <w:rsid w:val="00A71FFF"/>
    <w:rsid w:val="00A72108"/>
    <w:rsid w:val="00A72888"/>
    <w:rsid w:val="00A737D7"/>
    <w:rsid w:val="00A7457B"/>
    <w:rsid w:val="00A747F1"/>
    <w:rsid w:val="00A7719F"/>
    <w:rsid w:val="00A800CD"/>
    <w:rsid w:val="00A80F03"/>
    <w:rsid w:val="00A82043"/>
    <w:rsid w:val="00A83233"/>
    <w:rsid w:val="00A8377A"/>
    <w:rsid w:val="00A843DC"/>
    <w:rsid w:val="00A85925"/>
    <w:rsid w:val="00A85CD7"/>
    <w:rsid w:val="00A85E06"/>
    <w:rsid w:val="00A86449"/>
    <w:rsid w:val="00A864C7"/>
    <w:rsid w:val="00A9123C"/>
    <w:rsid w:val="00A920AB"/>
    <w:rsid w:val="00A92377"/>
    <w:rsid w:val="00A927CA"/>
    <w:rsid w:val="00A92EA5"/>
    <w:rsid w:val="00A93D7D"/>
    <w:rsid w:val="00A93EE1"/>
    <w:rsid w:val="00A940AB"/>
    <w:rsid w:val="00A94B75"/>
    <w:rsid w:val="00A94D03"/>
    <w:rsid w:val="00A950E5"/>
    <w:rsid w:val="00A9630E"/>
    <w:rsid w:val="00A96483"/>
    <w:rsid w:val="00A96944"/>
    <w:rsid w:val="00A97486"/>
    <w:rsid w:val="00A97958"/>
    <w:rsid w:val="00A97EBA"/>
    <w:rsid w:val="00AA17F4"/>
    <w:rsid w:val="00AA2B4B"/>
    <w:rsid w:val="00AA2C0B"/>
    <w:rsid w:val="00AA2EDC"/>
    <w:rsid w:val="00AA3371"/>
    <w:rsid w:val="00AA4C00"/>
    <w:rsid w:val="00AA5A0F"/>
    <w:rsid w:val="00AA5AC6"/>
    <w:rsid w:val="00AA6115"/>
    <w:rsid w:val="00AA639A"/>
    <w:rsid w:val="00AA6537"/>
    <w:rsid w:val="00AA6A6E"/>
    <w:rsid w:val="00AA734C"/>
    <w:rsid w:val="00AB0150"/>
    <w:rsid w:val="00AB0618"/>
    <w:rsid w:val="00AB0D5D"/>
    <w:rsid w:val="00AB10F1"/>
    <w:rsid w:val="00AB2CB3"/>
    <w:rsid w:val="00AB302D"/>
    <w:rsid w:val="00AB47FB"/>
    <w:rsid w:val="00AB4C51"/>
    <w:rsid w:val="00AB5127"/>
    <w:rsid w:val="00AB545C"/>
    <w:rsid w:val="00AB68FE"/>
    <w:rsid w:val="00AB6E04"/>
    <w:rsid w:val="00AB74E1"/>
    <w:rsid w:val="00AB7F09"/>
    <w:rsid w:val="00AC00A4"/>
    <w:rsid w:val="00AC0A0B"/>
    <w:rsid w:val="00AC1D61"/>
    <w:rsid w:val="00AC3BC1"/>
    <w:rsid w:val="00AC4286"/>
    <w:rsid w:val="00AC468E"/>
    <w:rsid w:val="00AC4C81"/>
    <w:rsid w:val="00AC5A92"/>
    <w:rsid w:val="00AC6C26"/>
    <w:rsid w:val="00AD1449"/>
    <w:rsid w:val="00AD2618"/>
    <w:rsid w:val="00AD2D6A"/>
    <w:rsid w:val="00AD2E20"/>
    <w:rsid w:val="00AD303E"/>
    <w:rsid w:val="00AD48DE"/>
    <w:rsid w:val="00AD4A38"/>
    <w:rsid w:val="00AD5BCD"/>
    <w:rsid w:val="00AE1594"/>
    <w:rsid w:val="00AE1FC4"/>
    <w:rsid w:val="00AE3003"/>
    <w:rsid w:val="00AE3034"/>
    <w:rsid w:val="00AE36AC"/>
    <w:rsid w:val="00AE46FF"/>
    <w:rsid w:val="00AE4750"/>
    <w:rsid w:val="00AE4C39"/>
    <w:rsid w:val="00AE61F1"/>
    <w:rsid w:val="00AE62D1"/>
    <w:rsid w:val="00AE730A"/>
    <w:rsid w:val="00AF0B1F"/>
    <w:rsid w:val="00AF0DC0"/>
    <w:rsid w:val="00AF2B73"/>
    <w:rsid w:val="00AF414B"/>
    <w:rsid w:val="00AF51A7"/>
    <w:rsid w:val="00AF5322"/>
    <w:rsid w:val="00AF5E85"/>
    <w:rsid w:val="00AF6320"/>
    <w:rsid w:val="00AF7A59"/>
    <w:rsid w:val="00AF7AE4"/>
    <w:rsid w:val="00B00689"/>
    <w:rsid w:val="00B014DB"/>
    <w:rsid w:val="00B028EA"/>
    <w:rsid w:val="00B0362D"/>
    <w:rsid w:val="00B03CCE"/>
    <w:rsid w:val="00B04EA9"/>
    <w:rsid w:val="00B05364"/>
    <w:rsid w:val="00B05678"/>
    <w:rsid w:val="00B0577D"/>
    <w:rsid w:val="00B0594B"/>
    <w:rsid w:val="00B07805"/>
    <w:rsid w:val="00B07C7D"/>
    <w:rsid w:val="00B07F91"/>
    <w:rsid w:val="00B114E9"/>
    <w:rsid w:val="00B115FF"/>
    <w:rsid w:val="00B11D3B"/>
    <w:rsid w:val="00B12E16"/>
    <w:rsid w:val="00B146BC"/>
    <w:rsid w:val="00B14702"/>
    <w:rsid w:val="00B147A9"/>
    <w:rsid w:val="00B14D4F"/>
    <w:rsid w:val="00B15577"/>
    <w:rsid w:val="00B16443"/>
    <w:rsid w:val="00B174F8"/>
    <w:rsid w:val="00B179CA"/>
    <w:rsid w:val="00B2098D"/>
    <w:rsid w:val="00B20AAA"/>
    <w:rsid w:val="00B20DF6"/>
    <w:rsid w:val="00B20FBD"/>
    <w:rsid w:val="00B22C02"/>
    <w:rsid w:val="00B244BB"/>
    <w:rsid w:val="00B25300"/>
    <w:rsid w:val="00B25349"/>
    <w:rsid w:val="00B255FC"/>
    <w:rsid w:val="00B25BC7"/>
    <w:rsid w:val="00B30228"/>
    <w:rsid w:val="00B3256C"/>
    <w:rsid w:val="00B332C2"/>
    <w:rsid w:val="00B3358E"/>
    <w:rsid w:val="00B33F1B"/>
    <w:rsid w:val="00B400EA"/>
    <w:rsid w:val="00B4125E"/>
    <w:rsid w:val="00B41A5C"/>
    <w:rsid w:val="00B41D95"/>
    <w:rsid w:val="00B42DAD"/>
    <w:rsid w:val="00B44D53"/>
    <w:rsid w:val="00B463D3"/>
    <w:rsid w:val="00B467B4"/>
    <w:rsid w:val="00B46DC4"/>
    <w:rsid w:val="00B47C1F"/>
    <w:rsid w:val="00B50AE4"/>
    <w:rsid w:val="00B51355"/>
    <w:rsid w:val="00B51441"/>
    <w:rsid w:val="00B52B5B"/>
    <w:rsid w:val="00B5311C"/>
    <w:rsid w:val="00B53432"/>
    <w:rsid w:val="00B55452"/>
    <w:rsid w:val="00B55DAF"/>
    <w:rsid w:val="00B565F9"/>
    <w:rsid w:val="00B5697C"/>
    <w:rsid w:val="00B56C27"/>
    <w:rsid w:val="00B571CE"/>
    <w:rsid w:val="00B57607"/>
    <w:rsid w:val="00B60CA1"/>
    <w:rsid w:val="00B61E53"/>
    <w:rsid w:val="00B62DEB"/>
    <w:rsid w:val="00B63444"/>
    <w:rsid w:val="00B637F3"/>
    <w:rsid w:val="00B64005"/>
    <w:rsid w:val="00B64348"/>
    <w:rsid w:val="00B66433"/>
    <w:rsid w:val="00B67487"/>
    <w:rsid w:val="00B6766B"/>
    <w:rsid w:val="00B67757"/>
    <w:rsid w:val="00B67A17"/>
    <w:rsid w:val="00B67D9C"/>
    <w:rsid w:val="00B7105D"/>
    <w:rsid w:val="00B71321"/>
    <w:rsid w:val="00B7182D"/>
    <w:rsid w:val="00B75EA3"/>
    <w:rsid w:val="00B761E4"/>
    <w:rsid w:val="00B76904"/>
    <w:rsid w:val="00B77D1D"/>
    <w:rsid w:val="00B81B61"/>
    <w:rsid w:val="00B8289F"/>
    <w:rsid w:val="00B82D46"/>
    <w:rsid w:val="00B838A6"/>
    <w:rsid w:val="00B84166"/>
    <w:rsid w:val="00B844E7"/>
    <w:rsid w:val="00B851A5"/>
    <w:rsid w:val="00B855BF"/>
    <w:rsid w:val="00B87796"/>
    <w:rsid w:val="00B90C08"/>
    <w:rsid w:val="00B91453"/>
    <w:rsid w:val="00B9163B"/>
    <w:rsid w:val="00B91B04"/>
    <w:rsid w:val="00B91E68"/>
    <w:rsid w:val="00B9233D"/>
    <w:rsid w:val="00B951B8"/>
    <w:rsid w:val="00B97840"/>
    <w:rsid w:val="00B97C8A"/>
    <w:rsid w:val="00B97EDC"/>
    <w:rsid w:val="00BA00BB"/>
    <w:rsid w:val="00BA08F6"/>
    <w:rsid w:val="00BA11A7"/>
    <w:rsid w:val="00BA1706"/>
    <w:rsid w:val="00BA1C02"/>
    <w:rsid w:val="00BA1F5C"/>
    <w:rsid w:val="00BA21F7"/>
    <w:rsid w:val="00BA2862"/>
    <w:rsid w:val="00BA2DAB"/>
    <w:rsid w:val="00BA5005"/>
    <w:rsid w:val="00BA56AB"/>
    <w:rsid w:val="00BA5C10"/>
    <w:rsid w:val="00BA6594"/>
    <w:rsid w:val="00BA6B24"/>
    <w:rsid w:val="00BA71A0"/>
    <w:rsid w:val="00BA79BA"/>
    <w:rsid w:val="00BB17E5"/>
    <w:rsid w:val="00BB2352"/>
    <w:rsid w:val="00BB244F"/>
    <w:rsid w:val="00BB3ECF"/>
    <w:rsid w:val="00BB3FF1"/>
    <w:rsid w:val="00BB4036"/>
    <w:rsid w:val="00BB42A3"/>
    <w:rsid w:val="00BB4BE5"/>
    <w:rsid w:val="00BB546E"/>
    <w:rsid w:val="00BB5687"/>
    <w:rsid w:val="00BB6080"/>
    <w:rsid w:val="00BB62BB"/>
    <w:rsid w:val="00BC019D"/>
    <w:rsid w:val="00BC0ABA"/>
    <w:rsid w:val="00BC136F"/>
    <w:rsid w:val="00BC25FD"/>
    <w:rsid w:val="00BC2743"/>
    <w:rsid w:val="00BC2A1B"/>
    <w:rsid w:val="00BC4150"/>
    <w:rsid w:val="00BC5D53"/>
    <w:rsid w:val="00BC60F1"/>
    <w:rsid w:val="00BC6863"/>
    <w:rsid w:val="00BC688D"/>
    <w:rsid w:val="00BC7A8A"/>
    <w:rsid w:val="00BD1277"/>
    <w:rsid w:val="00BD199C"/>
    <w:rsid w:val="00BD24BB"/>
    <w:rsid w:val="00BD291F"/>
    <w:rsid w:val="00BD4036"/>
    <w:rsid w:val="00BD51B9"/>
    <w:rsid w:val="00BD5C46"/>
    <w:rsid w:val="00BD6344"/>
    <w:rsid w:val="00BD74B4"/>
    <w:rsid w:val="00BE0F38"/>
    <w:rsid w:val="00BE16CE"/>
    <w:rsid w:val="00BE1E0B"/>
    <w:rsid w:val="00BE34E6"/>
    <w:rsid w:val="00BE3C61"/>
    <w:rsid w:val="00BE471A"/>
    <w:rsid w:val="00BE594F"/>
    <w:rsid w:val="00BE6F4B"/>
    <w:rsid w:val="00BE7292"/>
    <w:rsid w:val="00BF09F6"/>
    <w:rsid w:val="00BF14FD"/>
    <w:rsid w:val="00BF23D5"/>
    <w:rsid w:val="00BF3596"/>
    <w:rsid w:val="00BF379F"/>
    <w:rsid w:val="00BF4CA0"/>
    <w:rsid w:val="00BF4E19"/>
    <w:rsid w:val="00BF6087"/>
    <w:rsid w:val="00BF612C"/>
    <w:rsid w:val="00BF6917"/>
    <w:rsid w:val="00BF6A28"/>
    <w:rsid w:val="00BF6F72"/>
    <w:rsid w:val="00BF7314"/>
    <w:rsid w:val="00C0031B"/>
    <w:rsid w:val="00C008E4"/>
    <w:rsid w:val="00C00E2A"/>
    <w:rsid w:val="00C01766"/>
    <w:rsid w:val="00C017E1"/>
    <w:rsid w:val="00C042CD"/>
    <w:rsid w:val="00C06980"/>
    <w:rsid w:val="00C06FDD"/>
    <w:rsid w:val="00C078C8"/>
    <w:rsid w:val="00C07977"/>
    <w:rsid w:val="00C10A96"/>
    <w:rsid w:val="00C11482"/>
    <w:rsid w:val="00C11642"/>
    <w:rsid w:val="00C11CDC"/>
    <w:rsid w:val="00C1575E"/>
    <w:rsid w:val="00C160A3"/>
    <w:rsid w:val="00C16907"/>
    <w:rsid w:val="00C17A65"/>
    <w:rsid w:val="00C17DCC"/>
    <w:rsid w:val="00C2152F"/>
    <w:rsid w:val="00C22FFC"/>
    <w:rsid w:val="00C2436F"/>
    <w:rsid w:val="00C24EB5"/>
    <w:rsid w:val="00C25056"/>
    <w:rsid w:val="00C252DD"/>
    <w:rsid w:val="00C26D17"/>
    <w:rsid w:val="00C27634"/>
    <w:rsid w:val="00C3043E"/>
    <w:rsid w:val="00C329FA"/>
    <w:rsid w:val="00C32C44"/>
    <w:rsid w:val="00C335ED"/>
    <w:rsid w:val="00C35DED"/>
    <w:rsid w:val="00C35E69"/>
    <w:rsid w:val="00C35E79"/>
    <w:rsid w:val="00C35FD6"/>
    <w:rsid w:val="00C364B7"/>
    <w:rsid w:val="00C37479"/>
    <w:rsid w:val="00C378FB"/>
    <w:rsid w:val="00C42118"/>
    <w:rsid w:val="00C4244A"/>
    <w:rsid w:val="00C427CF"/>
    <w:rsid w:val="00C45F30"/>
    <w:rsid w:val="00C46667"/>
    <w:rsid w:val="00C47485"/>
    <w:rsid w:val="00C47555"/>
    <w:rsid w:val="00C4786A"/>
    <w:rsid w:val="00C51AD6"/>
    <w:rsid w:val="00C51EAB"/>
    <w:rsid w:val="00C52C00"/>
    <w:rsid w:val="00C53324"/>
    <w:rsid w:val="00C53474"/>
    <w:rsid w:val="00C535C2"/>
    <w:rsid w:val="00C54876"/>
    <w:rsid w:val="00C5544C"/>
    <w:rsid w:val="00C55490"/>
    <w:rsid w:val="00C5626C"/>
    <w:rsid w:val="00C56BD1"/>
    <w:rsid w:val="00C57490"/>
    <w:rsid w:val="00C575D2"/>
    <w:rsid w:val="00C5783E"/>
    <w:rsid w:val="00C57EE8"/>
    <w:rsid w:val="00C602E4"/>
    <w:rsid w:val="00C60E5E"/>
    <w:rsid w:val="00C62814"/>
    <w:rsid w:val="00C628E8"/>
    <w:rsid w:val="00C62968"/>
    <w:rsid w:val="00C6605D"/>
    <w:rsid w:val="00C666BF"/>
    <w:rsid w:val="00C673EA"/>
    <w:rsid w:val="00C701DD"/>
    <w:rsid w:val="00C70BAE"/>
    <w:rsid w:val="00C72A08"/>
    <w:rsid w:val="00C733A0"/>
    <w:rsid w:val="00C754EE"/>
    <w:rsid w:val="00C7655D"/>
    <w:rsid w:val="00C768BE"/>
    <w:rsid w:val="00C76D98"/>
    <w:rsid w:val="00C802A6"/>
    <w:rsid w:val="00C80615"/>
    <w:rsid w:val="00C81B54"/>
    <w:rsid w:val="00C82B7C"/>
    <w:rsid w:val="00C83339"/>
    <w:rsid w:val="00C83F12"/>
    <w:rsid w:val="00C85618"/>
    <w:rsid w:val="00C85EF6"/>
    <w:rsid w:val="00C867AF"/>
    <w:rsid w:val="00C87289"/>
    <w:rsid w:val="00C87345"/>
    <w:rsid w:val="00C914C5"/>
    <w:rsid w:val="00C930C9"/>
    <w:rsid w:val="00C93727"/>
    <w:rsid w:val="00C94060"/>
    <w:rsid w:val="00C941F3"/>
    <w:rsid w:val="00C94D78"/>
    <w:rsid w:val="00C94EE1"/>
    <w:rsid w:val="00C9541B"/>
    <w:rsid w:val="00C955ED"/>
    <w:rsid w:val="00C961C9"/>
    <w:rsid w:val="00C9625B"/>
    <w:rsid w:val="00C966BB"/>
    <w:rsid w:val="00C966F9"/>
    <w:rsid w:val="00C96881"/>
    <w:rsid w:val="00C973B6"/>
    <w:rsid w:val="00C974AD"/>
    <w:rsid w:val="00C9781E"/>
    <w:rsid w:val="00CA1E9B"/>
    <w:rsid w:val="00CA1F09"/>
    <w:rsid w:val="00CA1FB0"/>
    <w:rsid w:val="00CA3D76"/>
    <w:rsid w:val="00CA50FB"/>
    <w:rsid w:val="00CA607B"/>
    <w:rsid w:val="00CA6F9E"/>
    <w:rsid w:val="00CA7D0E"/>
    <w:rsid w:val="00CA7D4B"/>
    <w:rsid w:val="00CB0B4C"/>
    <w:rsid w:val="00CB0C94"/>
    <w:rsid w:val="00CB0DAD"/>
    <w:rsid w:val="00CB1132"/>
    <w:rsid w:val="00CB1A06"/>
    <w:rsid w:val="00CB2836"/>
    <w:rsid w:val="00CB3210"/>
    <w:rsid w:val="00CB340E"/>
    <w:rsid w:val="00CB3576"/>
    <w:rsid w:val="00CB360A"/>
    <w:rsid w:val="00CB3B09"/>
    <w:rsid w:val="00CB4104"/>
    <w:rsid w:val="00CB6367"/>
    <w:rsid w:val="00CB63EF"/>
    <w:rsid w:val="00CB6ED6"/>
    <w:rsid w:val="00CB7BFA"/>
    <w:rsid w:val="00CC1455"/>
    <w:rsid w:val="00CC1495"/>
    <w:rsid w:val="00CC2437"/>
    <w:rsid w:val="00CC3CA6"/>
    <w:rsid w:val="00CC55E2"/>
    <w:rsid w:val="00CC5604"/>
    <w:rsid w:val="00CC6331"/>
    <w:rsid w:val="00CC6FBC"/>
    <w:rsid w:val="00CD0417"/>
    <w:rsid w:val="00CD08C8"/>
    <w:rsid w:val="00CD2283"/>
    <w:rsid w:val="00CD262D"/>
    <w:rsid w:val="00CD2E1C"/>
    <w:rsid w:val="00CD3F32"/>
    <w:rsid w:val="00CD4BAF"/>
    <w:rsid w:val="00CD56DC"/>
    <w:rsid w:val="00CD717A"/>
    <w:rsid w:val="00CD7D51"/>
    <w:rsid w:val="00CE0D78"/>
    <w:rsid w:val="00CE1F05"/>
    <w:rsid w:val="00CE3629"/>
    <w:rsid w:val="00CE4086"/>
    <w:rsid w:val="00CE4E82"/>
    <w:rsid w:val="00CE5D96"/>
    <w:rsid w:val="00CE6904"/>
    <w:rsid w:val="00CE6CDB"/>
    <w:rsid w:val="00CE7D7B"/>
    <w:rsid w:val="00CF0BBA"/>
    <w:rsid w:val="00CF137D"/>
    <w:rsid w:val="00CF1404"/>
    <w:rsid w:val="00CF303D"/>
    <w:rsid w:val="00CF3581"/>
    <w:rsid w:val="00CF3C4C"/>
    <w:rsid w:val="00CF3EDC"/>
    <w:rsid w:val="00CF400F"/>
    <w:rsid w:val="00CF6DD5"/>
    <w:rsid w:val="00CF7670"/>
    <w:rsid w:val="00CF7E44"/>
    <w:rsid w:val="00D0027D"/>
    <w:rsid w:val="00D00782"/>
    <w:rsid w:val="00D010B9"/>
    <w:rsid w:val="00D0110A"/>
    <w:rsid w:val="00D01505"/>
    <w:rsid w:val="00D01DF6"/>
    <w:rsid w:val="00D02825"/>
    <w:rsid w:val="00D046CE"/>
    <w:rsid w:val="00D053D5"/>
    <w:rsid w:val="00D0576D"/>
    <w:rsid w:val="00D05A14"/>
    <w:rsid w:val="00D07B12"/>
    <w:rsid w:val="00D07D61"/>
    <w:rsid w:val="00D115EC"/>
    <w:rsid w:val="00D11A45"/>
    <w:rsid w:val="00D11EE2"/>
    <w:rsid w:val="00D1218C"/>
    <w:rsid w:val="00D12309"/>
    <w:rsid w:val="00D12718"/>
    <w:rsid w:val="00D13129"/>
    <w:rsid w:val="00D14639"/>
    <w:rsid w:val="00D15446"/>
    <w:rsid w:val="00D17702"/>
    <w:rsid w:val="00D208FF"/>
    <w:rsid w:val="00D20E19"/>
    <w:rsid w:val="00D20FDB"/>
    <w:rsid w:val="00D218A2"/>
    <w:rsid w:val="00D21D6E"/>
    <w:rsid w:val="00D22178"/>
    <w:rsid w:val="00D23588"/>
    <w:rsid w:val="00D24C39"/>
    <w:rsid w:val="00D258B3"/>
    <w:rsid w:val="00D25B52"/>
    <w:rsid w:val="00D25E40"/>
    <w:rsid w:val="00D2636A"/>
    <w:rsid w:val="00D263DF"/>
    <w:rsid w:val="00D26D05"/>
    <w:rsid w:val="00D27A26"/>
    <w:rsid w:val="00D27E11"/>
    <w:rsid w:val="00D27E69"/>
    <w:rsid w:val="00D30DA6"/>
    <w:rsid w:val="00D3106C"/>
    <w:rsid w:val="00D323DB"/>
    <w:rsid w:val="00D34BE1"/>
    <w:rsid w:val="00D3663A"/>
    <w:rsid w:val="00D374EF"/>
    <w:rsid w:val="00D37BA3"/>
    <w:rsid w:val="00D37DDE"/>
    <w:rsid w:val="00D412F3"/>
    <w:rsid w:val="00D41B3E"/>
    <w:rsid w:val="00D41BF4"/>
    <w:rsid w:val="00D427F3"/>
    <w:rsid w:val="00D43FD0"/>
    <w:rsid w:val="00D43FDF"/>
    <w:rsid w:val="00D441DF"/>
    <w:rsid w:val="00D44924"/>
    <w:rsid w:val="00D50B84"/>
    <w:rsid w:val="00D50D35"/>
    <w:rsid w:val="00D511CE"/>
    <w:rsid w:val="00D52414"/>
    <w:rsid w:val="00D53BB2"/>
    <w:rsid w:val="00D55F35"/>
    <w:rsid w:val="00D55F4F"/>
    <w:rsid w:val="00D56DA2"/>
    <w:rsid w:val="00D56F33"/>
    <w:rsid w:val="00D5762C"/>
    <w:rsid w:val="00D57DCE"/>
    <w:rsid w:val="00D6021F"/>
    <w:rsid w:val="00D607C8"/>
    <w:rsid w:val="00D607EF"/>
    <w:rsid w:val="00D60E81"/>
    <w:rsid w:val="00D62DEA"/>
    <w:rsid w:val="00D63906"/>
    <w:rsid w:val="00D63FC2"/>
    <w:rsid w:val="00D6401D"/>
    <w:rsid w:val="00D64355"/>
    <w:rsid w:val="00D64ABD"/>
    <w:rsid w:val="00D67121"/>
    <w:rsid w:val="00D679CC"/>
    <w:rsid w:val="00D67EDA"/>
    <w:rsid w:val="00D70157"/>
    <w:rsid w:val="00D70895"/>
    <w:rsid w:val="00D70ECE"/>
    <w:rsid w:val="00D712B0"/>
    <w:rsid w:val="00D7138D"/>
    <w:rsid w:val="00D71ED2"/>
    <w:rsid w:val="00D73A14"/>
    <w:rsid w:val="00D75A69"/>
    <w:rsid w:val="00D76253"/>
    <w:rsid w:val="00D7637A"/>
    <w:rsid w:val="00D770A1"/>
    <w:rsid w:val="00D80E08"/>
    <w:rsid w:val="00D81261"/>
    <w:rsid w:val="00D81376"/>
    <w:rsid w:val="00D82A2F"/>
    <w:rsid w:val="00D82F5F"/>
    <w:rsid w:val="00D86397"/>
    <w:rsid w:val="00D8639E"/>
    <w:rsid w:val="00D9027C"/>
    <w:rsid w:val="00D90908"/>
    <w:rsid w:val="00D90D43"/>
    <w:rsid w:val="00D927E5"/>
    <w:rsid w:val="00D92DB8"/>
    <w:rsid w:val="00D9357B"/>
    <w:rsid w:val="00D96AF0"/>
    <w:rsid w:val="00D96C51"/>
    <w:rsid w:val="00D96D37"/>
    <w:rsid w:val="00D9793C"/>
    <w:rsid w:val="00DA050A"/>
    <w:rsid w:val="00DA1E09"/>
    <w:rsid w:val="00DA3546"/>
    <w:rsid w:val="00DA39BB"/>
    <w:rsid w:val="00DA4411"/>
    <w:rsid w:val="00DA6961"/>
    <w:rsid w:val="00DA738C"/>
    <w:rsid w:val="00DB17D0"/>
    <w:rsid w:val="00DB2F7F"/>
    <w:rsid w:val="00DB33F3"/>
    <w:rsid w:val="00DB548D"/>
    <w:rsid w:val="00DB7195"/>
    <w:rsid w:val="00DB7C63"/>
    <w:rsid w:val="00DC00B9"/>
    <w:rsid w:val="00DC10E0"/>
    <w:rsid w:val="00DC2F0D"/>
    <w:rsid w:val="00DC5212"/>
    <w:rsid w:val="00DC62C2"/>
    <w:rsid w:val="00DC72C7"/>
    <w:rsid w:val="00DD0CAC"/>
    <w:rsid w:val="00DD0E17"/>
    <w:rsid w:val="00DD23B7"/>
    <w:rsid w:val="00DD4C59"/>
    <w:rsid w:val="00DD5CF1"/>
    <w:rsid w:val="00DD7BDC"/>
    <w:rsid w:val="00DE0637"/>
    <w:rsid w:val="00DE09A7"/>
    <w:rsid w:val="00DE1159"/>
    <w:rsid w:val="00DE1B6C"/>
    <w:rsid w:val="00DE1BC4"/>
    <w:rsid w:val="00DE3C79"/>
    <w:rsid w:val="00DE4473"/>
    <w:rsid w:val="00DE4642"/>
    <w:rsid w:val="00DE475C"/>
    <w:rsid w:val="00DE5A6C"/>
    <w:rsid w:val="00DE5D30"/>
    <w:rsid w:val="00DE6523"/>
    <w:rsid w:val="00DE7747"/>
    <w:rsid w:val="00DE7872"/>
    <w:rsid w:val="00DF0913"/>
    <w:rsid w:val="00DF373C"/>
    <w:rsid w:val="00DF3B79"/>
    <w:rsid w:val="00DF4071"/>
    <w:rsid w:val="00DF48A5"/>
    <w:rsid w:val="00DF4B81"/>
    <w:rsid w:val="00DF5CF5"/>
    <w:rsid w:val="00DF69DF"/>
    <w:rsid w:val="00E011D0"/>
    <w:rsid w:val="00E0120D"/>
    <w:rsid w:val="00E01796"/>
    <w:rsid w:val="00E0199A"/>
    <w:rsid w:val="00E02791"/>
    <w:rsid w:val="00E04F58"/>
    <w:rsid w:val="00E0558F"/>
    <w:rsid w:val="00E06FFE"/>
    <w:rsid w:val="00E07A86"/>
    <w:rsid w:val="00E10392"/>
    <w:rsid w:val="00E11208"/>
    <w:rsid w:val="00E11739"/>
    <w:rsid w:val="00E13095"/>
    <w:rsid w:val="00E13C2C"/>
    <w:rsid w:val="00E1408F"/>
    <w:rsid w:val="00E14961"/>
    <w:rsid w:val="00E14BB6"/>
    <w:rsid w:val="00E14C0F"/>
    <w:rsid w:val="00E17928"/>
    <w:rsid w:val="00E201E3"/>
    <w:rsid w:val="00E21C73"/>
    <w:rsid w:val="00E2268A"/>
    <w:rsid w:val="00E22B40"/>
    <w:rsid w:val="00E23007"/>
    <w:rsid w:val="00E2314B"/>
    <w:rsid w:val="00E2338A"/>
    <w:rsid w:val="00E23655"/>
    <w:rsid w:val="00E23704"/>
    <w:rsid w:val="00E23889"/>
    <w:rsid w:val="00E2391C"/>
    <w:rsid w:val="00E23A4A"/>
    <w:rsid w:val="00E24708"/>
    <w:rsid w:val="00E24F0B"/>
    <w:rsid w:val="00E2506C"/>
    <w:rsid w:val="00E257E2"/>
    <w:rsid w:val="00E25FD3"/>
    <w:rsid w:val="00E27244"/>
    <w:rsid w:val="00E27BB5"/>
    <w:rsid w:val="00E30C32"/>
    <w:rsid w:val="00E30E39"/>
    <w:rsid w:val="00E31561"/>
    <w:rsid w:val="00E318CB"/>
    <w:rsid w:val="00E32B10"/>
    <w:rsid w:val="00E32B9D"/>
    <w:rsid w:val="00E335C8"/>
    <w:rsid w:val="00E34121"/>
    <w:rsid w:val="00E351E3"/>
    <w:rsid w:val="00E358F3"/>
    <w:rsid w:val="00E35A45"/>
    <w:rsid w:val="00E372DE"/>
    <w:rsid w:val="00E4045E"/>
    <w:rsid w:val="00E4061A"/>
    <w:rsid w:val="00E40F69"/>
    <w:rsid w:val="00E415FE"/>
    <w:rsid w:val="00E429BB"/>
    <w:rsid w:val="00E42A5A"/>
    <w:rsid w:val="00E43114"/>
    <w:rsid w:val="00E4504E"/>
    <w:rsid w:val="00E45C91"/>
    <w:rsid w:val="00E47556"/>
    <w:rsid w:val="00E476C2"/>
    <w:rsid w:val="00E52611"/>
    <w:rsid w:val="00E53646"/>
    <w:rsid w:val="00E543DC"/>
    <w:rsid w:val="00E5453F"/>
    <w:rsid w:val="00E5469C"/>
    <w:rsid w:val="00E56671"/>
    <w:rsid w:val="00E56EAE"/>
    <w:rsid w:val="00E57903"/>
    <w:rsid w:val="00E57C84"/>
    <w:rsid w:val="00E6188E"/>
    <w:rsid w:val="00E61DF1"/>
    <w:rsid w:val="00E61E63"/>
    <w:rsid w:val="00E625FD"/>
    <w:rsid w:val="00E6276B"/>
    <w:rsid w:val="00E633F9"/>
    <w:rsid w:val="00E65331"/>
    <w:rsid w:val="00E65A69"/>
    <w:rsid w:val="00E65C64"/>
    <w:rsid w:val="00E665AE"/>
    <w:rsid w:val="00E66854"/>
    <w:rsid w:val="00E67560"/>
    <w:rsid w:val="00E7047E"/>
    <w:rsid w:val="00E70E54"/>
    <w:rsid w:val="00E70FBA"/>
    <w:rsid w:val="00E711E9"/>
    <w:rsid w:val="00E720EB"/>
    <w:rsid w:val="00E724D1"/>
    <w:rsid w:val="00E727A0"/>
    <w:rsid w:val="00E72967"/>
    <w:rsid w:val="00E72DF6"/>
    <w:rsid w:val="00E72EFE"/>
    <w:rsid w:val="00E73D6F"/>
    <w:rsid w:val="00E744DC"/>
    <w:rsid w:val="00E7492D"/>
    <w:rsid w:val="00E749C2"/>
    <w:rsid w:val="00E75767"/>
    <w:rsid w:val="00E76CEC"/>
    <w:rsid w:val="00E76D6A"/>
    <w:rsid w:val="00E80588"/>
    <w:rsid w:val="00E80C37"/>
    <w:rsid w:val="00E80D01"/>
    <w:rsid w:val="00E80DE3"/>
    <w:rsid w:val="00E8153D"/>
    <w:rsid w:val="00E81689"/>
    <w:rsid w:val="00E8261A"/>
    <w:rsid w:val="00E82E81"/>
    <w:rsid w:val="00E8315C"/>
    <w:rsid w:val="00E838EA"/>
    <w:rsid w:val="00E83E44"/>
    <w:rsid w:val="00E83F73"/>
    <w:rsid w:val="00E841CE"/>
    <w:rsid w:val="00E84D93"/>
    <w:rsid w:val="00E86652"/>
    <w:rsid w:val="00E90564"/>
    <w:rsid w:val="00E91120"/>
    <w:rsid w:val="00E91421"/>
    <w:rsid w:val="00E91D57"/>
    <w:rsid w:val="00E91EAB"/>
    <w:rsid w:val="00E92373"/>
    <w:rsid w:val="00E923A9"/>
    <w:rsid w:val="00E92D7D"/>
    <w:rsid w:val="00E94353"/>
    <w:rsid w:val="00E95CDC"/>
    <w:rsid w:val="00E962A0"/>
    <w:rsid w:val="00E963D5"/>
    <w:rsid w:val="00EA12A1"/>
    <w:rsid w:val="00EA1749"/>
    <w:rsid w:val="00EA20FD"/>
    <w:rsid w:val="00EA3629"/>
    <w:rsid w:val="00EA39A8"/>
    <w:rsid w:val="00EA48FC"/>
    <w:rsid w:val="00EA4EFB"/>
    <w:rsid w:val="00EA66BF"/>
    <w:rsid w:val="00EA6781"/>
    <w:rsid w:val="00EA71D0"/>
    <w:rsid w:val="00EA7AAB"/>
    <w:rsid w:val="00EB0A4C"/>
    <w:rsid w:val="00EB183E"/>
    <w:rsid w:val="00EB1BE6"/>
    <w:rsid w:val="00EB279C"/>
    <w:rsid w:val="00EB2BF2"/>
    <w:rsid w:val="00EB332C"/>
    <w:rsid w:val="00EB3B3D"/>
    <w:rsid w:val="00EB4A28"/>
    <w:rsid w:val="00EB56F2"/>
    <w:rsid w:val="00EB59DA"/>
    <w:rsid w:val="00EB5E29"/>
    <w:rsid w:val="00EB761E"/>
    <w:rsid w:val="00EB7D4D"/>
    <w:rsid w:val="00EC07AE"/>
    <w:rsid w:val="00EC1158"/>
    <w:rsid w:val="00EC1A95"/>
    <w:rsid w:val="00EC1AFB"/>
    <w:rsid w:val="00EC1D41"/>
    <w:rsid w:val="00EC2919"/>
    <w:rsid w:val="00EC2D19"/>
    <w:rsid w:val="00EC2D8B"/>
    <w:rsid w:val="00EC4BDD"/>
    <w:rsid w:val="00EC5D2F"/>
    <w:rsid w:val="00EC665E"/>
    <w:rsid w:val="00EC6A8D"/>
    <w:rsid w:val="00EC71E3"/>
    <w:rsid w:val="00EC74BA"/>
    <w:rsid w:val="00ED01BD"/>
    <w:rsid w:val="00ED050C"/>
    <w:rsid w:val="00ED0C96"/>
    <w:rsid w:val="00ED14B4"/>
    <w:rsid w:val="00ED47DD"/>
    <w:rsid w:val="00ED578F"/>
    <w:rsid w:val="00EE0144"/>
    <w:rsid w:val="00EE03D1"/>
    <w:rsid w:val="00EE0611"/>
    <w:rsid w:val="00EE074F"/>
    <w:rsid w:val="00EE0DD8"/>
    <w:rsid w:val="00EE105F"/>
    <w:rsid w:val="00EE39A9"/>
    <w:rsid w:val="00EE4CFB"/>
    <w:rsid w:val="00EE4F4B"/>
    <w:rsid w:val="00EE7C1F"/>
    <w:rsid w:val="00EF0666"/>
    <w:rsid w:val="00EF06F0"/>
    <w:rsid w:val="00EF0752"/>
    <w:rsid w:val="00EF189B"/>
    <w:rsid w:val="00EF3F7A"/>
    <w:rsid w:val="00EF57A5"/>
    <w:rsid w:val="00EF5A7C"/>
    <w:rsid w:val="00EF620B"/>
    <w:rsid w:val="00EF6A57"/>
    <w:rsid w:val="00EF6AD8"/>
    <w:rsid w:val="00F00BF1"/>
    <w:rsid w:val="00F021B8"/>
    <w:rsid w:val="00F023A9"/>
    <w:rsid w:val="00F02490"/>
    <w:rsid w:val="00F0281B"/>
    <w:rsid w:val="00F03B76"/>
    <w:rsid w:val="00F0409D"/>
    <w:rsid w:val="00F04790"/>
    <w:rsid w:val="00F0485F"/>
    <w:rsid w:val="00F06D63"/>
    <w:rsid w:val="00F06DFC"/>
    <w:rsid w:val="00F077A1"/>
    <w:rsid w:val="00F079D7"/>
    <w:rsid w:val="00F07C0E"/>
    <w:rsid w:val="00F109C7"/>
    <w:rsid w:val="00F11431"/>
    <w:rsid w:val="00F11560"/>
    <w:rsid w:val="00F12B5C"/>
    <w:rsid w:val="00F13244"/>
    <w:rsid w:val="00F13C11"/>
    <w:rsid w:val="00F13FC0"/>
    <w:rsid w:val="00F14C5D"/>
    <w:rsid w:val="00F15668"/>
    <w:rsid w:val="00F15C97"/>
    <w:rsid w:val="00F15D83"/>
    <w:rsid w:val="00F16528"/>
    <w:rsid w:val="00F1700D"/>
    <w:rsid w:val="00F2173C"/>
    <w:rsid w:val="00F218AB"/>
    <w:rsid w:val="00F2356D"/>
    <w:rsid w:val="00F247EC"/>
    <w:rsid w:val="00F24B6E"/>
    <w:rsid w:val="00F24F78"/>
    <w:rsid w:val="00F253CB"/>
    <w:rsid w:val="00F25DDA"/>
    <w:rsid w:val="00F27839"/>
    <w:rsid w:val="00F27DE8"/>
    <w:rsid w:val="00F300FB"/>
    <w:rsid w:val="00F3018C"/>
    <w:rsid w:val="00F301CF"/>
    <w:rsid w:val="00F30BE5"/>
    <w:rsid w:val="00F33CEB"/>
    <w:rsid w:val="00F34114"/>
    <w:rsid w:val="00F34606"/>
    <w:rsid w:val="00F35750"/>
    <w:rsid w:val="00F35F78"/>
    <w:rsid w:val="00F36012"/>
    <w:rsid w:val="00F36952"/>
    <w:rsid w:val="00F3784D"/>
    <w:rsid w:val="00F409CC"/>
    <w:rsid w:val="00F42428"/>
    <w:rsid w:val="00F44621"/>
    <w:rsid w:val="00F44F3D"/>
    <w:rsid w:val="00F46B89"/>
    <w:rsid w:val="00F47874"/>
    <w:rsid w:val="00F47920"/>
    <w:rsid w:val="00F53613"/>
    <w:rsid w:val="00F54485"/>
    <w:rsid w:val="00F545EB"/>
    <w:rsid w:val="00F54A1C"/>
    <w:rsid w:val="00F54C61"/>
    <w:rsid w:val="00F57082"/>
    <w:rsid w:val="00F6023B"/>
    <w:rsid w:val="00F61713"/>
    <w:rsid w:val="00F6495B"/>
    <w:rsid w:val="00F64A5D"/>
    <w:rsid w:val="00F6555A"/>
    <w:rsid w:val="00F65913"/>
    <w:rsid w:val="00F660F7"/>
    <w:rsid w:val="00F6643B"/>
    <w:rsid w:val="00F70790"/>
    <w:rsid w:val="00F71161"/>
    <w:rsid w:val="00F716DE"/>
    <w:rsid w:val="00F71D08"/>
    <w:rsid w:val="00F73119"/>
    <w:rsid w:val="00F739EC"/>
    <w:rsid w:val="00F74B2D"/>
    <w:rsid w:val="00F750D2"/>
    <w:rsid w:val="00F751F9"/>
    <w:rsid w:val="00F758D2"/>
    <w:rsid w:val="00F765CF"/>
    <w:rsid w:val="00F8022E"/>
    <w:rsid w:val="00F81E72"/>
    <w:rsid w:val="00F8280C"/>
    <w:rsid w:val="00F829DE"/>
    <w:rsid w:val="00F8320B"/>
    <w:rsid w:val="00F8330B"/>
    <w:rsid w:val="00F87659"/>
    <w:rsid w:val="00F87CDF"/>
    <w:rsid w:val="00F90029"/>
    <w:rsid w:val="00F9013F"/>
    <w:rsid w:val="00F909E3"/>
    <w:rsid w:val="00F90B72"/>
    <w:rsid w:val="00F90F66"/>
    <w:rsid w:val="00F91919"/>
    <w:rsid w:val="00F91F76"/>
    <w:rsid w:val="00F9283F"/>
    <w:rsid w:val="00F932A9"/>
    <w:rsid w:val="00FA02A0"/>
    <w:rsid w:val="00FA078E"/>
    <w:rsid w:val="00FA0F58"/>
    <w:rsid w:val="00FA18CA"/>
    <w:rsid w:val="00FA1C5A"/>
    <w:rsid w:val="00FA3427"/>
    <w:rsid w:val="00FA343C"/>
    <w:rsid w:val="00FA5181"/>
    <w:rsid w:val="00FA62A3"/>
    <w:rsid w:val="00FA6C0B"/>
    <w:rsid w:val="00FA7F53"/>
    <w:rsid w:val="00FB00A3"/>
    <w:rsid w:val="00FB0B28"/>
    <w:rsid w:val="00FB0E19"/>
    <w:rsid w:val="00FB0F46"/>
    <w:rsid w:val="00FB1DCF"/>
    <w:rsid w:val="00FB1DF7"/>
    <w:rsid w:val="00FB3ACC"/>
    <w:rsid w:val="00FB3F4C"/>
    <w:rsid w:val="00FB45DC"/>
    <w:rsid w:val="00FB46D6"/>
    <w:rsid w:val="00FB5409"/>
    <w:rsid w:val="00FB5C5F"/>
    <w:rsid w:val="00FB5D1A"/>
    <w:rsid w:val="00FB6F0F"/>
    <w:rsid w:val="00FC039A"/>
    <w:rsid w:val="00FC08EF"/>
    <w:rsid w:val="00FC0E10"/>
    <w:rsid w:val="00FC18AA"/>
    <w:rsid w:val="00FC216F"/>
    <w:rsid w:val="00FC5071"/>
    <w:rsid w:val="00FC6767"/>
    <w:rsid w:val="00FC6AEF"/>
    <w:rsid w:val="00FC6FD3"/>
    <w:rsid w:val="00FD0C6C"/>
    <w:rsid w:val="00FD119B"/>
    <w:rsid w:val="00FD1D73"/>
    <w:rsid w:val="00FD2C05"/>
    <w:rsid w:val="00FD3301"/>
    <w:rsid w:val="00FD3349"/>
    <w:rsid w:val="00FD3848"/>
    <w:rsid w:val="00FD3D3A"/>
    <w:rsid w:val="00FD42DC"/>
    <w:rsid w:val="00FD47CE"/>
    <w:rsid w:val="00FD5638"/>
    <w:rsid w:val="00FD6106"/>
    <w:rsid w:val="00FD65F4"/>
    <w:rsid w:val="00FD70BC"/>
    <w:rsid w:val="00FD7622"/>
    <w:rsid w:val="00FD7833"/>
    <w:rsid w:val="00FE0785"/>
    <w:rsid w:val="00FE0885"/>
    <w:rsid w:val="00FE1530"/>
    <w:rsid w:val="00FE1FB8"/>
    <w:rsid w:val="00FE341B"/>
    <w:rsid w:val="00FE396A"/>
    <w:rsid w:val="00FE40C9"/>
    <w:rsid w:val="00FE45D1"/>
    <w:rsid w:val="00FE4BF7"/>
    <w:rsid w:val="00FE5B0A"/>
    <w:rsid w:val="00FE5F6D"/>
    <w:rsid w:val="00FE7080"/>
    <w:rsid w:val="00FE7800"/>
    <w:rsid w:val="00FE7CBE"/>
    <w:rsid w:val="00FE7F95"/>
    <w:rsid w:val="00FF030A"/>
    <w:rsid w:val="00FF2DF5"/>
    <w:rsid w:val="00FF3244"/>
    <w:rsid w:val="00FF3F90"/>
    <w:rsid w:val="00FF5511"/>
    <w:rsid w:val="00FF5EE1"/>
    <w:rsid w:val="00FF630B"/>
    <w:rsid w:val="00FF7345"/>
    <w:rsid w:val="00FF7EA1"/>
    <w:rsid w:val="2BEE255F"/>
    <w:rsid w:val="30258E54"/>
    <w:rsid w:val="34155550"/>
    <w:rsid w:val="511103C5"/>
    <w:rsid w:val="75BD668A"/>
    <w:rsid w:val="7CAE392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CAB9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A1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E91EA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SDA Numbered heading 1"/>
    <w:basedOn w:val="Normal"/>
    <w:next w:val="Normal"/>
    <w:link w:val="Heading2Char"/>
    <w:uiPriority w:val="9"/>
    <w:unhideWhenUsed/>
    <w:qFormat/>
    <w:rsid w:val="001007C1"/>
    <w:pPr>
      <w:pBdr>
        <w:bottom w:val="single" w:sz="4" w:space="10" w:color="CF5D27"/>
      </w:pBdr>
      <w:spacing w:before="800" w:after="280"/>
      <w:outlineLvl w:val="1"/>
    </w:pPr>
    <w:rPr>
      <w:rFonts w:ascii="Calibri" w:eastAsiaTheme="majorEastAsia" w:hAnsi="Calibri" w:cstheme="majorBidi"/>
      <w:b/>
      <w:bCs/>
      <w:color w:val="757575"/>
      <w:sz w:val="50"/>
      <w:szCs w:val="26"/>
    </w:rPr>
  </w:style>
  <w:style w:type="paragraph" w:styleId="Heading3">
    <w:name w:val="heading 3"/>
    <w:basedOn w:val="Normal"/>
    <w:next w:val="Normal"/>
    <w:link w:val="Heading3Char"/>
    <w:uiPriority w:val="9"/>
    <w:unhideWhenUsed/>
    <w:qFormat/>
    <w:rsid w:val="00914B6A"/>
    <w:pPr>
      <w:keepNext/>
      <w:keepLines/>
      <w:spacing w:before="200"/>
      <w:ind w:left="720" w:hanging="720"/>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unhideWhenUsed/>
    <w:qFormat/>
    <w:rsid w:val="00914B6A"/>
    <w:pPr>
      <w:keepNext/>
      <w:keepLines/>
      <w:spacing w:before="200"/>
      <w:outlineLvl w:val="3"/>
    </w:pPr>
    <w:rPr>
      <w:rFonts w:asciiTheme="majorHAnsi" w:eastAsiaTheme="majorEastAsia" w:hAnsiTheme="majorHAnsi" w:cstheme="majorBidi"/>
      <w:b/>
      <w:bCs/>
      <w:i/>
      <w:iCs/>
      <w:color w:val="4F81BD" w:themeColor="accent1"/>
      <w:szCs w:val="22"/>
    </w:rPr>
  </w:style>
  <w:style w:type="paragraph" w:styleId="Heading5">
    <w:name w:val="heading 5"/>
    <w:basedOn w:val="Normal"/>
    <w:next w:val="Normal"/>
    <w:link w:val="Heading5Char"/>
    <w:uiPriority w:val="9"/>
    <w:unhideWhenUsed/>
    <w:qFormat/>
    <w:rsid w:val="00914B6A"/>
    <w:pPr>
      <w:keepNext/>
      <w:keepLines/>
      <w:spacing w:before="200"/>
      <w:outlineLvl w:val="4"/>
    </w:pPr>
    <w:rPr>
      <w:rFonts w:asciiTheme="majorHAnsi" w:eastAsiaTheme="majorEastAsia" w:hAnsiTheme="majorHAnsi" w:cstheme="majorBidi"/>
      <w:color w:val="243F60" w:themeColor="accent1" w:themeShade="7F"/>
      <w:szCs w:val="22"/>
    </w:rPr>
  </w:style>
  <w:style w:type="paragraph" w:styleId="Heading6">
    <w:name w:val="heading 6"/>
    <w:basedOn w:val="Normal"/>
    <w:next w:val="Normal"/>
    <w:link w:val="Heading6Char"/>
    <w:unhideWhenUsed/>
    <w:qFormat/>
    <w:rsid w:val="00914B6A"/>
    <w:pPr>
      <w:keepNext/>
      <w:keepLines/>
      <w:spacing w:before="200"/>
      <w:outlineLvl w:val="5"/>
    </w:pPr>
    <w:rPr>
      <w:rFonts w:asciiTheme="majorHAnsi" w:eastAsiaTheme="majorEastAsia" w:hAnsiTheme="majorHAnsi" w:cstheme="majorBidi"/>
      <w:i/>
      <w:iCs/>
      <w:color w:val="243F60" w:themeColor="accent1" w:themeShade="7F"/>
      <w:szCs w:val="22"/>
    </w:rPr>
  </w:style>
  <w:style w:type="paragraph" w:styleId="Heading7">
    <w:name w:val="heading 7"/>
    <w:basedOn w:val="Normal"/>
    <w:next w:val="Normal"/>
    <w:link w:val="Heading7Char"/>
    <w:semiHidden/>
    <w:unhideWhenUsed/>
    <w:qFormat/>
    <w:rsid w:val="00914B6A"/>
    <w:pPr>
      <w:keepNext/>
      <w:keepLines/>
      <w:spacing w:before="200"/>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unhideWhenUsed/>
    <w:qFormat/>
    <w:rsid w:val="00914B6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14B6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FSbodytext">
    <w:name w:val="PIFS body text"/>
    <w:basedOn w:val="Normal"/>
    <w:link w:val="PIFSbodytextChar"/>
    <w:rsid w:val="00E91EAB"/>
    <w:pPr>
      <w:spacing w:before="160" w:after="160"/>
      <w:jc w:val="both"/>
    </w:pPr>
    <w:rPr>
      <w:rFonts w:ascii="Arial" w:eastAsia="Arial" w:hAnsi="Arial" w:cs="Arial"/>
      <w:color w:val="000000"/>
      <w:sz w:val="22"/>
      <w:szCs w:val="22"/>
      <w:lang w:val="en-US"/>
    </w:rPr>
  </w:style>
  <w:style w:type="character" w:customStyle="1" w:styleId="PIFSbodytextChar">
    <w:name w:val="PIFS body text Char"/>
    <w:basedOn w:val="DefaultParagraphFont"/>
    <w:link w:val="PIFSbodytext"/>
    <w:rsid w:val="00E91EAB"/>
    <w:rPr>
      <w:rFonts w:ascii="Arial" w:eastAsia="Arial" w:hAnsi="Arial" w:cs="Arial"/>
      <w:color w:val="000000"/>
      <w:lang w:val="en-US"/>
    </w:rPr>
  </w:style>
  <w:style w:type="paragraph" w:customStyle="1" w:styleId="PIFSbulletlist">
    <w:name w:val="PIFS bullet list"/>
    <w:basedOn w:val="ListParagraph"/>
    <w:link w:val="PIFSbulletlistChar"/>
    <w:rsid w:val="00E91EAB"/>
    <w:pPr>
      <w:numPr>
        <w:numId w:val="2"/>
      </w:numPr>
      <w:spacing w:after="0" w:line="240" w:lineRule="auto"/>
    </w:pPr>
    <w:rPr>
      <w:rFonts w:ascii="Arial" w:eastAsia="Arial" w:hAnsi="Arial" w:cs="Arial"/>
      <w:color w:val="000000"/>
      <w:lang w:val="en-US"/>
    </w:rPr>
  </w:style>
  <w:style w:type="character" w:customStyle="1" w:styleId="PIFSbulletlistChar">
    <w:name w:val="PIFS bullet list Char"/>
    <w:basedOn w:val="DefaultParagraphFont"/>
    <w:link w:val="PIFSbulletlist"/>
    <w:rsid w:val="00E91EAB"/>
    <w:rPr>
      <w:rFonts w:ascii="Arial" w:eastAsia="Arial" w:hAnsi="Arial" w:cs="Arial"/>
      <w:color w:val="000000"/>
      <w:lang w:val="en-US"/>
    </w:rPr>
  </w:style>
  <w:style w:type="paragraph" w:styleId="ListParagraph">
    <w:name w:val="List Paragraph"/>
    <w:aliases w:val="List Paragraph1,Recommendation,List Paragraph11,List Paragraph2,Bulit List -  Paragraph,AusAID List Paragraph,Bullets level 1,Bullets,List Paragraph - Dani,List Paragraph 1 - Dani"/>
    <w:basedOn w:val="Normal"/>
    <w:link w:val="ListParagraphChar"/>
    <w:uiPriority w:val="1"/>
    <w:qFormat/>
    <w:rsid w:val="00E91EAB"/>
    <w:pPr>
      <w:spacing w:after="200" w:line="276" w:lineRule="auto"/>
      <w:ind w:left="720"/>
      <w:contextualSpacing/>
    </w:pPr>
    <w:rPr>
      <w:rFonts w:asciiTheme="minorHAnsi" w:eastAsiaTheme="minorHAnsi" w:hAnsiTheme="minorHAnsi" w:cstheme="minorBidi"/>
      <w:sz w:val="22"/>
      <w:szCs w:val="22"/>
    </w:rPr>
  </w:style>
  <w:style w:type="paragraph" w:customStyle="1" w:styleId="PIFSheading1">
    <w:name w:val="PIFS heading 1"/>
    <w:basedOn w:val="Heading1"/>
    <w:link w:val="PIFSheading1Char"/>
    <w:rsid w:val="00E91EAB"/>
    <w:pPr>
      <w:keepLines w:val="0"/>
      <w:numPr>
        <w:numId w:val="1"/>
      </w:numPr>
      <w:spacing w:before="400" w:after="200" w:line="240" w:lineRule="auto"/>
      <w:jc w:val="both"/>
    </w:pPr>
    <w:rPr>
      <w:rFonts w:ascii="Arial" w:eastAsia="Arial Black" w:hAnsi="Arial" w:cs="Arial Black"/>
      <w:bCs w:val="0"/>
      <w:color w:val="000000"/>
      <w:lang w:val="en-US"/>
    </w:rPr>
  </w:style>
  <w:style w:type="character" w:customStyle="1" w:styleId="PIFSheading1Char">
    <w:name w:val="PIFS heading 1 Char"/>
    <w:basedOn w:val="Heading1Char"/>
    <w:link w:val="PIFSheading1"/>
    <w:rsid w:val="00E91EAB"/>
    <w:rPr>
      <w:rFonts w:ascii="Arial" w:eastAsia="Arial Black" w:hAnsi="Arial" w:cs="Arial Black"/>
      <w:b/>
      <w:bCs w:val="0"/>
      <w:color w:val="000000"/>
      <w:sz w:val="28"/>
      <w:szCs w:val="28"/>
      <w:lang w:val="en-US"/>
    </w:rPr>
  </w:style>
  <w:style w:type="character" w:customStyle="1" w:styleId="Heading1Char">
    <w:name w:val="Heading 1 Char"/>
    <w:basedOn w:val="DefaultParagraphFont"/>
    <w:link w:val="Heading1"/>
    <w:rsid w:val="00E91EAB"/>
    <w:rPr>
      <w:rFonts w:asciiTheme="majorHAnsi" w:eastAsiaTheme="majorEastAsia" w:hAnsiTheme="majorHAnsi" w:cstheme="majorBidi"/>
      <w:b/>
      <w:bCs/>
      <w:color w:val="365F91" w:themeColor="accent1" w:themeShade="BF"/>
      <w:sz w:val="28"/>
      <w:szCs w:val="28"/>
    </w:rPr>
  </w:style>
  <w:style w:type="paragraph" w:customStyle="1" w:styleId="PIFSheading2">
    <w:name w:val="PIFS heading 2"/>
    <w:basedOn w:val="Normal"/>
    <w:link w:val="PIFSheading2Char"/>
    <w:rsid w:val="00E91EAB"/>
    <w:pPr>
      <w:spacing w:before="300" w:after="120"/>
      <w:ind w:left="1843" w:hanging="1843"/>
      <w:jc w:val="both"/>
    </w:pPr>
    <w:rPr>
      <w:rFonts w:ascii="Arial" w:eastAsia="Arial" w:hAnsi="Arial" w:cs="Arial"/>
      <w:b/>
      <w:color w:val="000000"/>
      <w:sz w:val="22"/>
      <w:szCs w:val="22"/>
      <w:lang w:val="en-US"/>
    </w:rPr>
  </w:style>
  <w:style w:type="character" w:customStyle="1" w:styleId="PIFSheading2Char">
    <w:name w:val="PIFS heading 2 Char"/>
    <w:basedOn w:val="DefaultParagraphFont"/>
    <w:link w:val="PIFSheading2"/>
    <w:rsid w:val="00E91EAB"/>
    <w:rPr>
      <w:rFonts w:ascii="Arial" w:eastAsia="Arial" w:hAnsi="Arial" w:cs="Arial"/>
      <w:b/>
      <w:color w:val="000000"/>
      <w:lang w:val="en-US"/>
    </w:rPr>
  </w:style>
  <w:style w:type="paragraph" w:customStyle="1" w:styleId="PIFSheading3">
    <w:name w:val="PIFS heading 3"/>
    <w:basedOn w:val="Normal"/>
    <w:link w:val="PIFSheading3Char"/>
    <w:rsid w:val="00E91EAB"/>
    <w:pPr>
      <w:spacing w:before="300" w:after="200"/>
      <w:ind w:left="1843" w:hanging="1843"/>
      <w:jc w:val="both"/>
    </w:pPr>
    <w:rPr>
      <w:rFonts w:ascii="Arial" w:eastAsia="Arial" w:hAnsi="Arial" w:cs="Arial"/>
      <w:b/>
      <w:color w:val="000000"/>
      <w:sz w:val="22"/>
      <w:szCs w:val="22"/>
      <w:lang w:val="en-US"/>
    </w:rPr>
  </w:style>
  <w:style w:type="character" w:customStyle="1" w:styleId="PIFSheading3Char">
    <w:name w:val="PIFS heading 3 Char"/>
    <w:basedOn w:val="DefaultParagraphFont"/>
    <w:link w:val="PIFSheading3"/>
    <w:rsid w:val="00E91EAB"/>
    <w:rPr>
      <w:rFonts w:ascii="Arial" w:eastAsia="Arial" w:hAnsi="Arial" w:cs="Arial"/>
      <w:b/>
      <w:color w:val="000000"/>
      <w:lang w:val="en-US"/>
    </w:rPr>
  </w:style>
  <w:style w:type="paragraph" w:customStyle="1" w:styleId="PIFSquotation">
    <w:name w:val="PIFS quotation"/>
    <w:basedOn w:val="Normal"/>
    <w:link w:val="PIFSquotationChar"/>
    <w:rsid w:val="00E91EAB"/>
    <w:pPr>
      <w:spacing w:after="200"/>
      <w:ind w:left="1559" w:right="1933"/>
      <w:jc w:val="both"/>
    </w:pPr>
    <w:rPr>
      <w:rFonts w:ascii="Arial" w:eastAsia="Arial" w:hAnsi="Arial" w:cs="Arial"/>
      <w:color w:val="000000"/>
      <w:sz w:val="22"/>
      <w:szCs w:val="22"/>
      <w:lang w:val="en-US"/>
    </w:rPr>
  </w:style>
  <w:style w:type="character" w:customStyle="1" w:styleId="PIFSquotationChar">
    <w:name w:val="PIFS quotation Char"/>
    <w:basedOn w:val="DefaultParagraphFont"/>
    <w:link w:val="PIFSquotation"/>
    <w:rsid w:val="00E91EAB"/>
    <w:rPr>
      <w:rFonts w:ascii="Arial" w:eastAsia="Arial" w:hAnsi="Arial" w:cs="Arial"/>
      <w:color w:val="000000"/>
      <w:lang w:val="en-US"/>
    </w:rPr>
  </w:style>
  <w:style w:type="paragraph" w:customStyle="1" w:styleId="PIFStablebullets">
    <w:name w:val="PIFS table bullets"/>
    <w:basedOn w:val="PIFSbulletlist"/>
    <w:link w:val="PIFStablebulletsChar"/>
    <w:rsid w:val="00E91EAB"/>
    <w:pPr>
      <w:numPr>
        <w:numId w:val="0"/>
      </w:numPr>
      <w:spacing w:before="60" w:after="60"/>
      <w:contextualSpacing w:val="0"/>
    </w:pPr>
    <w:rPr>
      <w:sz w:val="18"/>
      <w:szCs w:val="18"/>
    </w:rPr>
  </w:style>
  <w:style w:type="character" w:customStyle="1" w:styleId="PIFStablebulletsChar">
    <w:name w:val="PIFS table bullets Char"/>
    <w:basedOn w:val="PIFSbulletlistChar"/>
    <w:link w:val="PIFStablebullets"/>
    <w:rsid w:val="00E91EAB"/>
    <w:rPr>
      <w:rFonts w:ascii="Arial" w:eastAsia="Arial" w:hAnsi="Arial" w:cs="Arial"/>
      <w:color w:val="000000"/>
      <w:sz w:val="18"/>
      <w:szCs w:val="18"/>
      <w:lang w:val="en-US"/>
    </w:rPr>
  </w:style>
  <w:style w:type="paragraph" w:customStyle="1" w:styleId="PIFStableheading">
    <w:name w:val="PIFS table heading"/>
    <w:basedOn w:val="PIFSheading3"/>
    <w:link w:val="PIFStableheadingChar"/>
    <w:rsid w:val="00E91EAB"/>
    <w:pPr>
      <w:spacing w:before="60" w:after="60"/>
      <w:jc w:val="center"/>
    </w:pPr>
    <w:rPr>
      <w:sz w:val="20"/>
      <w:szCs w:val="20"/>
    </w:rPr>
  </w:style>
  <w:style w:type="character" w:customStyle="1" w:styleId="PIFStableheadingChar">
    <w:name w:val="PIFS table heading Char"/>
    <w:basedOn w:val="PIFSheading3Char"/>
    <w:link w:val="PIFStableheading"/>
    <w:rsid w:val="00E91EAB"/>
    <w:rPr>
      <w:rFonts w:ascii="Arial" w:eastAsia="Arial" w:hAnsi="Arial" w:cs="Arial"/>
      <w:b/>
      <w:color w:val="000000"/>
      <w:sz w:val="20"/>
      <w:szCs w:val="20"/>
      <w:lang w:val="en-US"/>
    </w:rPr>
  </w:style>
  <w:style w:type="paragraph" w:customStyle="1" w:styleId="PIFStabletext">
    <w:name w:val="PIFS table text"/>
    <w:basedOn w:val="PIFStableheading"/>
    <w:link w:val="PIFStabletextChar"/>
    <w:rsid w:val="00E91EAB"/>
    <w:pPr>
      <w:jc w:val="left"/>
    </w:pPr>
    <w:rPr>
      <w:b w:val="0"/>
      <w:sz w:val="18"/>
    </w:rPr>
  </w:style>
  <w:style w:type="character" w:customStyle="1" w:styleId="PIFStabletextChar">
    <w:name w:val="PIFS table text Char"/>
    <w:basedOn w:val="PIFStableheadingChar"/>
    <w:link w:val="PIFStabletext"/>
    <w:rsid w:val="00E91EAB"/>
    <w:rPr>
      <w:rFonts w:ascii="Arial" w:eastAsia="Arial" w:hAnsi="Arial" w:cs="Arial"/>
      <w:b w:val="0"/>
      <w:color w:val="000000"/>
      <w:sz w:val="18"/>
      <w:szCs w:val="20"/>
      <w:lang w:val="en-US"/>
    </w:rPr>
  </w:style>
  <w:style w:type="paragraph" w:customStyle="1" w:styleId="PIFStitlepage">
    <w:name w:val="PIFS title page"/>
    <w:basedOn w:val="Normal"/>
    <w:link w:val="PIFStitlepageChar"/>
    <w:rsid w:val="00E91EAB"/>
    <w:pPr>
      <w:tabs>
        <w:tab w:val="center" w:pos="4320"/>
        <w:tab w:val="right" w:pos="8640"/>
      </w:tabs>
      <w:spacing w:after="200"/>
      <w:jc w:val="center"/>
    </w:pPr>
    <w:rPr>
      <w:rFonts w:ascii="Arial" w:eastAsia="Arial" w:hAnsi="Arial" w:cs="Arial"/>
      <w:b/>
      <w:color w:val="000000"/>
      <w:sz w:val="40"/>
      <w:szCs w:val="22"/>
      <w:lang w:val="en-US"/>
    </w:rPr>
  </w:style>
  <w:style w:type="character" w:customStyle="1" w:styleId="PIFStitlepageChar">
    <w:name w:val="PIFS title page Char"/>
    <w:basedOn w:val="DefaultParagraphFont"/>
    <w:link w:val="PIFStitlepage"/>
    <w:rsid w:val="00E91EAB"/>
    <w:rPr>
      <w:rFonts w:ascii="Arial" w:eastAsia="Arial" w:hAnsi="Arial" w:cs="Arial"/>
      <w:b/>
      <w:color w:val="000000"/>
      <w:sz w:val="40"/>
      <w:lang w:val="en-US"/>
    </w:rPr>
  </w:style>
  <w:style w:type="character" w:customStyle="1" w:styleId="Heading3Char">
    <w:name w:val="Heading 3 Char"/>
    <w:basedOn w:val="DefaultParagraphFont"/>
    <w:link w:val="Heading3"/>
    <w:uiPriority w:val="9"/>
    <w:rsid w:val="00914B6A"/>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sid w:val="00914B6A"/>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rsid w:val="00914B6A"/>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914B6A"/>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914B6A"/>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914B6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14B6A"/>
    <w:rPr>
      <w:rFonts w:asciiTheme="majorHAnsi" w:eastAsiaTheme="majorEastAsia" w:hAnsiTheme="majorHAnsi" w:cstheme="majorBidi"/>
      <w:i/>
      <w:iCs/>
      <w:color w:val="404040" w:themeColor="text1" w:themeTint="BF"/>
      <w:sz w:val="20"/>
      <w:szCs w:val="20"/>
    </w:rPr>
  </w:style>
  <w:style w:type="paragraph" w:customStyle="1" w:styleId="NumberedParas1cmindent">
    <w:name w:val="Numbered Paras 1cm indent"/>
    <w:basedOn w:val="Heading1"/>
    <w:next w:val="Normal"/>
    <w:rsid w:val="00914B6A"/>
    <w:pPr>
      <w:keepNext w:val="0"/>
      <w:keepLines w:val="0"/>
      <w:spacing w:before="0" w:after="160" w:line="240" w:lineRule="auto"/>
      <w:ind w:left="432" w:hanging="432"/>
    </w:pPr>
    <w:rPr>
      <w:rFonts w:asciiTheme="minorHAnsi" w:eastAsia="Calibri" w:hAnsiTheme="minorHAnsi" w:cstheme="minorHAnsi"/>
      <w:b w:val="0"/>
      <w:bCs w:val="0"/>
      <w:color w:val="auto"/>
      <w:sz w:val="24"/>
      <w:szCs w:val="24"/>
    </w:rPr>
  </w:style>
  <w:style w:type="paragraph" w:customStyle="1" w:styleId="11Style">
    <w:name w:val="1.1 Style"/>
    <w:basedOn w:val="Heading2"/>
    <w:link w:val="11StyleChar"/>
    <w:qFormat/>
    <w:rsid w:val="00914B6A"/>
    <w:pPr>
      <w:spacing w:after="160"/>
      <w:ind w:left="1418" w:hanging="851"/>
    </w:pPr>
    <w:rPr>
      <w:rFonts w:eastAsia="Calibri" w:cstheme="minorHAnsi"/>
      <w:b w:val="0"/>
      <w:bCs w:val="0"/>
      <w:noProof/>
      <w:sz w:val="24"/>
      <w:szCs w:val="24"/>
      <w:lang w:eastAsia="en-AU"/>
    </w:rPr>
  </w:style>
  <w:style w:type="character" w:customStyle="1" w:styleId="11StyleChar">
    <w:name w:val="1.1 Style Char"/>
    <w:basedOn w:val="Heading2Char"/>
    <w:link w:val="11Style"/>
    <w:rsid w:val="00914B6A"/>
    <w:rPr>
      <w:rFonts w:ascii="Calibri" w:eastAsia="Calibri" w:hAnsi="Calibri" w:cstheme="minorHAnsi"/>
      <w:b w:val="0"/>
      <w:bCs w:val="0"/>
      <w:noProof/>
      <w:color w:val="757575"/>
      <w:sz w:val="24"/>
      <w:szCs w:val="24"/>
      <w:lang w:eastAsia="en-AU"/>
    </w:rPr>
  </w:style>
  <w:style w:type="character" w:customStyle="1" w:styleId="Heading2Char">
    <w:name w:val="Heading 2 Char"/>
    <w:aliases w:val="SDA Numbered heading 1 Char"/>
    <w:basedOn w:val="DefaultParagraphFont"/>
    <w:link w:val="Heading2"/>
    <w:uiPriority w:val="9"/>
    <w:rsid w:val="001007C1"/>
    <w:rPr>
      <w:rFonts w:ascii="Calibri" w:eastAsiaTheme="majorEastAsia" w:hAnsi="Calibri" w:cstheme="majorBidi"/>
      <w:b/>
      <w:bCs/>
      <w:color w:val="757575"/>
      <w:sz w:val="50"/>
      <w:szCs w:val="26"/>
    </w:rPr>
  </w:style>
  <w:style w:type="paragraph" w:customStyle="1" w:styleId="Proutbodytext">
    <w:name w:val="Prout body text"/>
    <w:basedOn w:val="Normal"/>
    <w:link w:val="ProutbodytextChar"/>
    <w:rsid w:val="00914B6A"/>
    <w:pPr>
      <w:autoSpaceDE w:val="0"/>
      <w:autoSpaceDN w:val="0"/>
      <w:adjustRightInd w:val="0"/>
      <w:spacing w:after="200" w:line="276" w:lineRule="auto"/>
    </w:pPr>
    <w:rPr>
      <w:rFonts w:ascii="Calibri" w:eastAsia="Calibri" w:hAnsi="Calibri" w:cs="Arial"/>
      <w:sz w:val="18"/>
      <w:szCs w:val="20"/>
    </w:rPr>
  </w:style>
  <w:style w:type="character" w:customStyle="1" w:styleId="ProutbodytextChar">
    <w:name w:val="Prout body text Char"/>
    <w:basedOn w:val="DefaultParagraphFont"/>
    <w:link w:val="Proutbodytext"/>
    <w:rsid w:val="00914B6A"/>
    <w:rPr>
      <w:rFonts w:ascii="Calibri" w:eastAsia="Calibri" w:hAnsi="Calibri" w:cs="Arial"/>
      <w:sz w:val="18"/>
      <w:szCs w:val="20"/>
    </w:rPr>
  </w:style>
  <w:style w:type="paragraph" w:customStyle="1" w:styleId="Proutnumberedheading2ndlevel">
    <w:name w:val="Prout numbered heading 2nd level"/>
    <w:basedOn w:val="Normal"/>
    <w:link w:val="Proutnumberedheading2ndlevelChar"/>
    <w:rsid w:val="00914B6A"/>
    <w:pPr>
      <w:spacing w:after="160"/>
      <w:ind w:left="709" w:hanging="709"/>
      <w:outlineLvl w:val="1"/>
    </w:pPr>
    <w:rPr>
      <w:rFonts w:asciiTheme="minorHAnsi" w:eastAsia="Calibri" w:hAnsiTheme="minorHAnsi" w:cstheme="minorHAnsi"/>
      <w:b/>
      <w:noProof/>
      <w:sz w:val="20"/>
      <w:szCs w:val="20"/>
      <w:lang w:eastAsia="en-AU"/>
    </w:rPr>
  </w:style>
  <w:style w:type="character" w:customStyle="1" w:styleId="Proutnumberedheading2ndlevelChar">
    <w:name w:val="Prout numbered heading 2nd level Char"/>
    <w:basedOn w:val="DefaultParagraphFont"/>
    <w:link w:val="Proutnumberedheading2ndlevel"/>
    <w:rsid w:val="00914B6A"/>
    <w:rPr>
      <w:rFonts w:eastAsia="Calibri" w:cstheme="minorHAnsi"/>
      <w:b/>
      <w:noProof/>
      <w:sz w:val="20"/>
      <w:szCs w:val="20"/>
      <w:lang w:eastAsia="en-AU"/>
    </w:rPr>
  </w:style>
  <w:style w:type="paragraph" w:customStyle="1" w:styleId="Proutnumberredheadinglevel3">
    <w:name w:val="Prout numberred heading level 3"/>
    <w:basedOn w:val="Proutnumberedheading2ndlevel"/>
    <w:link w:val="Proutnumberredheadinglevel3Char"/>
    <w:rsid w:val="00914B6A"/>
    <w:pPr>
      <w:ind w:left="720" w:hanging="720"/>
    </w:pPr>
  </w:style>
  <w:style w:type="character" w:customStyle="1" w:styleId="Proutnumberredheadinglevel3Char">
    <w:name w:val="Prout numberred heading level 3 Char"/>
    <w:basedOn w:val="Proutnumberedheading2ndlevelChar"/>
    <w:link w:val="Proutnumberredheadinglevel3"/>
    <w:rsid w:val="00914B6A"/>
    <w:rPr>
      <w:rFonts w:eastAsia="Calibri" w:cstheme="minorHAnsi"/>
      <w:b/>
      <w:noProof/>
      <w:sz w:val="20"/>
      <w:szCs w:val="20"/>
      <w:lang w:eastAsia="en-AU"/>
    </w:rPr>
  </w:style>
  <w:style w:type="paragraph" w:styleId="Header">
    <w:name w:val="header"/>
    <w:basedOn w:val="Normal"/>
    <w:link w:val="HeaderChar"/>
    <w:uiPriority w:val="99"/>
    <w:unhideWhenUsed/>
    <w:rsid w:val="00D6021F"/>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6021F"/>
  </w:style>
  <w:style w:type="paragraph" w:styleId="Footer">
    <w:name w:val="footer"/>
    <w:basedOn w:val="Normal"/>
    <w:link w:val="FooterChar"/>
    <w:uiPriority w:val="99"/>
    <w:unhideWhenUsed/>
    <w:qFormat/>
    <w:rsid w:val="00D6021F"/>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6021F"/>
  </w:style>
  <w:style w:type="paragraph" w:styleId="NoSpacing">
    <w:name w:val="No Spacing"/>
    <w:link w:val="NoSpacingChar"/>
    <w:uiPriority w:val="1"/>
    <w:unhideWhenUsed/>
    <w:qFormat/>
    <w:rsid w:val="00773E7D"/>
    <w:pPr>
      <w:spacing w:after="0" w:line="240" w:lineRule="auto"/>
    </w:pPr>
    <w:rPr>
      <w:color w:val="404040" w:themeColor="text1" w:themeTint="BF"/>
      <w:sz w:val="20"/>
      <w:szCs w:val="20"/>
      <w:lang w:val="en-US" w:eastAsia="ja-JP"/>
    </w:rPr>
  </w:style>
  <w:style w:type="character" w:customStyle="1" w:styleId="NoSpacingChar">
    <w:name w:val="No Spacing Char"/>
    <w:basedOn w:val="DefaultParagraphFont"/>
    <w:link w:val="NoSpacing"/>
    <w:uiPriority w:val="1"/>
    <w:rsid w:val="00773E7D"/>
    <w:rPr>
      <w:color w:val="404040" w:themeColor="text1" w:themeTint="BF"/>
      <w:sz w:val="20"/>
      <w:szCs w:val="20"/>
      <w:lang w:val="en-US" w:eastAsia="ja-JP"/>
    </w:rPr>
  </w:style>
  <w:style w:type="paragraph" w:customStyle="1" w:styleId="Organization">
    <w:name w:val="Organization"/>
    <w:basedOn w:val="Normal"/>
    <w:uiPriority w:val="2"/>
    <w:qFormat/>
    <w:rsid w:val="00773E7D"/>
    <w:pPr>
      <w:spacing w:after="60"/>
      <w:ind w:left="29" w:right="29"/>
    </w:pPr>
    <w:rPr>
      <w:rFonts w:asciiTheme="minorHAnsi" w:eastAsiaTheme="minorHAnsi" w:hAnsiTheme="minorHAnsi" w:cstheme="minorBidi"/>
      <w:b/>
      <w:bCs/>
      <w:color w:val="4F81BD" w:themeColor="accent1"/>
      <w:sz w:val="36"/>
      <w:szCs w:val="20"/>
      <w:lang w:val="en-US" w:eastAsia="ja-JP"/>
    </w:rPr>
  </w:style>
  <w:style w:type="paragraph" w:styleId="BalloonText">
    <w:name w:val="Balloon Text"/>
    <w:basedOn w:val="Normal"/>
    <w:link w:val="BalloonTextChar"/>
    <w:uiPriority w:val="99"/>
    <w:semiHidden/>
    <w:unhideWhenUsed/>
    <w:rsid w:val="00773E7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73E7D"/>
    <w:rPr>
      <w:rFonts w:ascii="Tahoma" w:hAnsi="Tahoma" w:cs="Tahoma"/>
      <w:sz w:val="16"/>
      <w:szCs w:val="16"/>
    </w:rPr>
  </w:style>
  <w:style w:type="character" w:styleId="Strong">
    <w:name w:val="Strong"/>
    <w:basedOn w:val="DefaultParagraphFont"/>
    <w:uiPriority w:val="22"/>
    <w:qFormat/>
    <w:rsid w:val="007E07AC"/>
    <w:rPr>
      <w:b/>
      <w:bCs/>
    </w:rPr>
  </w:style>
  <w:style w:type="paragraph" w:customStyle="1" w:styleId="SDAHeading1">
    <w:name w:val="SDA Heading 1"/>
    <w:basedOn w:val="Normal"/>
    <w:link w:val="SDAHeading1Char"/>
    <w:qFormat/>
    <w:rsid w:val="001B3ECA"/>
    <w:pPr>
      <w:pageBreakBefore/>
      <w:pBdr>
        <w:bottom w:val="single" w:sz="4" w:space="10" w:color="C9916C"/>
      </w:pBdr>
      <w:spacing w:before="1200" w:after="200"/>
    </w:pPr>
    <w:rPr>
      <w:rFonts w:asciiTheme="minorHAnsi" w:eastAsiaTheme="minorHAnsi" w:hAnsiTheme="minorHAnsi" w:cstheme="minorBidi"/>
      <w:b/>
      <w:smallCaps/>
      <w:color w:val="CF5D27"/>
      <w:sz w:val="60"/>
      <w:szCs w:val="60"/>
    </w:rPr>
  </w:style>
  <w:style w:type="paragraph" w:customStyle="1" w:styleId="SDAbodytext">
    <w:name w:val="SDA body text"/>
    <w:basedOn w:val="Normal"/>
    <w:link w:val="SDAbodytextChar"/>
    <w:qFormat/>
    <w:rsid w:val="001007C1"/>
    <w:pPr>
      <w:spacing w:before="120" w:after="120"/>
    </w:pPr>
    <w:rPr>
      <w:rFonts w:asciiTheme="minorHAnsi" w:eastAsiaTheme="minorHAnsi" w:hAnsiTheme="minorHAnsi" w:cstheme="minorBidi"/>
      <w:sz w:val="22"/>
      <w:szCs w:val="22"/>
    </w:rPr>
  </w:style>
  <w:style w:type="character" w:customStyle="1" w:styleId="SDAHeading1Char">
    <w:name w:val="SDA Heading 1 Char"/>
    <w:basedOn w:val="DefaultParagraphFont"/>
    <w:link w:val="SDAHeading1"/>
    <w:rsid w:val="001B3ECA"/>
    <w:rPr>
      <w:b/>
      <w:smallCaps/>
      <w:color w:val="CF5D27"/>
      <w:sz w:val="60"/>
      <w:szCs w:val="60"/>
    </w:rPr>
  </w:style>
  <w:style w:type="paragraph" w:customStyle="1" w:styleId="STANumberedheading2">
    <w:name w:val="STA Numbered heading 2"/>
    <w:basedOn w:val="Proutnumberedheading2ndlevel"/>
    <w:link w:val="STANumberedheading2Char"/>
    <w:rsid w:val="00084F54"/>
    <w:pPr>
      <w:ind w:left="0" w:firstLine="0"/>
    </w:pPr>
    <w:rPr>
      <w:color w:val="757575"/>
      <w:sz w:val="30"/>
      <w:szCs w:val="30"/>
    </w:rPr>
  </w:style>
  <w:style w:type="character" w:customStyle="1" w:styleId="SDAbodytextChar">
    <w:name w:val="SDA body text Char"/>
    <w:basedOn w:val="DefaultParagraphFont"/>
    <w:link w:val="SDAbodytext"/>
    <w:rsid w:val="001007C1"/>
  </w:style>
  <w:style w:type="paragraph" w:customStyle="1" w:styleId="SDANumberedheading3">
    <w:name w:val="SDA Numbered heading 3"/>
    <w:basedOn w:val="Proutnumberredheadinglevel3"/>
    <w:link w:val="SDANumberedheading3Char"/>
    <w:qFormat/>
    <w:rsid w:val="00B60CA1"/>
    <w:pPr>
      <w:ind w:left="0" w:firstLine="0"/>
    </w:pPr>
    <w:rPr>
      <w:color w:val="757575"/>
      <w:sz w:val="22"/>
      <w:szCs w:val="22"/>
    </w:rPr>
  </w:style>
  <w:style w:type="character" w:customStyle="1" w:styleId="STANumberedheading2Char">
    <w:name w:val="STA Numbered heading 2 Char"/>
    <w:basedOn w:val="Proutnumberedheading2ndlevelChar"/>
    <w:link w:val="STANumberedheading2"/>
    <w:rsid w:val="00084F54"/>
    <w:rPr>
      <w:rFonts w:eastAsia="Calibri" w:cstheme="minorHAnsi"/>
      <w:b/>
      <w:noProof/>
      <w:color w:val="757575"/>
      <w:sz w:val="30"/>
      <w:szCs w:val="30"/>
      <w:lang w:eastAsia="en-AU"/>
    </w:rPr>
  </w:style>
  <w:style w:type="paragraph" w:customStyle="1" w:styleId="SDAAnnexheading">
    <w:name w:val="SDA Annex heading"/>
    <w:basedOn w:val="SDAHeading1"/>
    <w:link w:val="SDAAnnexheadingChar"/>
    <w:rsid w:val="007C2666"/>
    <w:pPr>
      <w:pBdr>
        <w:bottom w:val="none" w:sz="0" w:space="0" w:color="auto"/>
      </w:pBdr>
    </w:pPr>
    <w:rPr>
      <w:b w:val="0"/>
      <w:lang w:val="en-US"/>
    </w:rPr>
  </w:style>
  <w:style w:type="character" w:customStyle="1" w:styleId="SDANumberedheading3Char">
    <w:name w:val="SDA Numbered heading 3 Char"/>
    <w:basedOn w:val="Proutnumberredheadinglevel3Char"/>
    <w:link w:val="SDANumberedheading3"/>
    <w:rsid w:val="00B60CA1"/>
    <w:rPr>
      <w:rFonts w:eastAsia="Calibri" w:cstheme="minorHAnsi"/>
      <w:b/>
      <w:noProof/>
      <w:color w:val="757575"/>
      <w:sz w:val="20"/>
      <w:szCs w:val="20"/>
      <w:lang w:eastAsia="en-AU"/>
    </w:rPr>
  </w:style>
  <w:style w:type="paragraph" w:customStyle="1" w:styleId="SDANumberedheading2">
    <w:name w:val="SDA Numbered heading 2"/>
    <w:basedOn w:val="STANumberedheading2"/>
    <w:link w:val="SDANumberedheading2Char"/>
    <w:qFormat/>
    <w:rsid w:val="009216E9"/>
  </w:style>
  <w:style w:type="character" w:customStyle="1" w:styleId="SDAAnnexheadingChar">
    <w:name w:val="SDA Annex heading Char"/>
    <w:basedOn w:val="SDAHeading1Char"/>
    <w:link w:val="SDAAnnexheading"/>
    <w:rsid w:val="007C2666"/>
    <w:rPr>
      <w:b w:val="0"/>
      <w:smallCaps/>
      <w:color w:val="CF5D27"/>
      <w:sz w:val="60"/>
      <w:szCs w:val="60"/>
      <w:lang w:val="en-US"/>
    </w:rPr>
  </w:style>
  <w:style w:type="paragraph" w:styleId="TOC1">
    <w:name w:val="toc 1"/>
    <w:basedOn w:val="Normal"/>
    <w:next w:val="Normal"/>
    <w:autoRedefine/>
    <w:uiPriority w:val="39"/>
    <w:unhideWhenUsed/>
    <w:rsid w:val="00A950E5"/>
    <w:pPr>
      <w:tabs>
        <w:tab w:val="right" w:pos="9016"/>
      </w:tabs>
      <w:spacing w:before="360" w:line="276" w:lineRule="auto"/>
    </w:pPr>
    <w:rPr>
      <w:rFonts w:ascii="Calibri" w:eastAsiaTheme="minorHAnsi" w:hAnsi="Calibri" w:cstheme="minorBidi"/>
      <w:b/>
      <w:bCs/>
      <w:sz w:val="30"/>
    </w:rPr>
  </w:style>
  <w:style w:type="paragraph" w:styleId="TOC2">
    <w:name w:val="toc 2"/>
    <w:basedOn w:val="Normal"/>
    <w:next w:val="Normal"/>
    <w:autoRedefine/>
    <w:uiPriority w:val="39"/>
    <w:unhideWhenUsed/>
    <w:rsid w:val="00A950E5"/>
    <w:pPr>
      <w:tabs>
        <w:tab w:val="right" w:pos="9016"/>
      </w:tabs>
      <w:spacing w:before="240" w:line="276" w:lineRule="auto"/>
    </w:pPr>
    <w:rPr>
      <w:rFonts w:asciiTheme="minorHAnsi" w:eastAsiaTheme="minorHAnsi" w:hAnsiTheme="minorHAnsi" w:cstheme="minorBidi"/>
      <w:b/>
      <w:bCs/>
      <w:szCs w:val="20"/>
    </w:rPr>
  </w:style>
  <w:style w:type="character" w:customStyle="1" w:styleId="SDANumberedheading2Char">
    <w:name w:val="SDA Numbered heading 2 Char"/>
    <w:basedOn w:val="STANumberedheading2Char"/>
    <w:link w:val="SDANumberedheading2"/>
    <w:rsid w:val="009216E9"/>
    <w:rPr>
      <w:rFonts w:eastAsia="Calibri" w:cstheme="minorHAnsi"/>
      <w:b/>
      <w:noProof/>
      <w:color w:val="757575"/>
      <w:sz w:val="30"/>
      <w:szCs w:val="30"/>
      <w:lang w:eastAsia="en-AU"/>
    </w:rPr>
  </w:style>
  <w:style w:type="paragraph" w:styleId="TOC4">
    <w:name w:val="toc 4"/>
    <w:basedOn w:val="Normal"/>
    <w:next w:val="Normal"/>
    <w:autoRedefine/>
    <w:uiPriority w:val="39"/>
    <w:unhideWhenUsed/>
    <w:rsid w:val="001B3ECA"/>
    <w:pPr>
      <w:spacing w:line="276" w:lineRule="auto"/>
    </w:pPr>
    <w:rPr>
      <w:rFonts w:asciiTheme="minorHAnsi" w:eastAsiaTheme="minorHAnsi" w:hAnsiTheme="minorHAnsi" w:cstheme="minorBidi"/>
      <w:szCs w:val="20"/>
    </w:rPr>
  </w:style>
  <w:style w:type="paragraph" w:styleId="TOC3">
    <w:name w:val="toc 3"/>
    <w:basedOn w:val="Normal"/>
    <w:next w:val="Normal"/>
    <w:autoRedefine/>
    <w:uiPriority w:val="39"/>
    <w:unhideWhenUsed/>
    <w:rsid w:val="00A950E5"/>
    <w:pPr>
      <w:tabs>
        <w:tab w:val="right" w:pos="9016"/>
      </w:tabs>
      <w:spacing w:line="276" w:lineRule="auto"/>
    </w:pPr>
    <w:rPr>
      <w:rFonts w:asciiTheme="minorHAnsi" w:eastAsiaTheme="minorHAnsi" w:hAnsiTheme="minorHAnsi" w:cstheme="minorBidi"/>
      <w:szCs w:val="20"/>
    </w:rPr>
  </w:style>
  <w:style w:type="character" w:styleId="Hyperlink">
    <w:name w:val="Hyperlink"/>
    <w:basedOn w:val="DefaultParagraphFont"/>
    <w:uiPriority w:val="99"/>
    <w:unhideWhenUsed/>
    <w:rsid w:val="009216E9"/>
    <w:rPr>
      <w:color w:val="0000FF" w:themeColor="hyperlink"/>
      <w:u w:val="single"/>
    </w:rPr>
  </w:style>
  <w:style w:type="paragraph" w:styleId="TOC5">
    <w:name w:val="toc 5"/>
    <w:basedOn w:val="Normal"/>
    <w:next w:val="Normal"/>
    <w:autoRedefine/>
    <w:uiPriority w:val="39"/>
    <w:unhideWhenUsed/>
    <w:rsid w:val="001B3ECA"/>
    <w:pPr>
      <w:spacing w:line="276" w:lineRule="auto"/>
      <w:ind w:left="660"/>
    </w:pPr>
    <w:rPr>
      <w:rFonts w:asciiTheme="minorHAnsi" w:eastAsiaTheme="minorHAnsi" w:hAnsiTheme="minorHAnsi" w:cstheme="minorBidi"/>
      <w:sz w:val="20"/>
      <w:szCs w:val="20"/>
    </w:rPr>
  </w:style>
  <w:style w:type="paragraph" w:styleId="TOC6">
    <w:name w:val="toc 6"/>
    <w:basedOn w:val="Normal"/>
    <w:next w:val="Normal"/>
    <w:autoRedefine/>
    <w:uiPriority w:val="39"/>
    <w:unhideWhenUsed/>
    <w:rsid w:val="001B3ECA"/>
    <w:pPr>
      <w:spacing w:line="276" w:lineRule="auto"/>
      <w:ind w:left="880"/>
    </w:pPr>
    <w:rPr>
      <w:rFonts w:asciiTheme="minorHAnsi" w:eastAsiaTheme="minorHAnsi" w:hAnsiTheme="minorHAnsi" w:cstheme="minorBidi"/>
      <w:sz w:val="20"/>
      <w:szCs w:val="20"/>
    </w:rPr>
  </w:style>
  <w:style w:type="paragraph" w:styleId="TOC7">
    <w:name w:val="toc 7"/>
    <w:basedOn w:val="Normal"/>
    <w:next w:val="Normal"/>
    <w:autoRedefine/>
    <w:uiPriority w:val="39"/>
    <w:unhideWhenUsed/>
    <w:rsid w:val="001B3ECA"/>
    <w:pPr>
      <w:spacing w:line="276" w:lineRule="auto"/>
      <w:ind w:left="1100"/>
    </w:pPr>
    <w:rPr>
      <w:rFonts w:asciiTheme="minorHAnsi" w:eastAsiaTheme="minorHAnsi" w:hAnsiTheme="minorHAnsi" w:cstheme="minorBidi"/>
      <w:sz w:val="20"/>
      <w:szCs w:val="20"/>
    </w:rPr>
  </w:style>
  <w:style w:type="paragraph" w:styleId="TOC8">
    <w:name w:val="toc 8"/>
    <w:basedOn w:val="Normal"/>
    <w:next w:val="Normal"/>
    <w:autoRedefine/>
    <w:uiPriority w:val="39"/>
    <w:unhideWhenUsed/>
    <w:rsid w:val="001B3ECA"/>
    <w:pPr>
      <w:spacing w:line="276" w:lineRule="auto"/>
      <w:ind w:left="1320"/>
    </w:pPr>
    <w:rPr>
      <w:rFonts w:asciiTheme="minorHAnsi" w:eastAsiaTheme="minorHAnsi" w:hAnsiTheme="minorHAnsi" w:cstheme="minorBidi"/>
      <w:sz w:val="20"/>
      <w:szCs w:val="20"/>
    </w:rPr>
  </w:style>
  <w:style w:type="paragraph" w:styleId="TOC9">
    <w:name w:val="toc 9"/>
    <w:basedOn w:val="Normal"/>
    <w:next w:val="Normal"/>
    <w:autoRedefine/>
    <w:uiPriority w:val="39"/>
    <w:unhideWhenUsed/>
    <w:rsid w:val="001B3ECA"/>
    <w:pPr>
      <w:spacing w:line="276" w:lineRule="auto"/>
      <w:ind w:left="1540"/>
    </w:pPr>
    <w:rPr>
      <w:rFonts w:asciiTheme="minorHAnsi" w:eastAsiaTheme="minorHAnsi" w:hAnsiTheme="minorHAnsi" w:cstheme="minorBidi"/>
      <w:sz w:val="20"/>
      <w:szCs w:val="20"/>
    </w:rPr>
  </w:style>
  <w:style w:type="paragraph" w:customStyle="1" w:styleId="SDAbulletpoints">
    <w:name w:val="SDA bullet points"/>
    <w:basedOn w:val="SDAbodytext"/>
    <w:link w:val="SDAbulletpointsChar"/>
    <w:qFormat/>
    <w:rsid w:val="001007C1"/>
    <w:pPr>
      <w:numPr>
        <w:numId w:val="3"/>
      </w:numPr>
    </w:pPr>
  </w:style>
  <w:style w:type="paragraph" w:customStyle="1" w:styleId="SDAnumberedlist">
    <w:name w:val="SDA numbered list"/>
    <w:basedOn w:val="SDAbulletpoints"/>
    <w:link w:val="SDAnumberedlistChar"/>
    <w:qFormat/>
    <w:rsid w:val="001007C1"/>
    <w:pPr>
      <w:numPr>
        <w:numId w:val="4"/>
      </w:numPr>
    </w:pPr>
  </w:style>
  <w:style w:type="character" w:customStyle="1" w:styleId="SDAbulletpointsChar">
    <w:name w:val="SDA bullet points Char"/>
    <w:basedOn w:val="SDAbodytextChar"/>
    <w:link w:val="SDAbulletpoints"/>
    <w:rsid w:val="001007C1"/>
    <w:rPr>
      <w:lang w:val="en-GB"/>
    </w:rPr>
  </w:style>
  <w:style w:type="table" w:styleId="TableGrid">
    <w:name w:val="Table Grid"/>
    <w:aliases w:val="DPS Table Grid"/>
    <w:basedOn w:val="TableNormal"/>
    <w:uiPriority w:val="59"/>
    <w:rsid w:val="00F71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DAnumberedlistChar">
    <w:name w:val="SDA numbered list Char"/>
    <w:basedOn w:val="SDAbulletpointsChar"/>
    <w:link w:val="SDAnumberedlist"/>
    <w:rsid w:val="001007C1"/>
    <w:rPr>
      <w:lang w:val="en-GB"/>
    </w:rPr>
  </w:style>
  <w:style w:type="table" w:styleId="LightShading-Accent6">
    <w:name w:val="Light Shading Accent 6"/>
    <w:basedOn w:val="TableNormal"/>
    <w:uiPriority w:val="60"/>
    <w:rsid w:val="00F71D0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6">
    <w:name w:val="Light List Accent 6"/>
    <w:basedOn w:val="TableNormal"/>
    <w:uiPriority w:val="61"/>
    <w:rsid w:val="00F71D0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olorfulGrid-Accent6">
    <w:name w:val="Colorful Grid Accent 6"/>
    <w:basedOn w:val="TableNormal"/>
    <w:uiPriority w:val="73"/>
    <w:rsid w:val="004B7EE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Accent6">
    <w:name w:val="Medium List 2 Accent 6"/>
    <w:basedOn w:val="TableNormal"/>
    <w:uiPriority w:val="66"/>
    <w:rsid w:val="004B7EE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SDAtableheading">
    <w:name w:val="SDA table heading"/>
    <w:basedOn w:val="SDAbodytext"/>
    <w:link w:val="SDAtableheadingChar"/>
    <w:qFormat/>
    <w:rsid w:val="00C37479"/>
    <w:rPr>
      <w:rFonts w:ascii="Arial Narrow" w:hAnsi="Arial Narrow"/>
      <w:b/>
      <w:color w:val="757575"/>
    </w:rPr>
  </w:style>
  <w:style w:type="paragraph" w:customStyle="1" w:styleId="SDAtablestyle">
    <w:name w:val="SDA table style"/>
    <w:basedOn w:val="SDAbodytext"/>
    <w:link w:val="SDAtablestyleChar"/>
    <w:qFormat/>
    <w:rsid w:val="00C37479"/>
    <w:rPr>
      <w:rFonts w:ascii="Arial Narrow" w:hAnsi="Arial Narrow"/>
    </w:rPr>
  </w:style>
  <w:style w:type="character" w:customStyle="1" w:styleId="SDAtableheadingChar">
    <w:name w:val="SDA table heading Char"/>
    <w:basedOn w:val="SDAbodytextChar"/>
    <w:link w:val="SDAtableheading"/>
    <w:rsid w:val="00C37479"/>
    <w:rPr>
      <w:rFonts w:ascii="Arial Narrow" w:hAnsi="Arial Narrow"/>
      <w:b/>
      <w:color w:val="757575"/>
    </w:rPr>
  </w:style>
  <w:style w:type="character" w:customStyle="1" w:styleId="SDAtablestyleChar">
    <w:name w:val="SDA table style Char"/>
    <w:basedOn w:val="SDAbodytextChar"/>
    <w:link w:val="SDAtablestyle"/>
    <w:rsid w:val="00C37479"/>
    <w:rPr>
      <w:rFonts w:ascii="Arial Narrow" w:hAnsi="Arial Narrow"/>
    </w:rPr>
  </w:style>
  <w:style w:type="paragraph" w:customStyle="1" w:styleId="Default">
    <w:name w:val="Default"/>
    <w:rsid w:val="00E40F6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xmsonormal">
    <w:name w:val="x_msonormal"/>
    <w:basedOn w:val="Normal"/>
    <w:rsid w:val="00E40F69"/>
    <w:pPr>
      <w:spacing w:before="100" w:beforeAutospacing="1" w:after="100" w:afterAutospacing="1"/>
    </w:pPr>
    <w:rPr>
      <w:lang w:eastAsia="en-AU"/>
    </w:rPr>
  </w:style>
  <w:style w:type="paragraph" w:styleId="NormalWeb">
    <w:name w:val="Normal (Web)"/>
    <w:basedOn w:val="Normal"/>
    <w:link w:val="NormalWebChar"/>
    <w:uiPriority w:val="99"/>
    <w:unhideWhenUsed/>
    <w:rsid w:val="00E27244"/>
    <w:pPr>
      <w:spacing w:before="189" w:after="100" w:afterAutospacing="1"/>
    </w:pPr>
    <w:rPr>
      <w:rFonts w:eastAsiaTheme="minorHAnsi"/>
      <w:lang w:val="en-US"/>
    </w:rPr>
  </w:style>
  <w:style w:type="character" w:styleId="CommentReference">
    <w:name w:val="annotation reference"/>
    <w:basedOn w:val="DefaultParagraphFont"/>
    <w:uiPriority w:val="99"/>
    <w:semiHidden/>
    <w:unhideWhenUsed/>
    <w:rsid w:val="00D96AF0"/>
    <w:rPr>
      <w:sz w:val="16"/>
      <w:szCs w:val="16"/>
    </w:rPr>
  </w:style>
  <w:style w:type="paragraph" w:styleId="CommentText">
    <w:name w:val="annotation text"/>
    <w:basedOn w:val="Normal"/>
    <w:link w:val="CommentTextChar"/>
    <w:uiPriority w:val="99"/>
    <w:unhideWhenUsed/>
    <w:rsid w:val="00D96AF0"/>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96AF0"/>
    <w:rPr>
      <w:sz w:val="20"/>
      <w:szCs w:val="20"/>
    </w:rPr>
  </w:style>
  <w:style w:type="paragraph" w:styleId="CommentSubject">
    <w:name w:val="annotation subject"/>
    <w:basedOn w:val="CommentText"/>
    <w:next w:val="CommentText"/>
    <w:link w:val="CommentSubjectChar"/>
    <w:uiPriority w:val="99"/>
    <w:semiHidden/>
    <w:unhideWhenUsed/>
    <w:rsid w:val="00D96AF0"/>
    <w:rPr>
      <w:b/>
      <w:bCs/>
    </w:rPr>
  </w:style>
  <w:style w:type="character" w:customStyle="1" w:styleId="CommentSubjectChar">
    <w:name w:val="Comment Subject Char"/>
    <w:basedOn w:val="CommentTextChar"/>
    <w:link w:val="CommentSubject"/>
    <w:uiPriority w:val="99"/>
    <w:semiHidden/>
    <w:rsid w:val="00D96AF0"/>
    <w:rPr>
      <w:b/>
      <w:bCs/>
      <w:sz w:val="20"/>
      <w:szCs w:val="20"/>
    </w:rPr>
  </w:style>
  <w:style w:type="paragraph" w:styleId="FootnoteText">
    <w:name w:val="footnote text"/>
    <w:aliases w:val="single space,FOOTNOTES,fn,Footnote Text Char Char Char Char,Footnote Text Char Char Char,footnote text,ADB,Footnote Text Char Char Char Char Char,Footnote Text Char Char1,Footnote Text Char Char Char Char Char Char Char"/>
    <w:basedOn w:val="Normal"/>
    <w:link w:val="FootnoteTextChar"/>
    <w:uiPriority w:val="99"/>
    <w:unhideWhenUsed/>
    <w:rsid w:val="00254563"/>
    <w:rPr>
      <w:rFonts w:asciiTheme="minorHAnsi" w:eastAsiaTheme="minorHAnsi" w:hAnsiTheme="minorHAnsi" w:cstheme="minorBidi"/>
      <w:sz w:val="20"/>
      <w:szCs w:val="20"/>
    </w:rPr>
  </w:style>
  <w:style w:type="character" w:customStyle="1" w:styleId="FootnoteTextChar">
    <w:name w:val="Footnote Text Char"/>
    <w:aliases w:val="single space Char,FOOTNOTES Char,fn Char,Footnote Text Char Char Char Char Char1,Footnote Text Char Char Char Char1,footnote text Char,ADB Char,Footnote Text Char Char Char Char Char Char,Footnote Text Char Char1 Char"/>
    <w:basedOn w:val="DefaultParagraphFont"/>
    <w:link w:val="FootnoteText"/>
    <w:uiPriority w:val="99"/>
    <w:rsid w:val="00254563"/>
    <w:rPr>
      <w:sz w:val="20"/>
      <w:szCs w:val="20"/>
    </w:rPr>
  </w:style>
  <w:style w:type="character" w:styleId="FootnoteReference">
    <w:name w:val="footnote reference"/>
    <w:aliases w:val="de nota al pie,Ref,Normal + Font:9 Point,Superscript 3 Point Times,ftref,BVI fnr, BVI fnr,Footnote,16 Point,Superscript 6 Point,Footnote Reference Number,Footnote Reference_LVL6,Footnote Reference_LVL61,Footnote Reference_LVL62,fr"/>
    <w:basedOn w:val="DefaultParagraphFont"/>
    <w:link w:val="zzFootnotre"/>
    <w:uiPriority w:val="99"/>
    <w:unhideWhenUsed/>
    <w:qFormat/>
    <w:rsid w:val="00254563"/>
    <w:rPr>
      <w:vertAlign w:val="superscript"/>
    </w:rPr>
  </w:style>
  <w:style w:type="paragraph" w:customStyle="1" w:styleId="IntroPara">
    <w:name w:val="Intro Para"/>
    <w:basedOn w:val="Normal"/>
    <w:qFormat/>
    <w:rsid w:val="00D37DDE"/>
    <w:pPr>
      <w:spacing w:after="260" w:line="288" w:lineRule="auto"/>
    </w:pPr>
    <w:rPr>
      <w:rFonts w:ascii="Arial" w:eastAsiaTheme="minorHAnsi" w:hAnsi="Arial" w:cs="Arial"/>
      <w:color w:val="747474"/>
      <w:sz w:val="22"/>
      <w:szCs w:val="22"/>
    </w:rPr>
  </w:style>
  <w:style w:type="paragraph" w:customStyle="1" w:styleId="ListStyle2">
    <w:name w:val="List Style 2"/>
    <w:basedOn w:val="ListParagraph"/>
    <w:link w:val="ListStyle2Char"/>
    <w:qFormat/>
    <w:rsid w:val="00BF4CA0"/>
    <w:pPr>
      <w:tabs>
        <w:tab w:val="left" w:pos="377"/>
      </w:tabs>
      <w:spacing w:after="120" w:line="240" w:lineRule="atLeast"/>
      <w:ind w:hanging="360"/>
    </w:pPr>
    <w:rPr>
      <w:rFonts w:ascii="Arial" w:hAnsi="Arial" w:cs="Arial"/>
      <w:color w:val="747474"/>
      <w:sz w:val="20"/>
      <w:szCs w:val="20"/>
    </w:rPr>
  </w:style>
  <w:style w:type="character" w:customStyle="1" w:styleId="ListStyle2Char">
    <w:name w:val="List Style 2 Char"/>
    <w:basedOn w:val="DefaultParagraphFont"/>
    <w:link w:val="ListStyle2"/>
    <w:rsid w:val="00BF4CA0"/>
    <w:rPr>
      <w:rFonts w:ascii="Arial" w:hAnsi="Arial" w:cs="Arial"/>
      <w:color w:val="747474"/>
      <w:sz w:val="20"/>
      <w:szCs w:val="20"/>
    </w:rPr>
  </w:style>
  <w:style w:type="character" w:customStyle="1" w:styleId="ListParagraphChar">
    <w:name w:val="List Paragraph Char"/>
    <w:aliases w:val="List Paragraph1 Char,Recommendation Char,List Paragraph11 Char,List Paragraph2 Char,Bulit List -  Paragraph Char,AusAID List Paragraph Char,Bullets level 1 Char,Bullets Char,List Paragraph - Dani Char,List Paragraph 1 - Dani Char"/>
    <w:basedOn w:val="DefaultParagraphFont"/>
    <w:link w:val="ListParagraph"/>
    <w:uiPriority w:val="34"/>
    <w:rsid w:val="00BF4CA0"/>
  </w:style>
  <w:style w:type="character" w:customStyle="1" w:styleId="smallport">
    <w:name w:val="smallport"/>
    <w:basedOn w:val="DefaultParagraphFont"/>
    <w:rsid w:val="0021121A"/>
  </w:style>
  <w:style w:type="paragraph" w:customStyle="1" w:styleId="EOIBody">
    <w:name w:val="EOI Body"/>
    <w:basedOn w:val="Normal"/>
    <w:link w:val="EOIBodyChar"/>
    <w:rsid w:val="0021121A"/>
    <w:pPr>
      <w:spacing w:before="60" w:after="60"/>
      <w:ind w:left="1701"/>
    </w:pPr>
    <w:rPr>
      <w:rFonts w:asciiTheme="minorHAnsi" w:hAnsiTheme="minorHAnsi"/>
      <w:sz w:val="20"/>
      <w:szCs w:val="20"/>
    </w:rPr>
  </w:style>
  <w:style w:type="character" w:customStyle="1" w:styleId="EOIBodyChar">
    <w:name w:val="EOI Body Char"/>
    <w:link w:val="EOIBody"/>
    <w:rsid w:val="0021121A"/>
    <w:rPr>
      <w:rFonts w:eastAsia="Times New Roman" w:cs="Times New Roman"/>
      <w:sz w:val="20"/>
      <w:szCs w:val="20"/>
      <w:lang w:val="en-GB"/>
    </w:rPr>
  </w:style>
  <w:style w:type="paragraph" w:styleId="Revision">
    <w:name w:val="Revision"/>
    <w:hidden/>
    <w:uiPriority w:val="99"/>
    <w:semiHidden/>
    <w:rsid w:val="00735449"/>
    <w:pPr>
      <w:spacing w:after="0" w:line="240" w:lineRule="auto"/>
    </w:pPr>
  </w:style>
  <w:style w:type="character" w:styleId="Emphasis">
    <w:name w:val="Emphasis"/>
    <w:basedOn w:val="DefaultParagraphFont"/>
    <w:uiPriority w:val="20"/>
    <w:qFormat/>
    <w:rsid w:val="008622B4"/>
    <w:rPr>
      <w:i/>
      <w:iCs/>
    </w:rPr>
  </w:style>
  <w:style w:type="character" w:customStyle="1" w:styleId="ItalicExpanded">
    <w:name w:val="Italic Expanded"/>
    <w:basedOn w:val="DefaultParagraphFont"/>
    <w:uiPriority w:val="1"/>
    <w:qFormat/>
    <w:rsid w:val="00EF3F7A"/>
    <w:rPr>
      <w:i/>
      <w:spacing w:val="5"/>
    </w:rPr>
  </w:style>
  <w:style w:type="paragraph" w:customStyle="1" w:styleId="detailswbullets1">
    <w:name w:val="details w/bullets 1"/>
    <w:basedOn w:val="Normal"/>
    <w:rsid w:val="001E40D5"/>
    <w:pPr>
      <w:numPr>
        <w:numId w:val="5"/>
      </w:numPr>
      <w:tabs>
        <w:tab w:val="right" w:pos="10800"/>
      </w:tabs>
    </w:pPr>
    <w:rPr>
      <w:sz w:val="20"/>
      <w:lang w:val="en-US"/>
    </w:rPr>
  </w:style>
  <w:style w:type="character" w:customStyle="1" w:styleId="spellingerror">
    <w:name w:val="spellingerror"/>
    <w:basedOn w:val="DefaultParagraphFont"/>
    <w:rsid w:val="00BE16CE"/>
  </w:style>
  <w:style w:type="character" w:customStyle="1" w:styleId="normaltextrun">
    <w:name w:val="normaltextrun"/>
    <w:basedOn w:val="DefaultParagraphFont"/>
    <w:rsid w:val="00BE16CE"/>
  </w:style>
  <w:style w:type="character" w:customStyle="1" w:styleId="eop">
    <w:name w:val="eop"/>
    <w:basedOn w:val="DefaultParagraphFont"/>
    <w:rsid w:val="00BE16CE"/>
  </w:style>
  <w:style w:type="paragraph" w:styleId="BodyTextIndent2">
    <w:name w:val="Body Text Indent 2"/>
    <w:basedOn w:val="Normal"/>
    <w:link w:val="BodyTextIndent2Char"/>
    <w:rsid w:val="005A0F12"/>
    <w:pPr>
      <w:ind w:left="720" w:hanging="720"/>
      <w:jc w:val="both"/>
    </w:pPr>
    <w:rPr>
      <w:rFonts w:ascii="Arial" w:hAnsi="Arial" w:cs="Arial"/>
      <w:i/>
      <w:iCs/>
      <w:lang w:val="en-US"/>
    </w:rPr>
  </w:style>
  <w:style w:type="character" w:customStyle="1" w:styleId="BodyTextIndent2Char">
    <w:name w:val="Body Text Indent 2 Char"/>
    <w:basedOn w:val="DefaultParagraphFont"/>
    <w:link w:val="BodyTextIndent2"/>
    <w:rsid w:val="005A0F12"/>
    <w:rPr>
      <w:rFonts w:ascii="Arial" w:eastAsia="Times New Roman" w:hAnsi="Arial" w:cs="Arial"/>
      <w:i/>
      <w:iCs/>
      <w:sz w:val="24"/>
      <w:szCs w:val="24"/>
      <w:lang w:val="en-US"/>
    </w:rPr>
  </w:style>
  <w:style w:type="paragraph" w:styleId="BodyText">
    <w:name w:val="Body Text"/>
    <w:basedOn w:val="Normal"/>
    <w:link w:val="BodyTextChar"/>
    <w:uiPriority w:val="1"/>
    <w:qFormat/>
    <w:rsid w:val="005A0F12"/>
    <w:pPr>
      <w:jc w:val="both"/>
    </w:pPr>
    <w:rPr>
      <w:rFonts w:ascii="Arial" w:hAnsi="Arial" w:cs="Arial"/>
      <w:lang w:val="en-US"/>
    </w:rPr>
  </w:style>
  <w:style w:type="character" w:customStyle="1" w:styleId="BodyTextChar">
    <w:name w:val="Body Text Char"/>
    <w:basedOn w:val="DefaultParagraphFont"/>
    <w:link w:val="BodyText"/>
    <w:rsid w:val="005A0F12"/>
    <w:rPr>
      <w:rFonts w:ascii="Arial" w:eastAsia="Times New Roman" w:hAnsi="Arial" w:cs="Arial"/>
      <w:sz w:val="24"/>
      <w:szCs w:val="24"/>
      <w:lang w:val="en-US"/>
    </w:rPr>
  </w:style>
  <w:style w:type="character" w:styleId="PageNumber">
    <w:name w:val="page number"/>
    <w:basedOn w:val="DefaultParagraphFont"/>
    <w:unhideWhenUsed/>
    <w:rsid w:val="00D70ECE"/>
  </w:style>
  <w:style w:type="paragraph" w:customStyle="1" w:styleId="DefaultText">
    <w:name w:val="Default Text"/>
    <w:basedOn w:val="Normal"/>
    <w:rsid w:val="00206BF0"/>
    <w:pPr>
      <w:autoSpaceDE w:val="0"/>
      <w:autoSpaceDN w:val="0"/>
      <w:adjustRightInd w:val="0"/>
    </w:pPr>
    <w:rPr>
      <w:rFonts w:ascii="Arial" w:hAnsi="Arial"/>
      <w:sz w:val="22"/>
      <w:szCs w:val="20"/>
      <w:lang w:val="en-US" w:eastAsia="en-AU"/>
    </w:rPr>
  </w:style>
  <w:style w:type="paragraph" w:customStyle="1" w:styleId="body2">
    <w:name w:val="body2"/>
    <w:basedOn w:val="Normal"/>
    <w:rsid w:val="00206BF0"/>
    <w:pPr>
      <w:autoSpaceDE w:val="0"/>
      <w:autoSpaceDN w:val="0"/>
      <w:adjustRightInd w:val="0"/>
      <w:spacing w:after="220"/>
      <w:ind w:left="850"/>
    </w:pPr>
    <w:rPr>
      <w:rFonts w:ascii="Arial" w:hAnsi="Arial" w:cs="Arial"/>
      <w:sz w:val="22"/>
      <w:szCs w:val="22"/>
      <w:lang w:val="en-US" w:eastAsia="en-AU"/>
    </w:rPr>
  </w:style>
  <w:style w:type="paragraph" w:customStyle="1" w:styleId="TableText">
    <w:name w:val="Table Text"/>
    <w:qFormat/>
    <w:rsid w:val="00206BF0"/>
    <w:pPr>
      <w:spacing w:after="0" w:line="240" w:lineRule="auto"/>
    </w:pPr>
    <w:rPr>
      <w:rFonts w:ascii="Arial" w:eastAsia="Times New Roman" w:hAnsi="Arial" w:cs="Times New Roman"/>
      <w:color w:val="000000"/>
      <w:sz w:val="24"/>
      <w:szCs w:val="24"/>
      <w:lang w:val="en-GB"/>
    </w:rPr>
  </w:style>
  <w:style w:type="paragraph" w:customStyle="1" w:styleId="ScheduleL4">
    <w:name w:val="Schedule L4"/>
    <w:basedOn w:val="Normal"/>
    <w:next w:val="Normal"/>
    <w:rsid w:val="00AE3034"/>
    <w:pPr>
      <w:tabs>
        <w:tab w:val="num" w:pos="1701"/>
      </w:tabs>
      <w:spacing w:after="240"/>
      <w:ind w:left="1701" w:hanging="850"/>
      <w:outlineLvl w:val="3"/>
    </w:pPr>
    <w:rPr>
      <w:rFonts w:ascii="Arial" w:hAnsi="Arial"/>
      <w:sz w:val="22"/>
      <w:szCs w:val="20"/>
      <w:lang w:eastAsia="en-AU"/>
    </w:rPr>
  </w:style>
  <w:style w:type="paragraph" w:styleId="EndnoteText">
    <w:name w:val="endnote text"/>
    <w:basedOn w:val="Normal"/>
    <w:link w:val="EndnoteTextChar"/>
    <w:rsid w:val="00AE3034"/>
    <w:rPr>
      <w:rFonts w:ascii="Arial" w:hAnsi="Arial"/>
      <w:sz w:val="20"/>
      <w:szCs w:val="20"/>
      <w:lang w:eastAsia="en-AU"/>
    </w:rPr>
  </w:style>
  <w:style w:type="character" w:customStyle="1" w:styleId="EndnoteTextChar">
    <w:name w:val="Endnote Text Char"/>
    <w:basedOn w:val="DefaultParagraphFont"/>
    <w:link w:val="EndnoteText"/>
    <w:rsid w:val="00AE3034"/>
    <w:rPr>
      <w:rFonts w:ascii="Arial" w:eastAsia="Times New Roman" w:hAnsi="Arial" w:cs="Times New Roman"/>
      <w:sz w:val="20"/>
      <w:szCs w:val="20"/>
      <w:lang w:eastAsia="en-AU"/>
    </w:rPr>
  </w:style>
  <w:style w:type="paragraph" w:customStyle="1" w:styleId="DPSListNumber1">
    <w:name w:val="DPS List Number 1"/>
    <w:basedOn w:val="Normal"/>
    <w:link w:val="DPSListNumber1Char"/>
    <w:qFormat/>
    <w:rsid w:val="00AE3034"/>
    <w:pPr>
      <w:numPr>
        <w:ilvl w:val="1"/>
        <w:numId w:val="6"/>
      </w:numPr>
      <w:spacing w:before="220"/>
    </w:pPr>
    <w:rPr>
      <w:rFonts w:ascii="Verdana" w:hAnsi="Verdana" w:cs="Arial"/>
      <w:sz w:val="22"/>
      <w:szCs w:val="22"/>
      <w:lang w:eastAsia="en-AU"/>
    </w:rPr>
  </w:style>
  <w:style w:type="paragraph" w:customStyle="1" w:styleId="DPSListNumber2">
    <w:name w:val="DPS List Number 2"/>
    <w:basedOn w:val="Normal"/>
    <w:rsid w:val="00AE3034"/>
    <w:pPr>
      <w:numPr>
        <w:ilvl w:val="2"/>
        <w:numId w:val="6"/>
      </w:numPr>
      <w:spacing w:before="180"/>
    </w:pPr>
    <w:rPr>
      <w:rFonts w:ascii="Verdana" w:hAnsi="Verdana" w:cs="Arial"/>
      <w:sz w:val="22"/>
      <w:szCs w:val="22"/>
      <w:lang w:eastAsia="en-AU"/>
    </w:rPr>
  </w:style>
  <w:style w:type="paragraph" w:customStyle="1" w:styleId="DPSListNumber3">
    <w:name w:val="DPS List Number 3"/>
    <w:basedOn w:val="Normal"/>
    <w:link w:val="DPSListNumber3Char"/>
    <w:rsid w:val="00AE3034"/>
    <w:pPr>
      <w:numPr>
        <w:ilvl w:val="3"/>
        <w:numId w:val="6"/>
      </w:numPr>
      <w:spacing w:before="140"/>
    </w:pPr>
    <w:rPr>
      <w:rFonts w:ascii="Verdana" w:hAnsi="Verdana" w:cs="Arial"/>
      <w:sz w:val="22"/>
      <w:szCs w:val="22"/>
      <w:lang w:eastAsia="en-AU"/>
    </w:rPr>
  </w:style>
  <w:style w:type="character" w:customStyle="1" w:styleId="DPSListNumber1Char">
    <w:name w:val="DPS List Number 1 Char"/>
    <w:basedOn w:val="DefaultParagraphFont"/>
    <w:link w:val="DPSListNumber1"/>
    <w:rsid w:val="00AE3034"/>
    <w:rPr>
      <w:rFonts w:ascii="Verdana" w:eastAsia="Times New Roman" w:hAnsi="Verdana" w:cs="Arial"/>
      <w:lang w:val="en-GB" w:eastAsia="en-AU"/>
    </w:rPr>
  </w:style>
  <w:style w:type="character" w:customStyle="1" w:styleId="DPSListNumber3Char">
    <w:name w:val="DPS List Number 3 Char"/>
    <w:basedOn w:val="DefaultParagraphFont"/>
    <w:link w:val="DPSListNumber3"/>
    <w:rsid w:val="00AE3034"/>
    <w:rPr>
      <w:rFonts w:ascii="Verdana" w:eastAsia="Times New Roman" w:hAnsi="Verdana" w:cs="Arial"/>
      <w:lang w:val="en-GB" w:eastAsia="en-AU"/>
    </w:rPr>
  </w:style>
  <w:style w:type="paragraph" w:customStyle="1" w:styleId="ClauseLevel2">
    <w:name w:val="Clause Level 2"/>
    <w:basedOn w:val="Normal"/>
    <w:rsid w:val="00D7637A"/>
    <w:pPr>
      <w:keepNext/>
      <w:numPr>
        <w:ilvl w:val="1"/>
        <w:numId w:val="7"/>
      </w:numPr>
      <w:spacing w:before="200" w:line="280" w:lineRule="atLeast"/>
    </w:pPr>
    <w:rPr>
      <w:rFonts w:ascii="Arial" w:eastAsia="Calibri" w:hAnsi="Arial" w:cs="Arial"/>
      <w:b/>
      <w:bCs/>
      <w:sz w:val="22"/>
      <w:szCs w:val="22"/>
    </w:rPr>
  </w:style>
  <w:style w:type="paragraph" w:customStyle="1" w:styleId="ClauseLevel1">
    <w:name w:val="Clause Level 1"/>
    <w:basedOn w:val="Normal"/>
    <w:link w:val="ClauseLevel1Char"/>
    <w:rsid w:val="00D7637A"/>
    <w:pPr>
      <w:keepNext/>
      <w:numPr>
        <w:numId w:val="7"/>
      </w:numPr>
      <w:spacing w:before="200" w:line="280" w:lineRule="atLeast"/>
    </w:pPr>
    <w:rPr>
      <w:rFonts w:ascii="Arial" w:eastAsia="Calibri" w:hAnsi="Arial" w:cs="Arial"/>
      <w:b/>
      <w:bCs/>
      <w:sz w:val="22"/>
      <w:szCs w:val="22"/>
      <w:lang w:eastAsia="en-AU"/>
    </w:rPr>
  </w:style>
  <w:style w:type="paragraph" w:customStyle="1" w:styleId="ClauseLevel3">
    <w:name w:val="Clause Level 3"/>
    <w:basedOn w:val="Normal"/>
    <w:link w:val="ClauseLevel3Char"/>
    <w:rsid w:val="00D7637A"/>
    <w:pPr>
      <w:numPr>
        <w:ilvl w:val="2"/>
        <w:numId w:val="7"/>
      </w:numPr>
      <w:spacing w:before="140" w:after="140" w:line="280" w:lineRule="atLeast"/>
    </w:pPr>
    <w:rPr>
      <w:rFonts w:ascii="Arial" w:eastAsia="Calibri" w:hAnsi="Arial" w:cs="Arial"/>
      <w:sz w:val="22"/>
      <w:szCs w:val="22"/>
    </w:rPr>
  </w:style>
  <w:style w:type="paragraph" w:customStyle="1" w:styleId="ClauseLevel4">
    <w:name w:val="Clause Level 4"/>
    <w:basedOn w:val="Normal"/>
    <w:link w:val="ClauseLevel4Char"/>
    <w:rsid w:val="00D7637A"/>
    <w:pPr>
      <w:numPr>
        <w:ilvl w:val="3"/>
        <w:numId w:val="7"/>
      </w:numPr>
      <w:spacing w:after="140" w:line="280" w:lineRule="atLeast"/>
    </w:pPr>
    <w:rPr>
      <w:rFonts w:ascii="Arial" w:eastAsia="Calibri" w:hAnsi="Arial" w:cs="Arial"/>
      <w:sz w:val="22"/>
      <w:szCs w:val="22"/>
    </w:rPr>
  </w:style>
  <w:style w:type="paragraph" w:customStyle="1" w:styleId="ClauseLevel5">
    <w:name w:val="Clause Level 5"/>
    <w:basedOn w:val="Normal"/>
    <w:link w:val="ClauseLevel5Char"/>
    <w:rsid w:val="00D7637A"/>
    <w:pPr>
      <w:numPr>
        <w:ilvl w:val="4"/>
        <w:numId w:val="7"/>
      </w:numPr>
      <w:spacing w:after="140" w:line="280" w:lineRule="atLeast"/>
    </w:pPr>
    <w:rPr>
      <w:rFonts w:ascii="Arial" w:eastAsia="Calibri" w:hAnsi="Arial" w:cs="Arial"/>
      <w:sz w:val="22"/>
      <w:szCs w:val="22"/>
    </w:rPr>
  </w:style>
  <w:style w:type="paragraph" w:customStyle="1" w:styleId="ClauseLevel6">
    <w:name w:val="Clause Level 6"/>
    <w:basedOn w:val="Normal"/>
    <w:rsid w:val="00D7637A"/>
    <w:pPr>
      <w:numPr>
        <w:ilvl w:val="5"/>
        <w:numId w:val="7"/>
      </w:numPr>
      <w:spacing w:after="140" w:line="280" w:lineRule="atLeast"/>
    </w:pPr>
    <w:rPr>
      <w:rFonts w:ascii="Arial" w:eastAsia="Calibri" w:hAnsi="Arial" w:cs="Arial"/>
      <w:sz w:val="22"/>
      <w:szCs w:val="22"/>
      <w:lang w:eastAsia="en-AU"/>
    </w:rPr>
  </w:style>
  <w:style w:type="paragraph" w:customStyle="1" w:styleId="ClauseLevel7">
    <w:name w:val="Clause Level 7"/>
    <w:basedOn w:val="Normal"/>
    <w:rsid w:val="00D7637A"/>
    <w:pPr>
      <w:numPr>
        <w:ilvl w:val="6"/>
        <w:numId w:val="7"/>
      </w:numPr>
      <w:spacing w:after="140" w:line="280" w:lineRule="atLeast"/>
    </w:pPr>
    <w:rPr>
      <w:rFonts w:ascii="Arial" w:eastAsia="Calibri" w:hAnsi="Arial" w:cs="Arial"/>
      <w:sz w:val="22"/>
      <w:szCs w:val="22"/>
      <w:lang w:eastAsia="en-AU"/>
    </w:rPr>
  </w:style>
  <w:style w:type="paragraph" w:customStyle="1" w:styleId="ClauseLevel8">
    <w:name w:val="Clause Level 8"/>
    <w:basedOn w:val="Normal"/>
    <w:rsid w:val="00D7637A"/>
    <w:pPr>
      <w:numPr>
        <w:ilvl w:val="7"/>
        <w:numId w:val="7"/>
      </w:numPr>
      <w:spacing w:after="140" w:line="280" w:lineRule="atLeast"/>
    </w:pPr>
    <w:rPr>
      <w:rFonts w:ascii="Arial" w:eastAsia="Calibri" w:hAnsi="Arial" w:cs="Arial"/>
      <w:sz w:val="22"/>
      <w:szCs w:val="22"/>
      <w:lang w:eastAsia="en-AU"/>
    </w:rPr>
  </w:style>
  <w:style w:type="paragraph" w:customStyle="1" w:styleId="ClauseLevel9">
    <w:name w:val="Clause Level 9"/>
    <w:basedOn w:val="Normal"/>
    <w:rsid w:val="00D7637A"/>
    <w:pPr>
      <w:numPr>
        <w:ilvl w:val="8"/>
        <w:numId w:val="7"/>
      </w:numPr>
      <w:spacing w:after="140" w:line="280" w:lineRule="atLeast"/>
    </w:pPr>
    <w:rPr>
      <w:rFonts w:ascii="Arial" w:eastAsia="Calibri" w:hAnsi="Arial" w:cs="Arial"/>
      <w:sz w:val="22"/>
      <w:szCs w:val="22"/>
      <w:lang w:eastAsia="en-AU"/>
    </w:rPr>
  </w:style>
  <w:style w:type="character" w:customStyle="1" w:styleId="ClauseLevel3Char">
    <w:name w:val="Clause Level 3 Char"/>
    <w:link w:val="ClauseLevel3"/>
    <w:rsid w:val="00D7637A"/>
    <w:rPr>
      <w:rFonts w:ascii="Arial" w:eastAsia="Calibri" w:hAnsi="Arial" w:cs="Arial"/>
      <w:lang w:val="en-GB"/>
    </w:rPr>
  </w:style>
  <w:style w:type="character" w:customStyle="1" w:styleId="ClauseLevel1Char">
    <w:name w:val="Clause Level 1 Char"/>
    <w:link w:val="ClauseLevel1"/>
    <w:rsid w:val="00D7637A"/>
    <w:rPr>
      <w:rFonts w:ascii="Arial" w:eastAsia="Calibri" w:hAnsi="Arial" w:cs="Arial"/>
      <w:b/>
      <w:bCs/>
      <w:lang w:val="en-GB" w:eastAsia="en-AU"/>
    </w:rPr>
  </w:style>
  <w:style w:type="paragraph" w:customStyle="1" w:styleId="Style1">
    <w:name w:val="Style1"/>
    <w:basedOn w:val="Heading3"/>
    <w:next w:val="Heading3"/>
    <w:qFormat/>
    <w:rsid w:val="00497F61"/>
    <w:pPr>
      <w:widowControl w:val="0"/>
      <w:tabs>
        <w:tab w:val="left" w:pos="0"/>
      </w:tabs>
      <w:autoSpaceDE w:val="0"/>
      <w:autoSpaceDN w:val="0"/>
      <w:adjustRightInd w:val="0"/>
      <w:spacing w:after="240"/>
    </w:pPr>
    <w:rPr>
      <w:rFonts w:eastAsiaTheme="minorEastAsia"/>
    </w:rPr>
  </w:style>
  <w:style w:type="paragraph" w:customStyle="1" w:styleId="BodyTextnormaltextparagraphs">
    <w:name w:val="Body Text (normal text paragraphs)"/>
    <w:basedOn w:val="Normal"/>
    <w:link w:val="BodyTextnormaltextparagraphsChar"/>
    <w:qFormat/>
    <w:rsid w:val="00743052"/>
    <w:pPr>
      <w:suppressAutoHyphens/>
      <w:autoSpaceDE w:val="0"/>
      <w:autoSpaceDN w:val="0"/>
      <w:adjustRightInd w:val="0"/>
      <w:spacing w:after="120" w:line="280" w:lineRule="atLeast"/>
      <w:textAlignment w:val="center"/>
    </w:pPr>
    <w:rPr>
      <w:rFonts w:asciiTheme="minorHAnsi" w:hAnsiTheme="minorHAnsi"/>
      <w:color w:val="000000"/>
      <w:szCs w:val="22"/>
      <w:lang w:eastAsia="fi-FI"/>
    </w:rPr>
  </w:style>
  <w:style w:type="paragraph" w:customStyle="1" w:styleId="Numberedpara">
    <w:name w:val="Numbered para"/>
    <w:basedOn w:val="BodyTextnormaltextparagraphs"/>
    <w:link w:val="NumberedparaChar"/>
    <w:qFormat/>
    <w:rsid w:val="00743052"/>
    <w:pPr>
      <w:tabs>
        <w:tab w:val="left" w:pos="567"/>
      </w:tabs>
    </w:pPr>
  </w:style>
  <w:style w:type="character" w:customStyle="1" w:styleId="BodyTextnormaltextparagraphsChar">
    <w:name w:val="Body Text (normal text paragraphs) Char"/>
    <w:basedOn w:val="DefaultParagraphFont"/>
    <w:link w:val="BodyTextnormaltextparagraphs"/>
    <w:rsid w:val="00743052"/>
    <w:rPr>
      <w:rFonts w:eastAsia="Times New Roman" w:cs="Times New Roman"/>
      <w:color w:val="000000"/>
      <w:sz w:val="24"/>
      <w:lang w:val="en-GB" w:eastAsia="fi-FI"/>
    </w:rPr>
  </w:style>
  <w:style w:type="character" w:customStyle="1" w:styleId="NumberedparaChar">
    <w:name w:val="Numbered para Char"/>
    <w:basedOn w:val="BodyTextnormaltextparagraphsChar"/>
    <w:link w:val="Numberedpara"/>
    <w:rsid w:val="00743052"/>
    <w:rPr>
      <w:rFonts w:eastAsia="Times New Roman" w:cs="Times New Roman"/>
      <w:color w:val="000000"/>
      <w:sz w:val="24"/>
      <w:lang w:val="en-GB" w:eastAsia="fi-FI"/>
    </w:rPr>
  </w:style>
  <w:style w:type="character" w:styleId="SubtleEmphasis">
    <w:name w:val="Subtle Emphasis"/>
    <w:basedOn w:val="DefaultParagraphFont"/>
    <w:uiPriority w:val="19"/>
    <w:qFormat/>
    <w:rsid w:val="004D1014"/>
    <w:rPr>
      <w:i/>
      <w:iCs/>
      <w:color w:val="404040" w:themeColor="text1" w:themeTint="BF"/>
    </w:rPr>
  </w:style>
  <w:style w:type="paragraph" w:customStyle="1" w:styleId="Tabletext0">
    <w:name w:val="Table text"/>
    <w:basedOn w:val="Normal"/>
    <w:qFormat/>
    <w:rsid w:val="00980964"/>
    <w:pPr>
      <w:suppressAutoHyphens/>
      <w:spacing w:after="60" w:line="240" w:lineRule="atLeast"/>
    </w:pPr>
    <w:rPr>
      <w:rFonts w:ascii="Arial" w:hAnsi="Arial" w:cs="Arial"/>
      <w:sz w:val="16"/>
      <w:szCs w:val="20"/>
    </w:rPr>
  </w:style>
  <w:style w:type="paragraph" w:styleId="Caption">
    <w:name w:val="caption"/>
    <w:basedOn w:val="Normal"/>
    <w:next w:val="Normal"/>
    <w:uiPriority w:val="35"/>
    <w:unhideWhenUsed/>
    <w:qFormat/>
    <w:rsid w:val="009F2558"/>
    <w:pPr>
      <w:spacing w:after="200"/>
    </w:pPr>
    <w:rPr>
      <w:rFonts w:asciiTheme="minorHAnsi" w:eastAsiaTheme="minorHAnsi" w:hAnsiTheme="minorHAnsi" w:cstheme="minorBidi"/>
      <w:i/>
      <w:iCs/>
      <w:color w:val="1F497D" w:themeColor="text2"/>
      <w:sz w:val="18"/>
      <w:szCs w:val="18"/>
    </w:rPr>
  </w:style>
  <w:style w:type="paragraph" w:customStyle="1" w:styleId="casestudyheader">
    <w:name w:val="case study header"/>
    <w:basedOn w:val="Normal"/>
    <w:rsid w:val="00BA5C10"/>
    <w:pPr>
      <w:spacing w:before="240" w:after="120"/>
    </w:pPr>
    <w:rPr>
      <w:rFonts w:ascii="Arial" w:eastAsiaTheme="minorHAnsi" w:hAnsi="Arial" w:cs="Helvetica"/>
      <w:b/>
      <w:color w:val="009F93"/>
      <w:sz w:val="20"/>
      <w:szCs w:val="20"/>
    </w:rPr>
  </w:style>
  <w:style w:type="character" w:customStyle="1" w:styleId="ClauseLevel4Char">
    <w:name w:val="Clause Level 4 Char"/>
    <w:link w:val="ClauseLevel4"/>
    <w:rsid w:val="006F7B29"/>
    <w:rPr>
      <w:rFonts w:ascii="Arial" w:eastAsia="Calibri" w:hAnsi="Arial" w:cs="Arial"/>
      <w:lang w:val="en-GB"/>
    </w:rPr>
  </w:style>
  <w:style w:type="character" w:customStyle="1" w:styleId="ClauseLevel5Char">
    <w:name w:val="Clause Level 5 Char"/>
    <w:link w:val="ClauseLevel5"/>
    <w:rsid w:val="006F7B29"/>
    <w:rPr>
      <w:rFonts w:ascii="Arial" w:eastAsia="Calibri" w:hAnsi="Arial" w:cs="Arial"/>
      <w:lang w:val="en-GB"/>
    </w:rPr>
  </w:style>
  <w:style w:type="paragraph" w:styleId="ListBullet">
    <w:name w:val="List Bullet"/>
    <w:basedOn w:val="Normal"/>
    <w:uiPriority w:val="4"/>
    <w:unhideWhenUsed/>
    <w:qFormat/>
    <w:rsid w:val="006F7B29"/>
    <w:pPr>
      <w:numPr>
        <w:numId w:val="8"/>
      </w:numPr>
      <w:spacing w:before="120" w:after="120" w:line="276" w:lineRule="auto"/>
      <w:ind w:left="357" w:hanging="357"/>
    </w:pPr>
    <w:rPr>
      <w:rFonts w:ascii="Arial" w:eastAsiaTheme="minorHAnsi" w:hAnsi="Arial" w:cstheme="minorBidi"/>
      <w:sz w:val="20"/>
      <w:szCs w:val="22"/>
    </w:rPr>
  </w:style>
  <w:style w:type="paragraph" w:customStyle="1" w:styleId="bullets">
    <w:name w:val="bullets"/>
    <w:basedOn w:val="Normal"/>
    <w:qFormat/>
    <w:rsid w:val="006F7B29"/>
    <w:pPr>
      <w:numPr>
        <w:numId w:val="9"/>
      </w:numPr>
      <w:spacing w:after="120"/>
      <w:ind w:left="357" w:hanging="357"/>
    </w:pPr>
    <w:rPr>
      <w:rFonts w:ascii="Candara" w:eastAsiaTheme="minorHAnsi" w:hAnsi="Candara" w:cstheme="minorBidi"/>
      <w:sz w:val="22"/>
      <w:szCs w:val="22"/>
    </w:rPr>
  </w:style>
  <w:style w:type="paragraph" w:customStyle="1" w:styleId="tablebullet">
    <w:name w:val="table bullet"/>
    <w:basedOn w:val="bullets"/>
    <w:qFormat/>
    <w:rsid w:val="006F7B29"/>
    <w:pPr>
      <w:spacing w:after="40"/>
      <w:ind w:left="227" w:hanging="227"/>
    </w:pPr>
    <w:rPr>
      <w:rFonts w:ascii="Franklin Gothic Book" w:hAnsi="Franklin Gothic Book"/>
      <w:sz w:val="21"/>
    </w:rPr>
  </w:style>
  <w:style w:type="table" w:styleId="GridTable2-Accent1">
    <w:name w:val="Grid Table 2 Accent 1"/>
    <w:basedOn w:val="TableNormal"/>
    <w:uiPriority w:val="47"/>
    <w:rsid w:val="008A750C"/>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
    <w:name w:val="Table"/>
    <w:basedOn w:val="Normal"/>
    <w:link w:val="TableChar"/>
    <w:rsid w:val="004630AB"/>
    <w:pPr>
      <w:spacing w:before="60" w:after="60"/>
    </w:pPr>
    <w:rPr>
      <w:rFonts w:ascii="Calibri" w:hAnsi="Calibri"/>
      <w:sz w:val="20"/>
      <w:szCs w:val="22"/>
      <w:lang w:val="en-CA"/>
    </w:rPr>
  </w:style>
  <w:style w:type="character" w:customStyle="1" w:styleId="TableChar">
    <w:name w:val="Table Char"/>
    <w:basedOn w:val="DefaultParagraphFont"/>
    <w:link w:val="Table"/>
    <w:rsid w:val="004630AB"/>
    <w:rPr>
      <w:rFonts w:ascii="Calibri" w:eastAsia="Times New Roman" w:hAnsi="Calibri" w:cs="Times New Roman"/>
      <w:sz w:val="20"/>
      <w:lang w:val="en-CA"/>
    </w:rPr>
  </w:style>
  <w:style w:type="table" w:styleId="GridTable3-Accent1">
    <w:name w:val="Grid Table 3 Accent 1"/>
    <w:basedOn w:val="TableNormal"/>
    <w:uiPriority w:val="48"/>
    <w:rsid w:val="00A97486"/>
    <w:pPr>
      <w:spacing w:after="0" w:line="240" w:lineRule="auto"/>
    </w:pPr>
    <w:rPr>
      <w:sz w:val="24"/>
      <w:szCs w:val="24"/>
      <w:lang w:val="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customStyle="1" w:styleId="m-8487809160432994661msolistparagraph">
    <w:name w:val="m_-8487809160432994661msolistparagraph"/>
    <w:basedOn w:val="Normal"/>
    <w:rsid w:val="00BE3C61"/>
    <w:pPr>
      <w:spacing w:before="100" w:beforeAutospacing="1" w:after="100" w:afterAutospacing="1"/>
    </w:pPr>
  </w:style>
  <w:style w:type="character" w:customStyle="1" w:styleId="apple-converted-space">
    <w:name w:val="apple-converted-space"/>
    <w:basedOn w:val="DefaultParagraphFont"/>
    <w:rsid w:val="00BE3C61"/>
  </w:style>
  <w:style w:type="paragraph" w:customStyle="1" w:styleId="UNICEFTableTitle">
    <w:name w:val="UNICEF Table Title"/>
    <w:basedOn w:val="Normal"/>
    <w:next w:val="BodyText"/>
    <w:link w:val="UNICEFTableTitleChar"/>
    <w:qFormat/>
    <w:rsid w:val="00155C9E"/>
    <w:pPr>
      <w:keepNext/>
      <w:numPr>
        <w:numId w:val="10"/>
      </w:numPr>
      <w:spacing w:after="60" w:line="276" w:lineRule="auto"/>
      <w:jc w:val="center"/>
      <w:outlineLvl w:val="7"/>
    </w:pPr>
    <w:rPr>
      <w:rFonts w:ascii="Tahoma" w:hAnsi="Tahoma"/>
      <w:b/>
      <w:sz w:val="22"/>
      <w:szCs w:val="20"/>
    </w:rPr>
  </w:style>
  <w:style w:type="character" w:customStyle="1" w:styleId="UNICEFTableTitleChar">
    <w:name w:val="UNICEF Table Title Char"/>
    <w:link w:val="UNICEFTableTitle"/>
    <w:rsid w:val="00155C9E"/>
    <w:rPr>
      <w:rFonts w:ascii="Tahoma" w:eastAsia="Times New Roman" w:hAnsi="Tahoma" w:cs="Times New Roman"/>
      <w:b/>
      <w:szCs w:val="20"/>
      <w:lang w:val="en-GB"/>
    </w:rPr>
  </w:style>
  <w:style w:type="paragraph" w:customStyle="1" w:styleId="UNICEFnormal">
    <w:name w:val="UNICEF normal"/>
    <w:basedOn w:val="Normal"/>
    <w:link w:val="UNICEFnormalChar"/>
    <w:uiPriority w:val="34"/>
    <w:qFormat/>
    <w:rsid w:val="00155C9E"/>
    <w:pPr>
      <w:suppressAutoHyphens/>
      <w:autoSpaceDN w:val="0"/>
      <w:spacing w:before="120" w:after="120" w:line="100" w:lineRule="atLeast"/>
      <w:jc w:val="both"/>
      <w:textAlignment w:val="baseline"/>
    </w:pPr>
    <w:rPr>
      <w:rFonts w:ascii="Tahoma" w:hAnsi="Tahoma"/>
      <w:sz w:val="22"/>
      <w:szCs w:val="20"/>
      <w:lang w:val="en-US" w:eastAsia="en-GB"/>
    </w:rPr>
  </w:style>
  <w:style w:type="character" w:customStyle="1" w:styleId="UNICEFnormalChar">
    <w:name w:val="UNICEF normal Char"/>
    <w:link w:val="UNICEFnormal"/>
    <w:uiPriority w:val="34"/>
    <w:locked/>
    <w:rsid w:val="00155C9E"/>
    <w:rPr>
      <w:rFonts w:ascii="Tahoma" w:eastAsia="Times New Roman" w:hAnsi="Tahoma" w:cs="Times New Roman"/>
      <w:szCs w:val="20"/>
      <w:lang w:val="en-US" w:eastAsia="en-GB"/>
    </w:rPr>
  </w:style>
  <w:style w:type="character" w:customStyle="1" w:styleId="FootnoteTextChar2">
    <w:name w:val="Footnote Text Char2"/>
    <w:aliases w:val="single space Char1,FOOTNOTES Char1,fn Char1,Footnote Text Char Char Char Char Char2,Footnote Text Char Char Char Char2,footnote text Char1,ADB Char1,Footnote Text Char Char2,Footnote Text Char Char Char Char Char Char1"/>
    <w:uiPriority w:val="99"/>
    <w:rsid w:val="009F6227"/>
    <w:rPr>
      <w:rFonts w:ascii="Arial" w:hAnsi="Arial"/>
      <w:sz w:val="18"/>
      <w:szCs w:val="20"/>
      <w:lang w:eastAsia="en-US"/>
    </w:rPr>
  </w:style>
  <w:style w:type="paragraph" w:customStyle="1" w:styleId="UNICEFfootnote">
    <w:name w:val="UNICEF footnote"/>
    <w:basedOn w:val="FootnoteText"/>
    <w:link w:val="UNICEFfootnoteChar"/>
    <w:qFormat/>
    <w:rsid w:val="009F6227"/>
    <w:pPr>
      <w:spacing w:after="60" w:line="276" w:lineRule="auto"/>
    </w:pPr>
    <w:rPr>
      <w:rFonts w:ascii="Tahoma" w:eastAsia="Cambria" w:hAnsi="Tahoma" w:cs="Times New Roman"/>
      <w:sz w:val="18"/>
    </w:rPr>
  </w:style>
  <w:style w:type="character" w:customStyle="1" w:styleId="UNICEFfootnoteChar">
    <w:name w:val="UNICEF footnote Char"/>
    <w:basedOn w:val="FootnoteTextChar2"/>
    <w:link w:val="UNICEFfootnote"/>
    <w:rsid w:val="009F6227"/>
    <w:rPr>
      <w:rFonts w:ascii="Tahoma" w:eastAsia="Cambria" w:hAnsi="Tahoma" w:cs="Times New Roman"/>
      <w:sz w:val="18"/>
      <w:szCs w:val="20"/>
      <w:lang w:val="en-GB" w:eastAsia="en-US"/>
    </w:rPr>
  </w:style>
  <w:style w:type="paragraph" w:customStyle="1" w:styleId="zzFootnotre">
    <w:name w:val="zz Footnot re"/>
    <w:basedOn w:val="Normal"/>
    <w:link w:val="FootnoteReference"/>
    <w:uiPriority w:val="99"/>
    <w:rsid w:val="009F6227"/>
    <w:pPr>
      <w:spacing w:before="120" w:after="160" w:line="240" w:lineRule="exact"/>
      <w:ind w:left="432"/>
    </w:pPr>
    <w:rPr>
      <w:rFonts w:asciiTheme="minorHAnsi" w:eastAsiaTheme="minorHAnsi" w:hAnsiTheme="minorHAnsi" w:cstheme="minorBidi"/>
      <w:sz w:val="22"/>
      <w:szCs w:val="22"/>
      <w:vertAlign w:val="superscript"/>
    </w:rPr>
  </w:style>
  <w:style w:type="table" w:customStyle="1" w:styleId="TableGrid51">
    <w:name w:val="Table Grid51"/>
    <w:basedOn w:val="TableNormal"/>
    <w:next w:val="TableGrid"/>
    <w:uiPriority w:val="59"/>
    <w:rsid w:val="009F6227"/>
    <w:pPr>
      <w:spacing w:beforeLines="40" w:afterLines="40" w:after="0" w:line="264" w:lineRule="auto"/>
      <w:ind w:left="283" w:hanging="425"/>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bullet-1"/>
    <w:basedOn w:val="Normal"/>
    <w:link w:val="List-bullet-1Char"/>
    <w:rsid w:val="0022125D"/>
    <w:pPr>
      <w:numPr>
        <w:numId w:val="11"/>
      </w:numPr>
      <w:spacing w:before="120"/>
    </w:pPr>
    <w:rPr>
      <w:rFonts w:ascii="Arial" w:hAnsi="Arial" w:cs="Arial"/>
      <w:sz w:val="20"/>
      <w:szCs w:val="22"/>
    </w:rPr>
  </w:style>
  <w:style w:type="character" w:customStyle="1" w:styleId="List-bullet-1Char">
    <w:name w:val="List-bullet-1 Char"/>
    <w:link w:val="List-bullet-1"/>
    <w:locked/>
    <w:rsid w:val="0022125D"/>
    <w:rPr>
      <w:rFonts w:ascii="Arial" w:eastAsia="Times New Roman" w:hAnsi="Arial" w:cs="Arial"/>
      <w:sz w:val="20"/>
      <w:lang w:val="en-GB"/>
    </w:rPr>
  </w:style>
  <w:style w:type="paragraph" w:customStyle="1" w:styleId="UNICEFHead4">
    <w:name w:val="UNICEF Head 4"/>
    <w:basedOn w:val="Normal"/>
    <w:link w:val="UNICEFHead4Char"/>
    <w:qFormat/>
    <w:rsid w:val="00E80DE3"/>
    <w:pPr>
      <w:keepNext/>
      <w:spacing w:before="240" w:after="120" w:line="276" w:lineRule="auto"/>
      <w:outlineLvl w:val="3"/>
    </w:pPr>
    <w:rPr>
      <w:rFonts w:ascii="Tahoma" w:eastAsia="Calibri" w:hAnsi="Tahoma"/>
      <w:b/>
      <w:color w:val="3B4A6A"/>
    </w:rPr>
  </w:style>
  <w:style w:type="character" w:customStyle="1" w:styleId="UNICEFHead4Char">
    <w:name w:val="UNICEF Head 4 Char"/>
    <w:link w:val="UNICEFHead4"/>
    <w:rsid w:val="00E80DE3"/>
    <w:rPr>
      <w:rFonts w:ascii="Tahoma" w:eastAsia="Calibri" w:hAnsi="Tahoma" w:cs="Times New Roman"/>
      <w:b/>
      <w:color w:val="3B4A6A"/>
      <w:sz w:val="24"/>
      <w:szCs w:val="24"/>
      <w:lang w:val="en-GB"/>
    </w:rPr>
  </w:style>
  <w:style w:type="character" w:customStyle="1" w:styleId="NormalWebChar">
    <w:name w:val="Normal (Web) Char"/>
    <w:link w:val="NormalWeb"/>
    <w:uiPriority w:val="99"/>
    <w:rsid w:val="00C335ED"/>
    <w:rPr>
      <w:rFonts w:ascii="Times New Roman" w:hAnsi="Times New Roman" w:cs="Times New Roman"/>
      <w:sz w:val="24"/>
      <w:szCs w:val="24"/>
      <w:lang w:val="en-US"/>
    </w:rPr>
  </w:style>
  <w:style w:type="character" w:customStyle="1" w:styleId="UnresolvedMention">
    <w:name w:val="Unresolved Mention"/>
    <w:basedOn w:val="DefaultParagraphFont"/>
    <w:uiPriority w:val="99"/>
    <w:semiHidden/>
    <w:unhideWhenUsed/>
    <w:rsid w:val="00586E5C"/>
    <w:rPr>
      <w:color w:val="605E5C"/>
      <w:shd w:val="clear" w:color="auto" w:fill="E1DFDD"/>
    </w:rPr>
  </w:style>
  <w:style w:type="character" w:styleId="FollowedHyperlink">
    <w:name w:val="FollowedHyperlink"/>
    <w:basedOn w:val="DefaultParagraphFont"/>
    <w:uiPriority w:val="99"/>
    <w:semiHidden/>
    <w:unhideWhenUsed/>
    <w:rsid w:val="00EC74BA"/>
    <w:rPr>
      <w:color w:val="800080" w:themeColor="followedHyperlink"/>
      <w:u w:val="single"/>
    </w:rPr>
  </w:style>
  <w:style w:type="paragraph" w:customStyle="1" w:styleId="TableParagraph">
    <w:name w:val="Table Paragraph"/>
    <w:basedOn w:val="Normal"/>
    <w:uiPriority w:val="1"/>
    <w:qFormat/>
    <w:rsid w:val="008E2598"/>
    <w:pPr>
      <w:widowControl w:val="0"/>
      <w:autoSpaceDE w:val="0"/>
      <w:autoSpaceDN w:val="0"/>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4826">
      <w:bodyDiv w:val="1"/>
      <w:marLeft w:val="0"/>
      <w:marRight w:val="0"/>
      <w:marTop w:val="0"/>
      <w:marBottom w:val="0"/>
      <w:divBdr>
        <w:top w:val="none" w:sz="0" w:space="0" w:color="auto"/>
        <w:left w:val="none" w:sz="0" w:space="0" w:color="auto"/>
        <w:bottom w:val="none" w:sz="0" w:space="0" w:color="auto"/>
        <w:right w:val="none" w:sz="0" w:space="0" w:color="auto"/>
      </w:divBdr>
    </w:div>
    <w:div w:id="55904940">
      <w:bodyDiv w:val="1"/>
      <w:marLeft w:val="0"/>
      <w:marRight w:val="0"/>
      <w:marTop w:val="0"/>
      <w:marBottom w:val="0"/>
      <w:divBdr>
        <w:top w:val="none" w:sz="0" w:space="0" w:color="auto"/>
        <w:left w:val="none" w:sz="0" w:space="0" w:color="auto"/>
        <w:bottom w:val="none" w:sz="0" w:space="0" w:color="auto"/>
        <w:right w:val="none" w:sz="0" w:space="0" w:color="auto"/>
      </w:divBdr>
      <w:divsChild>
        <w:div w:id="1924803457">
          <w:marLeft w:val="0"/>
          <w:marRight w:val="0"/>
          <w:marTop w:val="0"/>
          <w:marBottom w:val="0"/>
          <w:divBdr>
            <w:top w:val="none" w:sz="0" w:space="0" w:color="auto"/>
            <w:left w:val="none" w:sz="0" w:space="0" w:color="auto"/>
            <w:bottom w:val="none" w:sz="0" w:space="0" w:color="auto"/>
            <w:right w:val="none" w:sz="0" w:space="0" w:color="auto"/>
          </w:divBdr>
          <w:divsChild>
            <w:div w:id="926885930">
              <w:marLeft w:val="0"/>
              <w:marRight w:val="0"/>
              <w:marTop w:val="0"/>
              <w:marBottom w:val="0"/>
              <w:divBdr>
                <w:top w:val="none" w:sz="0" w:space="0" w:color="auto"/>
                <w:left w:val="none" w:sz="0" w:space="0" w:color="auto"/>
                <w:bottom w:val="none" w:sz="0" w:space="0" w:color="auto"/>
                <w:right w:val="none" w:sz="0" w:space="0" w:color="auto"/>
              </w:divBdr>
              <w:divsChild>
                <w:div w:id="173553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8457">
      <w:bodyDiv w:val="1"/>
      <w:marLeft w:val="0"/>
      <w:marRight w:val="0"/>
      <w:marTop w:val="0"/>
      <w:marBottom w:val="0"/>
      <w:divBdr>
        <w:top w:val="none" w:sz="0" w:space="0" w:color="auto"/>
        <w:left w:val="none" w:sz="0" w:space="0" w:color="auto"/>
        <w:bottom w:val="none" w:sz="0" w:space="0" w:color="auto"/>
        <w:right w:val="none" w:sz="0" w:space="0" w:color="auto"/>
      </w:divBdr>
      <w:divsChild>
        <w:div w:id="1462378013">
          <w:marLeft w:val="547"/>
          <w:marRight w:val="0"/>
          <w:marTop w:val="0"/>
          <w:marBottom w:val="0"/>
          <w:divBdr>
            <w:top w:val="none" w:sz="0" w:space="0" w:color="auto"/>
            <w:left w:val="none" w:sz="0" w:space="0" w:color="auto"/>
            <w:bottom w:val="none" w:sz="0" w:space="0" w:color="auto"/>
            <w:right w:val="none" w:sz="0" w:space="0" w:color="auto"/>
          </w:divBdr>
        </w:div>
        <w:div w:id="189414020">
          <w:marLeft w:val="547"/>
          <w:marRight w:val="0"/>
          <w:marTop w:val="0"/>
          <w:marBottom w:val="0"/>
          <w:divBdr>
            <w:top w:val="none" w:sz="0" w:space="0" w:color="auto"/>
            <w:left w:val="none" w:sz="0" w:space="0" w:color="auto"/>
            <w:bottom w:val="none" w:sz="0" w:space="0" w:color="auto"/>
            <w:right w:val="none" w:sz="0" w:space="0" w:color="auto"/>
          </w:divBdr>
        </w:div>
      </w:divsChild>
    </w:div>
    <w:div w:id="71512784">
      <w:bodyDiv w:val="1"/>
      <w:marLeft w:val="0"/>
      <w:marRight w:val="0"/>
      <w:marTop w:val="0"/>
      <w:marBottom w:val="0"/>
      <w:divBdr>
        <w:top w:val="none" w:sz="0" w:space="0" w:color="auto"/>
        <w:left w:val="none" w:sz="0" w:space="0" w:color="auto"/>
        <w:bottom w:val="none" w:sz="0" w:space="0" w:color="auto"/>
        <w:right w:val="none" w:sz="0" w:space="0" w:color="auto"/>
      </w:divBdr>
    </w:div>
    <w:div w:id="92671985">
      <w:bodyDiv w:val="1"/>
      <w:marLeft w:val="0"/>
      <w:marRight w:val="0"/>
      <w:marTop w:val="0"/>
      <w:marBottom w:val="0"/>
      <w:divBdr>
        <w:top w:val="none" w:sz="0" w:space="0" w:color="auto"/>
        <w:left w:val="none" w:sz="0" w:space="0" w:color="auto"/>
        <w:bottom w:val="none" w:sz="0" w:space="0" w:color="auto"/>
        <w:right w:val="none" w:sz="0" w:space="0" w:color="auto"/>
      </w:divBdr>
      <w:divsChild>
        <w:div w:id="561257584">
          <w:marLeft w:val="0"/>
          <w:marRight w:val="0"/>
          <w:marTop w:val="0"/>
          <w:marBottom w:val="0"/>
          <w:divBdr>
            <w:top w:val="none" w:sz="0" w:space="0" w:color="auto"/>
            <w:left w:val="none" w:sz="0" w:space="0" w:color="auto"/>
            <w:bottom w:val="none" w:sz="0" w:space="0" w:color="auto"/>
            <w:right w:val="none" w:sz="0" w:space="0" w:color="auto"/>
          </w:divBdr>
          <w:divsChild>
            <w:div w:id="1243370209">
              <w:marLeft w:val="0"/>
              <w:marRight w:val="0"/>
              <w:marTop w:val="0"/>
              <w:marBottom w:val="0"/>
              <w:divBdr>
                <w:top w:val="none" w:sz="0" w:space="0" w:color="auto"/>
                <w:left w:val="none" w:sz="0" w:space="0" w:color="auto"/>
                <w:bottom w:val="none" w:sz="0" w:space="0" w:color="auto"/>
                <w:right w:val="none" w:sz="0" w:space="0" w:color="auto"/>
              </w:divBdr>
              <w:divsChild>
                <w:div w:id="126334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6644">
      <w:bodyDiv w:val="1"/>
      <w:marLeft w:val="0"/>
      <w:marRight w:val="0"/>
      <w:marTop w:val="0"/>
      <w:marBottom w:val="0"/>
      <w:divBdr>
        <w:top w:val="none" w:sz="0" w:space="0" w:color="auto"/>
        <w:left w:val="none" w:sz="0" w:space="0" w:color="auto"/>
        <w:bottom w:val="none" w:sz="0" w:space="0" w:color="auto"/>
        <w:right w:val="none" w:sz="0" w:space="0" w:color="auto"/>
      </w:divBdr>
      <w:divsChild>
        <w:div w:id="1350258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1190911">
              <w:marLeft w:val="0"/>
              <w:marRight w:val="0"/>
              <w:marTop w:val="0"/>
              <w:marBottom w:val="0"/>
              <w:divBdr>
                <w:top w:val="none" w:sz="0" w:space="0" w:color="auto"/>
                <w:left w:val="none" w:sz="0" w:space="0" w:color="auto"/>
                <w:bottom w:val="none" w:sz="0" w:space="0" w:color="auto"/>
                <w:right w:val="none" w:sz="0" w:space="0" w:color="auto"/>
              </w:divBdr>
              <w:divsChild>
                <w:div w:id="208314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0300">
      <w:bodyDiv w:val="1"/>
      <w:marLeft w:val="0"/>
      <w:marRight w:val="0"/>
      <w:marTop w:val="0"/>
      <w:marBottom w:val="0"/>
      <w:divBdr>
        <w:top w:val="none" w:sz="0" w:space="0" w:color="auto"/>
        <w:left w:val="none" w:sz="0" w:space="0" w:color="auto"/>
        <w:bottom w:val="none" w:sz="0" w:space="0" w:color="auto"/>
        <w:right w:val="none" w:sz="0" w:space="0" w:color="auto"/>
      </w:divBdr>
    </w:div>
    <w:div w:id="194080016">
      <w:bodyDiv w:val="1"/>
      <w:marLeft w:val="0"/>
      <w:marRight w:val="0"/>
      <w:marTop w:val="0"/>
      <w:marBottom w:val="0"/>
      <w:divBdr>
        <w:top w:val="none" w:sz="0" w:space="0" w:color="auto"/>
        <w:left w:val="none" w:sz="0" w:space="0" w:color="auto"/>
        <w:bottom w:val="none" w:sz="0" w:space="0" w:color="auto"/>
        <w:right w:val="none" w:sz="0" w:space="0" w:color="auto"/>
      </w:divBdr>
      <w:divsChild>
        <w:div w:id="388273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416128">
              <w:marLeft w:val="0"/>
              <w:marRight w:val="0"/>
              <w:marTop w:val="0"/>
              <w:marBottom w:val="0"/>
              <w:divBdr>
                <w:top w:val="none" w:sz="0" w:space="0" w:color="auto"/>
                <w:left w:val="none" w:sz="0" w:space="0" w:color="auto"/>
                <w:bottom w:val="none" w:sz="0" w:space="0" w:color="auto"/>
                <w:right w:val="none" w:sz="0" w:space="0" w:color="auto"/>
              </w:divBdr>
              <w:divsChild>
                <w:div w:id="52024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65003">
      <w:bodyDiv w:val="1"/>
      <w:marLeft w:val="0"/>
      <w:marRight w:val="0"/>
      <w:marTop w:val="0"/>
      <w:marBottom w:val="0"/>
      <w:divBdr>
        <w:top w:val="none" w:sz="0" w:space="0" w:color="auto"/>
        <w:left w:val="none" w:sz="0" w:space="0" w:color="auto"/>
        <w:bottom w:val="none" w:sz="0" w:space="0" w:color="auto"/>
        <w:right w:val="none" w:sz="0" w:space="0" w:color="auto"/>
      </w:divBdr>
      <w:divsChild>
        <w:div w:id="212078878">
          <w:marLeft w:val="547"/>
          <w:marRight w:val="0"/>
          <w:marTop w:val="0"/>
          <w:marBottom w:val="0"/>
          <w:divBdr>
            <w:top w:val="none" w:sz="0" w:space="0" w:color="auto"/>
            <w:left w:val="none" w:sz="0" w:space="0" w:color="auto"/>
            <w:bottom w:val="none" w:sz="0" w:space="0" w:color="auto"/>
            <w:right w:val="none" w:sz="0" w:space="0" w:color="auto"/>
          </w:divBdr>
        </w:div>
        <w:div w:id="1748306592">
          <w:marLeft w:val="547"/>
          <w:marRight w:val="0"/>
          <w:marTop w:val="0"/>
          <w:marBottom w:val="0"/>
          <w:divBdr>
            <w:top w:val="none" w:sz="0" w:space="0" w:color="auto"/>
            <w:left w:val="none" w:sz="0" w:space="0" w:color="auto"/>
            <w:bottom w:val="none" w:sz="0" w:space="0" w:color="auto"/>
            <w:right w:val="none" w:sz="0" w:space="0" w:color="auto"/>
          </w:divBdr>
        </w:div>
      </w:divsChild>
    </w:div>
    <w:div w:id="203178232">
      <w:bodyDiv w:val="1"/>
      <w:marLeft w:val="0"/>
      <w:marRight w:val="0"/>
      <w:marTop w:val="0"/>
      <w:marBottom w:val="0"/>
      <w:divBdr>
        <w:top w:val="none" w:sz="0" w:space="0" w:color="auto"/>
        <w:left w:val="none" w:sz="0" w:space="0" w:color="auto"/>
        <w:bottom w:val="none" w:sz="0" w:space="0" w:color="auto"/>
        <w:right w:val="none" w:sz="0" w:space="0" w:color="auto"/>
      </w:divBdr>
      <w:divsChild>
        <w:div w:id="1754429342">
          <w:marLeft w:val="0"/>
          <w:marRight w:val="0"/>
          <w:marTop w:val="0"/>
          <w:marBottom w:val="0"/>
          <w:divBdr>
            <w:top w:val="none" w:sz="0" w:space="0" w:color="auto"/>
            <w:left w:val="none" w:sz="0" w:space="0" w:color="auto"/>
            <w:bottom w:val="none" w:sz="0" w:space="0" w:color="auto"/>
            <w:right w:val="none" w:sz="0" w:space="0" w:color="auto"/>
          </w:divBdr>
          <w:divsChild>
            <w:div w:id="1018969946">
              <w:marLeft w:val="0"/>
              <w:marRight w:val="0"/>
              <w:marTop w:val="0"/>
              <w:marBottom w:val="0"/>
              <w:divBdr>
                <w:top w:val="none" w:sz="0" w:space="0" w:color="auto"/>
                <w:left w:val="none" w:sz="0" w:space="0" w:color="auto"/>
                <w:bottom w:val="none" w:sz="0" w:space="0" w:color="auto"/>
                <w:right w:val="none" w:sz="0" w:space="0" w:color="auto"/>
              </w:divBdr>
              <w:divsChild>
                <w:div w:id="10395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21463">
      <w:bodyDiv w:val="1"/>
      <w:marLeft w:val="0"/>
      <w:marRight w:val="0"/>
      <w:marTop w:val="0"/>
      <w:marBottom w:val="0"/>
      <w:divBdr>
        <w:top w:val="none" w:sz="0" w:space="0" w:color="auto"/>
        <w:left w:val="none" w:sz="0" w:space="0" w:color="auto"/>
        <w:bottom w:val="none" w:sz="0" w:space="0" w:color="auto"/>
        <w:right w:val="none" w:sz="0" w:space="0" w:color="auto"/>
      </w:divBdr>
    </w:div>
    <w:div w:id="224295277">
      <w:bodyDiv w:val="1"/>
      <w:marLeft w:val="0"/>
      <w:marRight w:val="0"/>
      <w:marTop w:val="0"/>
      <w:marBottom w:val="0"/>
      <w:divBdr>
        <w:top w:val="none" w:sz="0" w:space="0" w:color="auto"/>
        <w:left w:val="none" w:sz="0" w:space="0" w:color="auto"/>
        <w:bottom w:val="none" w:sz="0" w:space="0" w:color="auto"/>
        <w:right w:val="none" w:sz="0" w:space="0" w:color="auto"/>
      </w:divBdr>
    </w:div>
    <w:div w:id="337342778">
      <w:bodyDiv w:val="1"/>
      <w:marLeft w:val="0"/>
      <w:marRight w:val="0"/>
      <w:marTop w:val="0"/>
      <w:marBottom w:val="0"/>
      <w:divBdr>
        <w:top w:val="none" w:sz="0" w:space="0" w:color="auto"/>
        <w:left w:val="none" w:sz="0" w:space="0" w:color="auto"/>
        <w:bottom w:val="none" w:sz="0" w:space="0" w:color="auto"/>
        <w:right w:val="none" w:sz="0" w:space="0" w:color="auto"/>
      </w:divBdr>
      <w:divsChild>
        <w:div w:id="1357580943">
          <w:marLeft w:val="0"/>
          <w:marRight w:val="0"/>
          <w:marTop w:val="0"/>
          <w:marBottom w:val="0"/>
          <w:divBdr>
            <w:top w:val="none" w:sz="0" w:space="0" w:color="auto"/>
            <w:left w:val="none" w:sz="0" w:space="0" w:color="auto"/>
            <w:bottom w:val="none" w:sz="0" w:space="0" w:color="auto"/>
            <w:right w:val="none" w:sz="0" w:space="0" w:color="auto"/>
          </w:divBdr>
          <w:divsChild>
            <w:div w:id="1918830988">
              <w:marLeft w:val="0"/>
              <w:marRight w:val="0"/>
              <w:marTop w:val="0"/>
              <w:marBottom w:val="0"/>
              <w:divBdr>
                <w:top w:val="none" w:sz="0" w:space="0" w:color="auto"/>
                <w:left w:val="none" w:sz="0" w:space="0" w:color="auto"/>
                <w:bottom w:val="none" w:sz="0" w:space="0" w:color="auto"/>
                <w:right w:val="none" w:sz="0" w:space="0" w:color="auto"/>
              </w:divBdr>
              <w:divsChild>
                <w:div w:id="201603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4617">
      <w:bodyDiv w:val="1"/>
      <w:marLeft w:val="0"/>
      <w:marRight w:val="0"/>
      <w:marTop w:val="0"/>
      <w:marBottom w:val="0"/>
      <w:divBdr>
        <w:top w:val="none" w:sz="0" w:space="0" w:color="auto"/>
        <w:left w:val="none" w:sz="0" w:space="0" w:color="auto"/>
        <w:bottom w:val="none" w:sz="0" w:space="0" w:color="auto"/>
        <w:right w:val="none" w:sz="0" w:space="0" w:color="auto"/>
      </w:divBdr>
    </w:div>
    <w:div w:id="405880061">
      <w:bodyDiv w:val="1"/>
      <w:marLeft w:val="0"/>
      <w:marRight w:val="0"/>
      <w:marTop w:val="0"/>
      <w:marBottom w:val="0"/>
      <w:divBdr>
        <w:top w:val="none" w:sz="0" w:space="0" w:color="auto"/>
        <w:left w:val="none" w:sz="0" w:space="0" w:color="auto"/>
        <w:bottom w:val="none" w:sz="0" w:space="0" w:color="auto"/>
        <w:right w:val="none" w:sz="0" w:space="0" w:color="auto"/>
      </w:divBdr>
    </w:div>
    <w:div w:id="421296001">
      <w:bodyDiv w:val="1"/>
      <w:marLeft w:val="0"/>
      <w:marRight w:val="0"/>
      <w:marTop w:val="0"/>
      <w:marBottom w:val="0"/>
      <w:divBdr>
        <w:top w:val="none" w:sz="0" w:space="0" w:color="auto"/>
        <w:left w:val="none" w:sz="0" w:space="0" w:color="auto"/>
        <w:bottom w:val="none" w:sz="0" w:space="0" w:color="auto"/>
        <w:right w:val="none" w:sz="0" w:space="0" w:color="auto"/>
      </w:divBdr>
      <w:divsChild>
        <w:div w:id="347410350">
          <w:marLeft w:val="0"/>
          <w:marRight w:val="0"/>
          <w:marTop w:val="0"/>
          <w:marBottom w:val="0"/>
          <w:divBdr>
            <w:top w:val="none" w:sz="0" w:space="0" w:color="auto"/>
            <w:left w:val="none" w:sz="0" w:space="0" w:color="auto"/>
            <w:bottom w:val="none" w:sz="0" w:space="0" w:color="auto"/>
            <w:right w:val="none" w:sz="0" w:space="0" w:color="auto"/>
          </w:divBdr>
          <w:divsChild>
            <w:div w:id="1088620181">
              <w:marLeft w:val="0"/>
              <w:marRight w:val="0"/>
              <w:marTop w:val="0"/>
              <w:marBottom w:val="0"/>
              <w:divBdr>
                <w:top w:val="none" w:sz="0" w:space="0" w:color="auto"/>
                <w:left w:val="none" w:sz="0" w:space="0" w:color="auto"/>
                <w:bottom w:val="none" w:sz="0" w:space="0" w:color="auto"/>
                <w:right w:val="none" w:sz="0" w:space="0" w:color="auto"/>
              </w:divBdr>
              <w:divsChild>
                <w:div w:id="69704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147772">
      <w:bodyDiv w:val="1"/>
      <w:marLeft w:val="0"/>
      <w:marRight w:val="0"/>
      <w:marTop w:val="0"/>
      <w:marBottom w:val="0"/>
      <w:divBdr>
        <w:top w:val="none" w:sz="0" w:space="0" w:color="auto"/>
        <w:left w:val="none" w:sz="0" w:space="0" w:color="auto"/>
        <w:bottom w:val="none" w:sz="0" w:space="0" w:color="auto"/>
        <w:right w:val="none" w:sz="0" w:space="0" w:color="auto"/>
      </w:divBdr>
    </w:div>
    <w:div w:id="463932299">
      <w:bodyDiv w:val="1"/>
      <w:marLeft w:val="0"/>
      <w:marRight w:val="0"/>
      <w:marTop w:val="0"/>
      <w:marBottom w:val="0"/>
      <w:divBdr>
        <w:top w:val="none" w:sz="0" w:space="0" w:color="auto"/>
        <w:left w:val="none" w:sz="0" w:space="0" w:color="auto"/>
        <w:bottom w:val="none" w:sz="0" w:space="0" w:color="auto"/>
        <w:right w:val="none" w:sz="0" w:space="0" w:color="auto"/>
      </w:divBdr>
      <w:divsChild>
        <w:div w:id="339478085">
          <w:marLeft w:val="0"/>
          <w:marRight w:val="0"/>
          <w:marTop w:val="0"/>
          <w:marBottom w:val="0"/>
          <w:divBdr>
            <w:top w:val="none" w:sz="0" w:space="0" w:color="auto"/>
            <w:left w:val="none" w:sz="0" w:space="0" w:color="auto"/>
            <w:bottom w:val="none" w:sz="0" w:space="0" w:color="auto"/>
            <w:right w:val="none" w:sz="0" w:space="0" w:color="auto"/>
          </w:divBdr>
          <w:divsChild>
            <w:div w:id="1582367468">
              <w:marLeft w:val="0"/>
              <w:marRight w:val="0"/>
              <w:marTop w:val="0"/>
              <w:marBottom w:val="0"/>
              <w:divBdr>
                <w:top w:val="none" w:sz="0" w:space="0" w:color="auto"/>
                <w:left w:val="none" w:sz="0" w:space="0" w:color="auto"/>
                <w:bottom w:val="none" w:sz="0" w:space="0" w:color="auto"/>
                <w:right w:val="none" w:sz="0" w:space="0" w:color="auto"/>
              </w:divBdr>
              <w:divsChild>
                <w:div w:id="1699961968">
                  <w:marLeft w:val="-225"/>
                  <w:marRight w:val="-225"/>
                  <w:marTop w:val="0"/>
                  <w:marBottom w:val="0"/>
                  <w:divBdr>
                    <w:top w:val="none" w:sz="0" w:space="0" w:color="auto"/>
                    <w:left w:val="none" w:sz="0" w:space="0" w:color="auto"/>
                    <w:bottom w:val="none" w:sz="0" w:space="0" w:color="auto"/>
                    <w:right w:val="none" w:sz="0" w:space="0" w:color="auto"/>
                  </w:divBdr>
                  <w:divsChild>
                    <w:div w:id="1015229836">
                      <w:marLeft w:val="0"/>
                      <w:marRight w:val="0"/>
                      <w:marTop w:val="0"/>
                      <w:marBottom w:val="0"/>
                      <w:divBdr>
                        <w:top w:val="none" w:sz="0" w:space="0" w:color="auto"/>
                        <w:left w:val="none" w:sz="0" w:space="0" w:color="auto"/>
                        <w:bottom w:val="none" w:sz="0" w:space="0" w:color="auto"/>
                        <w:right w:val="none" w:sz="0" w:space="0" w:color="auto"/>
                      </w:divBdr>
                      <w:divsChild>
                        <w:div w:id="2099671650">
                          <w:marLeft w:val="0"/>
                          <w:marRight w:val="0"/>
                          <w:marTop w:val="0"/>
                          <w:marBottom w:val="0"/>
                          <w:divBdr>
                            <w:top w:val="none" w:sz="0" w:space="0" w:color="auto"/>
                            <w:left w:val="none" w:sz="0" w:space="0" w:color="auto"/>
                            <w:bottom w:val="none" w:sz="0" w:space="0" w:color="auto"/>
                            <w:right w:val="none" w:sz="0" w:space="0" w:color="auto"/>
                          </w:divBdr>
                          <w:divsChild>
                            <w:div w:id="160778892">
                              <w:marLeft w:val="0"/>
                              <w:marRight w:val="0"/>
                              <w:marTop w:val="0"/>
                              <w:marBottom w:val="0"/>
                              <w:divBdr>
                                <w:top w:val="none" w:sz="0" w:space="0" w:color="auto"/>
                                <w:left w:val="none" w:sz="0" w:space="0" w:color="auto"/>
                                <w:bottom w:val="none" w:sz="0" w:space="0" w:color="auto"/>
                                <w:right w:val="none" w:sz="0" w:space="0" w:color="auto"/>
                              </w:divBdr>
                              <w:divsChild>
                                <w:div w:id="1745958052">
                                  <w:marLeft w:val="-225"/>
                                  <w:marRight w:val="-225"/>
                                  <w:marTop w:val="0"/>
                                  <w:marBottom w:val="0"/>
                                  <w:divBdr>
                                    <w:top w:val="none" w:sz="0" w:space="0" w:color="auto"/>
                                    <w:left w:val="none" w:sz="0" w:space="0" w:color="auto"/>
                                    <w:bottom w:val="none" w:sz="0" w:space="0" w:color="auto"/>
                                    <w:right w:val="none" w:sz="0" w:space="0" w:color="auto"/>
                                  </w:divBdr>
                                  <w:divsChild>
                                    <w:div w:id="1227379253">
                                      <w:marLeft w:val="0"/>
                                      <w:marRight w:val="0"/>
                                      <w:marTop w:val="0"/>
                                      <w:marBottom w:val="0"/>
                                      <w:divBdr>
                                        <w:top w:val="none" w:sz="0" w:space="0" w:color="auto"/>
                                        <w:left w:val="none" w:sz="0" w:space="0" w:color="auto"/>
                                        <w:bottom w:val="none" w:sz="0" w:space="0" w:color="auto"/>
                                        <w:right w:val="none" w:sz="0" w:space="0" w:color="auto"/>
                                      </w:divBdr>
                                      <w:divsChild>
                                        <w:div w:id="1049914975">
                                          <w:marLeft w:val="0"/>
                                          <w:marRight w:val="0"/>
                                          <w:marTop w:val="0"/>
                                          <w:marBottom w:val="0"/>
                                          <w:divBdr>
                                            <w:top w:val="none" w:sz="0" w:space="0" w:color="auto"/>
                                            <w:left w:val="none" w:sz="0" w:space="0" w:color="auto"/>
                                            <w:bottom w:val="none" w:sz="0" w:space="0" w:color="auto"/>
                                            <w:right w:val="none" w:sz="0" w:space="0" w:color="auto"/>
                                          </w:divBdr>
                                          <w:divsChild>
                                            <w:div w:id="1875071794">
                                              <w:marLeft w:val="0"/>
                                              <w:marRight w:val="0"/>
                                              <w:marTop w:val="0"/>
                                              <w:marBottom w:val="0"/>
                                              <w:divBdr>
                                                <w:top w:val="none" w:sz="0" w:space="0" w:color="auto"/>
                                                <w:left w:val="none" w:sz="0" w:space="0" w:color="auto"/>
                                                <w:bottom w:val="none" w:sz="0" w:space="0" w:color="auto"/>
                                                <w:right w:val="none" w:sz="0" w:space="0" w:color="auto"/>
                                              </w:divBdr>
                                              <w:divsChild>
                                                <w:div w:id="1445268554">
                                                  <w:marLeft w:val="0"/>
                                                  <w:marRight w:val="0"/>
                                                  <w:marTop w:val="0"/>
                                                  <w:marBottom w:val="0"/>
                                                  <w:divBdr>
                                                    <w:top w:val="none" w:sz="0" w:space="0" w:color="auto"/>
                                                    <w:left w:val="none" w:sz="0" w:space="0" w:color="auto"/>
                                                    <w:bottom w:val="none" w:sz="0" w:space="0" w:color="auto"/>
                                                    <w:right w:val="none" w:sz="0" w:space="0" w:color="auto"/>
                                                  </w:divBdr>
                                                  <w:divsChild>
                                                    <w:div w:id="1169099682">
                                                      <w:marLeft w:val="0"/>
                                                      <w:marRight w:val="0"/>
                                                      <w:marTop w:val="0"/>
                                                      <w:marBottom w:val="0"/>
                                                      <w:divBdr>
                                                        <w:top w:val="none" w:sz="0" w:space="0" w:color="auto"/>
                                                        <w:left w:val="none" w:sz="0" w:space="0" w:color="auto"/>
                                                        <w:bottom w:val="none" w:sz="0" w:space="0" w:color="auto"/>
                                                        <w:right w:val="none" w:sz="0" w:space="0" w:color="auto"/>
                                                      </w:divBdr>
                                                      <w:divsChild>
                                                        <w:div w:id="2126844984">
                                                          <w:marLeft w:val="-225"/>
                                                          <w:marRight w:val="-225"/>
                                                          <w:marTop w:val="0"/>
                                                          <w:marBottom w:val="0"/>
                                                          <w:divBdr>
                                                            <w:top w:val="none" w:sz="0" w:space="0" w:color="auto"/>
                                                            <w:left w:val="none" w:sz="0" w:space="0" w:color="auto"/>
                                                            <w:bottom w:val="none" w:sz="0" w:space="0" w:color="auto"/>
                                                            <w:right w:val="none" w:sz="0" w:space="0" w:color="auto"/>
                                                          </w:divBdr>
                                                          <w:divsChild>
                                                            <w:div w:id="1509636267">
                                                              <w:marLeft w:val="0"/>
                                                              <w:marRight w:val="0"/>
                                                              <w:marTop w:val="0"/>
                                                              <w:marBottom w:val="0"/>
                                                              <w:divBdr>
                                                                <w:top w:val="none" w:sz="0" w:space="0" w:color="auto"/>
                                                                <w:left w:val="none" w:sz="0" w:space="0" w:color="auto"/>
                                                                <w:bottom w:val="none" w:sz="0" w:space="0" w:color="auto"/>
                                                                <w:right w:val="none" w:sz="0" w:space="0" w:color="auto"/>
                                                              </w:divBdr>
                                                              <w:divsChild>
                                                                <w:div w:id="1248535226">
                                                                  <w:marLeft w:val="-225"/>
                                                                  <w:marRight w:val="-225"/>
                                                                  <w:marTop w:val="0"/>
                                                                  <w:marBottom w:val="0"/>
                                                                  <w:divBdr>
                                                                    <w:top w:val="none" w:sz="0" w:space="0" w:color="auto"/>
                                                                    <w:left w:val="none" w:sz="0" w:space="0" w:color="auto"/>
                                                                    <w:bottom w:val="none" w:sz="0" w:space="0" w:color="auto"/>
                                                                    <w:right w:val="none" w:sz="0" w:space="0" w:color="auto"/>
                                                                  </w:divBdr>
                                                                  <w:divsChild>
                                                                    <w:div w:id="483818213">
                                                                      <w:marLeft w:val="0"/>
                                                                      <w:marRight w:val="0"/>
                                                                      <w:marTop w:val="0"/>
                                                                      <w:marBottom w:val="0"/>
                                                                      <w:divBdr>
                                                                        <w:top w:val="none" w:sz="0" w:space="0" w:color="auto"/>
                                                                        <w:left w:val="none" w:sz="0" w:space="0" w:color="auto"/>
                                                                        <w:bottom w:val="none" w:sz="0" w:space="0" w:color="auto"/>
                                                                        <w:right w:val="none" w:sz="0" w:space="0" w:color="auto"/>
                                                                      </w:divBdr>
                                                                      <w:divsChild>
                                                                        <w:div w:id="1881626014">
                                                                          <w:marLeft w:val="0"/>
                                                                          <w:marRight w:val="0"/>
                                                                          <w:marTop w:val="0"/>
                                                                          <w:marBottom w:val="0"/>
                                                                          <w:divBdr>
                                                                            <w:top w:val="none" w:sz="0" w:space="0" w:color="auto"/>
                                                                            <w:left w:val="none" w:sz="0" w:space="0" w:color="auto"/>
                                                                            <w:bottom w:val="none" w:sz="0" w:space="0" w:color="auto"/>
                                                                            <w:right w:val="none" w:sz="0" w:space="0" w:color="auto"/>
                                                                          </w:divBdr>
                                                                          <w:divsChild>
                                                                            <w:div w:id="338852181">
                                                                              <w:marLeft w:val="0"/>
                                                                              <w:marRight w:val="0"/>
                                                                              <w:marTop w:val="0"/>
                                                                              <w:marBottom w:val="0"/>
                                                                              <w:divBdr>
                                                                                <w:top w:val="none" w:sz="0" w:space="0" w:color="auto"/>
                                                                                <w:left w:val="none" w:sz="0" w:space="0" w:color="auto"/>
                                                                                <w:bottom w:val="none" w:sz="0" w:space="0" w:color="auto"/>
                                                                                <w:right w:val="none" w:sz="0" w:space="0" w:color="auto"/>
                                                                              </w:divBdr>
                                                                              <w:divsChild>
                                                                                <w:div w:id="305861160">
                                                                                  <w:marLeft w:val="0"/>
                                                                                  <w:marRight w:val="0"/>
                                                                                  <w:marTop w:val="0"/>
                                                                                  <w:marBottom w:val="0"/>
                                                                                  <w:divBdr>
                                                                                    <w:top w:val="none" w:sz="0" w:space="0" w:color="auto"/>
                                                                                    <w:left w:val="none" w:sz="0" w:space="0" w:color="auto"/>
                                                                                    <w:bottom w:val="none" w:sz="0" w:space="0" w:color="auto"/>
                                                                                    <w:right w:val="none" w:sz="0" w:space="0" w:color="auto"/>
                                                                                  </w:divBdr>
                                                                                  <w:divsChild>
                                                                                    <w:div w:id="1724870084">
                                                                                      <w:marLeft w:val="0"/>
                                                                                      <w:marRight w:val="0"/>
                                                                                      <w:marTop w:val="0"/>
                                                                                      <w:marBottom w:val="0"/>
                                                                                      <w:divBdr>
                                                                                        <w:top w:val="none" w:sz="0" w:space="0" w:color="auto"/>
                                                                                        <w:left w:val="none" w:sz="0" w:space="0" w:color="auto"/>
                                                                                        <w:bottom w:val="none" w:sz="0" w:space="0" w:color="auto"/>
                                                                                        <w:right w:val="none" w:sz="0" w:space="0" w:color="auto"/>
                                                                                      </w:divBdr>
                                                                                      <w:divsChild>
                                                                                        <w:div w:id="185139663">
                                                                                          <w:marLeft w:val="0"/>
                                                                                          <w:marRight w:val="0"/>
                                                                                          <w:marTop w:val="0"/>
                                                                                          <w:marBottom w:val="0"/>
                                                                                          <w:divBdr>
                                                                                            <w:top w:val="none" w:sz="0" w:space="0" w:color="auto"/>
                                                                                            <w:left w:val="none" w:sz="0" w:space="0" w:color="auto"/>
                                                                                            <w:bottom w:val="none" w:sz="0" w:space="0" w:color="auto"/>
                                                                                            <w:right w:val="none" w:sz="0" w:space="0" w:color="auto"/>
                                                                                          </w:divBdr>
                                                                                          <w:divsChild>
                                                                                            <w:div w:id="83685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8741626">
      <w:bodyDiv w:val="1"/>
      <w:marLeft w:val="0"/>
      <w:marRight w:val="0"/>
      <w:marTop w:val="0"/>
      <w:marBottom w:val="0"/>
      <w:divBdr>
        <w:top w:val="none" w:sz="0" w:space="0" w:color="auto"/>
        <w:left w:val="none" w:sz="0" w:space="0" w:color="auto"/>
        <w:bottom w:val="none" w:sz="0" w:space="0" w:color="auto"/>
        <w:right w:val="none" w:sz="0" w:space="0" w:color="auto"/>
      </w:divBdr>
    </w:div>
    <w:div w:id="472715283">
      <w:bodyDiv w:val="1"/>
      <w:marLeft w:val="0"/>
      <w:marRight w:val="0"/>
      <w:marTop w:val="0"/>
      <w:marBottom w:val="0"/>
      <w:divBdr>
        <w:top w:val="none" w:sz="0" w:space="0" w:color="auto"/>
        <w:left w:val="none" w:sz="0" w:space="0" w:color="auto"/>
        <w:bottom w:val="none" w:sz="0" w:space="0" w:color="auto"/>
        <w:right w:val="none" w:sz="0" w:space="0" w:color="auto"/>
      </w:divBdr>
    </w:div>
    <w:div w:id="494540642">
      <w:bodyDiv w:val="1"/>
      <w:marLeft w:val="0"/>
      <w:marRight w:val="0"/>
      <w:marTop w:val="0"/>
      <w:marBottom w:val="0"/>
      <w:divBdr>
        <w:top w:val="none" w:sz="0" w:space="0" w:color="auto"/>
        <w:left w:val="none" w:sz="0" w:space="0" w:color="auto"/>
        <w:bottom w:val="none" w:sz="0" w:space="0" w:color="auto"/>
        <w:right w:val="none" w:sz="0" w:space="0" w:color="auto"/>
      </w:divBdr>
    </w:div>
    <w:div w:id="545064396">
      <w:bodyDiv w:val="1"/>
      <w:marLeft w:val="0"/>
      <w:marRight w:val="0"/>
      <w:marTop w:val="0"/>
      <w:marBottom w:val="0"/>
      <w:divBdr>
        <w:top w:val="none" w:sz="0" w:space="0" w:color="auto"/>
        <w:left w:val="none" w:sz="0" w:space="0" w:color="auto"/>
        <w:bottom w:val="none" w:sz="0" w:space="0" w:color="auto"/>
        <w:right w:val="none" w:sz="0" w:space="0" w:color="auto"/>
      </w:divBdr>
    </w:div>
    <w:div w:id="554121295">
      <w:bodyDiv w:val="1"/>
      <w:marLeft w:val="0"/>
      <w:marRight w:val="0"/>
      <w:marTop w:val="0"/>
      <w:marBottom w:val="0"/>
      <w:divBdr>
        <w:top w:val="none" w:sz="0" w:space="0" w:color="auto"/>
        <w:left w:val="none" w:sz="0" w:space="0" w:color="auto"/>
        <w:bottom w:val="none" w:sz="0" w:space="0" w:color="auto"/>
        <w:right w:val="none" w:sz="0" w:space="0" w:color="auto"/>
      </w:divBdr>
    </w:div>
    <w:div w:id="575210684">
      <w:bodyDiv w:val="1"/>
      <w:marLeft w:val="0"/>
      <w:marRight w:val="0"/>
      <w:marTop w:val="0"/>
      <w:marBottom w:val="0"/>
      <w:divBdr>
        <w:top w:val="none" w:sz="0" w:space="0" w:color="auto"/>
        <w:left w:val="none" w:sz="0" w:space="0" w:color="auto"/>
        <w:bottom w:val="none" w:sz="0" w:space="0" w:color="auto"/>
        <w:right w:val="none" w:sz="0" w:space="0" w:color="auto"/>
      </w:divBdr>
      <w:divsChild>
        <w:div w:id="1523395581">
          <w:marLeft w:val="0"/>
          <w:marRight w:val="0"/>
          <w:marTop w:val="0"/>
          <w:marBottom w:val="0"/>
          <w:divBdr>
            <w:top w:val="none" w:sz="0" w:space="0" w:color="auto"/>
            <w:left w:val="none" w:sz="0" w:space="0" w:color="auto"/>
            <w:bottom w:val="none" w:sz="0" w:space="0" w:color="auto"/>
            <w:right w:val="none" w:sz="0" w:space="0" w:color="auto"/>
          </w:divBdr>
          <w:divsChild>
            <w:div w:id="1649171518">
              <w:marLeft w:val="0"/>
              <w:marRight w:val="0"/>
              <w:marTop w:val="0"/>
              <w:marBottom w:val="0"/>
              <w:divBdr>
                <w:top w:val="none" w:sz="0" w:space="0" w:color="auto"/>
                <w:left w:val="none" w:sz="0" w:space="0" w:color="auto"/>
                <w:bottom w:val="none" w:sz="0" w:space="0" w:color="auto"/>
                <w:right w:val="none" w:sz="0" w:space="0" w:color="auto"/>
              </w:divBdr>
              <w:divsChild>
                <w:div w:id="1084107091">
                  <w:marLeft w:val="-225"/>
                  <w:marRight w:val="-225"/>
                  <w:marTop w:val="0"/>
                  <w:marBottom w:val="0"/>
                  <w:divBdr>
                    <w:top w:val="none" w:sz="0" w:space="0" w:color="auto"/>
                    <w:left w:val="none" w:sz="0" w:space="0" w:color="auto"/>
                    <w:bottom w:val="none" w:sz="0" w:space="0" w:color="auto"/>
                    <w:right w:val="none" w:sz="0" w:space="0" w:color="auto"/>
                  </w:divBdr>
                  <w:divsChild>
                    <w:div w:id="1162088667">
                      <w:marLeft w:val="0"/>
                      <w:marRight w:val="0"/>
                      <w:marTop w:val="0"/>
                      <w:marBottom w:val="0"/>
                      <w:divBdr>
                        <w:top w:val="none" w:sz="0" w:space="0" w:color="auto"/>
                        <w:left w:val="none" w:sz="0" w:space="0" w:color="auto"/>
                        <w:bottom w:val="none" w:sz="0" w:space="0" w:color="auto"/>
                        <w:right w:val="none" w:sz="0" w:space="0" w:color="auto"/>
                      </w:divBdr>
                      <w:divsChild>
                        <w:div w:id="563760425">
                          <w:marLeft w:val="0"/>
                          <w:marRight w:val="0"/>
                          <w:marTop w:val="0"/>
                          <w:marBottom w:val="0"/>
                          <w:divBdr>
                            <w:top w:val="none" w:sz="0" w:space="0" w:color="auto"/>
                            <w:left w:val="none" w:sz="0" w:space="0" w:color="auto"/>
                            <w:bottom w:val="none" w:sz="0" w:space="0" w:color="auto"/>
                            <w:right w:val="none" w:sz="0" w:space="0" w:color="auto"/>
                          </w:divBdr>
                          <w:divsChild>
                            <w:div w:id="668757557">
                              <w:marLeft w:val="0"/>
                              <w:marRight w:val="0"/>
                              <w:marTop w:val="0"/>
                              <w:marBottom w:val="0"/>
                              <w:divBdr>
                                <w:top w:val="none" w:sz="0" w:space="0" w:color="auto"/>
                                <w:left w:val="none" w:sz="0" w:space="0" w:color="auto"/>
                                <w:bottom w:val="none" w:sz="0" w:space="0" w:color="auto"/>
                                <w:right w:val="none" w:sz="0" w:space="0" w:color="auto"/>
                              </w:divBdr>
                              <w:divsChild>
                                <w:div w:id="346642886">
                                  <w:marLeft w:val="-225"/>
                                  <w:marRight w:val="-225"/>
                                  <w:marTop w:val="0"/>
                                  <w:marBottom w:val="0"/>
                                  <w:divBdr>
                                    <w:top w:val="none" w:sz="0" w:space="0" w:color="auto"/>
                                    <w:left w:val="none" w:sz="0" w:space="0" w:color="auto"/>
                                    <w:bottom w:val="none" w:sz="0" w:space="0" w:color="auto"/>
                                    <w:right w:val="none" w:sz="0" w:space="0" w:color="auto"/>
                                  </w:divBdr>
                                  <w:divsChild>
                                    <w:div w:id="1037582965">
                                      <w:marLeft w:val="0"/>
                                      <w:marRight w:val="0"/>
                                      <w:marTop w:val="0"/>
                                      <w:marBottom w:val="0"/>
                                      <w:divBdr>
                                        <w:top w:val="none" w:sz="0" w:space="0" w:color="auto"/>
                                        <w:left w:val="none" w:sz="0" w:space="0" w:color="auto"/>
                                        <w:bottom w:val="none" w:sz="0" w:space="0" w:color="auto"/>
                                        <w:right w:val="none" w:sz="0" w:space="0" w:color="auto"/>
                                      </w:divBdr>
                                      <w:divsChild>
                                        <w:div w:id="1375160914">
                                          <w:marLeft w:val="0"/>
                                          <w:marRight w:val="0"/>
                                          <w:marTop w:val="0"/>
                                          <w:marBottom w:val="0"/>
                                          <w:divBdr>
                                            <w:top w:val="none" w:sz="0" w:space="0" w:color="auto"/>
                                            <w:left w:val="none" w:sz="0" w:space="0" w:color="auto"/>
                                            <w:bottom w:val="none" w:sz="0" w:space="0" w:color="auto"/>
                                            <w:right w:val="none" w:sz="0" w:space="0" w:color="auto"/>
                                          </w:divBdr>
                                          <w:divsChild>
                                            <w:div w:id="2123725308">
                                              <w:marLeft w:val="0"/>
                                              <w:marRight w:val="0"/>
                                              <w:marTop w:val="0"/>
                                              <w:marBottom w:val="0"/>
                                              <w:divBdr>
                                                <w:top w:val="none" w:sz="0" w:space="0" w:color="auto"/>
                                                <w:left w:val="none" w:sz="0" w:space="0" w:color="auto"/>
                                                <w:bottom w:val="none" w:sz="0" w:space="0" w:color="auto"/>
                                                <w:right w:val="none" w:sz="0" w:space="0" w:color="auto"/>
                                              </w:divBdr>
                                              <w:divsChild>
                                                <w:div w:id="585386673">
                                                  <w:marLeft w:val="0"/>
                                                  <w:marRight w:val="0"/>
                                                  <w:marTop w:val="0"/>
                                                  <w:marBottom w:val="0"/>
                                                  <w:divBdr>
                                                    <w:top w:val="none" w:sz="0" w:space="0" w:color="auto"/>
                                                    <w:left w:val="none" w:sz="0" w:space="0" w:color="auto"/>
                                                    <w:bottom w:val="none" w:sz="0" w:space="0" w:color="auto"/>
                                                    <w:right w:val="none" w:sz="0" w:space="0" w:color="auto"/>
                                                  </w:divBdr>
                                                  <w:divsChild>
                                                    <w:div w:id="1284384131">
                                                      <w:marLeft w:val="0"/>
                                                      <w:marRight w:val="0"/>
                                                      <w:marTop w:val="0"/>
                                                      <w:marBottom w:val="0"/>
                                                      <w:divBdr>
                                                        <w:top w:val="none" w:sz="0" w:space="0" w:color="auto"/>
                                                        <w:left w:val="none" w:sz="0" w:space="0" w:color="auto"/>
                                                        <w:bottom w:val="none" w:sz="0" w:space="0" w:color="auto"/>
                                                        <w:right w:val="none" w:sz="0" w:space="0" w:color="auto"/>
                                                      </w:divBdr>
                                                      <w:divsChild>
                                                        <w:div w:id="860968287">
                                                          <w:marLeft w:val="-225"/>
                                                          <w:marRight w:val="-225"/>
                                                          <w:marTop w:val="0"/>
                                                          <w:marBottom w:val="0"/>
                                                          <w:divBdr>
                                                            <w:top w:val="none" w:sz="0" w:space="0" w:color="auto"/>
                                                            <w:left w:val="none" w:sz="0" w:space="0" w:color="auto"/>
                                                            <w:bottom w:val="none" w:sz="0" w:space="0" w:color="auto"/>
                                                            <w:right w:val="none" w:sz="0" w:space="0" w:color="auto"/>
                                                          </w:divBdr>
                                                          <w:divsChild>
                                                            <w:div w:id="1194658604">
                                                              <w:marLeft w:val="0"/>
                                                              <w:marRight w:val="0"/>
                                                              <w:marTop w:val="0"/>
                                                              <w:marBottom w:val="0"/>
                                                              <w:divBdr>
                                                                <w:top w:val="none" w:sz="0" w:space="0" w:color="auto"/>
                                                                <w:left w:val="none" w:sz="0" w:space="0" w:color="auto"/>
                                                                <w:bottom w:val="none" w:sz="0" w:space="0" w:color="auto"/>
                                                                <w:right w:val="none" w:sz="0" w:space="0" w:color="auto"/>
                                                              </w:divBdr>
                                                              <w:divsChild>
                                                                <w:div w:id="1270503415">
                                                                  <w:marLeft w:val="-225"/>
                                                                  <w:marRight w:val="-225"/>
                                                                  <w:marTop w:val="0"/>
                                                                  <w:marBottom w:val="0"/>
                                                                  <w:divBdr>
                                                                    <w:top w:val="none" w:sz="0" w:space="0" w:color="auto"/>
                                                                    <w:left w:val="none" w:sz="0" w:space="0" w:color="auto"/>
                                                                    <w:bottom w:val="none" w:sz="0" w:space="0" w:color="auto"/>
                                                                    <w:right w:val="none" w:sz="0" w:space="0" w:color="auto"/>
                                                                  </w:divBdr>
                                                                  <w:divsChild>
                                                                    <w:div w:id="577791509">
                                                                      <w:marLeft w:val="0"/>
                                                                      <w:marRight w:val="0"/>
                                                                      <w:marTop w:val="0"/>
                                                                      <w:marBottom w:val="0"/>
                                                                      <w:divBdr>
                                                                        <w:top w:val="none" w:sz="0" w:space="0" w:color="auto"/>
                                                                        <w:left w:val="none" w:sz="0" w:space="0" w:color="auto"/>
                                                                        <w:bottom w:val="none" w:sz="0" w:space="0" w:color="auto"/>
                                                                        <w:right w:val="none" w:sz="0" w:space="0" w:color="auto"/>
                                                                      </w:divBdr>
                                                                      <w:divsChild>
                                                                        <w:div w:id="1629240475">
                                                                          <w:marLeft w:val="0"/>
                                                                          <w:marRight w:val="0"/>
                                                                          <w:marTop w:val="0"/>
                                                                          <w:marBottom w:val="0"/>
                                                                          <w:divBdr>
                                                                            <w:top w:val="none" w:sz="0" w:space="0" w:color="auto"/>
                                                                            <w:left w:val="none" w:sz="0" w:space="0" w:color="auto"/>
                                                                            <w:bottom w:val="none" w:sz="0" w:space="0" w:color="auto"/>
                                                                            <w:right w:val="none" w:sz="0" w:space="0" w:color="auto"/>
                                                                          </w:divBdr>
                                                                          <w:divsChild>
                                                                            <w:div w:id="879437546">
                                                                              <w:marLeft w:val="0"/>
                                                                              <w:marRight w:val="0"/>
                                                                              <w:marTop w:val="0"/>
                                                                              <w:marBottom w:val="0"/>
                                                                              <w:divBdr>
                                                                                <w:top w:val="none" w:sz="0" w:space="0" w:color="auto"/>
                                                                                <w:left w:val="none" w:sz="0" w:space="0" w:color="auto"/>
                                                                                <w:bottom w:val="none" w:sz="0" w:space="0" w:color="auto"/>
                                                                                <w:right w:val="none" w:sz="0" w:space="0" w:color="auto"/>
                                                                              </w:divBdr>
                                                                              <w:divsChild>
                                                                                <w:div w:id="1876310308">
                                                                                  <w:marLeft w:val="0"/>
                                                                                  <w:marRight w:val="0"/>
                                                                                  <w:marTop w:val="0"/>
                                                                                  <w:marBottom w:val="0"/>
                                                                                  <w:divBdr>
                                                                                    <w:top w:val="none" w:sz="0" w:space="0" w:color="auto"/>
                                                                                    <w:left w:val="none" w:sz="0" w:space="0" w:color="auto"/>
                                                                                    <w:bottom w:val="none" w:sz="0" w:space="0" w:color="auto"/>
                                                                                    <w:right w:val="none" w:sz="0" w:space="0" w:color="auto"/>
                                                                                  </w:divBdr>
                                                                                  <w:divsChild>
                                                                                    <w:div w:id="905800661">
                                                                                      <w:marLeft w:val="0"/>
                                                                                      <w:marRight w:val="0"/>
                                                                                      <w:marTop w:val="0"/>
                                                                                      <w:marBottom w:val="0"/>
                                                                                      <w:divBdr>
                                                                                        <w:top w:val="none" w:sz="0" w:space="0" w:color="auto"/>
                                                                                        <w:left w:val="none" w:sz="0" w:space="0" w:color="auto"/>
                                                                                        <w:bottom w:val="none" w:sz="0" w:space="0" w:color="auto"/>
                                                                                        <w:right w:val="none" w:sz="0" w:space="0" w:color="auto"/>
                                                                                      </w:divBdr>
                                                                                      <w:divsChild>
                                                                                        <w:div w:id="1434473069">
                                                                                          <w:marLeft w:val="0"/>
                                                                                          <w:marRight w:val="0"/>
                                                                                          <w:marTop w:val="0"/>
                                                                                          <w:marBottom w:val="0"/>
                                                                                          <w:divBdr>
                                                                                            <w:top w:val="none" w:sz="0" w:space="0" w:color="auto"/>
                                                                                            <w:left w:val="none" w:sz="0" w:space="0" w:color="auto"/>
                                                                                            <w:bottom w:val="none" w:sz="0" w:space="0" w:color="auto"/>
                                                                                            <w:right w:val="none" w:sz="0" w:space="0" w:color="auto"/>
                                                                                          </w:divBdr>
                                                                                          <w:divsChild>
                                                                                            <w:div w:id="197394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7547056">
      <w:bodyDiv w:val="1"/>
      <w:marLeft w:val="0"/>
      <w:marRight w:val="0"/>
      <w:marTop w:val="0"/>
      <w:marBottom w:val="0"/>
      <w:divBdr>
        <w:top w:val="none" w:sz="0" w:space="0" w:color="auto"/>
        <w:left w:val="none" w:sz="0" w:space="0" w:color="auto"/>
        <w:bottom w:val="none" w:sz="0" w:space="0" w:color="auto"/>
        <w:right w:val="none" w:sz="0" w:space="0" w:color="auto"/>
      </w:divBdr>
    </w:div>
    <w:div w:id="633871130">
      <w:bodyDiv w:val="1"/>
      <w:marLeft w:val="0"/>
      <w:marRight w:val="0"/>
      <w:marTop w:val="0"/>
      <w:marBottom w:val="0"/>
      <w:divBdr>
        <w:top w:val="none" w:sz="0" w:space="0" w:color="auto"/>
        <w:left w:val="none" w:sz="0" w:space="0" w:color="auto"/>
        <w:bottom w:val="none" w:sz="0" w:space="0" w:color="auto"/>
        <w:right w:val="none" w:sz="0" w:space="0" w:color="auto"/>
      </w:divBdr>
      <w:divsChild>
        <w:div w:id="1393116299">
          <w:marLeft w:val="0"/>
          <w:marRight w:val="0"/>
          <w:marTop w:val="0"/>
          <w:marBottom w:val="0"/>
          <w:divBdr>
            <w:top w:val="none" w:sz="0" w:space="0" w:color="auto"/>
            <w:left w:val="none" w:sz="0" w:space="0" w:color="auto"/>
            <w:bottom w:val="none" w:sz="0" w:space="0" w:color="auto"/>
            <w:right w:val="none" w:sz="0" w:space="0" w:color="auto"/>
          </w:divBdr>
          <w:divsChild>
            <w:div w:id="1608808512">
              <w:marLeft w:val="0"/>
              <w:marRight w:val="0"/>
              <w:marTop w:val="0"/>
              <w:marBottom w:val="0"/>
              <w:divBdr>
                <w:top w:val="none" w:sz="0" w:space="0" w:color="auto"/>
                <w:left w:val="none" w:sz="0" w:space="0" w:color="auto"/>
                <w:bottom w:val="none" w:sz="0" w:space="0" w:color="auto"/>
                <w:right w:val="none" w:sz="0" w:space="0" w:color="auto"/>
              </w:divBdr>
              <w:divsChild>
                <w:div w:id="14429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65198">
      <w:bodyDiv w:val="1"/>
      <w:marLeft w:val="0"/>
      <w:marRight w:val="0"/>
      <w:marTop w:val="0"/>
      <w:marBottom w:val="0"/>
      <w:divBdr>
        <w:top w:val="none" w:sz="0" w:space="0" w:color="auto"/>
        <w:left w:val="none" w:sz="0" w:space="0" w:color="auto"/>
        <w:bottom w:val="none" w:sz="0" w:space="0" w:color="auto"/>
        <w:right w:val="none" w:sz="0" w:space="0" w:color="auto"/>
      </w:divBdr>
    </w:div>
    <w:div w:id="685132912">
      <w:bodyDiv w:val="1"/>
      <w:marLeft w:val="0"/>
      <w:marRight w:val="0"/>
      <w:marTop w:val="0"/>
      <w:marBottom w:val="0"/>
      <w:divBdr>
        <w:top w:val="none" w:sz="0" w:space="0" w:color="auto"/>
        <w:left w:val="none" w:sz="0" w:space="0" w:color="auto"/>
        <w:bottom w:val="none" w:sz="0" w:space="0" w:color="auto"/>
        <w:right w:val="none" w:sz="0" w:space="0" w:color="auto"/>
      </w:divBdr>
      <w:divsChild>
        <w:div w:id="365374962">
          <w:marLeft w:val="0"/>
          <w:marRight w:val="0"/>
          <w:marTop w:val="0"/>
          <w:marBottom w:val="0"/>
          <w:divBdr>
            <w:top w:val="none" w:sz="0" w:space="0" w:color="auto"/>
            <w:left w:val="none" w:sz="0" w:space="0" w:color="auto"/>
            <w:bottom w:val="none" w:sz="0" w:space="0" w:color="auto"/>
            <w:right w:val="none" w:sz="0" w:space="0" w:color="auto"/>
          </w:divBdr>
          <w:divsChild>
            <w:div w:id="2078749316">
              <w:marLeft w:val="0"/>
              <w:marRight w:val="0"/>
              <w:marTop w:val="0"/>
              <w:marBottom w:val="0"/>
              <w:divBdr>
                <w:top w:val="none" w:sz="0" w:space="0" w:color="auto"/>
                <w:left w:val="none" w:sz="0" w:space="0" w:color="auto"/>
                <w:bottom w:val="none" w:sz="0" w:space="0" w:color="auto"/>
                <w:right w:val="none" w:sz="0" w:space="0" w:color="auto"/>
              </w:divBdr>
              <w:divsChild>
                <w:div w:id="305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046231">
      <w:bodyDiv w:val="1"/>
      <w:marLeft w:val="0"/>
      <w:marRight w:val="0"/>
      <w:marTop w:val="0"/>
      <w:marBottom w:val="0"/>
      <w:divBdr>
        <w:top w:val="none" w:sz="0" w:space="0" w:color="auto"/>
        <w:left w:val="none" w:sz="0" w:space="0" w:color="auto"/>
        <w:bottom w:val="none" w:sz="0" w:space="0" w:color="auto"/>
        <w:right w:val="none" w:sz="0" w:space="0" w:color="auto"/>
      </w:divBdr>
      <w:divsChild>
        <w:div w:id="1995911336">
          <w:marLeft w:val="547"/>
          <w:marRight w:val="0"/>
          <w:marTop w:val="0"/>
          <w:marBottom w:val="0"/>
          <w:divBdr>
            <w:top w:val="none" w:sz="0" w:space="0" w:color="auto"/>
            <w:left w:val="none" w:sz="0" w:space="0" w:color="auto"/>
            <w:bottom w:val="none" w:sz="0" w:space="0" w:color="auto"/>
            <w:right w:val="none" w:sz="0" w:space="0" w:color="auto"/>
          </w:divBdr>
        </w:div>
      </w:divsChild>
    </w:div>
    <w:div w:id="736978454">
      <w:bodyDiv w:val="1"/>
      <w:marLeft w:val="0"/>
      <w:marRight w:val="0"/>
      <w:marTop w:val="0"/>
      <w:marBottom w:val="0"/>
      <w:divBdr>
        <w:top w:val="none" w:sz="0" w:space="0" w:color="auto"/>
        <w:left w:val="none" w:sz="0" w:space="0" w:color="auto"/>
        <w:bottom w:val="none" w:sz="0" w:space="0" w:color="auto"/>
        <w:right w:val="none" w:sz="0" w:space="0" w:color="auto"/>
      </w:divBdr>
      <w:divsChild>
        <w:div w:id="962806706">
          <w:marLeft w:val="547"/>
          <w:marRight w:val="0"/>
          <w:marTop w:val="0"/>
          <w:marBottom w:val="0"/>
          <w:divBdr>
            <w:top w:val="none" w:sz="0" w:space="0" w:color="auto"/>
            <w:left w:val="none" w:sz="0" w:space="0" w:color="auto"/>
            <w:bottom w:val="none" w:sz="0" w:space="0" w:color="auto"/>
            <w:right w:val="none" w:sz="0" w:space="0" w:color="auto"/>
          </w:divBdr>
        </w:div>
        <w:div w:id="1226719567">
          <w:marLeft w:val="547"/>
          <w:marRight w:val="0"/>
          <w:marTop w:val="0"/>
          <w:marBottom w:val="0"/>
          <w:divBdr>
            <w:top w:val="none" w:sz="0" w:space="0" w:color="auto"/>
            <w:left w:val="none" w:sz="0" w:space="0" w:color="auto"/>
            <w:bottom w:val="none" w:sz="0" w:space="0" w:color="auto"/>
            <w:right w:val="none" w:sz="0" w:space="0" w:color="auto"/>
          </w:divBdr>
        </w:div>
      </w:divsChild>
    </w:div>
    <w:div w:id="738020906">
      <w:bodyDiv w:val="1"/>
      <w:marLeft w:val="0"/>
      <w:marRight w:val="0"/>
      <w:marTop w:val="0"/>
      <w:marBottom w:val="0"/>
      <w:divBdr>
        <w:top w:val="none" w:sz="0" w:space="0" w:color="auto"/>
        <w:left w:val="none" w:sz="0" w:space="0" w:color="auto"/>
        <w:bottom w:val="none" w:sz="0" w:space="0" w:color="auto"/>
        <w:right w:val="none" w:sz="0" w:space="0" w:color="auto"/>
      </w:divBdr>
    </w:div>
    <w:div w:id="750003769">
      <w:bodyDiv w:val="1"/>
      <w:marLeft w:val="0"/>
      <w:marRight w:val="0"/>
      <w:marTop w:val="0"/>
      <w:marBottom w:val="0"/>
      <w:divBdr>
        <w:top w:val="none" w:sz="0" w:space="0" w:color="auto"/>
        <w:left w:val="none" w:sz="0" w:space="0" w:color="auto"/>
        <w:bottom w:val="none" w:sz="0" w:space="0" w:color="auto"/>
        <w:right w:val="none" w:sz="0" w:space="0" w:color="auto"/>
      </w:divBdr>
      <w:divsChild>
        <w:div w:id="458915723">
          <w:marLeft w:val="0"/>
          <w:marRight w:val="0"/>
          <w:marTop w:val="0"/>
          <w:marBottom w:val="0"/>
          <w:divBdr>
            <w:top w:val="none" w:sz="0" w:space="0" w:color="auto"/>
            <w:left w:val="none" w:sz="0" w:space="0" w:color="auto"/>
            <w:bottom w:val="none" w:sz="0" w:space="0" w:color="auto"/>
            <w:right w:val="none" w:sz="0" w:space="0" w:color="auto"/>
          </w:divBdr>
          <w:divsChild>
            <w:div w:id="193077544">
              <w:marLeft w:val="0"/>
              <w:marRight w:val="0"/>
              <w:marTop w:val="0"/>
              <w:marBottom w:val="0"/>
              <w:divBdr>
                <w:top w:val="none" w:sz="0" w:space="0" w:color="auto"/>
                <w:left w:val="none" w:sz="0" w:space="0" w:color="auto"/>
                <w:bottom w:val="none" w:sz="0" w:space="0" w:color="auto"/>
                <w:right w:val="none" w:sz="0" w:space="0" w:color="auto"/>
              </w:divBdr>
              <w:divsChild>
                <w:div w:id="43945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34771">
      <w:bodyDiv w:val="1"/>
      <w:marLeft w:val="0"/>
      <w:marRight w:val="0"/>
      <w:marTop w:val="0"/>
      <w:marBottom w:val="0"/>
      <w:divBdr>
        <w:top w:val="none" w:sz="0" w:space="0" w:color="auto"/>
        <w:left w:val="none" w:sz="0" w:space="0" w:color="auto"/>
        <w:bottom w:val="none" w:sz="0" w:space="0" w:color="auto"/>
        <w:right w:val="none" w:sz="0" w:space="0" w:color="auto"/>
      </w:divBdr>
    </w:div>
    <w:div w:id="787774986">
      <w:bodyDiv w:val="1"/>
      <w:marLeft w:val="0"/>
      <w:marRight w:val="0"/>
      <w:marTop w:val="0"/>
      <w:marBottom w:val="0"/>
      <w:divBdr>
        <w:top w:val="none" w:sz="0" w:space="0" w:color="auto"/>
        <w:left w:val="none" w:sz="0" w:space="0" w:color="auto"/>
        <w:bottom w:val="none" w:sz="0" w:space="0" w:color="auto"/>
        <w:right w:val="none" w:sz="0" w:space="0" w:color="auto"/>
      </w:divBdr>
    </w:div>
    <w:div w:id="795101974">
      <w:bodyDiv w:val="1"/>
      <w:marLeft w:val="0"/>
      <w:marRight w:val="0"/>
      <w:marTop w:val="0"/>
      <w:marBottom w:val="0"/>
      <w:divBdr>
        <w:top w:val="none" w:sz="0" w:space="0" w:color="auto"/>
        <w:left w:val="none" w:sz="0" w:space="0" w:color="auto"/>
        <w:bottom w:val="none" w:sz="0" w:space="0" w:color="auto"/>
        <w:right w:val="none" w:sz="0" w:space="0" w:color="auto"/>
      </w:divBdr>
      <w:divsChild>
        <w:div w:id="1772503273">
          <w:marLeft w:val="547"/>
          <w:marRight w:val="0"/>
          <w:marTop w:val="0"/>
          <w:marBottom w:val="0"/>
          <w:divBdr>
            <w:top w:val="none" w:sz="0" w:space="0" w:color="auto"/>
            <w:left w:val="none" w:sz="0" w:space="0" w:color="auto"/>
            <w:bottom w:val="none" w:sz="0" w:space="0" w:color="auto"/>
            <w:right w:val="none" w:sz="0" w:space="0" w:color="auto"/>
          </w:divBdr>
        </w:div>
        <w:div w:id="750279474">
          <w:marLeft w:val="547"/>
          <w:marRight w:val="0"/>
          <w:marTop w:val="0"/>
          <w:marBottom w:val="0"/>
          <w:divBdr>
            <w:top w:val="none" w:sz="0" w:space="0" w:color="auto"/>
            <w:left w:val="none" w:sz="0" w:space="0" w:color="auto"/>
            <w:bottom w:val="none" w:sz="0" w:space="0" w:color="auto"/>
            <w:right w:val="none" w:sz="0" w:space="0" w:color="auto"/>
          </w:divBdr>
        </w:div>
      </w:divsChild>
    </w:div>
    <w:div w:id="829558023">
      <w:bodyDiv w:val="1"/>
      <w:marLeft w:val="0"/>
      <w:marRight w:val="0"/>
      <w:marTop w:val="0"/>
      <w:marBottom w:val="0"/>
      <w:divBdr>
        <w:top w:val="none" w:sz="0" w:space="0" w:color="auto"/>
        <w:left w:val="none" w:sz="0" w:space="0" w:color="auto"/>
        <w:bottom w:val="none" w:sz="0" w:space="0" w:color="auto"/>
        <w:right w:val="none" w:sz="0" w:space="0" w:color="auto"/>
      </w:divBdr>
    </w:div>
    <w:div w:id="840966449">
      <w:bodyDiv w:val="1"/>
      <w:marLeft w:val="0"/>
      <w:marRight w:val="0"/>
      <w:marTop w:val="0"/>
      <w:marBottom w:val="0"/>
      <w:divBdr>
        <w:top w:val="none" w:sz="0" w:space="0" w:color="auto"/>
        <w:left w:val="none" w:sz="0" w:space="0" w:color="auto"/>
        <w:bottom w:val="none" w:sz="0" w:space="0" w:color="auto"/>
        <w:right w:val="none" w:sz="0" w:space="0" w:color="auto"/>
      </w:divBdr>
      <w:divsChild>
        <w:div w:id="1162967086">
          <w:marLeft w:val="0"/>
          <w:marRight w:val="0"/>
          <w:marTop w:val="0"/>
          <w:marBottom w:val="0"/>
          <w:divBdr>
            <w:top w:val="none" w:sz="0" w:space="0" w:color="auto"/>
            <w:left w:val="none" w:sz="0" w:space="0" w:color="auto"/>
            <w:bottom w:val="none" w:sz="0" w:space="0" w:color="auto"/>
            <w:right w:val="none" w:sz="0" w:space="0" w:color="auto"/>
          </w:divBdr>
          <w:divsChild>
            <w:div w:id="728960440">
              <w:marLeft w:val="0"/>
              <w:marRight w:val="0"/>
              <w:marTop w:val="0"/>
              <w:marBottom w:val="0"/>
              <w:divBdr>
                <w:top w:val="none" w:sz="0" w:space="0" w:color="auto"/>
                <w:left w:val="none" w:sz="0" w:space="0" w:color="auto"/>
                <w:bottom w:val="none" w:sz="0" w:space="0" w:color="auto"/>
                <w:right w:val="none" w:sz="0" w:space="0" w:color="auto"/>
              </w:divBdr>
              <w:divsChild>
                <w:div w:id="208367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53889">
      <w:bodyDiv w:val="1"/>
      <w:marLeft w:val="0"/>
      <w:marRight w:val="0"/>
      <w:marTop w:val="0"/>
      <w:marBottom w:val="0"/>
      <w:divBdr>
        <w:top w:val="none" w:sz="0" w:space="0" w:color="auto"/>
        <w:left w:val="none" w:sz="0" w:space="0" w:color="auto"/>
        <w:bottom w:val="none" w:sz="0" w:space="0" w:color="auto"/>
        <w:right w:val="none" w:sz="0" w:space="0" w:color="auto"/>
      </w:divBdr>
      <w:divsChild>
        <w:div w:id="1927110067">
          <w:marLeft w:val="0"/>
          <w:marRight w:val="0"/>
          <w:marTop w:val="0"/>
          <w:marBottom w:val="0"/>
          <w:divBdr>
            <w:top w:val="none" w:sz="0" w:space="0" w:color="auto"/>
            <w:left w:val="none" w:sz="0" w:space="0" w:color="auto"/>
            <w:bottom w:val="none" w:sz="0" w:space="0" w:color="auto"/>
            <w:right w:val="none" w:sz="0" w:space="0" w:color="auto"/>
          </w:divBdr>
          <w:divsChild>
            <w:div w:id="273052786">
              <w:marLeft w:val="0"/>
              <w:marRight w:val="0"/>
              <w:marTop w:val="0"/>
              <w:marBottom w:val="0"/>
              <w:divBdr>
                <w:top w:val="none" w:sz="0" w:space="0" w:color="auto"/>
                <w:left w:val="none" w:sz="0" w:space="0" w:color="auto"/>
                <w:bottom w:val="none" w:sz="0" w:space="0" w:color="auto"/>
                <w:right w:val="none" w:sz="0" w:space="0" w:color="auto"/>
              </w:divBdr>
              <w:divsChild>
                <w:div w:id="56001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94366">
      <w:bodyDiv w:val="1"/>
      <w:marLeft w:val="0"/>
      <w:marRight w:val="0"/>
      <w:marTop w:val="0"/>
      <w:marBottom w:val="0"/>
      <w:divBdr>
        <w:top w:val="none" w:sz="0" w:space="0" w:color="auto"/>
        <w:left w:val="none" w:sz="0" w:space="0" w:color="auto"/>
        <w:bottom w:val="none" w:sz="0" w:space="0" w:color="auto"/>
        <w:right w:val="none" w:sz="0" w:space="0" w:color="auto"/>
      </w:divBdr>
    </w:div>
    <w:div w:id="902716705">
      <w:bodyDiv w:val="1"/>
      <w:marLeft w:val="0"/>
      <w:marRight w:val="0"/>
      <w:marTop w:val="0"/>
      <w:marBottom w:val="0"/>
      <w:divBdr>
        <w:top w:val="none" w:sz="0" w:space="0" w:color="auto"/>
        <w:left w:val="none" w:sz="0" w:space="0" w:color="auto"/>
        <w:bottom w:val="none" w:sz="0" w:space="0" w:color="auto"/>
        <w:right w:val="none" w:sz="0" w:space="0" w:color="auto"/>
      </w:divBdr>
      <w:divsChild>
        <w:div w:id="1961298866">
          <w:marLeft w:val="0"/>
          <w:marRight w:val="0"/>
          <w:marTop w:val="0"/>
          <w:marBottom w:val="0"/>
          <w:divBdr>
            <w:top w:val="none" w:sz="0" w:space="0" w:color="auto"/>
            <w:left w:val="none" w:sz="0" w:space="0" w:color="auto"/>
            <w:bottom w:val="none" w:sz="0" w:space="0" w:color="auto"/>
            <w:right w:val="none" w:sz="0" w:space="0" w:color="auto"/>
          </w:divBdr>
          <w:divsChild>
            <w:div w:id="250551865">
              <w:marLeft w:val="0"/>
              <w:marRight w:val="0"/>
              <w:marTop w:val="0"/>
              <w:marBottom w:val="0"/>
              <w:divBdr>
                <w:top w:val="none" w:sz="0" w:space="0" w:color="auto"/>
                <w:left w:val="none" w:sz="0" w:space="0" w:color="auto"/>
                <w:bottom w:val="none" w:sz="0" w:space="0" w:color="auto"/>
                <w:right w:val="none" w:sz="0" w:space="0" w:color="auto"/>
              </w:divBdr>
              <w:divsChild>
                <w:div w:id="140564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13076">
      <w:bodyDiv w:val="1"/>
      <w:marLeft w:val="0"/>
      <w:marRight w:val="0"/>
      <w:marTop w:val="0"/>
      <w:marBottom w:val="0"/>
      <w:divBdr>
        <w:top w:val="none" w:sz="0" w:space="0" w:color="auto"/>
        <w:left w:val="none" w:sz="0" w:space="0" w:color="auto"/>
        <w:bottom w:val="none" w:sz="0" w:space="0" w:color="auto"/>
        <w:right w:val="none" w:sz="0" w:space="0" w:color="auto"/>
      </w:divBdr>
      <w:divsChild>
        <w:div w:id="421879069">
          <w:marLeft w:val="547"/>
          <w:marRight w:val="0"/>
          <w:marTop w:val="0"/>
          <w:marBottom w:val="0"/>
          <w:divBdr>
            <w:top w:val="none" w:sz="0" w:space="0" w:color="auto"/>
            <w:left w:val="none" w:sz="0" w:space="0" w:color="auto"/>
            <w:bottom w:val="none" w:sz="0" w:space="0" w:color="auto"/>
            <w:right w:val="none" w:sz="0" w:space="0" w:color="auto"/>
          </w:divBdr>
        </w:div>
      </w:divsChild>
    </w:div>
    <w:div w:id="935093353">
      <w:bodyDiv w:val="1"/>
      <w:marLeft w:val="0"/>
      <w:marRight w:val="0"/>
      <w:marTop w:val="0"/>
      <w:marBottom w:val="0"/>
      <w:divBdr>
        <w:top w:val="none" w:sz="0" w:space="0" w:color="auto"/>
        <w:left w:val="none" w:sz="0" w:space="0" w:color="auto"/>
        <w:bottom w:val="none" w:sz="0" w:space="0" w:color="auto"/>
        <w:right w:val="none" w:sz="0" w:space="0" w:color="auto"/>
      </w:divBdr>
      <w:divsChild>
        <w:div w:id="940258281">
          <w:marLeft w:val="360"/>
          <w:marRight w:val="0"/>
          <w:marTop w:val="200"/>
          <w:marBottom w:val="0"/>
          <w:divBdr>
            <w:top w:val="none" w:sz="0" w:space="0" w:color="auto"/>
            <w:left w:val="none" w:sz="0" w:space="0" w:color="auto"/>
            <w:bottom w:val="none" w:sz="0" w:space="0" w:color="auto"/>
            <w:right w:val="none" w:sz="0" w:space="0" w:color="auto"/>
          </w:divBdr>
        </w:div>
        <w:div w:id="1512333010">
          <w:marLeft w:val="360"/>
          <w:marRight w:val="0"/>
          <w:marTop w:val="200"/>
          <w:marBottom w:val="0"/>
          <w:divBdr>
            <w:top w:val="none" w:sz="0" w:space="0" w:color="auto"/>
            <w:left w:val="none" w:sz="0" w:space="0" w:color="auto"/>
            <w:bottom w:val="none" w:sz="0" w:space="0" w:color="auto"/>
            <w:right w:val="none" w:sz="0" w:space="0" w:color="auto"/>
          </w:divBdr>
        </w:div>
        <w:div w:id="545685007">
          <w:marLeft w:val="1080"/>
          <w:marRight w:val="0"/>
          <w:marTop w:val="100"/>
          <w:marBottom w:val="0"/>
          <w:divBdr>
            <w:top w:val="none" w:sz="0" w:space="0" w:color="auto"/>
            <w:left w:val="none" w:sz="0" w:space="0" w:color="auto"/>
            <w:bottom w:val="none" w:sz="0" w:space="0" w:color="auto"/>
            <w:right w:val="none" w:sz="0" w:space="0" w:color="auto"/>
          </w:divBdr>
        </w:div>
      </w:divsChild>
    </w:div>
    <w:div w:id="954094383">
      <w:bodyDiv w:val="1"/>
      <w:marLeft w:val="0"/>
      <w:marRight w:val="0"/>
      <w:marTop w:val="0"/>
      <w:marBottom w:val="0"/>
      <w:divBdr>
        <w:top w:val="none" w:sz="0" w:space="0" w:color="auto"/>
        <w:left w:val="none" w:sz="0" w:space="0" w:color="auto"/>
        <w:bottom w:val="none" w:sz="0" w:space="0" w:color="auto"/>
        <w:right w:val="none" w:sz="0" w:space="0" w:color="auto"/>
      </w:divBdr>
      <w:divsChild>
        <w:div w:id="1421757500">
          <w:marLeft w:val="0"/>
          <w:marRight w:val="0"/>
          <w:marTop w:val="0"/>
          <w:marBottom w:val="0"/>
          <w:divBdr>
            <w:top w:val="none" w:sz="0" w:space="0" w:color="auto"/>
            <w:left w:val="none" w:sz="0" w:space="0" w:color="auto"/>
            <w:bottom w:val="none" w:sz="0" w:space="0" w:color="auto"/>
            <w:right w:val="none" w:sz="0" w:space="0" w:color="auto"/>
          </w:divBdr>
          <w:divsChild>
            <w:div w:id="1540779565">
              <w:marLeft w:val="0"/>
              <w:marRight w:val="0"/>
              <w:marTop w:val="0"/>
              <w:marBottom w:val="0"/>
              <w:divBdr>
                <w:top w:val="none" w:sz="0" w:space="0" w:color="auto"/>
                <w:left w:val="none" w:sz="0" w:space="0" w:color="auto"/>
                <w:bottom w:val="none" w:sz="0" w:space="0" w:color="auto"/>
                <w:right w:val="none" w:sz="0" w:space="0" w:color="auto"/>
              </w:divBdr>
              <w:divsChild>
                <w:div w:id="164596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30225">
      <w:bodyDiv w:val="1"/>
      <w:marLeft w:val="0"/>
      <w:marRight w:val="0"/>
      <w:marTop w:val="0"/>
      <w:marBottom w:val="0"/>
      <w:divBdr>
        <w:top w:val="none" w:sz="0" w:space="0" w:color="auto"/>
        <w:left w:val="none" w:sz="0" w:space="0" w:color="auto"/>
        <w:bottom w:val="none" w:sz="0" w:space="0" w:color="auto"/>
        <w:right w:val="none" w:sz="0" w:space="0" w:color="auto"/>
      </w:divBdr>
    </w:div>
    <w:div w:id="976448487">
      <w:bodyDiv w:val="1"/>
      <w:marLeft w:val="0"/>
      <w:marRight w:val="0"/>
      <w:marTop w:val="0"/>
      <w:marBottom w:val="0"/>
      <w:divBdr>
        <w:top w:val="none" w:sz="0" w:space="0" w:color="auto"/>
        <w:left w:val="none" w:sz="0" w:space="0" w:color="auto"/>
        <w:bottom w:val="none" w:sz="0" w:space="0" w:color="auto"/>
        <w:right w:val="none" w:sz="0" w:space="0" w:color="auto"/>
      </w:divBdr>
      <w:divsChild>
        <w:div w:id="800226818">
          <w:marLeft w:val="0"/>
          <w:marRight w:val="0"/>
          <w:marTop w:val="0"/>
          <w:marBottom w:val="0"/>
          <w:divBdr>
            <w:top w:val="none" w:sz="0" w:space="0" w:color="auto"/>
            <w:left w:val="none" w:sz="0" w:space="0" w:color="auto"/>
            <w:bottom w:val="none" w:sz="0" w:space="0" w:color="auto"/>
            <w:right w:val="none" w:sz="0" w:space="0" w:color="auto"/>
          </w:divBdr>
          <w:divsChild>
            <w:div w:id="263618133">
              <w:marLeft w:val="0"/>
              <w:marRight w:val="0"/>
              <w:marTop w:val="0"/>
              <w:marBottom w:val="0"/>
              <w:divBdr>
                <w:top w:val="none" w:sz="0" w:space="0" w:color="auto"/>
                <w:left w:val="none" w:sz="0" w:space="0" w:color="auto"/>
                <w:bottom w:val="none" w:sz="0" w:space="0" w:color="auto"/>
                <w:right w:val="none" w:sz="0" w:space="0" w:color="auto"/>
              </w:divBdr>
              <w:divsChild>
                <w:div w:id="50675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58838">
      <w:bodyDiv w:val="1"/>
      <w:marLeft w:val="0"/>
      <w:marRight w:val="0"/>
      <w:marTop w:val="0"/>
      <w:marBottom w:val="0"/>
      <w:divBdr>
        <w:top w:val="none" w:sz="0" w:space="0" w:color="auto"/>
        <w:left w:val="none" w:sz="0" w:space="0" w:color="auto"/>
        <w:bottom w:val="none" w:sz="0" w:space="0" w:color="auto"/>
        <w:right w:val="none" w:sz="0" w:space="0" w:color="auto"/>
      </w:divBdr>
      <w:divsChild>
        <w:div w:id="857235248">
          <w:marLeft w:val="547"/>
          <w:marRight w:val="0"/>
          <w:marTop w:val="0"/>
          <w:marBottom w:val="0"/>
          <w:divBdr>
            <w:top w:val="none" w:sz="0" w:space="0" w:color="auto"/>
            <w:left w:val="none" w:sz="0" w:space="0" w:color="auto"/>
            <w:bottom w:val="none" w:sz="0" w:space="0" w:color="auto"/>
            <w:right w:val="none" w:sz="0" w:space="0" w:color="auto"/>
          </w:divBdr>
        </w:div>
        <w:div w:id="1008942518">
          <w:marLeft w:val="547"/>
          <w:marRight w:val="0"/>
          <w:marTop w:val="0"/>
          <w:marBottom w:val="0"/>
          <w:divBdr>
            <w:top w:val="none" w:sz="0" w:space="0" w:color="auto"/>
            <w:left w:val="none" w:sz="0" w:space="0" w:color="auto"/>
            <w:bottom w:val="none" w:sz="0" w:space="0" w:color="auto"/>
            <w:right w:val="none" w:sz="0" w:space="0" w:color="auto"/>
          </w:divBdr>
        </w:div>
        <w:div w:id="1903710381">
          <w:marLeft w:val="547"/>
          <w:marRight w:val="0"/>
          <w:marTop w:val="0"/>
          <w:marBottom w:val="0"/>
          <w:divBdr>
            <w:top w:val="none" w:sz="0" w:space="0" w:color="auto"/>
            <w:left w:val="none" w:sz="0" w:space="0" w:color="auto"/>
            <w:bottom w:val="none" w:sz="0" w:space="0" w:color="auto"/>
            <w:right w:val="none" w:sz="0" w:space="0" w:color="auto"/>
          </w:divBdr>
        </w:div>
        <w:div w:id="1798986145">
          <w:marLeft w:val="547"/>
          <w:marRight w:val="0"/>
          <w:marTop w:val="0"/>
          <w:marBottom w:val="0"/>
          <w:divBdr>
            <w:top w:val="none" w:sz="0" w:space="0" w:color="auto"/>
            <w:left w:val="none" w:sz="0" w:space="0" w:color="auto"/>
            <w:bottom w:val="none" w:sz="0" w:space="0" w:color="auto"/>
            <w:right w:val="none" w:sz="0" w:space="0" w:color="auto"/>
          </w:divBdr>
        </w:div>
        <w:div w:id="63258562">
          <w:marLeft w:val="547"/>
          <w:marRight w:val="0"/>
          <w:marTop w:val="0"/>
          <w:marBottom w:val="0"/>
          <w:divBdr>
            <w:top w:val="none" w:sz="0" w:space="0" w:color="auto"/>
            <w:left w:val="none" w:sz="0" w:space="0" w:color="auto"/>
            <w:bottom w:val="none" w:sz="0" w:space="0" w:color="auto"/>
            <w:right w:val="none" w:sz="0" w:space="0" w:color="auto"/>
          </w:divBdr>
        </w:div>
        <w:div w:id="1280064297">
          <w:marLeft w:val="547"/>
          <w:marRight w:val="0"/>
          <w:marTop w:val="0"/>
          <w:marBottom w:val="0"/>
          <w:divBdr>
            <w:top w:val="none" w:sz="0" w:space="0" w:color="auto"/>
            <w:left w:val="none" w:sz="0" w:space="0" w:color="auto"/>
            <w:bottom w:val="none" w:sz="0" w:space="0" w:color="auto"/>
            <w:right w:val="none" w:sz="0" w:space="0" w:color="auto"/>
          </w:divBdr>
        </w:div>
        <w:div w:id="101993190">
          <w:marLeft w:val="1267"/>
          <w:marRight w:val="0"/>
          <w:marTop w:val="0"/>
          <w:marBottom w:val="0"/>
          <w:divBdr>
            <w:top w:val="none" w:sz="0" w:space="0" w:color="auto"/>
            <w:left w:val="none" w:sz="0" w:space="0" w:color="auto"/>
            <w:bottom w:val="none" w:sz="0" w:space="0" w:color="auto"/>
            <w:right w:val="none" w:sz="0" w:space="0" w:color="auto"/>
          </w:divBdr>
        </w:div>
        <w:div w:id="964430730">
          <w:marLeft w:val="1267"/>
          <w:marRight w:val="0"/>
          <w:marTop w:val="0"/>
          <w:marBottom w:val="0"/>
          <w:divBdr>
            <w:top w:val="none" w:sz="0" w:space="0" w:color="auto"/>
            <w:left w:val="none" w:sz="0" w:space="0" w:color="auto"/>
            <w:bottom w:val="none" w:sz="0" w:space="0" w:color="auto"/>
            <w:right w:val="none" w:sz="0" w:space="0" w:color="auto"/>
          </w:divBdr>
        </w:div>
        <w:div w:id="743142612">
          <w:marLeft w:val="547"/>
          <w:marRight w:val="0"/>
          <w:marTop w:val="0"/>
          <w:marBottom w:val="0"/>
          <w:divBdr>
            <w:top w:val="none" w:sz="0" w:space="0" w:color="auto"/>
            <w:left w:val="none" w:sz="0" w:space="0" w:color="auto"/>
            <w:bottom w:val="none" w:sz="0" w:space="0" w:color="auto"/>
            <w:right w:val="none" w:sz="0" w:space="0" w:color="auto"/>
          </w:divBdr>
        </w:div>
      </w:divsChild>
    </w:div>
    <w:div w:id="993293442">
      <w:bodyDiv w:val="1"/>
      <w:marLeft w:val="0"/>
      <w:marRight w:val="0"/>
      <w:marTop w:val="0"/>
      <w:marBottom w:val="0"/>
      <w:divBdr>
        <w:top w:val="none" w:sz="0" w:space="0" w:color="auto"/>
        <w:left w:val="none" w:sz="0" w:space="0" w:color="auto"/>
        <w:bottom w:val="none" w:sz="0" w:space="0" w:color="auto"/>
        <w:right w:val="none" w:sz="0" w:space="0" w:color="auto"/>
      </w:divBdr>
      <w:divsChild>
        <w:div w:id="581335350">
          <w:marLeft w:val="0"/>
          <w:marRight w:val="0"/>
          <w:marTop w:val="0"/>
          <w:marBottom w:val="0"/>
          <w:divBdr>
            <w:top w:val="none" w:sz="0" w:space="0" w:color="auto"/>
            <w:left w:val="none" w:sz="0" w:space="0" w:color="auto"/>
            <w:bottom w:val="none" w:sz="0" w:space="0" w:color="auto"/>
            <w:right w:val="none" w:sz="0" w:space="0" w:color="auto"/>
          </w:divBdr>
          <w:divsChild>
            <w:div w:id="1478107149">
              <w:marLeft w:val="0"/>
              <w:marRight w:val="0"/>
              <w:marTop w:val="0"/>
              <w:marBottom w:val="0"/>
              <w:divBdr>
                <w:top w:val="none" w:sz="0" w:space="0" w:color="auto"/>
                <w:left w:val="none" w:sz="0" w:space="0" w:color="auto"/>
                <w:bottom w:val="none" w:sz="0" w:space="0" w:color="auto"/>
                <w:right w:val="none" w:sz="0" w:space="0" w:color="auto"/>
              </w:divBdr>
              <w:divsChild>
                <w:div w:id="16531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562958">
      <w:bodyDiv w:val="1"/>
      <w:marLeft w:val="0"/>
      <w:marRight w:val="0"/>
      <w:marTop w:val="0"/>
      <w:marBottom w:val="0"/>
      <w:divBdr>
        <w:top w:val="none" w:sz="0" w:space="0" w:color="auto"/>
        <w:left w:val="none" w:sz="0" w:space="0" w:color="auto"/>
        <w:bottom w:val="none" w:sz="0" w:space="0" w:color="auto"/>
        <w:right w:val="none" w:sz="0" w:space="0" w:color="auto"/>
      </w:divBdr>
      <w:divsChild>
        <w:div w:id="226041334">
          <w:marLeft w:val="547"/>
          <w:marRight w:val="0"/>
          <w:marTop w:val="0"/>
          <w:marBottom w:val="0"/>
          <w:divBdr>
            <w:top w:val="none" w:sz="0" w:space="0" w:color="auto"/>
            <w:left w:val="none" w:sz="0" w:space="0" w:color="auto"/>
            <w:bottom w:val="none" w:sz="0" w:space="0" w:color="auto"/>
            <w:right w:val="none" w:sz="0" w:space="0" w:color="auto"/>
          </w:divBdr>
        </w:div>
        <w:div w:id="1586649353">
          <w:marLeft w:val="547"/>
          <w:marRight w:val="0"/>
          <w:marTop w:val="0"/>
          <w:marBottom w:val="0"/>
          <w:divBdr>
            <w:top w:val="none" w:sz="0" w:space="0" w:color="auto"/>
            <w:left w:val="none" w:sz="0" w:space="0" w:color="auto"/>
            <w:bottom w:val="none" w:sz="0" w:space="0" w:color="auto"/>
            <w:right w:val="none" w:sz="0" w:space="0" w:color="auto"/>
          </w:divBdr>
        </w:div>
        <w:div w:id="819418345">
          <w:marLeft w:val="547"/>
          <w:marRight w:val="0"/>
          <w:marTop w:val="0"/>
          <w:marBottom w:val="0"/>
          <w:divBdr>
            <w:top w:val="none" w:sz="0" w:space="0" w:color="auto"/>
            <w:left w:val="none" w:sz="0" w:space="0" w:color="auto"/>
            <w:bottom w:val="none" w:sz="0" w:space="0" w:color="auto"/>
            <w:right w:val="none" w:sz="0" w:space="0" w:color="auto"/>
          </w:divBdr>
        </w:div>
        <w:div w:id="1467775130">
          <w:marLeft w:val="1267"/>
          <w:marRight w:val="0"/>
          <w:marTop w:val="0"/>
          <w:marBottom w:val="0"/>
          <w:divBdr>
            <w:top w:val="none" w:sz="0" w:space="0" w:color="auto"/>
            <w:left w:val="none" w:sz="0" w:space="0" w:color="auto"/>
            <w:bottom w:val="none" w:sz="0" w:space="0" w:color="auto"/>
            <w:right w:val="none" w:sz="0" w:space="0" w:color="auto"/>
          </w:divBdr>
        </w:div>
        <w:div w:id="1464544415">
          <w:marLeft w:val="1267"/>
          <w:marRight w:val="0"/>
          <w:marTop w:val="0"/>
          <w:marBottom w:val="0"/>
          <w:divBdr>
            <w:top w:val="none" w:sz="0" w:space="0" w:color="auto"/>
            <w:left w:val="none" w:sz="0" w:space="0" w:color="auto"/>
            <w:bottom w:val="none" w:sz="0" w:space="0" w:color="auto"/>
            <w:right w:val="none" w:sz="0" w:space="0" w:color="auto"/>
          </w:divBdr>
        </w:div>
      </w:divsChild>
    </w:div>
    <w:div w:id="1044135193">
      <w:bodyDiv w:val="1"/>
      <w:marLeft w:val="0"/>
      <w:marRight w:val="0"/>
      <w:marTop w:val="0"/>
      <w:marBottom w:val="0"/>
      <w:divBdr>
        <w:top w:val="none" w:sz="0" w:space="0" w:color="auto"/>
        <w:left w:val="none" w:sz="0" w:space="0" w:color="auto"/>
        <w:bottom w:val="none" w:sz="0" w:space="0" w:color="auto"/>
        <w:right w:val="none" w:sz="0" w:space="0" w:color="auto"/>
      </w:divBdr>
      <w:divsChild>
        <w:div w:id="2075353770">
          <w:marLeft w:val="0"/>
          <w:marRight w:val="0"/>
          <w:marTop w:val="0"/>
          <w:marBottom w:val="0"/>
          <w:divBdr>
            <w:top w:val="none" w:sz="0" w:space="0" w:color="auto"/>
            <w:left w:val="none" w:sz="0" w:space="0" w:color="auto"/>
            <w:bottom w:val="none" w:sz="0" w:space="0" w:color="auto"/>
            <w:right w:val="none" w:sz="0" w:space="0" w:color="auto"/>
          </w:divBdr>
          <w:divsChild>
            <w:div w:id="1684474460">
              <w:marLeft w:val="0"/>
              <w:marRight w:val="0"/>
              <w:marTop w:val="0"/>
              <w:marBottom w:val="0"/>
              <w:divBdr>
                <w:top w:val="none" w:sz="0" w:space="0" w:color="auto"/>
                <w:left w:val="none" w:sz="0" w:space="0" w:color="auto"/>
                <w:bottom w:val="none" w:sz="0" w:space="0" w:color="auto"/>
                <w:right w:val="none" w:sz="0" w:space="0" w:color="auto"/>
              </w:divBdr>
              <w:divsChild>
                <w:div w:id="2635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62332">
      <w:bodyDiv w:val="1"/>
      <w:marLeft w:val="0"/>
      <w:marRight w:val="0"/>
      <w:marTop w:val="0"/>
      <w:marBottom w:val="0"/>
      <w:divBdr>
        <w:top w:val="none" w:sz="0" w:space="0" w:color="auto"/>
        <w:left w:val="none" w:sz="0" w:space="0" w:color="auto"/>
        <w:bottom w:val="none" w:sz="0" w:space="0" w:color="auto"/>
        <w:right w:val="none" w:sz="0" w:space="0" w:color="auto"/>
      </w:divBdr>
    </w:div>
    <w:div w:id="1094470744">
      <w:bodyDiv w:val="1"/>
      <w:marLeft w:val="0"/>
      <w:marRight w:val="0"/>
      <w:marTop w:val="0"/>
      <w:marBottom w:val="0"/>
      <w:divBdr>
        <w:top w:val="none" w:sz="0" w:space="0" w:color="auto"/>
        <w:left w:val="none" w:sz="0" w:space="0" w:color="auto"/>
        <w:bottom w:val="none" w:sz="0" w:space="0" w:color="auto"/>
        <w:right w:val="none" w:sz="0" w:space="0" w:color="auto"/>
      </w:divBdr>
      <w:divsChild>
        <w:div w:id="158807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446552">
              <w:marLeft w:val="0"/>
              <w:marRight w:val="0"/>
              <w:marTop w:val="0"/>
              <w:marBottom w:val="0"/>
              <w:divBdr>
                <w:top w:val="none" w:sz="0" w:space="0" w:color="auto"/>
                <w:left w:val="none" w:sz="0" w:space="0" w:color="auto"/>
                <w:bottom w:val="none" w:sz="0" w:space="0" w:color="auto"/>
                <w:right w:val="none" w:sz="0" w:space="0" w:color="auto"/>
              </w:divBdr>
              <w:divsChild>
                <w:div w:id="1375083027">
                  <w:marLeft w:val="0"/>
                  <w:marRight w:val="0"/>
                  <w:marTop w:val="0"/>
                  <w:marBottom w:val="0"/>
                  <w:divBdr>
                    <w:top w:val="none" w:sz="0" w:space="0" w:color="auto"/>
                    <w:left w:val="none" w:sz="0" w:space="0" w:color="auto"/>
                    <w:bottom w:val="none" w:sz="0" w:space="0" w:color="auto"/>
                    <w:right w:val="none" w:sz="0" w:space="0" w:color="auto"/>
                  </w:divBdr>
                  <w:divsChild>
                    <w:div w:id="6925345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45871866">
                          <w:marLeft w:val="0"/>
                          <w:marRight w:val="0"/>
                          <w:marTop w:val="0"/>
                          <w:marBottom w:val="0"/>
                          <w:divBdr>
                            <w:top w:val="none" w:sz="0" w:space="0" w:color="auto"/>
                            <w:left w:val="none" w:sz="0" w:space="0" w:color="auto"/>
                            <w:bottom w:val="none" w:sz="0" w:space="0" w:color="auto"/>
                            <w:right w:val="none" w:sz="0" w:space="0" w:color="auto"/>
                          </w:divBdr>
                          <w:divsChild>
                            <w:div w:id="1636255122">
                              <w:marLeft w:val="0"/>
                              <w:marRight w:val="0"/>
                              <w:marTop w:val="0"/>
                              <w:marBottom w:val="0"/>
                              <w:divBdr>
                                <w:top w:val="none" w:sz="0" w:space="0" w:color="auto"/>
                                <w:left w:val="none" w:sz="0" w:space="0" w:color="auto"/>
                                <w:bottom w:val="none" w:sz="0" w:space="0" w:color="auto"/>
                                <w:right w:val="none" w:sz="0" w:space="0" w:color="auto"/>
                              </w:divBdr>
                              <w:divsChild>
                                <w:div w:id="1180387402">
                                  <w:marLeft w:val="0"/>
                                  <w:marRight w:val="0"/>
                                  <w:marTop w:val="0"/>
                                  <w:marBottom w:val="0"/>
                                  <w:divBdr>
                                    <w:top w:val="none" w:sz="0" w:space="0" w:color="auto"/>
                                    <w:left w:val="none" w:sz="0" w:space="0" w:color="auto"/>
                                    <w:bottom w:val="none" w:sz="0" w:space="0" w:color="auto"/>
                                    <w:right w:val="none" w:sz="0" w:space="0" w:color="auto"/>
                                  </w:divBdr>
                                  <w:divsChild>
                                    <w:div w:id="41859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569611">
                                          <w:marLeft w:val="0"/>
                                          <w:marRight w:val="0"/>
                                          <w:marTop w:val="0"/>
                                          <w:marBottom w:val="0"/>
                                          <w:divBdr>
                                            <w:top w:val="none" w:sz="0" w:space="0" w:color="auto"/>
                                            <w:left w:val="none" w:sz="0" w:space="0" w:color="auto"/>
                                            <w:bottom w:val="none" w:sz="0" w:space="0" w:color="auto"/>
                                            <w:right w:val="none" w:sz="0" w:space="0" w:color="auto"/>
                                          </w:divBdr>
                                          <w:divsChild>
                                            <w:div w:id="537087238">
                                              <w:marLeft w:val="0"/>
                                              <w:marRight w:val="0"/>
                                              <w:marTop w:val="0"/>
                                              <w:marBottom w:val="0"/>
                                              <w:divBdr>
                                                <w:top w:val="none" w:sz="0" w:space="0" w:color="auto"/>
                                                <w:left w:val="none" w:sz="0" w:space="0" w:color="auto"/>
                                                <w:bottom w:val="none" w:sz="0" w:space="0" w:color="auto"/>
                                                <w:right w:val="none" w:sz="0" w:space="0" w:color="auto"/>
                                              </w:divBdr>
                                              <w:divsChild>
                                                <w:div w:id="1869638404">
                                                  <w:marLeft w:val="0"/>
                                                  <w:marRight w:val="0"/>
                                                  <w:marTop w:val="0"/>
                                                  <w:marBottom w:val="0"/>
                                                  <w:divBdr>
                                                    <w:top w:val="none" w:sz="0" w:space="0" w:color="auto"/>
                                                    <w:left w:val="none" w:sz="0" w:space="0" w:color="auto"/>
                                                    <w:bottom w:val="none" w:sz="0" w:space="0" w:color="auto"/>
                                                    <w:right w:val="none" w:sz="0" w:space="0" w:color="auto"/>
                                                  </w:divBdr>
                                                  <w:divsChild>
                                                    <w:div w:id="3270978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61333268">
                                                          <w:marLeft w:val="0"/>
                                                          <w:marRight w:val="0"/>
                                                          <w:marTop w:val="0"/>
                                                          <w:marBottom w:val="0"/>
                                                          <w:divBdr>
                                                            <w:top w:val="none" w:sz="0" w:space="0" w:color="auto"/>
                                                            <w:left w:val="none" w:sz="0" w:space="0" w:color="auto"/>
                                                            <w:bottom w:val="none" w:sz="0" w:space="0" w:color="auto"/>
                                                            <w:right w:val="none" w:sz="0" w:space="0" w:color="auto"/>
                                                          </w:divBdr>
                                                          <w:divsChild>
                                                            <w:div w:id="1097209753">
                                                              <w:marLeft w:val="0"/>
                                                              <w:marRight w:val="0"/>
                                                              <w:marTop w:val="0"/>
                                                              <w:marBottom w:val="0"/>
                                                              <w:divBdr>
                                                                <w:top w:val="none" w:sz="0" w:space="0" w:color="auto"/>
                                                                <w:left w:val="none" w:sz="0" w:space="0" w:color="auto"/>
                                                                <w:bottom w:val="none" w:sz="0" w:space="0" w:color="auto"/>
                                                                <w:right w:val="none" w:sz="0" w:space="0" w:color="auto"/>
                                                              </w:divBdr>
                                                            </w:div>
                                                            <w:div w:id="1653754626">
                                                              <w:marLeft w:val="0"/>
                                                              <w:marRight w:val="0"/>
                                                              <w:marTop w:val="0"/>
                                                              <w:marBottom w:val="0"/>
                                                              <w:divBdr>
                                                                <w:top w:val="none" w:sz="0" w:space="0" w:color="auto"/>
                                                                <w:left w:val="none" w:sz="0" w:space="0" w:color="auto"/>
                                                                <w:bottom w:val="none" w:sz="0" w:space="0" w:color="auto"/>
                                                                <w:right w:val="none" w:sz="0" w:space="0" w:color="auto"/>
                                                              </w:divBdr>
                                                            </w:div>
                                                            <w:div w:id="861476025">
                                                              <w:marLeft w:val="0"/>
                                                              <w:marRight w:val="0"/>
                                                              <w:marTop w:val="0"/>
                                                              <w:marBottom w:val="0"/>
                                                              <w:divBdr>
                                                                <w:top w:val="none" w:sz="0" w:space="0" w:color="auto"/>
                                                                <w:left w:val="none" w:sz="0" w:space="0" w:color="auto"/>
                                                                <w:bottom w:val="none" w:sz="0" w:space="0" w:color="auto"/>
                                                                <w:right w:val="none" w:sz="0" w:space="0" w:color="auto"/>
                                                              </w:divBdr>
                                                            </w:div>
                                                            <w:div w:id="59376790">
                                                              <w:marLeft w:val="0"/>
                                                              <w:marRight w:val="0"/>
                                                              <w:marTop w:val="0"/>
                                                              <w:marBottom w:val="0"/>
                                                              <w:divBdr>
                                                                <w:top w:val="none" w:sz="0" w:space="0" w:color="auto"/>
                                                                <w:left w:val="none" w:sz="0" w:space="0" w:color="auto"/>
                                                                <w:bottom w:val="none" w:sz="0" w:space="0" w:color="auto"/>
                                                                <w:right w:val="none" w:sz="0" w:space="0" w:color="auto"/>
                                                              </w:divBdr>
                                                            </w:div>
                                                            <w:div w:id="180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4082606">
      <w:bodyDiv w:val="1"/>
      <w:marLeft w:val="0"/>
      <w:marRight w:val="0"/>
      <w:marTop w:val="0"/>
      <w:marBottom w:val="0"/>
      <w:divBdr>
        <w:top w:val="none" w:sz="0" w:space="0" w:color="auto"/>
        <w:left w:val="none" w:sz="0" w:space="0" w:color="auto"/>
        <w:bottom w:val="none" w:sz="0" w:space="0" w:color="auto"/>
        <w:right w:val="none" w:sz="0" w:space="0" w:color="auto"/>
      </w:divBdr>
      <w:divsChild>
        <w:div w:id="2085957423">
          <w:marLeft w:val="0"/>
          <w:marRight w:val="0"/>
          <w:marTop w:val="0"/>
          <w:marBottom w:val="0"/>
          <w:divBdr>
            <w:top w:val="none" w:sz="0" w:space="0" w:color="auto"/>
            <w:left w:val="none" w:sz="0" w:space="0" w:color="auto"/>
            <w:bottom w:val="none" w:sz="0" w:space="0" w:color="auto"/>
            <w:right w:val="none" w:sz="0" w:space="0" w:color="auto"/>
          </w:divBdr>
          <w:divsChild>
            <w:div w:id="1097291315">
              <w:marLeft w:val="0"/>
              <w:marRight w:val="0"/>
              <w:marTop w:val="0"/>
              <w:marBottom w:val="0"/>
              <w:divBdr>
                <w:top w:val="none" w:sz="0" w:space="0" w:color="auto"/>
                <w:left w:val="none" w:sz="0" w:space="0" w:color="auto"/>
                <w:bottom w:val="none" w:sz="0" w:space="0" w:color="auto"/>
                <w:right w:val="none" w:sz="0" w:space="0" w:color="auto"/>
              </w:divBdr>
              <w:divsChild>
                <w:div w:id="64948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78657">
      <w:bodyDiv w:val="1"/>
      <w:marLeft w:val="0"/>
      <w:marRight w:val="0"/>
      <w:marTop w:val="0"/>
      <w:marBottom w:val="0"/>
      <w:divBdr>
        <w:top w:val="none" w:sz="0" w:space="0" w:color="auto"/>
        <w:left w:val="none" w:sz="0" w:space="0" w:color="auto"/>
        <w:bottom w:val="none" w:sz="0" w:space="0" w:color="auto"/>
        <w:right w:val="none" w:sz="0" w:space="0" w:color="auto"/>
      </w:divBdr>
      <w:divsChild>
        <w:div w:id="700789892">
          <w:marLeft w:val="0"/>
          <w:marRight w:val="0"/>
          <w:marTop w:val="0"/>
          <w:marBottom w:val="0"/>
          <w:divBdr>
            <w:top w:val="none" w:sz="0" w:space="0" w:color="auto"/>
            <w:left w:val="none" w:sz="0" w:space="0" w:color="auto"/>
            <w:bottom w:val="none" w:sz="0" w:space="0" w:color="auto"/>
            <w:right w:val="none" w:sz="0" w:space="0" w:color="auto"/>
          </w:divBdr>
          <w:divsChild>
            <w:div w:id="1983852396">
              <w:marLeft w:val="0"/>
              <w:marRight w:val="0"/>
              <w:marTop w:val="0"/>
              <w:marBottom w:val="0"/>
              <w:divBdr>
                <w:top w:val="none" w:sz="0" w:space="0" w:color="auto"/>
                <w:left w:val="none" w:sz="0" w:space="0" w:color="auto"/>
                <w:bottom w:val="none" w:sz="0" w:space="0" w:color="auto"/>
                <w:right w:val="none" w:sz="0" w:space="0" w:color="auto"/>
              </w:divBdr>
              <w:divsChild>
                <w:div w:id="977301041">
                  <w:marLeft w:val="0"/>
                  <w:marRight w:val="0"/>
                  <w:marTop w:val="0"/>
                  <w:marBottom w:val="0"/>
                  <w:divBdr>
                    <w:top w:val="none" w:sz="0" w:space="0" w:color="auto"/>
                    <w:left w:val="none" w:sz="0" w:space="0" w:color="auto"/>
                    <w:bottom w:val="none" w:sz="0" w:space="0" w:color="auto"/>
                    <w:right w:val="none" w:sz="0" w:space="0" w:color="auto"/>
                  </w:divBdr>
                </w:div>
              </w:divsChild>
            </w:div>
            <w:div w:id="911426319">
              <w:marLeft w:val="0"/>
              <w:marRight w:val="0"/>
              <w:marTop w:val="0"/>
              <w:marBottom w:val="0"/>
              <w:divBdr>
                <w:top w:val="none" w:sz="0" w:space="0" w:color="auto"/>
                <w:left w:val="none" w:sz="0" w:space="0" w:color="auto"/>
                <w:bottom w:val="none" w:sz="0" w:space="0" w:color="auto"/>
                <w:right w:val="none" w:sz="0" w:space="0" w:color="auto"/>
              </w:divBdr>
              <w:divsChild>
                <w:div w:id="1453860725">
                  <w:marLeft w:val="0"/>
                  <w:marRight w:val="0"/>
                  <w:marTop w:val="0"/>
                  <w:marBottom w:val="0"/>
                  <w:divBdr>
                    <w:top w:val="none" w:sz="0" w:space="0" w:color="auto"/>
                    <w:left w:val="none" w:sz="0" w:space="0" w:color="auto"/>
                    <w:bottom w:val="none" w:sz="0" w:space="0" w:color="auto"/>
                    <w:right w:val="none" w:sz="0" w:space="0" w:color="auto"/>
                  </w:divBdr>
                  <w:divsChild>
                    <w:div w:id="12748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12946">
      <w:bodyDiv w:val="1"/>
      <w:marLeft w:val="0"/>
      <w:marRight w:val="0"/>
      <w:marTop w:val="0"/>
      <w:marBottom w:val="0"/>
      <w:divBdr>
        <w:top w:val="none" w:sz="0" w:space="0" w:color="auto"/>
        <w:left w:val="none" w:sz="0" w:space="0" w:color="auto"/>
        <w:bottom w:val="none" w:sz="0" w:space="0" w:color="auto"/>
        <w:right w:val="none" w:sz="0" w:space="0" w:color="auto"/>
      </w:divBdr>
      <w:divsChild>
        <w:div w:id="1346597758">
          <w:marLeft w:val="0"/>
          <w:marRight w:val="0"/>
          <w:marTop w:val="0"/>
          <w:marBottom w:val="0"/>
          <w:divBdr>
            <w:top w:val="none" w:sz="0" w:space="0" w:color="auto"/>
            <w:left w:val="none" w:sz="0" w:space="0" w:color="auto"/>
            <w:bottom w:val="none" w:sz="0" w:space="0" w:color="auto"/>
            <w:right w:val="none" w:sz="0" w:space="0" w:color="auto"/>
          </w:divBdr>
          <w:divsChild>
            <w:div w:id="627971669">
              <w:marLeft w:val="0"/>
              <w:marRight w:val="0"/>
              <w:marTop w:val="0"/>
              <w:marBottom w:val="0"/>
              <w:divBdr>
                <w:top w:val="none" w:sz="0" w:space="0" w:color="auto"/>
                <w:left w:val="none" w:sz="0" w:space="0" w:color="auto"/>
                <w:bottom w:val="none" w:sz="0" w:space="0" w:color="auto"/>
                <w:right w:val="none" w:sz="0" w:space="0" w:color="auto"/>
              </w:divBdr>
              <w:divsChild>
                <w:div w:id="68278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72000">
      <w:bodyDiv w:val="1"/>
      <w:marLeft w:val="0"/>
      <w:marRight w:val="0"/>
      <w:marTop w:val="0"/>
      <w:marBottom w:val="0"/>
      <w:divBdr>
        <w:top w:val="none" w:sz="0" w:space="0" w:color="auto"/>
        <w:left w:val="none" w:sz="0" w:space="0" w:color="auto"/>
        <w:bottom w:val="none" w:sz="0" w:space="0" w:color="auto"/>
        <w:right w:val="none" w:sz="0" w:space="0" w:color="auto"/>
      </w:divBdr>
    </w:div>
    <w:div w:id="1216166447">
      <w:bodyDiv w:val="1"/>
      <w:marLeft w:val="0"/>
      <w:marRight w:val="0"/>
      <w:marTop w:val="0"/>
      <w:marBottom w:val="0"/>
      <w:divBdr>
        <w:top w:val="none" w:sz="0" w:space="0" w:color="auto"/>
        <w:left w:val="none" w:sz="0" w:space="0" w:color="auto"/>
        <w:bottom w:val="none" w:sz="0" w:space="0" w:color="auto"/>
        <w:right w:val="none" w:sz="0" w:space="0" w:color="auto"/>
      </w:divBdr>
      <w:divsChild>
        <w:div w:id="287200834">
          <w:marLeft w:val="274"/>
          <w:marRight w:val="0"/>
          <w:marTop w:val="0"/>
          <w:marBottom w:val="0"/>
          <w:divBdr>
            <w:top w:val="none" w:sz="0" w:space="0" w:color="auto"/>
            <w:left w:val="none" w:sz="0" w:space="0" w:color="auto"/>
            <w:bottom w:val="none" w:sz="0" w:space="0" w:color="auto"/>
            <w:right w:val="none" w:sz="0" w:space="0" w:color="auto"/>
          </w:divBdr>
        </w:div>
        <w:div w:id="1618104384">
          <w:marLeft w:val="274"/>
          <w:marRight w:val="0"/>
          <w:marTop w:val="0"/>
          <w:marBottom w:val="0"/>
          <w:divBdr>
            <w:top w:val="none" w:sz="0" w:space="0" w:color="auto"/>
            <w:left w:val="none" w:sz="0" w:space="0" w:color="auto"/>
            <w:bottom w:val="none" w:sz="0" w:space="0" w:color="auto"/>
            <w:right w:val="none" w:sz="0" w:space="0" w:color="auto"/>
          </w:divBdr>
        </w:div>
      </w:divsChild>
    </w:div>
    <w:div w:id="1231698928">
      <w:bodyDiv w:val="1"/>
      <w:marLeft w:val="0"/>
      <w:marRight w:val="0"/>
      <w:marTop w:val="0"/>
      <w:marBottom w:val="0"/>
      <w:divBdr>
        <w:top w:val="none" w:sz="0" w:space="0" w:color="auto"/>
        <w:left w:val="none" w:sz="0" w:space="0" w:color="auto"/>
        <w:bottom w:val="none" w:sz="0" w:space="0" w:color="auto"/>
        <w:right w:val="none" w:sz="0" w:space="0" w:color="auto"/>
      </w:divBdr>
      <w:divsChild>
        <w:div w:id="2061130136">
          <w:marLeft w:val="0"/>
          <w:marRight w:val="0"/>
          <w:marTop w:val="0"/>
          <w:marBottom w:val="0"/>
          <w:divBdr>
            <w:top w:val="none" w:sz="0" w:space="0" w:color="auto"/>
            <w:left w:val="none" w:sz="0" w:space="0" w:color="auto"/>
            <w:bottom w:val="none" w:sz="0" w:space="0" w:color="auto"/>
            <w:right w:val="none" w:sz="0" w:space="0" w:color="auto"/>
          </w:divBdr>
          <w:divsChild>
            <w:div w:id="1885755665">
              <w:marLeft w:val="0"/>
              <w:marRight w:val="0"/>
              <w:marTop w:val="0"/>
              <w:marBottom w:val="0"/>
              <w:divBdr>
                <w:top w:val="none" w:sz="0" w:space="0" w:color="auto"/>
                <w:left w:val="none" w:sz="0" w:space="0" w:color="auto"/>
                <w:bottom w:val="none" w:sz="0" w:space="0" w:color="auto"/>
                <w:right w:val="none" w:sz="0" w:space="0" w:color="auto"/>
              </w:divBdr>
              <w:divsChild>
                <w:div w:id="62326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283823">
      <w:bodyDiv w:val="1"/>
      <w:marLeft w:val="0"/>
      <w:marRight w:val="0"/>
      <w:marTop w:val="0"/>
      <w:marBottom w:val="0"/>
      <w:divBdr>
        <w:top w:val="none" w:sz="0" w:space="0" w:color="auto"/>
        <w:left w:val="none" w:sz="0" w:space="0" w:color="auto"/>
        <w:bottom w:val="none" w:sz="0" w:space="0" w:color="auto"/>
        <w:right w:val="none" w:sz="0" w:space="0" w:color="auto"/>
      </w:divBdr>
      <w:divsChild>
        <w:div w:id="26952294">
          <w:marLeft w:val="0"/>
          <w:marRight w:val="0"/>
          <w:marTop w:val="0"/>
          <w:marBottom w:val="0"/>
          <w:divBdr>
            <w:top w:val="none" w:sz="0" w:space="0" w:color="auto"/>
            <w:left w:val="none" w:sz="0" w:space="0" w:color="auto"/>
            <w:bottom w:val="none" w:sz="0" w:space="0" w:color="auto"/>
            <w:right w:val="none" w:sz="0" w:space="0" w:color="auto"/>
          </w:divBdr>
          <w:divsChild>
            <w:div w:id="917786416">
              <w:marLeft w:val="0"/>
              <w:marRight w:val="0"/>
              <w:marTop w:val="0"/>
              <w:marBottom w:val="0"/>
              <w:divBdr>
                <w:top w:val="none" w:sz="0" w:space="0" w:color="auto"/>
                <w:left w:val="none" w:sz="0" w:space="0" w:color="auto"/>
                <w:bottom w:val="none" w:sz="0" w:space="0" w:color="auto"/>
                <w:right w:val="none" w:sz="0" w:space="0" w:color="auto"/>
              </w:divBdr>
              <w:divsChild>
                <w:div w:id="49299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90365">
      <w:bodyDiv w:val="1"/>
      <w:marLeft w:val="0"/>
      <w:marRight w:val="0"/>
      <w:marTop w:val="0"/>
      <w:marBottom w:val="0"/>
      <w:divBdr>
        <w:top w:val="none" w:sz="0" w:space="0" w:color="auto"/>
        <w:left w:val="none" w:sz="0" w:space="0" w:color="auto"/>
        <w:bottom w:val="none" w:sz="0" w:space="0" w:color="auto"/>
        <w:right w:val="none" w:sz="0" w:space="0" w:color="auto"/>
      </w:divBdr>
    </w:div>
    <w:div w:id="1287588134">
      <w:bodyDiv w:val="1"/>
      <w:marLeft w:val="0"/>
      <w:marRight w:val="0"/>
      <w:marTop w:val="0"/>
      <w:marBottom w:val="0"/>
      <w:divBdr>
        <w:top w:val="none" w:sz="0" w:space="0" w:color="auto"/>
        <w:left w:val="none" w:sz="0" w:space="0" w:color="auto"/>
        <w:bottom w:val="none" w:sz="0" w:space="0" w:color="auto"/>
        <w:right w:val="none" w:sz="0" w:space="0" w:color="auto"/>
      </w:divBdr>
      <w:divsChild>
        <w:div w:id="451704725">
          <w:marLeft w:val="0"/>
          <w:marRight w:val="0"/>
          <w:marTop w:val="0"/>
          <w:marBottom w:val="0"/>
          <w:divBdr>
            <w:top w:val="none" w:sz="0" w:space="0" w:color="auto"/>
            <w:left w:val="none" w:sz="0" w:space="0" w:color="auto"/>
            <w:bottom w:val="none" w:sz="0" w:space="0" w:color="auto"/>
            <w:right w:val="none" w:sz="0" w:space="0" w:color="auto"/>
          </w:divBdr>
          <w:divsChild>
            <w:div w:id="2076706307">
              <w:marLeft w:val="0"/>
              <w:marRight w:val="0"/>
              <w:marTop w:val="0"/>
              <w:marBottom w:val="0"/>
              <w:divBdr>
                <w:top w:val="none" w:sz="0" w:space="0" w:color="auto"/>
                <w:left w:val="none" w:sz="0" w:space="0" w:color="auto"/>
                <w:bottom w:val="none" w:sz="0" w:space="0" w:color="auto"/>
                <w:right w:val="none" w:sz="0" w:space="0" w:color="auto"/>
              </w:divBdr>
              <w:divsChild>
                <w:div w:id="1852377692">
                  <w:marLeft w:val="-225"/>
                  <w:marRight w:val="-225"/>
                  <w:marTop w:val="0"/>
                  <w:marBottom w:val="0"/>
                  <w:divBdr>
                    <w:top w:val="none" w:sz="0" w:space="0" w:color="auto"/>
                    <w:left w:val="none" w:sz="0" w:space="0" w:color="auto"/>
                    <w:bottom w:val="none" w:sz="0" w:space="0" w:color="auto"/>
                    <w:right w:val="none" w:sz="0" w:space="0" w:color="auto"/>
                  </w:divBdr>
                  <w:divsChild>
                    <w:div w:id="1542127969">
                      <w:marLeft w:val="0"/>
                      <w:marRight w:val="0"/>
                      <w:marTop w:val="0"/>
                      <w:marBottom w:val="0"/>
                      <w:divBdr>
                        <w:top w:val="none" w:sz="0" w:space="0" w:color="auto"/>
                        <w:left w:val="none" w:sz="0" w:space="0" w:color="auto"/>
                        <w:bottom w:val="none" w:sz="0" w:space="0" w:color="auto"/>
                        <w:right w:val="none" w:sz="0" w:space="0" w:color="auto"/>
                      </w:divBdr>
                      <w:divsChild>
                        <w:div w:id="1450007707">
                          <w:marLeft w:val="0"/>
                          <w:marRight w:val="0"/>
                          <w:marTop w:val="0"/>
                          <w:marBottom w:val="0"/>
                          <w:divBdr>
                            <w:top w:val="none" w:sz="0" w:space="0" w:color="auto"/>
                            <w:left w:val="none" w:sz="0" w:space="0" w:color="auto"/>
                            <w:bottom w:val="none" w:sz="0" w:space="0" w:color="auto"/>
                            <w:right w:val="none" w:sz="0" w:space="0" w:color="auto"/>
                          </w:divBdr>
                          <w:divsChild>
                            <w:div w:id="989482969">
                              <w:marLeft w:val="0"/>
                              <w:marRight w:val="0"/>
                              <w:marTop w:val="0"/>
                              <w:marBottom w:val="0"/>
                              <w:divBdr>
                                <w:top w:val="none" w:sz="0" w:space="0" w:color="auto"/>
                                <w:left w:val="none" w:sz="0" w:space="0" w:color="auto"/>
                                <w:bottom w:val="none" w:sz="0" w:space="0" w:color="auto"/>
                                <w:right w:val="none" w:sz="0" w:space="0" w:color="auto"/>
                              </w:divBdr>
                              <w:divsChild>
                                <w:div w:id="741371429">
                                  <w:marLeft w:val="-225"/>
                                  <w:marRight w:val="-225"/>
                                  <w:marTop w:val="0"/>
                                  <w:marBottom w:val="0"/>
                                  <w:divBdr>
                                    <w:top w:val="none" w:sz="0" w:space="0" w:color="auto"/>
                                    <w:left w:val="none" w:sz="0" w:space="0" w:color="auto"/>
                                    <w:bottom w:val="none" w:sz="0" w:space="0" w:color="auto"/>
                                    <w:right w:val="none" w:sz="0" w:space="0" w:color="auto"/>
                                  </w:divBdr>
                                  <w:divsChild>
                                    <w:div w:id="728723642">
                                      <w:marLeft w:val="0"/>
                                      <w:marRight w:val="0"/>
                                      <w:marTop w:val="0"/>
                                      <w:marBottom w:val="0"/>
                                      <w:divBdr>
                                        <w:top w:val="none" w:sz="0" w:space="0" w:color="auto"/>
                                        <w:left w:val="none" w:sz="0" w:space="0" w:color="auto"/>
                                        <w:bottom w:val="none" w:sz="0" w:space="0" w:color="auto"/>
                                        <w:right w:val="none" w:sz="0" w:space="0" w:color="auto"/>
                                      </w:divBdr>
                                      <w:divsChild>
                                        <w:div w:id="5286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857667">
      <w:bodyDiv w:val="1"/>
      <w:marLeft w:val="0"/>
      <w:marRight w:val="0"/>
      <w:marTop w:val="0"/>
      <w:marBottom w:val="0"/>
      <w:divBdr>
        <w:top w:val="none" w:sz="0" w:space="0" w:color="auto"/>
        <w:left w:val="none" w:sz="0" w:space="0" w:color="auto"/>
        <w:bottom w:val="none" w:sz="0" w:space="0" w:color="auto"/>
        <w:right w:val="none" w:sz="0" w:space="0" w:color="auto"/>
      </w:divBdr>
      <w:divsChild>
        <w:div w:id="1685128815">
          <w:marLeft w:val="0"/>
          <w:marRight w:val="0"/>
          <w:marTop w:val="0"/>
          <w:marBottom w:val="0"/>
          <w:divBdr>
            <w:top w:val="none" w:sz="0" w:space="0" w:color="auto"/>
            <w:left w:val="none" w:sz="0" w:space="0" w:color="auto"/>
            <w:bottom w:val="none" w:sz="0" w:space="0" w:color="auto"/>
            <w:right w:val="none" w:sz="0" w:space="0" w:color="auto"/>
          </w:divBdr>
          <w:divsChild>
            <w:div w:id="1475635507">
              <w:marLeft w:val="0"/>
              <w:marRight w:val="0"/>
              <w:marTop w:val="0"/>
              <w:marBottom w:val="0"/>
              <w:divBdr>
                <w:top w:val="none" w:sz="0" w:space="0" w:color="auto"/>
                <w:left w:val="none" w:sz="0" w:space="0" w:color="auto"/>
                <w:bottom w:val="none" w:sz="0" w:space="0" w:color="auto"/>
                <w:right w:val="none" w:sz="0" w:space="0" w:color="auto"/>
              </w:divBdr>
              <w:divsChild>
                <w:div w:id="141763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448951">
      <w:bodyDiv w:val="1"/>
      <w:marLeft w:val="0"/>
      <w:marRight w:val="0"/>
      <w:marTop w:val="0"/>
      <w:marBottom w:val="0"/>
      <w:divBdr>
        <w:top w:val="none" w:sz="0" w:space="0" w:color="auto"/>
        <w:left w:val="none" w:sz="0" w:space="0" w:color="auto"/>
        <w:bottom w:val="none" w:sz="0" w:space="0" w:color="auto"/>
        <w:right w:val="none" w:sz="0" w:space="0" w:color="auto"/>
      </w:divBdr>
    </w:div>
    <w:div w:id="1299533053">
      <w:bodyDiv w:val="1"/>
      <w:marLeft w:val="0"/>
      <w:marRight w:val="0"/>
      <w:marTop w:val="0"/>
      <w:marBottom w:val="0"/>
      <w:divBdr>
        <w:top w:val="none" w:sz="0" w:space="0" w:color="auto"/>
        <w:left w:val="none" w:sz="0" w:space="0" w:color="auto"/>
        <w:bottom w:val="none" w:sz="0" w:space="0" w:color="auto"/>
        <w:right w:val="none" w:sz="0" w:space="0" w:color="auto"/>
      </w:divBdr>
    </w:div>
    <w:div w:id="1300306285">
      <w:bodyDiv w:val="1"/>
      <w:marLeft w:val="0"/>
      <w:marRight w:val="0"/>
      <w:marTop w:val="0"/>
      <w:marBottom w:val="0"/>
      <w:divBdr>
        <w:top w:val="none" w:sz="0" w:space="0" w:color="auto"/>
        <w:left w:val="none" w:sz="0" w:space="0" w:color="auto"/>
        <w:bottom w:val="none" w:sz="0" w:space="0" w:color="auto"/>
        <w:right w:val="none" w:sz="0" w:space="0" w:color="auto"/>
      </w:divBdr>
    </w:div>
    <w:div w:id="1323584009">
      <w:bodyDiv w:val="1"/>
      <w:marLeft w:val="0"/>
      <w:marRight w:val="0"/>
      <w:marTop w:val="0"/>
      <w:marBottom w:val="0"/>
      <w:divBdr>
        <w:top w:val="none" w:sz="0" w:space="0" w:color="auto"/>
        <w:left w:val="none" w:sz="0" w:space="0" w:color="auto"/>
        <w:bottom w:val="none" w:sz="0" w:space="0" w:color="auto"/>
        <w:right w:val="none" w:sz="0" w:space="0" w:color="auto"/>
      </w:divBdr>
      <w:divsChild>
        <w:div w:id="439110149">
          <w:marLeft w:val="0"/>
          <w:marRight w:val="0"/>
          <w:marTop w:val="0"/>
          <w:marBottom w:val="0"/>
          <w:divBdr>
            <w:top w:val="none" w:sz="0" w:space="0" w:color="auto"/>
            <w:left w:val="none" w:sz="0" w:space="0" w:color="auto"/>
            <w:bottom w:val="none" w:sz="0" w:space="0" w:color="auto"/>
            <w:right w:val="none" w:sz="0" w:space="0" w:color="auto"/>
          </w:divBdr>
          <w:divsChild>
            <w:div w:id="2056806441">
              <w:marLeft w:val="0"/>
              <w:marRight w:val="0"/>
              <w:marTop w:val="0"/>
              <w:marBottom w:val="0"/>
              <w:divBdr>
                <w:top w:val="none" w:sz="0" w:space="0" w:color="auto"/>
                <w:left w:val="none" w:sz="0" w:space="0" w:color="auto"/>
                <w:bottom w:val="none" w:sz="0" w:space="0" w:color="auto"/>
                <w:right w:val="none" w:sz="0" w:space="0" w:color="auto"/>
              </w:divBdr>
              <w:divsChild>
                <w:div w:id="205943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84341">
      <w:bodyDiv w:val="1"/>
      <w:marLeft w:val="0"/>
      <w:marRight w:val="0"/>
      <w:marTop w:val="0"/>
      <w:marBottom w:val="0"/>
      <w:divBdr>
        <w:top w:val="none" w:sz="0" w:space="0" w:color="auto"/>
        <w:left w:val="none" w:sz="0" w:space="0" w:color="auto"/>
        <w:bottom w:val="none" w:sz="0" w:space="0" w:color="auto"/>
        <w:right w:val="none" w:sz="0" w:space="0" w:color="auto"/>
      </w:divBdr>
      <w:divsChild>
        <w:div w:id="1773360369">
          <w:marLeft w:val="0"/>
          <w:marRight w:val="0"/>
          <w:marTop w:val="0"/>
          <w:marBottom w:val="0"/>
          <w:divBdr>
            <w:top w:val="none" w:sz="0" w:space="0" w:color="auto"/>
            <w:left w:val="none" w:sz="0" w:space="0" w:color="auto"/>
            <w:bottom w:val="none" w:sz="0" w:space="0" w:color="auto"/>
            <w:right w:val="none" w:sz="0" w:space="0" w:color="auto"/>
          </w:divBdr>
          <w:divsChild>
            <w:div w:id="1364673610">
              <w:marLeft w:val="0"/>
              <w:marRight w:val="0"/>
              <w:marTop w:val="0"/>
              <w:marBottom w:val="0"/>
              <w:divBdr>
                <w:top w:val="none" w:sz="0" w:space="0" w:color="auto"/>
                <w:left w:val="none" w:sz="0" w:space="0" w:color="auto"/>
                <w:bottom w:val="none" w:sz="0" w:space="0" w:color="auto"/>
                <w:right w:val="none" w:sz="0" w:space="0" w:color="auto"/>
              </w:divBdr>
              <w:divsChild>
                <w:div w:id="9784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74019">
      <w:bodyDiv w:val="1"/>
      <w:marLeft w:val="0"/>
      <w:marRight w:val="0"/>
      <w:marTop w:val="0"/>
      <w:marBottom w:val="0"/>
      <w:divBdr>
        <w:top w:val="none" w:sz="0" w:space="0" w:color="auto"/>
        <w:left w:val="none" w:sz="0" w:space="0" w:color="auto"/>
        <w:bottom w:val="none" w:sz="0" w:space="0" w:color="auto"/>
        <w:right w:val="none" w:sz="0" w:space="0" w:color="auto"/>
      </w:divBdr>
      <w:divsChild>
        <w:div w:id="1971276404">
          <w:marLeft w:val="0"/>
          <w:marRight w:val="0"/>
          <w:marTop w:val="0"/>
          <w:marBottom w:val="0"/>
          <w:divBdr>
            <w:top w:val="none" w:sz="0" w:space="0" w:color="auto"/>
            <w:left w:val="none" w:sz="0" w:space="0" w:color="auto"/>
            <w:bottom w:val="none" w:sz="0" w:space="0" w:color="auto"/>
            <w:right w:val="none" w:sz="0" w:space="0" w:color="auto"/>
          </w:divBdr>
          <w:divsChild>
            <w:div w:id="427308085">
              <w:marLeft w:val="0"/>
              <w:marRight w:val="0"/>
              <w:marTop w:val="0"/>
              <w:marBottom w:val="0"/>
              <w:divBdr>
                <w:top w:val="none" w:sz="0" w:space="0" w:color="auto"/>
                <w:left w:val="none" w:sz="0" w:space="0" w:color="auto"/>
                <w:bottom w:val="none" w:sz="0" w:space="0" w:color="auto"/>
                <w:right w:val="none" w:sz="0" w:space="0" w:color="auto"/>
              </w:divBdr>
              <w:divsChild>
                <w:div w:id="1419670433">
                  <w:marLeft w:val="0"/>
                  <w:marRight w:val="0"/>
                  <w:marTop w:val="0"/>
                  <w:marBottom w:val="0"/>
                  <w:divBdr>
                    <w:top w:val="none" w:sz="0" w:space="0" w:color="auto"/>
                    <w:left w:val="none" w:sz="0" w:space="0" w:color="auto"/>
                    <w:bottom w:val="none" w:sz="0" w:space="0" w:color="auto"/>
                    <w:right w:val="none" w:sz="0" w:space="0" w:color="auto"/>
                  </w:divBdr>
                  <w:divsChild>
                    <w:div w:id="8551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540147">
      <w:bodyDiv w:val="1"/>
      <w:marLeft w:val="0"/>
      <w:marRight w:val="0"/>
      <w:marTop w:val="0"/>
      <w:marBottom w:val="0"/>
      <w:divBdr>
        <w:top w:val="none" w:sz="0" w:space="0" w:color="auto"/>
        <w:left w:val="none" w:sz="0" w:space="0" w:color="auto"/>
        <w:bottom w:val="none" w:sz="0" w:space="0" w:color="auto"/>
        <w:right w:val="none" w:sz="0" w:space="0" w:color="auto"/>
      </w:divBdr>
      <w:divsChild>
        <w:div w:id="855576099">
          <w:marLeft w:val="0"/>
          <w:marRight w:val="0"/>
          <w:marTop w:val="0"/>
          <w:marBottom w:val="0"/>
          <w:divBdr>
            <w:top w:val="none" w:sz="0" w:space="0" w:color="auto"/>
            <w:left w:val="none" w:sz="0" w:space="0" w:color="auto"/>
            <w:bottom w:val="none" w:sz="0" w:space="0" w:color="auto"/>
            <w:right w:val="none" w:sz="0" w:space="0" w:color="auto"/>
          </w:divBdr>
          <w:divsChild>
            <w:div w:id="108477902">
              <w:marLeft w:val="0"/>
              <w:marRight w:val="0"/>
              <w:marTop w:val="0"/>
              <w:marBottom w:val="0"/>
              <w:divBdr>
                <w:top w:val="none" w:sz="0" w:space="0" w:color="auto"/>
                <w:left w:val="none" w:sz="0" w:space="0" w:color="auto"/>
                <w:bottom w:val="none" w:sz="0" w:space="0" w:color="auto"/>
                <w:right w:val="none" w:sz="0" w:space="0" w:color="auto"/>
              </w:divBdr>
              <w:divsChild>
                <w:div w:id="106287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528513">
      <w:bodyDiv w:val="1"/>
      <w:marLeft w:val="0"/>
      <w:marRight w:val="0"/>
      <w:marTop w:val="0"/>
      <w:marBottom w:val="0"/>
      <w:divBdr>
        <w:top w:val="none" w:sz="0" w:space="0" w:color="auto"/>
        <w:left w:val="none" w:sz="0" w:space="0" w:color="auto"/>
        <w:bottom w:val="none" w:sz="0" w:space="0" w:color="auto"/>
        <w:right w:val="none" w:sz="0" w:space="0" w:color="auto"/>
      </w:divBdr>
    </w:div>
    <w:div w:id="1498575308">
      <w:bodyDiv w:val="1"/>
      <w:marLeft w:val="0"/>
      <w:marRight w:val="0"/>
      <w:marTop w:val="0"/>
      <w:marBottom w:val="0"/>
      <w:divBdr>
        <w:top w:val="none" w:sz="0" w:space="0" w:color="auto"/>
        <w:left w:val="none" w:sz="0" w:space="0" w:color="auto"/>
        <w:bottom w:val="none" w:sz="0" w:space="0" w:color="auto"/>
        <w:right w:val="none" w:sz="0" w:space="0" w:color="auto"/>
      </w:divBdr>
      <w:divsChild>
        <w:div w:id="816796954">
          <w:marLeft w:val="547"/>
          <w:marRight w:val="0"/>
          <w:marTop w:val="0"/>
          <w:marBottom w:val="0"/>
          <w:divBdr>
            <w:top w:val="none" w:sz="0" w:space="0" w:color="auto"/>
            <w:left w:val="none" w:sz="0" w:space="0" w:color="auto"/>
            <w:bottom w:val="none" w:sz="0" w:space="0" w:color="auto"/>
            <w:right w:val="none" w:sz="0" w:space="0" w:color="auto"/>
          </w:divBdr>
        </w:div>
        <w:div w:id="855194950">
          <w:marLeft w:val="547"/>
          <w:marRight w:val="0"/>
          <w:marTop w:val="0"/>
          <w:marBottom w:val="0"/>
          <w:divBdr>
            <w:top w:val="none" w:sz="0" w:space="0" w:color="auto"/>
            <w:left w:val="none" w:sz="0" w:space="0" w:color="auto"/>
            <w:bottom w:val="none" w:sz="0" w:space="0" w:color="auto"/>
            <w:right w:val="none" w:sz="0" w:space="0" w:color="auto"/>
          </w:divBdr>
        </w:div>
        <w:div w:id="784035005">
          <w:marLeft w:val="547"/>
          <w:marRight w:val="0"/>
          <w:marTop w:val="0"/>
          <w:marBottom w:val="0"/>
          <w:divBdr>
            <w:top w:val="none" w:sz="0" w:space="0" w:color="auto"/>
            <w:left w:val="none" w:sz="0" w:space="0" w:color="auto"/>
            <w:bottom w:val="none" w:sz="0" w:space="0" w:color="auto"/>
            <w:right w:val="none" w:sz="0" w:space="0" w:color="auto"/>
          </w:divBdr>
        </w:div>
        <w:div w:id="540750328">
          <w:marLeft w:val="547"/>
          <w:marRight w:val="0"/>
          <w:marTop w:val="0"/>
          <w:marBottom w:val="0"/>
          <w:divBdr>
            <w:top w:val="none" w:sz="0" w:space="0" w:color="auto"/>
            <w:left w:val="none" w:sz="0" w:space="0" w:color="auto"/>
            <w:bottom w:val="none" w:sz="0" w:space="0" w:color="auto"/>
            <w:right w:val="none" w:sz="0" w:space="0" w:color="auto"/>
          </w:divBdr>
        </w:div>
      </w:divsChild>
    </w:div>
    <w:div w:id="1507164067">
      <w:bodyDiv w:val="1"/>
      <w:marLeft w:val="0"/>
      <w:marRight w:val="0"/>
      <w:marTop w:val="0"/>
      <w:marBottom w:val="0"/>
      <w:divBdr>
        <w:top w:val="none" w:sz="0" w:space="0" w:color="auto"/>
        <w:left w:val="none" w:sz="0" w:space="0" w:color="auto"/>
        <w:bottom w:val="none" w:sz="0" w:space="0" w:color="auto"/>
        <w:right w:val="none" w:sz="0" w:space="0" w:color="auto"/>
      </w:divBdr>
      <w:divsChild>
        <w:div w:id="1692730017">
          <w:marLeft w:val="0"/>
          <w:marRight w:val="0"/>
          <w:marTop w:val="0"/>
          <w:marBottom w:val="0"/>
          <w:divBdr>
            <w:top w:val="none" w:sz="0" w:space="0" w:color="auto"/>
            <w:left w:val="none" w:sz="0" w:space="0" w:color="auto"/>
            <w:bottom w:val="none" w:sz="0" w:space="0" w:color="auto"/>
            <w:right w:val="none" w:sz="0" w:space="0" w:color="auto"/>
          </w:divBdr>
          <w:divsChild>
            <w:div w:id="1283270962">
              <w:marLeft w:val="0"/>
              <w:marRight w:val="0"/>
              <w:marTop w:val="0"/>
              <w:marBottom w:val="0"/>
              <w:divBdr>
                <w:top w:val="none" w:sz="0" w:space="0" w:color="auto"/>
                <w:left w:val="none" w:sz="0" w:space="0" w:color="auto"/>
                <w:bottom w:val="none" w:sz="0" w:space="0" w:color="auto"/>
                <w:right w:val="none" w:sz="0" w:space="0" w:color="auto"/>
              </w:divBdr>
              <w:divsChild>
                <w:div w:id="21442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86466">
      <w:bodyDiv w:val="1"/>
      <w:marLeft w:val="0"/>
      <w:marRight w:val="0"/>
      <w:marTop w:val="0"/>
      <w:marBottom w:val="0"/>
      <w:divBdr>
        <w:top w:val="none" w:sz="0" w:space="0" w:color="auto"/>
        <w:left w:val="none" w:sz="0" w:space="0" w:color="auto"/>
        <w:bottom w:val="none" w:sz="0" w:space="0" w:color="auto"/>
        <w:right w:val="none" w:sz="0" w:space="0" w:color="auto"/>
      </w:divBdr>
    </w:div>
    <w:div w:id="1559896548">
      <w:bodyDiv w:val="1"/>
      <w:marLeft w:val="0"/>
      <w:marRight w:val="0"/>
      <w:marTop w:val="0"/>
      <w:marBottom w:val="0"/>
      <w:divBdr>
        <w:top w:val="none" w:sz="0" w:space="0" w:color="auto"/>
        <w:left w:val="none" w:sz="0" w:space="0" w:color="auto"/>
        <w:bottom w:val="none" w:sz="0" w:space="0" w:color="auto"/>
        <w:right w:val="none" w:sz="0" w:space="0" w:color="auto"/>
      </w:divBdr>
      <w:divsChild>
        <w:div w:id="2015455254">
          <w:marLeft w:val="547"/>
          <w:marRight w:val="0"/>
          <w:marTop w:val="0"/>
          <w:marBottom w:val="0"/>
          <w:divBdr>
            <w:top w:val="none" w:sz="0" w:space="0" w:color="auto"/>
            <w:left w:val="none" w:sz="0" w:space="0" w:color="auto"/>
            <w:bottom w:val="none" w:sz="0" w:space="0" w:color="auto"/>
            <w:right w:val="none" w:sz="0" w:space="0" w:color="auto"/>
          </w:divBdr>
        </w:div>
        <w:div w:id="1354259603">
          <w:marLeft w:val="547"/>
          <w:marRight w:val="0"/>
          <w:marTop w:val="0"/>
          <w:marBottom w:val="0"/>
          <w:divBdr>
            <w:top w:val="none" w:sz="0" w:space="0" w:color="auto"/>
            <w:left w:val="none" w:sz="0" w:space="0" w:color="auto"/>
            <w:bottom w:val="none" w:sz="0" w:space="0" w:color="auto"/>
            <w:right w:val="none" w:sz="0" w:space="0" w:color="auto"/>
          </w:divBdr>
        </w:div>
        <w:div w:id="1585189371">
          <w:marLeft w:val="1267"/>
          <w:marRight w:val="0"/>
          <w:marTop w:val="0"/>
          <w:marBottom w:val="0"/>
          <w:divBdr>
            <w:top w:val="none" w:sz="0" w:space="0" w:color="auto"/>
            <w:left w:val="none" w:sz="0" w:space="0" w:color="auto"/>
            <w:bottom w:val="none" w:sz="0" w:space="0" w:color="auto"/>
            <w:right w:val="none" w:sz="0" w:space="0" w:color="auto"/>
          </w:divBdr>
        </w:div>
        <w:div w:id="567156631">
          <w:marLeft w:val="1267"/>
          <w:marRight w:val="0"/>
          <w:marTop w:val="0"/>
          <w:marBottom w:val="0"/>
          <w:divBdr>
            <w:top w:val="none" w:sz="0" w:space="0" w:color="auto"/>
            <w:left w:val="none" w:sz="0" w:space="0" w:color="auto"/>
            <w:bottom w:val="none" w:sz="0" w:space="0" w:color="auto"/>
            <w:right w:val="none" w:sz="0" w:space="0" w:color="auto"/>
          </w:divBdr>
        </w:div>
        <w:div w:id="410272436">
          <w:marLeft w:val="1267"/>
          <w:marRight w:val="0"/>
          <w:marTop w:val="0"/>
          <w:marBottom w:val="0"/>
          <w:divBdr>
            <w:top w:val="none" w:sz="0" w:space="0" w:color="auto"/>
            <w:left w:val="none" w:sz="0" w:space="0" w:color="auto"/>
            <w:bottom w:val="none" w:sz="0" w:space="0" w:color="auto"/>
            <w:right w:val="none" w:sz="0" w:space="0" w:color="auto"/>
          </w:divBdr>
        </w:div>
        <w:div w:id="302586183">
          <w:marLeft w:val="547"/>
          <w:marRight w:val="0"/>
          <w:marTop w:val="0"/>
          <w:marBottom w:val="0"/>
          <w:divBdr>
            <w:top w:val="none" w:sz="0" w:space="0" w:color="auto"/>
            <w:left w:val="none" w:sz="0" w:space="0" w:color="auto"/>
            <w:bottom w:val="none" w:sz="0" w:space="0" w:color="auto"/>
            <w:right w:val="none" w:sz="0" w:space="0" w:color="auto"/>
          </w:divBdr>
        </w:div>
        <w:div w:id="1525630448">
          <w:marLeft w:val="547"/>
          <w:marRight w:val="0"/>
          <w:marTop w:val="0"/>
          <w:marBottom w:val="0"/>
          <w:divBdr>
            <w:top w:val="none" w:sz="0" w:space="0" w:color="auto"/>
            <w:left w:val="none" w:sz="0" w:space="0" w:color="auto"/>
            <w:bottom w:val="none" w:sz="0" w:space="0" w:color="auto"/>
            <w:right w:val="none" w:sz="0" w:space="0" w:color="auto"/>
          </w:divBdr>
        </w:div>
        <w:div w:id="1075471999">
          <w:marLeft w:val="547"/>
          <w:marRight w:val="0"/>
          <w:marTop w:val="0"/>
          <w:marBottom w:val="0"/>
          <w:divBdr>
            <w:top w:val="none" w:sz="0" w:space="0" w:color="auto"/>
            <w:left w:val="none" w:sz="0" w:space="0" w:color="auto"/>
            <w:bottom w:val="none" w:sz="0" w:space="0" w:color="auto"/>
            <w:right w:val="none" w:sz="0" w:space="0" w:color="auto"/>
          </w:divBdr>
        </w:div>
        <w:div w:id="8265629">
          <w:marLeft w:val="547"/>
          <w:marRight w:val="0"/>
          <w:marTop w:val="0"/>
          <w:marBottom w:val="0"/>
          <w:divBdr>
            <w:top w:val="none" w:sz="0" w:space="0" w:color="auto"/>
            <w:left w:val="none" w:sz="0" w:space="0" w:color="auto"/>
            <w:bottom w:val="none" w:sz="0" w:space="0" w:color="auto"/>
            <w:right w:val="none" w:sz="0" w:space="0" w:color="auto"/>
          </w:divBdr>
        </w:div>
        <w:div w:id="1778141552">
          <w:marLeft w:val="547"/>
          <w:marRight w:val="0"/>
          <w:marTop w:val="0"/>
          <w:marBottom w:val="0"/>
          <w:divBdr>
            <w:top w:val="none" w:sz="0" w:space="0" w:color="auto"/>
            <w:left w:val="none" w:sz="0" w:space="0" w:color="auto"/>
            <w:bottom w:val="none" w:sz="0" w:space="0" w:color="auto"/>
            <w:right w:val="none" w:sz="0" w:space="0" w:color="auto"/>
          </w:divBdr>
        </w:div>
        <w:div w:id="1050807953">
          <w:marLeft w:val="547"/>
          <w:marRight w:val="0"/>
          <w:marTop w:val="0"/>
          <w:marBottom w:val="0"/>
          <w:divBdr>
            <w:top w:val="none" w:sz="0" w:space="0" w:color="auto"/>
            <w:left w:val="none" w:sz="0" w:space="0" w:color="auto"/>
            <w:bottom w:val="none" w:sz="0" w:space="0" w:color="auto"/>
            <w:right w:val="none" w:sz="0" w:space="0" w:color="auto"/>
          </w:divBdr>
        </w:div>
      </w:divsChild>
    </w:div>
    <w:div w:id="1605922397">
      <w:bodyDiv w:val="1"/>
      <w:marLeft w:val="0"/>
      <w:marRight w:val="0"/>
      <w:marTop w:val="0"/>
      <w:marBottom w:val="0"/>
      <w:divBdr>
        <w:top w:val="none" w:sz="0" w:space="0" w:color="auto"/>
        <w:left w:val="none" w:sz="0" w:space="0" w:color="auto"/>
        <w:bottom w:val="none" w:sz="0" w:space="0" w:color="auto"/>
        <w:right w:val="none" w:sz="0" w:space="0" w:color="auto"/>
      </w:divBdr>
    </w:div>
    <w:div w:id="1636332655">
      <w:bodyDiv w:val="1"/>
      <w:marLeft w:val="0"/>
      <w:marRight w:val="0"/>
      <w:marTop w:val="0"/>
      <w:marBottom w:val="0"/>
      <w:divBdr>
        <w:top w:val="none" w:sz="0" w:space="0" w:color="auto"/>
        <w:left w:val="none" w:sz="0" w:space="0" w:color="auto"/>
        <w:bottom w:val="none" w:sz="0" w:space="0" w:color="auto"/>
        <w:right w:val="none" w:sz="0" w:space="0" w:color="auto"/>
      </w:divBdr>
      <w:divsChild>
        <w:div w:id="726757336">
          <w:marLeft w:val="0"/>
          <w:marRight w:val="0"/>
          <w:marTop w:val="0"/>
          <w:marBottom w:val="0"/>
          <w:divBdr>
            <w:top w:val="none" w:sz="0" w:space="0" w:color="auto"/>
            <w:left w:val="none" w:sz="0" w:space="0" w:color="auto"/>
            <w:bottom w:val="none" w:sz="0" w:space="0" w:color="auto"/>
            <w:right w:val="none" w:sz="0" w:space="0" w:color="auto"/>
          </w:divBdr>
          <w:divsChild>
            <w:div w:id="1318924586">
              <w:marLeft w:val="0"/>
              <w:marRight w:val="0"/>
              <w:marTop w:val="0"/>
              <w:marBottom w:val="0"/>
              <w:divBdr>
                <w:top w:val="none" w:sz="0" w:space="0" w:color="auto"/>
                <w:left w:val="none" w:sz="0" w:space="0" w:color="auto"/>
                <w:bottom w:val="none" w:sz="0" w:space="0" w:color="auto"/>
                <w:right w:val="none" w:sz="0" w:space="0" w:color="auto"/>
              </w:divBdr>
              <w:divsChild>
                <w:div w:id="10369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6913">
      <w:bodyDiv w:val="1"/>
      <w:marLeft w:val="0"/>
      <w:marRight w:val="0"/>
      <w:marTop w:val="0"/>
      <w:marBottom w:val="0"/>
      <w:divBdr>
        <w:top w:val="none" w:sz="0" w:space="0" w:color="auto"/>
        <w:left w:val="none" w:sz="0" w:space="0" w:color="auto"/>
        <w:bottom w:val="none" w:sz="0" w:space="0" w:color="auto"/>
        <w:right w:val="none" w:sz="0" w:space="0" w:color="auto"/>
      </w:divBdr>
      <w:divsChild>
        <w:div w:id="1884171396">
          <w:marLeft w:val="0"/>
          <w:marRight w:val="0"/>
          <w:marTop w:val="0"/>
          <w:marBottom w:val="0"/>
          <w:divBdr>
            <w:top w:val="none" w:sz="0" w:space="0" w:color="auto"/>
            <w:left w:val="none" w:sz="0" w:space="0" w:color="auto"/>
            <w:bottom w:val="none" w:sz="0" w:space="0" w:color="auto"/>
            <w:right w:val="none" w:sz="0" w:space="0" w:color="auto"/>
          </w:divBdr>
          <w:divsChild>
            <w:div w:id="1715808332">
              <w:marLeft w:val="0"/>
              <w:marRight w:val="0"/>
              <w:marTop w:val="0"/>
              <w:marBottom w:val="0"/>
              <w:divBdr>
                <w:top w:val="none" w:sz="0" w:space="0" w:color="auto"/>
                <w:left w:val="none" w:sz="0" w:space="0" w:color="auto"/>
                <w:bottom w:val="none" w:sz="0" w:space="0" w:color="auto"/>
                <w:right w:val="none" w:sz="0" w:space="0" w:color="auto"/>
              </w:divBdr>
              <w:divsChild>
                <w:div w:id="110221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83913">
      <w:bodyDiv w:val="1"/>
      <w:marLeft w:val="0"/>
      <w:marRight w:val="0"/>
      <w:marTop w:val="0"/>
      <w:marBottom w:val="0"/>
      <w:divBdr>
        <w:top w:val="none" w:sz="0" w:space="0" w:color="auto"/>
        <w:left w:val="none" w:sz="0" w:space="0" w:color="auto"/>
        <w:bottom w:val="none" w:sz="0" w:space="0" w:color="auto"/>
        <w:right w:val="none" w:sz="0" w:space="0" w:color="auto"/>
      </w:divBdr>
    </w:div>
    <w:div w:id="1719940596">
      <w:bodyDiv w:val="1"/>
      <w:marLeft w:val="0"/>
      <w:marRight w:val="0"/>
      <w:marTop w:val="0"/>
      <w:marBottom w:val="0"/>
      <w:divBdr>
        <w:top w:val="none" w:sz="0" w:space="0" w:color="auto"/>
        <w:left w:val="none" w:sz="0" w:space="0" w:color="auto"/>
        <w:bottom w:val="none" w:sz="0" w:space="0" w:color="auto"/>
        <w:right w:val="none" w:sz="0" w:space="0" w:color="auto"/>
      </w:divBdr>
      <w:divsChild>
        <w:div w:id="1862626848">
          <w:marLeft w:val="0"/>
          <w:marRight w:val="0"/>
          <w:marTop w:val="0"/>
          <w:marBottom w:val="0"/>
          <w:divBdr>
            <w:top w:val="none" w:sz="0" w:space="0" w:color="auto"/>
            <w:left w:val="none" w:sz="0" w:space="0" w:color="auto"/>
            <w:bottom w:val="none" w:sz="0" w:space="0" w:color="auto"/>
            <w:right w:val="none" w:sz="0" w:space="0" w:color="auto"/>
          </w:divBdr>
          <w:divsChild>
            <w:div w:id="909928618">
              <w:marLeft w:val="0"/>
              <w:marRight w:val="0"/>
              <w:marTop w:val="0"/>
              <w:marBottom w:val="0"/>
              <w:divBdr>
                <w:top w:val="none" w:sz="0" w:space="0" w:color="auto"/>
                <w:left w:val="none" w:sz="0" w:space="0" w:color="auto"/>
                <w:bottom w:val="none" w:sz="0" w:space="0" w:color="auto"/>
                <w:right w:val="none" w:sz="0" w:space="0" w:color="auto"/>
              </w:divBdr>
              <w:divsChild>
                <w:div w:id="15676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41439">
      <w:bodyDiv w:val="1"/>
      <w:marLeft w:val="0"/>
      <w:marRight w:val="0"/>
      <w:marTop w:val="0"/>
      <w:marBottom w:val="0"/>
      <w:divBdr>
        <w:top w:val="none" w:sz="0" w:space="0" w:color="auto"/>
        <w:left w:val="none" w:sz="0" w:space="0" w:color="auto"/>
        <w:bottom w:val="none" w:sz="0" w:space="0" w:color="auto"/>
        <w:right w:val="none" w:sz="0" w:space="0" w:color="auto"/>
      </w:divBdr>
      <w:divsChild>
        <w:div w:id="98455073">
          <w:marLeft w:val="0"/>
          <w:marRight w:val="0"/>
          <w:marTop w:val="0"/>
          <w:marBottom w:val="0"/>
          <w:divBdr>
            <w:top w:val="none" w:sz="0" w:space="0" w:color="auto"/>
            <w:left w:val="none" w:sz="0" w:space="0" w:color="auto"/>
            <w:bottom w:val="none" w:sz="0" w:space="0" w:color="auto"/>
            <w:right w:val="none" w:sz="0" w:space="0" w:color="auto"/>
          </w:divBdr>
          <w:divsChild>
            <w:div w:id="626663570">
              <w:marLeft w:val="0"/>
              <w:marRight w:val="0"/>
              <w:marTop w:val="0"/>
              <w:marBottom w:val="0"/>
              <w:divBdr>
                <w:top w:val="none" w:sz="0" w:space="0" w:color="auto"/>
                <w:left w:val="none" w:sz="0" w:space="0" w:color="auto"/>
                <w:bottom w:val="none" w:sz="0" w:space="0" w:color="auto"/>
                <w:right w:val="none" w:sz="0" w:space="0" w:color="auto"/>
              </w:divBdr>
              <w:divsChild>
                <w:div w:id="17311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876233">
      <w:bodyDiv w:val="1"/>
      <w:marLeft w:val="0"/>
      <w:marRight w:val="0"/>
      <w:marTop w:val="0"/>
      <w:marBottom w:val="0"/>
      <w:divBdr>
        <w:top w:val="none" w:sz="0" w:space="0" w:color="auto"/>
        <w:left w:val="none" w:sz="0" w:space="0" w:color="auto"/>
        <w:bottom w:val="none" w:sz="0" w:space="0" w:color="auto"/>
        <w:right w:val="none" w:sz="0" w:space="0" w:color="auto"/>
      </w:divBdr>
    </w:div>
    <w:div w:id="1750082998">
      <w:bodyDiv w:val="1"/>
      <w:marLeft w:val="0"/>
      <w:marRight w:val="0"/>
      <w:marTop w:val="0"/>
      <w:marBottom w:val="0"/>
      <w:divBdr>
        <w:top w:val="none" w:sz="0" w:space="0" w:color="auto"/>
        <w:left w:val="none" w:sz="0" w:space="0" w:color="auto"/>
        <w:bottom w:val="none" w:sz="0" w:space="0" w:color="auto"/>
        <w:right w:val="none" w:sz="0" w:space="0" w:color="auto"/>
      </w:divBdr>
    </w:div>
    <w:div w:id="1762337772">
      <w:bodyDiv w:val="1"/>
      <w:marLeft w:val="0"/>
      <w:marRight w:val="0"/>
      <w:marTop w:val="0"/>
      <w:marBottom w:val="0"/>
      <w:divBdr>
        <w:top w:val="none" w:sz="0" w:space="0" w:color="auto"/>
        <w:left w:val="none" w:sz="0" w:space="0" w:color="auto"/>
        <w:bottom w:val="none" w:sz="0" w:space="0" w:color="auto"/>
        <w:right w:val="none" w:sz="0" w:space="0" w:color="auto"/>
      </w:divBdr>
    </w:div>
    <w:div w:id="1766419566">
      <w:bodyDiv w:val="1"/>
      <w:marLeft w:val="0"/>
      <w:marRight w:val="0"/>
      <w:marTop w:val="0"/>
      <w:marBottom w:val="0"/>
      <w:divBdr>
        <w:top w:val="none" w:sz="0" w:space="0" w:color="auto"/>
        <w:left w:val="none" w:sz="0" w:space="0" w:color="auto"/>
        <w:bottom w:val="none" w:sz="0" w:space="0" w:color="auto"/>
        <w:right w:val="none" w:sz="0" w:space="0" w:color="auto"/>
      </w:divBdr>
      <w:divsChild>
        <w:div w:id="1680621889">
          <w:marLeft w:val="0"/>
          <w:marRight w:val="0"/>
          <w:marTop w:val="0"/>
          <w:marBottom w:val="0"/>
          <w:divBdr>
            <w:top w:val="none" w:sz="0" w:space="0" w:color="auto"/>
            <w:left w:val="none" w:sz="0" w:space="0" w:color="auto"/>
            <w:bottom w:val="none" w:sz="0" w:space="0" w:color="auto"/>
            <w:right w:val="none" w:sz="0" w:space="0" w:color="auto"/>
          </w:divBdr>
          <w:divsChild>
            <w:div w:id="1163742840">
              <w:marLeft w:val="0"/>
              <w:marRight w:val="0"/>
              <w:marTop w:val="0"/>
              <w:marBottom w:val="0"/>
              <w:divBdr>
                <w:top w:val="none" w:sz="0" w:space="0" w:color="auto"/>
                <w:left w:val="none" w:sz="0" w:space="0" w:color="auto"/>
                <w:bottom w:val="none" w:sz="0" w:space="0" w:color="auto"/>
                <w:right w:val="none" w:sz="0" w:space="0" w:color="auto"/>
              </w:divBdr>
              <w:divsChild>
                <w:div w:id="109524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471220">
      <w:bodyDiv w:val="1"/>
      <w:marLeft w:val="0"/>
      <w:marRight w:val="0"/>
      <w:marTop w:val="0"/>
      <w:marBottom w:val="0"/>
      <w:divBdr>
        <w:top w:val="none" w:sz="0" w:space="0" w:color="auto"/>
        <w:left w:val="none" w:sz="0" w:space="0" w:color="auto"/>
        <w:bottom w:val="none" w:sz="0" w:space="0" w:color="auto"/>
        <w:right w:val="none" w:sz="0" w:space="0" w:color="auto"/>
      </w:divBdr>
      <w:divsChild>
        <w:div w:id="1716076107">
          <w:marLeft w:val="0"/>
          <w:marRight w:val="0"/>
          <w:marTop w:val="0"/>
          <w:marBottom w:val="0"/>
          <w:divBdr>
            <w:top w:val="none" w:sz="0" w:space="0" w:color="auto"/>
            <w:left w:val="none" w:sz="0" w:space="0" w:color="auto"/>
            <w:bottom w:val="none" w:sz="0" w:space="0" w:color="auto"/>
            <w:right w:val="none" w:sz="0" w:space="0" w:color="auto"/>
          </w:divBdr>
          <w:divsChild>
            <w:div w:id="972518497">
              <w:marLeft w:val="0"/>
              <w:marRight w:val="0"/>
              <w:marTop w:val="0"/>
              <w:marBottom w:val="0"/>
              <w:divBdr>
                <w:top w:val="none" w:sz="0" w:space="0" w:color="auto"/>
                <w:left w:val="none" w:sz="0" w:space="0" w:color="auto"/>
                <w:bottom w:val="none" w:sz="0" w:space="0" w:color="auto"/>
                <w:right w:val="none" w:sz="0" w:space="0" w:color="auto"/>
              </w:divBdr>
              <w:divsChild>
                <w:div w:id="173442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519314">
      <w:bodyDiv w:val="1"/>
      <w:marLeft w:val="0"/>
      <w:marRight w:val="0"/>
      <w:marTop w:val="0"/>
      <w:marBottom w:val="0"/>
      <w:divBdr>
        <w:top w:val="none" w:sz="0" w:space="0" w:color="auto"/>
        <w:left w:val="none" w:sz="0" w:space="0" w:color="auto"/>
        <w:bottom w:val="none" w:sz="0" w:space="0" w:color="auto"/>
        <w:right w:val="none" w:sz="0" w:space="0" w:color="auto"/>
      </w:divBdr>
    </w:div>
    <w:div w:id="1805998752">
      <w:bodyDiv w:val="1"/>
      <w:marLeft w:val="0"/>
      <w:marRight w:val="0"/>
      <w:marTop w:val="0"/>
      <w:marBottom w:val="0"/>
      <w:divBdr>
        <w:top w:val="none" w:sz="0" w:space="0" w:color="auto"/>
        <w:left w:val="none" w:sz="0" w:space="0" w:color="auto"/>
        <w:bottom w:val="none" w:sz="0" w:space="0" w:color="auto"/>
        <w:right w:val="none" w:sz="0" w:space="0" w:color="auto"/>
      </w:divBdr>
    </w:div>
    <w:div w:id="1825318080">
      <w:bodyDiv w:val="1"/>
      <w:marLeft w:val="0"/>
      <w:marRight w:val="0"/>
      <w:marTop w:val="0"/>
      <w:marBottom w:val="0"/>
      <w:divBdr>
        <w:top w:val="none" w:sz="0" w:space="0" w:color="auto"/>
        <w:left w:val="none" w:sz="0" w:space="0" w:color="auto"/>
        <w:bottom w:val="none" w:sz="0" w:space="0" w:color="auto"/>
        <w:right w:val="none" w:sz="0" w:space="0" w:color="auto"/>
      </w:divBdr>
      <w:divsChild>
        <w:div w:id="801652903">
          <w:marLeft w:val="0"/>
          <w:marRight w:val="0"/>
          <w:marTop w:val="0"/>
          <w:marBottom w:val="0"/>
          <w:divBdr>
            <w:top w:val="none" w:sz="0" w:space="0" w:color="auto"/>
            <w:left w:val="none" w:sz="0" w:space="0" w:color="auto"/>
            <w:bottom w:val="none" w:sz="0" w:space="0" w:color="auto"/>
            <w:right w:val="none" w:sz="0" w:space="0" w:color="auto"/>
          </w:divBdr>
          <w:divsChild>
            <w:div w:id="487941412">
              <w:marLeft w:val="0"/>
              <w:marRight w:val="0"/>
              <w:marTop w:val="0"/>
              <w:marBottom w:val="0"/>
              <w:divBdr>
                <w:top w:val="none" w:sz="0" w:space="0" w:color="auto"/>
                <w:left w:val="none" w:sz="0" w:space="0" w:color="auto"/>
                <w:bottom w:val="none" w:sz="0" w:space="0" w:color="auto"/>
                <w:right w:val="none" w:sz="0" w:space="0" w:color="auto"/>
              </w:divBdr>
              <w:divsChild>
                <w:div w:id="153788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210193">
      <w:bodyDiv w:val="1"/>
      <w:marLeft w:val="0"/>
      <w:marRight w:val="0"/>
      <w:marTop w:val="0"/>
      <w:marBottom w:val="0"/>
      <w:divBdr>
        <w:top w:val="none" w:sz="0" w:space="0" w:color="auto"/>
        <w:left w:val="none" w:sz="0" w:space="0" w:color="auto"/>
        <w:bottom w:val="none" w:sz="0" w:space="0" w:color="auto"/>
        <w:right w:val="none" w:sz="0" w:space="0" w:color="auto"/>
      </w:divBdr>
      <w:divsChild>
        <w:div w:id="1670331302">
          <w:marLeft w:val="0"/>
          <w:marRight w:val="0"/>
          <w:marTop w:val="0"/>
          <w:marBottom w:val="0"/>
          <w:divBdr>
            <w:top w:val="none" w:sz="0" w:space="0" w:color="auto"/>
            <w:left w:val="none" w:sz="0" w:space="0" w:color="auto"/>
            <w:bottom w:val="none" w:sz="0" w:space="0" w:color="auto"/>
            <w:right w:val="none" w:sz="0" w:space="0" w:color="auto"/>
          </w:divBdr>
          <w:divsChild>
            <w:div w:id="403068843">
              <w:marLeft w:val="0"/>
              <w:marRight w:val="0"/>
              <w:marTop w:val="0"/>
              <w:marBottom w:val="0"/>
              <w:divBdr>
                <w:top w:val="none" w:sz="0" w:space="0" w:color="auto"/>
                <w:left w:val="none" w:sz="0" w:space="0" w:color="auto"/>
                <w:bottom w:val="none" w:sz="0" w:space="0" w:color="auto"/>
                <w:right w:val="none" w:sz="0" w:space="0" w:color="auto"/>
              </w:divBdr>
              <w:divsChild>
                <w:div w:id="6639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8981">
      <w:bodyDiv w:val="1"/>
      <w:marLeft w:val="0"/>
      <w:marRight w:val="0"/>
      <w:marTop w:val="0"/>
      <w:marBottom w:val="0"/>
      <w:divBdr>
        <w:top w:val="none" w:sz="0" w:space="0" w:color="auto"/>
        <w:left w:val="none" w:sz="0" w:space="0" w:color="auto"/>
        <w:bottom w:val="none" w:sz="0" w:space="0" w:color="auto"/>
        <w:right w:val="none" w:sz="0" w:space="0" w:color="auto"/>
      </w:divBdr>
      <w:divsChild>
        <w:div w:id="1329091689">
          <w:marLeft w:val="1080"/>
          <w:marRight w:val="0"/>
          <w:marTop w:val="100"/>
          <w:marBottom w:val="0"/>
          <w:divBdr>
            <w:top w:val="none" w:sz="0" w:space="0" w:color="auto"/>
            <w:left w:val="none" w:sz="0" w:space="0" w:color="auto"/>
            <w:bottom w:val="none" w:sz="0" w:space="0" w:color="auto"/>
            <w:right w:val="none" w:sz="0" w:space="0" w:color="auto"/>
          </w:divBdr>
        </w:div>
      </w:divsChild>
    </w:div>
    <w:div w:id="1913655929">
      <w:bodyDiv w:val="1"/>
      <w:marLeft w:val="0"/>
      <w:marRight w:val="0"/>
      <w:marTop w:val="0"/>
      <w:marBottom w:val="0"/>
      <w:divBdr>
        <w:top w:val="none" w:sz="0" w:space="0" w:color="auto"/>
        <w:left w:val="none" w:sz="0" w:space="0" w:color="auto"/>
        <w:bottom w:val="none" w:sz="0" w:space="0" w:color="auto"/>
        <w:right w:val="none" w:sz="0" w:space="0" w:color="auto"/>
      </w:divBdr>
      <w:divsChild>
        <w:div w:id="1951203664">
          <w:marLeft w:val="0"/>
          <w:marRight w:val="0"/>
          <w:marTop w:val="0"/>
          <w:marBottom w:val="0"/>
          <w:divBdr>
            <w:top w:val="none" w:sz="0" w:space="0" w:color="auto"/>
            <w:left w:val="none" w:sz="0" w:space="0" w:color="auto"/>
            <w:bottom w:val="none" w:sz="0" w:space="0" w:color="auto"/>
            <w:right w:val="none" w:sz="0" w:space="0" w:color="auto"/>
          </w:divBdr>
          <w:divsChild>
            <w:div w:id="492449885">
              <w:marLeft w:val="0"/>
              <w:marRight w:val="0"/>
              <w:marTop w:val="0"/>
              <w:marBottom w:val="0"/>
              <w:divBdr>
                <w:top w:val="none" w:sz="0" w:space="0" w:color="auto"/>
                <w:left w:val="none" w:sz="0" w:space="0" w:color="auto"/>
                <w:bottom w:val="none" w:sz="0" w:space="0" w:color="auto"/>
                <w:right w:val="none" w:sz="0" w:space="0" w:color="auto"/>
              </w:divBdr>
              <w:divsChild>
                <w:div w:id="170236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084423">
      <w:bodyDiv w:val="1"/>
      <w:marLeft w:val="0"/>
      <w:marRight w:val="0"/>
      <w:marTop w:val="0"/>
      <w:marBottom w:val="0"/>
      <w:divBdr>
        <w:top w:val="none" w:sz="0" w:space="0" w:color="auto"/>
        <w:left w:val="none" w:sz="0" w:space="0" w:color="auto"/>
        <w:bottom w:val="none" w:sz="0" w:space="0" w:color="auto"/>
        <w:right w:val="none" w:sz="0" w:space="0" w:color="auto"/>
      </w:divBdr>
      <w:divsChild>
        <w:div w:id="2110269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564240">
              <w:marLeft w:val="0"/>
              <w:marRight w:val="0"/>
              <w:marTop w:val="0"/>
              <w:marBottom w:val="0"/>
              <w:divBdr>
                <w:top w:val="none" w:sz="0" w:space="0" w:color="auto"/>
                <w:left w:val="none" w:sz="0" w:space="0" w:color="auto"/>
                <w:bottom w:val="none" w:sz="0" w:space="0" w:color="auto"/>
                <w:right w:val="none" w:sz="0" w:space="0" w:color="auto"/>
              </w:divBdr>
              <w:divsChild>
                <w:div w:id="61833803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260412">
      <w:bodyDiv w:val="1"/>
      <w:marLeft w:val="0"/>
      <w:marRight w:val="0"/>
      <w:marTop w:val="0"/>
      <w:marBottom w:val="0"/>
      <w:divBdr>
        <w:top w:val="none" w:sz="0" w:space="0" w:color="auto"/>
        <w:left w:val="none" w:sz="0" w:space="0" w:color="auto"/>
        <w:bottom w:val="none" w:sz="0" w:space="0" w:color="auto"/>
        <w:right w:val="none" w:sz="0" w:space="0" w:color="auto"/>
      </w:divBdr>
      <w:divsChild>
        <w:div w:id="1901332120">
          <w:marLeft w:val="1080"/>
          <w:marRight w:val="0"/>
          <w:marTop w:val="100"/>
          <w:marBottom w:val="0"/>
          <w:divBdr>
            <w:top w:val="none" w:sz="0" w:space="0" w:color="auto"/>
            <w:left w:val="none" w:sz="0" w:space="0" w:color="auto"/>
            <w:bottom w:val="none" w:sz="0" w:space="0" w:color="auto"/>
            <w:right w:val="none" w:sz="0" w:space="0" w:color="auto"/>
          </w:divBdr>
        </w:div>
      </w:divsChild>
    </w:div>
    <w:div w:id="1972711230">
      <w:bodyDiv w:val="1"/>
      <w:marLeft w:val="0"/>
      <w:marRight w:val="0"/>
      <w:marTop w:val="0"/>
      <w:marBottom w:val="0"/>
      <w:divBdr>
        <w:top w:val="none" w:sz="0" w:space="0" w:color="auto"/>
        <w:left w:val="none" w:sz="0" w:space="0" w:color="auto"/>
        <w:bottom w:val="none" w:sz="0" w:space="0" w:color="auto"/>
        <w:right w:val="none" w:sz="0" w:space="0" w:color="auto"/>
      </w:divBdr>
    </w:div>
    <w:div w:id="2008289717">
      <w:bodyDiv w:val="1"/>
      <w:marLeft w:val="0"/>
      <w:marRight w:val="0"/>
      <w:marTop w:val="0"/>
      <w:marBottom w:val="0"/>
      <w:divBdr>
        <w:top w:val="none" w:sz="0" w:space="0" w:color="auto"/>
        <w:left w:val="none" w:sz="0" w:space="0" w:color="auto"/>
        <w:bottom w:val="none" w:sz="0" w:space="0" w:color="auto"/>
        <w:right w:val="none" w:sz="0" w:space="0" w:color="auto"/>
      </w:divBdr>
      <w:divsChild>
        <w:div w:id="1587493579">
          <w:marLeft w:val="547"/>
          <w:marRight w:val="0"/>
          <w:marTop w:val="0"/>
          <w:marBottom w:val="0"/>
          <w:divBdr>
            <w:top w:val="none" w:sz="0" w:space="0" w:color="auto"/>
            <w:left w:val="none" w:sz="0" w:space="0" w:color="auto"/>
            <w:bottom w:val="none" w:sz="0" w:space="0" w:color="auto"/>
            <w:right w:val="none" w:sz="0" w:space="0" w:color="auto"/>
          </w:divBdr>
        </w:div>
        <w:div w:id="1746877241">
          <w:marLeft w:val="547"/>
          <w:marRight w:val="0"/>
          <w:marTop w:val="0"/>
          <w:marBottom w:val="0"/>
          <w:divBdr>
            <w:top w:val="none" w:sz="0" w:space="0" w:color="auto"/>
            <w:left w:val="none" w:sz="0" w:space="0" w:color="auto"/>
            <w:bottom w:val="none" w:sz="0" w:space="0" w:color="auto"/>
            <w:right w:val="none" w:sz="0" w:space="0" w:color="auto"/>
          </w:divBdr>
        </w:div>
      </w:divsChild>
    </w:div>
    <w:div w:id="2022660269">
      <w:bodyDiv w:val="1"/>
      <w:marLeft w:val="0"/>
      <w:marRight w:val="0"/>
      <w:marTop w:val="0"/>
      <w:marBottom w:val="0"/>
      <w:divBdr>
        <w:top w:val="none" w:sz="0" w:space="0" w:color="auto"/>
        <w:left w:val="none" w:sz="0" w:space="0" w:color="auto"/>
        <w:bottom w:val="none" w:sz="0" w:space="0" w:color="auto"/>
        <w:right w:val="none" w:sz="0" w:space="0" w:color="auto"/>
      </w:divBdr>
    </w:div>
    <w:div w:id="2080860214">
      <w:bodyDiv w:val="1"/>
      <w:marLeft w:val="0"/>
      <w:marRight w:val="0"/>
      <w:marTop w:val="0"/>
      <w:marBottom w:val="0"/>
      <w:divBdr>
        <w:top w:val="none" w:sz="0" w:space="0" w:color="auto"/>
        <w:left w:val="none" w:sz="0" w:space="0" w:color="auto"/>
        <w:bottom w:val="none" w:sz="0" w:space="0" w:color="auto"/>
        <w:right w:val="none" w:sz="0" w:space="0" w:color="auto"/>
      </w:divBdr>
      <w:divsChild>
        <w:div w:id="1587879461">
          <w:marLeft w:val="0"/>
          <w:marRight w:val="0"/>
          <w:marTop w:val="0"/>
          <w:marBottom w:val="0"/>
          <w:divBdr>
            <w:top w:val="none" w:sz="0" w:space="0" w:color="auto"/>
            <w:left w:val="none" w:sz="0" w:space="0" w:color="auto"/>
            <w:bottom w:val="none" w:sz="0" w:space="0" w:color="auto"/>
            <w:right w:val="none" w:sz="0" w:space="0" w:color="auto"/>
          </w:divBdr>
          <w:divsChild>
            <w:div w:id="101144514">
              <w:marLeft w:val="0"/>
              <w:marRight w:val="0"/>
              <w:marTop w:val="0"/>
              <w:marBottom w:val="0"/>
              <w:divBdr>
                <w:top w:val="none" w:sz="0" w:space="0" w:color="auto"/>
                <w:left w:val="none" w:sz="0" w:space="0" w:color="auto"/>
                <w:bottom w:val="none" w:sz="0" w:space="0" w:color="auto"/>
                <w:right w:val="none" w:sz="0" w:space="0" w:color="auto"/>
              </w:divBdr>
              <w:divsChild>
                <w:div w:id="1162433085">
                  <w:marLeft w:val="-225"/>
                  <w:marRight w:val="-225"/>
                  <w:marTop w:val="0"/>
                  <w:marBottom w:val="0"/>
                  <w:divBdr>
                    <w:top w:val="none" w:sz="0" w:space="0" w:color="auto"/>
                    <w:left w:val="none" w:sz="0" w:space="0" w:color="auto"/>
                    <w:bottom w:val="none" w:sz="0" w:space="0" w:color="auto"/>
                    <w:right w:val="none" w:sz="0" w:space="0" w:color="auto"/>
                  </w:divBdr>
                  <w:divsChild>
                    <w:div w:id="918445551">
                      <w:marLeft w:val="0"/>
                      <w:marRight w:val="0"/>
                      <w:marTop w:val="0"/>
                      <w:marBottom w:val="0"/>
                      <w:divBdr>
                        <w:top w:val="none" w:sz="0" w:space="0" w:color="auto"/>
                        <w:left w:val="none" w:sz="0" w:space="0" w:color="auto"/>
                        <w:bottom w:val="none" w:sz="0" w:space="0" w:color="auto"/>
                        <w:right w:val="none" w:sz="0" w:space="0" w:color="auto"/>
                      </w:divBdr>
                      <w:divsChild>
                        <w:div w:id="643268598">
                          <w:marLeft w:val="0"/>
                          <w:marRight w:val="0"/>
                          <w:marTop w:val="0"/>
                          <w:marBottom w:val="0"/>
                          <w:divBdr>
                            <w:top w:val="none" w:sz="0" w:space="0" w:color="auto"/>
                            <w:left w:val="none" w:sz="0" w:space="0" w:color="auto"/>
                            <w:bottom w:val="none" w:sz="0" w:space="0" w:color="auto"/>
                            <w:right w:val="none" w:sz="0" w:space="0" w:color="auto"/>
                          </w:divBdr>
                          <w:divsChild>
                            <w:div w:id="722169081">
                              <w:marLeft w:val="0"/>
                              <w:marRight w:val="0"/>
                              <w:marTop w:val="0"/>
                              <w:marBottom w:val="0"/>
                              <w:divBdr>
                                <w:top w:val="none" w:sz="0" w:space="0" w:color="auto"/>
                                <w:left w:val="none" w:sz="0" w:space="0" w:color="auto"/>
                                <w:bottom w:val="none" w:sz="0" w:space="0" w:color="auto"/>
                                <w:right w:val="none" w:sz="0" w:space="0" w:color="auto"/>
                              </w:divBdr>
                              <w:divsChild>
                                <w:div w:id="471559167">
                                  <w:marLeft w:val="-225"/>
                                  <w:marRight w:val="-225"/>
                                  <w:marTop w:val="0"/>
                                  <w:marBottom w:val="0"/>
                                  <w:divBdr>
                                    <w:top w:val="none" w:sz="0" w:space="0" w:color="auto"/>
                                    <w:left w:val="none" w:sz="0" w:space="0" w:color="auto"/>
                                    <w:bottom w:val="none" w:sz="0" w:space="0" w:color="auto"/>
                                    <w:right w:val="none" w:sz="0" w:space="0" w:color="auto"/>
                                  </w:divBdr>
                                  <w:divsChild>
                                    <w:div w:id="752747814">
                                      <w:marLeft w:val="0"/>
                                      <w:marRight w:val="0"/>
                                      <w:marTop w:val="0"/>
                                      <w:marBottom w:val="0"/>
                                      <w:divBdr>
                                        <w:top w:val="none" w:sz="0" w:space="0" w:color="auto"/>
                                        <w:left w:val="none" w:sz="0" w:space="0" w:color="auto"/>
                                        <w:bottom w:val="none" w:sz="0" w:space="0" w:color="auto"/>
                                        <w:right w:val="none" w:sz="0" w:space="0" w:color="auto"/>
                                      </w:divBdr>
                                      <w:divsChild>
                                        <w:div w:id="1566719955">
                                          <w:marLeft w:val="0"/>
                                          <w:marRight w:val="0"/>
                                          <w:marTop w:val="0"/>
                                          <w:marBottom w:val="0"/>
                                          <w:divBdr>
                                            <w:top w:val="none" w:sz="0" w:space="0" w:color="auto"/>
                                            <w:left w:val="none" w:sz="0" w:space="0" w:color="auto"/>
                                            <w:bottom w:val="none" w:sz="0" w:space="0" w:color="auto"/>
                                            <w:right w:val="none" w:sz="0" w:space="0" w:color="auto"/>
                                          </w:divBdr>
                                          <w:divsChild>
                                            <w:div w:id="1401637805">
                                              <w:marLeft w:val="0"/>
                                              <w:marRight w:val="0"/>
                                              <w:marTop w:val="0"/>
                                              <w:marBottom w:val="0"/>
                                              <w:divBdr>
                                                <w:top w:val="none" w:sz="0" w:space="0" w:color="auto"/>
                                                <w:left w:val="none" w:sz="0" w:space="0" w:color="auto"/>
                                                <w:bottom w:val="none" w:sz="0" w:space="0" w:color="auto"/>
                                                <w:right w:val="none" w:sz="0" w:space="0" w:color="auto"/>
                                              </w:divBdr>
                                              <w:divsChild>
                                                <w:div w:id="21369589">
                                                  <w:marLeft w:val="0"/>
                                                  <w:marRight w:val="0"/>
                                                  <w:marTop w:val="0"/>
                                                  <w:marBottom w:val="0"/>
                                                  <w:divBdr>
                                                    <w:top w:val="none" w:sz="0" w:space="0" w:color="auto"/>
                                                    <w:left w:val="none" w:sz="0" w:space="0" w:color="auto"/>
                                                    <w:bottom w:val="none" w:sz="0" w:space="0" w:color="auto"/>
                                                    <w:right w:val="none" w:sz="0" w:space="0" w:color="auto"/>
                                                  </w:divBdr>
                                                  <w:divsChild>
                                                    <w:div w:id="875041630">
                                                      <w:marLeft w:val="0"/>
                                                      <w:marRight w:val="0"/>
                                                      <w:marTop w:val="0"/>
                                                      <w:marBottom w:val="0"/>
                                                      <w:divBdr>
                                                        <w:top w:val="none" w:sz="0" w:space="0" w:color="auto"/>
                                                        <w:left w:val="none" w:sz="0" w:space="0" w:color="auto"/>
                                                        <w:bottom w:val="none" w:sz="0" w:space="0" w:color="auto"/>
                                                        <w:right w:val="none" w:sz="0" w:space="0" w:color="auto"/>
                                                      </w:divBdr>
                                                      <w:divsChild>
                                                        <w:div w:id="76248921">
                                                          <w:marLeft w:val="-225"/>
                                                          <w:marRight w:val="-225"/>
                                                          <w:marTop w:val="0"/>
                                                          <w:marBottom w:val="0"/>
                                                          <w:divBdr>
                                                            <w:top w:val="none" w:sz="0" w:space="0" w:color="auto"/>
                                                            <w:left w:val="none" w:sz="0" w:space="0" w:color="auto"/>
                                                            <w:bottom w:val="none" w:sz="0" w:space="0" w:color="auto"/>
                                                            <w:right w:val="none" w:sz="0" w:space="0" w:color="auto"/>
                                                          </w:divBdr>
                                                          <w:divsChild>
                                                            <w:div w:id="984167911">
                                                              <w:marLeft w:val="0"/>
                                                              <w:marRight w:val="0"/>
                                                              <w:marTop w:val="0"/>
                                                              <w:marBottom w:val="0"/>
                                                              <w:divBdr>
                                                                <w:top w:val="none" w:sz="0" w:space="0" w:color="auto"/>
                                                                <w:left w:val="none" w:sz="0" w:space="0" w:color="auto"/>
                                                                <w:bottom w:val="none" w:sz="0" w:space="0" w:color="auto"/>
                                                                <w:right w:val="none" w:sz="0" w:space="0" w:color="auto"/>
                                                              </w:divBdr>
                                                              <w:divsChild>
                                                                <w:div w:id="590361612">
                                                                  <w:marLeft w:val="-225"/>
                                                                  <w:marRight w:val="-225"/>
                                                                  <w:marTop w:val="0"/>
                                                                  <w:marBottom w:val="0"/>
                                                                  <w:divBdr>
                                                                    <w:top w:val="none" w:sz="0" w:space="0" w:color="auto"/>
                                                                    <w:left w:val="none" w:sz="0" w:space="0" w:color="auto"/>
                                                                    <w:bottom w:val="none" w:sz="0" w:space="0" w:color="auto"/>
                                                                    <w:right w:val="none" w:sz="0" w:space="0" w:color="auto"/>
                                                                  </w:divBdr>
                                                                  <w:divsChild>
                                                                    <w:div w:id="1981615219">
                                                                      <w:marLeft w:val="0"/>
                                                                      <w:marRight w:val="0"/>
                                                                      <w:marTop w:val="0"/>
                                                                      <w:marBottom w:val="0"/>
                                                                      <w:divBdr>
                                                                        <w:top w:val="none" w:sz="0" w:space="0" w:color="auto"/>
                                                                        <w:left w:val="none" w:sz="0" w:space="0" w:color="auto"/>
                                                                        <w:bottom w:val="none" w:sz="0" w:space="0" w:color="auto"/>
                                                                        <w:right w:val="none" w:sz="0" w:space="0" w:color="auto"/>
                                                                      </w:divBdr>
                                                                      <w:divsChild>
                                                                        <w:div w:id="15204915">
                                                                          <w:marLeft w:val="0"/>
                                                                          <w:marRight w:val="0"/>
                                                                          <w:marTop w:val="0"/>
                                                                          <w:marBottom w:val="0"/>
                                                                          <w:divBdr>
                                                                            <w:top w:val="none" w:sz="0" w:space="0" w:color="auto"/>
                                                                            <w:left w:val="none" w:sz="0" w:space="0" w:color="auto"/>
                                                                            <w:bottom w:val="none" w:sz="0" w:space="0" w:color="auto"/>
                                                                            <w:right w:val="none" w:sz="0" w:space="0" w:color="auto"/>
                                                                          </w:divBdr>
                                                                          <w:divsChild>
                                                                            <w:div w:id="1995864990">
                                                                              <w:marLeft w:val="0"/>
                                                                              <w:marRight w:val="0"/>
                                                                              <w:marTop w:val="0"/>
                                                                              <w:marBottom w:val="0"/>
                                                                              <w:divBdr>
                                                                                <w:top w:val="none" w:sz="0" w:space="0" w:color="auto"/>
                                                                                <w:left w:val="none" w:sz="0" w:space="0" w:color="auto"/>
                                                                                <w:bottom w:val="none" w:sz="0" w:space="0" w:color="auto"/>
                                                                                <w:right w:val="none" w:sz="0" w:space="0" w:color="auto"/>
                                                                              </w:divBdr>
                                                                              <w:divsChild>
                                                                                <w:div w:id="678772416">
                                                                                  <w:marLeft w:val="0"/>
                                                                                  <w:marRight w:val="0"/>
                                                                                  <w:marTop w:val="0"/>
                                                                                  <w:marBottom w:val="0"/>
                                                                                  <w:divBdr>
                                                                                    <w:top w:val="none" w:sz="0" w:space="0" w:color="auto"/>
                                                                                    <w:left w:val="none" w:sz="0" w:space="0" w:color="auto"/>
                                                                                    <w:bottom w:val="none" w:sz="0" w:space="0" w:color="auto"/>
                                                                                    <w:right w:val="none" w:sz="0" w:space="0" w:color="auto"/>
                                                                                  </w:divBdr>
                                                                                  <w:divsChild>
                                                                                    <w:div w:id="735590889">
                                                                                      <w:marLeft w:val="0"/>
                                                                                      <w:marRight w:val="0"/>
                                                                                      <w:marTop w:val="0"/>
                                                                                      <w:marBottom w:val="0"/>
                                                                                      <w:divBdr>
                                                                                        <w:top w:val="none" w:sz="0" w:space="0" w:color="auto"/>
                                                                                        <w:left w:val="none" w:sz="0" w:space="0" w:color="auto"/>
                                                                                        <w:bottom w:val="none" w:sz="0" w:space="0" w:color="auto"/>
                                                                                        <w:right w:val="none" w:sz="0" w:space="0" w:color="auto"/>
                                                                                      </w:divBdr>
                                                                                      <w:divsChild>
                                                                                        <w:div w:id="565921831">
                                                                                          <w:marLeft w:val="0"/>
                                                                                          <w:marRight w:val="0"/>
                                                                                          <w:marTop w:val="0"/>
                                                                                          <w:marBottom w:val="0"/>
                                                                                          <w:divBdr>
                                                                                            <w:top w:val="none" w:sz="0" w:space="0" w:color="auto"/>
                                                                                            <w:left w:val="none" w:sz="0" w:space="0" w:color="auto"/>
                                                                                            <w:bottom w:val="none" w:sz="0" w:space="0" w:color="auto"/>
                                                                                            <w:right w:val="none" w:sz="0" w:space="0" w:color="auto"/>
                                                                                          </w:divBdr>
                                                                                          <w:divsChild>
                                                                                            <w:div w:id="182080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277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header" Target="header7.xml"/><Relationship Id="rId39" Type="http://schemas.openxmlformats.org/officeDocument/2006/relationships/hyperlink" Target="http://www.tti.to/"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https://www.usp.ac.fj/index.php?id=4697"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footer" Target="footer5.xml"/><Relationship Id="rId33" Type="http://schemas.openxmlformats.org/officeDocument/2006/relationships/hyperlink" Target="http://www.donboscosamoa.org/centres/dsp-default.cfm?loadref=22" TargetMode="External"/><Relationship Id="rId38" Type="http://schemas.openxmlformats.org/officeDocument/2006/relationships/hyperlink" Target="https://www.usp.ac.fj/index.php?id=usp_tonga_campus"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hyperlink" Target="https://www.usp.ac.fj/?id=71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ata.worldbank.org/indicator/bx.trf.pwkr.dt.gd.zs" TargetMode="External"/><Relationship Id="rId32" Type="http://schemas.openxmlformats.org/officeDocument/2006/relationships/hyperlink" Target="https://www.nus.edu.ws/s/index.php" TargetMode="External"/><Relationship Id="rId37" Type="http://schemas.openxmlformats.org/officeDocument/2006/relationships/hyperlink" Target="https://www.tist.to/" TargetMode="External"/><Relationship Id="rId40" Type="http://schemas.openxmlformats.org/officeDocument/2006/relationships/hyperlink" Target="http://nguna.cns.com.vu/vit.v2.edu.vu/"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www.imf.org/en/News/Articles/2018/10/30/ms10318-kiribati-staff-concluding-statement-of-the-2018-article-iv-mission" TargetMode="External"/><Relationship Id="rId28" Type="http://schemas.openxmlformats.org/officeDocument/2006/relationships/footer" Target="footer6.xml"/><Relationship Id="rId36" Type="http://schemas.openxmlformats.org/officeDocument/2006/relationships/hyperlink" Target="http://www.tihe.org/" TargetMode="Externa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yperlink" Target="http://www.mtc-tarawa.edu.ki/"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yperlink" Target="https://kit.edu.ki/" TargetMode="External"/><Relationship Id="rId35" Type="http://schemas.openxmlformats.org/officeDocument/2006/relationships/hyperlink" Target="http://www.sinu.edu.sb/"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aptc.edu.au/about/our-performance" TargetMode="External"/><Relationship Id="rId13" Type="http://schemas.openxmlformats.org/officeDocument/2006/relationships/hyperlink" Target="http://online.fliphtml5.com/fzbsr/blew/" TargetMode="External"/><Relationship Id="rId18" Type="http://schemas.openxmlformats.org/officeDocument/2006/relationships/hyperlink" Target="https://www.aptc.edu.au/news/news/2018/09/24/aptc-welcomes-new-country-director-for-samoa-and-tonga" TargetMode="External"/><Relationship Id="rId26" Type="http://schemas.openxmlformats.org/officeDocument/2006/relationships/hyperlink" Target="https://dfat.gov.au/about-us/publications/Documents/tonga-skills-for-inclusive-economic-growth-mid-term-review.pdf" TargetMode="External"/><Relationship Id="rId3" Type="http://schemas.openxmlformats.org/officeDocument/2006/relationships/hyperlink" Target="https://data.worldbank.org/indicator/bx.trf.pwkr.dt.gd.zs" TargetMode="External"/><Relationship Id="rId21" Type="http://schemas.openxmlformats.org/officeDocument/2006/relationships/hyperlink" Target="https://www.aptc.edu.au/news/latest-news/2019/news/2019/02/27/aptc-students-graduate-with-internationally-recognised-skills-in-honiara" TargetMode="External"/><Relationship Id="rId7" Type="http://schemas.openxmlformats.org/officeDocument/2006/relationships/hyperlink" Target="https://www.cambridgeenglish.org/images/177867-the-methodology-behind-the-cambridge-english-scale.pdf" TargetMode="External"/><Relationship Id="rId12" Type="http://schemas.openxmlformats.org/officeDocument/2006/relationships/hyperlink" Target="https://www.aptc.edu.au/about/partners-and-industry" TargetMode="External"/><Relationship Id="rId17" Type="http://schemas.openxmlformats.org/officeDocument/2006/relationships/hyperlink" Target="http://online.fliphtml5.com/fzbsr/blew/" TargetMode="External"/><Relationship Id="rId25" Type="http://schemas.openxmlformats.org/officeDocument/2006/relationships/hyperlink" Target="https://dfat.gov.au/about-us/publications/Documents/tonga-skills-for-inclusive-economic-growth-mid-term-review.pdf" TargetMode="External"/><Relationship Id="rId2" Type="http://schemas.openxmlformats.org/officeDocument/2006/relationships/hyperlink" Target="https://www.imf.org/en/News/Articles/2018/10/30/ms10318-kiribati-staff-concluding-statement-of-the-2018-article-iv-mission" TargetMode="External"/><Relationship Id="rId16" Type="http://schemas.openxmlformats.org/officeDocument/2006/relationships/hyperlink" Target="https://www.nus.edu.ws/s/files/NUS-AR-2018-FINAL.pdf" TargetMode="External"/><Relationship Id="rId20" Type="http://schemas.openxmlformats.org/officeDocument/2006/relationships/hyperlink" Target="https://dfat.gov.au/about-us/publications/Documents/samoa-tvet-roadmap-completion-report.pdf" TargetMode="External"/><Relationship Id="rId29" Type="http://schemas.openxmlformats.org/officeDocument/2006/relationships/hyperlink" Target="http://online.fliphtml5.com/fzbsr/wxwl/" TargetMode="External"/><Relationship Id="rId1" Type="http://schemas.openxmlformats.org/officeDocument/2006/relationships/hyperlink" Target="https://www.imf.org/en/News/Articles/2018/10/30/ms10318-kiribati-staff-concluding-statement-of-the-2018-article-iv-mission" TargetMode="External"/><Relationship Id="rId6" Type="http://schemas.openxmlformats.org/officeDocument/2006/relationships/hyperlink" Target="https://www.cambridgeenglish.org/Images/461626-cambridge-english-qualifications-comparing-scores-to-ielts.pdf" TargetMode="External"/><Relationship Id="rId11" Type="http://schemas.openxmlformats.org/officeDocument/2006/relationships/hyperlink" Target="https://dfat.gov.au/geo/pacific/engagement/Documents/pacific-labour-scheme.pdf" TargetMode="External"/><Relationship Id="rId24" Type="http://schemas.openxmlformats.org/officeDocument/2006/relationships/hyperlink" Target="https://www.aptc.edu.au/news/latest-news/2019/news/2019/03/06/aptc-awards-tongan-nationals-with-internationally-recognised-qualifications" TargetMode="External"/><Relationship Id="rId5" Type="http://schemas.openxmlformats.org/officeDocument/2006/relationships/hyperlink" Target="https://www.ielts.org/-/media/pdfs/comparing-ielts-and-cefr.ashx" TargetMode="External"/><Relationship Id="rId15" Type="http://schemas.openxmlformats.org/officeDocument/2006/relationships/hyperlink" Target="http://online.fliphtml5.com/fzbsr/blew/" TargetMode="External"/><Relationship Id="rId23" Type="http://schemas.openxmlformats.org/officeDocument/2006/relationships/hyperlink" Target="https://www.aptc.edu.au/news/latest-news/2019/news/2019/02/27/aptc-students-graduate-with-internationally-recognised-skills-in-honiara" TargetMode="External"/><Relationship Id="rId28" Type="http://schemas.openxmlformats.org/officeDocument/2006/relationships/hyperlink" Target="https://dfat.gov.au/about-us/publications/Documents/tonga-skills-for-inclusive-economic-growth-mid-term-review.pdf" TargetMode="External"/><Relationship Id="rId10" Type="http://schemas.openxmlformats.org/officeDocument/2006/relationships/hyperlink" Target="https://www.aptc.edu.au/docs/default-source/reports/annual-reports/aptc-annual-report-and-plan-2017---2018.pdf?sfvrsn=c1640ed1_8" TargetMode="External"/><Relationship Id="rId19" Type="http://schemas.openxmlformats.org/officeDocument/2006/relationships/hyperlink" Target="https://www.nus.edu.ws/s/index.php/free-extensions-3/chancellery" TargetMode="External"/><Relationship Id="rId4" Type="http://schemas.openxmlformats.org/officeDocument/2006/relationships/hyperlink" Target="https://www.asqa.gov.au" TargetMode="External"/><Relationship Id="rId9" Type="http://schemas.openxmlformats.org/officeDocument/2006/relationships/hyperlink" Target="https://www.aptc.edu.au/docs/default-source/reports/annual-reports/aptc-annual-report-and-plan-2017---2018.pdf?sfvrsn=c1640ed1_8" TargetMode="External"/><Relationship Id="rId14" Type="http://schemas.openxmlformats.org/officeDocument/2006/relationships/hyperlink" Target="http://online.fliphtml5.com/fzbsr/blew/" TargetMode="External"/><Relationship Id="rId22" Type="http://schemas.openxmlformats.org/officeDocument/2006/relationships/hyperlink" Target="https://www.aptc.edu.au/news/latest-news/2019/news/2019/02/27/aptc-students-graduate-with-internationally-recognised-skills-in-honiara" TargetMode="External"/><Relationship Id="rId27" Type="http://schemas.openxmlformats.org/officeDocument/2006/relationships/hyperlink" Target="https://dfat.gov.au/about-us/publications/Documents/tonga-skills-for-inclusive-economic-growth-mid-term-review.pdf" TargetMode="External"/><Relationship Id="rId30" Type="http://schemas.openxmlformats.org/officeDocument/2006/relationships/hyperlink" Target="http://online.fliphtml5.com/fzbsr/wxwl/"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RSE</c:v>
                </c:pt>
              </c:strCache>
            </c:strRef>
          </c:tx>
          <c:spPr>
            <a:ln w="28575" cap="rnd">
              <a:solidFill>
                <a:schemeClr val="accent1"/>
              </a:solidFill>
              <a:round/>
            </a:ln>
            <a:effectLst/>
          </c:spPr>
          <c:marker>
            <c:symbol val="none"/>
          </c:marker>
          <c:cat>
            <c:numRef>
              <c:f>Sheet1!$A$2:$A$12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Sheet1!$B$2:$B$12</c:f>
              <c:numCache>
                <c:formatCode>General</c:formatCode>
                <c:ptCount val="11"/>
                <c:pt idx="0">
                  <c:v>80</c:v>
                </c:pt>
                <c:pt idx="1">
                  <c:v>37</c:v>
                </c:pt>
                <c:pt idx="2">
                  <c:v>81</c:v>
                </c:pt>
                <c:pt idx="3">
                  <c:v>146</c:v>
                </c:pt>
                <c:pt idx="4">
                  <c:v>126</c:v>
                </c:pt>
                <c:pt idx="5">
                  <c:v>139</c:v>
                </c:pt>
                <c:pt idx="6">
                  <c:v>152</c:v>
                </c:pt>
                <c:pt idx="7">
                  <c:v>164</c:v>
                </c:pt>
                <c:pt idx="8">
                  <c:v>190</c:v>
                </c:pt>
                <c:pt idx="9">
                  <c:v>202</c:v>
                </c:pt>
                <c:pt idx="10">
                  <c:v>262</c:v>
                </c:pt>
              </c:numCache>
            </c:numRef>
          </c:val>
          <c:smooth val="0"/>
          <c:extLst>
            <c:ext xmlns:c16="http://schemas.microsoft.com/office/drawing/2014/chart" uri="{C3380CC4-5D6E-409C-BE32-E72D297353CC}">
              <c16:uniqueId val="{00000000-9339-774F-AF52-878110F5FC4F}"/>
            </c:ext>
          </c:extLst>
        </c:ser>
        <c:ser>
          <c:idx val="1"/>
          <c:order val="1"/>
          <c:tx>
            <c:strRef>
              <c:f>Sheet1!$C$1</c:f>
              <c:strCache>
                <c:ptCount val="1"/>
                <c:pt idx="0">
                  <c:v>SWP</c:v>
                </c:pt>
              </c:strCache>
            </c:strRef>
          </c:tx>
          <c:spPr>
            <a:ln w="28575" cap="rnd">
              <a:solidFill>
                <a:schemeClr val="accent2"/>
              </a:solidFill>
              <a:round/>
            </a:ln>
            <a:effectLst/>
          </c:spPr>
          <c:marker>
            <c:symbol val="none"/>
          </c:marker>
          <c:cat>
            <c:numRef>
              <c:f>Sheet1!$A$2:$A$12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Sheet1!$C$2:$C$12</c:f>
              <c:numCache>
                <c:formatCode>General</c:formatCode>
                <c:ptCount val="11"/>
                <c:pt idx="2">
                  <c:v>11</c:v>
                </c:pt>
                <c:pt idx="3">
                  <c:v>35</c:v>
                </c:pt>
                <c:pt idx="4">
                  <c:v>12</c:v>
                </c:pt>
                <c:pt idx="5">
                  <c:v>29</c:v>
                </c:pt>
                <c:pt idx="6">
                  <c:v>14</c:v>
                </c:pt>
                <c:pt idx="7">
                  <c:v>20</c:v>
                </c:pt>
                <c:pt idx="8">
                  <c:v>24</c:v>
                </c:pt>
                <c:pt idx="9">
                  <c:v>201</c:v>
                </c:pt>
                <c:pt idx="10">
                  <c:v>398</c:v>
                </c:pt>
              </c:numCache>
            </c:numRef>
          </c:val>
          <c:smooth val="0"/>
          <c:extLst>
            <c:ext xmlns:c16="http://schemas.microsoft.com/office/drawing/2014/chart" uri="{C3380CC4-5D6E-409C-BE32-E72D297353CC}">
              <c16:uniqueId val="{00000001-9339-774F-AF52-878110F5FC4F}"/>
            </c:ext>
          </c:extLst>
        </c:ser>
        <c:ser>
          <c:idx val="2"/>
          <c:order val="2"/>
          <c:tx>
            <c:strRef>
              <c:f>Sheet1!$D$1</c:f>
              <c:strCache>
                <c:ptCount val="1"/>
                <c:pt idx="0">
                  <c:v>NAWPP/PLS</c:v>
                </c:pt>
              </c:strCache>
            </c:strRef>
          </c:tx>
          <c:spPr>
            <a:ln w="28575" cap="rnd">
              <a:solidFill>
                <a:schemeClr val="accent3"/>
              </a:solidFill>
              <a:round/>
            </a:ln>
            <a:effectLst/>
          </c:spPr>
          <c:marker>
            <c:symbol val="none"/>
          </c:marker>
          <c:cat>
            <c:numRef>
              <c:f>Sheet1!$A$2:$A$12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Sheet1!$D$2:$D$12</c:f>
              <c:numCache>
                <c:formatCode>General</c:formatCode>
                <c:ptCount val="11"/>
                <c:pt idx="8">
                  <c:v>25</c:v>
                </c:pt>
                <c:pt idx="9">
                  <c:v>54</c:v>
                </c:pt>
                <c:pt idx="10">
                  <c:v>83</c:v>
                </c:pt>
              </c:numCache>
            </c:numRef>
          </c:val>
          <c:smooth val="0"/>
          <c:extLst>
            <c:ext xmlns:c16="http://schemas.microsoft.com/office/drawing/2014/chart" uri="{C3380CC4-5D6E-409C-BE32-E72D297353CC}">
              <c16:uniqueId val="{00000002-9339-774F-AF52-878110F5FC4F}"/>
            </c:ext>
          </c:extLst>
        </c:ser>
        <c:dLbls>
          <c:showLegendKey val="0"/>
          <c:showVal val="0"/>
          <c:showCatName val="0"/>
          <c:showSerName val="0"/>
          <c:showPercent val="0"/>
          <c:showBubbleSize val="0"/>
        </c:dLbls>
        <c:smooth val="0"/>
        <c:axId val="65015296"/>
        <c:axId val="65778720"/>
      </c:lineChart>
      <c:catAx>
        <c:axId val="65015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65778720"/>
        <c:crosses val="autoZero"/>
        <c:auto val="1"/>
        <c:lblAlgn val="ctr"/>
        <c:lblOffset val="100"/>
        <c:noMultiLvlLbl val="0"/>
      </c:catAx>
      <c:valAx>
        <c:axId val="65778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65015296"/>
        <c:crosses val="autoZero"/>
        <c:crossBetween val="between"/>
      </c:valAx>
      <c:spPr>
        <a:noFill/>
        <a:ln>
          <a:noFill/>
        </a:ln>
        <a:effectLst/>
      </c:spPr>
    </c:plotArea>
    <c:legend>
      <c:legendPos val="b"/>
      <c:layout>
        <c:manualLayout>
          <c:xMode val="edge"/>
          <c:yMode val="edge"/>
          <c:x val="0.17646716832236325"/>
          <c:y val="0.87093829911132492"/>
          <c:w val="0.6847596766590428"/>
          <c:h val="9.6907360052662234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Applications</c:v>
                </c:pt>
              </c:strCache>
            </c:strRef>
          </c:tx>
          <c:spPr>
            <a:ln w="28575" cap="rnd">
              <a:solidFill>
                <a:schemeClr val="accent1"/>
              </a:solidFill>
              <a:round/>
            </a:ln>
            <a:effectLst/>
          </c:spPr>
          <c:marker>
            <c:symbol val="none"/>
          </c:marker>
          <c:cat>
            <c:numRef>
              <c:f>Sheet1!$A$2:$A$9</c:f>
              <c:numCache>
                <c:formatCode>General</c:formatCode>
                <c:ptCount val="8"/>
                <c:pt idx="0">
                  <c:v>2012</c:v>
                </c:pt>
                <c:pt idx="1">
                  <c:v>2013</c:v>
                </c:pt>
                <c:pt idx="2">
                  <c:v>2014</c:v>
                </c:pt>
                <c:pt idx="3">
                  <c:v>2015</c:v>
                </c:pt>
                <c:pt idx="4">
                  <c:v>2016</c:v>
                </c:pt>
                <c:pt idx="5">
                  <c:v>2017</c:v>
                </c:pt>
                <c:pt idx="6">
                  <c:v>2018</c:v>
                </c:pt>
                <c:pt idx="7">
                  <c:v>2019</c:v>
                </c:pt>
              </c:numCache>
            </c:numRef>
          </c:cat>
          <c:val>
            <c:numRef>
              <c:f>Sheet1!$B$2:$B$9</c:f>
              <c:numCache>
                <c:formatCode>General</c:formatCode>
                <c:ptCount val="8"/>
                <c:pt idx="0">
                  <c:v>816</c:v>
                </c:pt>
                <c:pt idx="1">
                  <c:v>745</c:v>
                </c:pt>
                <c:pt idx="2">
                  <c:v>626</c:v>
                </c:pt>
                <c:pt idx="3">
                  <c:v>937</c:v>
                </c:pt>
                <c:pt idx="4">
                  <c:v>963</c:v>
                </c:pt>
                <c:pt idx="5">
                  <c:v>1253</c:v>
                </c:pt>
                <c:pt idx="6">
                  <c:v>1135</c:v>
                </c:pt>
                <c:pt idx="7">
                  <c:v>1282</c:v>
                </c:pt>
              </c:numCache>
            </c:numRef>
          </c:val>
          <c:smooth val="0"/>
          <c:extLst>
            <c:ext xmlns:c16="http://schemas.microsoft.com/office/drawing/2014/chart" uri="{C3380CC4-5D6E-409C-BE32-E72D297353CC}">
              <c16:uniqueId val="{00000000-74B8-0041-9994-D6A8A6CF83F3}"/>
            </c:ext>
          </c:extLst>
        </c:ser>
        <c:ser>
          <c:idx val="1"/>
          <c:order val="1"/>
          <c:tx>
            <c:strRef>
              <c:f>Sheet1!$C$1</c:f>
              <c:strCache>
                <c:ptCount val="1"/>
                <c:pt idx="0">
                  <c:v>Enrolments</c:v>
                </c:pt>
              </c:strCache>
            </c:strRef>
          </c:tx>
          <c:spPr>
            <a:ln w="28575" cap="rnd">
              <a:solidFill>
                <a:schemeClr val="accent2"/>
              </a:solidFill>
              <a:round/>
            </a:ln>
            <a:effectLst/>
          </c:spPr>
          <c:marker>
            <c:symbol val="none"/>
          </c:marker>
          <c:cat>
            <c:numRef>
              <c:f>Sheet1!$A$2:$A$9</c:f>
              <c:numCache>
                <c:formatCode>General</c:formatCode>
                <c:ptCount val="8"/>
                <c:pt idx="0">
                  <c:v>2012</c:v>
                </c:pt>
                <c:pt idx="1">
                  <c:v>2013</c:v>
                </c:pt>
                <c:pt idx="2">
                  <c:v>2014</c:v>
                </c:pt>
                <c:pt idx="3">
                  <c:v>2015</c:v>
                </c:pt>
                <c:pt idx="4">
                  <c:v>2016</c:v>
                </c:pt>
                <c:pt idx="5">
                  <c:v>2017</c:v>
                </c:pt>
                <c:pt idx="6">
                  <c:v>2018</c:v>
                </c:pt>
                <c:pt idx="7">
                  <c:v>2019</c:v>
                </c:pt>
              </c:numCache>
            </c:numRef>
          </c:cat>
          <c:val>
            <c:numRef>
              <c:f>Sheet1!$C$2:$C$9</c:f>
              <c:numCache>
                <c:formatCode>General</c:formatCode>
                <c:ptCount val="8"/>
                <c:pt idx="0">
                  <c:v>267</c:v>
                </c:pt>
                <c:pt idx="1">
                  <c:v>241</c:v>
                </c:pt>
                <c:pt idx="2">
                  <c:v>255</c:v>
                </c:pt>
                <c:pt idx="3">
                  <c:v>277</c:v>
                </c:pt>
                <c:pt idx="4">
                  <c:v>280</c:v>
                </c:pt>
                <c:pt idx="5">
                  <c:v>282</c:v>
                </c:pt>
                <c:pt idx="6">
                  <c:v>387</c:v>
                </c:pt>
                <c:pt idx="7">
                  <c:v>433</c:v>
                </c:pt>
              </c:numCache>
            </c:numRef>
          </c:val>
          <c:smooth val="0"/>
          <c:extLst>
            <c:ext xmlns:c16="http://schemas.microsoft.com/office/drawing/2014/chart" uri="{C3380CC4-5D6E-409C-BE32-E72D297353CC}">
              <c16:uniqueId val="{00000001-74B8-0041-9994-D6A8A6CF83F3}"/>
            </c:ext>
          </c:extLst>
        </c:ser>
        <c:ser>
          <c:idx val="2"/>
          <c:order val="2"/>
          <c:tx>
            <c:strRef>
              <c:f>Sheet1!$D$1</c:f>
              <c:strCache>
                <c:ptCount val="1"/>
                <c:pt idx="0">
                  <c:v>Graduates</c:v>
                </c:pt>
              </c:strCache>
            </c:strRef>
          </c:tx>
          <c:spPr>
            <a:ln w="28575" cap="rnd">
              <a:solidFill>
                <a:schemeClr val="accent3"/>
              </a:solidFill>
              <a:round/>
            </a:ln>
            <a:effectLst/>
          </c:spPr>
          <c:marker>
            <c:symbol val="none"/>
          </c:marker>
          <c:cat>
            <c:numRef>
              <c:f>Sheet1!$A$2:$A$9</c:f>
              <c:numCache>
                <c:formatCode>General</c:formatCode>
                <c:ptCount val="8"/>
                <c:pt idx="0">
                  <c:v>2012</c:v>
                </c:pt>
                <c:pt idx="1">
                  <c:v>2013</c:v>
                </c:pt>
                <c:pt idx="2">
                  <c:v>2014</c:v>
                </c:pt>
                <c:pt idx="3">
                  <c:v>2015</c:v>
                </c:pt>
                <c:pt idx="4">
                  <c:v>2016</c:v>
                </c:pt>
                <c:pt idx="5">
                  <c:v>2017</c:v>
                </c:pt>
                <c:pt idx="6">
                  <c:v>2018</c:v>
                </c:pt>
                <c:pt idx="7">
                  <c:v>2019</c:v>
                </c:pt>
              </c:numCache>
            </c:numRef>
          </c:cat>
          <c:val>
            <c:numRef>
              <c:f>Sheet1!$D$2:$D$9</c:f>
              <c:numCache>
                <c:formatCode>General</c:formatCode>
                <c:ptCount val="8"/>
                <c:pt idx="0">
                  <c:v>120</c:v>
                </c:pt>
                <c:pt idx="1">
                  <c:v>152</c:v>
                </c:pt>
                <c:pt idx="2">
                  <c:v>172</c:v>
                </c:pt>
                <c:pt idx="3">
                  <c:v>172</c:v>
                </c:pt>
                <c:pt idx="4">
                  <c:v>226</c:v>
                </c:pt>
                <c:pt idx="5">
                  <c:v>262</c:v>
                </c:pt>
                <c:pt idx="6">
                  <c:v>310</c:v>
                </c:pt>
              </c:numCache>
            </c:numRef>
          </c:val>
          <c:smooth val="0"/>
          <c:extLst>
            <c:ext xmlns:c16="http://schemas.microsoft.com/office/drawing/2014/chart" uri="{C3380CC4-5D6E-409C-BE32-E72D297353CC}">
              <c16:uniqueId val="{00000002-74B8-0041-9994-D6A8A6CF83F3}"/>
            </c:ext>
          </c:extLst>
        </c:ser>
        <c:dLbls>
          <c:showLegendKey val="0"/>
          <c:showVal val="0"/>
          <c:showCatName val="0"/>
          <c:showSerName val="0"/>
          <c:showPercent val="0"/>
          <c:showBubbleSize val="0"/>
        </c:dLbls>
        <c:smooth val="0"/>
        <c:axId val="1246563583"/>
        <c:axId val="1246227487"/>
      </c:lineChart>
      <c:catAx>
        <c:axId val="12465635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6227487"/>
        <c:crosses val="autoZero"/>
        <c:auto val="1"/>
        <c:lblAlgn val="ctr"/>
        <c:lblOffset val="100"/>
        <c:noMultiLvlLbl val="0"/>
      </c:catAx>
      <c:valAx>
        <c:axId val="12462274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656358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Unemployed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2016</c:v>
                </c:pt>
                <c:pt idx="1">
                  <c:v>2017</c:v>
                </c:pt>
                <c:pt idx="2">
                  <c:v>2018</c:v>
                </c:pt>
                <c:pt idx="3">
                  <c:v>2019</c:v>
                </c:pt>
              </c:numCache>
            </c:numRef>
          </c:cat>
          <c:val>
            <c:numRef>
              <c:f>Sheet1!$B$2:$B$5</c:f>
              <c:numCache>
                <c:formatCode>0%</c:formatCode>
                <c:ptCount val="4"/>
                <c:pt idx="0">
                  <c:v>0.65</c:v>
                </c:pt>
                <c:pt idx="1">
                  <c:v>0.7</c:v>
                </c:pt>
                <c:pt idx="2">
                  <c:v>0.73</c:v>
                </c:pt>
                <c:pt idx="3">
                  <c:v>0.79</c:v>
                </c:pt>
              </c:numCache>
            </c:numRef>
          </c:val>
          <c:extLst>
            <c:ext xmlns:c16="http://schemas.microsoft.com/office/drawing/2014/chart" uri="{C3380CC4-5D6E-409C-BE32-E72D297353CC}">
              <c16:uniqueId val="{00000000-4B05-9043-A519-57B5BEBAFB85}"/>
            </c:ext>
          </c:extLst>
        </c:ser>
        <c:ser>
          <c:idx val="1"/>
          <c:order val="1"/>
          <c:tx>
            <c:strRef>
              <c:f>Sheet1!$C$1</c:f>
              <c:strCache>
                <c:ptCount val="1"/>
                <c:pt idx="0">
                  <c:v>Employed</c:v>
                </c:pt>
              </c:strCache>
            </c:strRef>
          </c:tx>
          <c:spPr>
            <a:solidFill>
              <a:schemeClr val="accent2"/>
            </a:solidFill>
            <a:ln>
              <a:noFill/>
            </a:ln>
            <a:effectLst/>
          </c:spPr>
          <c:invertIfNegative val="0"/>
          <c:cat>
            <c:numRef>
              <c:f>Sheet1!$A$2:$A$5</c:f>
              <c:numCache>
                <c:formatCode>General</c:formatCode>
                <c:ptCount val="4"/>
                <c:pt idx="0">
                  <c:v>2016</c:v>
                </c:pt>
                <c:pt idx="1">
                  <c:v>2017</c:v>
                </c:pt>
                <c:pt idx="2">
                  <c:v>2018</c:v>
                </c:pt>
                <c:pt idx="3">
                  <c:v>2019</c:v>
                </c:pt>
              </c:numCache>
            </c:numRef>
          </c:cat>
          <c:val>
            <c:numRef>
              <c:f>Sheet1!$C$2:$C$5</c:f>
              <c:numCache>
                <c:formatCode>0%</c:formatCode>
                <c:ptCount val="4"/>
                <c:pt idx="0">
                  <c:v>0.35</c:v>
                </c:pt>
                <c:pt idx="1">
                  <c:v>0.3</c:v>
                </c:pt>
                <c:pt idx="2">
                  <c:v>0.27</c:v>
                </c:pt>
                <c:pt idx="3">
                  <c:v>0.21</c:v>
                </c:pt>
              </c:numCache>
            </c:numRef>
          </c:val>
          <c:extLst>
            <c:ext xmlns:c16="http://schemas.microsoft.com/office/drawing/2014/chart" uri="{C3380CC4-5D6E-409C-BE32-E72D297353CC}">
              <c16:uniqueId val="{00000001-4B05-9043-A519-57B5BEBAFB85}"/>
            </c:ext>
          </c:extLst>
        </c:ser>
        <c:dLbls>
          <c:showLegendKey val="0"/>
          <c:showVal val="0"/>
          <c:showCatName val="0"/>
          <c:showSerName val="0"/>
          <c:showPercent val="0"/>
          <c:showBubbleSize val="0"/>
        </c:dLbls>
        <c:gapWidth val="150"/>
        <c:overlap val="100"/>
        <c:axId val="114220687"/>
        <c:axId val="114222367"/>
      </c:barChart>
      <c:catAx>
        <c:axId val="1142206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14222367"/>
        <c:crosses val="autoZero"/>
        <c:auto val="1"/>
        <c:lblAlgn val="ctr"/>
        <c:lblOffset val="100"/>
        <c:noMultiLvlLbl val="0"/>
      </c:catAx>
      <c:valAx>
        <c:axId val="11422236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14220687"/>
        <c:crosses val="autoZero"/>
        <c:crossBetween val="between"/>
      </c:valAx>
      <c:spPr>
        <a:noFill/>
        <a:ln>
          <a:noFill/>
        </a:ln>
        <a:effectLst/>
      </c:spPr>
    </c:plotArea>
    <c:legend>
      <c:legendPos val="b"/>
      <c:layout>
        <c:manualLayout>
          <c:xMode val="edge"/>
          <c:yMode val="edge"/>
          <c:x val="0.24897385723357537"/>
          <c:y val="0.86876302004525652"/>
          <c:w val="0.55951159450030774"/>
          <c:h val="0.1014824547873742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Total Head Contract Limit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317-A040-B97A-4E7A177083B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317-A040-B97A-4E7A177083B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317-A040-B97A-4E7A177083B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317-A040-B97A-4E7A177083B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317-A040-B97A-4E7A177083B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4317-A040-B97A-4E7A177083B8}"/>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4317-A040-B97A-4E7A177083B8}"/>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4317-A040-B97A-4E7A177083B8}"/>
              </c:ext>
            </c:extLst>
          </c:dPt>
          <c:dLbls>
            <c:dLbl>
              <c:idx val="0"/>
              <c:layout>
                <c:manualLayout>
                  <c:x val="2.9085501540568298E-2"/>
                  <c:y val="-4.4836553722096516E-2"/>
                </c:manualLayout>
              </c:layou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4317-A040-B97A-4E7A177083B8}"/>
                </c:ext>
              </c:extLst>
            </c:dLbl>
            <c:dLbl>
              <c:idx val="1"/>
              <c:layout>
                <c:manualLayout>
                  <c:x val="5.9729354482863555E-3"/>
                  <c:y val="-0.13772637289955411"/>
                </c:manualLayout>
              </c:layou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4317-A040-B97A-4E7A177083B8}"/>
                </c:ext>
              </c:extLst>
            </c:dLbl>
            <c:dLbl>
              <c:idx val="2"/>
              <c:layout>
                <c:manualLayout>
                  <c:x val="1.6572112766634728E-2"/>
                  <c:y val="-8.1753705419175537E-2"/>
                </c:manualLayout>
              </c:layou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4317-A040-B97A-4E7A177083B8}"/>
                </c:ext>
              </c:extLst>
            </c:dLbl>
            <c:dLbl>
              <c:idx val="3"/>
              <c:layout>
                <c:manualLayout>
                  <c:x val="7.0010389887391722E-2"/>
                  <c:y val="-0.1087202794503629"/>
                </c:manualLayout>
              </c:layou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4317-A040-B97A-4E7A177083B8}"/>
                </c:ext>
              </c:extLst>
            </c:dLbl>
            <c:dLbl>
              <c:idx val="4"/>
              <c:layout>
                <c:manualLayout>
                  <c:x val="7.4465437869927653E-2"/>
                  <c:y val="-5.2218426740775203E-2"/>
                </c:manualLayout>
              </c:layou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4317-A040-B97A-4E7A177083B8}"/>
                </c:ext>
              </c:extLst>
            </c:dLbl>
            <c:dLbl>
              <c:idx val="5"/>
              <c:layout>
                <c:manualLayout>
                  <c:x val="0.10692528243752139"/>
                  <c:y val="1.792689972601531E-2"/>
                </c:manualLayout>
              </c:layou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B-4317-A040-B97A-4E7A177083B8}"/>
                </c:ext>
              </c:extLst>
            </c:dLbl>
            <c:dLbl>
              <c:idx val="7"/>
              <c:layout>
                <c:manualLayout>
                  <c:x val="-4.5319810567157363E-3"/>
                  <c:y val="-0.35031500655660397"/>
                </c:manualLayout>
              </c:layou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F-4317-A040-B97A-4E7A177083B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Sheet1!$A$2:$A$9</c:f>
              <c:strCache>
                <c:ptCount val="8"/>
                <c:pt idx="0">
                  <c:v>Management Fees</c:v>
                </c:pt>
                <c:pt idx="1">
                  <c:v>Long Term Adviser Costs (ARF)</c:v>
                </c:pt>
                <c:pt idx="2">
                  <c:v>Short Term Adviser Costs (ARF)</c:v>
                </c:pt>
                <c:pt idx="3">
                  <c:v>Long Term Personnel Costs (non-ARF)</c:v>
                </c:pt>
                <c:pt idx="4">
                  <c:v>Short Term Personnel Costs (non-ARF)</c:v>
                </c:pt>
                <c:pt idx="5">
                  <c:v>Adviser Support Costs</c:v>
                </c:pt>
                <c:pt idx="6">
                  <c:v>Operational Costs</c:v>
                </c:pt>
                <c:pt idx="7">
                  <c:v>Program Costs - SfEP</c:v>
                </c:pt>
              </c:strCache>
            </c:strRef>
          </c:cat>
          <c:val>
            <c:numRef>
              <c:f>Sheet1!$B$2:$B$9</c:f>
              <c:numCache>
                <c:formatCode>[$$-C09]#,##0</c:formatCode>
                <c:ptCount val="8"/>
                <c:pt idx="0">
                  <c:v>1959089</c:v>
                </c:pt>
                <c:pt idx="1">
                  <c:v>2023663</c:v>
                </c:pt>
                <c:pt idx="2">
                  <c:v>1415541</c:v>
                </c:pt>
                <c:pt idx="3">
                  <c:v>693354</c:v>
                </c:pt>
                <c:pt idx="4">
                  <c:v>499800</c:v>
                </c:pt>
                <c:pt idx="5">
                  <c:v>923969</c:v>
                </c:pt>
                <c:pt idx="6">
                  <c:v>272917</c:v>
                </c:pt>
                <c:pt idx="7">
                  <c:v>9211666</c:v>
                </c:pt>
              </c:numCache>
            </c:numRef>
          </c:val>
          <c:extLst>
            <c:ext xmlns:c16="http://schemas.microsoft.com/office/drawing/2014/chart" uri="{C3380CC4-5D6E-409C-BE32-E72D297353CC}">
              <c16:uniqueId val="{00000010-4317-A040-B97A-4E7A177083B8}"/>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E2B-BE49-B23B-B9AC886EC24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E2B-BE49-B23B-B9AC886EC24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E2B-BE49-B23B-B9AC886EC24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E2B-BE49-B23B-B9AC886EC24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E2B-BE49-B23B-B9AC886EC24A}"/>
              </c:ext>
            </c:extLst>
          </c:dPt>
          <c:dLbls>
            <c:dLbl>
              <c:idx val="0"/>
              <c:layout>
                <c:manualLayout>
                  <c:x val="0.10752539084788315"/>
                  <c:y val="1.3133891230697317E-2"/>
                </c:manualLayout>
              </c:layou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DE2B-BE49-B23B-B9AC886EC24A}"/>
                </c:ext>
              </c:extLst>
            </c:dLbl>
            <c:dLbl>
              <c:idx val="1"/>
              <c:layout>
                <c:manualLayout>
                  <c:x val="0.10461742553919881"/>
                  <c:y val="7.7800207660264492E-2"/>
                </c:manualLayout>
              </c:layou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DE2B-BE49-B23B-B9AC886EC24A}"/>
                </c:ext>
              </c:extLst>
            </c:dLbl>
            <c:dLbl>
              <c:idx val="2"/>
              <c:layout>
                <c:manualLayout>
                  <c:x val="4.3656852676024101E-2"/>
                  <c:y val="-8.2439010713486291E-2"/>
                </c:manualLayout>
              </c:layou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DE2B-BE49-B23B-B9AC886EC24A}"/>
                </c:ext>
              </c:extLst>
            </c:dLbl>
            <c:dLbl>
              <c:idx val="3"/>
              <c:layout>
                <c:manualLayout>
                  <c:x val="4.7206768990832669E-2"/>
                  <c:y val="1.0492404864894431E-2"/>
                </c:manualLayout>
              </c:layou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DE2B-BE49-B23B-B9AC886EC24A}"/>
                </c:ext>
              </c:extLst>
            </c:dLbl>
            <c:dLbl>
              <c:idx val="4"/>
              <c:layout>
                <c:manualLayout>
                  <c:x val="-6.507241621971166E-2"/>
                  <c:y val="-0.16103345683557563"/>
                </c:manualLayout>
              </c:layou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DE2B-BE49-B23B-B9AC886EC24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Long Term Adviser </c:v>
                </c:pt>
                <c:pt idx="1">
                  <c:v>Short Term Adviser Costs</c:v>
                </c:pt>
                <c:pt idx="2">
                  <c:v>Short Term Personnel (non ARF)</c:v>
                </c:pt>
                <c:pt idx="3">
                  <c:v>Adviser Support Cost</c:v>
                </c:pt>
                <c:pt idx="4">
                  <c:v>Operational and Establishment Costs</c:v>
                </c:pt>
              </c:strCache>
            </c:strRef>
          </c:cat>
          <c:val>
            <c:numRef>
              <c:f>Sheet1!$B$2:$B$6</c:f>
              <c:numCache>
                <c:formatCode>_([$$-409]* #,##0.00_);_([$$-409]* \(#,##0.00\);_([$$-409]* "-"??_);_(@_)</c:formatCode>
                <c:ptCount val="5"/>
                <c:pt idx="0">
                  <c:v>692349.03</c:v>
                </c:pt>
                <c:pt idx="1">
                  <c:v>1008683.89</c:v>
                </c:pt>
                <c:pt idx="2">
                  <c:v>1364302.6836958332</c:v>
                </c:pt>
                <c:pt idx="3">
                  <c:v>646164.52</c:v>
                </c:pt>
                <c:pt idx="4">
                  <c:v>6531153.7700000005</c:v>
                </c:pt>
              </c:numCache>
            </c:numRef>
          </c:val>
          <c:extLst>
            <c:ext xmlns:c16="http://schemas.microsoft.com/office/drawing/2014/chart" uri="{C3380CC4-5D6E-409C-BE32-E72D297353CC}">
              <c16:uniqueId val="{0000000A-DE2B-BE49-B23B-B9AC886EC24A}"/>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1197"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65000"/>
        <a:lumOff val="3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915"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Wei05</b:Tag>
    <b:SourceType>BookSection</b:SourceType>
    <b:Guid>{D21A59EA-C109-7046-B155-DDDCF03B7D28}</b:Guid>
    <b:Author>
      <b:Author>
        <b:NameList>
          <b:Person>
            <b:Last>Weiss</b:Last>
            <b:First>H.</b:First>
            <b:Middle>B., Kreider, H., Mayer, E., Hencke, R., &amp; Vaughan, M. A</b:Middle>
          </b:Person>
        </b:NameList>
      </b:Author>
      <b:BookAuthor>
        <b:NameList>
          <b:Person>
            <b:Last>(Ed.)</b:Last>
            <b:First>T.</b:First>
            <b:Middle>S. Weisner</b:Middle>
          </b:Person>
        </b:NameList>
      </b:BookAuthor>
    </b:Author>
    <b:Title>Working it out: The chronicle of a mixed-methods analysis</b:Title>
    <b:Publisher>University of Chicago Press</b:Publisher>
    <b:City>Chicago</b:City>
    <b:Year>2005</b:Year>
    <b:Pages>47-64</b:Pages>
    <b:BookTitle>Discovering successful pathways in children’s development: Mixed methods in the study of childhood and family life</b:BookTitle>
    <b:RefOrder>1</b:RefOrder>
  </b:Source>
</b:Sources>
</file>

<file path=customXml/itemProps1.xml><?xml version="1.0" encoding="utf-8"?>
<ds:datastoreItem xmlns:ds="http://schemas.openxmlformats.org/officeDocument/2006/customXml" ds:itemID="{16CBBAAD-F0DE-4283-AF9D-DD7AA2D63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18199</Words>
  <Characters>103737</Characters>
  <Application>Microsoft Office Word</Application>
  <DocSecurity>4</DocSecurity>
  <Lines>864</Lines>
  <Paragraphs>243</Paragraphs>
  <ScaleCrop>false</ScaleCrop>
  <Company/>
  <LinksUpToDate>false</LinksUpToDate>
  <CharactersWithSpaces>121693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2020-09-28T01:25:00Z</dcterms:created>
  <dcterms:modified xsi:type="dcterms:W3CDTF">2020-09-28T01:25:00Z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0831b930-e12e-4006-9cdf-6e983a5988d6</vt:lpwstr>
  </property>
  <property fmtid="{D5CDD505-2E9C-101B-9397-08002B2CF9AE}" pid="3" name="SEC">
    <vt:lpwstr>OFFICIAL</vt:lpwstr>
  </property>
</Properties>
</file>