
<file path=[Content_Types].xml><?xml version="1.0" encoding="utf-8"?>
<Types xmlns="http://schemas.openxmlformats.org/package/2006/content-types">
  <Default Extension="png" ContentType="image/png"/>
  <Default Extension="jpeg" ContentType="image/jpe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3303"/>
        <w:gridCol w:w="3303"/>
        <w:gridCol w:w="3304"/>
      </w:tblGrid>
      <w:tr w:rsidR="008434CC" w:rsidRPr="004672B0" w:rsidTr="00065C10">
        <w:tc>
          <w:tcPr>
            <w:tcW w:w="3303" w:type="dxa"/>
          </w:tcPr>
          <w:p w:rsidR="008434CC" w:rsidRPr="004672B0" w:rsidRDefault="004C37E9" w:rsidP="00263570">
            <w:pPr>
              <w:jc w:val="center"/>
              <w:rPr>
                <w:b/>
              </w:rPr>
            </w:pPr>
            <w:bookmarkStart w:id="0" w:name="_GoBack"/>
            <w:bookmarkEnd w:id="0"/>
            <w:r>
              <w:rPr>
                <w:b/>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67.5pt;height:67.5pt;visibility:visible">
                  <v:imagedata r:id="rId8" o:title=""/>
                </v:shape>
              </w:pict>
            </w:r>
          </w:p>
          <w:p w:rsidR="008434CC" w:rsidRPr="004672B0" w:rsidRDefault="008434CC" w:rsidP="00263570">
            <w:pPr>
              <w:jc w:val="center"/>
              <w:rPr>
                <w:b/>
              </w:rPr>
            </w:pPr>
            <w:r w:rsidRPr="004672B0">
              <w:rPr>
                <w:b/>
              </w:rPr>
              <w:t>Ministry of Health and Medical Services, Republic of Kiribati</w:t>
            </w:r>
          </w:p>
          <w:p w:rsidR="008434CC" w:rsidRPr="004672B0" w:rsidRDefault="008434CC" w:rsidP="00263570">
            <w:pPr>
              <w:jc w:val="center"/>
              <w:rPr>
                <w:b/>
              </w:rPr>
            </w:pPr>
          </w:p>
        </w:tc>
        <w:tc>
          <w:tcPr>
            <w:tcW w:w="3303" w:type="dxa"/>
          </w:tcPr>
          <w:p w:rsidR="008434CC" w:rsidRPr="004672B0" w:rsidRDefault="008434CC" w:rsidP="00451761">
            <w:pPr>
              <w:spacing w:before="480"/>
              <w:jc w:val="center"/>
              <w:rPr>
                <w:sz w:val="24"/>
              </w:rPr>
            </w:pPr>
            <w:r w:rsidRPr="004672B0">
              <w:rPr>
                <w:b/>
                <w:sz w:val="24"/>
              </w:rPr>
              <w:t xml:space="preserve">KIRIBATI NATIONAL </w:t>
            </w:r>
            <w:r w:rsidRPr="004672B0">
              <w:rPr>
                <w:b/>
                <w:sz w:val="24"/>
              </w:rPr>
              <w:br/>
              <w:t>TUBERCULOSIS PROGRAM</w:t>
            </w:r>
          </w:p>
        </w:tc>
        <w:tc>
          <w:tcPr>
            <w:tcW w:w="3304" w:type="dxa"/>
          </w:tcPr>
          <w:p w:rsidR="008434CC" w:rsidRPr="004672B0" w:rsidRDefault="004C37E9" w:rsidP="00065C10">
            <w:pPr>
              <w:spacing w:before="360"/>
              <w:jc w:val="center"/>
            </w:pPr>
            <w:r>
              <w:rPr>
                <w:noProof/>
                <w:lang w:val="en-AU" w:eastAsia="en-AU"/>
              </w:rPr>
              <w:pict>
                <v:shape id="Picture 13" o:spid="_x0000_i1026" type="#_x0000_t75" alt="SPC Logo Eng" style="width:128.25pt;height:60pt;visibility:visible">
                  <v:imagedata r:id="rId9" o:title=""/>
                </v:shape>
              </w:pict>
            </w:r>
          </w:p>
        </w:tc>
      </w:tr>
    </w:tbl>
    <w:p w:rsidR="008434CC" w:rsidRPr="00604537" w:rsidRDefault="008434CC" w:rsidP="00B55303">
      <w:pPr>
        <w:rPr>
          <w:sz w:val="32"/>
        </w:rPr>
      </w:pPr>
    </w:p>
    <w:p w:rsidR="008434CC" w:rsidRPr="00604537" w:rsidRDefault="008434CC" w:rsidP="00B55303">
      <w:pPr>
        <w:rPr>
          <w:sz w:val="32"/>
        </w:rPr>
      </w:pPr>
    </w:p>
    <w:p w:rsidR="008434CC" w:rsidRPr="00604537" w:rsidRDefault="008434CC" w:rsidP="00B55303">
      <w:pPr>
        <w:rPr>
          <w:sz w:val="32"/>
        </w:rPr>
      </w:pPr>
    </w:p>
    <w:p w:rsidR="008434CC" w:rsidRPr="00604537" w:rsidRDefault="008434CC" w:rsidP="00B55303">
      <w:pPr>
        <w:rPr>
          <w:sz w:val="32"/>
        </w:rPr>
      </w:pPr>
    </w:p>
    <w:p w:rsidR="008434CC" w:rsidRPr="00B55303" w:rsidRDefault="008434CC" w:rsidP="00B55303">
      <w:pPr>
        <w:jc w:val="center"/>
        <w:rPr>
          <w:b/>
          <w:sz w:val="36"/>
          <w:szCs w:val="36"/>
        </w:rPr>
      </w:pPr>
      <w:r w:rsidRPr="00B55303">
        <w:rPr>
          <w:b/>
          <w:sz w:val="36"/>
          <w:szCs w:val="36"/>
        </w:rPr>
        <w:t xml:space="preserve">TOWARDS </w:t>
      </w:r>
      <w:r>
        <w:rPr>
          <w:b/>
          <w:sz w:val="36"/>
          <w:szCs w:val="36"/>
        </w:rPr>
        <w:t xml:space="preserve">TUBERCULOSIS </w:t>
      </w:r>
      <w:r w:rsidRPr="00B55303">
        <w:rPr>
          <w:b/>
          <w:sz w:val="36"/>
          <w:szCs w:val="36"/>
        </w:rPr>
        <w:t xml:space="preserve">ELIMINATION IN KIRIBATI </w:t>
      </w:r>
    </w:p>
    <w:p w:rsidR="008434CC" w:rsidRPr="00B55303" w:rsidRDefault="008434CC" w:rsidP="00B55303">
      <w:pPr>
        <w:jc w:val="center"/>
        <w:rPr>
          <w:b/>
          <w:sz w:val="32"/>
          <w:szCs w:val="36"/>
        </w:rPr>
      </w:pPr>
      <w:r w:rsidRPr="00B55303">
        <w:rPr>
          <w:b/>
          <w:sz w:val="32"/>
          <w:szCs w:val="36"/>
        </w:rPr>
        <w:t xml:space="preserve">(Revised Project </w:t>
      </w:r>
      <w:r>
        <w:rPr>
          <w:b/>
          <w:sz w:val="32"/>
          <w:szCs w:val="36"/>
        </w:rPr>
        <w:t xml:space="preserve">Design and Funding </w:t>
      </w:r>
      <w:r w:rsidRPr="00B55303">
        <w:rPr>
          <w:b/>
          <w:sz w:val="32"/>
          <w:szCs w:val="36"/>
        </w:rPr>
        <w:t>Proposal)</w:t>
      </w:r>
    </w:p>
    <w:p w:rsidR="008434CC" w:rsidRPr="00604537" w:rsidRDefault="008434CC" w:rsidP="00B55303">
      <w:pPr>
        <w:rPr>
          <w:sz w:val="32"/>
          <w:szCs w:val="36"/>
        </w:rPr>
      </w:pPr>
    </w:p>
    <w:p w:rsidR="008434CC" w:rsidRPr="00604537" w:rsidRDefault="008434CC" w:rsidP="00B55303">
      <w:pPr>
        <w:rPr>
          <w:sz w:val="28"/>
          <w:szCs w:val="32"/>
        </w:rPr>
      </w:pPr>
    </w:p>
    <w:p w:rsidR="008434CC" w:rsidRPr="00604537" w:rsidRDefault="008434CC" w:rsidP="00B55303">
      <w:pPr>
        <w:rPr>
          <w:sz w:val="28"/>
          <w:szCs w:val="32"/>
        </w:rPr>
      </w:pPr>
    </w:p>
    <w:p w:rsidR="008434CC" w:rsidRPr="00604537" w:rsidRDefault="008434CC" w:rsidP="00B55303">
      <w:pPr>
        <w:jc w:val="center"/>
        <w:rPr>
          <w:b/>
          <w:sz w:val="24"/>
        </w:rPr>
      </w:pPr>
      <w:r w:rsidRPr="00604537">
        <w:rPr>
          <w:b/>
          <w:sz w:val="24"/>
        </w:rPr>
        <w:t xml:space="preserve">Jointly developed by </w:t>
      </w:r>
      <w:r w:rsidRPr="00604537">
        <w:rPr>
          <w:b/>
          <w:sz w:val="24"/>
        </w:rPr>
        <w:br/>
        <w:t xml:space="preserve">the National TB Program, Ministry of Health and Medical Services, Kiribati </w:t>
      </w:r>
      <w:r w:rsidRPr="00604537">
        <w:rPr>
          <w:b/>
          <w:sz w:val="24"/>
        </w:rPr>
        <w:br/>
        <w:t xml:space="preserve">and </w:t>
      </w:r>
      <w:r w:rsidRPr="00604537">
        <w:rPr>
          <w:b/>
          <w:sz w:val="24"/>
        </w:rPr>
        <w:br/>
        <w:t>TB Team, Public Health Division, Secretariat of the Pacific Community</w:t>
      </w:r>
    </w:p>
    <w:p w:rsidR="008434CC" w:rsidRPr="00604537" w:rsidRDefault="008434CC" w:rsidP="00604537">
      <w:pPr>
        <w:rPr>
          <w:sz w:val="32"/>
          <w:szCs w:val="32"/>
        </w:rPr>
      </w:pPr>
    </w:p>
    <w:p w:rsidR="008434CC" w:rsidRPr="00604537" w:rsidRDefault="008434CC" w:rsidP="00604537">
      <w:pPr>
        <w:rPr>
          <w:sz w:val="32"/>
          <w:szCs w:val="32"/>
        </w:rPr>
      </w:pPr>
    </w:p>
    <w:p w:rsidR="008434CC" w:rsidRPr="00604537" w:rsidRDefault="008434CC" w:rsidP="00604537">
      <w:pPr>
        <w:rPr>
          <w:sz w:val="32"/>
          <w:szCs w:val="32"/>
        </w:rPr>
      </w:pPr>
    </w:p>
    <w:p w:rsidR="008434CC" w:rsidRPr="00604537" w:rsidRDefault="008434CC" w:rsidP="00604537">
      <w:pPr>
        <w:rPr>
          <w:sz w:val="32"/>
          <w:szCs w:val="32"/>
        </w:rPr>
      </w:pPr>
    </w:p>
    <w:p w:rsidR="008434CC" w:rsidRPr="00604537" w:rsidRDefault="008434CC" w:rsidP="00604537">
      <w:pPr>
        <w:rPr>
          <w:sz w:val="32"/>
          <w:szCs w:val="32"/>
        </w:rPr>
      </w:pPr>
    </w:p>
    <w:p w:rsidR="008434CC" w:rsidRPr="00604537" w:rsidRDefault="008434CC" w:rsidP="00604537">
      <w:pPr>
        <w:rPr>
          <w:sz w:val="32"/>
          <w:szCs w:val="32"/>
        </w:rPr>
      </w:pPr>
    </w:p>
    <w:p w:rsidR="008434CC" w:rsidRPr="00604537" w:rsidRDefault="008434CC" w:rsidP="00604537">
      <w:pPr>
        <w:rPr>
          <w:sz w:val="32"/>
          <w:szCs w:val="32"/>
        </w:rPr>
      </w:pPr>
    </w:p>
    <w:p w:rsidR="008434CC" w:rsidRPr="00604537" w:rsidRDefault="008434CC" w:rsidP="00604537">
      <w:pPr>
        <w:rPr>
          <w:sz w:val="32"/>
          <w:szCs w:val="32"/>
        </w:rPr>
      </w:pPr>
    </w:p>
    <w:p w:rsidR="008434CC" w:rsidRPr="00604537" w:rsidRDefault="008434CC" w:rsidP="008A4F30">
      <w:pPr>
        <w:jc w:val="center"/>
        <w:rPr>
          <w:b/>
          <w:sz w:val="24"/>
        </w:rPr>
      </w:pPr>
      <w:r w:rsidRPr="00F30398">
        <w:rPr>
          <w:b/>
          <w:sz w:val="24"/>
        </w:rPr>
        <w:t>2 August 2012</w:t>
      </w:r>
    </w:p>
    <w:p w:rsidR="008434CC" w:rsidRPr="008F2609" w:rsidRDefault="008434CC" w:rsidP="00037849">
      <w:pPr>
        <w:spacing w:before="480" w:after="180"/>
        <w:rPr>
          <w:rFonts w:ascii="Cambria" w:hAnsi="Cambria"/>
          <w:b/>
          <w:color w:val="365F91"/>
          <w:sz w:val="32"/>
          <w:szCs w:val="32"/>
        </w:rPr>
      </w:pPr>
      <w:r w:rsidRPr="008F2609">
        <w:rPr>
          <w:rFonts w:ascii="Cambria" w:hAnsi="Cambria"/>
          <w:b/>
          <w:color w:val="365F91"/>
          <w:sz w:val="32"/>
          <w:szCs w:val="32"/>
        </w:rPr>
        <w:lastRenderedPageBreak/>
        <w:t>Contents</w:t>
      </w:r>
    </w:p>
    <w:p w:rsidR="008434CC" w:rsidRDefault="008434CC">
      <w:pPr>
        <w:pStyle w:val="TOC1"/>
        <w:rPr>
          <w:b w:val="0"/>
          <w:lang w:val="en-AU" w:eastAsia="en-AU"/>
        </w:rPr>
      </w:pPr>
      <w:r w:rsidRPr="00B929EA">
        <w:fldChar w:fldCharType="begin"/>
      </w:r>
      <w:r w:rsidRPr="00B929EA">
        <w:instrText xml:space="preserve"> TOC \o "1-3" \h \z \u </w:instrText>
      </w:r>
      <w:r w:rsidRPr="00B929EA">
        <w:fldChar w:fldCharType="separate"/>
      </w:r>
      <w:hyperlink w:anchor="_Toc331686061" w:history="1">
        <w:r w:rsidRPr="00605057">
          <w:rPr>
            <w:rStyle w:val="Hyperlink"/>
          </w:rPr>
          <w:t>Acronyms and abbreviations</w:t>
        </w:r>
        <w:r>
          <w:rPr>
            <w:webHidden/>
          </w:rPr>
          <w:tab/>
        </w:r>
        <w:r>
          <w:rPr>
            <w:webHidden/>
          </w:rPr>
          <w:fldChar w:fldCharType="begin"/>
        </w:r>
        <w:r>
          <w:rPr>
            <w:webHidden/>
          </w:rPr>
          <w:instrText xml:space="preserve"> PAGEREF _Toc331686061 \h </w:instrText>
        </w:r>
        <w:r>
          <w:rPr>
            <w:webHidden/>
          </w:rPr>
        </w:r>
        <w:r>
          <w:rPr>
            <w:webHidden/>
          </w:rPr>
          <w:fldChar w:fldCharType="separate"/>
        </w:r>
        <w:r>
          <w:rPr>
            <w:webHidden/>
          </w:rPr>
          <w:t>v</w:t>
        </w:r>
        <w:r>
          <w:rPr>
            <w:webHidden/>
          </w:rPr>
          <w:fldChar w:fldCharType="end"/>
        </w:r>
      </w:hyperlink>
    </w:p>
    <w:p w:rsidR="008434CC" w:rsidRDefault="004C37E9">
      <w:pPr>
        <w:pStyle w:val="TOC1"/>
        <w:rPr>
          <w:b w:val="0"/>
          <w:lang w:val="en-AU" w:eastAsia="en-AU"/>
        </w:rPr>
      </w:pPr>
      <w:hyperlink w:anchor="_Toc331686062" w:history="1">
        <w:r w:rsidR="008434CC" w:rsidRPr="00605057">
          <w:rPr>
            <w:rStyle w:val="Hyperlink"/>
          </w:rPr>
          <w:t>Acknowledgements</w:t>
        </w:r>
        <w:r w:rsidR="008434CC">
          <w:rPr>
            <w:webHidden/>
          </w:rPr>
          <w:tab/>
        </w:r>
        <w:r w:rsidR="008434CC">
          <w:rPr>
            <w:webHidden/>
          </w:rPr>
          <w:fldChar w:fldCharType="begin"/>
        </w:r>
        <w:r w:rsidR="008434CC">
          <w:rPr>
            <w:webHidden/>
          </w:rPr>
          <w:instrText xml:space="preserve"> PAGEREF _Toc331686062 \h </w:instrText>
        </w:r>
        <w:r w:rsidR="008434CC">
          <w:rPr>
            <w:webHidden/>
          </w:rPr>
        </w:r>
        <w:r w:rsidR="008434CC">
          <w:rPr>
            <w:webHidden/>
          </w:rPr>
          <w:fldChar w:fldCharType="separate"/>
        </w:r>
        <w:r w:rsidR="008434CC">
          <w:rPr>
            <w:webHidden/>
          </w:rPr>
          <w:t>vi</w:t>
        </w:r>
        <w:r w:rsidR="008434CC">
          <w:rPr>
            <w:webHidden/>
          </w:rPr>
          <w:fldChar w:fldCharType="end"/>
        </w:r>
      </w:hyperlink>
    </w:p>
    <w:p w:rsidR="008434CC" w:rsidRDefault="004C37E9">
      <w:pPr>
        <w:pStyle w:val="TOC1"/>
        <w:rPr>
          <w:b w:val="0"/>
          <w:lang w:val="en-AU" w:eastAsia="en-AU"/>
        </w:rPr>
      </w:pPr>
      <w:hyperlink w:anchor="_Toc331686063" w:history="1">
        <w:r w:rsidR="008434CC" w:rsidRPr="00605057">
          <w:rPr>
            <w:rStyle w:val="Hyperlink"/>
          </w:rPr>
          <w:t>Project Summary</w:t>
        </w:r>
        <w:r w:rsidR="008434CC">
          <w:rPr>
            <w:webHidden/>
          </w:rPr>
          <w:tab/>
        </w:r>
        <w:r w:rsidR="008434CC">
          <w:rPr>
            <w:webHidden/>
          </w:rPr>
          <w:fldChar w:fldCharType="begin"/>
        </w:r>
        <w:r w:rsidR="008434CC">
          <w:rPr>
            <w:webHidden/>
          </w:rPr>
          <w:instrText xml:space="preserve"> PAGEREF _Toc331686063 \h </w:instrText>
        </w:r>
        <w:r w:rsidR="008434CC">
          <w:rPr>
            <w:webHidden/>
          </w:rPr>
        </w:r>
        <w:r w:rsidR="008434CC">
          <w:rPr>
            <w:webHidden/>
          </w:rPr>
          <w:fldChar w:fldCharType="separate"/>
        </w:r>
        <w:r w:rsidR="008434CC">
          <w:rPr>
            <w:webHidden/>
          </w:rPr>
          <w:t>viii</w:t>
        </w:r>
        <w:r w:rsidR="008434CC">
          <w:rPr>
            <w:webHidden/>
          </w:rPr>
          <w:fldChar w:fldCharType="end"/>
        </w:r>
      </w:hyperlink>
    </w:p>
    <w:p w:rsidR="008434CC" w:rsidRDefault="004C37E9">
      <w:pPr>
        <w:pStyle w:val="TOC1"/>
        <w:rPr>
          <w:b w:val="0"/>
          <w:lang w:val="en-AU" w:eastAsia="en-AU"/>
        </w:rPr>
      </w:pPr>
      <w:hyperlink w:anchor="_Toc331686064" w:history="1">
        <w:r w:rsidR="008434CC" w:rsidRPr="00605057">
          <w:rPr>
            <w:rStyle w:val="Hyperlink"/>
          </w:rPr>
          <w:t>1. Introduction</w:t>
        </w:r>
        <w:r w:rsidR="008434CC">
          <w:rPr>
            <w:webHidden/>
          </w:rPr>
          <w:tab/>
        </w:r>
        <w:r w:rsidR="008434CC">
          <w:rPr>
            <w:webHidden/>
          </w:rPr>
          <w:fldChar w:fldCharType="begin"/>
        </w:r>
        <w:r w:rsidR="008434CC">
          <w:rPr>
            <w:webHidden/>
          </w:rPr>
          <w:instrText xml:space="preserve"> PAGEREF _Toc331686064 \h </w:instrText>
        </w:r>
        <w:r w:rsidR="008434CC">
          <w:rPr>
            <w:webHidden/>
          </w:rPr>
        </w:r>
        <w:r w:rsidR="008434CC">
          <w:rPr>
            <w:webHidden/>
          </w:rPr>
          <w:fldChar w:fldCharType="separate"/>
        </w:r>
        <w:r w:rsidR="008434CC">
          <w:rPr>
            <w:webHidden/>
          </w:rPr>
          <w:t>1</w:t>
        </w:r>
        <w:r w:rsidR="008434CC">
          <w:rPr>
            <w:webHidden/>
          </w:rPr>
          <w:fldChar w:fldCharType="end"/>
        </w:r>
      </w:hyperlink>
    </w:p>
    <w:p w:rsidR="008434CC" w:rsidRDefault="004C37E9">
      <w:pPr>
        <w:pStyle w:val="TOC2"/>
        <w:rPr>
          <w:noProof/>
          <w:lang w:val="en-AU" w:eastAsia="en-AU"/>
        </w:rPr>
      </w:pPr>
      <w:hyperlink w:anchor="_Toc331686065" w:history="1">
        <w:r w:rsidR="008434CC" w:rsidRPr="00605057">
          <w:rPr>
            <w:rStyle w:val="Hyperlink"/>
            <w:noProof/>
          </w:rPr>
          <w:t>1.1 Background and Overview</w:t>
        </w:r>
        <w:r w:rsidR="008434CC">
          <w:rPr>
            <w:noProof/>
            <w:webHidden/>
          </w:rPr>
          <w:tab/>
        </w:r>
        <w:r w:rsidR="008434CC">
          <w:rPr>
            <w:noProof/>
            <w:webHidden/>
          </w:rPr>
          <w:fldChar w:fldCharType="begin"/>
        </w:r>
        <w:r w:rsidR="008434CC">
          <w:rPr>
            <w:noProof/>
            <w:webHidden/>
          </w:rPr>
          <w:instrText xml:space="preserve"> PAGEREF _Toc331686065 \h </w:instrText>
        </w:r>
        <w:r w:rsidR="008434CC">
          <w:rPr>
            <w:noProof/>
            <w:webHidden/>
          </w:rPr>
        </w:r>
        <w:r w:rsidR="008434CC">
          <w:rPr>
            <w:noProof/>
            <w:webHidden/>
          </w:rPr>
          <w:fldChar w:fldCharType="separate"/>
        </w:r>
        <w:r w:rsidR="008434CC">
          <w:rPr>
            <w:noProof/>
            <w:webHidden/>
          </w:rPr>
          <w:t>1</w:t>
        </w:r>
        <w:r w:rsidR="008434CC">
          <w:rPr>
            <w:noProof/>
            <w:webHidden/>
          </w:rPr>
          <w:fldChar w:fldCharType="end"/>
        </w:r>
      </w:hyperlink>
    </w:p>
    <w:p w:rsidR="008434CC" w:rsidRDefault="004C37E9">
      <w:pPr>
        <w:pStyle w:val="TOC3"/>
        <w:rPr>
          <w:noProof/>
          <w:lang w:val="en-AU" w:eastAsia="en-AU"/>
        </w:rPr>
      </w:pPr>
      <w:hyperlink w:anchor="_Toc331686066" w:history="1">
        <w:r w:rsidR="008434CC" w:rsidRPr="00605057">
          <w:rPr>
            <w:rStyle w:val="Hyperlink"/>
            <w:noProof/>
          </w:rPr>
          <w:t>1.1.1 Emergence and Recognition of the Tuberculosis Epidemic in Kiribati</w:t>
        </w:r>
        <w:r w:rsidR="008434CC">
          <w:rPr>
            <w:noProof/>
            <w:webHidden/>
          </w:rPr>
          <w:tab/>
        </w:r>
        <w:r w:rsidR="008434CC">
          <w:rPr>
            <w:noProof/>
            <w:webHidden/>
          </w:rPr>
          <w:fldChar w:fldCharType="begin"/>
        </w:r>
        <w:r w:rsidR="008434CC">
          <w:rPr>
            <w:noProof/>
            <w:webHidden/>
          </w:rPr>
          <w:instrText xml:space="preserve"> PAGEREF _Toc331686066 \h </w:instrText>
        </w:r>
        <w:r w:rsidR="008434CC">
          <w:rPr>
            <w:noProof/>
            <w:webHidden/>
          </w:rPr>
        </w:r>
        <w:r w:rsidR="008434CC">
          <w:rPr>
            <w:noProof/>
            <w:webHidden/>
          </w:rPr>
          <w:fldChar w:fldCharType="separate"/>
        </w:r>
        <w:r w:rsidR="008434CC">
          <w:rPr>
            <w:noProof/>
            <w:webHidden/>
          </w:rPr>
          <w:t>1</w:t>
        </w:r>
        <w:r w:rsidR="008434CC">
          <w:rPr>
            <w:noProof/>
            <w:webHidden/>
          </w:rPr>
          <w:fldChar w:fldCharType="end"/>
        </w:r>
      </w:hyperlink>
    </w:p>
    <w:p w:rsidR="008434CC" w:rsidRDefault="004C37E9">
      <w:pPr>
        <w:pStyle w:val="TOC3"/>
        <w:rPr>
          <w:noProof/>
          <w:lang w:val="en-AU" w:eastAsia="en-AU"/>
        </w:rPr>
      </w:pPr>
      <w:hyperlink w:anchor="_Toc331686067" w:history="1">
        <w:r w:rsidR="008434CC" w:rsidRPr="00605057">
          <w:rPr>
            <w:rStyle w:val="Hyperlink"/>
            <w:noProof/>
          </w:rPr>
          <w:t>1.1.2 Response to the Epidemic</w:t>
        </w:r>
        <w:r w:rsidR="008434CC">
          <w:rPr>
            <w:noProof/>
            <w:webHidden/>
          </w:rPr>
          <w:tab/>
        </w:r>
        <w:r w:rsidR="008434CC">
          <w:rPr>
            <w:noProof/>
            <w:webHidden/>
          </w:rPr>
          <w:fldChar w:fldCharType="begin"/>
        </w:r>
        <w:r w:rsidR="008434CC">
          <w:rPr>
            <w:noProof/>
            <w:webHidden/>
          </w:rPr>
          <w:instrText xml:space="preserve"> PAGEREF _Toc331686067 \h </w:instrText>
        </w:r>
        <w:r w:rsidR="008434CC">
          <w:rPr>
            <w:noProof/>
            <w:webHidden/>
          </w:rPr>
        </w:r>
        <w:r w:rsidR="008434CC">
          <w:rPr>
            <w:noProof/>
            <w:webHidden/>
          </w:rPr>
          <w:fldChar w:fldCharType="separate"/>
        </w:r>
        <w:r w:rsidR="008434CC">
          <w:rPr>
            <w:noProof/>
            <w:webHidden/>
          </w:rPr>
          <w:t>1</w:t>
        </w:r>
        <w:r w:rsidR="008434CC">
          <w:rPr>
            <w:noProof/>
            <w:webHidden/>
          </w:rPr>
          <w:fldChar w:fldCharType="end"/>
        </w:r>
      </w:hyperlink>
    </w:p>
    <w:p w:rsidR="008434CC" w:rsidRDefault="004C37E9">
      <w:pPr>
        <w:pStyle w:val="TOC3"/>
        <w:rPr>
          <w:noProof/>
          <w:lang w:val="en-AU" w:eastAsia="en-AU"/>
        </w:rPr>
      </w:pPr>
      <w:hyperlink w:anchor="_Toc331686068" w:history="1">
        <w:r w:rsidR="008434CC" w:rsidRPr="00605057">
          <w:rPr>
            <w:rStyle w:val="Hyperlink"/>
            <w:noProof/>
          </w:rPr>
          <w:t>1.1.3 Donor Funded Support for the National Tuberculosis Program</w:t>
        </w:r>
        <w:r w:rsidR="008434CC">
          <w:rPr>
            <w:noProof/>
            <w:webHidden/>
          </w:rPr>
          <w:tab/>
        </w:r>
        <w:r w:rsidR="008434CC">
          <w:rPr>
            <w:noProof/>
            <w:webHidden/>
          </w:rPr>
          <w:fldChar w:fldCharType="begin"/>
        </w:r>
        <w:r w:rsidR="008434CC">
          <w:rPr>
            <w:noProof/>
            <w:webHidden/>
          </w:rPr>
          <w:instrText xml:space="preserve"> PAGEREF _Toc331686068 \h </w:instrText>
        </w:r>
        <w:r w:rsidR="008434CC">
          <w:rPr>
            <w:noProof/>
            <w:webHidden/>
          </w:rPr>
        </w:r>
        <w:r w:rsidR="008434CC">
          <w:rPr>
            <w:noProof/>
            <w:webHidden/>
          </w:rPr>
          <w:fldChar w:fldCharType="separate"/>
        </w:r>
        <w:r w:rsidR="008434CC">
          <w:rPr>
            <w:noProof/>
            <w:webHidden/>
          </w:rPr>
          <w:t>2</w:t>
        </w:r>
        <w:r w:rsidR="008434CC">
          <w:rPr>
            <w:noProof/>
            <w:webHidden/>
          </w:rPr>
          <w:fldChar w:fldCharType="end"/>
        </w:r>
      </w:hyperlink>
    </w:p>
    <w:p w:rsidR="008434CC" w:rsidRDefault="004C37E9">
      <w:pPr>
        <w:pStyle w:val="TOC3"/>
        <w:rPr>
          <w:noProof/>
          <w:lang w:val="en-AU" w:eastAsia="en-AU"/>
        </w:rPr>
      </w:pPr>
      <w:hyperlink w:anchor="_Toc331686069" w:history="1">
        <w:r w:rsidR="008434CC" w:rsidRPr="00605057">
          <w:rPr>
            <w:rStyle w:val="Hyperlink"/>
            <w:noProof/>
          </w:rPr>
          <w:t>1.1.4 Vulnerability to Premature Cessation of Donor Support</w:t>
        </w:r>
        <w:r w:rsidR="008434CC">
          <w:rPr>
            <w:noProof/>
            <w:webHidden/>
          </w:rPr>
          <w:tab/>
        </w:r>
        <w:r w:rsidR="008434CC">
          <w:rPr>
            <w:noProof/>
            <w:webHidden/>
          </w:rPr>
          <w:fldChar w:fldCharType="begin"/>
        </w:r>
        <w:r w:rsidR="008434CC">
          <w:rPr>
            <w:noProof/>
            <w:webHidden/>
          </w:rPr>
          <w:instrText xml:space="preserve"> PAGEREF _Toc331686069 \h </w:instrText>
        </w:r>
        <w:r w:rsidR="008434CC">
          <w:rPr>
            <w:noProof/>
            <w:webHidden/>
          </w:rPr>
        </w:r>
        <w:r w:rsidR="008434CC">
          <w:rPr>
            <w:noProof/>
            <w:webHidden/>
          </w:rPr>
          <w:fldChar w:fldCharType="separate"/>
        </w:r>
        <w:r w:rsidR="008434CC">
          <w:rPr>
            <w:noProof/>
            <w:webHidden/>
          </w:rPr>
          <w:t>2</w:t>
        </w:r>
        <w:r w:rsidR="008434CC">
          <w:rPr>
            <w:noProof/>
            <w:webHidden/>
          </w:rPr>
          <w:fldChar w:fldCharType="end"/>
        </w:r>
      </w:hyperlink>
    </w:p>
    <w:p w:rsidR="008434CC" w:rsidRDefault="004C37E9">
      <w:pPr>
        <w:pStyle w:val="TOC3"/>
        <w:rPr>
          <w:noProof/>
          <w:lang w:val="en-AU" w:eastAsia="en-AU"/>
        </w:rPr>
      </w:pPr>
      <w:hyperlink w:anchor="_Toc331686070" w:history="1">
        <w:r w:rsidR="008434CC" w:rsidRPr="00605057">
          <w:rPr>
            <w:rStyle w:val="Hyperlink"/>
            <w:noProof/>
          </w:rPr>
          <w:t>1.1.5 Development of a New Proposal for Donor Support</w:t>
        </w:r>
        <w:r w:rsidR="008434CC">
          <w:rPr>
            <w:noProof/>
            <w:webHidden/>
          </w:rPr>
          <w:tab/>
        </w:r>
        <w:r w:rsidR="008434CC">
          <w:rPr>
            <w:noProof/>
            <w:webHidden/>
          </w:rPr>
          <w:fldChar w:fldCharType="begin"/>
        </w:r>
        <w:r w:rsidR="008434CC">
          <w:rPr>
            <w:noProof/>
            <w:webHidden/>
          </w:rPr>
          <w:instrText xml:space="preserve"> PAGEREF _Toc331686070 \h </w:instrText>
        </w:r>
        <w:r w:rsidR="008434CC">
          <w:rPr>
            <w:noProof/>
            <w:webHidden/>
          </w:rPr>
        </w:r>
        <w:r w:rsidR="008434CC">
          <w:rPr>
            <w:noProof/>
            <w:webHidden/>
          </w:rPr>
          <w:fldChar w:fldCharType="separate"/>
        </w:r>
        <w:r w:rsidR="008434CC">
          <w:rPr>
            <w:noProof/>
            <w:webHidden/>
          </w:rPr>
          <w:t>3</w:t>
        </w:r>
        <w:r w:rsidR="008434CC">
          <w:rPr>
            <w:noProof/>
            <w:webHidden/>
          </w:rPr>
          <w:fldChar w:fldCharType="end"/>
        </w:r>
      </w:hyperlink>
    </w:p>
    <w:p w:rsidR="008434CC" w:rsidRDefault="004C37E9">
      <w:pPr>
        <w:pStyle w:val="TOC2"/>
        <w:rPr>
          <w:noProof/>
          <w:lang w:val="en-AU" w:eastAsia="en-AU"/>
        </w:rPr>
      </w:pPr>
      <w:hyperlink w:anchor="_Toc331686071" w:history="1">
        <w:r w:rsidR="008434CC" w:rsidRPr="00605057">
          <w:rPr>
            <w:rStyle w:val="Hyperlink"/>
            <w:noProof/>
          </w:rPr>
          <w:t>1.2 Purpose</w:t>
        </w:r>
        <w:r w:rsidR="008434CC">
          <w:rPr>
            <w:noProof/>
            <w:webHidden/>
          </w:rPr>
          <w:tab/>
        </w:r>
        <w:r w:rsidR="008434CC">
          <w:rPr>
            <w:noProof/>
            <w:webHidden/>
          </w:rPr>
          <w:fldChar w:fldCharType="begin"/>
        </w:r>
        <w:r w:rsidR="008434CC">
          <w:rPr>
            <w:noProof/>
            <w:webHidden/>
          </w:rPr>
          <w:instrText xml:space="preserve"> PAGEREF _Toc331686071 \h </w:instrText>
        </w:r>
        <w:r w:rsidR="008434CC">
          <w:rPr>
            <w:noProof/>
            <w:webHidden/>
          </w:rPr>
        </w:r>
        <w:r w:rsidR="008434CC">
          <w:rPr>
            <w:noProof/>
            <w:webHidden/>
          </w:rPr>
          <w:fldChar w:fldCharType="separate"/>
        </w:r>
        <w:r w:rsidR="008434CC">
          <w:rPr>
            <w:noProof/>
            <w:webHidden/>
          </w:rPr>
          <w:t>3</w:t>
        </w:r>
        <w:r w:rsidR="008434CC">
          <w:rPr>
            <w:noProof/>
            <w:webHidden/>
          </w:rPr>
          <w:fldChar w:fldCharType="end"/>
        </w:r>
      </w:hyperlink>
    </w:p>
    <w:p w:rsidR="008434CC" w:rsidRDefault="004C37E9">
      <w:pPr>
        <w:pStyle w:val="TOC3"/>
        <w:rPr>
          <w:noProof/>
          <w:lang w:val="en-AU" w:eastAsia="en-AU"/>
        </w:rPr>
      </w:pPr>
      <w:hyperlink w:anchor="_Toc331686072" w:history="1">
        <w:r w:rsidR="008434CC" w:rsidRPr="00605057">
          <w:rPr>
            <w:rStyle w:val="Hyperlink"/>
            <w:noProof/>
          </w:rPr>
          <w:t>1.2.1 Design Revision and Country Consultation</w:t>
        </w:r>
        <w:r w:rsidR="008434CC">
          <w:rPr>
            <w:noProof/>
            <w:webHidden/>
          </w:rPr>
          <w:tab/>
        </w:r>
        <w:r w:rsidR="008434CC">
          <w:rPr>
            <w:noProof/>
            <w:webHidden/>
          </w:rPr>
          <w:fldChar w:fldCharType="begin"/>
        </w:r>
        <w:r w:rsidR="008434CC">
          <w:rPr>
            <w:noProof/>
            <w:webHidden/>
          </w:rPr>
          <w:instrText xml:space="preserve"> PAGEREF _Toc331686072 \h </w:instrText>
        </w:r>
        <w:r w:rsidR="008434CC">
          <w:rPr>
            <w:noProof/>
            <w:webHidden/>
          </w:rPr>
        </w:r>
        <w:r w:rsidR="008434CC">
          <w:rPr>
            <w:noProof/>
            <w:webHidden/>
          </w:rPr>
          <w:fldChar w:fldCharType="separate"/>
        </w:r>
        <w:r w:rsidR="008434CC">
          <w:rPr>
            <w:noProof/>
            <w:webHidden/>
          </w:rPr>
          <w:t>3</w:t>
        </w:r>
        <w:r w:rsidR="008434CC">
          <w:rPr>
            <w:noProof/>
            <w:webHidden/>
          </w:rPr>
          <w:fldChar w:fldCharType="end"/>
        </w:r>
      </w:hyperlink>
    </w:p>
    <w:p w:rsidR="008434CC" w:rsidRDefault="004C37E9">
      <w:pPr>
        <w:pStyle w:val="TOC3"/>
        <w:rPr>
          <w:noProof/>
          <w:lang w:val="en-AU" w:eastAsia="en-AU"/>
        </w:rPr>
      </w:pPr>
      <w:hyperlink w:anchor="_Toc331686073" w:history="1">
        <w:r w:rsidR="008434CC" w:rsidRPr="00605057">
          <w:rPr>
            <w:rStyle w:val="Hyperlink"/>
            <w:noProof/>
          </w:rPr>
          <w:t>1.2.2 Alignment with the Kiribati National Tuberculosis Strategic Plan</w:t>
        </w:r>
        <w:r w:rsidR="008434CC">
          <w:rPr>
            <w:noProof/>
            <w:webHidden/>
          </w:rPr>
          <w:tab/>
        </w:r>
        <w:r w:rsidR="008434CC">
          <w:rPr>
            <w:noProof/>
            <w:webHidden/>
          </w:rPr>
          <w:fldChar w:fldCharType="begin"/>
        </w:r>
        <w:r w:rsidR="008434CC">
          <w:rPr>
            <w:noProof/>
            <w:webHidden/>
          </w:rPr>
          <w:instrText xml:space="preserve"> PAGEREF _Toc331686073 \h </w:instrText>
        </w:r>
        <w:r w:rsidR="008434CC">
          <w:rPr>
            <w:noProof/>
            <w:webHidden/>
          </w:rPr>
        </w:r>
        <w:r w:rsidR="008434CC">
          <w:rPr>
            <w:noProof/>
            <w:webHidden/>
          </w:rPr>
          <w:fldChar w:fldCharType="separate"/>
        </w:r>
        <w:r w:rsidR="008434CC">
          <w:rPr>
            <w:noProof/>
            <w:webHidden/>
          </w:rPr>
          <w:t>3</w:t>
        </w:r>
        <w:r w:rsidR="008434CC">
          <w:rPr>
            <w:noProof/>
            <w:webHidden/>
          </w:rPr>
          <w:fldChar w:fldCharType="end"/>
        </w:r>
      </w:hyperlink>
    </w:p>
    <w:p w:rsidR="008434CC" w:rsidRDefault="004C37E9">
      <w:pPr>
        <w:pStyle w:val="TOC1"/>
        <w:rPr>
          <w:b w:val="0"/>
          <w:lang w:val="en-AU" w:eastAsia="en-AU"/>
        </w:rPr>
      </w:pPr>
      <w:hyperlink w:anchor="_Toc331686074" w:history="1">
        <w:r w:rsidR="008434CC" w:rsidRPr="00605057">
          <w:rPr>
            <w:rStyle w:val="Hyperlink"/>
          </w:rPr>
          <w:t>2. The Tuberculosis Epidemic in Kiribati</w:t>
        </w:r>
        <w:r w:rsidR="008434CC">
          <w:rPr>
            <w:webHidden/>
          </w:rPr>
          <w:tab/>
        </w:r>
        <w:r w:rsidR="008434CC">
          <w:rPr>
            <w:webHidden/>
          </w:rPr>
          <w:fldChar w:fldCharType="begin"/>
        </w:r>
        <w:r w:rsidR="008434CC">
          <w:rPr>
            <w:webHidden/>
          </w:rPr>
          <w:instrText xml:space="preserve"> PAGEREF _Toc331686074 \h </w:instrText>
        </w:r>
        <w:r w:rsidR="008434CC">
          <w:rPr>
            <w:webHidden/>
          </w:rPr>
        </w:r>
        <w:r w:rsidR="008434CC">
          <w:rPr>
            <w:webHidden/>
          </w:rPr>
          <w:fldChar w:fldCharType="separate"/>
        </w:r>
        <w:r w:rsidR="008434CC">
          <w:rPr>
            <w:webHidden/>
          </w:rPr>
          <w:t>4</w:t>
        </w:r>
        <w:r w:rsidR="008434CC">
          <w:rPr>
            <w:webHidden/>
          </w:rPr>
          <w:fldChar w:fldCharType="end"/>
        </w:r>
      </w:hyperlink>
    </w:p>
    <w:p w:rsidR="008434CC" w:rsidRDefault="004C37E9">
      <w:pPr>
        <w:pStyle w:val="TOC2"/>
        <w:rPr>
          <w:noProof/>
          <w:lang w:val="en-AU" w:eastAsia="en-AU"/>
        </w:rPr>
      </w:pPr>
      <w:hyperlink w:anchor="_Toc331686075" w:history="1">
        <w:r w:rsidR="008434CC" w:rsidRPr="00605057">
          <w:rPr>
            <w:rStyle w:val="Hyperlink"/>
            <w:noProof/>
          </w:rPr>
          <w:t>2.1 Regional Context</w:t>
        </w:r>
        <w:r w:rsidR="008434CC">
          <w:rPr>
            <w:noProof/>
            <w:webHidden/>
          </w:rPr>
          <w:tab/>
        </w:r>
        <w:r w:rsidR="008434CC">
          <w:rPr>
            <w:noProof/>
            <w:webHidden/>
          </w:rPr>
          <w:fldChar w:fldCharType="begin"/>
        </w:r>
        <w:r w:rsidR="008434CC">
          <w:rPr>
            <w:noProof/>
            <w:webHidden/>
          </w:rPr>
          <w:instrText xml:space="preserve"> PAGEREF _Toc331686075 \h </w:instrText>
        </w:r>
        <w:r w:rsidR="008434CC">
          <w:rPr>
            <w:noProof/>
            <w:webHidden/>
          </w:rPr>
        </w:r>
        <w:r w:rsidR="008434CC">
          <w:rPr>
            <w:noProof/>
            <w:webHidden/>
          </w:rPr>
          <w:fldChar w:fldCharType="separate"/>
        </w:r>
        <w:r w:rsidR="008434CC">
          <w:rPr>
            <w:noProof/>
            <w:webHidden/>
          </w:rPr>
          <w:t>4</w:t>
        </w:r>
        <w:r w:rsidR="008434CC">
          <w:rPr>
            <w:noProof/>
            <w:webHidden/>
          </w:rPr>
          <w:fldChar w:fldCharType="end"/>
        </w:r>
      </w:hyperlink>
    </w:p>
    <w:p w:rsidR="008434CC" w:rsidRDefault="004C37E9">
      <w:pPr>
        <w:pStyle w:val="TOC2"/>
        <w:rPr>
          <w:noProof/>
          <w:lang w:val="en-AU" w:eastAsia="en-AU"/>
        </w:rPr>
      </w:pPr>
      <w:hyperlink w:anchor="_Toc331686076" w:history="1">
        <w:r w:rsidR="008434CC" w:rsidRPr="00605057">
          <w:rPr>
            <w:rStyle w:val="Hyperlink"/>
            <w:noProof/>
          </w:rPr>
          <w:t>2.2 Epidemiological Trends, 2000–2010</w:t>
        </w:r>
        <w:r w:rsidR="008434CC">
          <w:rPr>
            <w:noProof/>
            <w:webHidden/>
          </w:rPr>
          <w:tab/>
        </w:r>
        <w:r w:rsidR="008434CC">
          <w:rPr>
            <w:noProof/>
            <w:webHidden/>
          </w:rPr>
          <w:fldChar w:fldCharType="begin"/>
        </w:r>
        <w:r w:rsidR="008434CC">
          <w:rPr>
            <w:noProof/>
            <w:webHidden/>
          </w:rPr>
          <w:instrText xml:space="preserve"> PAGEREF _Toc331686076 \h </w:instrText>
        </w:r>
        <w:r w:rsidR="008434CC">
          <w:rPr>
            <w:noProof/>
            <w:webHidden/>
          </w:rPr>
        </w:r>
        <w:r w:rsidR="008434CC">
          <w:rPr>
            <w:noProof/>
            <w:webHidden/>
          </w:rPr>
          <w:fldChar w:fldCharType="separate"/>
        </w:r>
        <w:r w:rsidR="008434CC">
          <w:rPr>
            <w:noProof/>
            <w:webHidden/>
          </w:rPr>
          <w:t>4</w:t>
        </w:r>
        <w:r w:rsidR="008434CC">
          <w:rPr>
            <w:noProof/>
            <w:webHidden/>
          </w:rPr>
          <w:fldChar w:fldCharType="end"/>
        </w:r>
      </w:hyperlink>
    </w:p>
    <w:p w:rsidR="008434CC" w:rsidRDefault="004C37E9">
      <w:pPr>
        <w:pStyle w:val="TOC2"/>
        <w:rPr>
          <w:noProof/>
          <w:lang w:val="en-AU" w:eastAsia="en-AU"/>
        </w:rPr>
      </w:pPr>
      <w:hyperlink w:anchor="_Toc331686077" w:history="1">
        <w:r w:rsidR="008434CC" w:rsidRPr="00605057">
          <w:rPr>
            <w:rStyle w:val="Hyperlink"/>
            <w:noProof/>
          </w:rPr>
          <w:t>2.3 Social Determinants of Health, Hot Spot Communities and Risk</w:t>
        </w:r>
        <w:r w:rsidR="008434CC">
          <w:rPr>
            <w:noProof/>
            <w:webHidden/>
          </w:rPr>
          <w:tab/>
        </w:r>
        <w:r w:rsidR="008434CC">
          <w:rPr>
            <w:noProof/>
            <w:webHidden/>
          </w:rPr>
          <w:fldChar w:fldCharType="begin"/>
        </w:r>
        <w:r w:rsidR="008434CC">
          <w:rPr>
            <w:noProof/>
            <w:webHidden/>
          </w:rPr>
          <w:instrText xml:space="preserve"> PAGEREF _Toc331686077 \h </w:instrText>
        </w:r>
        <w:r w:rsidR="008434CC">
          <w:rPr>
            <w:noProof/>
            <w:webHidden/>
          </w:rPr>
        </w:r>
        <w:r w:rsidR="008434CC">
          <w:rPr>
            <w:noProof/>
            <w:webHidden/>
          </w:rPr>
          <w:fldChar w:fldCharType="separate"/>
        </w:r>
        <w:r w:rsidR="008434CC">
          <w:rPr>
            <w:noProof/>
            <w:webHidden/>
          </w:rPr>
          <w:t>8</w:t>
        </w:r>
        <w:r w:rsidR="008434CC">
          <w:rPr>
            <w:noProof/>
            <w:webHidden/>
          </w:rPr>
          <w:fldChar w:fldCharType="end"/>
        </w:r>
      </w:hyperlink>
    </w:p>
    <w:p w:rsidR="008434CC" w:rsidRDefault="004C37E9">
      <w:pPr>
        <w:pStyle w:val="TOC3"/>
        <w:rPr>
          <w:noProof/>
          <w:lang w:val="en-AU" w:eastAsia="en-AU"/>
        </w:rPr>
      </w:pPr>
      <w:hyperlink w:anchor="_Toc331686078" w:history="1">
        <w:r w:rsidR="008434CC" w:rsidRPr="00605057">
          <w:rPr>
            <w:rStyle w:val="Hyperlink"/>
            <w:noProof/>
          </w:rPr>
          <w:t>2.3.1 South Tarawa</w:t>
        </w:r>
        <w:r w:rsidR="008434CC">
          <w:rPr>
            <w:noProof/>
            <w:webHidden/>
          </w:rPr>
          <w:tab/>
        </w:r>
        <w:r w:rsidR="008434CC">
          <w:rPr>
            <w:noProof/>
            <w:webHidden/>
          </w:rPr>
          <w:fldChar w:fldCharType="begin"/>
        </w:r>
        <w:r w:rsidR="008434CC">
          <w:rPr>
            <w:noProof/>
            <w:webHidden/>
          </w:rPr>
          <w:instrText xml:space="preserve"> PAGEREF _Toc331686078 \h </w:instrText>
        </w:r>
        <w:r w:rsidR="008434CC">
          <w:rPr>
            <w:noProof/>
            <w:webHidden/>
          </w:rPr>
        </w:r>
        <w:r w:rsidR="008434CC">
          <w:rPr>
            <w:noProof/>
            <w:webHidden/>
          </w:rPr>
          <w:fldChar w:fldCharType="separate"/>
        </w:r>
        <w:r w:rsidR="008434CC">
          <w:rPr>
            <w:noProof/>
            <w:webHidden/>
          </w:rPr>
          <w:t>8</w:t>
        </w:r>
        <w:r w:rsidR="008434CC">
          <w:rPr>
            <w:noProof/>
            <w:webHidden/>
          </w:rPr>
          <w:fldChar w:fldCharType="end"/>
        </w:r>
      </w:hyperlink>
    </w:p>
    <w:p w:rsidR="008434CC" w:rsidRDefault="004C37E9">
      <w:pPr>
        <w:pStyle w:val="TOC3"/>
        <w:rPr>
          <w:noProof/>
          <w:lang w:val="en-AU" w:eastAsia="en-AU"/>
        </w:rPr>
      </w:pPr>
      <w:hyperlink w:anchor="_Toc331686079" w:history="1">
        <w:r w:rsidR="008434CC" w:rsidRPr="00605057">
          <w:rPr>
            <w:rStyle w:val="Hyperlink"/>
            <w:noProof/>
          </w:rPr>
          <w:t>2.3.2 Outer Islands</w:t>
        </w:r>
        <w:r w:rsidR="008434CC">
          <w:rPr>
            <w:noProof/>
            <w:webHidden/>
          </w:rPr>
          <w:tab/>
        </w:r>
        <w:r w:rsidR="008434CC">
          <w:rPr>
            <w:noProof/>
            <w:webHidden/>
          </w:rPr>
          <w:fldChar w:fldCharType="begin"/>
        </w:r>
        <w:r w:rsidR="008434CC">
          <w:rPr>
            <w:noProof/>
            <w:webHidden/>
          </w:rPr>
          <w:instrText xml:space="preserve"> PAGEREF _Toc331686079 \h </w:instrText>
        </w:r>
        <w:r w:rsidR="008434CC">
          <w:rPr>
            <w:noProof/>
            <w:webHidden/>
          </w:rPr>
        </w:r>
        <w:r w:rsidR="008434CC">
          <w:rPr>
            <w:noProof/>
            <w:webHidden/>
          </w:rPr>
          <w:fldChar w:fldCharType="separate"/>
        </w:r>
        <w:r w:rsidR="008434CC">
          <w:rPr>
            <w:noProof/>
            <w:webHidden/>
          </w:rPr>
          <w:t>9</w:t>
        </w:r>
        <w:r w:rsidR="008434CC">
          <w:rPr>
            <w:noProof/>
            <w:webHidden/>
          </w:rPr>
          <w:fldChar w:fldCharType="end"/>
        </w:r>
      </w:hyperlink>
    </w:p>
    <w:p w:rsidR="008434CC" w:rsidRDefault="004C37E9">
      <w:pPr>
        <w:pStyle w:val="TOC3"/>
        <w:rPr>
          <w:noProof/>
          <w:lang w:val="en-AU" w:eastAsia="en-AU"/>
        </w:rPr>
      </w:pPr>
      <w:hyperlink w:anchor="_Toc331686080" w:history="1">
        <w:r w:rsidR="008434CC" w:rsidRPr="00605057">
          <w:rPr>
            <w:rStyle w:val="Hyperlink"/>
            <w:noProof/>
          </w:rPr>
          <w:t>2.3.3 Co-Morbidities and Other Risk Factors</w:t>
        </w:r>
        <w:r w:rsidR="008434CC">
          <w:rPr>
            <w:noProof/>
            <w:webHidden/>
          </w:rPr>
          <w:tab/>
        </w:r>
        <w:r w:rsidR="008434CC">
          <w:rPr>
            <w:noProof/>
            <w:webHidden/>
          </w:rPr>
          <w:fldChar w:fldCharType="begin"/>
        </w:r>
        <w:r w:rsidR="008434CC">
          <w:rPr>
            <w:noProof/>
            <w:webHidden/>
          </w:rPr>
          <w:instrText xml:space="preserve"> PAGEREF _Toc331686080 \h </w:instrText>
        </w:r>
        <w:r w:rsidR="008434CC">
          <w:rPr>
            <w:noProof/>
            <w:webHidden/>
          </w:rPr>
        </w:r>
        <w:r w:rsidR="008434CC">
          <w:rPr>
            <w:noProof/>
            <w:webHidden/>
          </w:rPr>
          <w:fldChar w:fldCharType="separate"/>
        </w:r>
        <w:r w:rsidR="008434CC">
          <w:rPr>
            <w:noProof/>
            <w:webHidden/>
          </w:rPr>
          <w:t>10</w:t>
        </w:r>
        <w:r w:rsidR="008434CC">
          <w:rPr>
            <w:noProof/>
            <w:webHidden/>
          </w:rPr>
          <w:fldChar w:fldCharType="end"/>
        </w:r>
      </w:hyperlink>
    </w:p>
    <w:p w:rsidR="008434CC" w:rsidRDefault="004C37E9">
      <w:pPr>
        <w:pStyle w:val="TOC1"/>
        <w:rPr>
          <w:b w:val="0"/>
          <w:lang w:val="en-AU" w:eastAsia="en-AU"/>
        </w:rPr>
      </w:pPr>
      <w:hyperlink w:anchor="_Toc331686081" w:history="1">
        <w:r w:rsidR="008434CC" w:rsidRPr="00605057">
          <w:rPr>
            <w:rStyle w:val="Hyperlink"/>
          </w:rPr>
          <w:t>3. Development Context, Policies and Alignment</w:t>
        </w:r>
        <w:r w:rsidR="008434CC">
          <w:rPr>
            <w:webHidden/>
          </w:rPr>
          <w:tab/>
        </w:r>
        <w:r w:rsidR="008434CC">
          <w:rPr>
            <w:webHidden/>
          </w:rPr>
          <w:fldChar w:fldCharType="begin"/>
        </w:r>
        <w:r w:rsidR="008434CC">
          <w:rPr>
            <w:webHidden/>
          </w:rPr>
          <w:instrText xml:space="preserve"> PAGEREF _Toc331686081 \h </w:instrText>
        </w:r>
        <w:r w:rsidR="008434CC">
          <w:rPr>
            <w:webHidden/>
          </w:rPr>
        </w:r>
        <w:r w:rsidR="008434CC">
          <w:rPr>
            <w:webHidden/>
          </w:rPr>
          <w:fldChar w:fldCharType="separate"/>
        </w:r>
        <w:r w:rsidR="008434CC">
          <w:rPr>
            <w:webHidden/>
          </w:rPr>
          <w:t>11</w:t>
        </w:r>
        <w:r w:rsidR="008434CC">
          <w:rPr>
            <w:webHidden/>
          </w:rPr>
          <w:fldChar w:fldCharType="end"/>
        </w:r>
      </w:hyperlink>
    </w:p>
    <w:p w:rsidR="008434CC" w:rsidRDefault="004C37E9">
      <w:pPr>
        <w:pStyle w:val="TOC2"/>
        <w:rPr>
          <w:noProof/>
          <w:lang w:val="en-AU" w:eastAsia="en-AU"/>
        </w:rPr>
      </w:pPr>
      <w:hyperlink w:anchor="_Toc331686082" w:history="1">
        <w:r w:rsidR="008434CC" w:rsidRPr="00605057">
          <w:rPr>
            <w:rStyle w:val="Hyperlink"/>
            <w:noProof/>
          </w:rPr>
          <w:t>3.1 Kiribati Development Plan and National Health Strategy</w:t>
        </w:r>
        <w:r w:rsidR="008434CC">
          <w:rPr>
            <w:noProof/>
            <w:webHidden/>
          </w:rPr>
          <w:tab/>
        </w:r>
        <w:r w:rsidR="008434CC">
          <w:rPr>
            <w:noProof/>
            <w:webHidden/>
          </w:rPr>
          <w:fldChar w:fldCharType="begin"/>
        </w:r>
        <w:r w:rsidR="008434CC">
          <w:rPr>
            <w:noProof/>
            <w:webHidden/>
          </w:rPr>
          <w:instrText xml:space="preserve"> PAGEREF _Toc331686082 \h </w:instrText>
        </w:r>
        <w:r w:rsidR="008434CC">
          <w:rPr>
            <w:noProof/>
            <w:webHidden/>
          </w:rPr>
        </w:r>
        <w:r w:rsidR="008434CC">
          <w:rPr>
            <w:noProof/>
            <w:webHidden/>
          </w:rPr>
          <w:fldChar w:fldCharType="separate"/>
        </w:r>
        <w:r w:rsidR="008434CC">
          <w:rPr>
            <w:noProof/>
            <w:webHidden/>
          </w:rPr>
          <w:t>11</w:t>
        </w:r>
        <w:r w:rsidR="008434CC">
          <w:rPr>
            <w:noProof/>
            <w:webHidden/>
          </w:rPr>
          <w:fldChar w:fldCharType="end"/>
        </w:r>
      </w:hyperlink>
    </w:p>
    <w:p w:rsidR="008434CC" w:rsidRDefault="004C37E9">
      <w:pPr>
        <w:pStyle w:val="TOC2"/>
        <w:rPr>
          <w:noProof/>
          <w:lang w:val="en-AU" w:eastAsia="en-AU"/>
        </w:rPr>
      </w:pPr>
      <w:hyperlink w:anchor="_Toc331686083" w:history="1">
        <w:r w:rsidR="008434CC" w:rsidRPr="00605057">
          <w:rPr>
            <w:rStyle w:val="Hyperlink"/>
            <w:noProof/>
          </w:rPr>
          <w:t>3.2 AusAID Priorities and Policies</w:t>
        </w:r>
        <w:r w:rsidR="008434CC">
          <w:rPr>
            <w:noProof/>
            <w:webHidden/>
          </w:rPr>
          <w:tab/>
        </w:r>
        <w:r w:rsidR="008434CC">
          <w:rPr>
            <w:noProof/>
            <w:webHidden/>
          </w:rPr>
          <w:fldChar w:fldCharType="begin"/>
        </w:r>
        <w:r w:rsidR="008434CC">
          <w:rPr>
            <w:noProof/>
            <w:webHidden/>
          </w:rPr>
          <w:instrText xml:space="preserve"> PAGEREF _Toc331686083 \h </w:instrText>
        </w:r>
        <w:r w:rsidR="008434CC">
          <w:rPr>
            <w:noProof/>
            <w:webHidden/>
          </w:rPr>
        </w:r>
        <w:r w:rsidR="008434CC">
          <w:rPr>
            <w:noProof/>
            <w:webHidden/>
          </w:rPr>
          <w:fldChar w:fldCharType="separate"/>
        </w:r>
        <w:r w:rsidR="008434CC">
          <w:rPr>
            <w:noProof/>
            <w:webHidden/>
          </w:rPr>
          <w:t>11</w:t>
        </w:r>
        <w:r w:rsidR="008434CC">
          <w:rPr>
            <w:noProof/>
            <w:webHidden/>
          </w:rPr>
          <w:fldChar w:fldCharType="end"/>
        </w:r>
      </w:hyperlink>
    </w:p>
    <w:p w:rsidR="008434CC" w:rsidRDefault="004C37E9">
      <w:pPr>
        <w:pStyle w:val="TOC3"/>
        <w:rPr>
          <w:noProof/>
          <w:lang w:val="en-AU" w:eastAsia="en-AU"/>
        </w:rPr>
      </w:pPr>
      <w:hyperlink w:anchor="_Toc331686084" w:history="1">
        <w:r w:rsidR="008434CC" w:rsidRPr="00605057">
          <w:rPr>
            <w:rStyle w:val="Hyperlink"/>
            <w:noProof/>
          </w:rPr>
          <w:t>3.2.1 Partnership for Development</w:t>
        </w:r>
        <w:r w:rsidR="008434CC">
          <w:rPr>
            <w:noProof/>
            <w:webHidden/>
          </w:rPr>
          <w:tab/>
        </w:r>
        <w:r w:rsidR="008434CC">
          <w:rPr>
            <w:noProof/>
            <w:webHidden/>
          </w:rPr>
          <w:fldChar w:fldCharType="begin"/>
        </w:r>
        <w:r w:rsidR="008434CC">
          <w:rPr>
            <w:noProof/>
            <w:webHidden/>
          </w:rPr>
          <w:instrText xml:space="preserve"> PAGEREF _Toc331686084 \h </w:instrText>
        </w:r>
        <w:r w:rsidR="008434CC">
          <w:rPr>
            <w:noProof/>
            <w:webHidden/>
          </w:rPr>
        </w:r>
        <w:r w:rsidR="008434CC">
          <w:rPr>
            <w:noProof/>
            <w:webHidden/>
          </w:rPr>
          <w:fldChar w:fldCharType="separate"/>
        </w:r>
        <w:r w:rsidR="008434CC">
          <w:rPr>
            <w:noProof/>
            <w:webHidden/>
          </w:rPr>
          <w:t>11</w:t>
        </w:r>
        <w:r w:rsidR="008434CC">
          <w:rPr>
            <w:noProof/>
            <w:webHidden/>
          </w:rPr>
          <w:fldChar w:fldCharType="end"/>
        </w:r>
      </w:hyperlink>
    </w:p>
    <w:p w:rsidR="008434CC" w:rsidRDefault="004C37E9">
      <w:pPr>
        <w:pStyle w:val="TOC3"/>
        <w:rPr>
          <w:noProof/>
          <w:lang w:val="en-AU" w:eastAsia="en-AU"/>
        </w:rPr>
      </w:pPr>
      <w:hyperlink w:anchor="_Toc331686085" w:history="1">
        <w:r w:rsidR="008434CC" w:rsidRPr="00605057">
          <w:rPr>
            <w:rStyle w:val="Hyperlink"/>
            <w:noProof/>
          </w:rPr>
          <w:t>3.2.2 Central AusAID Policies</w:t>
        </w:r>
        <w:r w:rsidR="008434CC">
          <w:rPr>
            <w:noProof/>
            <w:webHidden/>
          </w:rPr>
          <w:tab/>
        </w:r>
        <w:r w:rsidR="008434CC">
          <w:rPr>
            <w:noProof/>
            <w:webHidden/>
          </w:rPr>
          <w:fldChar w:fldCharType="begin"/>
        </w:r>
        <w:r w:rsidR="008434CC">
          <w:rPr>
            <w:noProof/>
            <w:webHidden/>
          </w:rPr>
          <w:instrText xml:space="preserve"> PAGEREF _Toc331686085 \h </w:instrText>
        </w:r>
        <w:r w:rsidR="008434CC">
          <w:rPr>
            <w:noProof/>
            <w:webHidden/>
          </w:rPr>
        </w:r>
        <w:r w:rsidR="008434CC">
          <w:rPr>
            <w:noProof/>
            <w:webHidden/>
          </w:rPr>
          <w:fldChar w:fldCharType="separate"/>
        </w:r>
        <w:r w:rsidR="008434CC">
          <w:rPr>
            <w:noProof/>
            <w:webHidden/>
          </w:rPr>
          <w:t>12</w:t>
        </w:r>
        <w:r w:rsidR="008434CC">
          <w:rPr>
            <w:noProof/>
            <w:webHidden/>
          </w:rPr>
          <w:fldChar w:fldCharType="end"/>
        </w:r>
      </w:hyperlink>
    </w:p>
    <w:p w:rsidR="008434CC" w:rsidRDefault="004C37E9">
      <w:pPr>
        <w:pStyle w:val="TOC2"/>
        <w:rPr>
          <w:noProof/>
          <w:lang w:val="en-AU" w:eastAsia="en-AU"/>
        </w:rPr>
      </w:pPr>
      <w:hyperlink w:anchor="_Toc331686086" w:history="1">
        <w:r w:rsidR="008434CC" w:rsidRPr="00605057">
          <w:rPr>
            <w:rStyle w:val="Hyperlink"/>
            <w:noProof/>
          </w:rPr>
          <w:t>3.3 The New Kiribati National TB Strategic Plan</w:t>
        </w:r>
        <w:r w:rsidR="008434CC">
          <w:rPr>
            <w:noProof/>
            <w:webHidden/>
          </w:rPr>
          <w:tab/>
        </w:r>
        <w:r w:rsidR="008434CC">
          <w:rPr>
            <w:noProof/>
            <w:webHidden/>
          </w:rPr>
          <w:fldChar w:fldCharType="begin"/>
        </w:r>
        <w:r w:rsidR="008434CC">
          <w:rPr>
            <w:noProof/>
            <w:webHidden/>
          </w:rPr>
          <w:instrText xml:space="preserve"> PAGEREF _Toc331686086 \h </w:instrText>
        </w:r>
        <w:r w:rsidR="008434CC">
          <w:rPr>
            <w:noProof/>
            <w:webHidden/>
          </w:rPr>
        </w:r>
        <w:r w:rsidR="008434CC">
          <w:rPr>
            <w:noProof/>
            <w:webHidden/>
          </w:rPr>
          <w:fldChar w:fldCharType="separate"/>
        </w:r>
        <w:r w:rsidR="008434CC">
          <w:rPr>
            <w:noProof/>
            <w:webHidden/>
          </w:rPr>
          <w:t>12</w:t>
        </w:r>
        <w:r w:rsidR="008434CC">
          <w:rPr>
            <w:noProof/>
            <w:webHidden/>
          </w:rPr>
          <w:fldChar w:fldCharType="end"/>
        </w:r>
      </w:hyperlink>
    </w:p>
    <w:p w:rsidR="008434CC" w:rsidRDefault="004C37E9">
      <w:pPr>
        <w:pStyle w:val="TOC2"/>
        <w:rPr>
          <w:noProof/>
          <w:lang w:val="en-AU" w:eastAsia="en-AU"/>
        </w:rPr>
      </w:pPr>
      <w:hyperlink w:anchor="_Toc331686087" w:history="1">
        <w:r w:rsidR="008434CC" w:rsidRPr="00605057">
          <w:rPr>
            <w:rStyle w:val="Hyperlink"/>
            <w:noProof/>
          </w:rPr>
          <w:t>3.4 Alignment with Global and Regional Strategies and Targets</w:t>
        </w:r>
        <w:r w:rsidR="008434CC">
          <w:rPr>
            <w:noProof/>
            <w:webHidden/>
          </w:rPr>
          <w:tab/>
        </w:r>
        <w:r w:rsidR="008434CC">
          <w:rPr>
            <w:noProof/>
            <w:webHidden/>
          </w:rPr>
          <w:fldChar w:fldCharType="begin"/>
        </w:r>
        <w:r w:rsidR="008434CC">
          <w:rPr>
            <w:noProof/>
            <w:webHidden/>
          </w:rPr>
          <w:instrText xml:space="preserve"> PAGEREF _Toc331686087 \h </w:instrText>
        </w:r>
        <w:r w:rsidR="008434CC">
          <w:rPr>
            <w:noProof/>
            <w:webHidden/>
          </w:rPr>
        </w:r>
        <w:r w:rsidR="008434CC">
          <w:rPr>
            <w:noProof/>
            <w:webHidden/>
          </w:rPr>
          <w:fldChar w:fldCharType="separate"/>
        </w:r>
        <w:r w:rsidR="008434CC">
          <w:rPr>
            <w:noProof/>
            <w:webHidden/>
          </w:rPr>
          <w:t>14</w:t>
        </w:r>
        <w:r w:rsidR="008434CC">
          <w:rPr>
            <w:noProof/>
            <w:webHidden/>
          </w:rPr>
          <w:fldChar w:fldCharType="end"/>
        </w:r>
      </w:hyperlink>
    </w:p>
    <w:p w:rsidR="008434CC" w:rsidRDefault="004C37E9">
      <w:pPr>
        <w:pStyle w:val="TOC2"/>
        <w:rPr>
          <w:noProof/>
          <w:lang w:val="en-AU" w:eastAsia="en-AU"/>
        </w:rPr>
      </w:pPr>
      <w:hyperlink w:anchor="_Toc331686088" w:history="1">
        <w:r w:rsidR="008434CC" w:rsidRPr="00605057">
          <w:rPr>
            <w:rStyle w:val="Hyperlink"/>
            <w:noProof/>
          </w:rPr>
          <w:t>3.5 Alignment with SPC Strategies</w:t>
        </w:r>
        <w:r w:rsidR="008434CC">
          <w:rPr>
            <w:noProof/>
            <w:webHidden/>
          </w:rPr>
          <w:tab/>
        </w:r>
        <w:r w:rsidR="008434CC">
          <w:rPr>
            <w:noProof/>
            <w:webHidden/>
          </w:rPr>
          <w:fldChar w:fldCharType="begin"/>
        </w:r>
        <w:r w:rsidR="008434CC">
          <w:rPr>
            <w:noProof/>
            <w:webHidden/>
          </w:rPr>
          <w:instrText xml:space="preserve"> PAGEREF _Toc331686088 \h </w:instrText>
        </w:r>
        <w:r w:rsidR="008434CC">
          <w:rPr>
            <w:noProof/>
            <w:webHidden/>
          </w:rPr>
        </w:r>
        <w:r w:rsidR="008434CC">
          <w:rPr>
            <w:noProof/>
            <w:webHidden/>
          </w:rPr>
          <w:fldChar w:fldCharType="separate"/>
        </w:r>
        <w:r w:rsidR="008434CC">
          <w:rPr>
            <w:noProof/>
            <w:webHidden/>
          </w:rPr>
          <w:t>15</w:t>
        </w:r>
        <w:r w:rsidR="008434CC">
          <w:rPr>
            <w:noProof/>
            <w:webHidden/>
          </w:rPr>
          <w:fldChar w:fldCharType="end"/>
        </w:r>
      </w:hyperlink>
    </w:p>
    <w:p w:rsidR="008434CC" w:rsidRDefault="004C37E9">
      <w:pPr>
        <w:pStyle w:val="TOC1"/>
        <w:rPr>
          <w:b w:val="0"/>
          <w:lang w:val="en-AU" w:eastAsia="en-AU"/>
        </w:rPr>
      </w:pPr>
      <w:hyperlink w:anchor="_Toc331686089" w:history="1">
        <w:r w:rsidR="008434CC" w:rsidRPr="00605057">
          <w:rPr>
            <w:rStyle w:val="Hyperlink"/>
          </w:rPr>
          <w:t>4. Lessons Learned from QTBECP</w:t>
        </w:r>
        <w:r w:rsidR="008434CC">
          <w:rPr>
            <w:webHidden/>
          </w:rPr>
          <w:tab/>
        </w:r>
        <w:r w:rsidR="008434CC">
          <w:rPr>
            <w:webHidden/>
          </w:rPr>
          <w:fldChar w:fldCharType="begin"/>
        </w:r>
        <w:r w:rsidR="008434CC">
          <w:rPr>
            <w:webHidden/>
          </w:rPr>
          <w:instrText xml:space="preserve"> PAGEREF _Toc331686089 \h </w:instrText>
        </w:r>
        <w:r w:rsidR="008434CC">
          <w:rPr>
            <w:webHidden/>
          </w:rPr>
        </w:r>
        <w:r w:rsidR="008434CC">
          <w:rPr>
            <w:webHidden/>
          </w:rPr>
          <w:fldChar w:fldCharType="separate"/>
        </w:r>
        <w:r w:rsidR="008434CC">
          <w:rPr>
            <w:webHidden/>
          </w:rPr>
          <w:t>17</w:t>
        </w:r>
        <w:r w:rsidR="008434CC">
          <w:rPr>
            <w:webHidden/>
          </w:rPr>
          <w:fldChar w:fldCharType="end"/>
        </w:r>
      </w:hyperlink>
    </w:p>
    <w:p w:rsidR="008434CC" w:rsidRDefault="004C37E9">
      <w:pPr>
        <w:pStyle w:val="TOC2"/>
        <w:rPr>
          <w:noProof/>
          <w:lang w:val="en-AU" w:eastAsia="en-AU"/>
        </w:rPr>
      </w:pPr>
      <w:hyperlink w:anchor="_Toc331686090" w:history="1">
        <w:r w:rsidR="008434CC" w:rsidRPr="00605057">
          <w:rPr>
            <w:rStyle w:val="Hyperlink"/>
            <w:noProof/>
          </w:rPr>
          <w:t>4.1 Impact of the Project</w:t>
        </w:r>
        <w:r w:rsidR="008434CC">
          <w:rPr>
            <w:noProof/>
            <w:webHidden/>
          </w:rPr>
          <w:tab/>
        </w:r>
        <w:r w:rsidR="008434CC">
          <w:rPr>
            <w:noProof/>
            <w:webHidden/>
          </w:rPr>
          <w:fldChar w:fldCharType="begin"/>
        </w:r>
        <w:r w:rsidR="008434CC">
          <w:rPr>
            <w:noProof/>
            <w:webHidden/>
          </w:rPr>
          <w:instrText xml:space="preserve"> PAGEREF _Toc331686090 \h </w:instrText>
        </w:r>
        <w:r w:rsidR="008434CC">
          <w:rPr>
            <w:noProof/>
            <w:webHidden/>
          </w:rPr>
        </w:r>
        <w:r w:rsidR="008434CC">
          <w:rPr>
            <w:noProof/>
            <w:webHidden/>
          </w:rPr>
          <w:fldChar w:fldCharType="separate"/>
        </w:r>
        <w:r w:rsidR="008434CC">
          <w:rPr>
            <w:noProof/>
            <w:webHidden/>
          </w:rPr>
          <w:t>17</w:t>
        </w:r>
        <w:r w:rsidR="008434CC">
          <w:rPr>
            <w:noProof/>
            <w:webHidden/>
          </w:rPr>
          <w:fldChar w:fldCharType="end"/>
        </w:r>
      </w:hyperlink>
    </w:p>
    <w:p w:rsidR="008434CC" w:rsidRDefault="004C37E9">
      <w:pPr>
        <w:pStyle w:val="TOC2"/>
        <w:rPr>
          <w:noProof/>
          <w:lang w:val="en-AU" w:eastAsia="en-AU"/>
        </w:rPr>
      </w:pPr>
      <w:hyperlink w:anchor="_Toc331686091" w:history="1">
        <w:r w:rsidR="008434CC" w:rsidRPr="00605057">
          <w:rPr>
            <w:rStyle w:val="Hyperlink"/>
            <w:noProof/>
          </w:rPr>
          <w:t>4.2 Enhanced Quality and Capacity of NTP Activities</w:t>
        </w:r>
        <w:r w:rsidR="008434CC">
          <w:rPr>
            <w:noProof/>
            <w:webHidden/>
          </w:rPr>
          <w:tab/>
        </w:r>
        <w:r w:rsidR="008434CC">
          <w:rPr>
            <w:noProof/>
            <w:webHidden/>
          </w:rPr>
          <w:fldChar w:fldCharType="begin"/>
        </w:r>
        <w:r w:rsidR="008434CC">
          <w:rPr>
            <w:noProof/>
            <w:webHidden/>
          </w:rPr>
          <w:instrText xml:space="preserve"> PAGEREF _Toc331686091 \h </w:instrText>
        </w:r>
        <w:r w:rsidR="008434CC">
          <w:rPr>
            <w:noProof/>
            <w:webHidden/>
          </w:rPr>
        </w:r>
        <w:r w:rsidR="008434CC">
          <w:rPr>
            <w:noProof/>
            <w:webHidden/>
          </w:rPr>
          <w:fldChar w:fldCharType="separate"/>
        </w:r>
        <w:r w:rsidR="008434CC">
          <w:rPr>
            <w:noProof/>
            <w:webHidden/>
          </w:rPr>
          <w:t>17</w:t>
        </w:r>
        <w:r w:rsidR="008434CC">
          <w:rPr>
            <w:noProof/>
            <w:webHidden/>
          </w:rPr>
          <w:fldChar w:fldCharType="end"/>
        </w:r>
      </w:hyperlink>
    </w:p>
    <w:p w:rsidR="008434CC" w:rsidRDefault="004C37E9">
      <w:pPr>
        <w:pStyle w:val="TOC2"/>
        <w:rPr>
          <w:noProof/>
          <w:lang w:val="en-AU" w:eastAsia="en-AU"/>
        </w:rPr>
      </w:pPr>
      <w:hyperlink w:anchor="_Toc331686092" w:history="1">
        <w:r w:rsidR="008434CC" w:rsidRPr="00605057">
          <w:rPr>
            <w:rStyle w:val="Hyperlink"/>
            <w:noProof/>
          </w:rPr>
          <w:t>4.3 High-Risk Communities in South Tarawa</w:t>
        </w:r>
        <w:r w:rsidR="008434CC">
          <w:rPr>
            <w:noProof/>
            <w:webHidden/>
          </w:rPr>
          <w:tab/>
        </w:r>
        <w:r w:rsidR="008434CC">
          <w:rPr>
            <w:noProof/>
            <w:webHidden/>
          </w:rPr>
          <w:fldChar w:fldCharType="begin"/>
        </w:r>
        <w:r w:rsidR="008434CC">
          <w:rPr>
            <w:noProof/>
            <w:webHidden/>
          </w:rPr>
          <w:instrText xml:space="preserve"> PAGEREF _Toc331686092 \h </w:instrText>
        </w:r>
        <w:r w:rsidR="008434CC">
          <w:rPr>
            <w:noProof/>
            <w:webHidden/>
          </w:rPr>
        </w:r>
        <w:r w:rsidR="008434CC">
          <w:rPr>
            <w:noProof/>
            <w:webHidden/>
          </w:rPr>
          <w:fldChar w:fldCharType="separate"/>
        </w:r>
        <w:r w:rsidR="008434CC">
          <w:rPr>
            <w:noProof/>
            <w:webHidden/>
          </w:rPr>
          <w:t>18</w:t>
        </w:r>
        <w:r w:rsidR="008434CC">
          <w:rPr>
            <w:noProof/>
            <w:webHidden/>
          </w:rPr>
          <w:fldChar w:fldCharType="end"/>
        </w:r>
      </w:hyperlink>
    </w:p>
    <w:p w:rsidR="008434CC" w:rsidRDefault="004C37E9">
      <w:pPr>
        <w:pStyle w:val="TOC2"/>
        <w:rPr>
          <w:noProof/>
          <w:lang w:val="en-AU" w:eastAsia="en-AU"/>
        </w:rPr>
      </w:pPr>
      <w:hyperlink w:anchor="_Toc331686093" w:history="1">
        <w:r w:rsidR="008434CC" w:rsidRPr="00605057">
          <w:rPr>
            <w:rStyle w:val="Hyperlink"/>
            <w:noProof/>
          </w:rPr>
          <w:t>4.4 Expanded DOTS Coverage to Outer Islands</w:t>
        </w:r>
        <w:r w:rsidR="008434CC">
          <w:rPr>
            <w:noProof/>
            <w:webHidden/>
          </w:rPr>
          <w:tab/>
        </w:r>
        <w:r w:rsidR="008434CC">
          <w:rPr>
            <w:noProof/>
            <w:webHidden/>
          </w:rPr>
          <w:fldChar w:fldCharType="begin"/>
        </w:r>
        <w:r w:rsidR="008434CC">
          <w:rPr>
            <w:noProof/>
            <w:webHidden/>
          </w:rPr>
          <w:instrText xml:space="preserve"> PAGEREF _Toc331686093 \h </w:instrText>
        </w:r>
        <w:r w:rsidR="008434CC">
          <w:rPr>
            <w:noProof/>
            <w:webHidden/>
          </w:rPr>
        </w:r>
        <w:r w:rsidR="008434CC">
          <w:rPr>
            <w:noProof/>
            <w:webHidden/>
          </w:rPr>
          <w:fldChar w:fldCharType="separate"/>
        </w:r>
        <w:r w:rsidR="008434CC">
          <w:rPr>
            <w:noProof/>
            <w:webHidden/>
          </w:rPr>
          <w:t>18</w:t>
        </w:r>
        <w:r w:rsidR="008434CC">
          <w:rPr>
            <w:noProof/>
            <w:webHidden/>
          </w:rPr>
          <w:fldChar w:fldCharType="end"/>
        </w:r>
      </w:hyperlink>
    </w:p>
    <w:p w:rsidR="008434CC" w:rsidRDefault="004C37E9">
      <w:pPr>
        <w:pStyle w:val="TOC2"/>
        <w:rPr>
          <w:noProof/>
          <w:lang w:val="en-AU" w:eastAsia="en-AU"/>
        </w:rPr>
      </w:pPr>
      <w:hyperlink w:anchor="_Toc331686094" w:history="1">
        <w:r w:rsidR="008434CC" w:rsidRPr="00605057">
          <w:rPr>
            <w:rStyle w:val="Hyperlink"/>
            <w:noProof/>
          </w:rPr>
          <w:t>4.5 Co-Morbidities and Inter-Program Linkages</w:t>
        </w:r>
        <w:r w:rsidR="008434CC">
          <w:rPr>
            <w:noProof/>
            <w:webHidden/>
          </w:rPr>
          <w:tab/>
        </w:r>
        <w:r w:rsidR="008434CC">
          <w:rPr>
            <w:noProof/>
            <w:webHidden/>
          </w:rPr>
          <w:fldChar w:fldCharType="begin"/>
        </w:r>
        <w:r w:rsidR="008434CC">
          <w:rPr>
            <w:noProof/>
            <w:webHidden/>
          </w:rPr>
          <w:instrText xml:space="preserve"> PAGEREF _Toc331686094 \h </w:instrText>
        </w:r>
        <w:r w:rsidR="008434CC">
          <w:rPr>
            <w:noProof/>
            <w:webHidden/>
          </w:rPr>
        </w:r>
        <w:r w:rsidR="008434CC">
          <w:rPr>
            <w:noProof/>
            <w:webHidden/>
          </w:rPr>
          <w:fldChar w:fldCharType="separate"/>
        </w:r>
        <w:r w:rsidR="008434CC">
          <w:rPr>
            <w:noProof/>
            <w:webHidden/>
          </w:rPr>
          <w:t>19</w:t>
        </w:r>
        <w:r w:rsidR="008434CC">
          <w:rPr>
            <w:noProof/>
            <w:webHidden/>
          </w:rPr>
          <w:fldChar w:fldCharType="end"/>
        </w:r>
      </w:hyperlink>
    </w:p>
    <w:p w:rsidR="008434CC" w:rsidRDefault="004C37E9">
      <w:pPr>
        <w:pStyle w:val="TOC2"/>
        <w:rPr>
          <w:noProof/>
          <w:lang w:val="en-AU" w:eastAsia="en-AU"/>
        </w:rPr>
      </w:pPr>
      <w:hyperlink w:anchor="_Toc331686095" w:history="1">
        <w:r w:rsidR="008434CC" w:rsidRPr="00605057">
          <w:rPr>
            <w:rStyle w:val="Hyperlink"/>
            <w:noProof/>
          </w:rPr>
          <w:t>4.6 Development Effectiveness</w:t>
        </w:r>
        <w:r w:rsidR="008434CC">
          <w:rPr>
            <w:noProof/>
            <w:webHidden/>
          </w:rPr>
          <w:tab/>
        </w:r>
        <w:r w:rsidR="008434CC">
          <w:rPr>
            <w:noProof/>
            <w:webHidden/>
          </w:rPr>
          <w:fldChar w:fldCharType="begin"/>
        </w:r>
        <w:r w:rsidR="008434CC">
          <w:rPr>
            <w:noProof/>
            <w:webHidden/>
          </w:rPr>
          <w:instrText xml:space="preserve"> PAGEREF _Toc331686095 \h </w:instrText>
        </w:r>
        <w:r w:rsidR="008434CC">
          <w:rPr>
            <w:noProof/>
            <w:webHidden/>
          </w:rPr>
        </w:r>
        <w:r w:rsidR="008434CC">
          <w:rPr>
            <w:noProof/>
            <w:webHidden/>
          </w:rPr>
          <w:fldChar w:fldCharType="separate"/>
        </w:r>
        <w:r w:rsidR="008434CC">
          <w:rPr>
            <w:noProof/>
            <w:webHidden/>
          </w:rPr>
          <w:t>19</w:t>
        </w:r>
        <w:r w:rsidR="008434CC">
          <w:rPr>
            <w:noProof/>
            <w:webHidden/>
          </w:rPr>
          <w:fldChar w:fldCharType="end"/>
        </w:r>
      </w:hyperlink>
    </w:p>
    <w:p w:rsidR="008434CC" w:rsidRDefault="004C37E9">
      <w:pPr>
        <w:pStyle w:val="TOC2"/>
        <w:rPr>
          <w:noProof/>
          <w:lang w:val="en-AU" w:eastAsia="en-AU"/>
        </w:rPr>
      </w:pPr>
      <w:hyperlink w:anchor="_Toc331686096" w:history="1">
        <w:r w:rsidR="008434CC" w:rsidRPr="00605057">
          <w:rPr>
            <w:rStyle w:val="Hyperlink"/>
            <w:noProof/>
          </w:rPr>
          <w:t>4.7 Conclusions</w:t>
        </w:r>
        <w:r w:rsidR="008434CC">
          <w:rPr>
            <w:noProof/>
            <w:webHidden/>
          </w:rPr>
          <w:tab/>
        </w:r>
        <w:r w:rsidR="008434CC">
          <w:rPr>
            <w:noProof/>
            <w:webHidden/>
          </w:rPr>
          <w:fldChar w:fldCharType="begin"/>
        </w:r>
        <w:r w:rsidR="008434CC">
          <w:rPr>
            <w:noProof/>
            <w:webHidden/>
          </w:rPr>
          <w:instrText xml:space="preserve"> PAGEREF _Toc331686096 \h </w:instrText>
        </w:r>
        <w:r w:rsidR="008434CC">
          <w:rPr>
            <w:noProof/>
            <w:webHidden/>
          </w:rPr>
        </w:r>
        <w:r w:rsidR="008434CC">
          <w:rPr>
            <w:noProof/>
            <w:webHidden/>
          </w:rPr>
          <w:fldChar w:fldCharType="separate"/>
        </w:r>
        <w:r w:rsidR="008434CC">
          <w:rPr>
            <w:noProof/>
            <w:webHidden/>
          </w:rPr>
          <w:t>19</w:t>
        </w:r>
        <w:r w:rsidR="008434CC">
          <w:rPr>
            <w:noProof/>
            <w:webHidden/>
          </w:rPr>
          <w:fldChar w:fldCharType="end"/>
        </w:r>
      </w:hyperlink>
    </w:p>
    <w:p w:rsidR="008434CC" w:rsidRDefault="004C37E9">
      <w:pPr>
        <w:pStyle w:val="TOC1"/>
        <w:rPr>
          <w:b w:val="0"/>
          <w:lang w:val="en-AU" w:eastAsia="en-AU"/>
        </w:rPr>
      </w:pPr>
      <w:hyperlink w:anchor="_Toc331686097" w:history="1">
        <w:r w:rsidR="008434CC" w:rsidRPr="00605057">
          <w:rPr>
            <w:rStyle w:val="Hyperlink"/>
          </w:rPr>
          <w:t>5. Project Design and Theory of Change</w:t>
        </w:r>
        <w:r w:rsidR="008434CC">
          <w:rPr>
            <w:webHidden/>
          </w:rPr>
          <w:tab/>
        </w:r>
        <w:r w:rsidR="008434CC">
          <w:rPr>
            <w:webHidden/>
          </w:rPr>
          <w:fldChar w:fldCharType="begin"/>
        </w:r>
        <w:r w:rsidR="008434CC">
          <w:rPr>
            <w:webHidden/>
          </w:rPr>
          <w:instrText xml:space="preserve"> PAGEREF _Toc331686097 \h </w:instrText>
        </w:r>
        <w:r w:rsidR="008434CC">
          <w:rPr>
            <w:webHidden/>
          </w:rPr>
        </w:r>
        <w:r w:rsidR="008434CC">
          <w:rPr>
            <w:webHidden/>
          </w:rPr>
          <w:fldChar w:fldCharType="separate"/>
        </w:r>
        <w:r w:rsidR="008434CC">
          <w:rPr>
            <w:webHidden/>
          </w:rPr>
          <w:t>20</w:t>
        </w:r>
        <w:r w:rsidR="008434CC">
          <w:rPr>
            <w:webHidden/>
          </w:rPr>
          <w:fldChar w:fldCharType="end"/>
        </w:r>
      </w:hyperlink>
    </w:p>
    <w:p w:rsidR="008434CC" w:rsidRDefault="004C37E9">
      <w:pPr>
        <w:pStyle w:val="TOC2"/>
        <w:rPr>
          <w:noProof/>
          <w:lang w:val="en-AU" w:eastAsia="en-AU"/>
        </w:rPr>
      </w:pPr>
      <w:hyperlink w:anchor="_Toc331686098" w:history="1">
        <w:r w:rsidR="008434CC" w:rsidRPr="00605057">
          <w:rPr>
            <w:rStyle w:val="Hyperlink"/>
            <w:noProof/>
          </w:rPr>
          <w:t>5.1 Structure and Program Logic</w:t>
        </w:r>
        <w:r w:rsidR="008434CC">
          <w:rPr>
            <w:noProof/>
            <w:webHidden/>
          </w:rPr>
          <w:tab/>
        </w:r>
        <w:r w:rsidR="008434CC">
          <w:rPr>
            <w:noProof/>
            <w:webHidden/>
          </w:rPr>
          <w:fldChar w:fldCharType="begin"/>
        </w:r>
        <w:r w:rsidR="008434CC">
          <w:rPr>
            <w:noProof/>
            <w:webHidden/>
          </w:rPr>
          <w:instrText xml:space="preserve"> PAGEREF _Toc331686098 \h </w:instrText>
        </w:r>
        <w:r w:rsidR="008434CC">
          <w:rPr>
            <w:noProof/>
            <w:webHidden/>
          </w:rPr>
        </w:r>
        <w:r w:rsidR="008434CC">
          <w:rPr>
            <w:noProof/>
            <w:webHidden/>
          </w:rPr>
          <w:fldChar w:fldCharType="separate"/>
        </w:r>
        <w:r w:rsidR="008434CC">
          <w:rPr>
            <w:noProof/>
            <w:webHidden/>
          </w:rPr>
          <w:t>20</w:t>
        </w:r>
        <w:r w:rsidR="008434CC">
          <w:rPr>
            <w:noProof/>
            <w:webHidden/>
          </w:rPr>
          <w:fldChar w:fldCharType="end"/>
        </w:r>
      </w:hyperlink>
    </w:p>
    <w:p w:rsidR="008434CC" w:rsidRDefault="004C37E9">
      <w:pPr>
        <w:pStyle w:val="TOC3"/>
        <w:rPr>
          <w:noProof/>
          <w:lang w:val="en-AU" w:eastAsia="en-AU"/>
        </w:rPr>
      </w:pPr>
      <w:hyperlink w:anchor="_Toc331686099" w:history="1">
        <w:r w:rsidR="008434CC" w:rsidRPr="00605057">
          <w:rPr>
            <w:rStyle w:val="Hyperlink"/>
            <w:noProof/>
          </w:rPr>
          <w:t>5.1.1 Vision</w:t>
        </w:r>
        <w:r w:rsidR="008434CC">
          <w:rPr>
            <w:noProof/>
            <w:webHidden/>
          </w:rPr>
          <w:tab/>
        </w:r>
        <w:r w:rsidR="008434CC">
          <w:rPr>
            <w:noProof/>
            <w:webHidden/>
          </w:rPr>
          <w:fldChar w:fldCharType="begin"/>
        </w:r>
        <w:r w:rsidR="008434CC">
          <w:rPr>
            <w:noProof/>
            <w:webHidden/>
          </w:rPr>
          <w:instrText xml:space="preserve"> PAGEREF _Toc331686099 \h </w:instrText>
        </w:r>
        <w:r w:rsidR="008434CC">
          <w:rPr>
            <w:noProof/>
            <w:webHidden/>
          </w:rPr>
        </w:r>
        <w:r w:rsidR="008434CC">
          <w:rPr>
            <w:noProof/>
            <w:webHidden/>
          </w:rPr>
          <w:fldChar w:fldCharType="separate"/>
        </w:r>
        <w:r w:rsidR="008434CC">
          <w:rPr>
            <w:noProof/>
            <w:webHidden/>
          </w:rPr>
          <w:t>20</w:t>
        </w:r>
        <w:r w:rsidR="008434CC">
          <w:rPr>
            <w:noProof/>
            <w:webHidden/>
          </w:rPr>
          <w:fldChar w:fldCharType="end"/>
        </w:r>
      </w:hyperlink>
    </w:p>
    <w:p w:rsidR="008434CC" w:rsidRDefault="004C37E9">
      <w:pPr>
        <w:pStyle w:val="TOC3"/>
        <w:rPr>
          <w:noProof/>
          <w:lang w:val="en-AU" w:eastAsia="en-AU"/>
        </w:rPr>
      </w:pPr>
      <w:hyperlink w:anchor="_Toc331686100" w:history="1">
        <w:r w:rsidR="008434CC" w:rsidRPr="00605057">
          <w:rPr>
            <w:rStyle w:val="Hyperlink"/>
            <w:noProof/>
          </w:rPr>
          <w:t>5.1.2 Goal</w:t>
        </w:r>
        <w:r w:rsidR="008434CC">
          <w:rPr>
            <w:noProof/>
            <w:webHidden/>
          </w:rPr>
          <w:tab/>
        </w:r>
        <w:r w:rsidR="008434CC">
          <w:rPr>
            <w:noProof/>
            <w:webHidden/>
          </w:rPr>
          <w:fldChar w:fldCharType="begin"/>
        </w:r>
        <w:r w:rsidR="008434CC">
          <w:rPr>
            <w:noProof/>
            <w:webHidden/>
          </w:rPr>
          <w:instrText xml:space="preserve"> PAGEREF _Toc331686100 \h </w:instrText>
        </w:r>
        <w:r w:rsidR="008434CC">
          <w:rPr>
            <w:noProof/>
            <w:webHidden/>
          </w:rPr>
        </w:r>
        <w:r w:rsidR="008434CC">
          <w:rPr>
            <w:noProof/>
            <w:webHidden/>
          </w:rPr>
          <w:fldChar w:fldCharType="separate"/>
        </w:r>
        <w:r w:rsidR="008434CC">
          <w:rPr>
            <w:noProof/>
            <w:webHidden/>
          </w:rPr>
          <w:t>21</w:t>
        </w:r>
        <w:r w:rsidR="008434CC">
          <w:rPr>
            <w:noProof/>
            <w:webHidden/>
          </w:rPr>
          <w:fldChar w:fldCharType="end"/>
        </w:r>
      </w:hyperlink>
    </w:p>
    <w:p w:rsidR="008434CC" w:rsidRDefault="004C37E9">
      <w:pPr>
        <w:pStyle w:val="TOC3"/>
        <w:rPr>
          <w:noProof/>
          <w:lang w:val="en-AU" w:eastAsia="en-AU"/>
        </w:rPr>
      </w:pPr>
      <w:hyperlink w:anchor="_Toc331686101" w:history="1">
        <w:r w:rsidR="008434CC" w:rsidRPr="00605057">
          <w:rPr>
            <w:rStyle w:val="Hyperlink"/>
            <w:noProof/>
          </w:rPr>
          <w:t>5.1.3 Mission</w:t>
        </w:r>
        <w:r w:rsidR="008434CC">
          <w:rPr>
            <w:noProof/>
            <w:webHidden/>
          </w:rPr>
          <w:tab/>
        </w:r>
        <w:r w:rsidR="008434CC">
          <w:rPr>
            <w:noProof/>
            <w:webHidden/>
          </w:rPr>
          <w:fldChar w:fldCharType="begin"/>
        </w:r>
        <w:r w:rsidR="008434CC">
          <w:rPr>
            <w:noProof/>
            <w:webHidden/>
          </w:rPr>
          <w:instrText xml:space="preserve"> PAGEREF _Toc331686101 \h </w:instrText>
        </w:r>
        <w:r w:rsidR="008434CC">
          <w:rPr>
            <w:noProof/>
            <w:webHidden/>
          </w:rPr>
        </w:r>
        <w:r w:rsidR="008434CC">
          <w:rPr>
            <w:noProof/>
            <w:webHidden/>
          </w:rPr>
          <w:fldChar w:fldCharType="separate"/>
        </w:r>
        <w:r w:rsidR="008434CC">
          <w:rPr>
            <w:noProof/>
            <w:webHidden/>
          </w:rPr>
          <w:t>21</w:t>
        </w:r>
        <w:r w:rsidR="008434CC">
          <w:rPr>
            <w:noProof/>
            <w:webHidden/>
          </w:rPr>
          <w:fldChar w:fldCharType="end"/>
        </w:r>
      </w:hyperlink>
    </w:p>
    <w:p w:rsidR="008434CC" w:rsidRDefault="004C37E9">
      <w:pPr>
        <w:pStyle w:val="TOC3"/>
        <w:rPr>
          <w:noProof/>
          <w:lang w:val="en-AU" w:eastAsia="en-AU"/>
        </w:rPr>
      </w:pPr>
      <w:hyperlink w:anchor="_Toc331686102" w:history="1">
        <w:r w:rsidR="008434CC" w:rsidRPr="00605057">
          <w:rPr>
            <w:rStyle w:val="Hyperlink"/>
            <w:noProof/>
          </w:rPr>
          <w:t>5.1.4 Objectives</w:t>
        </w:r>
        <w:r w:rsidR="008434CC">
          <w:rPr>
            <w:noProof/>
            <w:webHidden/>
          </w:rPr>
          <w:tab/>
        </w:r>
        <w:r w:rsidR="008434CC">
          <w:rPr>
            <w:noProof/>
            <w:webHidden/>
          </w:rPr>
          <w:fldChar w:fldCharType="begin"/>
        </w:r>
        <w:r w:rsidR="008434CC">
          <w:rPr>
            <w:noProof/>
            <w:webHidden/>
          </w:rPr>
          <w:instrText xml:space="preserve"> PAGEREF _Toc331686102 \h </w:instrText>
        </w:r>
        <w:r w:rsidR="008434CC">
          <w:rPr>
            <w:noProof/>
            <w:webHidden/>
          </w:rPr>
        </w:r>
        <w:r w:rsidR="008434CC">
          <w:rPr>
            <w:noProof/>
            <w:webHidden/>
          </w:rPr>
          <w:fldChar w:fldCharType="separate"/>
        </w:r>
        <w:r w:rsidR="008434CC">
          <w:rPr>
            <w:noProof/>
            <w:webHidden/>
          </w:rPr>
          <w:t>21</w:t>
        </w:r>
        <w:r w:rsidR="008434CC">
          <w:rPr>
            <w:noProof/>
            <w:webHidden/>
          </w:rPr>
          <w:fldChar w:fldCharType="end"/>
        </w:r>
      </w:hyperlink>
    </w:p>
    <w:p w:rsidR="008434CC" w:rsidRDefault="004C37E9">
      <w:pPr>
        <w:pStyle w:val="TOC2"/>
        <w:rPr>
          <w:noProof/>
          <w:lang w:val="en-AU" w:eastAsia="en-AU"/>
        </w:rPr>
      </w:pPr>
      <w:hyperlink w:anchor="_Toc331686103" w:history="1">
        <w:r w:rsidR="008434CC" w:rsidRPr="00605057">
          <w:rPr>
            <w:rStyle w:val="Hyperlink"/>
            <w:noProof/>
          </w:rPr>
          <w:t>5.2 Duration and Time Line</w:t>
        </w:r>
        <w:r w:rsidR="008434CC">
          <w:rPr>
            <w:noProof/>
            <w:webHidden/>
          </w:rPr>
          <w:tab/>
        </w:r>
        <w:r w:rsidR="008434CC">
          <w:rPr>
            <w:noProof/>
            <w:webHidden/>
          </w:rPr>
          <w:fldChar w:fldCharType="begin"/>
        </w:r>
        <w:r w:rsidR="008434CC">
          <w:rPr>
            <w:noProof/>
            <w:webHidden/>
          </w:rPr>
          <w:instrText xml:space="preserve"> PAGEREF _Toc331686103 \h </w:instrText>
        </w:r>
        <w:r w:rsidR="008434CC">
          <w:rPr>
            <w:noProof/>
            <w:webHidden/>
          </w:rPr>
        </w:r>
        <w:r w:rsidR="008434CC">
          <w:rPr>
            <w:noProof/>
            <w:webHidden/>
          </w:rPr>
          <w:fldChar w:fldCharType="separate"/>
        </w:r>
        <w:r w:rsidR="008434CC">
          <w:rPr>
            <w:noProof/>
            <w:webHidden/>
          </w:rPr>
          <w:t>22</w:t>
        </w:r>
        <w:r w:rsidR="008434CC">
          <w:rPr>
            <w:noProof/>
            <w:webHidden/>
          </w:rPr>
          <w:fldChar w:fldCharType="end"/>
        </w:r>
      </w:hyperlink>
    </w:p>
    <w:p w:rsidR="008434CC" w:rsidRDefault="004C37E9">
      <w:pPr>
        <w:pStyle w:val="TOC2"/>
        <w:rPr>
          <w:noProof/>
          <w:lang w:val="en-AU" w:eastAsia="en-AU"/>
        </w:rPr>
      </w:pPr>
      <w:hyperlink w:anchor="_Toc331686104" w:history="1">
        <w:r w:rsidR="008434CC" w:rsidRPr="00605057">
          <w:rPr>
            <w:rStyle w:val="Hyperlink"/>
            <w:noProof/>
          </w:rPr>
          <w:t>5.3 Cross-Cutting Development Themes</w:t>
        </w:r>
        <w:r w:rsidR="008434CC">
          <w:rPr>
            <w:noProof/>
            <w:webHidden/>
          </w:rPr>
          <w:tab/>
        </w:r>
        <w:r w:rsidR="008434CC">
          <w:rPr>
            <w:noProof/>
            <w:webHidden/>
          </w:rPr>
          <w:fldChar w:fldCharType="begin"/>
        </w:r>
        <w:r w:rsidR="008434CC">
          <w:rPr>
            <w:noProof/>
            <w:webHidden/>
          </w:rPr>
          <w:instrText xml:space="preserve"> PAGEREF _Toc331686104 \h </w:instrText>
        </w:r>
        <w:r w:rsidR="008434CC">
          <w:rPr>
            <w:noProof/>
            <w:webHidden/>
          </w:rPr>
        </w:r>
        <w:r w:rsidR="008434CC">
          <w:rPr>
            <w:noProof/>
            <w:webHidden/>
          </w:rPr>
          <w:fldChar w:fldCharType="separate"/>
        </w:r>
        <w:r w:rsidR="008434CC">
          <w:rPr>
            <w:noProof/>
            <w:webHidden/>
          </w:rPr>
          <w:t>23</w:t>
        </w:r>
        <w:r w:rsidR="008434CC">
          <w:rPr>
            <w:noProof/>
            <w:webHidden/>
          </w:rPr>
          <w:fldChar w:fldCharType="end"/>
        </w:r>
      </w:hyperlink>
    </w:p>
    <w:p w:rsidR="008434CC" w:rsidRDefault="004C37E9">
      <w:pPr>
        <w:pStyle w:val="TOC3"/>
        <w:rPr>
          <w:noProof/>
          <w:lang w:val="en-AU" w:eastAsia="en-AU"/>
        </w:rPr>
      </w:pPr>
      <w:hyperlink w:anchor="_Toc331686105" w:history="1">
        <w:r w:rsidR="008434CC" w:rsidRPr="00605057">
          <w:rPr>
            <w:rStyle w:val="Hyperlink"/>
            <w:noProof/>
          </w:rPr>
          <w:t>5.3.1 Gender</w:t>
        </w:r>
        <w:r w:rsidR="008434CC">
          <w:rPr>
            <w:noProof/>
            <w:webHidden/>
          </w:rPr>
          <w:tab/>
        </w:r>
        <w:r w:rsidR="008434CC">
          <w:rPr>
            <w:noProof/>
            <w:webHidden/>
          </w:rPr>
          <w:fldChar w:fldCharType="begin"/>
        </w:r>
        <w:r w:rsidR="008434CC">
          <w:rPr>
            <w:noProof/>
            <w:webHidden/>
          </w:rPr>
          <w:instrText xml:space="preserve"> PAGEREF _Toc331686105 \h </w:instrText>
        </w:r>
        <w:r w:rsidR="008434CC">
          <w:rPr>
            <w:noProof/>
            <w:webHidden/>
          </w:rPr>
        </w:r>
        <w:r w:rsidR="008434CC">
          <w:rPr>
            <w:noProof/>
            <w:webHidden/>
          </w:rPr>
          <w:fldChar w:fldCharType="separate"/>
        </w:r>
        <w:r w:rsidR="008434CC">
          <w:rPr>
            <w:noProof/>
            <w:webHidden/>
          </w:rPr>
          <w:t>23</w:t>
        </w:r>
        <w:r w:rsidR="008434CC">
          <w:rPr>
            <w:noProof/>
            <w:webHidden/>
          </w:rPr>
          <w:fldChar w:fldCharType="end"/>
        </w:r>
      </w:hyperlink>
    </w:p>
    <w:p w:rsidR="008434CC" w:rsidRDefault="004C37E9">
      <w:pPr>
        <w:pStyle w:val="TOC3"/>
        <w:rPr>
          <w:noProof/>
          <w:lang w:val="en-AU" w:eastAsia="en-AU"/>
        </w:rPr>
      </w:pPr>
      <w:hyperlink w:anchor="_Toc331686106" w:history="1">
        <w:r w:rsidR="008434CC" w:rsidRPr="00605057">
          <w:rPr>
            <w:rStyle w:val="Hyperlink"/>
            <w:noProof/>
          </w:rPr>
          <w:t>5.3.2 Disability</w:t>
        </w:r>
        <w:r w:rsidR="008434CC">
          <w:rPr>
            <w:noProof/>
            <w:webHidden/>
          </w:rPr>
          <w:tab/>
        </w:r>
        <w:r w:rsidR="008434CC">
          <w:rPr>
            <w:noProof/>
            <w:webHidden/>
          </w:rPr>
          <w:fldChar w:fldCharType="begin"/>
        </w:r>
        <w:r w:rsidR="008434CC">
          <w:rPr>
            <w:noProof/>
            <w:webHidden/>
          </w:rPr>
          <w:instrText xml:space="preserve"> PAGEREF _Toc331686106 \h </w:instrText>
        </w:r>
        <w:r w:rsidR="008434CC">
          <w:rPr>
            <w:noProof/>
            <w:webHidden/>
          </w:rPr>
        </w:r>
        <w:r w:rsidR="008434CC">
          <w:rPr>
            <w:noProof/>
            <w:webHidden/>
          </w:rPr>
          <w:fldChar w:fldCharType="separate"/>
        </w:r>
        <w:r w:rsidR="008434CC">
          <w:rPr>
            <w:noProof/>
            <w:webHidden/>
          </w:rPr>
          <w:t>23</w:t>
        </w:r>
        <w:r w:rsidR="008434CC">
          <w:rPr>
            <w:noProof/>
            <w:webHidden/>
          </w:rPr>
          <w:fldChar w:fldCharType="end"/>
        </w:r>
      </w:hyperlink>
    </w:p>
    <w:p w:rsidR="008434CC" w:rsidRDefault="004C37E9">
      <w:pPr>
        <w:pStyle w:val="TOC3"/>
        <w:rPr>
          <w:noProof/>
          <w:lang w:val="en-AU" w:eastAsia="en-AU"/>
        </w:rPr>
      </w:pPr>
      <w:hyperlink w:anchor="_Toc331686107" w:history="1">
        <w:r w:rsidR="008434CC" w:rsidRPr="00605057">
          <w:rPr>
            <w:rStyle w:val="Hyperlink"/>
            <w:noProof/>
          </w:rPr>
          <w:t>5.3.3 Environment</w:t>
        </w:r>
        <w:r w:rsidR="008434CC">
          <w:rPr>
            <w:noProof/>
            <w:webHidden/>
          </w:rPr>
          <w:tab/>
        </w:r>
        <w:r w:rsidR="008434CC">
          <w:rPr>
            <w:noProof/>
            <w:webHidden/>
          </w:rPr>
          <w:fldChar w:fldCharType="begin"/>
        </w:r>
        <w:r w:rsidR="008434CC">
          <w:rPr>
            <w:noProof/>
            <w:webHidden/>
          </w:rPr>
          <w:instrText xml:space="preserve"> PAGEREF _Toc331686107 \h </w:instrText>
        </w:r>
        <w:r w:rsidR="008434CC">
          <w:rPr>
            <w:noProof/>
            <w:webHidden/>
          </w:rPr>
        </w:r>
        <w:r w:rsidR="008434CC">
          <w:rPr>
            <w:noProof/>
            <w:webHidden/>
          </w:rPr>
          <w:fldChar w:fldCharType="separate"/>
        </w:r>
        <w:r w:rsidR="008434CC">
          <w:rPr>
            <w:noProof/>
            <w:webHidden/>
          </w:rPr>
          <w:t>23</w:t>
        </w:r>
        <w:r w:rsidR="008434CC">
          <w:rPr>
            <w:noProof/>
            <w:webHidden/>
          </w:rPr>
          <w:fldChar w:fldCharType="end"/>
        </w:r>
      </w:hyperlink>
    </w:p>
    <w:p w:rsidR="008434CC" w:rsidRDefault="004C37E9">
      <w:pPr>
        <w:pStyle w:val="TOC3"/>
        <w:rPr>
          <w:noProof/>
          <w:lang w:val="en-AU" w:eastAsia="en-AU"/>
        </w:rPr>
      </w:pPr>
      <w:hyperlink w:anchor="_Toc331686108" w:history="1">
        <w:r w:rsidR="008434CC" w:rsidRPr="00605057">
          <w:rPr>
            <w:rStyle w:val="Hyperlink"/>
            <w:noProof/>
          </w:rPr>
          <w:t>5.3.4 Other Cross-Cutting Issues</w:t>
        </w:r>
        <w:r w:rsidR="008434CC">
          <w:rPr>
            <w:noProof/>
            <w:webHidden/>
          </w:rPr>
          <w:tab/>
        </w:r>
        <w:r w:rsidR="008434CC">
          <w:rPr>
            <w:noProof/>
            <w:webHidden/>
          </w:rPr>
          <w:fldChar w:fldCharType="begin"/>
        </w:r>
        <w:r w:rsidR="008434CC">
          <w:rPr>
            <w:noProof/>
            <w:webHidden/>
          </w:rPr>
          <w:instrText xml:space="preserve"> PAGEREF _Toc331686108 \h </w:instrText>
        </w:r>
        <w:r w:rsidR="008434CC">
          <w:rPr>
            <w:noProof/>
            <w:webHidden/>
          </w:rPr>
        </w:r>
        <w:r w:rsidR="008434CC">
          <w:rPr>
            <w:noProof/>
            <w:webHidden/>
          </w:rPr>
          <w:fldChar w:fldCharType="separate"/>
        </w:r>
        <w:r w:rsidR="008434CC">
          <w:rPr>
            <w:noProof/>
            <w:webHidden/>
          </w:rPr>
          <w:t>24</w:t>
        </w:r>
        <w:r w:rsidR="008434CC">
          <w:rPr>
            <w:noProof/>
            <w:webHidden/>
          </w:rPr>
          <w:fldChar w:fldCharType="end"/>
        </w:r>
      </w:hyperlink>
    </w:p>
    <w:p w:rsidR="008434CC" w:rsidRDefault="004C37E9">
      <w:pPr>
        <w:pStyle w:val="TOC1"/>
        <w:rPr>
          <w:b w:val="0"/>
          <w:lang w:val="en-AU" w:eastAsia="en-AU"/>
        </w:rPr>
      </w:pPr>
      <w:hyperlink w:anchor="_Toc331686109" w:history="1">
        <w:r w:rsidR="008434CC" w:rsidRPr="00605057">
          <w:rPr>
            <w:rStyle w:val="Hyperlink"/>
          </w:rPr>
          <w:t>6. Project Implementation, Human Resources and Phasing</w:t>
        </w:r>
        <w:r w:rsidR="008434CC">
          <w:rPr>
            <w:webHidden/>
          </w:rPr>
          <w:tab/>
        </w:r>
        <w:r w:rsidR="008434CC">
          <w:rPr>
            <w:webHidden/>
          </w:rPr>
          <w:fldChar w:fldCharType="begin"/>
        </w:r>
        <w:r w:rsidR="008434CC">
          <w:rPr>
            <w:webHidden/>
          </w:rPr>
          <w:instrText xml:space="preserve"> PAGEREF _Toc331686109 \h </w:instrText>
        </w:r>
        <w:r w:rsidR="008434CC">
          <w:rPr>
            <w:webHidden/>
          </w:rPr>
        </w:r>
        <w:r w:rsidR="008434CC">
          <w:rPr>
            <w:webHidden/>
          </w:rPr>
          <w:fldChar w:fldCharType="separate"/>
        </w:r>
        <w:r w:rsidR="008434CC">
          <w:rPr>
            <w:webHidden/>
          </w:rPr>
          <w:t>24</w:t>
        </w:r>
        <w:r w:rsidR="008434CC">
          <w:rPr>
            <w:webHidden/>
          </w:rPr>
          <w:fldChar w:fldCharType="end"/>
        </w:r>
      </w:hyperlink>
    </w:p>
    <w:p w:rsidR="008434CC" w:rsidRDefault="004C37E9">
      <w:pPr>
        <w:pStyle w:val="TOC2"/>
        <w:rPr>
          <w:noProof/>
          <w:lang w:val="en-AU" w:eastAsia="en-AU"/>
        </w:rPr>
      </w:pPr>
      <w:hyperlink w:anchor="_Toc331686110" w:history="1">
        <w:r w:rsidR="008434CC" w:rsidRPr="00605057">
          <w:rPr>
            <w:rStyle w:val="Hyperlink"/>
            <w:noProof/>
          </w:rPr>
          <w:t>6.1 Integrated Annual Work Plan and Budget</w:t>
        </w:r>
        <w:r w:rsidR="008434CC">
          <w:rPr>
            <w:noProof/>
            <w:webHidden/>
          </w:rPr>
          <w:tab/>
        </w:r>
        <w:r w:rsidR="008434CC">
          <w:rPr>
            <w:noProof/>
            <w:webHidden/>
          </w:rPr>
          <w:fldChar w:fldCharType="begin"/>
        </w:r>
        <w:r w:rsidR="008434CC">
          <w:rPr>
            <w:noProof/>
            <w:webHidden/>
          </w:rPr>
          <w:instrText xml:space="preserve"> PAGEREF _Toc331686110 \h </w:instrText>
        </w:r>
        <w:r w:rsidR="008434CC">
          <w:rPr>
            <w:noProof/>
            <w:webHidden/>
          </w:rPr>
        </w:r>
        <w:r w:rsidR="008434CC">
          <w:rPr>
            <w:noProof/>
            <w:webHidden/>
          </w:rPr>
          <w:fldChar w:fldCharType="separate"/>
        </w:r>
        <w:r w:rsidR="008434CC">
          <w:rPr>
            <w:noProof/>
            <w:webHidden/>
          </w:rPr>
          <w:t>24</w:t>
        </w:r>
        <w:r w:rsidR="008434CC">
          <w:rPr>
            <w:noProof/>
            <w:webHidden/>
          </w:rPr>
          <w:fldChar w:fldCharType="end"/>
        </w:r>
      </w:hyperlink>
    </w:p>
    <w:p w:rsidR="008434CC" w:rsidRDefault="004C37E9">
      <w:pPr>
        <w:pStyle w:val="TOC3"/>
        <w:rPr>
          <w:noProof/>
          <w:lang w:val="en-AU" w:eastAsia="en-AU"/>
        </w:rPr>
      </w:pPr>
      <w:hyperlink w:anchor="_Toc331686111" w:history="1">
        <w:r w:rsidR="008434CC" w:rsidRPr="00605057">
          <w:rPr>
            <w:rStyle w:val="Hyperlink"/>
            <w:noProof/>
          </w:rPr>
          <w:t>6.1.1 The “Four Ones” Principles</w:t>
        </w:r>
        <w:r w:rsidR="008434CC">
          <w:rPr>
            <w:noProof/>
            <w:webHidden/>
          </w:rPr>
          <w:tab/>
        </w:r>
        <w:r w:rsidR="008434CC">
          <w:rPr>
            <w:noProof/>
            <w:webHidden/>
          </w:rPr>
          <w:fldChar w:fldCharType="begin"/>
        </w:r>
        <w:r w:rsidR="008434CC">
          <w:rPr>
            <w:noProof/>
            <w:webHidden/>
          </w:rPr>
          <w:instrText xml:space="preserve"> PAGEREF _Toc331686111 \h </w:instrText>
        </w:r>
        <w:r w:rsidR="008434CC">
          <w:rPr>
            <w:noProof/>
            <w:webHidden/>
          </w:rPr>
        </w:r>
        <w:r w:rsidR="008434CC">
          <w:rPr>
            <w:noProof/>
            <w:webHidden/>
          </w:rPr>
          <w:fldChar w:fldCharType="separate"/>
        </w:r>
        <w:r w:rsidR="008434CC">
          <w:rPr>
            <w:noProof/>
            <w:webHidden/>
          </w:rPr>
          <w:t>24</w:t>
        </w:r>
        <w:r w:rsidR="008434CC">
          <w:rPr>
            <w:noProof/>
            <w:webHidden/>
          </w:rPr>
          <w:fldChar w:fldCharType="end"/>
        </w:r>
      </w:hyperlink>
    </w:p>
    <w:p w:rsidR="008434CC" w:rsidRDefault="004C37E9">
      <w:pPr>
        <w:pStyle w:val="TOC3"/>
        <w:rPr>
          <w:noProof/>
          <w:lang w:val="en-AU" w:eastAsia="en-AU"/>
        </w:rPr>
      </w:pPr>
      <w:hyperlink w:anchor="_Toc331686112" w:history="1">
        <w:r w:rsidR="008434CC" w:rsidRPr="00605057">
          <w:rPr>
            <w:rStyle w:val="Hyperlink"/>
            <w:noProof/>
          </w:rPr>
          <w:t>6.1.2 Work Plan Development</w:t>
        </w:r>
        <w:r w:rsidR="008434CC">
          <w:rPr>
            <w:noProof/>
            <w:webHidden/>
          </w:rPr>
          <w:tab/>
        </w:r>
        <w:r w:rsidR="008434CC">
          <w:rPr>
            <w:noProof/>
            <w:webHidden/>
          </w:rPr>
          <w:fldChar w:fldCharType="begin"/>
        </w:r>
        <w:r w:rsidR="008434CC">
          <w:rPr>
            <w:noProof/>
            <w:webHidden/>
          </w:rPr>
          <w:instrText xml:space="preserve"> PAGEREF _Toc331686112 \h </w:instrText>
        </w:r>
        <w:r w:rsidR="008434CC">
          <w:rPr>
            <w:noProof/>
            <w:webHidden/>
          </w:rPr>
        </w:r>
        <w:r w:rsidR="008434CC">
          <w:rPr>
            <w:noProof/>
            <w:webHidden/>
          </w:rPr>
          <w:fldChar w:fldCharType="separate"/>
        </w:r>
        <w:r w:rsidR="008434CC">
          <w:rPr>
            <w:noProof/>
            <w:webHidden/>
          </w:rPr>
          <w:t>25</w:t>
        </w:r>
        <w:r w:rsidR="008434CC">
          <w:rPr>
            <w:noProof/>
            <w:webHidden/>
          </w:rPr>
          <w:fldChar w:fldCharType="end"/>
        </w:r>
      </w:hyperlink>
    </w:p>
    <w:p w:rsidR="008434CC" w:rsidRDefault="004C37E9">
      <w:pPr>
        <w:pStyle w:val="TOC2"/>
        <w:rPr>
          <w:noProof/>
          <w:lang w:val="en-AU" w:eastAsia="en-AU"/>
        </w:rPr>
      </w:pPr>
      <w:hyperlink w:anchor="_Toc331686113" w:history="1">
        <w:r w:rsidR="008434CC" w:rsidRPr="00605057">
          <w:rPr>
            <w:rStyle w:val="Hyperlink"/>
            <w:noProof/>
          </w:rPr>
          <w:t>6.2 Rationale and Indicative Activities for Each Objective</w:t>
        </w:r>
        <w:r w:rsidR="008434CC">
          <w:rPr>
            <w:noProof/>
            <w:webHidden/>
          </w:rPr>
          <w:tab/>
        </w:r>
        <w:r w:rsidR="008434CC">
          <w:rPr>
            <w:noProof/>
            <w:webHidden/>
          </w:rPr>
          <w:fldChar w:fldCharType="begin"/>
        </w:r>
        <w:r w:rsidR="008434CC">
          <w:rPr>
            <w:noProof/>
            <w:webHidden/>
          </w:rPr>
          <w:instrText xml:space="preserve"> PAGEREF _Toc331686113 \h </w:instrText>
        </w:r>
        <w:r w:rsidR="008434CC">
          <w:rPr>
            <w:noProof/>
            <w:webHidden/>
          </w:rPr>
        </w:r>
        <w:r w:rsidR="008434CC">
          <w:rPr>
            <w:noProof/>
            <w:webHidden/>
          </w:rPr>
          <w:fldChar w:fldCharType="separate"/>
        </w:r>
        <w:r w:rsidR="008434CC">
          <w:rPr>
            <w:noProof/>
            <w:webHidden/>
          </w:rPr>
          <w:t>25</w:t>
        </w:r>
        <w:r w:rsidR="008434CC">
          <w:rPr>
            <w:noProof/>
            <w:webHidden/>
          </w:rPr>
          <w:fldChar w:fldCharType="end"/>
        </w:r>
      </w:hyperlink>
    </w:p>
    <w:p w:rsidR="008434CC" w:rsidRDefault="004C37E9">
      <w:pPr>
        <w:pStyle w:val="TOC3"/>
        <w:rPr>
          <w:noProof/>
          <w:lang w:val="en-AU" w:eastAsia="en-AU"/>
        </w:rPr>
      </w:pPr>
      <w:hyperlink w:anchor="_Toc331686114" w:history="1">
        <w:r w:rsidR="008434CC" w:rsidRPr="00605057">
          <w:rPr>
            <w:rStyle w:val="Hyperlink"/>
            <w:noProof/>
          </w:rPr>
          <w:t>6.2.1 Project Objective 1 – Universal Access</w:t>
        </w:r>
        <w:r w:rsidR="008434CC">
          <w:rPr>
            <w:noProof/>
            <w:webHidden/>
          </w:rPr>
          <w:tab/>
        </w:r>
        <w:r w:rsidR="008434CC">
          <w:rPr>
            <w:noProof/>
            <w:webHidden/>
          </w:rPr>
          <w:fldChar w:fldCharType="begin"/>
        </w:r>
        <w:r w:rsidR="008434CC">
          <w:rPr>
            <w:noProof/>
            <w:webHidden/>
          </w:rPr>
          <w:instrText xml:space="preserve"> PAGEREF _Toc331686114 \h </w:instrText>
        </w:r>
        <w:r w:rsidR="008434CC">
          <w:rPr>
            <w:noProof/>
            <w:webHidden/>
          </w:rPr>
        </w:r>
        <w:r w:rsidR="008434CC">
          <w:rPr>
            <w:noProof/>
            <w:webHidden/>
          </w:rPr>
          <w:fldChar w:fldCharType="separate"/>
        </w:r>
        <w:r w:rsidR="008434CC">
          <w:rPr>
            <w:noProof/>
            <w:webHidden/>
          </w:rPr>
          <w:t>25</w:t>
        </w:r>
        <w:r w:rsidR="008434CC">
          <w:rPr>
            <w:noProof/>
            <w:webHidden/>
          </w:rPr>
          <w:fldChar w:fldCharType="end"/>
        </w:r>
      </w:hyperlink>
    </w:p>
    <w:p w:rsidR="008434CC" w:rsidRDefault="004C37E9">
      <w:pPr>
        <w:pStyle w:val="TOC3"/>
        <w:rPr>
          <w:noProof/>
          <w:lang w:val="en-AU" w:eastAsia="en-AU"/>
        </w:rPr>
      </w:pPr>
      <w:hyperlink w:anchor="_Toc331686115" w:history="1">
        <w:r w:rsidR="008434CC" w:rsidRPr="00605057">
          <w:rPr>
            <w:rStyle w:val="Hyperlink"/>
            <w:noProof/>
          </w:rPr>
          <w:t>6.2.2 Project Objective 2 – Quality Laboratory Diagnosis and Clinical Standards</w:t>
        </w:r>
        <w:r w:rsidR="008434CC">
          <w:rPr>
            <w:noProof/>
            <w:webHidden/>
          </w:rPr>
          <w:tab/>
        </w:r>
        <w:r w:rsidR="008434CC">
          <w:rPr>
            <w:noProof/>
            <w:webHidden/>
          </w:rPr>
          <w:fldChar w:fldCharType="begin"/>
        </w:r>
        <w:r w:rsidR="008434CC">
          <w:rPr>
            <w:noProof/>
            <w:webHidden/>
          </w:rPr>
          <w:instrText xml:space="preserve"> PAGEREF _Toc331686115 \h </w:instrText>
        </w:r>
        <w:r w:rsidR="008434CC">
          <w:rPr>
            <w:noProof/>
            <w:webHidden/>
          </w:rPr>
        </w:r>
        <w:r w:rsidR="008434CC">
          <w:rPr>
            <w:noProof/>
            <w:webHidden/>
          </w:rPr>
          <w:fldChar w:fldCharType="separate"/>
        </w:r>
        <w:r w:rsidR="008434CC">
          <w:rPr>
            <w:noProof/>
            <w:webHidden/>
          </w:rPr>
          <w:t>27</w:t>
        </w:r>
        <w:r w:rsidR="008434CC">
          <w:rPr>
            <w:noProof/>
            <w:webHidden/>
          </w:rPr>
          <w:fldChar w:fldCharType="end"/>
        </w:r>
      </w:hyperlink>
    </w:p>
    <w:p w:rsidR="008434CC" w:rsidRDefault="004C37E9">
      <w:pPr>
        <w:pStyle w:val="TOC3"/>
        <w:rPr>
          <w:noProof/>
          <w:lang w:val="en-AU" w:eastAsia="en-AU"/>
        </w:rPr>
      </w:pPr>
      <w:hyperlink w:anchor="_Toc331686116" w:history="1">
        <w:r w:rsidR="008434CC" w:rsidRPr="00605057">
          <w:rPr>
            <w:rStyle w:val="Hyperlink"/>
            <w:noProof/>
          </w:rPr>
          <w:t>6.2.3 Project Objective 3 – Management of MDR-TB and Co-morbidities</w:t>
        </w:r>
        <w:r w:rsidR="008434CC">
          <w:rPr>
            <w:noProof/>
            <w:webHidden/>
          </w:rPr>
          <w:tab/>
        </w:r>
        <w:r w:rsidR="008434CC">
          <w:rPr>
            <w:noProof/>
            <w:webHidden/>
          </w:rPr>
          <w:fldChar w:fldCharType="begin"/>
        </w:r>
        <w:r w:rsidR="008434CC">
          <w:rPr>
            <w:noProof/>
            <w:webHidden/>
          </w:rPr>
          <w:instrText xml:space="preserve"> PAGEREF _Toc331686116 \h </w:instrText>
        </w:r>
        <w:r w:rsidR="008434CC">
          <w:rPr>
            <w:noProof/>
            <w:webHidden/>
          </w:rPr>
        </w:r>
        <w:r w:rsidR="008434CC">
          <w:rPr>
            <w:noProof/>
            <w:webHidden/>
          </w:rPr>
          <w:fldChar w:fldCharType="separate"/>
        </w:r>
        <w:r w:rsidR="008434CC">
          <w:rPr>
            <w:noProof/>
            <w:webHidden/>
          </w:rPr>
          <w:t>30</w:t>
        </w:r>
        <w:r w:rsidR="008434CC">
          <w:rPr>
            <w:noProof/>
            <w:webHidden/>
          </w:rPr>
          <w:fldChar w:fldCharType="end"/>
        </w:r>
      </w:hyperlink>
    </w:p>
    <w:p w:rsidR="008434CC" w:rsidRDefault="004C37E9">
      <w:pPr>
        <w:pStyle w:val="TOC3"/>
        <w:rPr>
          <w:noProof/>
          <w:lang w:val="en-AU" w:eastAsia="en-AU"/>
        </w:rPr>
      </w:pPr>
      <w:hyperlink w:anchor="_Toc331686117" w:history="1">
        <w:r w:rsidR="008434CC" w:rsidRPr="00605057">
          <w:rPr>
            <w:rStyle w:val="Hyperlink"/>
            <w:noProof/>
          </w:rPr>
          <w:t>6.2.4 Project Objective 4 – Planning, Management and Health Systems</w:t>
        </w:r>
        <w:r w:rsidR="008434CC">
          <w:rPr>
            <w:noProof/>
            <w:webHidden/>
          </w:rPr>
          <w:tab/>
        </w:r>
        <w:r w:rsidR="008434CC">
          <w:rPr>
            <w:noProof/>
            <w:webHidden/>
          </w:rPr>
          <w:fldChar w:fldCharType="begin"/>
        </w:r>
        <w:r w:rsidR="008434CC">
          <w:rPr>
            <w:noProof/>
            <w:webHidden/>
          </w:rPr>
          <w:instrText xml:space="preserve"> PAGEREF _Toc331686117 \h </w:instrText>
        </w:r>
        <w:r w:rsidR="008434CC">
          <w:rPr>
            <w:noProof/>
            <w:webHidden/>
          </w:rPr>
        </w:r>
        <w:r w:rsidR="008434CC">
          <w:rPr>
            <w:noProof/>
            <w:webHidden/>
          </w:rPr>
          <w:fldChar w:fldCharType="separate"/>
        </w:r>
        <w:r w:rsidR="008434CC">
          <w:rPr>
            <w:noProof/>
            <w:webHidden/>
          </w:rPr>
          <w:t>31</w:t>
        </w:r>
        <w:r w:rsidR="008434CC">
          <w:rPr>
            <w:noProof/>
            <w:webHidden/>
          </w:rPr>
          <w:fldChar w:fldCharType="end"/>
        </w:r>
      </w:hyperlink>
    </w:p>
    <w:p w:rsidR="008434CC" w:rsidRDefault="004C37E9">
      <w:pPr>
        <w:pStyle w:val="TOC3"/>
        <w:rPr>
          <w:noProof/>
          <w:lang w:val="en-AU" w:eastAsia="en-AU"/>
        </w:rPr>
      </w:pPr>
      <w:hyperlink w:anchor="_Toc331686118" w:history="1">
        <w:r w:rsidR="008434CC" w:rsidRPr="00605057">
          <w:rPr>
            <w:rStyle w:val="Hyperlink"/>
            <w:noProof/>
          </w:rPr>
          <w:t>6.2.5 Project Objective 5 – Operational Research</w:t>
        </w:r>
        <w:r w:rsidR="008434CC">
          <w:rPr>
            <w:noProof/>
            <w:webHidden/>
          </w:rPr>
          <w:tab/>
        </w:r>
        <w:r w:rsidR="008434CC">
          <w:rPr>
            <w:noProof/>
            <w:webHidden/>
          </w:rPr>
          <w:fldChar w:fldCharType="begin"/>
        </w:r>
        <w:r w:rsidR="008434CC">
          <w:rPr>
            <w:noProof/>
            <w:webHidden/>
          </w:rPr>
          <w:instrText xml:space="preserve"> PAGEREF _Toc331686118 \h </w:instrText>
        </w:r>
        <w:r w:rsidR="008434CC">
          <w:rPr>
            <w:noProof/>
            <w:webHidden/>
          </w:rPr>
        </w:r>
        <w:r w:rsidR="008434CC">
          <w:rPr>
            <w:noProof/>
            <w:webHidden/>
          </w:rPr>
          <w:fldChar w:fldCharType="separate"/>
        </w:r>
        <w:r w:rsidR="008434CC">
          <w:rPr>
            <w:noProof/>
            <w:webHidden/>
          </w:rPr>
          <w:t>32</w:t>
        </w:r>
        <w:r w:rsidR="008434CC">
          <w:rPr>
            <w:noProof/>
            <w:webHidden/>
          </w:rPr>
          <w:fldChar w:fldCharType="end"/>
        </w:r>
      </w:hyperlink>
    </w:p>
    <w:p w:rsidR="008434CC" w:rsidRDefault="004C37E9">
      <w:pPr>
        <w:pStyle w:val="TOC2"/>
        <w:rPr>
          <w:noProof/>
          <w:lang w:val="en-AU" w:eastAsia="en-AU"/>
        </w:rPr>
      </w:pPr>
      <w:hyperlink w:anchor="_Toc331686119" w:history="1">
        <w:r w:rsidR="008434CC" w:rsidRPr="00605057">
          <w:rPr>
            <w:rStyle w:val="Hyperlink"/>
            <w:noProof/>
          </w:rPr>
          <w:t>6.3 Active Case Finding Strategy – Geographic Focus</w:t>
        </w:r>
        <w:r w:rsidR="008434CC">
          <w:rPr>
            <w:noProof/>
            <w:webHidden/>
          </w:rPr>
          <w:tab/>
        </w:r>
        <w:r w:rsidR="008434CC">
          <w:rPr>
            <w:noProof/>
            <w:webHidden/>
          </w:rPr>
          <w:fldChar w:fldCharType="begin"/>
        </w:r>
        <w:r w:rsidR="008434CC">
          <w:rPr>
            <w:noProof/>
            <w:webHidden/>
          </w:rPr>
          <w:instrText xml:space="preserve"> PAGEREF _Toc331686119 \h </w:instrText>
        </w:r>
        <w:r w:rsidR="008434CC">
          <w:rPr>
            <w:noProof/>
            <w:webHidden/>
          </w:rPr>
        </w:r>
        <w:r w:rsidR="008434CC">
          <w:rPr>
            <w:noProof/>
            <w:webHidden/>
          </w:rPr>
          <w:fldChar w:fldCharType="separate"/>
        </w:r>
        <w:r w:rsidR="008434CC">
          <w:rPr>
            <w:noProof/>
            <w:webHidden/>
          </w:rPr>
          <w:t>32</w:t>
        </w:r>
        <w:r w:rsidR="008434CC">
          <w:rPr>
            <w:noProof/>
            <w:webHidden/>
          </w:rPr>
          <w:fldChar w:fldCharType="end"/>
        </w:r>
      </w:hyperlink>
    </w:p>
    <w:p w:rsidR="008434CC" w:rsidRDefault="004C37E9">
      <w:pPr>
        <w:pStyle w:val="TOC2"/>
        <w:rPr>
          <w:noProof/>
          <w:lang w:val="en-AU" w:eastAsia="en-AU"/>
        </w:rPr>
      </w:pPr>
      <w:hyperlink w:anchor="_Toc331686120" w:history="1">
        <w:r w:rsidR="008434CC" w:rsidRPr="00605057">
          <w:rPr>
            <w:rStyle w:val="Hyperlink"/>
            <w:noProof/>
          </w:rPr>
          <w:t>6.4 Project-Funded Positions</w:t>
        </w:r>
        <w:r w:rsidR="008434CC">
          <w:rPr>
            <w:noProof/>
            <w:webHidden/>
          </w:rPr>
          <w:tab/>
        </w:r>
        <w:r w:rsidR="008434CC">
          <w:rPr>
            <w:noProof/>
            <w:webHidden/>
          </w:rPr>
          <w:fldChar w:fldCharType="begin"/>
        </w:r>
        <w:r w:rsidR="008434CC">
          <w:rPr>
            <w:noProof/>
            <w:webHidden/>
          </w:rPr>
          <w:instrText xml:space="preserve"> PAGEREF _Toc331686120 \h </w:instrText>
        </w:r>
        <w:r w:rsidR="008434CC">
          <w:rPr>
            <w:noProof/>
            <w:webHidden/>
          </w:rPr>
        </w:r>
        <w:r w:rsidR="008434CC">
          <w:rPr>
            <w:noProof/>
            <w:webHidden/>
          </w:rPr>
          <w:fldChar w:fldCharType="separate"/>
        </w:r>
        <w:r w:rsidR="008434CC">
          <w:rPr>
            <w:noProof/>
            <w:webHidden/>
          </w:rPr>
          <w:t>34</w:t>
        </w:r>
        <w:r w:rsidR="008434CC">
          <w:rPr>
            <w:noProof/>
            <w:webHidden/>
          </w:rPr>
          <w:fldChar w:fldCharType="end"/>
        </w:r>
      </w:hyperlink>
    </w:p>
    <w:p w:rsidR="008434CC" w:rsidRDefault="004C37E9">
      <w:pPr>
        <w:pStyle w:val="TOC3"/>
        <w:rPr>
          <w:noProof/>
          <w:lang w:val="en-AU" w:eastAsia="en-AU"/>
        </w:rPr>
      </w:pPr>
      <w:hyperlink w:anchor="_Toc331686121" w:history="1">
        <w:r w:rsidR="008434CC" w:rsidRPr="00605057">
          <w:rPr>
            <w:rStyle w:val="Hyperlink"/>
            <w:noProof/>
          </w:rPr>
          <w:t>6.4.1 Current (under QTPECP and Global Fund)</w:t>
        </w:r>
        <w:r w:rsidR="008434CC">
          <w:rPr>
            <w:noProof/>
            <w:webHidden/>
          </w:rPr>
          <w:tab/>
        </w:r>
        <w:r w:rsidR="008434CC">
          <w:rPr>
            <w:noProof/>
            <w:webHidden/>
          </w:rPr>
          <w:fldChar w:fldCharType="begin"/>
        </w:r>
        <w:r w:rsidR="008434CC">
          <w:rPr>
            <w:noProof/>
            <w:webHidden/>
          </w:rPr>
          <w:instrText xml:space="preserve"> PAGEREF _Toc331686121 \h </w:instrText>
        </w:r>
        <w:r w:rsidR="008434CC">
          <w:rPr>
            <w:noProof/>
            <w:webHidden/>
          </w:rPr>
        </w:r>
        <w:r w:rsidR="008434CC">
          <w:rPr>
            <w:noProof/>
            <w:webHidden/>
          </w:rPr>
          <w:fldChar w:fldCharType="separate"/>
        </w:r>
        <w:r w:rsidR="008434CC">
          <w:rPr>
            <w:noProof/>
            <w:webHidden/>
          </w:rPr>
          <w:t>34</w:t>
        </w:r>
        <w:r w:rsidR="008434CC">
          <w:rPr>
            <w:noProof/>
            <w:webHidden/>
          </w:rPr>
          <w:fldChar w:fldCharType="end"/>
        </w:r>
      </w:hyperlink>
    </w:p>
    <w:p w:rsidR="008434CC" w:rsidRDefault="004C37E9">
      <w:pPr>
        <w:pStyle w:val="TOC3"/>
        <w:rPr>
          <w:noProof/>
          <w:lang w:val="en-AU" w:eastAsia="en-AU"/>
        </w:rPr>
      </w:pPr>
      <w:hyperlink w:anchor="_Toc331686122" w:history="1">
        <w:r w:rsidR="008434CC" w:rsidRPr="00605057">
          <w:rPr>
            <w:rStyle w:val="Hyperlink"/>
            <w:noProof/>
          </w:rPr>
          <w:t>6.4.2 Proposed (under the new Project)</w:t>
        </w:r>
        <w:r w:rsidR="008434CC">
          <w:rPr>
            <w:noProof/>
            <w:webHidden/>
          </w:rPr>
          <w:tab/>
        </w:r>
        <w:r w:rsidR="008434CC">
          <w:rPr>
            <w:noProof/>
            <w:webHidden/>
          </w:rPr>
          <w:fldChar w:fldCharType="begin"/>
        </w:r>
        <w:r w:rsidR="008434CC">
          <w:rPr>
            <w:noProof/>
            <w:webHidden/>
          </w:rPr>
          <w:instrText xml:space="preserve"> PAGEREF _Toc331686122 \h </w:instrText>
        </w:r>
        <w:r w:rsidR="008434CC">
          <w:rPr>
            <w:noProof/>
            <w:webHidden/>
          </w:rPr>
        </w:r>
        <w:r w:rsidR="008434CC">
          <w:rPr>
            <w:noProof/>
            <w:webHidden/>
          </w:rPr>
          <w:fldChar w:fldCharType="separate"/>
        </w:r>
        <w:r w:rsidR="008434CC">
          <w:rPr>
            <w:noProof/>
            <w:webHidden/>
          </w:rPr>
          <w:t>35</w:t>
        </w:r>
        <w:r w:rsidR="008434CC">
          <w:rPr>
            <w:noProof/>
            <w:webHidden/>
          </w:rPr>
          <w:fldChar w:fldCharType="end"/>
        </w:r>
      </w:hyperlink>
    </w:p>
    <w:p w:rsidR="008434CC" w:rsidRDefault="004C37E9">
      <w:pPr>
        <w:pStyle w:val="TOC3"/>
        <w:rPr>
          <w:noProof/>
          <w:lang w:val="en-AU" w:eastAsia="en-AU"/>
        </w:rPr>
      </w:pPr>
      <w:hyperlink w:anchor="_Toc331686123" w:history="1">
        <w:r w:rsidR="008434CC" w:rsidRPr="00605057">
          <w:rPr>
            <w:rStyle w:val="Hyperlink"/>
            <w:noProof/>
          </w:rPr>
          <w:t>6.4.3 Terms and Conditions</w:t>
        </w:r>
        <w:r w:rsidR="008434CC">
          <w:rPr>
            <w:noProof/>
            <w:webHidden/>
          </w:rPr>
          <w:tab/>
        </w:r>
        <w:r w:rsidR="008434CC">
          <w:rPr>
            <w:noProof/>
            <w:webHidden/>
          </w:rPr>
          <w:fldChar w:fldCharType="begin"/>
        </w:r>
        <w:r w:rsidR="008434CC">
          <w:rPr>
            <w:noProof/>
            <w:webHidden/>
          </w:rPr>
          <w:instrText xml:space="preserve"> PAGEREF _Toc331686123 \h </w:instrText>
        </w:r>
        <w:r w:rsidR="008434CC">
          <w:rPr>
            <w:noProof/>
            <w:webHidden/>
          </w:rPr>
        </w:r>
        <w:r w:rsidR="008434CC">
          <w:rPr>
            <w:noProof/>
            <w:webHidden/>
          </w:rPr>
          <w:fldChar w:fldCharType="separate"/>
        </w:r>
        <w:r w:rsidR="008434CC">
          <w:rPr>
            <w:noProof/>
            <w:webHidden/>
          </w:rPr>
          <w:t>38</w:t>
        </w:r>
        <w:r w:rsidR="008434CC">
          <w:rPr>
            <w:noProof/>
            <w:webHidden/>
          </w:rPr>
          <w:fldChar w:fldCharType="end"/>
        </w:r>
      </w:hyperlink>
    </w:p>
    <w:p w:rsidR="008434CC" w:rsidRDefault="004C37E9">
      <w:pPr>
        <w:pStyle w:val="TOC2"/>
        <w:rPr>
          <w:noProof/>
          <w:lang w:val="en-AU" w:eastAsia="en-AU"/>
        </w:rPr>
      </w:pPr>
      <w:hyperlink w:anchor="_Toc331686124" w:history="1">
        <w:r w:rsidR="008434CC" w:rsidRPr="00605057">
          <w:rPr>
            <w:rStyle w:val="Hyperlink"/>
            <w:noProof/>
          </w:rPr>
          <w:t>6.5 Phasing of Project Support</w:t>
        </w:r>
        <w:r w:rsidR="008434CC">
          <w:rPr>
            <w:noProof/>
            <w:webHidden/>
          </w:rPr>
          <w:tab/>
        </w:r>
        <w:r w:rsidR="008434CC">
          <w:rPr>
            <w:noProof/>
            <w:webHidden/>
          </w:rPr>
          <w:fldChar w:fldCharType="begin"/>
        </w:r>
        <w:r w:rsidR="008434CC">
          <w:rPr>
            <w:noProof/>
            <w:webHidden/>
          </w:rPr>
          <w:instrText xml:space="preserve"> PAGEREF _Toc331686124 \h </w:instrText>
        </w:r>
        <w:r w:rsidR="008434CC">
          <w:rPr>
            <w:noProof/>
            <w:webHidden/>
          </w:rPr>
        </w:r>
        <w:r w:rsidR="008434CC">
          <w:rPr>
            <w:noProof/>
            <w:webHidden/>
          </w:rPr>
          <w:fldChar w:fldCharType="separate"/>
        </w:r>
        <w:r w:rsidR="008434CC">
          <w:rPr>
            <w:noProof/>
            <w:webHidden/>
          </w:rPr>
          <w:t>38</w:t>
        </w:r>
        <w:r w:rsidR="008434CC">
          <w:rPr>
            <w:noProof/>
            <w:webHidden/>
          </w:rPr>
          <w:fldChar w:fldCharType="end"/>
        </w:r>
      </w:hyperlink>
    </w:p>
    <w:p w:rsidR="008434CC" w:rsidRDefault="004C37E9">
      <w:pPr>
        <w:pStyle w:val="TOC3"/>
        <w:rPr>
          <w:noProof/>
          <w:lang w:val="en-AU" w:eastAsia="en-AU"/>
        </w:rPr>
      </w:pPr>
      <w:hyperlink w:anchor="_Toc331686125" w:history="1">
        <w:r w:rsidR="008434CC" w:rsidRPr="00605057">
          <w:rPr>
            <w:rStyle w:val="Hyperlink"/>
            <w:noProof/>
          </w:rPr>
          <w:t>6.5.1 Transitional Phase</w:t>
        </w:r>
        <w:r w:rsidR="008434CC">
          <w:rPr>
            <w:noProof/>
            <w:webHidden/>
          </w:rPr>
          <w:tab/>
        </w:r>
        <w:r w:rsidR="008434CC">
          <w:rPr>
            <w:noProof/>
            <w:webHidden/>
          </w:rPr>
          <w:fldChar w:fldCharType="begin"/>
        </w:r>
        <w:r w:rsidR="008434CC">
          <w:rPr>
            <w:noProof/>
            <w:webHidden/>
          </w:rPr>
          <w:instrText xml:space="preserve"> PAGEREF _Toc331686125 \h </w:instrText>
        </w:r>
        <w:r w:rsidR="008434CC">
          <w:rPr>
            <w:noProof/>
            <w:webHidden/>
          </w:rPr>
        </w:r>
        <w:r w:rsidR="008434CC">
          <w:rPr>
            <w:noProof/>
            <w:webHidden/>
          </w:rPr>
          <w:fldChar w:fldCharType="separate"/>
        </w:r>
        <w:r w:rsidR="008434CC">
          <w:rPr>
            <w:noProof/>
            <w:webHidden/>
          </w:rPr>
          <w:t>38</w:t>
        </w:r>
        <w:r w:rsidR="008434CC">
          <w:rPr>
            <w:noProof/>
            <w:webHidden/>
          </w:rPr>
          <w:fldChar w:fldCharType="end"/>
        </w:r>
      </w:hyperlink>
    </w:p>
    <w:p w:rsidR="008434CC" w:rsidRDefault="004C37E9">
      <w:pPr>
        <w:pStyle w:val="TOC3"/>
        <w:rPr>
          <w:noProof/>
          <w:lang w:val="en-AU" w:eastAsia="en-AU"/>
        </w:rPr>
      </w:pPr>
      <w:hyperlink w:anchor="_Toc331686126" w:history="1">
        <w:r w:rsidR="008434CC" w:rsidRPr="00605057">
          <w:rPr>
            <w:rStyle w:val="Hyperlink"/>
            <w:noProof/>
          </w:rPr>
          <w:t>6.5.2 Phase 1 (Alignment and Support Phase)</w:t>
        </w:r>
        <w:r w:rsidR="008434CC">
          <w:rPr>
            <w:noProof/>
            <w:webHidden/>
          </w:rPr>
          <w:tab/>
        </w:r>
        <w:r w:rsidR="008434CC">
          <w:rPr>
            <w:noProof/>
            <w:webHidden/>
          </w:rPr>
          <w:fldChar w:fldCharType="begin"/>
        </w:r>
        <w:r w:rsidR="008434CC">
          <w:rPr>
            <w:noProof/>
            <w:webHidden/>
          </w:rPr>
          <w:instrText xml:space="preserve"> PAGEREF _Toc331686126 \h </w:instrText>
        </w:r>
        <w:r w:rsidR="008434CC">
          <w:rPr>
            <w:noProof/>
            <w:webHidden/>
          </w:rPr>
        </w:r>
        <w:r w:rsidR="008434CC">
          <w:rPr>
            <w:noProof/>
            <w:webHidden/>
          </w:rPr>
          <w:fldChar w:fldCharType="separate"/>
        </w:r>
        <w:r w:rsidR="008434CC">
          <w:rPr>
            <w:noProof/>
            <w:webHidden/>
          </w:rPr>
          <w:t>39</w:t>
        </w:r>
        <w:r w:rsidR="008434CC">
          <w:rPr>
            <w:noProof/>
            <w:webHidden/>
          </w:rPr>
          <w:fldChar w:fldCharType="end"/>
        </w:r>
      </w:hyperlink>
    </w:p>
    <w:p w:rsidR="008434CC" w:rsidRDefault="004C37E9">
      <w:pPr>
        <w:pStyle w:val="TOC3"/>
        <w:rPr>
          <w:noProof/>
          <w:lang w:val="en-AU" w:eastAsia="en-AU"/>
        </w:rPr>
      </w:pPr>
      <w:hyperlink w:anchor="_Toc331686127" w:history="1">
        <w:r w:rsidR="008434CC" w:rsidRPr="00605057">
          <w:rPr>
            <w:rStyle w:val="Hyperlink"/>
            <w:noProof/>
          </w:rPr>
          <w:t>6.5.3 Phase 2 (Integration Phase)</w:t>
        </w:r>
        <w:r w:rsidR="008434CC">
          <w:rPr>
            <w:noProof/>
            <w:webHidden/>
          </w:rPr>
          <w:tab/>
        </w:r>
        <w:r w:rsidR="008434CC">
          <w:rPr>
            <w:noProof/>
            <w:webHidden/>
          </w:rPr>
          <w:fldChar w:fldCharType="begin"/>
        </w:r>
        <w:r w:rsidR="008434CC">
          <w:rPr>
            <w:noProof/>
            <w:webHidden/>
          </w:rPr>
          <w:instrText xml:space="preserve"> PAGEREF _Toc331686127 \h </w:instrText>
        </w:r>
        <w:r w:rsidR="008434CC">
          <w:rPr>
            <w:noProof/>
            <w:webHidden/>
          </w:rPr>
        </w:r>
        <w:r w:rsidR="008434CC">
          <w:rPr>
            <w:noProof/>
            <w:webHidden/>
          </w:rPr>
          <w:fldChar w:fldCharType="separate"/>
        </w:r>
        <w:r w:rsidR="008434CC">
          <w:rPr>
            <w:noProof/>
            <w:webHidden/>
          </w:rPr>
          <w:t>39</w:t>
        </w:r>
        <w:r w:rsidR="008434CC">
          <w:rPr>
            <w:noProof/>
            <w:webHidden/>
          </w:rPr>
          <w:fldChar w:fldCharType="end"/>
        </w:r>
      </w:hyperlink>
    </w:p>
    <w:p w:rsidR="008434CC" w:rsidRDefault="004C37E9">
      <w:pPr>
        <w:pStyle w:val="TOC1"/>
        <w:rPr>
          <w:b w:val="0"/>
          <w:lang w:val="en-AU" w:eastAsia="en-AU"/>
        </w:rPr>
      </w:pPr>
      <w:hyperlink w:anchor="_Toc331686128" w:history="1">
        <w:r w:rsidR="008434CC" w:rsidRPr="00605057">
          <w:rPr>
            <w:rStyle w:val="Hyperlink"/>
          </w:rPr>
          <w:t>7. Project Governance, Coordination and Management</w:t>
        </w:r>
        <w:r w:rsidR="008434CC">
          <w:rPr>
            <w:webHidden/>
          </w:rPr>
          <w:tab/>
        </w:r>
        <w:r w:rsidR="008434CC">
          <w:rPr>
            <w:webHidden/>
          </w:rPr>
          <w:fldChar w:fldCharType="begin"/>
        </w:r>
        <w:r w:rsidR="008434CC">
          <w:rPr>
            <w:webHidden/>
          </w:rPr>
          <w:instrText xml:space="preserve"> PAGEREF _Toc331686128 \h </w:instrText>
        </w:r>
        <w:r w:rsidR="008434CC">
          <w:rPr>
            <w:webHidden/>
          </w:rPr>
        </w:r>
        <w:r w:rsidR="008434CC">
          <w:rPr>
            <w:webHidden/>
          </w:rPr>
          <w:fldChar w:fldCharType="separate"/>
        </w:r>
        <w:r w:rsidR="008434CC">
          <w:rPr>
            <w:webHidden/>
          </w:rPr>
          <w:t>41</w:t>
        </w:r>
        <w:r w:rsidR="008434CC">
          <w:rPr>
            <w:webHidden/>
          </w:rPr>
          <w:fldChar w:fldCharType="end"/>
        </w:r>
      </w:hyperlink>
    </w:p>
    <w:p w:rsidR="008434CC" w:rsidRDefault="004C37E9">
      <w:pPr>
        <w:pStyle w:val="TOC2"/>
        <w:rPr>
          <w:noProof/>
          <w:lang w:val="en-AU" w:eastAsia="en-AU"/>
        </w:rPr>
      </w:pPr>
      <w:hyperlink w:anchor="_Toc331686129" w:history="1">
        <w:r w:rsidR="008434CC" w:rsidRPr="00605057">
          <w:rPr>
            <w:rStyle w:val="Hyperlink"/>
            <w:noProof/>
          </w:rPr>
          <w:t>7.1 Responsibility for Implementation</w:t>
        </w:r>
        <w:r w:rsidR="008434CC">
          <w:rPr>
            <w:noProof/>
            <w:webHidden/>
          </w:rPr>
          <w:tab/>
        </w:r>
        <w:r w:rsidR="008434CC">
          <w:rPr>
            <w:noProof/>
            <w:webHidden/>
          </w:rPr>
          <w:fldChar w:fldCharType="begin"/>
        </w:r>
        <w:r w:rsidR="008434CC">
          <w:rPr>
            <w:noProof/>
            <w:webHidden/>
          </w:rPr>
          <w:instrText xml:space="preserve"> PAGEREF _Toc331686129 \h </w:instrText>
        </w:r>
        <w:r w:rsidR="008434CC">
          <w:rPr>
            <w:noProof/>
            <w:webHidden/>
          </w:rPr>
        </w:r>
        <w:r w:rsidR="008434CC">
          <w:rPr>
            <w:noProof/>
            <w:webHidden/>
          </w:rPr>
          <w:fldChar w:fldCharType="separate"/>
        </w:r>
        <w:r w:rsidR="008434CC">
          <w:rPr>
            <w:noProof/>
            <w:webHidden/>
          </w:rPr>
          <w:t>41</w:t>
        </w:r>
        <w:r w:rsidR="008434CC">
          <w:rPr>
            <w:noProof/>
            <w:webHidden/>
          </w:rPr>
          <w:fldChar w:fldCharType="end"/>
        </w:r>
      </w:hyperlink>
    </w:p>
    <w:p w:rsidR="008434CC" w:rsidRDefault="004C37E9">
      <w:pPr>
        <w:pStyle w:val="TOC2"/>
        <w:rPr>
          <w:noProof/>
          <w:lang w:val="en-AU" w:eastAsia="en-AU"/>
        </w:rPr>
      </w:pPr>
      <w:hyperlink w:anchor="_Toc331686130" w:history="1">
        <w:r w:rsidR="008434CC" w:rsidRPr="00605057">
          <w:rPr>
            <w:rStyle w:val="Hyperlink"/>
            <w:noProof/>
          </w:rPr>
          <w:t>7.2 Strategic Oversight and Management</w:t>
        </w:r>
        <w:r w:rsidR="008434CC">
          <w:rPr>
            <w:noProof/>
            <w:webHidden/>
          </w:rPr>
          <w:tab/>
        </w:r>
        <w:r w:rsidR="008434CC">
          <w:rPr>
            <w:noProof/>
            <w:webHidden/>
          </w:rPr>
          <w:fldChar w:fldCharType="begin"/>
        </w:r>
        <w:r w:rsidR="008434CC">
          <w:rPr>
            <w:noProof/>
            <w:webHidden/>
          </w:rPr>
          <w:instrText xml:space="preserve"> PAGEREF _Toc331686130 \h </w:instrText>
        </w:r>
        <w:r w:rsidR="008434CC">
          <w:rPr>
            <w:noProof/>
            <w:webHidden/>
          </w:rPr>
        </w:r>
        <w:r w:rsidR="008434CC">
          <w:rPr>
            <w:noProof/>
            <w:webHidden/>
          </w:rPr>
          <w:fldChar w:fldCharType="separate"/>
        </w:r>
        <w:r w:rsidR="008434CC">
          <w:rPr>
            <w:noProof/>
            <w:webHidden/>
          </w:rPr>
          <w:t>41</w:t>
        </w:r>
        <w:r w:rsidR="008434CC">
          <w:rPr>
            <w:noProof/>
            <w:webHidden/>
          </w:rPr>
          <w:fldChar w:fldCharType="end"/>
        </w:r>
      </w:hyperlink>
    </w:p>
    <w:p w:rsidR="008434CC" w:rsidRDefault="004C37E9">
      <w:pPr>
        <w:pStyle w:val="TOC3"/>
        <w:rPr>
          <w:noProof/>
          <w:lang w:val="en-AU" w:eastAsia="en-AU"/>
        </w:rPr>
      </w:pPr>
      <w:hyperlink w:anchor="_Toc331686131" w:history="1">
        <w:r w:rsidR="008434CC" w:rsidRPr="00605057">
          <w:rPr>
            <w:rStyle w:val="Hyperlink"/>
            <w:noProof/>
          </w:rPr>
          <w:t>7.2.1 Core Oversight and Management Body – HITEC</w:t>
        </w:r>
        <w:r w:rsidR="008434CC">
          <w:rPr>
            <w:noProof/>
            <w:webHidden/>
          </w:rPr>
          <w:tab/>
        </w:r>
        <w:r w:rsidR="008434CC">
          <w:rPr>
            <w:noProof/>
            <w:webHidden/>
          </w:rPr>
          <w:fldChar w:fldCharType="begin"/>
        </w:r>
        <w:r w:rsidR="008434CC">
          <w:rPr>
            <w:noProof/>
            <w:webHidden/>
          </w:rPr>
          <w:instrText xml:space="preserve"> PAGEREF _Toc331686131 \h </w:instrText>
        </w:r>
        <w:r w:rsidR="008434CC">
          <w:rPr>
            <w:noProof/>
            <w:webHidden/>
          </w:rPr>
        </w:r>
        <w:r w:rsidR="008434CC">
          <w:rPr>
            <w:noProof/>
            <w:webHidden/>
          </w:rPr>
          <w:fldChar w:fldCharType="separate"/>
        </w:r>
        <w:r w:rsidR="008434CC">
          <w:rPr>
            <w:noProof/>
            <w:webHidden/>
          </w:rPr>
          <w:t>41</w:t>
        </w:r>
        <w:r w:rsidR="008434CC">
          <w:rPr>
            <w:noProof/>
            <w:webHidden/>
          </w:rPr>
          <w:fldChar w:fldCharType="end"/>
        </w:r>
      </w:hyperlink>
    </w:p>
    <w:p w:rsidR="008434CC" w:rsidRDefault="004C37E9">
      <w:pPr>
        <w:pStyle w:val="TOC3"/>
        <w:rPr>
          <w:noProof/>
          <w:lang w:val="en-AU" w:eastAsia="en-AU"/>
        </w:rPr>
      </w:pPr>
      <w:hyperlink w:anchor="_Toc331686132" w:history="1">
        <w:r w:rsidR="008434CC" w:rsidRPr="00605057">
          <w:rPr>
            <w:rStyle w:val="Hyperlink"/>
            <w:noProof/>
          </w:rPr>
          <w:t>7.2.2 Donor and Technical Partner Participation</w:t>
        </w:r>
        <w:r w:rsidR="008434CC">
          <w:rPr>
            <w:noProof/>
            <w:webHidden/>
          </w:rPr>
          <w:tab/>
        </w:r>
        <w:r w:rsidR="008434CC">
          <w:rPr>
            <w:noProof/>
            <w:webHidden/>
          </w:rPr>
          <w:fldChar w:fldCharType="begin"/>
        </w:r>
        <w:r w:rsidR="008434CC">
          <w:rPr>
            <w:noProof/>
            <w:webHidden/>
          </w:rPr>
          <w:instrText xml:space="preserve"> PAGEREF _Toc331686132 \h </w:instrText>
        </w:r>
        <w:r w:rsidR="008434CC">
          <w:rPr>
            <w:noProof/>
            <w:webHidden/>
          </w:rPr>
        </w:r>
        <w:r w:rsidR="008434CC">
          <w:rPr>
            <w:noProof/>
            <w:webHidden/>
          </w:rPr>
          <w:fldChar w:fldCharType="separate"/>
        </w:r>
        <w:r w:rsidR="008434CC">
          <w:rPr>
            <w:noProof/>
            <w:webHidden/>
          </w:rPr>
          <w:t>42</w:t>
        </w:r>
        <w:r w:rsidR="008434CC">
          <w:rPr>
            <w:noProof/>
            <w:webHidden/>
          </w:rPr>
          <w:fldChar w:fldCharType="end"/>
        </w:r>
      </w:hyperlink>
    </w:p>
    <w:p w:rsidR="008434CC" w:rsidRDefault="004C37E9">
      <w:pPr>
        <w:pStyle w:val="TOC2"/>
        <w:rPr>
          <w:noProof/>
          <w:lang w:val="en-AU" w:eastAsia="en-AU"/>
        </w:rPr>
      </w:pPr>
      <w:hyperlink w:anchor="_Toc331686133" w:history="1">
        <w:r w:rsidR="008434CC" w:rsidRPr="00605057">
          <w:rPr>
            <w:rStyle w:val="Hyperlink"/>
            <w:noProof/>
          </w:rPr>
          <w:t>7.3 Financial Management</w:t>
        </w:r>
        <w:r w:rsidR="008434CC">
          <w:rPr>
            <w:noProof/>
            <w:webHidden/>
          </w:rPr>
          <w:tab/>
        </w:r>
        <w:r w:rsidR="008434CC">
          <w:rPr>
            <w:noProof/>
            <w:webHidden/>
          </w:rPr>
          <w:fldChar w:fldCharType="begin"/>
        </w:r>
        <w:r w:rsidR="008434CC">
          <w:rPr>
            <w:noProof/>
            <w:webHidden/>
          </w:rPr>
          <w:instrText xml:space="preserve"> PAGEREF _Toc331686133 \h </w:instrText>
        </w:r>
        <w:r w:rsidR="008434CC">
          <w:rPr>
            <w:noProof/>
            <w:webHidden/>
          </w:rPr>
        </w:r>
        <w:r w:rsidR="008434CC">
          <w:rPr>
            <w:noProof/>
            <w:webHidden/>
          </w:rPr>
          <w:fldChar w:fldCharType="separate"/>
        </w:r>
        <w:r w:rsidR="008434CC">
          <w:rPr>
            <w:noProof/>
            <w:webHidden/>
          </w:rPr>
          <w:t>42</w:t>
        </w:r>
        <w:r w:rsidR="008434CC">
          <w:rPr>
            <w:noProof/>
            <w:webHidden/>
          </w:rPr>
          <w:fldChar w:fldCharType="end"/>
        </w:r>
      </w:hyperlink>
    </w:p>
    <w:p w:rsidR="008434CC" w:rsidRDefault="004C37E9">
      <w:pPr>
        <w:pStyle w:val="TOC3"/>
        <w:rPr>
          <w:noProof/>
          <w:lang w:val="en-AU" w:eastAsia="en-AU"/>
        </w:rPr>
      </w:pPr>
      <w:hyperlink w:anchor="_Toc331686134" w:history="1">
        <w:r w:rsidR="008434CC" w:rsidRPr="00605057">
          <w:rPr>
            <w:rStyle w:val="Hyperlink"/>
            <w:noProof/>
          </w:rPr>
          <w:t>7.3.1 Current Arrangements under QTBECP and the Global Fund</w:t>
        </w:r>
        <w:r w:rsidR="008434CC">
          <w:rPr>
            <w:noProof/>
            <w:webHidden/>
          </w:rPr>
          <w:tab/>
        </w:r>
        <w:r w:rsidR="008434CC">
          <w:rPr>
            <w:noProof/>
            <w:webHidden/>
          </w:rPr>
          <w:fldChar w:fldCharType="begin"/>
        </w:r>
        <w:r w:rsidR="008434CC">
          <w:rPr>
            <w:noProof/>
            <w:webHidden/>
          </w:rPr>
          <w:instrText xml:space="preserve"> PAGEREF _Toc331686134 \h </w:instrText>
        </w:r>
        <w:r w:rsidR="008434CC">
          <w:rPr>
            <w:noProof/>
            <w:webHidden/>
          </w:rPr>
        </w:r>
        <w:r w:rsidR="008434CC">
          <w:rPr>
            <w:noProof/>
            <w:webHidden/>
          </w:rPr>
          <w:fldChar w:fldCharType="separate"/>
        </w:r>
        <w:r w:rsidR="008434CC">
          <w:rPr>
            <w:noProof/>
            <w:webHidden/>
          </w:rPr>
          <w:t>42</w:t>
        </w:r>
        <w:r w:rsidR="008434CC">
          <w:rPr>
            <w:noProof/>
            <w:webHidden/>
          </w:rPr>
          <w:fldChar w:fldCharType="end"/>
        </w:r>
      </w:hyperlink>
    </w:p>
    <w:p w:rsidR="008434CC" w:rsidRDefault="004C37E9">
      <w:pPr>
        <w:pStyle w:val="TOC3"/>
        <w:rPr>
          <w:noProof/>
          <w:lang w:val="en-AU" w:eastAsia="en-AU"/>
        </w:rPr>
      </w:pPr>
      <w:hyperlink w:anchor="_Toc331686135" w:history="1">
        <w:r w:rsidR="008434CC" w:rsidRPr="00605057">
          <w:rPr>
            <w:rStyle w:val="Hyperlink"/>
            <w:noProof/>
          </w:rPr>
          <w:t>7.3.2 Options for Alignment of Financial Management Systems</w:t>
        </w:r>
        <w:r w:rsidR="008434CC">
          <w:rPr>
            <w:noProof/>
            <w:webHidden/>
          </w:rPr>
          <w:tab/>
        </w:r>
        <w:r w:rsidR="008434CC">
          <w:rPr>
            <w:noProof/>
            <w:webHidden/>
          </w:rPr>
          <w:fldChar w:fldCharType="begin"/>
        </w:r>
        <w:r w:rsidR="008434CC">
          <w:rPr>
            <w:noProof/>
            <w:webHidden/>
          </w:rPr>
          <w:instrText xml:space="preserve"> PAGEREF _Toc331686135 \h </w:instrText>
        </w:r>
        <w:r w:rsidR="008434CC">
          <w:rPr>
            <w:noProof/>
            <w:webHidden/>
          </w:rPr>
        </w:r>
        <w:r w:rsidR="008434CC">
          <w:rPr>
            <w:noProof/>
            <w:webHidden/>
          </w:rPr>
          <w:fldChar w:fldCharType="separate"/>
        </w:r>
        <w:r w:rsidR="008434CC">
          <w:rPr>
            <w:noProof/>
            <w:webHidden/>
          </w:rPr>
          <w:t>42</w:t>
        </w:r>
        <w:r w:rsidR="008434CC">
          <w:rPr>
            <w:noProof/>
            <w:webHidden/>
          </w:rPr>
          <w:fldChar w:fldCharType="end"/>
        </w:r>
      </w:hyperlink>
    </w:p>
    <w:p w:rsidR="008434CC" w:rsidRDefault="004C37E9">
      <w:pPr>
        <w:pStyle w:val="TOC3"/>
        <w:rPr>
          <w:noProof/>
          <w:lang w:val="en-AU" w:eastAsia="en-AU"/>
        </w:rPr>
      </w:pPr>
      <w:hyperlink w:anchor="_Toc331686136" w:history="1">
        <w:r w:rsidR="008434CC" w:rsidRPr="00605057">
          <w:rPr>
            <w:rStyle w:val="Hyperlink"/>
            <w:noProof/>
          </w:rPr>
          <w:t>7.3.3 Recommended Approach from the Beginning of the new TB Project</w:t>
        </w:r>
        <w:r w:rsidR="008434CC">
          <w:rPr>
            <w:noProof/>
            <w:webHidden/>
          </w:rPr>
          <w:tab/>
        </w:r>
        <w:r w:rsidR="008434CC">
          <w:rPr>
            <w:noProof/>
            <w:webHidden/>
          </w:rPr>
          <w:fldChar w:fldCharType="begin"/>
        </w:r>
        <w:r w:rsidR="008434CC">
          <w:rPr>
            <w:noProof/>
            <w:webHidden/>
          </w:rPr>
          <w:instrText xml:space="preserve"> PAGEREF _Toc331686136 \h </w:instrText>
        </w:r>
        <w:r w:rsidR="008434CC">
          <w:rPr>
            <w:noProof/>
            <w:webHidden/>
          </w:rPr>
        </w:r>
        <w:r w:rsidR="008434CC">
          <w:rPr>
            <w:noProof/>
            <w:webHidden/>
          </w:rPr>
          <w:fldChar w:fldCharType="separate"/>
        </w:r>
        <w:r w:rsidR="008434CC">
          <w:rPr>
            <w:noProof/>
            <w:webHidden/>
          </w:rPr>
          <w:t>43</w:t>
        </w:r>
        <w:r w:rsidR="008434CC">
          <w:rPr>
            <w:noProof/>
            <w:webHidden/>
          </w:rPr>
          <w:fldChar w:fldCharType="end"/>
        </w:r>
      </w:hyperlink>
    </w:p>
    <w:p w:rsidR="008434CC" w:rsidRDefault="004C37E9">
      <w:pPr>
        <w:pStyle w:val="TOC2"/>
        <w:rPr>
          <w:noProof/>
          <w:lang w:val="en-AU" w:eastAsia="en-AU"/>
        </w:rPr>
      </w:pPr>
      <w:hyperlink w:anchor="_Toc331686137" w:history="1">
        <w:r w:rsidR="008434CC" w:rsidRPr="00605057">
          <w:rPr>
            <w:rStyle w:val="Hyperlink"/>
            <w:noProof/>
          </w:rPr>
          <w:t>7.4 The Roles of Other Partners in the Project</w:t>
        </w:r>
        <w:r w:rsidR="008434CC">
          <w:rPr>
            <w:noProof/>
            <w:webHidden/>
          </w:rPr>
          <w:tab/>
        </w:r>
        <w:r w:rsidR="008434CC">
          <w:rPr>
            <w:noProof/>
            <w:webHidden/>
          </w:rPr>
          <w:fldChar w:fldCharType="begin"/>
        </w:r>
        <w:r w:rsidR="008434CC">
          <w:rPr>
            <w:noProof/>
            <w:webHidden/>
          </w:rPr>
          <w:instrText xml:space="preserve"> PAGEREF _Toc331686137 \h </w:instrText>
        </w:r>
        <w:r w:rsidR="008434CC">
          <w:rPr>
            <w:noProof/>
            <w:webHidden/>
          </w:rPr>
        </w:r>
        <w:r w:rsidR="008434CC">
          <w:rPr>
            <w:noProof/>
            <w:webHidden/>
          </w:rPr>
          <w:fldChar w:fldCharType="separate"/>
        </w:r>
        <w:r w:rsidR="008434CC">
          <w:rPr>
            <w:noProof/>
            <w:webHidden/>
          </w:rPr>
          <w:t>44</w:t>
        </w:r>
        <w:r w:rsidR="008434CC">
          <w:rPr>
            <w:noProof/>
            <w:webHidden/>
          </w:rPr>
          <w:fldChar w:fldCharType="end"/>
        </w:r>
      </w:hyperlink>
    </w:p>
    <w:p w:rsidR="008434CC" w:rsidRDefault="004C37E9">
      <w:pPr>
        <w:pStyle w:val="TOC3"/>
        <w:rPr>
          <w:noProof/>
          <w:lang w:val="en-AU" w:eastAsia="en-AU"/>
        </w:rPr>
      </w:pPr>
      <w:hyperlink w:anchor="_Toc331686138" w:history="1">
        <w:r w:rsidR="008434CC" w:rsidRPr="00605057">
          <w:rPr>
            <w:rStyle w:val="Hyperlink"/>
            <w:noProof/>
          </w:rPr>
          <w:t>7.4.1 Ministry of Health and Medical Services</w:t>
        </w:r>
        <w:r w:rsidR="008434CC">
          <w:rPr>
            <w:noProof/>
            <w:webHidden/>
          </w:rPr>
          <w:tab/>
        </w:r>
        <w:r w:rsidR="008434CC">
          <w:rPr>
            <w:noProof/>
            <w:webHidden/>
          </w:rPr>
          <w:fldChar w:fldCharType="begin"/>
        </w:r>
        <w:r w:rsidR="008434CC">
          <w:rPr>
            <w:noProof/>
            <w:webHidden/>
          </w:rPr>
          <w:instrText xml:space="preserve"> PAGEREF _Toc331686138 \h </w:instrText>
        </w:r>
        <w:r w:rsidR="008434CC">
          <w:rPr>
            <w:noProof/>
            <w:webHidden/>
          </w:rPr>
        </w:r>
        <w:r w:rsidR="008434CC">
          <w:rPr>
            <w:noProof/>
            <w:webHidden/>
          </w:rPr>
          <w:fldChar w:fldCharType="separate"/>
        </w:r>
        <w:r w:rsidR="008434CC">
          <w:rPr>
            <w:noProof/>
            <w:webHidden/>
          </w:rPr>
          <w:t>44</w:t>
        </w:r>
        <w:r w:rsidR="008434CC">
          <w:rPr>
            <w:noProof/>
            <w:webHidden/>
          </w:rPr>
          <w:fldChar w:fldCharType="end"/>
        </w:r>
      </w:hyperlink>
    </w:p>
    <w:p w:rsidR="008434CC" w:rsidRDefault="004C37E9">
      <w:pPr>
        <w:pStyle w:val="TOC3"/>
        <w:rPr>
          <w:noProof/>
          <w:lang w:val="en-AU" w:eastAsia="en-AU"/>
        </w:rPr>
      </w:pPr>
      <w:hyperlink w:anchor="_Toc331686139" w:history="1">
        <w:r w:rsidR="008434CC" w:rsidRPr="00605057">
          <w:rPr>
            <w:rStyle w:val="Hyperlink"/>
            <w:noProof/>
          </w:rPr>
          <w:t>7.4.2 The National TB Program</w:t>
        </w:r>
        <w:r w:rsidR="008434CC">
          <w:rPr>
            <w:noProof/>
            <w:webHidden/>
          </w:rPr>
          <w:tab/>
        </w:r>
        <w:r w:rsidR="008434CC">
          <w:rPr>
            <w:noProof/>
            <w:webHidden/>
          </w:rPr>
          <w:fldChar w:fldCharType="begin"/>
        </w:r>
        <w:r w:rsidR="008434CC">
          <w:rPr>
            <w:noProof/>
            <w:webHidden/>
          </w:rPr>
          <w:instrText xml:space="preserve"> PAGEREF _Toc331686139 \h </w:instrText>
        </w:r>
        <w:r w:rsidR="008434CC">
          <w:rPr>
            <w:noProof/>
            <w:webHidden/>
          </w:rPr>
        </w:r>
        <w:r w:rsidR="008434CC">
          <w:rPr>
            <w:noProof/>
            <w:webHidden/>
          </w:rPr>
          <w:fldChar w:fldCharType="separate"/>
        </w:r>
        <w:r w:rsidR="008434CC">
          <w:rPr>
            <w:noProof/>
            <w:webHidden/>
          </w:rPr>
          <w:t>44</w:t>
        </w:r>
        <w:r w:rsidR="008434CC">
          <w:rPr>
            <w:noProof/>
            <w:webHidden/>
          </w:rPr>
          <w:fldChar w:fldCharType="end"/>
        </w:r>
      </w:hyperlink>
    </w:p>
    <w:p w:rsidR="008434CC" w:rsidRDefault="004C37E9">
      <w:pPr>
        <w:pStyle w:val="TOC3"/>
        <w:rPr>
          <w:noProof/>
          <w:lang w:val="en-AU" w:eastAsia="en-AU"/>
        </w:rPr>
      </w:pPr>
      <w:hyperlink w:anchor="_Toc331686140" w:history="1">
        <w:r w:rsidR="008434CC" w:rsidRPr="00605057">
          <w:rPr>
            <w:rStyle w:val="Hyperlink"/>
            <w:noProof/>
          </w:rPr>
          <w:t>7.4.3 Secretariat of the Pacific Community</w:t>
        </w:r>
        <w:r w:rsidR="008434CC">
          <w:rPr>
            <w:noProof/>
            <w:webHidden/>
          </w:rPr>
          <w:tab/>
        </w:r>
        <w:r w:rsidR="008434CC">
          <w:rPr>
            <w:noProof/>
            <w:webHidden/>
          </w:rPr>
          <w:fldChar w:fldCharType="begin"/>
        </w:r>
        <w:r w:rsidR="008434CC">
          <w:rPr>
            <w:noProof/>
            <w:webHidden/>
          </w:rPr>
          <w:instrText xml:space="preserve"> PAGEREF _Toc331686140 \h </w:instrText>
        </w:r>
        <w:r w:rsidR="008434CC">
          <w:rPr>
            <w:noProof/>
            <w:webHidden/>
          </w:rPr>
        </w:r>
        <w:r w:rsidR="008434CC">
          <w:rPr>
            <w:noProof/>
            <w:webHidden/>
          </w:rPr>
          <w:fldChar w:fldCharType="separate"/>
        </w:r>
        <w:r w:rsidR="008434CC">
          <w:rPr>
            <w:noProof/>
            <w:webHidden/>
          </w:rPr>
          <w:t>45</w:t>
        </w:r>
        <w:r w:rsidR="008434CC">
          <w:rPr>
            <w:noProof/>
            <w:webHidden/>
          </w:rPr>
          <w:fldChar w:fldCharType="end"/>
        </w:r>
      </w:hyperlink>
    </w:p>
    <w:p w:rsidR="008434CC" w:rsidRDefault="004C37E9">
      <w:pPr>
        <w:pStyle w:val="TOC3"/>
        <w:rPr>
          <w:noProof/>
          <w:lang w:val="en-AU" w:eastAsia="en-AU"/>
        </w:rPr>
      </w:pPr>
      <w:hyperlink w:anchor="_Toc331686141" w:history="1">
        <w:r w:rsidR="008434CC" w:rsidRPr="00605057">
          <w:rPr>
            <w:rStyle w:val="Hyperlink"/>
            <w:noProof/>
          </w:rPr>
          <w:t>7.4.4 Other Technical Partners</w:t>
        </w:r>
        <w:r w:rsidR="008434CC">
          <w:rPr>
            <w:noProof/>
            <w:webHidden/>
          </w:rPr>
          <w:tab/>
        </w:r>
        <w:r w:rsidR="008434CC">
          <w:rPr>
            <w:noProof/>
            <w:webHidden/>
          </w:rPr>
          <w:fldChar w:fldCharType="begin"/>
        </w:r>
        <w:r w:rsidR="008434CC">
          <w:rPr>
            <w:noProof/>
            <w:webHidden/>
          </w:rPr>
          <w:instrText xml:space="preserve"> PAGEREF _Toc331686141 \h </w:instrText>
        </w:r>
        <w:r w:rsidR="008434CC">
          <w:rPr>
            <w:noProof/>
            <w:webHidden/>
          </w:rPr>
        </w:r>
        <w:r w:rsidR="008434CC">
          <w:rPr>
            <w:noProof/>
            <w:webHidden/>
          </w:rPr>
          <w:fldChar w:fldCharType="separate"/>
        </w:r>
        <w:r w:rsidR="008434CC">
          <w:rPr>
            <w:noProof/>
            <w:webHidden/>
          </w:rPr>
          <w:t>46</w:t>
        </w:r>
        <w:r w:rsidR="008434CC">
          <w:rPr>
            <w:noProof/>
            <w:webHidden/>
          </w:rPr>
          <w:fldChar w:fldCharType="end"/>
        </w:r>
      </w:hyperlink>
    </w:p>
    <w:p w:rsidR="008434CC" w:rsidRDefault="004C37E9">
      <w:pPr>
        <w:pStyle w:val="TOC3"/>
        <w:rPr>
          <w:noProof/>
          <w:lang w:val="en-AU" w:eastAsia="en-AU"/>
        </w:rPr>
      </w:pPr>
      <w:hyperlink w:anchor="_Toc331686142" w:history="1">
        <w:r w:rsidR="008434CC" w:rsidRPr="00605057">
          <w:rPr>
            <w:rStyle w:val="Hyperlink"/>
            <w:noProof/>
          </w:rPr>
          <w:t>7.4.5 NGOs</w:t>
        </w:r>
        <w:r w:rsidR="008434CC">
          <w:rPr>
            <w:noProof/>
            <w:webHidden/>
          </w:rPr>
          <w:tab/>
        </w:r>
        <w:r w:rsidR="008434CC">
          <w:rPr>
            <w:noProof/>
            <w:webHidden/>
          </w:rPr>
          <w:fldChar w:fldCharType="begin"/>
        </w:r>
        <w:r w:rsidR="008434CC">
          <w:rPr>
            <w:noProof/>
            <w:webHidden/>
          </w:rPr>
          <w:instrText xml:space="preserve"> PAGEREF _Toc331686142 \h </w:instrText>
        </w:r>
        <w:r w:rsidR="008434CC">
          <w:rPr>
            <w:noProof/>
            <w:webHidden/>
          </w:rPr>
        </w:r>
        <w:r w:rsidR="008434CC">
          <w:rPr>
            <w:noProof/>
            <w:webHidden/>
          </w:rPr>
          <w:fldChar w:fldCharType="separate"/>
        </w:r>
        <w:r w:rsidR="008434CC">
          <w:rPr>
            <w:noProof/>
            <w:webHidden/>
          </w:rPr>
          <w:t>46</w:t>
        </w:r>
        <w:r w:rsidR="008434CC">
          <w:rPr>
            <w:noProof/>
            <w:webHidden/>
          </w:rPr>
          <w:fldChar w:fldCharType="end"/>
        </w:r>
      </w:hyperlink>
    </w:p>
    <w:p w:rsidR="008434CC" w:rsidRDefault="004C37E9">
      <w:pPr>
        <w:pStyle w:val="TOC2"/>
        <w:rPr>
          <w:noProof/>
          <w:lang w:val="en-AU" w:eastAsia="en-AU"/>
        </w:rPr>
      </w:pPr>
      <w:hyperlink w:anchor="_Toc331686143" w:history="1">
        <w:r w:rsidR="008434CC" w:rsidRPr="00605057">
          <w:rPr>
            <w:rStyle w:val="Hyperlink"/>
            <w:noProof/>
          </w:rPr>
          <w:t>7.5 Technical Advisory Group</w:t>
        </w:r>
        <w:r w:rsidR="008434CC">
          <w:rPr>
            <w:noProof/>
            <w:webHidden/>
          </w:rPr>
          <w:tab/>
        </w:r>
        <w:r w:rsidR="008434CC">
          <w:rPr>
            <w:noProof/>
            <w:webHidden/>
          </w:rPr>
          <w:fldChar w:fldCharType="begin"/>
        </w:r>
        <w:r w:rsidR="008434CC">
          <w:rPr>
            <w:noProof/>
            <w:webHidden/>
          </w:rPr>
          <w:instrText xml:space="preserve"> PAGEREF _Toc331686143 \h </w:instrText>
        </w:r>
        <w:r w:rsidR="008434CC">
          <w:rPr>
            <w:noProof/>
            <w:webHidden/>
          </w:rPr>
        </w:r>
        <w:r w:rsidR="008434CC">
          <w:rPr>
            <w:noProof/>
            <w:webHidden/>
          </w:rPr>
          <w:fldChar w:fldCharType="separate"/>
        </w:r>
        <w:r w:rsidR="008434CC">
          <w:rPr>
            <w:noProof/>
            <w:webHidden/>
          </w:rPr>
          <w:t>46</w:t>
        </w:r>
        <w:r w:rsidR="008434CC">
          <w:rPr>
            <w:noProof/>
            <w:webHidden/>
          </w:rPr>
          <w:fldChar w:fldCharType="end"/>
        </w:r>
      </w:hyperlink>
    </w:p>
    <w:p w:rsidR="008434CC" w:rsidRDefault="004C37E9">
      <w:pPr>
        <w:pStyle w:val="TOC3"/>
        <w:rPr>
          <w:noProof/>
          <w:lang w:val="en-AU" w:eastAsia="en-AU"/>
        </w:rPr>
      </w:pPr>
      <w:hyperlink w:anchor="_Toc331686144" w:history="1">
        <w:r w:rsidR="008434CC" w:rsidRPr="00605057">
          <w:rPr>
            <w:rStyle w:val="Hyperlink"/>
            <w:noProof/>
          </w:rPr>
          <w:t>7.5.1 Composition and Frequency</w:t>
        </w:r>
        <w:r w:rsidR="008434CC">
          <w:rPr>
            <w:noProof/>
            <w:webHidden/>
          </w:rPr>
          <w:tab/>
        </w:r>
        <w:r w:rsidR="008434CC">
          <w:rPr>
            <w:noProof/>
            <w:webHidden/>
          </w:rPr>
          <w:fldChar w:fldCharType="begin"/>
        </w:r>
        <w:r w:rsidR="008434CC">
          <w:rPr>
            <w:noProof/>
            <w:webHidden/>
          </w:rPr>
          <w:instrText xml:space="preserve"> PAGEREF _Toc331686144 \h </w:instrText>
        </w:r>
        <w:r w:rsidR="008434CC">
          <w:rPr>
            <w:noProof/>
            <w:webHidden/>
          </w:rPr>
        </w:r>
        <w:r w:rsidR="008434CC">
          <w:rPr>
            <w:noProof/>
            <w:webHidden/>
          </w:rPr>
          <w:fldChar w:fldCharType="separate"/>
        </w:r>
        <w:r w:rsidR="008434CC">
          <w:rPr>
            <w:noProof/>
            <w:webHidden/>
          </w:rPr>
          <w:t>46</w:t>
        </w:r>
        <w:r w:rsidR="008434CC">
          <w:rPr>
            <w:noProof/>
            <w:webHidden/>
          </w:rPr>
          <w:fldChar w:fldCharType="end"/>
        </w:r>
      </w:hyperlink>
    </w:p>
    <w:p w:rsidR="008434CC" w:rsidRDefault="004C37E9">
      <w:pPr>
        <w:pStyle w:val="TOC3"/>
        <w:rPr>
          <w:noProof/>
          <w:lang w:val="en-AU" w:eastAsia="en-AU"/>
        </w:rPr>
      </w:pPr>
      <w:hyperlink w:anchor="_Toc331686145" w:history="1">
        <w:r w:rsidR="008434CC" w:rsidRPr="00605057">
          <w:rPr>
            <w:rStyle w:val="Hyperlink"/>
            <w:noProof/>
          </w:rPr>
          <w:t>7.5.2 Timing, and Coordination with other Review Activities</w:t>
        </w:r>
        <w:r w:rsidR="008434CC">
          <w:rPr>
            <w:noProof/>
            <w:webHidden/>
          </w:rPr>
          <w:tab/>
        </w:r>
        <w:r w:rsidR="008434CC">
          <w:rPr>
            <w:noProof/>
            <w:webHidden/>
          </w:rPr>
          <w:fldChar w:fldCharType="begin"/>
        </w:r>
        <w:r w:rsidR="008434CC">
          <w:rPr>
            <w:noProof/>
            <w:webHidden/>
          </w:rPr>
          <w:instrText xml:space="preserve"> PAGEREF _Toc331686145 \h </w:instrText>
        </w:r>
        <w:r w:rsidR="008434CC">
          <w:rPr>
            <w:noProof/>
            <w:webHidden/>
          </w:rPr>
        </w:r>
        <w:r w:rsidR="008434CC">
          <w:rPr>
            <w:noProof/>
            <w:webHidden/>
          </w:rPr>
          <w:fldChar w:fldCharType="separate"/>
        </w:r>
        <w:r w:rsidR="008434CC">
          <w:rPr>
            <w:noProof/>
            <w:webHidden/>
          </w:rPr>
          <w:t>47</w:t>
        </w:r>
        <w:r w:rsidR="008434CC">
          <w:rPr>
            <w:noProof/>
            <w:webHidden/>
          </w:rPr>
          <w:fldChar w:fldCharType="end"/>
        </w:r>
      </w:hyperlink>
    </w:p>
    <w:p w:rsidR="008434CC" w:rsidRDefault="004C37E9">
      <w:pPr>
        <w:pStyle w:val="TOC3"/>
        <w:rPr>
          <w:noProof/>
          <w:lang w:val="en-AU" w:eastAsia="en-AU"/>
        </w:rPr>
      </w:pPr>
      <w:hyperlink w:anchor="_Toc331686146" w:history="1">
        <w:r w:rsidR="008434CC" w:rsidRPr="00605057">
          <w:rPr>
            <w:rStyle w:val="Hyperlink"/>
            <w:noProof/>
          </w:rPr>
          <w:t>7.5.3 Terms of Reference</w:t>
        </w:r>
        <w:r w:rsidR="008434CC">
          <w:rPr>
            <w:noProof/>
            <w:webHidden/>
          </w:rPr>
          <w:tab/>
        </w:r>
        <w:r w:rsidR="008434CC">
          <w:rPr>
            <w:noProof/>
            <w:webHidden/>
          </w:rPr>
          <w:fldChar w:fldCharType="begin"/>
        </w:r>
        <w:r w:rsidR="008434CC">
          <w:rPr>
            <w:noProof/>
            <w:webHidden/>
          </w:rPr>
          <w:instrText xml:space="preserve"> PAGEREF _Toc331686146 \h </w:instrText>
        </w:r>
        <w:r w:rsidR="008434CC">
          <w:rPr>
            <w:noProof/>
            <w:webHidden/>
          </w:rPr>
        </w:r>
        <w:r w:rsidR="008434CC">
          <w:rPr>
            <w:noProof/>
            <w:webHidden/>
          </w:rPr>
          <w:fldChar w:fldCharType="separate"/>
        </w:r>
        <w:r w:rsidR="008434CC">
          <w:rPr>
            <w:noProof/>
            <w:webHidden/>
          </w:rPr>
          <w:t>47</w:t>
        </w:r>
        <w:r w:rsidR="008434CC">
          <w:rPr>
            <w:noProof/>
            <w:webHidden/>
          </w:rPr>
          <w:fldChar w:fldCharType="end"/>
        </w:r>
      </w:hyperlink>
    </w:p>
    <w:p w:rsidR="008434CC" w:rsidRDefault="004C37E9">
      <w:pPr>
        <w:pStyle w:val="TOC1"/>
        <w:rPr>
          <w:b w:val="0"/>
          <w:lang w:val="en-AU" w:eastAsia="en-AU"/>
        </w:rPr>
      </w:pPr>
      <w:hyperlink w:anchor="_Toc331686147" w:history="1">
        <w:r w:rsidR="008434CC" w:rsidRPr="00605057">
          <w:rPr>
            <w:rStyle w:val="Hyperlink"/>
          </w:rPr>
          <w:t>8. Budget and Budget Analysis</w:t>
        </w:r>
        <w:r w:rsidR="008434CC">
          <w:rPr>
            <w:webHidden/>
          </w:rPr>
          <w:tab/>
        </w:r>
        <w:r w:rsidR="008434CC">
          <w:rPr>
            <w:webHidden/>
          </w:rPr>
          <w:fldChar w:fldCharType="begin"/>
        </w:r>
        <w:r w:rsidR="008434CC">
          <w:rPr>
            <w:webHidden/>
          </w:rPr>
          <w:instrText xml:space="preserve"> PAGEREF _Toc331686147 \h </w:instrText>
        </w:r>
        <w:r w:rsidR="008434CC">
          <w:rPr>
            <w:webHidden/>
          </w:rPr>
        </w:r>
        <w:r w:rsidR="008434CC">
          <w:rPr>
            <w:webHidden/>
          </w:rPr>
          <w:fldChar w:fldCharType="separate"/>
        </w:r>
        <w:r w:rsidR="008434CC">
          <w:rPr>
            <w:webHidden/>
          </w:rPr>
          <w:t>49</w:t>
        </w:r>
        <w:r w:rsidR="008434CC">
          <w:rPr>
            <w:webHidden/>
          </w:rPr>
          <w:fldChar w:fldCharType="end"/>
        </w:r>
      </w:hyperlink>
    </w:p>
    <w:p w:rsidR="008434CC" w:rsidRDefault="004C37E9">
      <w:pPr>
        <w:pStyle w:val="TOC2"/>
        <w:rPr>
          <w:noProof/>
          <w:lang w:val="en-AU" w:eastAsia="en-AU"/>
        </w:rPr>
      </w:pPr>
      <w:hyperlink w:anchor="_Toc331686148" w:history="1">
        <w:r w:rsidR="008434CC" w:rsidRPr="00605057">
          <w:rPr>
            <w:rStyle w:val="Hyperlink"/>
            <w:noProof/>
          </w:rPr>
          <w:t>8.1 Overview</w:t>
        </w:r>
        <w:r w:rsidR="008434CC">
          <w:rPr>
            <w:noProof/>
            <w:webHidden/>
          </w:rPr>
          <w:tab/>
        </w:r>
        <w:r w:rsidR="008434CC">
          <w:rPr>
            <w:noProof/>
            <w:webHidden/>
          </w:rPr>
          <w:fldChar w:fldCharType="begin"/>
        </w:r>
        <w:r w:rsidR="008434CC">
          <w:rPr>
            <w:noProof/>
            <w:webHidden/>
          </w:rPr>
          <w:instrText xml:space="preserve"> PAGEREF _Toc331686148 \h </w:instrText>
        </w:r>
        <w:r w:rsidR="008434CC">
          <w:rPr>
            <w:noProof/>
            <w:webHidden/>
          </w:rPr>
        </w:r>
        <w:r w:rsidR="008434CC">
          <w:rPr>
            <w:noProof/>
            <w:webHidden/>
          </w:rPr>
          <w:fldChar w:fldCharType="separate"/>
        </w:r>
        <w:r w:rsidR="008434CC">
          <w:rPr>
            <w:noProof/>
            <w:webHidden/>
          </w:rPr>
          <w:t>49</w:t>
        </w:r>
        <w:r w:rsidR="008434CC">
          <w:rPr>
            <w:noProof/>
            <w:webHidden/>
          </w:rPr>
          <w:fldChar w:fldCharType="end"/>
        </w:r>
      </w:hyperlink>
    </w:p>
    <w:p w:rsidR="008434CC" w:rsidRDefault="004C37E9">
      <w:pPr>
        <w:pStyle w:val="TOC2"/>
        <w:rPr>
          <w:noProof/>
          <w:lang w:val="en-AU" w:eastAsia="en-AU"/>
        </w:rPr>
      </w:pPr>
      <w:hyperlink w:anchor="_Toc331686149" w:history="1">
        <w:r w:rsidR="008434CC" w:rsidRPr="00605057">
          <w:rPr>
            <w:rStyle w:val="Hyperlink"/>
            <w:noProof/>
          </w:rPr>
          <w:t>8.2 Budget by Objective and Year</w:t>
        </w:r>
        <w:r w:rsidR="008434CC">
          <w:rPr>
            <w:noProof/>
            <w:webHidden/>
          </w:rPr>
          <w:tab/>
        </w:r>
        <w:r w:rsidR="008434CC">
          <w:rPr>
            <w:noProof/>
            <w:webHidden/>
          </w:rPr>
          <w:fldChar w:fldCharType="begin"/>
        </w:r>
        <w:r w:rsidR="008434CC">
          <w:rPr>
            <w:noProof/>
            <w:webHidden/>
          </w:rPr>
          <w:instrText xml:space="preserve"> PAGEREF _Toc331686149 \h </w:instrText>
        </w:r>
        <w:r w:rsidR="008434CC">
          <w:rPr>
            <w:noProof/>
            <w:webHidden/>
          </w:rPr>
        </w:r>
        <w:r w:rsidR="008434CC">
          <w:rPr>
            <w:noProof/>
            <w:webHidden/>
          </w:rPr>
          <w:fldChar w:fldCharType="separate"/>
        </w:r>
        <w:r w:rsidR="008434CC">
          <w:rPr>
            <w:noProof/>
            <w:webHidden/>
          </w:rPr>
          <w:t>49</w:t>
        </w:r>
        <w:r w:rsidR="008434CC">
          <w:rPr>
            <w:noProof/>
            <w:webHidden/>
          </w:rPr>
          <w:fldChar w:fldCharType="end"/>
        </w:r>
      </w:hyperlink>
    </w:p>
    <w:p w:rsidR="008434CC" w:rsidRDefault="004C37E9">
      <w:pPr>
        <w:pStyle w:val="TOC2"/>
        <w:rPr>
          <w:noProof/>
          <w:lang w:val="en-AU" w:eastAsia="en-AU"/>
        </w:rPr>
      </w:pPr>
      <w:hyperlink w:anchor="_Toc331686150" w:history="1">
        <w:r w:rsidR="008434CC" w:rsidRPr="00605057">
          <w:rPr>
            <w:rStyle w:val="Hyperlink"/>
            <w:noProof/>
          </w:rPr>
          <w:t>8.3 Operational Budget by Objective</w:t>
        </w:r>
        <w:r w:rsidR="008434CC">
          <w:rPr>
            <w:noProof/>
            <w:webHidden/>
          </w:rPr>
          <w:tab/>
        </w:r>
        <w:r w:rsidR="008434CC">
          <w:rPr>
            <w:noProof/>
            <w:webHidden/>
          </w:rPr>
          <w:fldChar w:fldCharType="begin"/>
        </w:r>
        <w:r w:rsidR="008434CC">
          <w:rPr>
            <w:noProof/>
            <w:webHidden/>
          </w:rPr>
          <w:instrText xml:space="preserve"> PAGEREF _Toc331686150 \h </w:instrText>
        </w:r>
        <w:r w:rsidR="008434CC">
          <w:rPr>
            <w:noProof/>
            <w:webHidden/>
          </w:rPr>
        </w:r>
        <w:r w:rsidR="008434CC">
          <w:rPr>
            <w:noProof/>
            <w:webHidden/>
          </w:rPr>
          <w:fldChar w:fldCharType="separate"/>
        </w:r>
        <w:r w:rsidR="008434CC">
          <w:rPr>
            <w:noProof/>
            <w:webHidden/>
          </w:rPr>
          <w:t>50</w:t>
        </w:r>
        <w:r w:rsidR="008434CC">
          <w:rPr>
            <w:noProof/>
            <w:webHidden/>
          </w:rPr>
          <w:fldChar w:fldCharType="end"/>
        </w:r>
      </w:hyperlink>
    </w:p>
    <w:p w:rsidR="008434CC" w:rsidRDefault="004C37E9">
      <w:pPr>
        <w:pStyle w:val="TOC2"/>
        <w:rPr>
          <w:noProof/>
          <w:lang w:val="en-AU" w:eastAsia="en-AU"/>
        </w:rPr>
      </w:pPr>
      <w:hyperlink w:anchor="_Toc331686151" w:history="1">
        <w:r w:rsidR="008434CC" w:rsidRPr="00605057">
          <w:rPr>
            <w:rStyle w:val="Hyperlink"/>
            <w:noProof/>
          </w:rPr>
          <w:t>8.4 Administration and On-Costs</w:t>
        </w:r>
        <w:r w:rsidR="008434CC">
          <w:rPr>
            <w:noProof/>
            <w:webHidden/>
          </w:rPr>
          <w:tab/>
        </w:r>
        <w:r w:rsidR="008434CC">
          <w:rPr>
            <w:noProof/>
            <w:webHidden/>
          </w:rPr>
          <w:fldChar w:fldCharType="begin"/>
        </w:r>
        <w:r w:rsidR="008434CC">
          <w:rPr>
            <w:noProof/>
            <w:webHidden/>
          </w:rPr>
          <w:instrText xml:space="preserve"> PAGEREF _Toc331686151 \h </w:instrText>
        </w:r>
        <w:r w:rsidR="008434CC">
          <w:rPr>
            <w:noProof/>
            <w:webHidden/>
          </w:rPr>
        </w:r>
        <w:r w:rsidR="008434CC">
          <w:rPr>
            <w:noProof/>
            <w:webHidden/>
          </w:rPr>
          <w:fldChar w:fldCharType="separate"/>
        </w:r>
        <w:r w:rsidR="008434CC">
          <w:rPr>
            <w:noProof/>
            <w:webHidden/>
          </w:rPr>
          <w:t>51</w:t>
        </w:r>
        <w:r w:rsidR="008434CC">
          <w:rPr>
            <w:noProof/>
            <w:webHidden/>
          </w:rPr>
          <w:fldChar w:fldCharType="end"/>
        </w:r>
      </w:hyperlink>
    </w:p>
    <w:p w:rsidR="008434CC" w:rsidRDefault="004C37E9">
      <w:pPr>
        <w:pStyle w:val="TOC2"/>
        <w:rPr>
          <w:noProof/>
          <w:lang w:val="en-AU" w:eastAsia="en-AU"/>
        </w:rPr>
      </w:pPr>
      <w:hyperlink w:anchor="_Toc331686152" w:history="1">
        <w:r w:rsidR="008434CC" w:rsidRPr="00605057">
          <w:rPr>
            <w:rStyle w:val="Hyperlink"/>
            <w:noProof/>
          </w:rPr>
          <w:t>8.5 Performance-linked and Conditional Funding</w:t>
        </w:r>
        <w:r w:rsidR="008434CC">
          <w:rPr>
            <w:noProof/>
            <w:webHidden/>
          </w:rPr>
          <w:tab/>
        </w:r>
        <w:r w:rsidR="008434CC">
          <w:rPr>
            <w:noProof/>
            <w:webHidden/>
          </w:rPr>
          <w:fldChar w:fldCharType="begin"/>
        </w:r>
        <w:r w:rsidR="008434CC">
          <w:rPr>
            <w:noProof/>
            <w:webHidden/>
          </w:rPr>
          <w:instrText xml:space="preserve"> PAGEREF _Toc331686152 \h </w:instrText>
        </w:r>
        <w:r w:rsidR="008434CC">
          <w:rPr>
            <w:noProof/>
            <w:webHidden/>
          </w:rPr>
        </w:r>
        <w:r w:rsidR="008434CC">
          <w:rPr>
            <w:noProof/>
            <w:webHidden/>
          </w:rPr>
          <w:fldChar w:fldCharType="separate"/>
        </w:r>
        <w:r w:rsidR="008434CC">
          <w:rPr>
            <w:noProof/>
            <w:webHidden/>
          </w:rPr>
          <w:t>51</w:t>
        </w:r>
        <w:r w:rsidR="008434CC">
          <w:rPr>
            <w:noProof/>
            <w:webHidden/>
          </w:rPr>
          <w:fldChar w:fldCharType="end"/>
        </w:r>
      </w:hyperlink>
    </w:p>
    <w:p w:rsidR="008434CC" w:rsidRDefault="004C37E9">
      <w:pPr>
        <w:pStyle w:val="TOC2"/>
        <w:rPr>
          <w:noProof/>
          <w:lang w:val="en-AU" w:eastAsia="en-AU"/>
        </w:rPr>
      </w:pPr>
      <w:hyperlink w:anchor="_Toc331686153" w:history="1">
        <w:r w:rsidR="008434CC" w:rsidRPr="00605057">
          <w:rPr>
            <w:rStyle w:val="Hyperlink"/>
            <w:noProof/>
          </w:rPr>
          <w:t>8.6 Proportion allocated to M&amp;E</w:t>
        </w:r>
        <w:r w:rsidR="008434CC">
          <w:rPr>
            <w:noProof/>
            <w:webHidden/>
          </w:rPr>
          <w:tab/>
        </w:r>
        <w:r w:rsidR="008434CC">
          <w:rPr>
            <w:noProof/>
            <w:webHidden/>
          </w:rPr>
          <w:fldChar w:fldCharType="begin"/>
        </w:r>
        <w:r w:rsidR="008434CC">
          <w:rPr>
            <w:noProof/>
            <w:webHidden/>
          </w:rPr>
          <w:instrText xml:space="preserve"> PAGEREF _Toc331686153 \h </w:instrText>
        </w:r>
        <w:r w:rsidR="008434CC">
          <w:rPr>
            <w:noProof/>
            <w:webHidden/>
          </w:rPr>
        </w:r>
        <w:r w:rsidR="008434CC">
          <w:rPr>
            <w:noProof/>
            <w:webHidden/>
          </w:rPr>
          <w:fldChar w:fldCharType="separate"/>
        </w:r>
        <w:r w:rsidR="008434CC">
          <w:rPr>
            <w:noProof/>
            <w:webHidden/>
          </w:rPr>
          <w:t>51</w:t>
        </w:r>
        <w:r w:rsidR="008434CC">
          <w:rPr>
            <w:noProof/>
            <w:webHidden/>
          </w:rPr>
          <w:fldChar w:fldCharType="end"/>
        </w:r>
      </w:hyperlink>
    </w:p>
    <w:p w:rsidR="008434CC" w:rsidRDefault="004C37E9">
      <w:pPr>
        <w:pStyle w:val="TOC2"/>
        <w:rPr>
          <w:noProof/>
          <w:lang w:val="en-AU" w:eastAsia="en-AU"/>
        </w:rPr>
      </w:pPr>
      <w:hyperlink w:anchor="_Toc331686154" w:history="1">
        <w:r w:rsidR="008434CC" w:rsidRPr="00605057">
          <w:rPr>
            <w:rStyle w:val="Hyperlink"/>
            <w:noProof/>
          </w:rPr>
          <w:t>8.7 Reprogramming and allocation of cost savings</w:t>
        </w:r>
        <w:r w:rsidR="008434CC">
          <w:rPr>
            <w:noProof/>
            <w:webHidden/>
          </w:rPr>
          <w:tab/>
        </w:r>
        <w:r w:rsidR="008434CC">
          <w:rPr>
            <w:noProof/>
            <w:webHidden/>
          </w:rPr>
          <w:fldChar w:fldCharType="begin"/>
        </w:r>
        <w:r w:rsidR="008434CC">
          <w:rPr>
            <w:noProof/>
            <w:webHidden/>
          </w:rPr>
          <w:instrText xml:space="preserve"> PAGEREF _Toc331686154 \h </w:instrText>
        </w:r>
        <w:r w:rsidR="008434CC">
          <w:rPr>
            <w:noProof/>
            <w:webHidden/>
          </w:rPr>
        </w:r>
        <w:r w:rsidR="008434CC">
          <w:rPr>
            <w:noProof/>
            <w:webHidden/>
          </w:rPr>
          <w:fldChar w:fldCharType="separate"/>
        </w:r>
        <w:r w:rsidR="008434CC">
          <w:rPr>
            <w:noProof/>
            <w:webHidden/>
          </w:rPr>
          <w:t>51</w:t>
        </w:r>
        <w:r w:rsidR="008434CC">
          <w:rPr>
            <w:noProof/>
            <w:webHidden/>
          </w:rPr>
          <w:fldChar w:fldCharType="end"/>
        </w:r>
      </w:hyperlink>
    </w:p>
    <w:p w:rsidR="008434CC" w:rsidRDefault="004C37E9">
      <w:pPr>
        <w:pStyle w:val="TOC1"/>
        <w:rPr>
          <w:b w:val="0"/>
          <w:lang w:val="en-AU" w:eastAsia="en-AU"/>
        </w:rPr>
      </w:pPr>
      <w:hyperlink w:anchor="_Toc331686155" w:history="1">
        <w:r w:rsidR="008434CC" w:rsidRPr="00605057">
          <w:rPr>
            <w:rStyle w:val="Hyperlink"/>
          </w:rPr>
          <w:t>9. Project Monitoring, Reporting and Review</w:t>
        </w:r>
        <w:r w:rsidR="008434CC">
          <w:rPr>
            <w:webHidden/>
          </w:rPr>
          <w:tab/>
        </w:r>
        <w:r w:rsidR="008434CC">
          <w:rPr>
            <w:webHidden/>
          </w:rPr>
          <w:fldChar w:fldCharType="begin"/>
        </w:r>
        <w:r w:rsidR="008434CC">
          <w:rPr>
            <w:webHidden/>
          </w:rPr>
          <w:instrText xml:space="preserve"> PAGEREF _Toc331686155 \h </w:instrText>
        </w:r>
        <w:r w:rsidR="008434CC">
          <w:rPr>
            <w:webHidden/>
          </w:rPr>
        </w:r>
        <w:r w:rsidR="008434CC">
          <w:rPr>
            <w:webHidden/>
          </w:rPr>
          <w:fldChar w:fldCharType="separate"/>
        </w:r>
        <w:r w:rsidR="008434CC">
          <w:rPr>
            <w:webHidden/>
          </w:rPr>
          <w:t>52</w:t>
        </w:r>
        <w:r w:rsidR="008434CC">
          <w:rPr>
            <w:webHidden/>
          </w:rPr>
          <w:fldChar w:fldCharType="end"/>
        </w:r>
      </w:hyperlink>
    </w:p>
    <w:p w:rsidR="008434CC" w:rsidRDefault="004C37E9">
      <w:pPr>
        <w:pStyle w:val="TOC2"/>
        <w:rPr>
          <w:noProof/>
          <w:lang w:val="en-AU" w:eastAsia="en-AU"/>
        </w:rPr>
      </w:pPr>
      <w:hyperlink w:anchor="_Toc331686156" w:history="1">
        <w:r w:rsidR="008434CC" w:rsidRPr="00605057">
          <w:rPr>
            <w:rStyle w:val="Hyperlink"/>
            <w:noProof/>
          </w:rPr>
          <w:t>9.1 Alignment and Principles</w:t>
        </w:r>
        <w:r w:rsidR="008434CC">
          <w:rPr>
            <w:noProof/>
            <w:webHidden/>
          </w:rPr>
          <w:tab/>
        </w:r>
        <w:r w:rsidR="008434CC">
          <w:rPr>
            <w:noProof/>
            <w:webHidden/>
          </w:rPr>
          <w:fldChar w:fldCharType="begin"/>
        </w:r>
        <w:r w:rsidR="008434CC">
          <w:rPr>
            <w:noProof/>
            <w:webHidden/>
          </w:rPr>
          <w:instrText xml:space="preserve"> PAGEREF _Toc331686156 \h </w:instrText>
        </w:r>
        <w:r w:rsidR="008434CC">
          <w:rPr>
            <w:noProof/>
            <w:webHidden/>
          </w:rPr>
        </w:r>
        <w:r w:rsidR="008434CC">
          <w:rPr>
            <w:noProof/>
            <w:webHidden/>
          </w:rPr>
          <w:fldChar w:fldCharType="separate"/>
        </w:r>
        <w:r w:rsidR="008434CC">
          <w:rPr>
            <w:noProof/>
            <w:webHidden/>
          </w:rPr>
          <w:t>52</w:t>
        </w:r>
        <w:r w:rsidR="008434CC">
          <w:rPr>
            <w:noProof/>
            <w:webHidden/>
          </w:rPr>
          <w:fldChar w:fldCharType="end"/>
        </w:r>
      </w:hyperlink>
    </w:p>
    <w:p w:rsidR="008434CC" w:rsidRDefault="004C37E9">
      <w:pPr>
        <w:pStyle w:val="TOC2"/>
        <w:rPr>
          <w:noProof/>
          <w:lang w:val="en-AU" w:eastAsia="en-AU"/>
        </w:rPr>
      </w:pPr>
      <w:hyperlink w:anchor="_Toc331686157" w:history="1">
        <w:r w:rsidR="008434CC" w:rsidRPr="00605057">
          <w:rPr>
            <w:rStyle w:val="Hyperlink"/>
            <w:noProof/>
          </w:rPr>
          <w:t>9.2 Annual TB Program Review</w:t>
        </w:r>
        <w:r w:rsidR="008434CC">
          <w:rPr>
            <w:noProof/>
            <w:webHidden/>
          </w:rPr>
          <w:tab/>
        </w:r>
        <w:r w:rsidR="008434CC">
          <w:rPr>
            <w:noProof/>
            <w:webHidden/>
          </w:rPr>
          <w:fldChar w:fldCharType="begin"/>
        </w:r>
        <w:r w:rsidR="008434CC">
          <w:rPr>
            <w:noProof/>
            <w:webHidden/>
          </w:rPr>
          <w:instrText xml:space="preserve"> PAGEREF _Toc331686157 \h </w:instrText>
        </w:r>
        <w:r w:rsidR="008434CC">
          <w:rPr>
            <w:noProof/>
            <w:webHidden/>
          </w:rPr>
        </w:r>
        <w:r w:rsidR="008434CC">
          <w:rPr>
            <w:noProof/>
            <w:webHidden/>
          </w:rPr>
          <w:fldChar w:fldCharType="separate"/>
        </w:r>
        <w:r w:rsidR="008434CC">
          <w:rPr>
            <w:noProof/>
            <w:webHidden/>
          </w:rPr>
          <w:t>52</w:t>
        </w:r>
        <w:r w:rsidR="008434CC">
          <w:rPr>
            <w:noProof/>
            <w:webHidden/>
          </w:rPr>
          <w:fldChar w:fldCharType="end"/>
        </w:r>
      </w:hyperlink>
    </w:p>
    <w:p w:rsidR="008434CC" w:rsidRDefault="004C37E9">
      <w:pPr>
        <w:pStyle w:val="TOC2"/>
        <w:rPr>
          <w:noProof/>
          <w:lang w:val="en-AU" w:eastAsia="en-AU"/>
        </w:rPr>
      </w:pPr>
      <w:hyperlink w:anchor="_Toc331686158" w:history="1">
        <w:r w:rsidR="008434CC" w:rsidRPr="00605057">
          <w:rPr>
            <w:rStyle w:val="Hyperlink"/>
            <w:noProof/>
          </w:rPr>
          <w:t>9.3 Reports Required, and Frequency</w:t>
        </w:r>
        <w:r w:rsidR="008434CC">
          <w:rPr>
            <w:noProof/>
            <w:webHidden/>
          </w:rPr>
          <w:tab/>
        </w:r>
        <w:r w:rsidR="008434CC">
          <w:rPr>
            <w:noProof/>
            <w:webHidden/>
          </w:rPr>
          <w:fldChar w:fldCharType="begin"/>
        </w:r>
        <w:r w:rsidR="008434CC">
          <w:rPr>
            <w:noProof/>
            <w:webHidden/>
          </w:rPr>
          <w:instrText xml:space="preserve"> PAGEREF _Toc331686158 \h </w:instrText>
        </w:r>
        <w:r w:rsidR="008434CC">
          <w:rPr>
            <w:noProof/>
            <w:webHidden/>
          </w:rPr>
        </w:r>
        <w:r w:rsidR="008434CC">
          <w:rPr>
            <w:noProof/>
            <w:webHidden/>
          </w:rPr>
          <w:fldChar w:fldCharType="separate"/>
        </w:r>
        <w:r w:rsidR="008434CC">
          <w:rPr>
            <w:noProof/>
            <w:webHidden/>
          </w:rPr>
          <w:t>52</w:t>
        </w:r>
        <w:r w:rsidR="008434CC">
          <w:rPr>
            <w:noProof/>
            <w:webHidden/>
          </w:rPr>
          <w:fldChar w:fldCharType="end"/>
        </w:r>
      </w:hyperlink>
    </w:p>
    <w:p w:rsidR="008434CC" w:rsidRDefault="004C37E9">
      <w:pPr>
        <w:pStyle w:val="TOC3"/>
        <w:rPr>
          <w:noProof/>
          <w:lang w:val="en-AU" w:eastAsia="en-AU"/>
        </w:rPr>
      </w:pPr>
      <w:hyperlink w:anchor="_Toc331686159" w:history="1">
        <w:r w:rsidR="008434CC" w:rsidRPr="00605057">
          <w:rPr>
            <w:rStyle w:val="Hyperlink"/>
            <w:noProof/>
          </w:rPr>
          <w:t>9.3.1 Annual Progress Report for the NTP</w:t>
        </w:r>
        <w:r w:rsidR="008434CC">
          <w:rPr>
            <w:noProof/>
            <w:webHidden/>
          </w:rPr>
          <w:tab/>
        </w:r>
        <w:r w:rsidR="008434CC">
          <w:rPr>
            <w:noProof/>
            <w:webHidden/>
          </w:rPr>
          <w:fldChar w:fldCharType="begin"/>
        </w:r>
        <w:r w:rsidR="008434CC">
          <w:rPr>
            <w:noProof/>
            <w:webHidden/>
          </w:rPr>
          <w:instrText xml:space="preserve"> PAGEREF _Toc331686159 \h </w:instrText>
        </w:r>
        <w:r w:rsidR="008434CC">
          <w:rPr>
            <w:noProof/>
            <w:webHidden/>
          </w:rPr>
        </w:r>
        <w:r w:rsidR="008434CC">
          <w:rPr>
            <w:noProof/>
            <w:webHidden/>
          </w:rPr>
          <w:fldChar w:fldCharType="separate"/>
        </w:r>
        <w:r w:rsidR="008434CC">
          <w:rPr>
            <w:noProof/>
            <w:webHidden/>
          </w:rPr>
          <w:t>52</w:t>
        </w:r>
        <w:r w:rsidR="008434CC">
          <w:rPr>
            <w:noProof/>
            <w:webHidden/>
          </w:rPr>
          <w:fldChar w:fldCharType="end"/>
        </w:r>
      </w:hyperlink>
    </w:p>
    <w:p w:rsidR="008434CC" w:rsidRDefault="004C37E9">
      <w:pPr>
        <w:pStyle w:val="TOC3"/>
        <w:rPr>
          <w:noProof/>
          <w:lang w:val="en-AU" w:eastAsia="en-AU"/>
        </w:rPr>
      </w:pPr>
      <w:hyperlink w:anchor="_Toc331686160" w:history="1">
        <w:r w:rsidR="008434CC" w:rsidRPr="00605057">
          <w:rPr>
            <w:rStyle w:val="Hyperlink"/>
            <w:noProof/>
          </w:rPr>
          <w:t>9.3.2 Monthly Acquittals of Expenditure</w:t>
        </w:r>
        <w:r w:rsidR="008434CC">
          <w:rPr>
            <w:noProof/>
            <w:webHidden/>
          </w:rPr>
          <w:tab/>
        </w:r>
        <w:r w:rsidR="008434CC">
          <w:rPr>
            <w:noProof/>
            <w:webHidden/>
          </w:rPr>
          <w:fldChar w:fldCharType="begin"/>
        </w:r>
        <w:r w:rsidR="008434CC">
          <w:rPr>
            <w:noProof/>
            <w:webHidden/>
          </w:rPr>
          <w:instrText xml:space="preserve"> PAGEREF _Toc331686160 \h </w:instrText>
        </w:r>
        <w:r w:rsidR="008434CC">
          <w:rPr>
            <w:noProof/>
            <w:webHidden/>
          </w:rPr>
        </w:r>
        <w:r w:rsidR="008434CC">
          <w:rPr>
            <w:noProof/>
            <w:webHidden/>
          </w:rPr>
          <w:fldChar w:fldCharType="separate"/>
        </w:r>
        <w:r w:rsidR="008434CC">
          <w:rPr>
            <w:noProof/>
            <w:webHidden/>
          </w:rPr>
          <w:t>53</w:t>
        </w:r>
        <w:r w:rsidR="008434CC">
          <w:rPr>
            <w:noProof/>
            <w:webHidden/>
          </w:rPr>
          <w:fldChar w:fldCharType="end"/>
        </w:r>
      </w:hyperlink>
    </w:p>
    <w:p w:rsidR="008434CC" w:rsidRDefault="004C37E9">
      <w:pPr>
        <w:pStyle w:val="TOC3"/>
        <w:rPr>
          <w:noProof/>
          <w:lang w:val="en-AU" w:eastAsia="en-AU"/>
        </w:rPr>
      </w:pPr>
      <w:hyperlink w:anchor="_Toc331686161" w:history="1">
        <w:r w:rsidR="008434CC" w:rsidRPr="00605057">
          <w:rPr>
            <w:rStyle w:val="Hyperlink"/>
            <w:noProof/>
          </w:rPr>
          <w:t>9.3.3 Six-Monthly Risk Monitoring, Management and Reporting</w:t>
        </w:r>
        <w:r w:rsidR="008434CC">
          <w:rPr>
            <w:noProof/>
            <w:webHidden/>
          </w:rPr>
          <w:tab/>
        </w:r>
        <w:r w:rsidR="008434CC">
          <w:rPr>
            <w:noProof/>
            <w:webHidden/>
          </w:rPr>
          <w:fldChar w:fldCharType="begin"/>
        </w:r>
        <w:r w:rsidR="008434CC">
          <w:rPr>
            <w:noProof/>
            <w:webHidden/>
          </w:rPr>
          <w:instrText xml:space="preserve"> PAGEREF _Toc331686161 \h </w:instrText>
        </w:r>
        <w:r w:rsidR="008434CC">
          <w:rPr>
            <w:noProof/>
            <w:webHidden/>
          </w:rPr>
        </w:r>
        <w:r w:rsidR="008434CC">
          <w:rPr>
            <w:noProof/>
            <w:webHidden/>
          </w:rPr>
          <w:fldChar w:fldCharType="separate"/>
        </w:r>
        <w:r w:rsidR="008434CC">
          <w:rPr>
            <w:noProof/>
            <w:webHidden/>
          </w:rPr>
          <w:t>53</w:t>
        </w:r>
        <w:r w:rsidR="008434CC">
          <w:rPr>
            <w:noProof/>
            <w:webHidden/>
          </w:rPr>
          <w:fldChar w:fldCharType="end"/>
        </w:r>
      </w:hyperlink>
    </w:p>
    <w:p w:rsidR="008434CC" w:rsidRDefault="004C37E9">
      <w:pPr>
        <w:pStyle w:val="TOC2"/>
        <w:rPr>
          <w:noProof/>
          <w:lang w:val="en-AU" w:eastAsia="en-AU"/>
        </w:rPr>
      </w:pPr>
      <w:hyperlink w:anchor="_Toc331686162" w:history="1">
        <w:r w:rsidR="008434CC" w:rsidRPr="00605057">
          <w:rPr>
            <w:rStyle w:val="Hyperlink"/>
            <w:noProof/>
          </w:rPr>
          <w:t>9.4 Project-Specific Performance Framework</w:t>
        </w:r>
        <w:r w:rsidR="008434CC">
          <w:rPr>
            <w:noProof/>
            <w:webHidden/>
          </w:rPr>
          <w:tab/>
        </w:r>
        <w:r w:rsidR="008434CC">
          <w:rPr>
            <w:noProof/>
            <w:webHidden/>
          </w:rPr>
          <w:fldChar w:fldCharType="begin"/>
        </w:r>
        <w:r w:rsidR="008434CC">
          <w:rPr>
            <w:noProof/>
            <w:webHidden/>
          </w:rPr>
          <w:instrText xml:space="preserve"> PAGEREF _Toc331686162 \h </w:instrText>
        </w:r>
        <w:r w:rsidR="008434CC">
          <w:rPr>
            <w:noProof/>
            <w:webHidden/>
          </w:rPr>
        </w:r>
        <w:r w:rsidR="008434CC">
          <w:rPr>
            <w:noProof/>
            <w:webHidden/>
          </w:rPr>
          <w:fldChar w:fldCharType="separate"/>
        </w:r>
        <w:r w:rsidR="008434CC">
          <w:rPr>
            <w:noProof/>
            <w:webHidden/>
          </w:rPr>
          <w:t>53</w:t>
        </w:r>
        <w:r w:rsidR="008434CC">
          <w:rPr>
            <w:noProof/>
            <w:webHidden/>
          </w:rPr>
          <w:fldChar w:fldCharType="end"/>
        </w:r>
      </w:hyperlink>
    </w:p>
    <w:p w:rsidR="008434CC" w:rsidRDefault="004C37E9">
      <w:pPr>
        <w:pStyle w:val="TOC2"/>
        <w:rPr>
          <w:noProof/>
          <w:lang w:val="en-AU" w:eastAsia="en-AU"/>
        </w:rPr>
      </w:pPr>
      <w:hyperlink w:anchor="_Toc331686163" w:history="1">
        <w:r w:rsidR="008434CC" w:rsidRPr="00605057">
          <w:rPr>
            <w:rStyle w:val="Hyperlink"/>
            <w:noProof/>
          </w:rPr>
          <w:t>9.5 Project-Specific Reviews and Reporting</w:t>
        </w:r>
        <w:r w:rsidR="008434CC">
          <w:rPr>
            <w:noProof/>
            <w:webHidden/>
          </w:rPr>
          <w:tab/>
        </w:r>
        <w:r w:rsidR="008434CC">
          <w:rPr>
            <w:noProof/>
            <w:webHidden/>
          </w:rPr>
          <w:fldChar w:fldCharType="begin"/>
        </w:r>
        <w:r w:rsidR="008434CC">
          <w:rPr>
            <w:noProof/>
            <w:webHidden/>
          </w:rPr>
          <w:instrText xml:space="preserve"> PAGEREF _Toc331686163 \h </w:instrText>
        </w:r>
        <w:r w:rsidR="008434CC">
          <w:rPr>
            <w:noProof/>
            <w:webHidden/>
          </w:rPr>
        </w:r>
        <w:r w:rsidR="008434CC">
          <w:rPr>
            <w:noProof/>
            <w:webHidden/>
          </w:rPr>
          <w:fldChar w:fldCharType="separate"/>
        </w:r>
        <w:r w:rsidR="008434CC">
          <w:rPr>
            <w:noProof/>
            <w:webHidden/>
          </w:rPr>
          <w:t>54</w:t>
        </w:r>
        <w:r w:rsidR="008434CC">
          <w:rPr>
            <w:noProof/>
            <w:webHidden/>
          </w:rPr>
          <w:fldChar w:fldCharType="end"/>
        </w:r>
      </w:hyperlink>
    </w:p>
    <w:p w:rsidR="008434CC" w:rsidRDefault="004C37E9">
      <w:pPr>
        <w:pStyle w:val="TOC3"/>
        <w:rPr>
          <w:noProof/>
          <w:lang w:val="en-AU" w:eastAsia="en-AU"/>
        </w:rPr>
      </w:pPr>
      <w:hyperlink w:anchor="_Toc331686164" w:history="1">
        <w:r w:rsidR="008434CC" w:rsidRPr="00605057">
          <w:rPr>
            <w:rStyle w:val="Hyperlink"/>
            <w:noProof/>
          </w:rPr>
          <w:t>9.5.1 Mid-Term Review</w:t>
        </w:r>
        <w:r w:rsidR="008434CC">
          <w:rPr>
            <w:noProof/>
            <w:webHidden/>
          </w:rPr>
          <w:tab/>
        </w:r>
        <w:r w:rsidR="008434CC">
          <w:rPr>
            <w:noProof/>
            <w:webHidden/>
          </w:rPr>
          <w:fldChar w:fldCharType="begin"/>
        </w:r>
        <w:r w:rsidR="008434CC">
          <w:rPr>
            <w:noProof/>
            <w:webHidden/>
          </w:rPr>
          <w:instrText xml:space="preserve"> PAGEREF _Toc331686164 \h </w:instrText>
        </w:r>
        <w:r w:rsidR="008434CC">
          <w:rPr>
            <w:noProof/>
            <w:webHidden/>
          </w:rPr>
        </w:r>
        <w:r w:rsidR="008434CC">
          <w:rPr>
            <w:noProof/>
            <w:webHidden/>
          </w:rPr>
          <w:fldChar w:fldCharType="separate"/>
        </w:r>
        <w:r w:rsidR="008434CC">
          <w:rPr>
            <w:noProof/>
            <w:webHidden/>
          </w:rPr>
          <w:t>54</w:t>
        </w:r>
        <w:r w:rsidR="008434CC">
          <w:rPr>
            <w:noProof/>
            <w:webHidden/>
          </w:rPr>
          <w:fldChar w:fldCharType="end"/>
        </w:r>
      </w:hyperlink>
    </w:p>
    <w:p w:rsidR="008434CC" w:rsidRDefault="004C37E9">
      <w:pPr>
        <w:pStyle w:val="TOC3"/>
        <w:rPr>
          <w:noProof/>
          <w:lang w:val="en-AU" w:eastAsia="en-AU"/>
        </w:rPr>
      </w:pPr>
      <w:hyperlink w:anchor="_Toc331686165" w:history="1">
        <w:r w:rsidR="008434CC" w:rsidRPr="00605057">
          <w:rPr>
            <w:rStyle w:val="Hyperlink"/>
            <w:noProof/>
          </w:rPr>
          <w:t>9.5.2 End-of-Project Reviews</w:t>
        </w:r>
        <w:r w:rsidR="008434CC">
          <w:rPr>
            <w:noProof/>
            <w:webHidden/>
          </w:rPr>
          <w:tab/>
        </w:r>
        <w:r w:rsidR="008434CC">
          <w:rPr>
            <w:noProof/>
            <w:webHidden/>
          </w:rPr>
          <w:fldChar w:fldCharType="begin"/>
        </w:r>
        <w:r w:rsidR="008434CC">
          <w:rPr>
            <w:noProof/>
            <w:webHidden/>
          </w:rPr>
          <w:instrText xml:space="preserve"> PAGEREF _Toc331686165 \h </w:instrText>
        </w:r>
        <w:r w:rsidR="008434CC">
          <w:rPr>
            <w:noProof/>
            <w:webHidden/>
          </w:rPr>
        </w:r>
        <w:r w:rsidR="008434CC">
          <w:rPr>
            <w:noProof/>
            <w:webHidden/>
          </w:rPr>
          <w:fldChar w:fldCharType="separate"/>
        </w:r>
        <w:r w:rsidR="008434CC">
          <w:rPr>
            <w:noProof/>
            <w:webHidden/>
          </w:rPr>
          <w:t>55</w:t>
        </w:r>
        <w:r w:rsidR="008434CC">
          <w:rPr>
            <w:noProof/>
            <w:webHidden/>
          </w:rPr>
          <w:fldChar w:fldCharType="end"/>
        </w:r>
      </w:hyperlink>
    </w:p>
    <w:p w:rsidR="008434CC" w:rsidRDefault="004C37E9">
      <w:pPr>
        <w:pStyle w:val="TOC1"/>
        <w:rPr>
          <w:b w:val="0"/>
          <w:lang w:val="en-AU" w:eastAsia="en-AU"/>
        </w:rPr>
      </w:pPr>
      <w:hyperlink w:anchor="_Toc331686166" w:history="1">
        <w:r w:rsidR="008434CC" w:rsidRPr="00605057">
          <w:rPr>
            <w:rStyle w:val="Hyperlink"/>
          </w:rPr>
          <w:t>10. Risk Management</w:t>
        </w:r>
        <w:r w:rsidR="008434CC">
          <w:rPr>
            <w:webHidden/>
          </w:rPr>
          <w:tab/>
        </w:r>
        <w:r w:rsidR="008434CC">
          <w:rPr>
            <w:webHidden/>
          </w:rPr>
          <w:fldChar w:fldCharType="begin"/>
        </w:r>
        <w:r w:rsidR="008434CC">
          <w:rPr>
            <w:webHidden/>
          </w:rPr>
          <w:instrText xml:space="preserve"> PAGEREF _Toc331686166 \h </w:instrText>
        </w:r>
        <w:r w:rsidR="008434CC">
          <w:rPr>
            <w:webHidden/>
          </w:rPr>
        </w:r>
        <w:r w:rsidR="008434CC">
          <w:rPr>
            <w:webHidden/>
          </w:rPr>
          <w:fldChar w:fldCharType="separate"/>
        </w:r>
        <w:r w:rsidR="008434CC">
          <w:rPr>
            <w:webHidden/>
          </w:rPr>
          <w:t>56</w:t>
        </w:r>
        <w:r w:rsidR="008434CC">
          <w:rPr>
            <w:webHidden/>
          </w:rPr>
          <w:fldChar w:fldCharType="end"/>
        </w:r>
      </w:hyperlink>
    </w:p>
    <w:p w:rsidR="008434CC" w:rsidRDefault="004C37E9">
      <w:pPr>
        <w:pStyle w:val="TOC2"/>
        <w:rPr>
          <w:noProof/>
          <w:lang w:val="en-AU" w:eastAsia="en-AU"/>
        </w:rPr>
      </w:pPr>
      <w:hyperlink w:anchor="_Toc331686167" w:history="1">
        <w:r w:rsidR="008434CC" w:rsidRPr="00605057">
          <w:rPr>
            <w:rStyle w:val="Hyperlink"/>
            <w:noProof/>
          </w:rPr>
          <w:t>10.1 Purpose</w:t>
        </w:r>
        <w:r w:rsidR="008434CC">
          <w:rPr>
            <w:noProof/>
            <w:webHidden/>
          </w:rPr>
          <w:tab/>
        </w:r>
        <w:r w:rsidR="008434CC">
          <w:rPr>
            <w:noProof/>
            <w:webHidden/>
          </w:rPr>
          <w:fldChar w:fldCharType="begin"/>
        </w:r>
        <w:r w:rsidR="008434CC">
          <w:rPr>
            <w:noProof/>
            <w:webHidden/>
          </w:rPr>
          <w:instrText xml:space="preserve"> PAGEREF _Toc331686167 \h </w:instrText>
        </w:r>
        <w:r w:rsidR="008434CC">
          <w:rPr>
            <w:noProof/>
            <w:webHidden/>
          </w:rPr>
        </w:r>
        <w:r w:rsidR="008434CC">
          <w:rPr>
            <w:noProof/>
            <w:webHidden/>
          </w:rPr>
          <w:fldChar w:fldCharType="separate"/>
        </w:r>
        <w:r w:rsidR="008434CC">
          <w:rPr>
            <w:noProof/>
            <w:webHidden/>
          </w:rPr>
          <w:t>56</w:t>
        </w:r>
        <w:r w:rsidR="008434CC">
          <w:rPr>
            <w:noProof/>
            <w:webHidden/>
          </w:rPr>
          <w:fldChar w:fldCharType="end"/>
        </w:r>
      </w:hyperlink>
    </w:p>
    <w:p w:rsidR="008434CC" w:rsidRDefault="004C37E9">
      <w:pPr>
        <w:pStyle w:val="TOC2"/>
        <w:rPr>
          <w:noProof/>
          <w:lang w:val="en-AU" w:eastAsia="en-AU"/>
        </w:rPr>
      </w:pPr>
      <w:hyperlink w:anchor="_Toc331686168" w:history="1">
        <w:r w:rsidR="008434CC" w:rsidRPr="00605057">
          <w:rPr>
            <w:rStyle w:val="Hyperlink"/>
            <w:noProof/>
          </w:rPr>
          <w:t>10.2 Risk Management Procedure</w:t>
        </w:r>
        <w:r w:rsidR="008434CC">
          <w:rPr>
            <w:noProof/>
            <w:webHidden/>
          </w:rPr>
          <w:tab/>
        </w:r>
        <w:r w:rsidR="008434CC">
          <w:rPr>
            <w:noProof/>
            <w:webHidden/>
          </w:rPr>
          <w:fldChar w:fldCharType="begin"/>
        </w:r>
        <w:r w:rsidR="008434CC">
          <w:rPr>
            <w:noProof/>
            <w:webHidden/>
          </w:rPr>
          <w:instrText xml:space="preserve"> PAGEREF _Toc331686168 \h </w:instrText>
        </w:r>
        <w:r w:rsidR="008434CC">
          <w:rPr>
            <w:noProof/>
            <w:webHidden/>
          </w:rPr>
        </w:r>
        <w:r w:rsidR="008434CC">
          <w:rPr>
            <w:noProof/>
            <w:webHidden/>
          </w:rPr>
          <w:fldChar w:fldCharType="separate"/>
        </w:r>
        <w:r w:rsidR="008434CC">
          <w:rPr>
            <w:noProof/>
            <w:webHidden/>
          </w:rPr>
          <w:t>56</w:t>
        </w:r>
        <w:r w:rsidR="008434CC">
          <w:rPr>
            <w:noProof/>
            <w:webHidden/>
          </w:rPr>
          <w:fldChar w:fldCharType="end"/>
        </w:r>
      </w:hyperlink>
    </w:p>
    <w:p w:rsidR="008434CC" w:rsidRDefault="004C37E9">
      <w:pPr>
        <w:pStyle w:val="TOC3"/>
        <w:rPr>
          <w:noProof/>
          <w:lang w:val="en-AU" w:eastAsia="en-AU"/>
        </w:rPr>
      </w:pPr>
      <w:hyperlink w:anchor="_Toc331686169" w:history="1">
        <w:r w:rsidR="008434CC" w:rsidRPr="00605057">
          <w:rPr>
            <w:rStyle w:val="Hyperlink"/>
            <w:noProof/>
          </w:rPr>
          <w:t>10.2.1 Risk Monitoring by Senior Adviser and SPC</w:t>
        </w:r>
        <w:r w:rsidR="008434CC">
          <w:rPr>
            <w:noProof/>
            <w:webHidden/>
          </w:rPr>
          <w:tab/>
        </w:r>
        <w:r w:rsidR="008434CC">
          <w:rPr>
            <w:noProof/>
            <w:webHidden/>
          </w:rPr>
          <w:fldChar w:fldCharType="begin"/>
        </w:r>
        <w:r w:rsidR="008434CC">
          <w:rPr>
            <w:noProof/>
            <w:webHidden/>
          </w:rPr>
          <w:instrText xml:space="preserve"> PAGEREF _Toc331686169 \h </w:instrText>
        </w:r>
        <w:r w:rsidR="008434CC">
          <w:rPr>
            <w:noProof/>
            <w:webHidden/>
          </w:rPr>
        </w:r>
        <w:r w:rsidR="008434CC">
          <w:rPr>
            <w:noProof/>
            <w:webHidden/>
          </w:rPr>
          <w:fldChar w:fldCharType="separate"/>
        </w:r>
        <w:r w:rsidR="008434CC">
          <w:rPr>
            <w:noProof/>
            <w:webHidden/>
          </w:rPr>
          <w:t>56</w:t>
        </w:r>
        <w:r w:rsidR="008434CC">
          <w:rPr>
            <w:noProof/>
            <w:webHidden/>
          </w:rPr>
          <w:fldChar w:fldCharType="end"/>
        </w:r>
      </w:hyperlink>
    </w:p>
    <w:p w:rsidR="008434CC" w:rsidRDefault="004C37E9">
      <w:pPr>
        <w:pStyle w:val="TOC3"/>
        <w:rPr>
          <w:noProof/>
          <w:lang w:val="en-AU" w:eastAsia="en-AU"/>
        </w:rPr>
      </w:pPr>
      <w:hyperlink w:anchor="_Toc331686170" w:history="1">
        <w:r w:rsidR="008434CC" w:rsidRPr="00605057">
          <w:rPr>
            <w:rStyle w:val="Hyperlink"/>
            <w:noProof/>
          </w:rPr>
          <w:t>10.2.2 Documentation</w:t>
        </w:r>
        <w:r w:rsidR="008434CC">
          <w:rPr>
            <w:noProof/>
            <w:webHidden/>
          </w:rPr>
          <w:tab/>
        </w:r>
        <w:r w:rsidR="008434CC">
          <w:rPr>
            <w:noProof/>
            <w:webHidden/>
          </w:rPr>
          <w:fldChar w:fldCharType="begin"/>
        </w:r>
        <w:r w:rsidR="008434CC">
          <w:rPr>
            <w:noProof/>
            <w:webHidden/>
          </w:rPr>
          <w:instrText xml:space="preserve"> PAGEREF _Toc331686170 \h </w:instrText>
        </w:r>
        <w:r w:rsidR="008434CC">
          <w:rPr>
            <w:noProof/>
            <w:webHidden/>
          </w:rPr>
        </w:r>
        <w:r w:rsidR="008434CC">
          <w:rPr>
            <w:noProof/>
            <w:webHidden/>
          </w:rPr>
          <w:fldChar w:fldCharType="separate"/>
        </w:r>
        <w:r w:rsidR="008434CC">
          <w:rPr>
            <w:noProof/>
            <w:webHidden/>
          </w:rPr>
          <w:t>57</w:t>
        </w:r>
        <w:r w:rsidR="008434CC">
          <w:rPr>
            <w:noProof/>
            <w:webHidden/>
          </w:rPr>
          <w:fldChar w:fldCharType="end"/>
        </w:r>
      </w:hyperlink>
    </w:p>
    <w:p w:rsidR="008434CC" w:rsidRDefault="004C37E9">
      <w:pPr>
        <w:pStyle w:val="TOC3"/>
        <w:rPr>
          <w:noProof/>
          <w:lang w:val="en-AU" w:eastAsia="en-AU"/>
        </w:rPr>
      </w:pPr>
      <w:hyperlink w:anchor="_Toc331686171" w:history="1">
        <w:r w:rsidR="008434CC" w:rsidRPr="00605057">
          <w:rPr>
            <w:rStyle w:val="Hyperlink"/>
            <w:noProof/>
          </w:rPr>
          <w:t>10.2.3 Oversight by HITEC</w:t>
        </w:r>
        <w:r w:rsidR="008434CC">
          <w:rPr>
            <w:noProof/>
            <w:webHidden/>
          </w:rPr>
          <w:tab/>
        </w:r>
        <w:r w:rsidR="008434CC">
          <w:rPr>
            <w:noProof/>
            <w:webHidden/>
          </w:rPr>
          <w:fldChar w:fldCharType="begin"/>
        </w:r>
        <w:r w:rsidR="008434CC">
          <w:rPr>
            <w:noProof/>
            <w:webHidden/>
          </w:rPr>
          <w:instrText xml:space="preserve"> PAGEREF _Toc331686171 \h </w:instrText>
        </w:r>
        <w:r w:rsidR="008434CC">
          <w:rPr>
            <w:noProof/>
            <w:webHidden/>
          </w:rPr>
        </w:r>
        <w:r w:rsidR="008434CC">
          <w:rPr>
            <w:noProof/>
            <w:webHidden/>
          </w:rPr>
          <w:fldChar w:fldCharType="separate"/>
        </w:r>
        <w:r w:rsidR="008434CC">
          <w:rPr>
            <w:noProof/>
            <w:webHidden/>
          </w:rPr>
          <w:t>57</w:t>
        </w:r>
        <w:r w:rsidR="008434CC">
          <w:rPr>
            <w:noProof/>
            <w:webHidden/>
          </w:rPr>
          <w:fldChar w:fldCharType="end"/>
        </w:r>
      </w:hyperlink>
    </w:p>
    <w:p w:rsidR="008434CC" w:rsidRDefault="004C37E9">
      <w:pPr>
        <w:pStyle w:val="TOC1"/>
        <w:rPr>
          <w:b w:val="0"/>
          <w:lang w:val="en-AU" w:eastAsia="en-AU"/>
        </w:rPr>
      </w:pPr>
      <w:hyperlink w:anchor="_Toc331686172" w:history="1">
        <w:r w:rsidR="008434CC" w:rsidRPr="00605057">
          <w:rPr>
            <w:rStyle w:val="Hyperlink"/>
          </w:rPr>
          <w:t>Appendix 1 – Project Budget</w:t>
        </w:r>
        <w:r w:rsidR="008434CC">
          <w:rPr>
            <w:webHidden/>
          </w:rPr>
          <w:tab/>
        </w:r>
        <w:r w:rsidR="008434CC">
          <w:rPr>
            <w:webHidden/>
          </w:rPr>
          <w:fldChar w:fldCharType="begin"/>
        </w:r>
        <w:r w:rsidR="008434CC">
          <w:rPr>
            <w:webHidden/>
          </w:rPr>
          <w:instrText xml:space="preserve"> PAGEREF _Toc331686172 \h </w:instrText>
        </w:r>
        <w:r w:rsidR="008434CC">
          <w:rPr>
            <w:webHidden/>
          </w:rPr>
        </w:r>
        <w:r w:rsidR="008434CC">
          <w:rPr>
            <w:webHidden/>
          </w:rPr>
          <w:fldChar w:fldCharType="separate"/>
        </w:r>
        <w:r w:rsidR="008434CC">
          <w:rPr>
            <w:webHidden/>
          </w:rPr>
          <w:t>58</w:t>
        </w:r>
        <w:r w:rsidR="008434CC">
          <w:rPr>
            <w:webHidden/>
          </w:rPr>
          <w:fldChar w:fldCharType="end"/>
        </w:r>
      </w:hyperlink>
    </w:p>
    <w:p w:rsidR="008434CC" w:rsidRDefault="004C37E9">
      <w:pPr>
        <w:pStyle w:val="TOC1"/>
        <w:rPr>
          <w:b w:val="0"/>
          <w:lang w:val="en-AU" w:eastAsia="en-AU"/>
        </w:rPr>
      </w:pPr>
      <w:hyperlink w:anchor="_Toc331686173" w:history="1">
        <w:r w:rsidR="008434CC" w:rsidRPr="00605057">
          <w:rPr>
            <w:rStyle w:val="Hyperlink"/>
          </w:rPr>
          <w:t>Appendix 2 – Performance Framework</w:t>
        </w:r>
        <w:r w:rsidR="008434CC">
          <w:rPr>
            <w:webHidden/>
          </w:rPr>
          <w:tab/>
        </w:r>
        <w:r w:rsidR="008434CC">
          <w:rPr>
            <w:webHidden/>
          </w:rPr>
          <w:fldChar w:fldCharType="begin"/>
        </w:r>
        <w:r w:rsidR="008434CC">
          <w:rPr>
            <w:webHidden/>
          </w:rPr>
          <w:instrText xml:space="preserve"> PAGEREF _Toc331686173 \h </w:instrText>
        </w:r>
        <w:r w:rsidR="008434CC">
          <w:rPr>
            <w:webHidden/>
          </w:rPr>
        </w:r>
        <w:r w:rsidR="008434CC">
          <w:rPr>
            <w:webHidden/>
          </w:rPr>
          <w:fldChar w:fldCharType="separate"/>
        </w:r>
        <w:r w:rsidR="008434CC">
          <w:rPr>
            <w:webHidden/>
          </w:rPr>
          <w:t>59</w:t>
        </w:r>
        <w:r w:rsidR="008434CC">
          <w:rPr>
            <w:webHidden/>
          </w:rPr>
          <w:fldChar w:fldCharType="end"/>
        </w:r>
      </w:hyperlink>
    </w:p>
    <w:p w:rsidR="008434CC" w:rsidRDefault="004C37E9">
      <w:pPr>
        <w:pStyle w:val="TOC1"/>
        <w:rPr>
          <w:b w:val="0"/>
          <w:lang w:val="en-AU" w:eastAsia="en-AU"/>
        </w:rPr>
      </w:pPr>
      <w:hyperlink w:anchor="_Toc331686174" w:history="1">
        <w:r w:rsidR="008434CC" w:rsidRPr="00605057">
          <w:rPr>
            <w:rStyle w:val="Hyperlink"/>
          </w:rPr>
          <w:t>Appendix 3 – Risk Analysis and Risk Management Plan</w:t>
        </w:r>
        <w:r w:rsidR="008434CC">
          <w:rPr>
            <w:webHidden/>
          </w:rPr>
          <w:tab/>
        </w:r>
        <w:r w:rsidR="008434CC">
          <w:rPr>
            <w:webHidden/>
          </w:rPr>
          <w:fldChar w:fldCharType="begin"/>
        </w:r>
        <w:r w:rsidR="008434CC">
          <w:rPr>
            <w:webHidden/>
          </w:rPr>
          <w:instrText xml:space="preserve"> PAGEREF _Toc331686174 \h </w:instrText>
        </w:r>
        <w:r w:rsidR="008434CC">
          <w:rPr>
            <w:webHidden/>
          </w:rPr>
        </w:r>
        <w:r w:rsidR="008434CC">
          <w:rPr>
            <w:webHidden/>
          </w:rPr>
          <w:fldChar w:fldCharType="separate"/>
        </w:r>
        <w:r w:rsidR="008434CC">
          <w:rPr>
            <w:webHidden/>
          </w:rPr>
          <w:t>60</w:t>
        </w:r>
        <w:r w:rsidR="008434CC">
          <w:rPr>
            <w:webHidden/>
          </w:rPr>
          <w:fldChar w:fldCharType="end"/>
        </w:r>
      </w:hyperlink>
    </w:p>
    <w:p w:rsidR="008434CC" w:rsidRPr="00B929EA" w:rsidRDefault="008434CC">
      <w:r w:rsidRPr="00B929EA">
        <w:fldChar w:fldCharType="end"/>
      </w:r>
    </w:p>
    <w:p w:rsidR="008434CC" w:rsidRDefault="008434CC">
      <w:pPr>
        <w:rPr>
          <w:rFonts w:ascii="Cambria" w:hAnsi="Cambria"/>
          <w:b/>
          <w:bCs/>
          <w:color w:val="365F91"/>
          <w:sz w:val="28"/>
          <w:szCs w:val="28"/>
        </w:rPr>
      </w:pPr>
      <w:r>
        <w:br w:type="page"/>
      </w:r>
    </w:p>
    <w:p w:rsidR="008434CC" w:rsidRDefault="008434CC" w:rsidP="004A1669">
      <w:pPr>
        <w:pStyle w:val="Heading1"/>
      </w:pPr>
      <w:bookmarkStart w:id="1" w:name="_Toc331686061"/>
      <w:r w:rsidRPr="00475E6A">
        <w:t>Acronyms and abbreviations</w:t>
      </w:r>
      <w:bookmarkEnd w:id="1"/>
    </w:p>
    <w:tbl>
      <w:tblPr>
        <w:tblW w:w="7796" w:type="dxa"/>
        <w:tblInd w:w="534" w:type="dxa"/>
        <w:tblLook w:val="00A0" w:firstRow="1" w:lastRow="0" w:firstColumn="1" w:lastColumn="0" w:noHBand="0" w:noVBand="0"/>
      </w:tblPr>
      <w:tblGrid>
        <w:gridCol w:w="1559"/>
        <w:gridCol w:w="6237"/>
      </w:tblGrid>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ACSM</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Advocacy, communication and social mobilisation</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AIDS</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Acquired Immune Deficiency Syndrome</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ANS</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Assessment of National Systems</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ART</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Antiretroviral therapy</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AUD</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Australian dollars</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AusAID</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Australian Agency for International Development</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CCM</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Global Fund Country Coordination Mechanism</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CDW</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Community DOT Worker</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CTN</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Contact Tracing Nurse</w:t>
            </w:r>
          </w:p>
        </w:tc>
      </w:tr>
      <w:tr w:rsidR="008434CC" w:rsidRPr="004672B0" w:rsidTr="000633D8">
        <w:trPr>
          <w:trHeight w:val="300"/>
        </w:trPr>
        <w:tc>
          <w:tcPr>
            <w:tcW w:w="1559" w:type="dxa"/>
            <w:tcBorders>
              <w:top w:val="nil"/>
              <w:left w:val="nil"/>
              <w:bottom w:val="nil"/>
              <w:right w:val="nil"/>
            </w:tcBorders>
            <w:noWrap/>
            <w:vAlign w:val="bottom"/>
          </w:tcPr>
          <w:p w:rsidR="008434CC" w:rsidRPr="004672B0" w:rsidRDefault="008434CC" w:rsidP="000633D8">
            <w:pPr>
              <w:spacing w:before="40" w:after="40" w:line="240" w:lineRule="auto"/>
              <w:rPr>
                <w:color w:val="000000"/>
                <w:lang w:eastAsia="en-NZ"/>
              </w:rPr>
            </w:pPr>
            <w:r w:rsidRPr="004672B0">
              <w:rPr>
                <w:color w:val="000000"/>
                <w:lang w:eastAsia="en-NZ"/>
              </w:rPr>
              <w:t>DAC</w:t>
            </w:r>
          </w:p>
        </w:tc>
        <w:tc>
          <w:tcPr>
            <w:tcW w:w="6237" w:type="dxa"/>
            <w:tcBorders>
              <w:top w:val="nil"/>
              <w:left w:val="nil"/>
              <w:bottom w:val="nil"/>
              <w:right w:val="nil"/>
            </w:tcBorders>
            <w:noWrap/>
            <w:vAlign w:val="bottom"/>
          </w:tcPr>
          <w:p w:rsidR="008434CC" w:rsidRPr="004672B0" w:rsidRDefault="008434CC" w:rsidP="000633D8">
            <w:pPr>
              <w:spacing w:before="40" w:after="40" w:line="240" w:lineRule="auto"/>
              <w:rPr>
                <w:color w:val="000000"/>
                <w:lang w:eastAsia="en-NZ"/>
              </w:rPr>
            </w:pPr>
            <w:r w:rsidRPr="004672B0">
              <w:rPr>
                <w:color w:val="000000"/>
                <w:lang w:eastAsia="en-NZ"/>
              </w:rPr>
              <w:t>Development Assistance Committee (OECD)</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DOTS</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Directly observed treatment, short-course</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DST</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Drug susceptibility testing</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EQAS</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External quality assurance scheme (laboratory)</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EUR</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Euro</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GDF</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Global Drug Facility</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GLC</w:t>
            </w:r>
          </w:p>
        </w:tc>
        <w:tc>
          <w:tcPr>
            <w:tcW w:w="6237" w:type="dxa"/>
            <w:tcBorders>
              <w:top w:val="nil"/>
              <w:left w:val="nil"/>
              <w:bottom w:val="nil"/>
              <w:right w:val="nil"/>
            </w:tcBorders>
            <w:noWrap/>
            <w:vAlign w:val="bottom"/>
          </w:tcPr>
          <w:p w:rsidR="008434CC" w:rsidRPr="004672B0" w:rsidRDefault="008434CC" w:rsidP="00D77C66">
            <w:pPr>
              <w:spacing w:before="40" w:after="40" w:line="240" w:lineRule="auto"/>
              <w:rPr>
                <w:color w:val="000000"/>
                <w:lang w:eastAsia="en-NZ"/>
              </w:rPr>
            </w:pPr>
            <w:r w:rsidRPr="004672B0">
              <w:rPr>
                <w:color w:val="000000"/>
                <w:lang w:eastAsia="en-NZ"/>
              </w:rPr>
              <w:t>Green Light Committee</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GOK</w:t>
            </w:r>
          </w:p>
        </w:tc>
        <w:tc>
          <w:tcPr>
            <w:tcW w:w="6237" w:type="dxa"/>
            <w:tcBorders>
              <w:top w:val="nil"/>
              <w:left w:val="nil"/>
              <w:bottom w:val="nil"/>
              <w:right w:val="nil"/>
            </w:tcBorders>
            <w:noWrap/>
            <w:vAlign w:val="bottom"/>
          </w:tcPr>
          <w:p w:rsidR="008434CC" w:rsidRPr="004672B0" w:rsidRDefault="008434CC" w:rsidP="00D77C66">
            <w:pPr>
              <w:spacing w:before="40" w:after="40" w:line="240" w:lineRule="auto"/>
              <w:rPr>
                <w:color w:val="000000"/>
                <w:lang w:eastAsia="en-NZ"/>
              </w:rPr>
            </w:pPr>
            <w:r w:rsidRPr="004672B0">
              <w:rPr>
                <w:color w:val="000000"/>
                <w:lang w:eastAsia="en-NZ"/>
              </w:rPr>
              <w:t>Government of Kiribati</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HITEC</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t>HIV-TB Executive Committee, MHMS</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HIV</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Human immunodeficiency virus</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IEC</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rPr>
              <w:t>Information, education and communication</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IMVS</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Institute of Medical and Veterinary Sciences (Adelaide, Australia)</w:t>
            </w:r>
          </w:p>
        </w:tc>
      </w:tr>
      <w:tr w:rsidR="008434CC" w:rsidRPr="004672B0" w:rsidTr="000633D8">
        <w:trPr>
          <w:trHeight w:val="300"/>
        </w:trPr>
        <w:tc>
          <w:tcPr>
            <w:tcW w:w="1559" w:type="dxa"/>
            <w:tcBorders>
              <w:top w:val="nil"/>
              <w:left w:val="nil"/>
              <w:bottom w:val="nil"/>
              <w:right w:val="nil"/>
            </w:tcBorders>
            <w:noWrap/>
            <w:vAlign w:val="bottom"/>
          </w:tcPr>
          <w:p w:rsidR="008434CC" w:rsidRPr="004672B0" w:rsidRDefault="008434CC" w:rsidP="000633D8">
            <w:pPr>
              <w:spacing w:before="40" w:after="40" w:line="240" w:lineRule="auto"/>
              <w:rPr>
                <w:color w:val="000000"/>
                <w:lang w:eastAsia="en-NZ"/>
              </w:rPr>
            </w:pPr>
            <w:r w:rsidRPr="004672B0">
              <w:rPr>
                <w:color w:val="000000"/>
                <w:lang w:eastAsia="en-NZ"/>
              </w:rPr>
              <w:t>IPT</w:t>
            </w:r>
          </w:p>
        </w:tc>
        <w:tc>
          <w:tcPr>
            <w:tcW w:w="6237" w:type="dxa"/>
            <w:tcBorders>
              <w:top w:val="nil"/>
              <w:left w:val="nil"/>
              <w:bottom w:val="nil"/>
              <w:right w:val="nil"/>
            </w:tcBorders>
            <w:noWrap/>
            <w:vAlign w:val="bottom"/>
          </w:tcPr>
          <w:p w:rsidR="008434CC" w:rsidRPr="004672B0" w:rsidRDefault="008434CC" w:rsidP="000633D8">
            <w:pPr>
              <w:spacing w:before="40" w:after="40" w:line="240" w:lineRule="auto"/>
              <w:rPr>
                <w:color w:val="000000"/>
                <w:lang w:eastAsia="en-NZ"/>
              </w:rPr>
            </w:pPr>
            <w:r w:rsidRPr="004672B0">
              <w:rPr>
                <w:color w:val="000000"/>
                <w:lang w:eastAsia="en-NZ"/>
              </w:rPr>
              <w:t>Isoniazid preventive therapy</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KDP</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rPr>
            </w:pPr>
            <w:r w:rsidRPr="004672B0">
              <w:rPr>
                <w:color w:val="000000"/>
              </w:rPr>
              <w:t>Kiribati Development Plan</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KIFHA</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rPr>
            </w:pPr>
            <w:r w:rsidRPr="004672B0">
              <w:rPr>
                <w:color w:val="000000"/>
              </w:rPr>
              <w:t>Kiribati Family Health Association</w:t>
            </w:r>
          </w:p>
        </w:tc>
      </w:tr>
      <w:tr w:rsidR="008434CC" w:rsidRPr="004672B0" w:rsidTr="004C093A">
        <w:trPr>
          <w:trHeight w:val="300"/>
        </w:trPr>
        <w:tc>
          <w:tcPr>
            <w:tcW w:w="1559" w:type="dxa"/>
            <w:tcBorders>
              <w:top w:val="nil"/>
              <w:left w:val="nil"/>
              <w:bottom w:val="nil"/>
              <w:right w:val="nil"/>
            </w:tcBorders>
            <w:noWrap/>
            <w:vAlign w:val="bottom"/>
          </w:tcPr>
          <w:p w:rsidR="008434CC" w:rsidRPr="004672B0" w:rsidRDefault="008434CC" w:rsidP="004C093A">
            <w:pPr>
              <w:spacing w:before="40" w:after="40" w:line="240" w:lineRule="auto"/>
              <w:rPr>
                <w:color w:val="000000"/>
                <w:lang w:eastAsia="en-NZ"/>
              </w:rPr>
            </w:pPr>
            <w:r w:rsidRPr="004672B0">
              <w:rPr>
                <w:color w:val="000000"/>
                <w:lang w:eastAsia="en-NZ"/>
              </w:rPr>
              <w:t>LFA</w:t>
            </w:r>
          </w:p>
        </w:tc>
        <w:tc>
          <w:tcPr>
            <w:tcW w:w="6237" w:type="dxa"/>
            <w:tcBorders>
              <w:top w:val="nil"/>
              <w:left w:val="nil"/>
              <w:bottom w:val="nil"/>
              <w:right w:val="nil"/>
            </w:tcBorders>
            <w:noWrap/>
            <w:vAlign w:val="bottom"/>
          </w:tcPr>
          <w:p w:rsidR="008434CC" w:rsidRPr="004672B0" w:rsidRDefault="008434CC" w:rsidP="005A45BA">
            <w:pPr>
              <w:spacing w:before="40" w:after="40" w:line="240" w:lineRule="auto"/>
              <w:rPr>
                <w:color w:val="000000"/>
              </w:rPr>
            </w:pPr>
            <w:r w:rsidRPr="004672B0">
              <w:rPr>
                <w:color w:val="000000"/>
              </w:rPr>
              <w:t>Local Fund Agent (Global Fund)</w:t>
            </w:r>
          </w:p>
        </w:tc>
      </w:tr>
      <w:tr w:rsidR="008434CC" w:rsidRPr="004672B0" w:rsidTr="004C093A">
        <w:trPr>
          <w:trHeight w:val="300"/>
        </w:trPr>
        <w:tc>
          <w:tcPr>
            <w:tcW w:w="1559" w:type="dxa"/>
            <w:tcBorders>
              <w:top w:val="nil"/>
              <w:left w:val="nil"/>
              <w:bottom w:val="nil"/>
              <w:right w:val="nil"/>
            </w:tcBorders>
            <w:noWrap/>
            <w:vAlign w:val="bottom"/>
          </w:tcPr>
          <w:p w:rsidR="008434CC" w:rsidRPr="004672B0" w:rsidRDefault="008434CC" w:rsidP="004C093A">
            <w:pPr>
              <w:spacing w:before="40" w:after="40" w:line="240" w:lineRule="auto"/>
              <w:rPr>
                <w:color w:val="000000"/>
                <w:lang w:eastAsia="en-NZ"/>
              </w:rPr>
            </w:pPr>
            <w:r w:rsidRPr="004672B0">
              <w:rPr>
                <w:color w:val="000000"/>
                <w:lang w:eastAsia="en-NZ"/>
              </w:rPr>
              <w:t>M&amp;E</w:t>
            </w:r>
          </w:p>
        </w:tc>
        <w:tc>
          <w:tcPr>
            <w:tcW w:w="6237" w:type="dxa"/>
            <w:tcBorders>
              <w:top w:val="nil"/>
              <w:left w:val="nil"/>
              <w:bottom w:val="nil"/>
              <w:right w:val="nil"/>
            </w:tcBorders>
            <w:noWrap/>
            <w:vAlign w:val="bottom"/>
          </w:tcPr>
          <w:p w:rsidR="008434CC" w:rsidRPr="004672B0" w:rsidRDefault="008434CC" w:rsidP="004C093A">
            <w:pPr>
              <w:spacing w:before="40" w:after="40" w:line="240" w:lineRule="auto"/>
              <w:rPr>
                <w:color w:val="000000"/>
              </w:rPr>
            </w:pPr>
            <w:r w:rsidRPr="004672B0">
              <w:rPr>
                <w:color w:val="000000"/>
              </w:rPr>
              <w:t>Monitoring and evaluation</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MDGs</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rPr>
              <w:t>Millennium Development Goals</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MDR-TB</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Multi drug resistant TB</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MHMS</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Ministry of Health and Medical Services (Kiribati)</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MTR</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rStyle w:val="Style11ptBlack"/>
                <w:rFonts w:ascii="Calibri" w:hAnsi="Calibri" w:cs="Calibri"/>
                <w:sz w:val="22"/>
              </w:rPr>
              <w:t>Mid-term review</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NCDs</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Non-communicable diseases</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NGO</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Non-government organisation</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NHSP</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(Kiribati) National Health Strategic Plan</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NICC</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National Implementation Coordinating Committee (QTBECP)</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NTP</w:t>
            </w:r>
          </w:p>
        </w:tc>
        <w:tc>
          <w:tcPr>
            <w:tcW w:w="6237" w:type="dxa"/>
            <w:tcBorders>
              <w:top w:val="nil"/>
              <w:left w:val="nil"/>
              <w:bottom w:val="nil"/>
              <w:right w:val="nil"/>
            </w:tcBorders>
            <w:noWrap/>
            <w:vAlign w:val="bottom"/>
          </w:tcPr>
          <w:p w:rsidR="008434CC" w:rsidRPr="004672B0" w:rsidRDefault="008434CC" w:rsidP="00FC2902">
            <w:pPr>
              <w:spacing w:before="40" w:after="40" w:line="240" w:lineRule="auto"/>
              <w:rPr>
                <w:color w:val="000000"/>
                <w:lang w:eastAsia="en-NZ"/>
              </w:rPr>
            </w:pPr>
            <w:r w:rsidRPr="004672B0">
              <w:rPr>
                <w:color w:val="000000"/>
                <w:lang w:eastAsia="en-NZ"/>
              </w:rPr>
              <w:t>National TB Program</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8E1257">
            <w:pPr>
              <w:spacing w:before="40" w:after="40" w:line="240" w:lineRule="auto"/>
              <w:rPr>
                <w:color w:val="000000"/>
                <w:lang w:eastAsia="en-NZ"/>
              </w:rPr>
            </w:pPr>
            <w:r w:rsidRPr="004672B0">
              <w:rPr>
                <w:color w:val="000000"/>
                <w:lang w:eastAsia="en-NZ"/>
              </w:rPr>
              <w:t xml:space="preserve">OECD </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Organisation for Economic Cooperation and Development</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lastRenderedPageBreak/>
              <w:t>PATLAB</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Pacific TB laboratory (network)</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PC</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Project Coordinator (QTBECP)</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PFM</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P</w:t>
            </w:r>
            <w:r w:rsidRPr="004672B0">
              <w:rPr>
                <w:color w:val="000000"/>
              </w:rPr>
              <w:t>ublic financial management</w:t>
            </w:r>
          </w:p>
        </w:tc>
      </w:tr>
      <w:tr w:rsidR="008434CC" w:rsidRPr="004672B0" w:rsidTr="000633D8">
        <w:trPr>
          <w:trHeight w:val="300"/>
        </w:trPr>
        <w:tc>
          <w:tcPr>
            <w:tcW w:w="1559" w:type="dxa"/>
            <w:tcBorders>
              <w:top w:val="nil"/>
              <w:left w:val="nil"/>
              <w:bottom w:val="nil"/>
              <w:right w:val="nil"/>
            </w:tcBorders>
            <w:noWrap/>
            <w:vAlign w:val="bottom"/>
          </w:tcPr>
          <w:p w:rsidR="008434CC" w:rsidRPr="004672B0" w:rsidRDefault="008434CC" w:rsidP="00FB5721">
            <w:pPr>
              <w:spacing w:before="40" w:after="40" w:line="240" w:lineRule="auto"/>
              <w:rPr>
                <w:color w:val="000000"/>
                <w:lang w:eastAsia="en-NZ"/>
              </w:rPr>
            </w:pPr>
            <w:r w:rsidRPr="004672B0">
              <w:rPr>
                <w:color w:val="000000"/>
                <w:lang w:eastAsia="en-NZ"/>
              </w:rPr>
              <w:t>PHC</w:t>
            </w:r>
          </w:p>
        </w:tc>
        <w:tc>
          <w:tcPr>
            <w:tcW w:w="6237" w:type="dxa"/>
            <w:tcBorders>
              <w:top w:val="nil"/>
              <w:left w:val="nil"/>
              <w:bottom w:val="nil"/>
              <w:right w:val="nil"/>
            </w:tcBorders>
            <w:noWrap/>
            <w:vAlign w:val="bottom"/>
          </w:tcPr>
          <w:p w:rsidR="008434CC" w:rsidRPr="004672B0" w:rsidRDefault="008434CC" w:rsidP="000633D8">
            <w:pPr>
              <w:spacing w:before="40" w:after="40" w:line="240" w:lineRule="auto"/>
              <w:rPr>
                <w:color w:val="000000"/>
                <w:lang w:eastAsia="en-NZ"/>
              </w:rPr>
            </w:pPr>
            <w:r w:rsidRPr="004672B0">
              <w:rPr>
                <w:rStyle w:val="Style11ptBlack"/>
                <w:rFonts w:ascii="Calibri" w:hAnsi="Calibri" w:cs="Calibri"/>
                <w:sz w:val="22"/>
              </w:rPr>
              <w:t>Primary health care</w:t>
            </w:r>
          </w:p>
        </w:tc>
      </w:tr>
      <w:tr w:rsidR="008434CC" w:rsidRPr="004672B0" w:rsidTr="000633D8">
        <w:trPr>
          <w:trHeight w:val="300"/>
        </w:trPr>
        <w:tc>
          <w:tcPr>
            <w:tcW w:w="1559" w:type="dxa"/>
            <w:tcBorders>
              <w:top w:val="nil"/>
              <w:left w:val="nil"/>
              <w:bottom w:val="nil"/>
              <w:right w:val="nil"/>
            </w:tcBorders>
            <w:noWrap/>
            <w:vAlign w:val="bottom"/>
          </w:tcPr>
          <w:p w:rsidR="008434CC" w:rsidRPr="004672B0" w:rsidRDefault="008434CC" w:rsidP="000633D8">
            <w:pPr>
              <w:spacing w:before="40" w:after="40" w:line="240" w:lineRule="auto"/>
              <w:rPr>
                <w:color w:val="000000"/>
                <w:lang w:eastAsia="en-NZ"/>
              </w:rPr>
            </w:pPr>
            <w:r w:rsidRPr="004672B0">
              <w:rPr>
                <w:color w:val="000000"/>
                <w:lang w:eastAsia="en-NZ"/>
              </w:rPr>
              <w:t>PHN</w:t>
            </w:r>
          </w:p>
        </w:tc>
        <w:tc>
          <w:tcPr>
            <w:tcW w:w="6237" w:type="dxa"/>
            <w:tcBorders>
              <w:top w:val="nil"/>
              <w:left w:val="nil"/>
              <w:bottom w:val="nil"/>
              <w:right w:val="nil"/>
            </w:tcBorders>
            <w:noWrap/>
            <w:vAlign w:val="bottom"/>
          </w:tcPr>
          <w:p w:rsidR="008434CC" w:rsidRPr="004672B0" w:rsidRDefault="008434CC" w:rsidP="000633D8">
            <w:pPr>
              <w:spacing w:before="40" w:after="40" w:line="240" w:lineRule="auto"/>
              <w:rPr>
                <w:color w:val="000000"/>
                <w:lang w:eastAsia="en-NZ"/>
              </w:rPr>
            </w:pPr>
            <w:r w:rsidRPr="004672B0">
              <w:rPr>
                <w:color w:val="000000"/>
                <w:lang w:eastAsia="en-NZ"/>
              </w:rPr>
              <w:t>Public Health Nurse</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D0699E">
            <w:pPr>
              <w:spacing w:before="40" w:after="40" w:line="240" w:lineRule="auto"/>
              <w:rPr>
                <w:color w:val="000000"/>
                <w:lang w:eastAsia="en-NZ"/>
              </w:rPr>
            </w:pPr>
            <w:r w:rsidRPr="004672B0">
              <w:rPr>
                <w:color w:val="000000"/>
                <w:lang w:eastAsia="en-NZ"/>
              </w:rPr>
              <w:t>PICTs</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Pacific Island countries and territories</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D0699E">
            <w:pPr>
              <w:spacing w:before="40" w:after="40" w:line="240" w:lineRule="auto"/>
              <w:rPr>
                <w:color w:val="000000"/>
                <w:lang w:eastAsia="en-NZ"/>
              </w:rPr>
            </w:pPr>
            <w:r w:rsidRPr="004672B0">
              <w:rPr>
                <w:color w:val="000000"/>
                <w:lang w:eastAsia="en-NZ"/>
              </w:rPr>
              <w:t>PITC</w:t>
            </w:r>
          </w:p>
        </w:tc>
        <w:tc>
          <w:tcPr>
            <w:tcW w:w="6237" w:type="dxa"/>
            <w:tcBorders>
              <w:top w:val="nil"/>
              <w:left w:val="nil"/>
              <w:bottom w:val="nil"/>
              <w:right w:val="nil"/>
            </w:tcBorders>
            <w:noWrap/>
            <w:vAlign w:val="bottom"/>
          </w:tcPr>
          <w:p w:rsidR="008434CC" w:rsidRPr="004672B0" w:rsidRDefault="008434CC" w:rsidP="002F6091">
            <w:pPr>
              <w:spacing w:before="40" w:after="40" w:line="240" w:lineRule="auto"/>
              <w:rPr>
                <w:color w:val="000000"/>
                <w:lang w:eastAsia="en-NZ"/>
              </w:rPr>
            </w:pPr>
            <w:r w:rsidRPr="004672B0">
              <w:rPr>
                <w:color w:val="000000"/>
                <w:lang w:eastAsia="en-NZ"/>
              </w:rPr>
              <w:t>Provider-initiated testing and counselling (for HIV)</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PPD</w:t>
            </w:r>
          </w:p>
        </w:tc>
        <w:tc>
          <w:tcPr>
            <w:tcW w:w="6237" w:type="dxa"/>
            <w:tcBorders>
              <w:top w:val="nil"/>
              <w:left w:val="nil"/>
              <w:bottom w:val="nil"/>
              <w:right w:val="nil"/>
            </w:tcBorders>
            <w:noWrap/>
            <w:vAlign w:val="bottom"/>
          </w:tcPr>
          <w:p w:rsidR="008434CC" w:rsidRPr="004672B0" w:rsidRDefault="008434CC" w:rsidP="00D0699E">
            <w:pPr>
              <w:spacing w:before="40" w:after="40" w:line="240" w:lineRule="auto"/>
              <w:rPr>
                <w:color w:val="000000"/>
                <w:lang w:eastAsia="en-NZ"/>
              </w:rPr>
            </w:pPr>
            <w:r w:rsidRPr="004672B0">
              <w:rPr>
                <w:color w:val="000000"/>
                <w:lang w:eastAsia="en-NZ"/>
              </w:rPr>
              <w:t>Kiribati–Australia Partnership for Development</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QAE</w:t>
            </w:r>
          </w:p>
        </w:tc>
        <w:tc>
          <w:tcPr>
            <w:tcW w:w="6237" w:type="dxa"/>
            <w:tcBorders>
              <w:top w:val="nil"/>
              <w:left w:val="nil"/>
              <w:bottom w:val="nil"/>
              <w:right w:val="nil"/>
            </w:tcBorders>
            <w:noWrap/>
            <w:vAlign w:val="bottom"/>
          </w:tcPr>
          <w:p w:rsidR="008434CC" w:rsidRPr="004672B0" w:rsidRDefault="008434CC" w:rsidP="00D0699E">
            <w:pPr>
              <w:spacing w:before="40" w:after="40" w:line="240" w:lineRule="auto"/>
              <w:rPr>
                <w:color w:val="000000"/>
                <w:lang w:eastAsia="en-NZ"/>
              </w:rPr>
            </w:pPr>
            <w:r w:rsidRPr="004672B0">
              <w:rPr>
                <w:color w:val="000000"/>
                <w:lang w:eastAsia="en-NZ"/>
              </w:rPr>
              <w:t>Quality at entry (AusAID criteria)</w:t>
            </w:r>
          </w:p>
        </w:tc>
      </w:tr>
      <w:tr w:rsidR="008434CC" w:rsidRPr="004672B0" w:rsidTr="000633D8">
        <w:trPr>
          <w:trHeight w:val="300"/>
        </w:trPr>
        <w:tc>
          <w:tcPr>
            <w:tcW w:w="1559" w:type="dxa"/>
            <w:tcBorders>
              <w:top w:val="nil"/>
              <w:left w:val="nil"/>
              <w:bottom w:val="nil"/>
              <w:right w:val="nil"/>
            </w:tcBorders>
            <w:noWrap/>
            <w:vAlign w:val="bottom"/>
          </w:tcPr>
          <w:p w:rsidR="008434CC" w:rsidRPr="004672B0" w:rsidRDefault="008434CC" w:rsidP="008E1257">
            <w:pPr>
              <w:spacing w:before="40" w:after="40" w:line="240" w:lineRule="auto"/>
              <w:rPr>
                <w:color w:val="000000"/>
                <w:lang w:eastAsia="en-NZ"/>
              </w:rPr>
            </w:pPr>
            <w:r w:rsidRPr="004672B0">
              <w:rPr>
                <w:color w:val="000000"/>
                <w:lang w:eastAsia="en-NZ"/>
              </w:rPr>
              <w:t>QAI</w:t>
            </w:r>
          </w:p>
        </w:tc>
        <w:tc>
          <w:tcPr>
            <w:tcW w:w="6237" w:type="dxa"/>
            <w:tcBorders>
              <w:top w:val="nil"/>
              <w:left w:val="nil"/>
              <w:bottom w:val="nil"/>
              <w:right w:val="nil"/>
            </w:tcBorders>
            <w:noWrap/>
            <w:vAlign w:val="bottom"/>
          </w:tcPr>
          <w:p w:rsidR="008434CC" w:rsidRPr="004672B0" w:rsidRDefault="008434CC" w:rsidP="008E1257">
            <w:pPr>
              <w:spacing w:before="40" w:after="40" w:line="240" w:lineRule="auto"/>
              <w:rPr>
                <w:color w:val="000000"/>
                <w:lang w:eastAsia="en-NZ"/>
              </w:rPr>
            </w:pPr>
            <w:r w:rsidRPr="004672B0">
              <w:rPr>
                <w:color w:val="000000"/>
                <w:lang w:eastAsia="en-NZ"/>
              </w:rPr>
              <w:t>Quality at implementation (AusAID criteria)</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QC</w:t>
            </w:r>
          </w:p>
        </w:tc>
        <w:tc>
          <w:tcPr>
            <w:tcW w:w="6237" w:type="dxa"/>
            <w:tcBorders>
              <w:top w:val="nil"/>
              <w:left w:val="nil"/>
              <w:bottom w:val="nil"/>
              <w:right w:val="nil"/>
            </w:tcBorders>
            <w:noWrap/>
            <w:vAlign w:val="bottom"/>
          </w:tcPr>
          <w:p w:rsidR="008434CC" w:rsidRPr="004672B0" w:rsidRDefault="008434CC" w:rsidP="00D0699E">
            <w:pPr>
              <w:spacing w:before="40" w:after="40" w:line="240" w:lineRule="auto"/>
              <w:rPr>
                <w:color w:val="000000"/>
                <w:lang w:eastAsia="en-NZ"/>
              </w:rPr>
            </w:pPr>
            <w:r w:rsidRPr="004672B0">
              <w:rPr>
                <w:color w:val="000000"/>
                <w:lang w:eastAsia="en-NZ"/>
              </w:rPr>
              <w:t>Quality control</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QTBECP</w:t>
            </w:r>
          </w:p>
        </w:tc>
        <w:tc>
          <w:tcPr>
            <w:tcW w:w="6237" w:type="dxa"/>
            <w:tcBorders>
              <w:top w:val="nil"/>
              <w:left w:val="nil"/>
              <w:bottom w:val="nil"/>
              <w:right w:val="nil"/>
            </w:tcBorders>
            <w:noWrap/>
            <w:vAlign w:val="bottom"/>
          </w:tcPr>
          <w:p w:rsidR="008434CC" w:rsidRPr="004672B0" w:rsidRDefault="008434CC" w:rsidP="00D0699E">
            <w:pPr>
              <w:spacing w:before="40" w:after="40" w:line="240" w:lineRule="auto"/>
              <w:rPr>
                <w:color w:val="000000"/>
                <w:lang w:eastAsia="en-NZ"/>
              </w:rPr>
            </w:pPr>
            <w:r w:rsidRPr="004672B0">
              <w:rPr>
                <w:color w:val="000000"/>
                <w:lang w:eastAsia="en-NZ"/>
              </w:rPr>
              <w:t>Quality TB Epidemic Control Project</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SDH</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Social determinants of health</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SPC</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Secretariat of the Pacific Community</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AF59C0">
            <w:pPr>
              <w:spacing w:before="40" w:after="40" w:line="240" w:lineRule="auto"/>
              <w:rPr>
                <w:color w:val="000000"/>
                <w:lang w:eastAsia="en-NZ"/>
              </w:rPr>
            </w:pPr>
            <w:r w:rsidRPr="004672B0">
              <w:rPr>
                <w:color w:val="000000"/>
                <w:lang w:eastAsia="en-NZ"/>
              </w:rPr>
              <w:t xml:space="preserve">SS+ </w:t>
            </w:r>
            <w:r w:rsidRPr="004672B0">
              <w:rPr>
                <w:i/>
                <w:color w:val="000000"/>
                <w:lang w:eastAsia="en-NZ"/>
              </w:rPr>
              <w:t>or</w:t>
            </w:r>
            <w:r w:rsidRPr="004672B0">
              <w:rPr>
                <w:color w:val="000000"/>
                <w:lang w:eastAsia="en-NZ"/>
              </w:rPr>
              <w:t xml:space="preserve"> SS– </w:t>
            </w:r>
          </w:p>
        </w:tc>
        <w:tc>
          <w:tcPr>
            <w:tcW w:w="6237" w:type="dxa"/>
            <w:tcBorders>
              <w:top w:val="nil"/>
              <w:left w:val="nil"/>
              <w:bottom w:val="nil"/>
              <w:right w:val="nil"/>
            </w:tcBorders>
            <w:noWrap/>
            <w:vAlign w:val="bottom"/>
          </w:tcPr>
          <w:p w:rsidR="008434CC" w:rsidRPr="004672B0" w:rsidRDefault="008434CC" w:rsidP="00F218D3">
            <w:pPr>
              <w:spacing w:before="40" w:after="40" w:line="240" w:lineRule="auto"/>
              <w:rPr>
                <w:color w:val="000000"/>
                <w:lang w:eastAsia="en-NZ"/>
              </w:rPr>
            </w:pPr>
            <w:r w:rsidRPr="004672B0">
              <w:rPr>
                <w:color w:val="000000"/>
                <w:lang w:eastAsia="en-NZ"/>
              </w:rPr>
              <w:t xml:space="preserve">Sputum smear positive </w:t>
            </w:r>
            <w:r w:rsidRPr="004672B0">
              <w:rPr>
                <w:i/>
                <w:color w:val="000000"/>
                <w:lang w:eastAsia="en-NZ"/>
              </w:rPr>
              <w:t>or</w:t>
            </w:r>
            <w:r w:rsidRPr="004672B0">
              <w:rPr>
                <w:color w:val="000000"/>
                <w:lang w:eastAsia="en-NZ"/>
              </w:rPr>
              <w:t xml:space="preserve"> sputum smear negative</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TAG</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Technical Advisory Group</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TB</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Tuberculosis</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TBCC</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 xml:space="preserve">Tuberculosis Control Centre </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TBCN</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TB Community Nurse</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TFM</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Transitional Funding Mechanism (Global Fund)</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TORs</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Terms of reference</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USD</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United States dollar</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WHO</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World Health Organization</w:t>
            </w:r>
          </w:p>
        </w:tc>
      </w:tr>
      <w:tr w:rsidR="008434CC" w:rsidRPr="004672B0" w:rsidTr="00FC2902">
        <w:trPr>
          <w:trHeight w:val="300"/>
        </w:trPr>
        <w:tc>
          <w:tcPr>
            <w:tcW w:w="1559"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color w:val="000000"/>
                <w:lang w:eastAsia="en-NZ"/>
              </w:rPr>
              <w:t>XPF</w:t>
            </w:r>
          </w:p>
        </w:tc>
        <w:tc>
          <w:tcPr>
            <w:tcW w:w="6237" w:type="dxa"/>
            <w:tcBorders>
              <w:top w:val="nil"/>
              <w:left w:val="nil"/>
              <w:bottom w:val="nil"/>
              <w:right w:val="nil"/>
            </w:tcBorders>
            <w:noWrap/>
            <w:vAlign w:val="bottom"/>
          </w:tcPr>
          <w:p w:rsidR="008434CC" w:rsidRPr="004672B0" w:rsidRDefault="008434CC" w:rsidP="000E56E6">
            <w:pPr>
              <w:spacing w:before="40" w:after="40" w:line="240" w:lineRule="auto"/>
              <w:rPr>
                <w:color w:val="000000"/>
                <w:lang w:eastAsia="en-NZ"/>
              </w:rPr>
            </w:pPr>
            <w:r w:rsidRPr="004672B0">
              <w:rPr>
                <w:i/>
                <w:color w:val="000000"/>
                <w:lang w:eastAsia="en-NZ"/>
              </w:rPr>
              <w:t>Communauté Financière Pacifique</w:t>
            </w:r>
            <w:r w:rsidRPr="004672B0">
              <w:rPr>
                <w:color w:val="000000"/>
                <w:lang w:eastAsia="en-NZ"/>
              </w:rPr>
              <w:t xml:space="preserve"> franc</w:t>
            </w:r>
          </w:p>
        </w:tc>
      </w:tr>
    </w:tbl>
    <w:p w:rsidR="008434CC" w:rsidRDefault="008434CC" w:rsidP="00D67C74"/>
    <w:p w:rsidR="008434CC" w:rsidRDefault="008434CC" w:rsidP="00D67C74"/>
    <w:p w:rsidR="008434CC" w:rsidRDefault="008434CC" w:rsidP="00821639">
      <w:pPr>
        <w:pBdr>
          <w:bottom w:val="single" w:sz="4" w:space="1" w:color="auto"/>
        </w:pBdr>
      </w:pPr>
    </w:p>
    <w:p w:rsidR="008434CC" w:rsidRDefault="008434CC" w:rsidP="004A1669">
      <w:pPr>
        <w:pStyle w:val="Heading1"/>
      </w:pPr>
      <w:bookmarkStart w:id="2" w:name="_Toc331686062"/>
      <w:r>
        <w:t>Acknowledgements</w:t>
      </w:r>
      <w:bookmarkEnd w:id="2"/>
    </w:p>
    <w:p w:rsidR="008434CC" w:rsidRDefault="008434CC" w:rsidP="00821639">
      <w:pPr>
        <w:spacing w:before="240"/>
      </w:pPr>
      <w:r>
        <w:t xml:space="preserve">This revised design document and funding proposal builds on extensive background work undertaken by </w:t>
      </w:r>
      <w:r>
        <w:br/>
        <w:t xml:space="preserve">Dr Janet O’Connor and the Kiribati National Tuberculosis Program in late 2011, and the new </w:t>
      </w:r>
      <w:r w:rsidRPr="0096724A">
        <w:rPr>
          <w:i/>
        </w:rPr>
        <w:t>National Tuberculosis Strategic Plan</w:t>
      </w:r>
      <w:r>
        <w:t xml:space="preserve"> developed by NTP Manager Dr Kenneth Tabutoa and NTP staff in 2012.</w:t>
      </w:r>
    </w:p>
    <w:p w:rsidR="008434CC" w:rsidRDefault="008434CC" w:rsidP="00DB1BEF">
      <w:r>
        <w:t xml:space="preserve">The design is strongly informed by an in-country planning workshop held in Tarawa in June 2012.  The workshop received the strong support of Mr Elliott Ali (Secretary for Health), Dr Teatao Tira (Director of Public Health), Dr Takeieta Kienene (Project Coordinator, QTBECP), Ms Bereka Reiher (NTP Coordinator), </w:t>
      </w:r>
      <w:r>
        <w:br/>
        <w:t>Ms</w:t>
      </w:r>
      <w:r w:rsidRPr="003B653E">
        <w:t xml:space="preserve"> Tiero Tetabea </w:t>
      </w:r>
      <w:r>
        <w:t>(Acting Director, Laboratory Services), other staff of the NTP, and officials from the AusAID Tarawa office; their involvement and contributions are gratefully acknowledged.</w:t>
      </w:r>
    </w:p>
    <w:p w:rsidR="008434CC" w:rsidRDefault="008434CC" w:rsidP="00DB1BEF">
      <w:r>
        <w:lastRenderedPageBreak/>
        <w:t>The revised design was compiled by Dr Rob Condon (Consultant Public Health Physician) and Ms Kerri Viney (Acting TB Adviser, Public Health Division, SPC).  It incorporates a small number of modifications recommended following review by an independent technical expert and</w:t>
      </w:r>
      <w:r w:rsidRPr="00E2059F">
        <w:t xml:space="preserve"> </w:t>
      </w:r>
      <w:r>
        <w:t xml:space="preserve">final review by MHMS. </w:t>
      </w:r>
    </w:p>
    <w:p w:rsidR="008434CC" w:rsidRDefault="008434CC">
      <w:pPr>
        <w:spacing w:before="0" w:after="200"/>
        <w:rPr>
          <w:rFonts w:ascii="Cambria" w:hAnsi="Cambria"/>
          <w:b/>
          <w:bCs/>
          <w:color w:val="365F91"/>
          <w:sz w:val="32"/>
          <w:szCs w:val="28"/>
        </w:rPr>
      </w:pPr>
      <w:r>
        <w:br w:type="page"/>
      </w:r>
    </w:p>
    <w:p w:rsidR="008434CC" w:rsidRDefault="008434CC" w:rsidP="004A1669">
      <w:pPr>
        <w:pStyle w:val="Heading1"/>
      </w:pPr>
      <w:bookmarkStart w:id="3" w:name="_Toc331686063"/>
      <w:r w:rsidRPr="00970ABF">
        <w:t>Project Summary</w:t>
      </w:r>
      <w:bookmarkEnd w:id="3"/>
    </w:p>
    <w:p w:rsidR="008434CC" w:rsidRPr="00263570" w:rsidRDefault="008434CC" w:rsidP="00263570"/>
    <w:tbl>
      <w:tblPr>
        <w:tblW w:w="0" w:type="auto"/>
        <w:tblBorders>
          <w:insideH w:val="single" w:sz="4" w:space="0" w:color="auto"/>
        </w:tblBorders>
        <w:tblLook w:val="00A0" w:firstRow="1" w:lastRow="0" w:firstColumn="1" w:lastColumn="0" w:noHBand="0" w:noVBand="0"/>
      </w:tblPr>
      <w:tblGrid>
        <w:gridCol w:w="3303"/>
        <w:gridCol w:w="6607"/>
      </w:tblGrid>
      <w:tr w:rsidR="008434CC" w:rsidRPr="004672B0" w:rsidTr="00263570">
        <w:tc>
          <w:tcPr>
            <w:tcW w:w="3303" w:type="dxa"/>
          </w:tcPr>
          <w:p w:rsidR="008434CC" w:rsidRPr="004672B0" w:rsidRDefault="008434CC" w:rsidP="00263570">
            <w:pPr>
              <w:spacing w:after="80"/>
              <w:rPr>
                <w:b/>
              </w:rPr>
            </w:pPr>
            <w:r w:rsidRPr="004672B0">
              <w:rPr>
                <w:b/>
              </w:rPr>
              <w:t>Project Title:</w:t>
            </w:r>
          </w:p>
        </w:tc>
        <w:tc>
          <w:tcPr>
            <w:tcW w:w="6607" w:type="dxa"/>
          </w:tcPr>
          <w:p w:rsidR="008434CC" w:rsidRPr="004672B0" w:rsidRDefault="008434CC" w:rsidP="00263570">
            <w:pPr>
              <w:spacing w:after="80"/>
              <w:rPr>
                <w:b/>
              </w:rPr>
            </w:pPr>
            <w:r w:rsidRPr="004672B0">
              <w:rPr>
                <w:b/>
              </w:rPr>
              <w:t>Towards TB Elimination in Kiribati</w:t>
            </w:r>
          </w:p>
        </w:tc>
      </w:tr>
      <w:tr w:rsidR="008434CC" w:rsidRPr="004672B0" w:rsidTr="00263570">
        <w:tc>
          <w:tcPr>
            <w:tcW w:w="3303" w:type="dxa"/>
          </w:tcPr>
          <w:p w:rsidR="008434CC" w:rsidRPr="004672B0" w:rsidRDefault="008434CC" w:rsidP="00FC4BC7">
            <w:pPr>
              <w:spacing w:after="60"/>
              <w:rPr>
                <w:b/>
              </w:rPr>
            </w:pPr>
            <w:r w:rsidRPr="004672B0">
              <w:rPr>
                <w:b/>
              </w:rPr>
              <w:t>Goal</w:t>
            </w:r>
            <w:r w:rsidRPr="004672B0">
              <w:t xml:space="preserve"> (shared with NTP)</w:t>
            </w:r>
            <w:r w:rsidRPr="004672B0">
              <w:rPr>
                <w:b/>
              </w:rPr>
              <w:t>:</w:t>
            </w:r>
          </w:p>
        </w:tc>
        <w:tc>
          <w:tcPr>
            <w:tcW w:w="6607" w:type="dxa"/>
          </w:tcPr>
          <w:p w:rsidR="008434CC" w:rsidRPr="004672B0" w:rsidRDefault="008434CC" w:rsidP="00B073D0">
            <w:pPr>
              <w:spacing w:after="60"/>
            </w:pPr>
            <w:r w:rsidRPr="004672B0">
              <w:t>To accelerate scale-up to achieve universal access to prevention, early diagnosis and effective patient-centred treatment for tuberculosis to 2015 and beyond</w:t>
            </w:r>
          </w:p>
        </w:tc>
      </w:tr>
      <w:tr w:rsidR="008434CC" w:rsidRPr="004672B0" w:rsidTr="00263570">
        <w:tc>
          <w:tcPr>
            <w:tcW w:w="3303" w:type="dxa"/>
          </w:tcPr>
          <w:p w:rsidR="008434CC" w:rsidRPr="004672B0" w:rsidRDefault="008434CC" w:rsidP="00FC4BC7">
            <w:pPr>
              <w:spacing w:after="60"/>
              <w:rPr>
                <w:b/>
              </w:rPr>
            </w:pPr>
            <w:r w:rsidRPr="004672B0">
              <w:rPr>
                <w:b/>
              </w:rPr>
              <w:t>Mission</w:t>
            </w:r>
            <w:r w:rsidRPr="004672B0">
              <w:t xml:space="preserve"> (Project-specific)</w:t>
            </w:r>
            <w:r w:rsidRPr="004672B0">
              <w:rPr>
                <w:b/>
              </w:rPr>
              <w:t>:</w:t>
            </w:r>
          </w:p>
        </w:tc>
        <w:tc>
          <w:tcPr>
            <w:tcW w:w="6607" w:type="dxa"/>
          </w:tcPr>
          <w:p w:rsidR="008434CC" w:rsidRPr="004672B0" w:rsidRDefault="008434CC" w:rsidP="00FC4BC7">
            <w:pPr>
              <w:spacing w:after="60"/>
            </w:pPr>
            <w:r w:rsidRPr="004672B0">
              <w:t>To work with the Kiribati NTP, clinical and public health service providers and technical partners to improve the quality, access and efficiency of preventive, diagnostic and clinical TB services in Kiribati, including by strengthening the TB work force and relevant underlying aspects of the health system</w:t>
            </w:r>
          </w:p>
        </w:tc>
      </w:tr>
      <w:tr w:rsidR="008434CC" w:rsidRPr="004672B0" w:rsidTr="00263570">
        <w:tc>
          <w:tcPr>
            <w:tcW w:w="3303" w:type="dxa"/>
            <w:tcBorders>
              <w:bottom w:val="nil"/>
            </w:tcBorders>
          </w:tcPr>
          <w:p w:rsidR="008434CC" w:rsidRPr="004672B0" w:rsidRDefault="008434CC" w:rsidP="00FC4BC7">
            <w:pPr>
              <w:spacing w:after="60"/>
              <w:rPr>
                <w:b/>
              </w:rPr>
            </w:pPr>
            <w:r w:rsidRPr="004672B0">
              <w:rPr>
                <w:b/>
              </w:rPr>
              <w:t>Objectives:</w:t>
            </w:r>
          </w:p>
        </w:tc>
        <w:tc>
          <w:tcPr>
            <w:tcW w:w="6607" w:type="dxa"/>
          </w:tcPr>
          <w:p w:rsidR="008434CC" w:rsidRPr="004672B0" w:rsidRDefault="008434CC" w:rsidP="00FC4BC7">
            <w:pPr>
              <w:spacing w:after="60"/>
            </w:pPr>
            <w:r w:rsidRPr="004672B0">
              <w:rPr>
                <w:b/>
              </w:rPr>
              <w:t>Objective 1 –</w:t>
            </w:r>
            <w:r w:rsidRPr="004672B0">
              <w:t xml:space="preserve"> To support universal access to quality TB services, including through active case finding and community mobilisation (aligned with NTP Strategic Plan Objectives 1-4)</w:t>
            </w:r>
          </w:p>
        </w:tc>
      </w:tr>
      <w:tr w:rsidR="008434CC" w:rsidRPr="004672B0" w:rsidTr="00263570">
        <w:tc>
          <w:tcPr>
            <w:tcW w:w="3303" w:type="dxa"/>
            <w:tcBorders>
              <w:top w:val="nil"/>
              <w:bottom w:val="nil"/>
            </w:tcBorders>
          </w:tcPr>
          <w:p w:rsidR="008434CC" w:rsidRPr="004672B0" w:rsidRDefault="008434CC" w:rsidP="00FC4BC7">
            <w:pPr>
              <w:spacing w:before="80" w:after="60"/>
              <w:rPr>
                <w:b/>
              </w:rPr>
            </w:pPr>
          </w:p>
        </w:tc>
        <w:tc>
          <w:tcPr>
            <w:tcW w:w="6607" w:type="dxa"/>
          </w:tcPr>
          <w:p w:rsidR="008434CC" w:rsidRPr="004672B0" w:rsidRDefault="008434CC" w:rsidP="00FC4BC7">
            <w:pPr>
              <w:spacing w:before="80" w:after="60"/>
            </w:pPr>
            <w:r w:rsidRPr="004672B0">
              <w:rPr>
                <w:b/>
              </w:rPr>
              <w:t>Objective 2 –</w:t>
            </w:r>
            <w:r w:rsidRPr="004672B0">
              <w:t xml:space="preserve"> To support quality laboratory diagnosis and clinical standards (aligned with NTP Strategic Plan Objectives 5 and 6)</w:t>
            </w:r>
          </w:p>
        </w:tc>
      </w:tr>
      <w:tr w:rsidR="008434CC" w:rsidRPr="004672B0" w:rsidTr="00263570">
        <w:tc>
          <w:tcPr>
            <w:tcW w:w="3303" w:type="dxa"/>
            <w:tcBorders>
              <w:top w:val="nil"/>
              <w:bottom w:val="nil"/>
            </w:tcBorders>
          </w:tcPr>
          <w:p w:rsidR="008434CC" w:rsidRPr="004672B0" w:rsidRDefault="008434CC" w:rsidP="00FC4BC7">
            <w:pPr>
              <w:spacing w:before="80" w:after="60"/>
              <w:rPr>
                <w:b/>
              </w:rPr>
            </w:pPr>
          </w:p>
        </w:tc>
        <w:tc>
          <w:tcPr>
            <w:tcW w:w="6607" w:type="dxa"/>
          </w:tcPr>
          <w:p w:rsidR="008434CC" w:rsidRPr="004672B0" w:rsidRDefault="008434CC" w:rsidP="00FC4BC7">
            <w:pPr>
              <w:spacing w:before="80" w:after="60"/>
            </w:pPr>
            <w:r w:rsidRPr="004672B0">
              <w:rPr>
                <w:b/>
              </w:rPr>
              <w:t>Objective 3 –</w:t>
            </w:r>
            <w:r w:rsidRPr="004672B0">
              <w:t xml:space="preserve"> To support programmatic management of important co-morbidities in Kiribati, including TB-HIV, TB-Diabetes and MDR-TB (aligned with NTP Strategic Plan Objective 8)</w:t>
            </w:r>
          </w:p>
        </w:tc>
      </w:tr>
      <w:tr w:rsidR="008434CC" w:rsidRPr="004672B0" w:rsidTr="00263570">
        <w:tc>
          <w:tcPr>
            <w:tcW w:w="3303" w:type="dxa"/>
            <w:tcBorders>
              <w:top w:val="nil"/>
              <w:bottom w:val="nil"/>
            </w:tcBorders>
          </w:tcPr>
          <w:p w:rsidR="008434CC" w:rsidRPr="004672B0" w:rsidRDefault="008434CC" w:rsidP="00FC4BC7">
            <w:pPr>
              <w:spacing w:before="80" w:after="60"/>
              <w:rPr>
                <w:b/>
              </w:rPr>
            </w:pPr>
          </w:p>
        </w:tc>
        <w:tc>
          <w:tcPr>
            <w:tcW w:w="6607" w:type="dxa"/>
          </w:tcPr>
          <w:p w:rsidR="008434CC" w:rsidRPr="004672B0" w:rsidRDefault="008434CC" w:rsidP="00FC4BC7">
            <w:pPr>
              <w:spacing w:before="80" w:after="60"/>
            </w:pPr>
            <w:r w:rsidRPr="004672B0">
              <w:rPr>
                <w:b/>
              </w:rPr>
              <w:t>Objective 4 –</w:t>
            </w:r>
            <w:r w:rsidRPr="004672B0">
              <w:t xml:space="preserve"> To support planning and management of the NTP and contribute to strengthening related aspects of the health system in Kiribati (aligned with NTP Strategic Plan Objectives 7 and 9)</w:t>
            </w:r>
          </w:p>
        </w:tc>
      </w:tr>
      <w:tr w:rsidR="008434CC" w:rsidRPr="004672B0" w:rsidTr="00263570">
        <w:tc>
          <w:tcPr>
            <w:tcW w:w="3303" w:type="dxa"/>
            <w:tcBorders>
              <w:top w:val="nil"/>
            </w:tcBorders>
          </w:tcPr>
          <w:p w:rsidR="008434CC" w:rsidRPr="004672B0" w:rsidRDefault="008434CC" w:rsidP="00FC4BC7">
            <w:pPr>
              <w:spacing w:before="80" w:after="60"/>
              <w:rPr>
                <w:b/>
              </w:rPr>
            </w:pPr>
          </w:p>
        </w:tc>
        <w:tc>
          <w:tcPr>
            <w:tcW w:w="6607" w:type="dxa"/>
          </w:tcPr>
          <w:p w:rsidR="008434CC" w:rsidRPr="004672B0" w:rsidRDefault="008434CC" w:rsidP="00FC4BC7">
            <w:pPr>
              <w:spacing w:before="80" w:after="60"/>
            </w:pPr>
            <w:r w:rsidRPr="004672B0">
              <w:rPr>
                <w:b/>
              </w:rPr>
              <w:t>Objective 5 –</w:t>
            </w:r>
            <w:r w:rsidRPr="004672B0">
              <w:t xml:space="preserve"> To strengthen TB intervention strategies through evidence-based operational research (aligned with NTP Strategic Plan Objective 9)</w:t>
            </w:r>
          </w:p>
        </w:tc>
      </w:tr>
      <w:tr w:rsidR="008434CC" w:rsidRPr="004672B0" w:rsidTr="000F7482">
        <w:tc>
          <w:tcPr>
            <w:tcW w:w="3303" w:type="dxa"/>
          </w:tcPr>
          <w:p w:rsidR="008434CC" w:rsidRPr="004672B0" w:rsidRDefault="008434CC" w:rsidP="00FC4BC7">
            <w:pPr>
              <w:spacing w:after="60"/>
              <w:rPr>
                <w:b/>
              </w:rPr>
            </w:pPr>
            <w:r w:rsidRPr="004672B0">
              <w:rPr>
                <w:b/>
              </w:rPr>
              <w:t>Implementing Partners:</w:t>
            </w:r>
          </w:p>
        </w:tc>
        <w:tc>
          <w:tcPr>
            <w:tcW w:w="6607" w:type="dxa"/>
          </w:tcPr>
          <w:p w:rsidR="008434CC" w:rsidRPr="004672B0" w:rsidRDefault="008434CC" w:rsidP="00FC4BC7">
            <w:pPr>
              <w:spacing w:after="60"/>
            </w:pPr>
            <w:r w:rsidRPr="004672B0">
              <w:t xml:space="preserve">National TB Program, MHMS, Republic of Kiribati; and </w:t>
            </w:r>
          </w:p>
          <w:p w:rsidR="008434CC" w:rsidRPr="004672B0" w:rsidRDefault="008434CC" w:rsidP="00FC4BC7">
            <w:pPr>
              <w:spacing w:after="60"/>
            </w:pPr>
            <w:r w:rsidRPr="004672B0">
              <w:t xml:space="preserve">TB Team, Disease Surveillance, Research and Control Unit, </w:t>
            </w:r>
            <w:r w:rsidRPr="004672B0">
              <w:br/>
              <w:t>Public Health Division, SPC</w:t>
            </w:r>
          </w:p>
        </w:tc>
      </w:tr>
      <w:tr w:rsidR="008434CC" w:rsidRPr="004672B0" w:rsidTr="000F7482">
        <w:tc>
          <w:tcPr>
            <w:tcW w:w="3303" w:type="dxa"/>
            <w:tcBorders>
              <w:bottom w:val="nil"/>
            </w:tcBorders>
          </w:tcPr>
          <w:p w:rsidR="008434CC" w:rsidRPr="004672B0" w:rsidRDefault="008434CC" w:rsidP="00FC4BC7">
            <w:pPr>
              <w:spacing w:after="60"/>
              <w:rPr>
                <w:b/>
              </w:rPr>
            </w:pPr>
            <w:r w:rsidRPr="004672B0">
              <w:rPr>
                <w:b/>
              </w:rPr>
              <w:t>Indicative Dates / Duration:</w:t>
            </w:r>
          </w:p>
        </w:tc>
        <w:tc>
          <w:tcPr>
            <w:tcW w:w="6607" w:type="dxa"/>
          </w:tcPr>
          <w:p w:rsidR="008434CC" w:rsidRPr="004672B0" w:rsidRDefault="008434CC" w:rsidP="00FC4BC7">
            <w:pPr>
              <w:spacing w:after="60"/>
            </w:pPr>
            <w:r w:rsidRPr="004672B0">
              <w:rPr>
                <w:b/>
              </w:rPr>
              <w:t>Transition Phase</w:t>
            </w:r>
            <w:r w:rsidRPr="004672B0">
              <w:t xml:space="preserve"> (3 months): </w:t>
            </w:r>
            <w:r w:rsidRPr="004672B0">
              <w:br/>
              <w:t>1 October 2012 – 31 December 2012</w:t>
            </w:r>
          </w:p>
        </w:tc>
      </w:tr>
      <w:tr w:rsidR="008434CC" w:rsidRPr="004672B0" w:rsidTr="000F7482">
        <w:tc>
          <w:tcPr>
            <w:tcW w:w="3303" w:type="dxa"/>
            <w:tcBorders>
              <w:top w:val="nil"/>
              <w:bottom w:val="nil"/>
            </w:tcBorders>
          </w:tcPr>
          <w:p w:rsidR="008434CC" w:rsidRPr="004672B0" w:rsidRDefault="008434CC" w:rsidP="00FC4BC7">
            <w:pPr>
              <w:spacing w:after="60"/>
              <w:rPr>
                <w:b/>
              </w:rPr>
            </w:pPr>
          </w:p>
        </w:tc>
        <w:tc>
          <w:tcPr>
            <w:tcW w:w="6607" w:type="dxa"/>
          </w:tcPr>
          <w:p w:rsidR="008434CC" w:rsidRPr="004672B0" w:rsidRDefault="008434CC" w:rsidP="00FC4BC7">
            <w:pPr>
              <w:spacing w:after="60"/>
            </w:pPr>
            <w:r w:rsidRPr="004672B0">
              <w:rPr>
                <w:b/>
              </w:rPr>
              <w:t>Alignment and Support Phase</w:t>
            </w:r>
            <w:r w:rsidRPr="004672B0">
              <w:t xml:space="preserve"> (up to 3 years): </w:t>
            </w:r>
            <w:r w:rsidRPr="004672B0">
              <w:br/>
              <w:t>1 January 2013 – 31 December 2015</w:t>
            </w:r>
          </w:p>
        </w:tc>
      </w:tr>
      <w:tr w:rsidR="008434CC" w:rsidRPr="004672B0" w:rsidTr="00FC4BC7">
        <w:tc>
          <w:tcPr>
            <w:tcW w:w="3303" w:type="dxa"/>
            <w:tcBorders>
              <w:top w:val="nil"/>
            </w:tcBorders>
          </w:tcPr>
          <w:p w:rsidR="008434CC" w:rsidRPr="004672B0" w:rsidRDefault="008434CC" w:rsidP="00FC4BC7">
            <w:pPr>
              <w:spacing w:after="60"/>
              <w:rPr>
                <w:b/>
              </w:rPr>
            </w:pPr>
          </w:p>
        </w:tc>
        <w:tc>
          <w:tcPr>
            <w:tcW w:w="6607" w:type="dxa"/>
          </w:tcPr>
          <w:p w:rsidR="008434CC" w:rsidRPr="004672B0" w:rsidRDefault="008434CC" w:rsidP="00FC4BC7">
            <w:pPr>
              <w:spacing w:after="60"/>
            </w:pPr>
            <w:r w:rsidRPr="004672B0">
              <w:rPr>
                <w:b/>
              </w:rPr>
              <w:t>Integration Phase</w:t>
            </w:r>
            <w:r w:rsidRPr="004672B0">
              <w:t xml:space="preserve"> (minimum of 2 years): </w:t>
            </w:r>
            <w:r w:rsidRPr="004672B0">
              <w:br/>
              <w:t>1 January 2016 – 31 December 2017</w:t>
            </w:r>
          </w:p>
        </w:tc>
      </w:tr>
      <w:tr w:rsidR="008434CC" w:rsidRPr="004672B0" w:rsidTr="00FC4BC7">
        <w:tc>
          <w:tcPr>
            <w:tcW w:w="3303" w:type="dxa"/>
          </w:tcPr>
          <w:p w:rsidR="008434CC" w:rsidRPr="004672B0" w:rsidRDefault="008434CC" w:rsidP="00FC4BC7">
            <w:pPr>
              <w:spacing w:after="60"/>
              <w:rPr>
                <w:b/>
              </w:rPr>
            </w:pPr>
            <w:r w:rsidRPr="004672B0">
              <w:rPr>
                <w:b/>
              </w:rPr>
              <w:lastRenderedPageBreak/>
              <w:t>Budget:</w:t>
            </w:r>
          </w:p>
        </w:tc>
        <w:tc>
          <w:tcPr>
            <w:tcW w:w="6607" w:type="dxa"/>
          </w:tcPr>
          <w:p w:rsidR="008434CC" w:rsidRPr="004672B0" w:rsidRDefault="008434CC" w:rsidP="00E4184F">
            <w:pPr>
              <w:spacing w:after="60"/>
            </w:pPr>
            <w:r w:rsidRPr="004672B0">
              <w:t>Operations, management and review: AUD 2,754,812</w:t>
            </w:r>
            <w:r w:rsidRPr="004672B0">
              <w:br/>
              <w:t>SPC Management Costs: AUD 192,837</w:t>
            </w:r>
          </w:p>
        </w:tc>
      </w:tr>
    </w:tbl>
    <w:p w:rsidR="008434CC" w:rsidRDefault="008434CC" w:rsidP="00FC2902"/>
    <w:p w:rsidR="008434CC" w:rsidRDefault="008434CC" w:rsidP="004A1669">
      <w:pPr>
        <w:pStyle w:val="Heading1"/>
        <w:sectPr w:rsidR="008434CC" w:rsidSect="00C96E19">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134" w:header="709" w:footer="709" w:gutter="227"/>
          <w:pgNumType w:fmt="lowerRoman"/>
          <w:cols w:space="708"/>
          <w:titlePg/>
          <w:docGrid w:linePitch="360"/>
        </w:sectPr>
      </w:pPr>
    </w:p>
    <w:p w:rsidR="008434CC" w:rsidRPr="00340008" w:rsidRDefault="008434CC" w:rsidP="004A1669">
      <w:pPr>
        <w:pStyle w:val="Heading1"/>
      </w:pPr>
      <w:bookmarkStart w:id="4" w:name="_Toc331686064"/>
      <w:r w:rsidRPr="00340008">
        <w:lastRenderedPageBreak/>
        <w:t xml:space="preserve">1. </w:t>
      </w:r>
      <w:r>
        <w:t>Introduction</w:t>
      </w:r>
      <w:bookmarkEnd w:id="4"/>
    </w:p>
    <w:p w:rsidR="008434CC" w:rsidRPr="00354D0A" w:rsidRDefault="008434CC" w:rsidP="002F58D8">
      <w:pPr>
        <w:pStyle w:val="Heading2"/>
      </w:pPr>
      <w:bookmarkStart w:id="5" w:name="_Toc331686065"/>
      <w:r w:rsidRPr="00354D0A">
        <w:t>1.1 Background</w:t>
      </w:r>
      <w:r>
        <w:t xml:space="preserve"> and Overview</w:t>
      </w:r>
      <w:bookmarkEnd w:id="5"/>
    </w:p>
    <w:p w:rsidR="008434CC" w:rsidRPr="00354D0A" w:rsidRDefault="008434CC" w:rsidP="00054FB8">
      <w:pPr>
        <w:pStyle w:val="Heading3"/>
      </w:pPr>
      <w:bookmarkStart w:id="6" w:name="_Toc331686066"/>
      <w:r w:rsidRPr="00354D0A">
        <w:t xml:space="preserve">1.1.1 </w:t>
      </w:r>
      <w:r>
        <w:t>Emergence and Recognition of t</w:t>
      </w:r>
      <w:r w:rsidRPr="00354D0A">
        <w:t>he T</w:t>
      </w:r>
      <w:r>
        <w:t>uberculosis</w:t>
      </w:r>
      <w:r w:rsidRPr="00354D0A">
        <w:t xml:space="preserve"> Epidemic </w:t>
      </w:r>
      <w:r>
        <w:t>in Kiribati</w:t>
      </w:r>
      <w:bookmarkEnd w:id="6"/>
    </w:p>
    <w:p w:rsidR="008434CC" w:rsidRPr="00333FC5" w:rsidRDefault="008434CC" w:rsidP="0098243B">
      <w:pPr>
        <w:rPr>
          <w:rStyle w:val="Style11ptBlack"/>
          <w:rFonts w:ascii="Calibri" w:hAnsi="Calibri" w:cs="Calibri"/>
          <w:sz w:val="22"/>
        </w:rPr>
      </w:pPr>
      <w:r w:rsidRPr="00333FC5">
        <w:rPr>
          <w:rStyle w:val="Style11ptBlack"/>
          <w:rFonts w:ascii="Calibri" w:hAnsi="Calibri" w:cs="Calibri"/>
          <w:sz w:val="22"/>
        </w:rPr>
        <w:t xml:space="preserve">The National Tuberculosis Program (NTP), </w:t>
      </w:r>
      <w:r>
        <w:rPr>
          <w:rStyle w:val="Style11ptBlack"/>
          <w:rFonts w:ascii="Calibri" w:hAnsi="Calibri" w:cs="Calibri"/>
          <w:sz w:val="22"/>
        </w:rPr>
        <w:t xml:space="preserve">the </w:t>
      </w:r>
      <w:r w:rsidRPr="00333FC5">
        <w:rPr>
          <w:rStyle w:val="Style11ptBlack"/>
          <w:rFonts w:ascii="Calibri" w:hAnsi="Calibri" w:cs="Calibri"/>
          <w:sz w:val="22"/>
        </w:rPr>
        <w:t xml:space="preserve">Secretariat of the Pacific Community (SPC) and </w:t>
      </w:r>
      <w:r>
        <w:rPr>
          <w:rStyle w:val="Style11ptBlack"/>
          <w:rFonts w:ascii="Calibri" w:hAnsi="Calibri" w:cs="Calibri"/>
          <w:sz w:val="22"/>
        </w:rPr>
        <w:t xml:space="preserve">the </w:t>
      </w:r>
      <w:r w:rsidRPr="00333FC5">
        <w:rPr>
          <w:rStyle w:val="Style11ptBlack"/>
          <w:rFonts w:ascii="Calibri" w:hAnsi="Calibri" w:cs="Calibri"/>
          <w:sz w:val="22"/>
        </w:rPr>
        <w:t xml:space="preserve">World Health Organization (WHO) </w:t>
      </w:r>
      <w:r>
        <w:rPr>
          <w:rStyle w:val="Style11ptBlack"/>
          <w:rFonts w:ascii="Calibri" w:hAnsi="Calibri" w:cs="Calibri"/>
          <w:sz w:val="22"/>
        </w:rPr>
        <w:t xml:space="preserve">have all </w:t>
      </w:r>
      <w:r w:rsidRPr="00333FC5">
        <w:rPr>
          <w:rStyle w:val="Style11ptBlack"/>
          <w:rFonts w:ascii="Calibri" w:hAnsi="Calibri" w:cs="Calibri"/>
          <w:sz w:val="22"/>
        </w:rPr>
        <w:t>report</w:t>
      </w:r>
      <w:r>
        <w:rPr>
          <w:rStyle w:val="Style11ptBlack"/>
          <w:rFonts w:ascii="Calibri" w:hAnsi="Calibri" w:cs="Calibri"/>
          <w:sz w:val="22"/>
        </w:rPr>
        <w:t>ed</w:t>
      </w:r>
      <w:r w:rsidRPr="00333FC5">
        <w:rPr>
          <w:rStyle w:val="Style11ptBlack"/>
          <w:rFonts w:ascii="Calibri" w:hAnsi="Calibri" w:cs="Calibri"/>
          <w:sz w:val="22"/>
        </w:rPr>
        <w:t xml:space="preserve"> that, since 2003, Kiribati has consistently had the highest </w:t>
      </w:r>
      <w:r>
        <w:rPr>
          <w:rStyle w:val="Style11ptBlack"/>
          <w:rFonts w:ascii="Calibri" w:hAnsi="Calibri" w:cs="Calibri"/>
          <w:sz w:val="22"/>
        </w:rPr>
        <w:t xml:space="preserve">notification </w:t>
      </w:r>
      <w:r w:rsidRPr="00333FC5">
        <w:rPr>
          <w:rStyle w:val="Style11ptBlack"/>
          <w:rFonts w:ascii="Calibri" w:hAnsi="Calibri" w:cs="Calibri"/>
          <w:sz w:val="22"/>
        </w:rPr>
        <w:t xml:space="preserve">rates </w:t>
      </w:r>
      <w:r>
        <w:rPr>
          <w:rStyle w:val="Style11ptBlack"/>
          <w:rFonts w:ascii="Calibri" w:hAnsi="Calibri" w:cs="Calibri"/>
          <w:sz w:val="22"/>
        </w:rPr>
        <w:t xml:space="preserve">of </w:t>
      </w:r>
      <w:r w:rsidRPr="00333FC5">
        <w:rPr>
          <w:rStyle w:val="Style11ptBlack"/>
          <w:rFonts w:ascii="Calibri" w:hAnsi="Calibri" w:cs="Calibri"/>
          <w:sz w:val="22"/>
        </w:rPr>
        <w:t>tuberculosis (TB) in the Pacific.</w:t>
      </w:r>
      <w:r w:rsidRPr="00333FC5">
        <w:rPr>
          <w:rStyle w:val="FootnoteReference"/>
          <w:rFonts w:cs="Calibri"/>
          <w:color w:val="000000"/>
        </w:rPr>
        <w:footnoteReference w:id="1"/>
      </w:r>
      <w:r w:rsidRPr="00333FC5">
        <w:rPr>
          <w:rStyle w:val="Style11ptBlack"/>
          <w:rFonts w:ascii="Calibri" w:hAnsi="Calibri" w:cs="Calibri"/>
          <w:sz w:val="22"/>
        </w:rPr>
        <w:t xml:space="preserve">  </w:t>
      </w:r>
    </w:p>
    <w:p w:rsidR="008434CC" w:rsidRDefault="008434CC" w:rsidP="0098243B">
      <w:pPr>
        <w:rPr>
          <w:rStyle w:val="Style11ptBlack"/>
          <w:rFonts w:ascii="Calibri" w:hAnsi="Calibri" w:cs="Calibri"/>
          <w:sz w:val="22"/>
        </w:rPr>
      </w:pPr>
      <w:r>
        <w:rPr>
          <w:rStyle w:val="Style11ptBlack"/>
          <w:rFonts w:ascii="Calibri" w:hAnsi="Calibri" w:cs="Calibri"/>
          <w:sz w:val="22"/>
        </w:rPr>
        <w:t>In</w:t>
      </w:r>
      <w:r w:rsidRPr="00333FC5">
        <w:rPr>
          <w:rStyle w:val="Style11ptBlack"/>
          <w:rFonts w:ascii="Calibri" w:hAnsi="Calibri" w:cs="Calibri"/>
          <w:sz w:val="22"/>
        </w:rPr>
        <w:t xml:space="preserve"> 2005, </w:t>
      </w:r>
      <w:r>
        <w:rPr>
          <w:rStyle w:val="Style11ptBlack"/>
          <w:rFonts w:ascii="Calibri" w:hAnsi="Calibri" w:cs="Calibri"/>
          <w:sz w:val="22"/>
        </w:rPr>
        <w:t xml:space="preserve">the Kiribati Ministry of Health and Medical Services (MHMS) acknowledged that </w:t>
      </w:r>
      <w:r w:rsidRPr="00333FC5">
        <w:rPr>
          <w:rStyle w:val="Style11ptBlack"/>
          <w:rFonts w:ascii="Calibri" w:hAnsi="Calibri" w:cs="Calibri"/>
          <w:sz w:val="22"/>
        </w:rPr>
        <w:t xml:space="preserve">TB transmission </w:t>
      </w:r>
      <w:r>
        <w:rPr>
          <w:rStyle w:val="Style11ptBlack"/>
          <w:rFonts w:ascii="Calibri" w:hAnsi="Calibri" w:cs="Calibri"/>
          <w:sz w:val="22"/>
        </w:rPr>
        <w:t xml:space="preserve">had </w:t>
      </w:r>
      <w:r w:rsidRPr="00333FC5">
        <w:rPr>
          <w:rStyle w:val="Style11ptBlack"/>
          <w:rFonts w:ascii="Calibri" w:hAnsi="Calibri" w:cs="Calibri"/>
          <w:sz w:val="22"/>
        </w:rPr>
        <w:t xml:space="preserve">reached </w:t>
      </w:r>
      <w:r>
        <w:rPr>
          <w:rStyle w:val="Style11ptBlack"/>
          <w:rFonts w:ascii="Calibri" w:hAnsi="Calibri" w:cs="Calibri"/>
          <w:sz w:val="22"/>
        </w:rPr>
        <w:t xml:space="preserve">a crisis </w:t>
      </w:r>
      <w:r w:rsidRPr="00333FC5">
        <w:rPr>
          <w:rStyle w:val="Style11ptBlack"/>
          <w:rFonts w:ascii="Calibri" w:hAnsi="Calibri" w:cs="Calibri"/>
          <w:sz w:val="22"/>
        </w:rPr>
        <w:t>p</w:t>
      </w:r>
      <w:r>
        <w:rPr>
          <w:rStyle w:val="Style11ptBlack"/>
          <w:rFonts w:ascii="Calibri" w:hAnsi="Calibri" w:cs="Calibri"/>
          <w:sz w:val="22"/>
        </w:rPr>
        <w:t>oint.  T</w:t>
      </w:r>
      <w:r>
        <w:t xml:space="preserve">he number of reported </w:t>
      </w:r>
      <w:r w:rsidRPr="002200A9">
        <w:t xml:space="preserve">cases </w:t>
      </w:r>
      <w:r>
        <w:t xml:space="preserve">had </w:t>
      </w:r>
      <w:r w:rsidRPr="002200A9">
        <w:t xml:space="preserve">increased </w:t>
      </w:r>
      <w:r>
        <w:t xml:space="preserve">by </w:t>
      </w:r>
      <w:r w:rsidRPr="002200A9">
        <w:t xml:space="preserve">40% </w:t>
      </w:r>
      <w:r>
        <w:t xml:space="preserve">since </w:t>
      </w:r>
      <w:r w:rsidRPr="002200A9">
        <w:t>the previous year (</w:t>
      </w:r>
      <w:r>
        <w:t xml:space="preserve">from </w:t>
      </w:r>
      <w:r w:rsidRPr="002200A9">
        <w:t>243 cases</w:t>
      </w:r>
      <w:r>
        <w:t xml:space="preserve"> in 2004 </w:t>
      </w:r>
      <w:r w:rsidRPr="002200A9">
        <w:t>to 337</w:t>
      </w:r>
      <w:r w:rsidRPr="00975F40">
        <w:t xml:space="preserve"> </w:t>
      </w:r>
      <w:r>
        <w:t>in 2005</w:t>
      </w:r>
      <w:r w:rsidRPr="002200A9">
        <w:t>)</w:t>
      </w:r>
      <w:r>
        <w:t xml:space="preserve">, </w:t>
      </w:r>
      <w:r w:rsidRPr="002200A9">
        <w:t xml:space="preserve">and the first case of </w:t>
      </w:r>
      <w:r>
        <w:t>m</w:t>
      </w:r>
      <w:r w:rsidRPr="002200A9">
        <w:t>ulti</w:t>
      </w:r>
      <w:r>
        <w:t>-d</w:t>
      </w:r>
      <w:r w:rsidRPr="002200A9">
        <w:t xml:space="preserve">rug resistant TB (MDR-TB) </w:t>
      </w:r>
      <w:r>
        <w:t xml:space="preserve">had been </w:t>
      </w:r>
      <w:r w:rsidRPr="002200A9">
        <w:t xml:space="preserve">confirmed. </w:t>
      </w:r>
      <w:r>
        <w:t xml:space="preserve"> </w:t>
      </w:r>
      <w:r w:rsidRPr="00333FC5">
        <w:rPr>
          <w:rStyle w:val="Style11ptBlack"/>
          <w:rFonts w:ascii="Calibri" w:hAnsi="Calibri" w:cs="Calibri"/>
          <w:sz w:val="22"/>
        </w:rPr>
        <w:t xml:space="preserve">Total notifications peaked at 375 cases in 2006, with a crude notification rate of 399 per 100,000.  </w:t>
      </w:r>
    </w:p>
    <w:p w:rsidR="008434CC" w:rsidRDefault="008434CC" w:rsidP="0098243B">
      <w:pPr>
        <w:rPr>
          <w:rStyle w:val="Style11ptBlack"/>
          <w:rFonts w:ascii="Calibri" w:hAnsi="Calibri" w:cs="Calibri"/>
          <w:sz w:val="22"/>
        </w:rPr>
      </w:pPr>
      <w:r>
        <w:t>A</w:t>
      </w:r>
      <w:r w:rsidRPr="002200A9">
        <w:t>nnual TB notification rate</w:t>
      </w:r>
      <w:r>
        <w:t xml:space="preserve">s </w:t>
      </w:r>
      <w:r>
        <w:rPr>
          <w:rStyle w:val="Style11ptBlack"/>
          <w:rFonts w:ascii="Calibri" w:hAnsi="Calibri" w:cs="Calibri"/>
          <w:sz w:val="22"/>
        </w:rPr>
        <w:t>at the time</w:t>
      </w:r>
      <w:r>
        <w:t xml:space="preserve"> were the </w:t>
      </w:r>
      <w:r w:rsidRPr="002200A9">
        <w:t xml:space="preserve">highest in </w:t>
      </w:r>
      <w:r>
        <w:t xml:space="preserve">the </w:t>
      </w:r>
      <w:r w:rsidRPr="002200A9">
        <w:t xml:space="preserve">entire </w:t>
      </w:r>
      <w:r>
        <w:t xml:space="preserve">WHO Western </w:t>
      </w:r>
      <w:r w:rsidRPr="002200A9">
        <w:t xml:space="preserve">Pacific </w:t>
      </w:r>
      <w:r>
        <w:t xml:space="preserve">region, and </w:t>
      </w:r>
      <w:r w:rsidRPr="002200A9">
        <w:t xml:space="preserve">far exceeded </w:t>
      </w:r>
      <w:r>
        <w:t xml:space="preserve">the </w:t>
      </w:r>
      <w:r w:rsidRPr="002200A9">
        <w:t xml:space="preserve">rates in known high burden countries </w:t>
      </w:r>
      <w:r>
        <w:t xml:space="preserve">like </w:t>
      </w:r>
      <w:r w:rsidRPr="002200A9">
        <w:t xml:space="preserve">Cambodia, China </w:t>
      </w:r>
      <w:r>
        <w:t xml:space="preserve">and </w:t>
      </w:r>
      <w:r w:rsidRPr="002200A9">
        <w:t xml:space="preserve">Vietnam. </w:t>
      </w:r>
      <w:r>
        <w:t xml:space="preserve"> </w:t>
      </w:r>
      <w:r w:rsidRPr="00333FC5">
        <w:rPr>
          <w:rStyle w:val="Style11ptBlack"/>
          <w:rFonts w:ascii="Calibri" w:hAnsi="Calibri" w:cs="Calibri"/>
          <w:sz w:val="22"/>
        </w:rPr>
        <w:t>Among Pacific Island Countries and Territories (PICTs), only the Solomon Islands reported a greater number of cases (but with a lower rate, given its larger population).</w:t>
      </w:r>
      <w:r>
        <w:rPr>
          <w:rStyle w:val="FootnoteReference"/>
          <w:rFonts w:cs="Calibri"/>
          <w:color w:val="000000"/>
        </w:rPr>
        <w:footnoteReference w:id="2"/>
      </w:r>
    </w:p>
    <w:p w:rsidR="008434CC" w:rsidRPr="00354D0A" w:rsidRDefault="008434CC" w:rsidP="00054FB8">
      <w:pPr>
        <w:pStyle w:val="Heading3"/>
      </w:pPr>
      <w:bookmarkStart w:id="7" w:name="_Toc331686067"/>
      <w:r w:rsidRPr="00354D0A">
        <w:t>1.1.</w:t>
      </w:r>
      <w:r>
        <w:t>2</w:t>
      </w:r>
      <w:r w:rsidRPr="00354D0A">
        <w:t xml:space="preserve"> </w:t>
      </w:r>
      <w:r>
        <w:t>Response to the Epidemic</w:t>
      </w:r>
      <w:bookmarkEnd w:id="7"/>
      <w:r w:rsidRPr="00726859">
        <w:t xml:space="preserve"> </w:t>
      </w:r>
    </w:p>
    <w:p w:rsidR="008434CC" w:rsidRDefault="008434CC" w:rsidP="0098243B">
      <w:r w:rsidRPr="002200A9">
        <w:t xml:space="preserve">The </w:t>
      </w:r>
      <w:r>
        <w:t xml:space="preserve">NTP has </w:t>
      </w:r>
      <w:r w:rsidRPr="002200A9">
        <w:t>intens</w:t>
      </w:r>
      <w:r>
        <w:t>ified</w:t>
      </w:r>
      <w:r w:rsidRPr="002200A9">
        <w:t xml:space="preserve"> TB control efforts</w:t>
      </w:r>
      <w:r>
        <w:t xml:space="preserve"> since 2005-06</w:t>
      </w:r>
      <w:r w:rsidRPr="002200A9">
        <w:t xml:space="preserve">, </w:t>
      </w:r>
      <w:r>
        <w:t xml:space="preserve">using a strategy based on directly-observed treatment short-course (DOTS; Box 1) and guided by the WHO </w:t>
      </w:r>
      <w:r w:rsidRPr="003A552B">
        <w:rPr>
          <w:i/>
        </w:rPr>
        <w:t>Strategic Plan to Stop TB in the Western Pacific Region 2006-10</w:t>
      </w:r>
      <w:r w:rsidRPr="003A552B">
        <w:t xml:space="preserve"> (Box</w:t>
      </w:r>
      <w:r>
        <w:t xml:space="preserve"> 2, page 2</w:t>
      </w:r>
      <w:r w:rsidRPr="003A552B">
        <w:t>)</w:t>
      </w:r>
      <w:r>
        <w:t>.</w:t>
      </w:r>
      <w:r>
        <w:rPr>
          <w:rStyle w:val="FootnoteReference"/>
        </w:rPr>
        <w:footnoteReference w:id="3"/>
      </w:r>
      <w:r w:rsidRPr="002200A9">
        <w:t xml:space="preserve"> </w:t>
      </w:r>
      <w:r>
        <w:t xml:space="preserve"> </w:t>
      </w:r>
    </w:p>
    <w:p w:rsidR="008434CC" w:rsidRDefault="008434CC" w:rsidP="0098243B">
      <w:pPr>
        <w:rPr>
          <w:rStyle w:val="Style11ptBlack"/>
          <w:rFonts w:ascii="Calibri" w:hAnsi="Calibri" w:cs="Calibri"/>
          <w:sz w:val="22"/>
          <w:szCs w:val="21"/>
        </w:rPr>
      </w:pPr>
    </w:p>
    <w:p w:rsidR="008434CC" w:rsidRPr="00F11966" w:rsidRDefault="008434CC" w:rsidP="0098243B">
      <w:pPr>
        <w:rPr>
          <w:rStyle w:val="Style11ptBlack"/>
          <w:rFonts w:ascii="Calibri" w:hAnsi="Calibri" w:cs="Calibri"/>
          <w:sz w:val="22"/>
          <w:szCs w:val="21"/>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tblGrid>
      <w:tr w:rsidR="008434CC" w:rsidRPr="004672B0" w:rsidTr="00F05C1E">
        <w:tc>
          <w:tcPr>
            <w:tcW w:w="5954" w:type="dxa"/>
            <w:shd w:val="clear" w:color="auto" w:fill="C6D9F1"/>
          </w:tcPr>
          <w:p w:rsidR="008434CC" w:rsidRPr="004672B0" w:rsidRDefault="008434CC" w:rsidP="008939CD">
            <w:pPr>
              <w:autoSpaceDE w:val="0"/>
              <w:autoSpaceDN w:val="0"/>
              <w:adjustRightInd w:val="0"/>
              <w:spacing w:after="120" w:line="264" w:lineRule="auto"/>
              <w:jc w:val="center"/>
              <w:rPr>
                <w:rStyle w:val="Style11ptBlack"/>
                <w:b/>
              </w:rPr>
            </w:pPr>
            <w:r w:rsidRPr="004672B0">
              <w:rPr>
                <w:rStyle w:val="Style11ptBlack"/>
                <w:b/>
              </w:rPr>
              <w:t>Box 1: Five Key Components of the DOTS Strategy</w:t>
            </w:r>
          </w:p>
          <w:p w:rsidR="008434CC" w:rsidRPr="004672B0" w:rsidRDefault="008434CC" w:rsidP="00B916EC">
            <w:pPr>
              <w:numPr>
                <w:ilvl w:val="1"/>
                <w:numId w:val="26"/>
              </w:numPr>
              <w:autoSpaceDE w:val="0"/>
              <w:autoSpaceDN w:val="0"/>
              <w:adjustRightInd w:val="0"/>
              <w:spacing w:before="60" w:after="60" w:line="264" w:lineRule="auto"/>
              <w:ind w:left="360"/>
              <w:rPr>
                <w:rStyle w:val="Style11ptBlack"/>
                <w:rFonts w:ascii="Calibri" w:hAnsi="Calibri" w:cs="Calibri"/>
                <w:sz w:val="22"/>
              </w:rPr>
            </w:pPr>
            <w:r w:rsidRPr="004672B0">
              <w:rPr>
                <w:rStyle w:val="Style11ptBlack"/>
                <w:rFonts w:ascii="Calibri" w:hAnsi="Calibri" w:cs="Calibri"/>
                <w:sz w:val="22"/>
              </w:rPr>
              <w:t>Political commitment with increased and sustained case finding</w:t>
            </w:r>
          </w:p>
          <w:p w:rsidR="008434CC" w:rsidRPr="004672B0" w:rsidRDefault="008434CC" w:rsidP="00B916EC">
            <w:pPr>
              <w:numPr>
                <w:ilvl w:val="1"/>
                <w:numId w:val="26"/>
              </w:numPr>
              <w:autoSpaceDE w:val="0"/>
              <w:autoSpaceDN w:val="0"/>
              <w:adjustRightInd w:val="0"/>
              <w:spacing w:before="60" w:after="60" w:line="264" w:lineRule="auto"/>
              <w:ind w:left="360"/>
              <w:rPr>
                <w:rStyle w:val="Style11ptBlack"/>
                <w:rFonts w:ascii="Calibri" w:hAnsi="Calibri" w:cs="Calibri"/>
                <w:sz w:val="22"/>
              </w:rPr>
            </w:pPr>
            <w:r w:rsidRPr="004672B0">
              <w:rPr>
                <w:rStyle w:val="Style11ptBlack"/>
                <w:rFonts w:ascii="Calibri" w:hAnsi="Calibri" w:cs="Calibri"/>
                <w:sz w:val="22"/>
              </w:rPr>
              <w:t>Case detection through quality assured bacteriology</w:t>
            </w:r>
          </w:p>
          <w:p w:rsidR="008434CC" w:rsidRPr="004672B0" w:rsidRDefault="008434CC" w:rsidP="00B916EC">
            <w:pPr>
              <w:numPr>
                <w:ilvl w:val="1"/>
                <w:numId w:val="26"/>
              </w:numPr>
              <w:autoSpaceDE w:val="0"/>
              <w:autoSpaceDN w:val="0"/>
              <w:adjustRightInd w:val="0"/>
              <w:spacing w:before="60" w:after="60" w:line="264" w:lineRule="auto"/>
              <w:ind w:left="360"/>
              <w:rPr>
                <w:rStyle w:val="Style11ptBlack"/>
                <w:rFonts w:ascii="Calibri" w:hAnsi="Calibri" w:cs="Calibri"/>
                <w:sz w:val="22"/>
              </w:rPr>
            </w:pPr>
            <w:r w:rsidRPr="004672B0">
              <w:rPr>
                <w:rStyle w:val="Style11ptBlack"/>
                <w:rFonts w:ascii="Calibri" w:hAnsi="Calibri" w:cs="Calibri"/>
                <w:sz w:val="22"/>
              </w:rPr>
              <w:t>Standardised treatment with supervision and patient support</w:t>
            </w:r>
          </w:p>
          <w:p w:rsidR="008434CC" w:rsidRPr="004672B0" w:rsidRDefault="008434CC" w:rsidP="00B916EC">
            <w:pPr>
              <w:numPr>
                <w:ilvl w:val="1"/>
                <w:numId w:val="26"/>
              </w:numPr>
              <w:autoSpaceDE w:val="0"/>
              <w:autoSpaceDN w:val="0"/>
              <w:adjustRightInd w:val="0"/>
              <w:spacing w:before="60" w:after="60" w:line="264" w:lineRule="auto"/>
              <w:ind w:left="357" w:hanging="357"/>
              <w:rPr>
                <w:rStyle w:val="Style11ptBlack"/>
                <w:rFonts w:ascii="Calibri" w:hAnsi="Calibri" w:cs="Calibri"/>
                <w:sz w:val="22"/>
              </w:rPr>
            </w:pPr>
            <w:r w:rsidRPr="004672B0">
              <w:rPr>
                <w:rStyle w:val="Style11ptBlack"/>
                <w:rFonts w:ascii="Calibri" w:hAnsi="Calibri" w:cs="Calibri"/>
                <w:sz w:val="22"/>
              </w:rPr>
              <w:t>An effective drug supply and management system</w:t>
            </w:r>
          </w:p>
          <w:p w:rsidR="008434CC" w:rsidRPr="004672B0" w:rsidRDefault="008434CC" w:rsidP="00B916EC">
            <w:pPr>
              <w:numPr>
                <w:ilvl w:val="1"/>
                <w:numId w:val="26"/>
              </w:numPr>
              <w:autoSpaceDE w:val="0"/>
              <w:autoSpaceDN w:val="0"/>
              <w:adjustRightInd w:val="0"/>
              <w:spacing w:before="60" w:after="120" w:line="264" w:lineRule="auto"/>
              <w:ind w:left="357" w:hanging="357"/>
              <w:rPr>
                <w:rStyle w:val="Style11ptBlack"/>
              </w:rPr>
            </w:pPr>
            <w:r w:rsidRPr="004672B0">
              <w:rPr>
                <w:rStyle w:val="Style11ptBlack"/>
                <w:rFonts w:ascii="Calibri" w:hAnsi="Calibri" w:cs="Calibri"/>
                <w:sz w:val="22"/>
              </w:rPr>
              <w:t>A monitoring and evaluation system and impact measurement.</w:t>
            </w:r>
          </w:p>
        </w:tc>
      </w:tr>
    </w:tbl>
    <w:p w:rsidR="008434CC" w:rsidRPr="00F11966" w:rsidRDefault="008434CC" w:rsidP="0098243B">
      <w:pPr>
        <w:rPr>
          <w:rStyle w:val="Style11ptBlack"/>
          <w:rFonts w:ascii="Calibri" w:hAnsi="Calibri" w:cs="Calibri"/>
          <w:sz w:val="22"/>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tblGrid>
      <w:tr w:rsidR="008434CC" w:rsidRPr="004672B0" w:rsidTr="00F05C1E">
        <w:tc>
          <w:tcPr>
            <w:tcW w:w="5954" w:type="dxa"/>
            <w:shd w:val="clear" w:color="auto" w:fill="C6D9F1"/>
          </w:tcPr>
          <w:p w:rsidR="008434CC" w:rsidRPr="004672B0" w:rsidRDefault="008434CC" w:rsidP="008939CD">
            <w:pPr>
              <w:autoSpaceDE w:val="0"/>
              <w:autoSpaceDN w:val="0"/>
              <w:adjustRightInd w:val="0"/>
              <w:spacing w:after="120" w:line="264" w:lineRule="auto"/>
              <w:jc w:val="center"/>
              <w:rPr>
                <w:rStyle w:val="Style11ptBlack"/>
                <w:b/>
              </w:rPr>
            </w:pPr>
            <w:r w:rsidRPr="004672B0">
              <w:rPr>
                <w:rStyle w:val="Style11ptBlack"/>
                <w:b/>
              </w:rPr>
              <w:lastRenderedPageBreak/>
              <w:t xml:space="preserve">Box 2: The Six Elements of the </w:t>
            </w:r>
            <w:r w:rsidRPr="004672B0">
              <w:rPr>
                <w:rStyle w:val="Style11ptBlack"/>
                <w:b/>
              </w:rPr>
              <w:br/>
            </w:r>
            <w:r w:rsidRPr="004672B0">
              <w:rPr>
                <w:rStyle w:val="Style11ptBlack"/>
                <w:b/>
                <w:i/>
              </w:rPr>
              <w:t>WHO Regional Stop TB Strategy, 2006-10</w:t>
            </w:r>
          </w:p>
          <w:p w:rsidR="008434CC" w:rsidRPr="004672B0" w:rsidRDefault="008434CC" w:rsidP="00B916EC">
            <w:pPr>
              <w:numPr>
                <w:ilvl w:val="0"/>
                <w:numId w:val="27"/>
              </w:numPr>
              <w:autoSpaceDE w:val="0"/>
              <w:autoSpaceDN w:val="0"/>
              <w:adjustRightInd w:val="0"/>
              <w:spacing w:before="60" w:after="60" w:line="264" w:lineRule="auto"/>
              <w:rPr>
                <w:rStyle w:val="Style11ptBlack"/>
                <w:rFonts w:ascii="Calibri" w:hAnsi="Calibri" w:cs="Calibri"/>
                <w:sz w:val="22"/>
              </w:rPr>
            </w:pPr>
            <w:r w:rsidRPr="004672B0">
              <w:rPr>
                <w:rStyle w:val="Style11ptBlack"/>
                <w:rFonts w:ascii="Calibri" w:hAnsi="Calibri" w:cs="Calibri"/>
                <w:sz w:val="22"/>
              </w:rPr>
              <w:t>Pursue high-quality DOTS expansion and enhancement;</w:t>
            </w:r>
          </w:p>
          <w:p w:rsidR="008434CC" w:rsidRPr="004672B0" w:rsidRDefault="008434CC" w:rsidP="00B916EC">
            <w:pPr>
              <w:numPr>
                <w:ilvl w:val="0"/>
                <w:numId w:val="27"/>
              </w:numPr>
              <w:autoSpaceDE w:val="0"/>
              <w:autoSpaceDN w:val="0"/>
              <w:adjustRightInd w:val="0"/>
              <w:spacing w:before="60" w:after="60" w:line="264" w:lineRule="auto"/>
              <w:rPr>
                <w:rStyle w:val="Style11ptBlack"/>
                <w:rFonts w:ascii="Calibri" w:hAnsi="Calibri" w:cs="Calibri"/>
                <w:sz w:val="22"/>
              </w:rPr>
            </w:pPr>
            <w:r w:rsidRPr="004672B0">
              <w:rPr>
                <w:rStyle w:val="Style11ptBlack"/>
                <w:rFonts w:ascii="Calibri" w:hAnsi="Calibri" w:cs="Calibri"/>
                <w:sz w:val="22"/>
              </w:rPr>
              <w:t>Address TB/HIV, MDR-TB and other challenges</w:t>
            </w:r>
          </w:p>
          <w:p w:rsidR="008434CC" w:rsidRPr="004672B0" w:rsidRDefault="008434CC" w:rsidP="00B916EC">
            <w:pPr>
              <w:numPr>
                <w:ilvl w:val="0"/>
                <w:numId w:val="27"/>
              </w:numPr>
              <w:autoSpaceDE w:val="0"/>
              <w:autoSpaceDN w:val="0"/>
              <w:adjustRightInd w:val="0"/>
              <w:spacing w:before="60" w:after="60" w:line="264" w:lineRule="auto"/>
              <w:rPr>
                <w:rStyle w:val="Style11ptBlack"/>
                <w:rFonts w:ascii="Calibri" w:hAnsi="Calibri" w:cs="Calibri"/>
                <w:sz w:val="22"/>
              </w:rPr>
            </w:pPr>
            <w:r w:rsidRPr="004672B0">
              <w:rPr>
                <w:rStyle w:val="Style11ptBlack"/>
                <w:rFonts w:ascii="Calibri" w:hAnsi="Calibri" w:cs="Calibri"/>
                <w:sz w:val="22"/>
              </w:rPr>
              <w:t>Contribute to health system strengthening</w:t>
            </w:r>
          </w:p>
          <w:p w:rsidR="008434CC" w:rsidRPr="004672B0" w:rsidRDefault="008434CC" w:rsidP="00B916EC">
            <w:pPr>
              <w:numPr>
                <w:ilvl w:val="0"/>
                <w:numId w:val="27"/>
              </w:numPr>
              <w:autoSpaceDE w:val="0"/>
              <w:autoSpaceDN w:val="0"/>
              <w:adjustRightInd w:val="0"/>
              <w:spacing w:before="60" w:after="60" w:line="264" w:lineRule="auto"/>
              <w:rPr>
                <w:rStyle w:val="Style11ptBlack"/>
                <w:rFonts w:ascii="Calibri" w:hAnsi="Calibri" w:cs="Calibri"/>
                <w:sz w:val="22"/>
              </w:rPr>
            </w:pPr>
            <w:r w:rsidRPr="004672B0">
              <w:rPr>
                <w:rStyle w:val="Style11ptBlack"/>
                <w:rFonts w:ascii="Calibri" w:hAnsi="Calibri" w:cs="Calibri"/>
                <w:sz w:val="22"/>
              </w:rPr>
              <w:t>Engage all care providers</w:t>
            </w:r>
          </w:p>
          <w:p w:rsidR="008434CC" w:rsidRPr="004672B0" w:rsidRDefault="008434CC" w:rsidP="00B916EC">
            <w:pPr>
              <w:numPr>
                <w:ilvl w:val="0"/>
                <w:numId w:val="27"/>
              </w:numPr>
              <w:autoSpaceDE w:val="0"/>
              <w:autoSpaceDN w:val="0"/>
              <w:adjustRightInd w:val="0"/>
              <w:spacing w:before="60" w:after="60" w:line="264" w:lineRule="auto"/>
              <w:rPr>
                <w:rStyle w:val="Style11ptBlack"/>
                <w:rFonts w:ascii="Calibri" w:hAnsi="Calibri" w:cs="Calibri"/>
                <w:sz w:val="22"/>
              </w:rPr>
            </w:pPr>
            <w:r w:rsidRPr="004672B0">
              <w:rPr>
                <w:rStyle w:val="Style11ptBlack"/>
                <w:rFonts w:ascii="Calibri" w:hAnsi="Calibri" w:cs="Calibri"/>
                <w:sz w:val="22"/>
              </w:rPr>
              <w:t>Empower people with TB, and communities</w:t>
            </w:r>
          </w:p>
          <w:p w:rsidR="008434CC" w:rsidRPr="004672B0" w:rsidRDefault="008434CC" w:rsidP="00B916EC">
            <w:pPr>
              <w:numPr>
                <w:ilvl w:val="0"/>
                <w:numId w:val="27"/>
              </w:numPr>
              <w:autoSpaceDE w:val="0"/>
              <w:autoSpaceDN w:val="0"/>
              <w:adjustRightInd w:val="0"/>
              <w:spacing w:before="60" w:after="120" w:line="264" w:lineRule="auto"/>
              <w:rPr>
                <w:rStyle w:val="Style11ptBlack"/>
              </w:rPr>
            </w:pPr>
            <w:r w:rsidRPr="004672B0">
              <w:rPr>
                <w:rStyle w:val="Style11ptBlack"/>
                <w:rFonts w:ascii="Calibri" w:hAnsi="Calibri" w:cs="Calibri"/>
                <w:sz w:val="22"/>
              </w:rPr>
              <w:t>Enable and promote research</w:t>
            </w:r>
          </w:p>
        </w:tc>
      </w:tr>
    </w:tbl>
    <w:p w:rsidR="008434CC" w:rsidRDefault="008434CC" w:rsidP="00F11966"/>
    <w:p w:rsidR="008434CC" w:rsidRDefault="008434CC" w:rsidP="001F43FD">
      <w:r>
        <w:t xml:space="preserve">Available data (summarised in </w:t>
      </w:r>
      <w:r w:rsidRPr="001F43FD">
        <w:rPr>
          <w:color w:val="000000"/>
        </w:rPr>
        <w:t>Section 2</w:t>
      </w:r>
      <w:r w:rsidRPr="00CC3249">
        <w:rPr>
          <w:color w:val="000000"/>
        </w:rPr>
        <w:t xml:space="preserve">) </w:t>
      </w:r>
      <w:r>
        <w:t xml:space="preserve">suggest that </w:t>
      </w:r>
      <w:r w:rsidRPr="002200A9">
        <w:t xml:space="preserve">the epidemic </w:t>
      </w:r>
      <w:r>
        <w:t xml:space="preserve">now </w:t>
      </w:r>
      <w:r w:rsidRPr="002200A9">
        <w:t>appear</w:t>
      </w:r>
      <w:r>
        <w:t>s</w:t>
      </w:r>
      <w:r w:rsidRPr="002200A9">
        <w:t xml:space="preserve"> to </w:t>
      </w:r>
      <w:r>
        <w:t xml:space="preserve">be coming </w:t>
      </w:r>
      <w:r w:rsidRPr="002200A9">
        <w:t>under control</w:t>
      </w:r>
      <w:r>
        <w:t>.  TB case notification rates have d</w:t>
      </w:r>
      <w:r w:rsidRPr="002200A9">
        <w:t>eclin</w:t>
      </w:r>
      <w:r>
        <w:t>ed</w:t>
      </w:r>
      <w:r w:rsidRPr="002200A9">
        <w:t xml:space="preserve"> </w:t>
      </w:r>
      <w:r>
        <w:t>by approximately</w:t>
      </w:r>
      <w:r w:rsidRPr="002200A9">
        <w:t xml:space="preserve"> 5% annually since the 2006</w:t>
      </w:r>
      <w:r>
        <w:t xml:space="preserve"> </w:t>
      </w:r>
      <w:r w:rsidRPr="002200A9">
        <w:t>peak</w:t>
      </w:r>
      <w:r>
        <w:t>, and t</w:t>
      </w:r>
      <w:r w:rsidRPr="002200A9">
        <w:t>reatment success rates have remained well above regional targets (over 90%)</w:t>
      </w:r>
      <w:r>
        <w:t xml:space="preserve">.  </w:t>
      </w:r>
    </w:p>
    <w:p w:rsidR="008434CC" w:rsidRPr="00354D0A" w:rsidRDefault="008434CC" w:rsidP="00054FB8">
      <w:pPr>
        <w:pStyle w:val="Heading3"/>
      </w:pPr>
      <w:bookmarkStart w:id="8" w:name="_Toc331686068"/>
      <w:r w:rsidRPr="00354D0A">
        <w:t>1.1.</w:t>
      </w:r>
      <w:r>
        <w:t>3</w:t>
      </w:r>
      <w:r w:rsidRPr="00354D0A">
        <w:t xml:space="preserve"> </w:t>
      </w:r>
      <w:r>
        <w:t xml:space="preserve">Donor Funded Support for the National </w:t>
      </w:r>
      <w:r w:rsidRPr="00354D0A">
        <w:t>T</w:t>
      </w:r>
      <w:r>
        <w:t>uberculosis</w:t>
      </w:r>
      <w:r w:rsidRPr="00354D0A">
        <w:t xml:space="preserve"> </w:t>
      </w:r>
      <w:r>
        <w:t>Program</w:t>
      </w:r>
      <w:bookmarkEnd w:id="8"/>
    </w:p>
    <w:p w:rsidR="008434CC" w:rsidRDefault="008434CC" w:rsidP="001F43FD">
      <w:r>
        <w:t xml:space="preserve">Enhanced TB control efforts have been jointly funded by the Government of Kiribati (GOK), AusAID and the Global Fund </w:t>
      </w:r>
      <w:r>
        <w:rPr>
          <w:rStyle w:val="Style11ptBlack"/>
          <w:rFonts w:ascii="Calibri" w:hAnsi="Calibri" w:cs="Calibri"/>
          <w:sz w:val="22"/>
        </w:rPr>
        <w:t>to fight AIDS, Tuberculosis and Malaria (“the Global Fund”)</w:t>
      </w:r>
      <w:r>
        <w:t xml:space="preserve">.  </w:t>
      </w:r>
    </w:p>
    <w:p w:rsidR="008434CC" w:rsidRDefault="008434CC" w:rsidP="000E56E6">
      <w:pPr>
        <w:rPr>
          <w:rStyle w:val="Style11ptBlack"/>
          <w:rFonts w:ascii="Calibri" w:hAnsi="Calibri" w:cs="Calibri"/>
          <w:sz w:val="22"/>
        </w:rPr>
      </w:pPr>
      <w:r w:rsidRPr="000E5402">
        <w:rPr>
          <w:rStyle w:val="Style11ptBlack"/>
          <w:rFonts w:ascii="Calibri" w:hAnsi="Calibri" w:cs="Calibri"/>
          <w:sz w:val="22"/>
        </w:rPr>
        <w:t xml:space="preserve">The Global Fund first provided resources for the NTP in 2003 through a regional multi-country project under Round 2.  </w:t>
      </w:r>
    </w:p>
    <w:p w:rsidR="008434CC" w:rsidRDefault="008434CC" w:rsidP="000E56E6">
      <w:pPr>
        <w:rPr>
          <w:rStyle w:val="Style11ptBlack"/>
          <w:rFonts w:ascii="Calibri" w:hAnsi="Calibri" w:cs="Calibri"/>
          <w:sz w:val="22"/>
        </w:rPr>
      </w:pPr>
      <w:r>
        <w:rPr>
          <w:rStyle w:val="Style11ptBlack"/>
          <w:rFonts w:ascii="Calibri" w:hAnsi="Calibri" w:cs="Calibri"/>
          <w:sz w:val="22"/>
        </w:rPr>
        <w:t xml:space="preserve">In </w:t>
      </w:r>
      <w:r w:rsidRPr="000E56E6">
        <w:rPr>
          <w:rStyle w:val="Style11ptBlack"/>
          <w:rFonts w:ascii="Calibri" w:hAnsi="Calibri" w:cs="Calibri"/>
          <w:sz w:val="22"/>
        </w:rPr>
        <w:t>2006</w:t>
      </w:r>
      <w:r>
        <w:rPr>
          <w:rStyle w:val="Style11ptBlack"/>
          <w:rFonts w:ascii="Calibri" w:hAnsi="Calibri" w:cs="Calibri"/>
          <w:sz w:val="22"/>
        </w:rPr>
        <w:t xml:space="preserve">, in response to the </w:t>
      </w:r>
      <w:r>
        <w:t xml:space="preserve">Government’s </w:t>
      </w:r>
      <w:r>
        <w:rPr>
          <w:rStyle w:val="Style11ptBlack"/>
          <w:rFonts w:ascii="Calibri" w:hAnsi="Calibri" w:cs="Calibri"/>
          <w:sz w:val="22"/>
        </w:rPr>
        <w:t>crisis declaration,</w:t>
      </w:r>
      <w:r w:rsidRPr="000E56E6">
        <w:rPr>
          <w:rStyle w:val="Style11ptBlack"/>
          <w:rFonts w:ascii="Calibri" w:hAnsi="Calibri" w:cs="Calibri"/>
          <w:sz w:val="22"/>
        </w:rPr>
        <w:t xml:space="preserve"> Australia </w:t>
      </w:r>
      <w:r>
        <w:rPr>
          <w:rStyle w:val="Style11ptBlack"/>
          <w:rFonts w:ascii="Calibri" w:hAnsi="Calibri" w:cs="Calibri"/>
          <w:sz w:val="22"/>
        </w:rPr>
        <w:t xml:space="preserve">provided an additional </w:t>
      </w:r>
      <w:r w:rsidRPr="000E56E6">
        <w:rPr>
          <w:rStyle w:val="Style11ptBlack"/>
          <w:rFonts w:ascii="Calibri" w:hAnsi="Calibri" w:cs="Calibri"/>
          <w:sz w:val="22"/>
        </w:rPr>
        <w:t>AUD 2.06 million in bilateral funding support</w:t>
      </w:r>
      <w:r>
        <w:rPr>
          <w:rStyle w:val="Style11ptBlack"/>
          <w:rFonts w:ascii="Calibri" w:hAnsi="Calibri" w:cs="Calibri"/>
          <w:sz w:val="22"/>
        </w:rPr>
        <w:t xml:space="preserve"> </w:t>
      </w:r>
      <w:r w:rsidRPr="000E56E6">
        <w:rPr>
          <w:rStyle w:val="Style11ptBlack"/>
          <w:rFonts w:ascii="Calibri" w:hAnsi="Calibri" w:cs="Calibri"/>
          <w:sz w:val="22"/>
        </w:rPr>
        <w:t xml:space="preserve">for the NTP.  This assistance has been delivered through the </w:t>
      </w:r>
      <w:r>
        <w:rPr>
          <w:rStyle w:val="Style11ptBlack"/>
          <w:rFonts w:ascii="Calibri" w:hAnsi="Calibri" w:cs="Calibri"/>
          <w:sz w:val="22"/>
        </w:rPr>
        <w:t>Quality TB Epidemic Control Project (</w:t>
      </w:r>
      <w:r w:rsidRPr="000E56E6">
        <w:rPr>
          <w:rStyle w:val="Style11ptBlack"/>
          <w:rFonts w:ascii="Calibri" w:hAnsi="Calibri" w:cs="Calibri"/>
          <w:sz w:val="22"/>
        </w:rPr>
        <w:t>QTBECP</w:t>
      </w:r>
      <w:r>
        <w:rPr>
          <w:rStyle w:val="Style11ptBlack"/>
          <w:rFonts w:ascii="Calibri" w:hAnsi="Calibri" w:cs="Calibri"/>
          <w:sz w:val="22"/>
        </w:rPr>
        <w:t xml:space="preserve">), which has been implemented by SPC across two phases (Phase 1 from </w:t>
      </w:r>
      <w:r w:rsidRPr="006D4233">
        <w:rPr>
          <w:rStyle w:val="Style11ptBlack"/>
          <w:rFonts w:ascii="Calibri" w:hAnsi="Calibri" w:cs="Calibri"/>
          <w:sz w:val="22"/>
        </w:rPr>
        <w:t xml:space="preserve">October 2006 </w:t>
      </w:r>
      <w:r>
        <w:rPr>
          <w:rStyle w:val="Style11ptBlack"/>
          <w:rFonts w:ascii="Calibri" w:hAnsi="Calibri" w:cs="Calibri"/>
          <w:sz w:val="22"/>
        </w:rPr>
        <w:t>to</w:t>
      </w:r>
      <w:r w:rsidRPr="006D4233">
        <w:rPr>
          <w:rStyle w:val="Style11ptBlack"/>
          <w:rFonts w:ascii="Calibri" w:hAnsi="Calibri" w:cs="Calibri"/>
          <w:sz w:val="22"/>
        </w:rPr>
        <w:t xml:space="preserve"> September 2009</w:t>
      </w:r>
      <w:r>
        <w:rPr>
          <w:rStyle w:val="Style11ptBlack"/>
          <w:rFonts w:ascii="Calibri" w:hAnsi="Calibri" w:cs="Calibri"/>
          <w:sz w:val="22"/>
        </w:rPr>
        <w:t xml:space="preserve">, and Phase 2 from </w:t>
      </w:r>
      <w:r w:rsidRPr="006D4233">
        <w:rPr>
          <w:rStyle w:val="Style11ptBlack"/>
          <w:rFonts w:ascii="Calibri" w:hAnsi="Calibri" w:cs="Calibri"/>
          <w:sz w:val="22"/>
        </w:rPr>
        <w:t xml:space="preserve">October 2009 </w:t>
      </w:r>
      <w:r>
        <w:rPr>
          <w:rStyle w:val="Style11ptBlack"/>
          <w:rFonts w:ascii="Calibri" w:hAnsi="Calibri" w:cs="Calibri"/>
          <w:sz w:val="22"/>
        </w:rPr>
        <w:t>to</w:t>
      </w:r>
      <w:r w:rsidRPr="006D4233">
        <w:rPr>
          <w:rStyle w:val="Style11ptBlack"/>
          <w:rFonts w:ascii="Calibri" w:hAnsi="Calibri" w:cs="Calibri"/>
          <w:sz w:val="22"/>
        </w:rPr>
        <w:t xml:space="preserve"> September 2012)</w:t>
      </w:r>
      <w:r>
        <w:rPr>
          <w:rStyle w:val="Style11ptBlack"/>
          <w:rFonts w:ascii="Calibri" w:hAnsi="Calibri" w:cs="Calibri"/>
          <w:sz w:val="22"/>
        </w:rPr>
        <w:t>.</w:t>
      </w:r>
      <w:r>
        <w:rPr>
          <w:rStyle w:val="FootnoteReference"/>
          <w:rFonts w:cs="Calibri"/>
          <w:color w:val="000000"/>
        </w:rPr>
        <w:footnoteReference w:id="4"/>
      </w:r>
      <w:r>
        <w:rPr>
          <w:rStyle w:val="Style11ptBlack"/>
          <w:rFonts w:ascii="Calibri" w:hAnsi="Calibri" w:cs="Calibri"/>
          <w:sz w:val="22"/>
        </w:rPr>
        <w:t xml:space="preserve">  </w:t>
      </w:r>
    </w:p>
    <w:p w:rsidR="008434CC" w:rsidRPr="005A7758" w:rsidRDefault="008434CC" w:rsidP="005C460D">
      <w:pPr>
        <w:rPr>
          <w:rStyle w:val="Style11ptBlack"/>
          <w:rFonts w:ascii="Calibri" w:hAnsi="Calibri" w:cs="Calibri"/>
          <w:sz w:val="22"/>
        </w:rPr>
      </w:pPr>
      <w:r w:rsidRPr="000E5402">
        <w:rPr>
          <w:rStyle w:val="Style11ptBlack"/>
          <w:rFonts w:ascii="Calibri" w:hAnsi="Calibri" w:cs="Calibri"/>
          <w:sz w:val="22"/>
        </w:rPr>
        <w:t xml:space="preserve">Current Global Fund support under Round 7 (Phase 2) is for </w:t>
      </w:r>
      <w:r>
        <w:rPr>
          <w:rStyle w:val="Style11ptBlack"/>
          <w:rFonts w:ascii="Calibri" w:hAnsi="Calibri" w:cs="Calibri"/>
          <w:sz w:val="22"/>
        </w:rPr>
        <w:t>almost</w:t>
      </w:r>
      <w:r w:rsidRPr="000E5402">
        <w:rPr>
          <w:rStyle w:val="Style11ptBlack"/>
          <w:rFonts w:ascii="Calibri" w:hAnsi="Calibri" w:cs="Calibri"/>
          <w:sz w:val="22"/>
        </w:rPr>
        <w:t xml:space="preserve"> USD 0.66 million over three years (July 2010 – June 2013).</w:t>
      </w:r>
      <w:r>
        <w:rPr>
          <w:rStyle w:val="Style11ptBlack"/>
          <w:rFonts w:ascii="Calibri" w:hAnsi="Calibri" w:cs="Calibri"/>
          <w:sz w:val="22"/>
        </w:rPr>
        <w:t xml:space="preserve">  A modest extension of Global Fund support to December 2014 through a transitional funding </w:t>
      </w:r>
      <w:r w:rsidRPr="005A7758">
        <w:rPr>
          <w:rStyle w:val="Style11ptBlack"/>
          <w:rFonts w:ascii="Calibri" w:hAnsi="Calibri" w:cs="Calibri"/>
          <w:sz w:val="22"/>
        </w:rPr>
        <w:t>mechanism (TFM) of AUD 420,000 under Round 11 has been submitted</w:t>
      </w:r>
      <w:r>
        <w:rPr>
          <w:rStyle w:val="Style11ptBlack"/>
          <w:rFonts w:ascii="Calibri" w:hAnsi="Calibri" w:cs="Calibri"/>
          <w:sz w:val="22"/>
        </w:rPr>
        <w:t>, and the GOK is awaiting the outcome of this application</w:t>
      </w:r>
      <w:r w:rsidRPr="005A7758">
        <w:rPr>
          <w:rStyle w:val="Style11ptBlack"/>
          <w:rFonts w:ascii="Calibri" w:hAnsi="Calibri" w:cs="Calibri"/>
          <w:sz w:val="22"/>
        </w:rPr>
        <w:t>.</w:t>
      </w:r>
    </w:p>
    <w:p w:rsidR="008434CC" w:rsidRPr="00354D0A" w:rsidRDefault="008434CC" w:rsidP="00054FB8">
      <w:pPr>
        <w:pStyle w:val="Heading3"/>
      </w:pPr>
      <w:bookmarkStart w:id="9" w:name="_Toc331686069"/>
      <w:r w:rsidRPr="00354D0A">
        <w:t>1.1.</w:t>
      </w:r>
      <w:r>
        <w:t>4</w:t>
      </w:r>
      <w:r w:rsidRPr="00354D0A">
        <w:t xml:space="preserve"> </w:t>
      </w:r>
      <w:r>
        <w:t>Vulnerability to Premature Cessation of Donor Support</w:t>
      </w:r>
      <w:bookmarkEnd w:id="9"/>
    </w:p>
    <w:p w:rsidR="008434CC" w:rsidRDefault="008434CC" w:rsidP="004334AA">
      <w:pPr>
        <w:rPr>
          <w:rStyle w:val="Style11ptBlack"/>
          <w:rFonts w:ascii="Calibri" w:hAnsi="Calibri" w:cs="Calibri"/>
          <w:sz w:val="22"/>
        </w:rPr>
      </w:pPr>
      <w:r>
        <w:rPr>
          <w:rStyle w:val="Style11ptBlack"/>
          <w:rFonts w:ascii="Calibri" w:hAnsi="Calibri" w:cs="Calibri"/>
          <w:sz w:val="22"/>
        </w:rPr>
        <w:t xml:space="preserve">Independent reviews of Phase 1 and Phase 2 of the </w:t>
      </w:r>
      <w:r w:rsidRPr="006D4233">
        <w:rPr>
          <w:rStyle w:val="Style11ptBlack"/>
          <w:rFonts w:ascii="Calibri" w:hAnsi="Calibri" w:cs="Calibri"/>
          <w:sz w:val="22"/>
        </w:rPr>
        <w:t xml:space="preserve">QTBECP </w:t>
      </w:r>
      <w:r>
        <w:rPr>
          <w:rStyle w:val="Style11ptBlack"/>
          <w:rFonts w:ascii="Calibri" w:hAnsi="Calibri" w:cs="Calibri"/>
          <w:sz w:val="22"/>
        </w:rPr>
        <w:t xml:space="preserve">were conducted in June 2009 and </w:t>
      </w:r>
      <w:r w:rsidRPr="005C460D">
        <w:rPr>
          <w:rStyle w:val="Style11ptBlack"/>
          <w:rFonts w:ascii="Calibri" w:hAnsi="Calibri" w:cs="Calibri"/>
          <w:sz w:val="22"/>
        </w:rPr>
        <w:t>August 2011, respectively.  (The findings of these reviews are discussed in more detail in Section 4</w:t>
      </w:r>
      <w:r>
        <w:rPr>
          <w:rStyle w:val="Style11ptBlack"/>
          <w:rFonts w:ascii="Calibri" w:hAnsi="Calibri" w:cs="Calibri"/>
          <w:sz w:val="22"/>
        </w:rPr>
        <w:t>).</w:t>
      </w:r>
    </w:p>
    <w:p w:rsidR="008434CC" w:rsidRPr="006D4233" w:rsidRDefault="008434CC" w:rsidP="005C460D">
      <w:pPr>
        <w:rPr>
          <w:rStyle w:val="Style11ptBlack"/>
          <w:rFonts w:ascii="Calibri" w:hAnsi="Calibri" w:cs="Calibri"/>
          <w:sz w:val="22"/>
        </w:rPr>
      </w:pPr>
      <w:r>
        <w:rPr>
          <w:rStyle w:val="Style11ptBlack"/>
          <w:rFonts w:ascii="Calibri" w:hAnsi="Calibri" w:cs="Calibri"/>
          <w:sz w:val="22"/>
        </w:rPr>
        <w:t>Both reviews concluded that a</w:t>
      </w:r>
      <w:r w:rsidRPr="006D4233">
        <w:rPr>
          <w:rStyle w:val="Style11ptBlack"/>
          <w:rFonts w:ascii="Calibri" w:hAnsi="Calibri" w:cs="Calibri"/>
          <w:sz w:val="22"/>
        </w:rPr>
        <w:t xml:space="preserve">chieving </w:t>
      </w:r>
      <w:r>
        <w:rPr>
          <w:rStyle w:val="Style11ptBlack"/>
          <w:rFonts w:ascii="Calibri" w:hAnsi="Calibri" w:cs="Calibri"/>
          <w:sz w:val="22"/>
        </w:rPr>
        <w:t xml:space="preserve">adequate </w:t>
      </w:r>
      <w:r w:rsidRPr="006D4233">
        <w:rPr>
          <w:rStyle w:val="Style11ptBlack"/>
          <w:rFonts w:ascii="Calibri" w:hAnsi="Calibri" w:cs="Calibri"/>
          <w:sz w:val="22"/>
        </w:rPr>
        <w:t xml:space="preserve">control of the TB epidemic in Kiribati </w:t>
      </w:r>
      <w:r>
        <w:rPr>
          <w:rStyle w:val="Style11ptBlack"/>
          <w:rFonts w:ascii="Calibri" w:hAnsi="Calibri" w:cs="Calibri"/>
          <w:sz w:val="22"/>
        </w:rPr>
        <w:t xml:space="preserve">(including prevention of the emergence of MDR-TB) </w:t>
      </w:r>
      <w:r w:rsidRPr="006D4233">
        <w:rPr>
          <w:rStyle w:val="Style11ptBlack"/>
          <w:rFonts w:ascii="Calibri" w:hAnsi="Calibri" w:cs="Calibri"/>
          <w:sz w:val="22"/>
        </w:rPr>
        <w:t xml:space="preserve">is likely to </w:t>
      </w:r>
      <w:r>
        <w:rPr>
          <w:rStyle w:val="Style11ptBlack"/>
          <w:rFonts w:ascii="Calibri" w:hAnsi="Calibri" w:cs="Calibri"/>
          <w:sz w:val="22"/>
        </w:rPr>
        <w:t xml:space="preserve">take </w:t>
      </w:r>
      <w:r w:rsidRPr="006D4233">
        <w:rPr>
          <w:rStyle w:val="Style11ptBlack"/>
          <w:rFonts w:ascii="Calibri" w:hAnsi="Calibri" w:cs="Calibri"/>
          <w:sz w:val="22"/>
        </w:rPr>
        <w:t xml:space="preserve">at least </w:t>
      </w:r>
      <w:r>
        <w:rPr>
          <w:rStyle w:val="Style11ptBlack"/>
          <w:rFonts w:ascii="Calibri" w:hAnsi="Calibri" w:cs="Calibri"/>
          <w:sz w:val="22"/>
        </w:rPr>
        <w:t>10</w:t>
      </w:r>
      <w:r w:rsidRPr="006D4233">
        <w:rPr>
          <w:rStyle w:val="Style11ptBlack"/>
          <w:rFonts w:ascii="Calibri" w:hAnsi="Calibri" w:cs="Calibri"/>
          <w:sz w:val="22"/>
        </w:rPr>
        <w:t xml:space="preserve"> years</w:t>
      </w:r>
      <w:r>
        <w:rPr>
          <w:rStyle w:val="Style11ptBlack"/>
          <w:rFonts w:ascii="Calibri" w:hAnsi="Calibri" w:cs="Calibri"/>
          <w:sz w:val="22"/>
        </w:rPr>
        <w:t xml:space="preserve">, and longer to achieve elimination of TB as a public health problem </w:t>
      </w:r>
      <w:r>
        <w:t xml:space="preserve">(defined by WHO and the </w:t>
      </w:r>
      <w:r w:rsidRPr="00081C37">
        <w:rPr>
          <w:i/>
        </w:rPr>
        <w:t>Stop TB</w:t>
      </w:r>
      <w:r w:rsidRPr="005A7758">
        <w:rPr>
          <w:i/>
        </w:rPr>
        <w:t xml:space="preserve"> </w:t>
      </w:r>
      <w:r w:rsidRPr="005A7758">
        <w:t>Partnership</w:t>
      </w:r>
      <w:r>
        <w:t xml:space="preserve"> as less than 1 case per million population)</w:t>
      </w:r>
      <w:r>
        <w:rPr>
          <w:rStyle w:val="Style11ptBlack"/>
          <w:rFonts w:ascii="Calibri" w:hAnsi="Calibri" w:cs="Calibri"/>
          <w:sz w:val="22"/>
        </w:rPr>
        <w:t>.  A</w:t>
      </w:r>
      <w:r w:rsidRPr="006D4233">
        <w:rPr>
          <w:rStyle w:val="Style11ptBlack"/>
          <w:rFonts w:ascii="Calibri" w:hAnsi="Calibri" w:cs="Calibri"/>
          <w:sz w:val="22"/>
        </w:rPr>
        <w:t xml:space="preserve">s donor contributions currently fund around 85% of NTP operational costs, it </w:t>
      </w:r>
      <w:r>
        <w:rPr>
          <w:rStyle w:val="Style11ptBlack"/>
          <w:rFonts w:ascii="Calibri" w:hAnsi="Calibri" w:cs="Calibri"/>
          <w:sz w:val="22"/>
        </w:rPr>
        <w:t xml:space="preserve">would </w:t>
      </w:r>
      <w:r w:rsidRPr="006D4233">
        <w:rPr>
          <w:rStyle w:val="Style11ptBlack"/>
          <w:rFonts w:ascii="Calibri" w:hAnsi="Calibri" w:cs="Calibri"/>
          <w:sz w:val="22"/>
        </w:rPr>
        <w:t xml:space="preserve">be </w:t>
      </w:r>
      <w:r>
        <w:rPr>
          <w:rStyle w:val="Style11ptBlack"/>
          <w:rFonts w:ascii="Calibri" w:hAnsi="Calibri" w:cs="Calibri"/>
          <w:sz w:val="22"/>
        </w:rPr>
        <w:t xml:space="preserve">prudent and </w:t>
      </w:r>
      <w:r w:rsidRPr="006D4233">
        <w:rPr>
          <w:rStyle w:val="Style11ptBlack"/>
          <w:rFonts w:ascii="Calibri" w:hAnsi="Calibri" w:cs="Calibri"/>
          <w:sz w:val="22"/>
        </w:rPr>
        <w:t>important to maintain external technical and financial support during most of th</w:t>
      </w:r>
      <w:r>
        <w:rPr>
          <w:rStyle w:val="Style11ptBlack"/>
          <w:rFonts w:ascii="Calibri" w:hAnsi="Calibri" w:cs="Calibri"/>
          <w:sz w:val="22"/>
        </w:rPr>
        <w:t>at</w:t>
      </w:r>
      <w:r w:rsidRPr="006D4233">
        <w:rPr>
          <w:rStyle w:val="Style11ptBlack"/>
          <w:rFonts w:ascii="Calibri" w:hAnsi="Calibri" w:cs="Calibri"/>
          <w:sz w:val="22"/>
        </w:rPr>
        <w:t xml:space="preserve"> time.  </w:t>
      </w:r>
      <w:r>
        <w:rPr>
          <w:rStyle w:val="Style11ptBlack"/>
          <w:rFonts w:ascii="Calibri" w:hAnsi="Calibri" w:cs="Calibri"/>
          <w:sz w:val="22"/>
        </w:rPr>
        <w:t xml:space="preserve">The imminent conclusion of QTBECP Phase 2 (September 2012) and the likely cessation of Global Fund support relatively soon after that present significant </w:t>
      </w:r>
      <w:r>
        <w:rPr>
          <w:rStyle w:val="Style11ptBlack"/>
          <w:rFonts w:ascii="Calibri" w:hAnsi="Calibri" w:cs="Calibri"/>
          <w:sz w:val="22"/>
        </w:rPr>
        <w:lastRenderedPageBreak/>
        <w:t xml:space="preserve">challenges to the NTP maintaining momentum towards controlling the epidemic and eventually eliminating TB (see also </w:t>
      </w:r>
      <w:r w:rsidRPr="00821639">
        <w:rPr>
          <w:rStyle w:val="Style11ptBlack"/>
          <w:rFonts w:ascii="Calibri" w:hAnsi="Calibri" w:cs="Calibri"/>
          <w:sz w:val="22"/>
        </w:rPr>
        <w:t>budget analysis</w:t>
      </w:r>
      <w:r>
        <w:rPr>
          <w:rStyle w:val="Style11ptBlack"/>
          <w:rFonts w:ascii="Calibri" w:hAnsi="Calibri" w:cs="Calibri"/>
          <w:sz w:val="22"/>
        </w:rPr>
        <w:t xml:space="preserve">, Section 8). </w:t>
      </w:r>
    </w:p>
    <w:p w:rsidR="008434CC" w:rsidRPr="00354D0A" w:rsidRDefault="008434CC" w:rsidP="00054FB8">
      <w:pPr>
        <w:pStyle w:val="Heading3"/>
      </w:pPr>
      <w:bookmarkStart w:id="10" w:name="_Toc331686070"/>
      <w:r w:rsidRPr="00354D0A">
        <w:t>1.1.</w:t>
      </w:r>
      <w:r>
        <w:t>5</w:t>
      </w:r>
      <w:r w:rsidRPr="00354D0A">
        <w:t xml:space="preserve"> </w:t>
      </w:r>
      <w:r>
        <w:t>Development of a New Proposal for Donor Support</w:t>
      </w:r>
      <w:bookmarkEnd w:id="10"/>
    </w:p>
    <w:p w:rsidR="008434CC" w:rsidRPr="00BE0E13" w:rsidRDefault="008434CC" w:rsidP="005C460D">
      <w:r w:rsidRPr="00BE0E13">
        <w:t xml:space="preserve">To sustain the progress made, a continuation of external funds in the medium term is required.  External funding will allow the GOK to consolidate results already achieved and address the long-term sustainability of </w:t>
      </w:r>
      <w:r>
        <w:t xml:space="preserve">AusAID / SPC and Global Fund </w:t>
      </w:r>
      <w:r w:rsidRPr="00BE0E13">
        <w:t xml:space="preserve">project inputs by seeking to integrate elements of the </w:t>
      </w:r>
      <w:r>
        <w:t>p</w:t>
      </w:r>
      <w:r w:rsidRPr="00BE0E13">
        <w:t>roject</w:t>
      </w:r>
      <w:r>
        <w:t>s</w:t>
      </w:r>
      <w:r w:rsidRPr="00BE0E13">
        <w:t xml:space="preserve"> into the national system.  Although the GOK has indicated its continuing commitment to the NTP, its </w:t>
      </w:r>
      <w:r>
        <w:t xml:space="preserve">own </w:t>
      </w:r>
      <w:r w:rsidRPr="00BE0E13">
        <w:t>limited budget</w:t>
      </w:r>
      <w:r w:rsidRPr="00BE0E13" w:rsidDel="00795398">
        <w:t xml:space="preserve"> </w:t>
      </w:r>
      <w:r w:rsidRPr="00BE0E13">
        <w:t xml:space="preserve">makes it difficult for the Government alone to ensure implementation of intensified TB control activities </w:t>
      </w:r>
      <w:r>
        <w:t xml:space="preserve">of assured quality </w:t>
      </w:r>
      <w:r w:rsidRPr="00BE0E13">
        <w:t xml:space="preserve">in the short to medium term. </w:t>
      </w:r>
    </w:p>
    <w:p w:rsidR="008434CC" w:rsidRDefault="008434CC" w:rsidP="000E56E6">
      <w:pPr>
        <w:rPr>
          <w:rStyle w:val="Style11ptBlack"/>
          <w:rFonts w:ascii="Calibri" w:hAnsi="Calibri" w:cs="Calibri"/>
          <w:sz w:val="22"/>
        </w:rPr>
      </w:pPr>
      <w:r>
        <w:rPr>
          <w:rStyle w:val="Style11ptBlack"/>
          <w:rFonts w:ascii="Calibri" w:hAnsi="Calibri" w:cs="Calibri"/>
          <w:sz w:val="22"/>
        </w:rPr>
        <w:t xml:space="preserve">A proposal for continued post-QTBECP AusAID funding through SPC was therefore developed in late 2011, incorporating many of the findings and recommendations of the mid-term review (MTR) of Phase 2 of the QTBECP.  </w:t>
      </w:r>
    </w:p>
    <w:p w:rsidR="008434CC" w:rsidRPr="000E56E6" w:rsidRDefault="008434CC" w:rsidP="000E56E6">
      <w:pPr>
        <w:rPr>
          <w:rStyle w:val="Style11ptBlack"/>
          <w:rFonts w:ascii="Calibri" w:hAnsi="Calibri" w:cs="Calibri"/>
          <w:sz w:val="22"/>
        </w:rPr>
      </w:pPr>
      <w:r>
        <w:rPr>
          <w:rStyle w:val="Style11ptBlack"/>
          <w:rFonts w:ascii="Calibri" w:hAnsi="Calibri" w:cs="Calibri"/>
          <w:sz w:val="22"/>
        </w:rPr>
        <w:t xml:space="preserve">The new proposal underwent formal appraisal and narrowly failed to meet AusAID’s quality at entry (QAE) requirements; re-submission of an amended proposal was strongly recommended. </w:t>
      </w:r>
    </w:p>
    <w:p w:rsidR="008434CC" w:rsidRDefault="008434CC" w:rsidP="002F58D8">
      <w:pPr>
        <w:pStyle w:val="Heading2"/>
      </w:pPr>
      <w:bookmarkStart w:id="11" w:name="_Toc331686071"/>
      <w:r>
        <w:t>1</w:t>
      </w:r>
      <w:r w:rsidRPr="006F5675">
        <w:t>.</w:t>
      </w:r>
      <w:r>
        <w:t>2</w:t>
      </w:r>
      <w:r w:rsidRPr="006F5675">
        <w:t xml:space="preserve"> </w:t>
      </w:r>
      <w:r>
        <w:t>Purpose</w:t>
      </w:r>
      <w:bookmarkEnd w:id="11"/>
    </w:p>
    <w:p w:rsidR="008434CC" w:rsidRPr="00354D0A" w:rsidRDefault="008434CC" w:rsidP="00054FB8">
      <w:pPr>
        <w:pStyle w:val="Heading3"/>
      </w:pPr>
      <w:bookmarkStart w:id="12" w:name="_Toc331686072"/>
      <w:r w:rsidRPr="00354D0A">
        <w:t>1.</w:t>
      </w:r>
      <w:r>
        <w:t>2.</w:t>
      </w:r>
      <w:r w:rsidRPr="00354D0A">
        <w:t xml:space="preserve">1 </w:t>
      </w:r>
      <w:r>
        <w:t>Design Revision and</w:t>
      </w:r>
      <w:r w:rsidRPr="00015A3B">
        <w:t xml:space="preserve"> </w:t>
      </w:r>
      <w:r>
        <w:t>Country Consultation</w:t>
      </w:r>
      <w:bookmarkEnd w:id="12"/>
    </w:p>
    <w:p w:rsidR="008434CC" w:rsidRDefault="008434CC" w:rsidP="00617409">
      <w:r w:rsidRPr="002200A9">
        <w:t>Th</w:t>
      </w:r>
      <w:r>
        <w:t>e</w:t>
      </w:r>
      <w:r w:rsidRPr="002200A9">
        <w:t xml:space="preserve"> </w:t>
      </w:r>
      <w:r>
        <w:t>present document</w:t>
      </w:r>
      <w:r w:rsidRPr="002200A9">
        <w:t xml:space="preserve"> seeks funding support </w:t>
      </w:r>
      <w:r>
        <w:t>for a program of assistance that will</w:t>
      </w:r>
      <w:r w:rsidRPr="002200A9">
        <w:t xml:space="preserve"> </w:t>
      </w:r>
      <w:r>
        <w:t xml:space="preserve">help </w:t>
      </w:r>
      <w:r w:rsidRPr="002200A9">
        <w:t xml:space="preserve">Kiribati </w:t>
      </w:r>
      <w:r>
        <w:t xml:space="preserve">to implement its new </w:t>
      </w:r>
      <w:r w:rsidRPr="00B028C5">
        <w:rPr>
          <w:i/>
        </w:rPr>
        <w:t>National Tuberculosis Strategic Plan</w:t>
      </w:r>
      <w:r>
        <w:t xml:space="preserve"> (which had not been completed at the time of the original submission) and continue to make </w:t>
      </w:r>
      <w:r w:rsidRPr="002200A9">
        <w:t xml:space="preserve">progress towards the elimination of </w:t>
      </w:r>
      <w:r>
        <w:t xml:space="preserve">TB as a public health problem. </w:t>
      </w:r>
      <w:r w:rsidRPr="002200A9">
        <w:t xml:space="preserve"> </w:t>
      </w:r>
    </w:p>
    <w:p w:rsidR="008434CC" w:rsidRDefault="008434CC" w:rsidP="001F0A25">
      <w:r>
        <w:t>The revised proposal was informed by an in-country planning workshop held in Tarawa on 19-20 June 2012.  The workshop was attended by the NTP Manager and staff, the Director of Public Health, AusAID and SPC representatives and, for the introductory sessions, the Secretary for Health.</w:t>
      </w:r>
    </w:p>
    <w:p w:rsidR="008434CC" w:rsidRPr="00747A38" w:rsidRDefault="008434CC" w:rsidP="00015A3B">
      <w:pPr>
        <w:rPr>
          <w:color w:val="000000"/>
        </w:rPr>
      </w:pPr>
      <w:r>
        <w:t xml:space="preserve">The revised proposal addresses all of the recommendations of the AusAID QAE assessment, and </w:t>
      </w:r>
      <w:r>
        <w:rPr>
          <w:rStyle w:val="Style11ptBlack"/>
          <w:rFonts w:ascii="Calibri" w:hAnsi="Calibri" w:cs="Calibri"/>
          <w:sz w:val="22"/>
        </w:rPr>
        <w:t xml:space="preserve">the </w:t>
      </w:r>
      <w:r>
        <w:t xml:space="preserve">recommendations of the </w:t>
      </w:r>
      <w:r>
        <w:rPr>
          <w:rStyle w:val="Style11ptBlack"/>
          <w:rFonts w:ascii="Calibri" w:hAnsi="Calibri" w:cs="Calibri"/>
          <w:sz w:val="22"/>
        </w:rPr>
        <w:t>MTR of QTBECP Phase 2</w:t>
      </w:r>
      <w:r>
        <w:t xml:space="preserve">.  </w:t>
      </w:r>
    </w:p>
    <w:p w:rsidR="008434CC" w:rsidRPr="00354D0A" w:rsidRDefault="008434CC" w:rsidP="00054FB8">
      <w:pPr>
        <w:pStyle w:val="Heading3"/>
      </w:pPr>
      <w:bookmarkStart w:id="13" w:name="_Toc331686073"/>
      <w:r w:rsidRPr="00354D0A">
        <w:t>1.</w:t>
      </w:r>
      <w:r>
        <w:t>2.2</w:t>
      </w:r>
      <w:r w:rsidRPr="00354D0A">
        <w:t xml:space="preserve"> </w:t>
      </w:r>
      <w:r>
        <w:t xml:space="preserve">Alignment with the Kiribati </w:t>
      </w:r>
      <w:r w:rsidRPr="00EC7FA2">
        <w:t>National Tuberculosis Strategic Plan</w:t>
      </w:r>
      <w:bookmarkEnd w:id="13"/>
    </w:p>
    <w:p w:rsidR="008434CC" w:rsidRDefault="008434CC" w:rsidP="00344796">
      <w:r>
        <w:t>The revised project is now closely aligned with the</w:t>
      </w:r>
      <w:r w:rsidRPr="00D11077">
        <w:t xml:space="preserve"> Kiribati </w:t>
      </w:r>
      <w:r>
        <w:t xml:space="preserve">NTP </w:t>
      </w:r>
      <w:r w:rsidRPr="009768C1">
        <w:rPr>
          <w:i/>
        </w:rPr>
        <w:t>Strategic Plan</w:t>
      </w:r>
      <w:r>
        <w:t xml:space="preserve">.  It seeks to support the NTP to </w:t>
      </w:r>
      <w:r w:rsidRPr="00D11077">
        <w:t>ensur</w:t>
      </w:r>
      <w:r>
        <w:t>e</w:t>
      </w:r>
      <w:r w:rsidRPr="00D11077">
        <w:t xml:space="preserve"> high case detection and treatment success rates </w:t>
      </w:r>
      <w:r>
        <w:t>(</w:t>
      </w:r>
      <w:r w:rsidRPr="00D11077">
        <w:t xml:space="preserve">in line with </w:t>
      </w:r>
      <w:r>
        <w:t xml:space="preserve">domestic and </w:t>
      </w:r>
      <w:r w:rsidRPr="00D11077">
        <w:t>international targets</w:t>
      </w:r>
      <w:r>
        <w:t>)</w:t>
      </w:r>
      <w:r w:rsidRPr="002200A9">
        <w:t xml:space="preserve"> </w:t>
      </w:r>
      <w:r>
        <w:t xml:space="preserve">by </w:t>
      </w:r>
      <w:r w:rsidRPr="002200A9">
        <w:t xml:space="preserve">enhancing and expanding </w:t>
      </w:r>
      <w:r>
        <w:t xml:space="preserve">high </w:t>
      </w:r>
      <w:r w:rsidRPr="002200A9">
        <w:t xml:space="preserve">quality </w:t>
      </w:r>
      <w:r>
        <w:t>TB</w:t>
      </w:r>
      <w:r w:rsidRPr="002200A9">
        <w:t xml:space="preserve"> services and systems, improving </w:t>
      </w:r>
      <w:r>
        <w:t xml:space="preserve">the </w:t>
      </w:r>
      <w:r w:rsidRPr="002200A9">
        <w:t xml:space="preserve">case detection and case management capacity of the </w:t>
      </w:r>
      <w:r>
        <w:t>NTP</w:t>
      </w:r>
      <w:r w:rsidRPr="002200A9">
        <w:t xml:space="preserve">, promoting equitable access to TB services in vulnerable communities, </w:t>
      </w:r>
      <w:r>
        <w:t xml:space="preserve">further improving laboratory capacity, </w:t>
      </w:r>
      <w:r w:rsidRPr="002200A9">
        <w:t xml:space="preserve">and strengthening </w:t>
      </w:r>
      <w:r>
        <w:t>underlying aspects of the health system</w:t>
      </w:r>
      <w:r w:rsidRPr="002200A9">
        <w:t xml:space="preserve">. </w:t>
      </w:r>
    </w:p>
    <w:p w:rsidR="008434CC" w:rsidRPr="00B5097F" w:rsidRDefault="008434CC">
      <w:pPr>
        <w:rPr>
          <w:color w:val="000000"/>
        </w:rPr>
      </w:pPr>
      <w:r w:rsidRPr="00B5097F">
        <w:rPr>
          <w:color w:val="000000"/>
        </w:rPr>
        <w:t xml:space="preserve">The expected results of this collaborative approach </w:t>
      </w:r>
      <w:r>
        <w:rPr>
          <w:color w:val="000000"/>
        </w:rPr>
        <w:t xml:space="preserve">– to which the proposed Project will contribute – </w:t>
      </w:r>
      <w:r w:rsidRPr="00B5097F">
        <w:rPr>
          <w:color w:val="000000"/>
        </w:rPr>
        <w:t xml:space="preserve">will be: 1) an increased case notification rate; 2) an increased case detection rate; 3) sustained high treatment success rates; 4) a reduction in TB prevalence; and 5) a decline in TB incidence.  </w:t>
      </w:r>
    </w:p>
    <w:p w:rsidR="008434CC" w:rsidRPr="00340008" w:rsidRDefault="008434CC" w:rsidP="004A1669">
      <w:pPr>
        <w:pStyle w:val="Heading1"/>
      </w:pPr>
      <w:bookmarkStart w:id="14" w:name="_Toc331686074"/>
      <w:r>
        <w:lastRenderedPageBreak/>
        <w:t>2</w:t>
      </w:r>
      <w:r w:rsidRPr="00340008">
        <w:t xml:space="preserve">. </w:t>
      </w:r>
      <w:r>
        <w:t>The Tuberculosis Epidemic in Kiribati</w:t>
      </w:r>
      <w:bookmarkEnd w:id="14"/>
    </w:p>
    <w:p w:rsidR="008434CC" w:rsidRPr="00354D0A" w:rsidRDefault="008434CC" w:rsidP="002F58D8">
      <w:pPr>
        <w:pStyle w:val="Heading2"/>
      </w:pPr>
      <w:bookmarkStart w:id="15" w:name="_Toc331686075"/>
      <w:r>
        <w:t>2</w:t>
      </w:r>
      <w:r w:rsidRPr="00354D0A">
        <w:t xml:space="preserve">.1 </w:t>
      </w:r>
      <w:r>
        <w:t>Regional Context</w:t>
      </w:r>
      <w:bookmarkEnd w:id="15"/>
    </w:p>
    <w:p w:rsidR="008434CC" w:rsidRDefault="008434CC" w:rsidP="00B52A80">
      <w:r>
        <w:t>Despite recent progress, in 2010</w:t>
      </w:r>
      <w:r w:rsidRPr="002200A9">
        <w:t xml:space="preserve">, Kiribati </w:t>
      </w:r>
      <w:r>
        <w:t>still reported the</w:t>
      </w:r>
      <w:r w:rsidRPr="002200A9">
        <w:t xml:space="preserve"> second highest </w:t>
      </w:r>
      <w:r>
        <w:t xml:space="preserve">number of annual TB case notifications In the Pacific </w:t>
      </w:r>
      <w:r w:rsidRPr="002200A9">
        <w:t xml:space="preserve">after </w:t>
      </w:r>
      <w:r>
        <w:t xml:space="preserve">the </w:t>
      </w:r>
      <w:r w:rsidRPr="002200A9">
        <w:t xml:space="preserve">Solomon Islands </w:t>
      </w:r>
      <w:r>
        <w:t xml:space="preserve">(286 cases; Figure 1), </w:t>
      </w:r>
      <w:r w:rsidRPr="002200A9">
        <w:t xml:space="preserve">and the second highest </w:t>
      </w:r>
      <w:r>
        <w:t xml:space="preserve">TB </w:t>
      </w:r>
      <w:r w:rsidRPr="002200A9">
        <w:t>notification rate (</w:t>
      </w:r>
      <w:r>
        <w:t xml:space="preserve">292 cases per </w:t>
      </w:r>
      <w:r w:rsidRPr="002200A9">
        <w:t>100,000 pop</w:t>
      </w:r>
      <w:r>
        <w:t>ulation</w:t>
      </w:r>
      <w:r w:rsidRPr="002200A9">
        <w:t xml:space="preserve">) after </w:t>
      </w:r>
      <w:r>
        <w:t xml:space="preserve">the </w:t>
      </w:r>
      <w:r w:rsidRPr="002200A9">
        <w:t>Marshall Islands (356</w:t>
      </w:r>
      <w:r>
        <w:t xml:space="preserve"> per </w:t>
      </w:r>
      <w:r w:rsidRPr="002200A9">
        <w:t>100,000).</w:t>
      </w:r>
    </w:p>
    <w:p w:rsidR="008434CC" w:rsidRDefault="008434CC"/>
    <w:p w:rsidR="008434CC" w:rsidRPr="00BD44F0" w:rsidRDefault="008434CC" w:rsidP="003D7DC7">
      <w:pPr>
        <w:jc w:val="center"/>
        <w:rPr>
          <w:rFonts w:ascii="Arial" w:hAnsi="Arial" w:cs="Arial"/>
          <w:b/>
          <w:sz w:val="21"/>
          <w:szCs w:val="21"/>
        </w:rPr>
      </w:pPr>
      <w:r w:rsidRPr="00BD44F0">
        <w:rPr>
          <w:rFonts w:ascii="Arial" w:hAnsi="Arial" w:cs="Arial"/>
          <w:b/>
          <w:sz w:val="21"/>
          <w:szCs w:val="21"/>
        </w:rPr>
        <w:t>Figure 1: Number of TB cases notified in 2010 in Pacific Island countries and territories</w:t>
      </w:r>
    </w:p>
    <w:p w:rsidR="008434CC" w:rsidRDefault="004C37E9" w:rsidP="00DA3AE3">
      <w:pPr>
        <w:jc w:val="center"/>
        <w:rPr>
          <w:sz w:val="24"/>
          <w:szCs w:val="24"/>
        </w:rPr>
      </w:pPr>
      <w:r>
        <w:rPr>
          <w:noProof/>
          <w:sz w:val="24"/>
          <w:szCs w:val="24"/>
          <w:lang w:val="en-AU" w:eastAsia="en-AU"/>
        </w:rPr>
        <w:pict>
          <v:shape id="Chart 1" o:spid="_x0000_i1027" type="#_x0000_t75" style="width:434.25pt;height:27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aWGd3AAAAAUBAAAPAAAAZHJzL2Rvd25y&#10;ZXYueG1sTI/BTsMwEETvSP0HaytxozaIRiFkUyFQD5wqWi69ufE2iRKvo9hNUr4ewwUuK41mNPM2&#10;38y2EyMNvnGMcL9SIIhLZxquED4P27sUhA+aje4cE8KVPGyKxU2uM+Mm/qBxHyoRS9hnGqEOoc+k&#10;9GVNVvuV64mjd3aD1SHKoZJm0FMst518UCqRVjccF2rd02tNZbu/WISk7ZPt9Xhsp/H83jzJ6Wu3&#10;k2+It8v55RlEoDn8heEHP6JDEZlO7sLGiw4hPhJ+b/TSJF2DOCGsH5UCWeTyP33xDQ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">
            <v:imagedata r:id="rId16" o:title="" croptop="-3636f" cropbottom="-3826f" cropleft="-2230f" cropright="-1901f"/>
            <o:lock v:ext="edit" aspectratio="f"/>
          </v:shape>
        </w:pict>
      </w:r>
    </w:p>
    <w:p w:rsidR="008434CC" w:rsidRDefault="008434CC" w:rsidP="003D7DC7">
      <w:pPr>
        <w:jc w:val="center"/>
        <w:rPr>
          <w:sz w:val="20"/>
        </w:rPr>
      </w:pPr>
      <w:r w:rsidRPr="00ED58EE">
        <w:rPr>
          <w:sz w:val="20"/>
        </w:rPr>
        <w:t xml:space="preserve">Source: </w:t>
      </w:r>
      <w:r w:rsidRPr="005338A2">
        <w:rPr>
          <w:sz w:val="20"/>
        </w:rPr>
        <w:t xml:space="preserve">WHO </w:t>
      </w:r>
      <w:r>
        <w:rPr>
          <w:sz w:val="20"/>
        </w:rPr>
        <w:t>(</w:t>
      </w:r>
      <w:r w:rsidRPr="005338A2">
        <w:rPr>
          <w:sz w:val="20"/>
        </w:rPr>
        <w:t>2011</w:t>
      </w:r>
      <w:r>
        <w:rPr>
          <w:sz w:val="20"/>
        </w:rPr>
        <w:t xml:space="preserve">) </w:t>
      </w:r>
      <w:r w:rsidRPr="003D7DC7">
        <w:rPr>
          <w:i/>
          <w:sz w:val="20"/>
        </w:rPr>
        <w:t>Global Tuberculosis Control</w:t>
      </w:r>
      <w:r w:rsidRPr="005338A2">
        <w:rPr>
          <w:sz w:val="20"/>
        </w:rPr>
        <w:t xml:space="preserve"> report</w:t>
      </w:r>
      <w:r>
        <w:rPr>
          <w:sz w:val="20"/>
        </w:rPr>
        <w:t>.</w:t>
      </w:r>
      <w:r w:rsidRPr="00ED58EE">
        <w:rPr>
          <w:sz w:val="20"/>
        </w:rPr>
        <w:t xml:space="preserve"> </w:t>
      </w:r>
    </w:p>
    <w:p w:rsidR="008434CC" w:rsidRDefault="008434CC" w:rsidP="006F754E">
      <w:pPr>
        <w:spacing w:before="0"/>
      </w:pPr>
    </w:p>
    <w:p w:rsidR="008434CC" w:rsidRPr="00354D0A" w:rsidRDefault="008434CC" w:rsidP="003D7DC7">
      <w:pPr>
        <w:pStyle w:val="Heading2"/>
      </w:pPr>
      <w:bookmarkStart w:id="16" w:name="_Toc331686076"/>
      <w:r>
        <w:t>2</w:t>
      </w:r>
      <w:r w:rsidRPr="00354D0A">
        <w:t>.</w:t>
      </w:r>
      <w:r>
        <w:t>2</w:t>
      </w:r>
      <w:r w:rsidRPr="00354D0A">
        <w:t xml:space="preserve"> </w:t>
      </w:r>
      <w:r>
        <w:t>Epidemiological Trends, 2000–2010</w:t>
      </w:r>
      <w:bookmarkEnd w:id="16"/>
    </w:p>
    <w:p w:rsidR="008434CC" w:rsidRDefault="008434CC" w:rsidP="00B52A80">
      <w:r w:rsidRPr="00581BE8">
        <w:t>Figure</w:t>
      </w:r>
      <w:r>
        <w:t>s</w:t>
      </w:r>
      <w:r w:rsidRPr="00581BE8">
        <w:t xml:space="preserve"> 2</w:t>
      </w:r>
      <w:r>
        <w:t xml:space="preserve"> and 3 </w:t>
      </w:r>
      <w:r w:rsidRPr="00581BE8">
        <w:t xml:space="preserve">present the long term trend in reported TB mortality, prevalence, case notification and estimated incidence rates per 100,000 </w:t>
      </w:r>
      <w:r>
        <w:t xml:space="preserve">in Kiribati </w:t>
      </w:r>
      <w:r w:rsidRPr="00581BE8">
        <w:t>during the 11 year period from 200</w:t>
      </w:r>
      <w:r>
        <w:t>0</w:t>
      </w:r>
      <w:r w:rsidRPr="00581BE8">
        <w:t xml:space="preserve"> to 2010</w:t>
      </w:r>
      <w:r>
        <w:t>,</w:t>
      </w:r>
      <w:r w:rsidRPr="00581BE8">
        <w:t xml:space="preserve"> </w:t>
      </w:r>
      <w:r>
        <w:t>and</w:t>
      </w:r>
      <w:r w:rsidRPr="00581BE8">
        <w:t xml:space="preserve"> Table </w:t>
      </w:r>
      <w:r>
        <w:t>1</w:t>
      </w:r>
      <w:r w:rsidRPr="00581BE8">
        <w:t xml:space="preserve"> pr</w:t>
      </w:r>
      <w:r>
        <w:t>ovide</w:t>
      </w:r>
      <w:r w:rsidRPr="00581BE8">
        <w:t>s a snapshot of TB surveillance in Kiribati for 2010</w:t>
      </w:r>
      <w:r>
        <w:t>.</w:t>
      </w:r>
      <w:r w:rsidRPr="00581BE8">
        <w:t xml:space="preserve"> </w:t>
      </w:r>
    </w:p>
    <w:p w:rsidR="008434CC" w:rsidRPr="00581BE8" w:rsidRDefault="008434CC" w:rsidP="00B52A80">
      <w:r w:rsidRPr="00581BE8">
        <w:t xml:space="preserve">Following the peak in total notifications in 2006, there has been a gradual decline in reported cases and notification rates for all forms of TB, </w:t>
      </w:r>
      <w:r>
        <w:t>although</w:t>
      </w:r>
      <w:r w:rsidRPr="00581BE8">
        <w:t xml:space="preserve"> a slower rate of decline among sputum smear positive (SS+) cases.  These data support previous interpretations that Kiribati has reached an early turning point in its TB epidemic</w:t>
      </w:r>
      <w:r>
        <w:t xml:space="preserve"> (subject to adequate case detection rates; Figure 4); </w:t>
      </w:r>
      <w:r w:rsidRPr="00581BE8">
        <w:t>a declining incidence may be partially offset in available data by increased case ascertainment.</w:t>
      </w:r>
      <w:r>
        <w:t xml:space="preserve">  </w:t>
      </w:r>
    </w:p>
    <w:p w:rsidR="008434CC" w:rsidRPr="00C27E0F" w:rsidRDefault="008434CC" w:rsidP="00B52A80">
      <w:r w:rsidRPr="00C27E0F">
        <w:t xml:space="preserve">Treatment success and case detection rates are high and above </w:t>
      </w:r>
      <w:r w:rsidRPr="00C27E0F">
        <w:rPr>
          <w:i/>
        </w:rPr>
        <w:t>Regional Strategy</w:t>
      </w:r>
      <w:r w:rsidRPr="00C27E0F">
        <w:t xml:space="preserve"> and QTBECP targets (Sections 3.4 and 4), and the objectives in the National Health Strategic Plan (NHSP)</w:t>
      </w:r>
      <w:r>
        <w:t xml:space="preserve"> </w:t>
      </w:r>
      <w:r w:rsidRPr="00044B5B">
        <w:t>2008-11</w:t>
      </w:r>
      <w:r w:rsidRPr="00C27E0F">
        <w:t xml:space="preserve">. </w:t>
      </w:r>
    </w:p>
    <w:p w:rsidR="008434CC" w:rsidRPr="00BD44F0" w:rsidRDefault="008434CC" w:rsidP="00053C0B">
      <w:pPr>
        <w:keepNext/>
        <w:jc w:val="center"/>
        <w:rPr>
          <w:rFonts w:ascii="Arial" w:hAnsi="Arial" w:cs="Arial"/>
          <w:b/>
          <w:sz w:val="21"/>
          <w:szCs w:val="21"/>
        </w:rPr>
      </w:pPr>
      <w:r w:rsidRPr="00BD44F0">
        <w:rPr>
          <w:rFonts w:ascii="Arial" w:hAnsi="Arial" w:cs="Arial"/>
          <w:b/>
          <w:sz w:val="21"/>
          <w:szCs w:val="21"/>
        </w:rPr>
        <w:lastRenderedPageBreak/>
        <w:t>Figure 2: Estimated TB mortality and prevalence rates, Kiribati, 2000–2010</w:t>
      </w:r>
    </w:p>
    <w:p w:rsidR="008434CC" w:rsidRDefault="004C37E9" w:rsidP="003B0297">
      <w:pPr>
        <w:jc w:val="center"/>
        <w:rPr>
          <w:b/>
        </w:rPr>
      </w:pPr>
      <w:bookmarkStart w:id="17" w:name="_Toc312105883"/>
      <w:r>
        <w:rPr>
          <w:b/>
          <w:noProof/>
          <w:lang w:val="en-AU" w:eastAsia="en-AU"/>
        </w:rPr>
        <w:pict>
          <v:shape id="Chart 15" o:spid="_x0000_i1028" type="#_x0000_t75" style="width:366pt;height:22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1KcSV3AAAAAUBAAAPAAAAZHJzL2Rvd25y&#10;ZXYueG1sTI/BTsMwEETvSPyDtUjcqJOWkirEqVClcuAAqumFmxMvSUS8DrGbhr9n4QKXkUazmnlb&#10;bGfXiwnH0HlSkC4SEEi1tx01Co6v+5sNiBANWdN7QgVfGGBbXl4UJrf+TAecdGwEl1DIjYI2xiGX&#10;MtQtOhMWfkDi7N2PzkS2YyPtaM5c7nq5TJI76UxHvNCaAXct1h/65BSsn94+X9Z73WSrXXWcnx91&#10;upm0UtdX88M9iIhz/DuGH3xGh5KZKn8iG0SvgB+Jv8pZtlqyrRTcZmkCsizkf/ryGw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">
            <v:imagedata r:id="rId17" o:title="" croptop="-2161f" cropbottom="-2896f" cropleft="-2669f" cropright="-2083f"/>
            <o:lock v:ext="edit" aspectratio="f"/>
          </v:shape>
        </w:pict>
      </w:r>
      <w:bookmarkEnd w:id="17"/>
    </w:p>
    <w:p w:rsidR="008434CC" w:rsidRDefault="008434CC" w:rsidP="00C27E0F">
      <w:pPr>
        <w:jc w:val="center"/>
        <w:rPr>
          <w:sz w:val="20"/>
        </w:rPr>
      </w:pPr>
      <w:r w:rsidRPr="00ED58EE">
        <w:rPr>
          <w:sz w:val="20"/>
        </w:rPr>
        <w:t xml:space="preserve">Source: </w:t>
      </w:r>
      <w:r w:rsidRPr="005338A2">
        <w:rPr>
          <w:sz w:val="20"/>
        </w:rPr>
        <w:t xml:space="preserve">WHO </w:t>
      </w:r>
      <w:r>
        <w:rPr>
          <w:sz w:val="20"/>
        </w:rPr>
        <w:t>(</w:t>
      </w:r>
      <w:r w:rsidRPr="005338A2">
        <w:rPr>
          <w:sz w:val="20"/>
        </w:rPr>
        <w:t>2011</w:t>
      </w:r>
      <w:r>
        <w:rPr>
          <w:sz w:val="20"/>
        </w:rPr>
        <w:t xml:space="preserve">) </w:t>
      </w:r>
      <w:r w:rsidRPr="003D7DC7">
        <w:rPr>
          <w:i/>
          <w:sz w:val="20"/>
        </w:rPr>
        <w:t>Global Tuberculosis Control</w:t>
      </w:r>
      <w:r w:rsidRPr="005338A2">
        <w:rPr>
          <w:sz w:val="20"/>
        </w:rPr>
        <w:t xml:space="preserve"> report</w:t>
      </w:r>
      <w:r>
        <w:rPr>
          <w:sz w:val="20"/>
        </w:rPr>
        <w:t>.</w:t>
      </w:r>
      <w:r w:rsidRPr="00ED58EE">
        <w:rPr>
          <w:sz w:val="20"/>
        </w:rPr>
        <w:t xml:space="preserve"> </w:t>
      </w:r>
    </w:p>
    <w:p w:rsidR="008434CC" w:rsidRPr="002D11DF" w:rsidRDefault="008434CC" w:rsidP="00A910F3"/>
    <w:p w:rsidR="008434CC" w:rsidRPr="00581BE8" w:rsidRDefault="008434CC" w:rsidP="002F0BF9">
      <w:pPr>
        <w:rPr>
          <w:color w:val="000000"/>
        </w:rPr>
      </w:pPr>
    </w:p>
    <w:p w:rsidR="008434CC" w:rsidRPr="00BD44F0" w:rsidRDefault="008434CC" w:rsidP="00581BE8">
      <w:pPr>
        <w:keepNext/>
        <w:autoSpaceDE w:val="0"/>
        <w:autoSpaceDN w:val="0"/>
        <w:adjustRightInd w:val="0"/>
        <w:spacing w:after="240" w:line="264" w:lineRule="auto"/>
        <w:jc w:val="center"/>
        <w:rPr>
          <w:rStyle w:val="Style11ptBlack"/>
          <w:rFonts w:cs="Arial"/>
          <w:b/>
          <w:szCs w:val="21"/>
        </w:rPr>
      </w:pPr>
      <w:r w:rsidRPr="00BD44F0">
        <w:rPr>
          <w:rStyle w:val="Style11ptBlack"/>
          <w:rFonts w:cs="Arial"/>
          <w:b/>
          <w:szCs w:val="21"/>
        </w:rPr>
        <w:t xml:space="preserve">Table 1: TB surveillance data, Kiribati, 2010 </w:t>
      </w:r>
    </w:p>
    <w:tbl>
      <w:tblPr>
        <w:tblW w:w="6856" w:type="dxa"/>
        <w:jc w:val="center"/>
        <w:tblInd w:w="103" w:type="dxa"/>
        <w:tblLook w:val="00A0" w:firstRow="1" w:lastRow="0" w:firstColumn="1" w:lastColumn="0" w:noHBand="0" w:noVBand="0"/>
      </w:tblPr>
      <w:tblGrid>
        <w:gridCol w:w="5896"/>
        <w:gridCol w:w="960"/>
      </w:tblGrid>
      <w:tr w:rsidR="008434CC" w:rsidRPr="004672B0" w:rsidTr="00A62F29">
        <w:trPr>
          <w:trHeight w:val="315"/>
          <w:jc w:val="center"/>
        </w:trPr>
        <w:tc>
          <w:tcPr>
            <w:tcW w:w="5896" w:type="dxa"/>
            <w:tcBorders>
              <w:top w:val="single" w:sz="4" w:space="0" w:color="auto"/>
              <w:left w:val="single" w:sz="4" w:space="0" w:color="auto"/>
              <w:bottom w:val="single" w:sz="4" w:space="0" w:color="auto"/>
              <w:right w:val="single" w:sz="4" w:space="0" w:color="000000"/>
            </w:tcBorders>
            <w:noWrap/>
            <w:vAlign w:val="center"/>
          </w:tcPr>
          <w:p w:rsidR="008434CC" w:rsidRPr="004672B0" w:rsidRDefault="008434CC" w:rsidP="00A62F29">
            <w:pPr>
              <w:spacing w:before="40" w:after="40"/>
              <w:rPr>
                <w:rFonts w:cs="Calibri"/>
                <w:color w:val="000000"/>
                <w:sz w:val="20"/>
                <w:szCs w:val="20"/>
              </w:rPr>
            </w:pPr>
            <w:r w:rsidRPr="004672B0">
              <w:rPr>
                <w:rFonts w:cs="Calibri"/>
                <w:color w:val="000000"/>
                <w:sz w:val="20"/>
                <w:szCs w:val="20"/>
              </w:rPr>
              <w:t>Population (2010 Census)</w:t>
            </w:r>
          </w:p>
        </w:tc>
        <w:tc>
          <w:tcPr>
            <w:tcW w:w="960" w:type="dxa"/>
            <w:tcBorders>
              <w:top w:val="single" w:sz="4" w:space="0" w:color="auto"/>
              <w:left w:val="nil"/>
              <w:bottom w:val="single" w:sz="4" w:space="0" w:color="auto"/>
              <w:right w:val="single" w:sz="4" w:space="0" w:color="auto"/>
            </w:tcBorders>
            <w:noWrap/>
            <w:vAlign w:val="bottom"/>
          </w:tcPr>
          <w:p w:rsidR="008434CC" w:rsidRPr="004672B0" w:rsidRDefault="008434CC" w:rsidP="00A62F29">
            <w:pPr>
              <w:spacing w:before="40" w:after="40"/>
              <w:jc w:val="center"/>
              <w:rPr>
                <w:rFonts w:cs="Calibri"/>
                <w:color w:val="000000"/>
                <w:sz w:val="20"/>
                <w:szCs w:val="20"/>
              </w:rPr>
            </w:pPr>
            <w:r w:rsidRPr="004672B0">
              <w:rPr>
                <w:rFonts w:cs="Calibri"/>
                <w:color w:val="000000"/>
                <w:sz w:val="20"/>
                <w:szCs w:val="20"/>
              </w:rPr>
              <w:t>103,371</w:t>
            </w:r>
          </w:p>
        </w:tc>
      </w:tr>
      <w:tr w:rsidR="008434CC" w:rsidRPr="004672B0" w:rsidTr="00A62F29">
        <w:trPr>
          <w:trHeight w:val="315"/>
          <w:jc w:val="center"/>
        </w:trPr>
        <w:tc>
          <w:tcPr>
            <w:tcW w:w="5896" w:type="dxa"/>
            <w:tcBorders>
              <w:top w:val="single" w:sz="4" w:space="0" w:color="auto"/>
              <w:left w:val="single" w:sz="4" w:space="0" w:color="auto"/>
              <w:bottom w:val="single" w:sz="4" w:space="0" w:color="auto"/>
              <w:right w:val="single" w:sz="4" w:space="0" w:color="auto"/>
            </w:tcBorders>
            <w:noWrap/>
            <w:vAlign w:val="center"/>
          </w:tcPr>
          <w:p w:rsidR="008434CC" w:rsidRPr="004672B0" w:rsidRDefault="008434CC" w:rsidP="00A62F29">
            <w:pPr>
              <w:spacing w:before="40" w:after="40"/>
              <w:rPr>
                <w:rFonts w:cs="Calibri"/>
                <w:color w:val="000000"/>
                <w:sz w:val="20"/>
                <w:szCs w:val="20"/>
              </w:rPr>
            </w:pPr>
            <w:r w:rsidRPr="004672B0">
              <w:rPr>
                <w:rFonts w:cs="Calibri"/>
                <w:color w:val="000000"/>
                <w:sz w:val="20"/>
                <w:szCs w:val="20"/>
              </w:rPr>
              <w:t xml:space="preserve">Number of notified cases </w:t>
            </w:r>
          </w:p>
        </w:tc>
        <w:tc>
          <w:tcPr>
            <w:tcW w:w="960" w:type="dxa"/>
            <w:tcBorders>
              <w:top w:val="nil"/>
              <w:left w:val="nil"/>
              <w:bottom w:val="single" w:sz="4" w:space="0" w:color="auto"/>
              <w:right w:val="single" w:sz="4" w:space="0" w:color="auto"/>
            </w:tcBorders>
            <w:noWrap/>
            <w:vAlign w:val="bottom"/>
          </w:tcPr>
          <w:p w:rsidR="008434CC" w:rsidRPr="004672B0" w:rsidRDefault="008434CC" w:rsidP="00A62F29">
            <w:pPr>
              <w:spacing w:before="40" w:after="40"/>
              <w:jc w:val="center"/>
              <w:rPr>
                <w:rFonts w:cs="Calibri"/>
                <w:color w:val="000000"/>
                <w:sz w:val="20"/>
                <w:szCs w:val="20"/>
              </w:rPr>
            </w:pPr>
            <w:r w:rsidRPr="004672B0">
              <w:rPr>
                <w:rFonts w:cs="Calibri"/>
                <w:color w:val="000000"/>
                <w:sz w:val="20"/>
                <w:szCs w:val="20"/>
              </w:rPr>
              <w:t>294</w:t>
            </w:r>
          </w:p>
        </w:tc>
      </w:tr>
      <w:tr w:rsidR="008434CC" w:rsidRPr="004672B0" w:rsidTr="00A62F29">
        <w:trPr>
          <w:trHeight w:val="315"/>
          <w:jc w:val="center"/>
        </w:trPr>
        <w:tc>
          <w:tcPr>
            <w:tcW w:w="5896" w:type="dxa"/>
            <w:tcBorders>
              <w:top w:val="single" w:sz="4" w:space="0" w:color="auto"/>
              <w:left w:val="single" w:sz="4" w:space="0" w:color="auto"/>
              <w:bottom w:val="single" w:sz="4" w:space="0" w:color="auto"/>
              <w:right w:val="single" w:sz="4" w:space="0" w:color="000000"/>
            </w:tcBorders>
            <w:noWrap/>
            <w:vAlign w:val="center"/>
          </w:tcPr>
          <w:p w:rsidR="008434CC" w:rsidRPr="004672B0" w:rsidRDefault="008434CC" w:rsidP="00A62F29">
            <w:pPr>
              <w:spacing w:before="40" w:after="40"/>
              <w:rPr>
                <w:rFonts w:cs="Calibri"/>
                <w:color w:val="000000"/>
                <w:sz w:val="20"/>
                <w:szCs w:val="20"/>
              </w:rPr>
            </w:pPr>
            <w:r w:rsidRPr="004672B0">
              <w:rPr>
                <w:rFonts w:cs="Calibri"/>
                <w:color w:val="000000"/>
                <w:sz w:val="20"/>
                <w:szCs w:val="20"/>
              </w:rPr>
              <w:t>Number of notified SS+ cases</w:t>
            </w:r>
          </w:p>
        </w:tc>
        <w:tc>
          <w:tcPr>
            <w:tcW w:w="960" w:type="dxa"/>
            <w:tcBorders>
              <w:top w:val="nil"/>
              <w:left w:val="nil"/>
              <w:bottom w:val="single" w:sz="4" w:space="0" w:color="auto"/>
              <w:right w:val="single" w:sz="4" w:space="0" w:color="auto"/>
            </w:tcBorders>
            <w:noWrap/>
            <w:vAlign w:val="bottom"/>
          </w:tcPr>
          <w:p w:rsidR="008434CC" w:rsidRPr="004672B0" w:rsidRDefault="008434CC" w:rsidP="00A62F29">
            <w:pPr>
              <w:spacing w:before="40" w:after="40"/>
              <w:jc w:val="center"/>
              <w:rPr>
                <w:rFonts w:cs="Calibri"/>
                <w:color w:val="000000"/>
                <w:sz w:val="20"/>
                <w:szCs w:val="20"/>
              </w:rPr>
            </w:pPr>
            <w:r w:rsidRPr="004672B0">
              <w:rPr>
                <w:rFonts w:cs="Calibri"/>
                <w:color w:val="000000"/>
                <w:sz w:val="20"/>
                <w:szCs w:val="20"/>
              </w:rPr>
              <w:t>116</w:t>
            </w:r>
          </w:p>
        </w:tc>
      </w:tr>
      <w:tr w:rsidR="008434CC" w:rsidRPr="004672B0" w:rsidTr="00A62F29">
        <w:trPr>
          <w:trHeight w:val="315"/>
          <w:jc w:val="center"/>
        </w:trPr>
        <w:tc>
          <w:tcPr>
            <w:tcW w:w="5896" w:type="dxa"/>
            <w:tcBorders>
              <w:top w:val="single" w:sz="4" w:space="0" w:color="auto"/>
              <w:left w:val="single" w:sz="4" w:space="0" w:color="auto"/>
              <w:bottom w:val="single" w:sz="4" w:space="0" w:color="auto"/>
              <w:right w:val="single" w:sz="4" w:space="0" w:color="auto"/>
            </w:tcBorders>
            <w:noWrap/>
            <w:vAlign w:val="center"/>
          </w:tcPr>
          <w:p w:rsidR="008434CC" w:rsidRPr="004672B0" w:rsidRDefault="008434CC" w:rsidP="00A62F29">
            <w:pPr>
              <w:spacing w:before="40" w:after="40"/>
              <w:rPr>
                <w:rFonts w:cs="Calibri"/>
                <w:color w:val="000000"/>
                <w:sz w:val="20"/>
                <w:szCs w:val="20"/>
              </w:rPr>
            </w:pPr>
            <w:r w:rsidRPr="004672B0">
              <w:rPr>
                <w:rFonts w:cs="Calibri"/>
                <w:color w:val="000000"/>
                <w:sz w:val="20"/>
                <w:szCs w:val="20"/>
              </w:rPr>
              <w:t>Notification rate (all forms per 100,000 population)</w:t>
            </w:r>
          </w:p>
        </w:tc>
        <w:tc>
          <w:tcPr>
            <w:tcW w:w="960" w:type="dxa"/>
            <w:tcBorders>
              <w:top w:val="nil"/>
              <w:left w:val="nil"/>
              <w:bottom w:val="single" w:sz="4" w:space="0" w:color="auto"/>
              <w:right w:val="single" w:sz="4" w:space="0" w:color="auto"/>
            </w:tcBorders>
            <w:noWrap/>
            <w:vAlign w:val="bottom"/>
          </w:tcPr>
          <w:p w:rsidR="008434CC" w:rsidRPr="004672B0" w:rsidRDefault="008434CC" w:rsidP="00A62F29">
            <w:pPr>
              <w:spacing w:before="40" w:after="40"/>
              <w:jc w:val="center"/>
              <w:rPr>
                <w:rFonts w:cs="Calibri"/>
                <w:color w:val="000000"/>
                <w:sz w:val="20"/>
                <w:szCs w:val="20"/>
              </w:rPr>
            </w:pPr>
            <w:r w:rsidRPr="004672B0">
              <w:rPr>
                <w:rFonts w:cs="Calibri"/>
                <w:color w:val="000000"/>
                <w:sz w:val="20"/>
                <w:szCs w:val="20"/>
              </w:rPr>
              <w:t>284</w:t>
            </w:r>
          </w:p>
        </w:tc>
      </w:tr>
      <w:tr w:rsidR="008434CC" w:rsidRPr="004672B0" w:rsidTr="00A62F29">
        <w:trPr>
          <w:trHeight w:val="315"/>
          <w:jc w:val="center"/>
        </w:trPr>
        <w:tc>
          <w:tcPr>
            <w:tcW w:w="5896" w:type="dxa"/>
            <w:tcBorders>
              <w:top w:val="single" w:sz="4" w:space="0" w:color="auto"/>
              <w:left w:val="single" w:sz="4" w:space="0" w:color="auto"/>
              <w:bottom w:val="single" w:sz="4" w:space="0" w:color="auto"/>
              <w:right w:val="single" w:sz="4" w:space="0" w:color="auto"/>
            </w:tcBorders>
            <w:noWrap/>
            <w:vAlign w:val="center"/>
          </w:tcPr>
          <w:p w:rsidR="008434CC" w:rsidRPr="004672B0" w:rsidRDefault="008434CC" w:rsidP="00A62F29">
            <w:pPr>
              <w:spacing w:before="40" w:after="40"/>
              <w:rPr>
                <w:rFonts w:cs="Calibri"/>
                <w:color w:val="000000"/>
                <w:sz w:val="20"/>
                <w:szCs w:val="20"/>
              </w:rPr>
            </w:pPr>
            <w:r w:rsidRPr="004672B0">
              <w:rPr>
                <w:rFonts w:cs="Calibri"/>
                <w:color w:val="000000"/>
                <w:sz w:val="20"/>
                <w:szCs w:val="20"/>
              </w:rPr>
              <w:t>Notification rate (SS+ per 100,000 population)</w:t>
            </w:r>
          </w:p>
        </w:tc>
        <w:tc>
          <w:tcPr>
            <w:tcW w:w="960" w:type="dxa"/>
            <w:tcBorders>
              <w:top w:val="nil"/>
              <w:left w:val="nil"/>
              <w:bottom w:val="single" w:sz="4" w:space="0" w:color="auto"/>
              <w:right w:val="single" w:sz="4" w:space="0" w:color="auto"/>
            </w:tcBorders>
            <w:noWrap/>
            <w:vAlign w:val="bottom"/>
          </w:tcPr>
          <w:p w:rsidR="008434CC" w:rsidRPr="004672B0" w:rsidRDefault="008434CC" w:rsidP="00A62F29">
            <w:pPr>
              <w:spacing w:before="40" w:after="40"/>
              <w:jc w:val="center"/>
              <w:rPr>
                <w:rFonts w:cs="Calibri"/>
                <w:color w:val="000000"/>
                <w:sz w:val="20"/>
                <w:szCs w:val="20"/>
              </w:rPr>
            </w:pPr>
            <w:r w:rsidRPr="004672B0">
              <w:rPr>
                <w:rFonts w:cs="Calibri"/>
                <w:color w:val="000000"/>
                <w:sz w:val="20"/>
                <w:szCs w:val="20"/>
              </w:rPr>
              <w:t>112</w:t>
            </w:r>
          </w:p>
        </w:tc>
      </w:tr>
      <w:tr w:rsidR="008434CC" w:rsidRPr="004672B0" w:rsidTr="00A62F29">
        <w:trPr>
          <w:trHeight w:val="315"/>
          <w:jc w:val="center"/>
        </w:trPr>
        <w:tc>
          <w:tcPr>
            <w:tcW w:w="5896" w:type="dxa"/>
            <w:tcBorders>
              <w:top w:val="single" w:sz="4" w:space="0" w:color="auto"/>
              <w:left w:val="single" w:sz="4" w:space="0" w:color="auto"/>
              <w:bottom w:val="single" w:sz="4" w:space="0" w:color="auto"/>
              <w:right w:val="single" w:sz="4" w:space="0" w:color="auto"/>
            </w:tcBorders>
            <w:noWrap/>
            <w:vAlign w:val="center"/>
          </w:tcPr>
          <w:p w:rsidR="008434CC" w:rsidRPr="004672B0" w:rsidRDefault="008434CC" w:rsidP="00A62F29">
            <w:pPr>
              <w:spacing w:before="40" w:after="40"/>
              <w:rPr>
                <w:rFonts w:cs="Calibri"/>
                <w:color w:val="000000"/>
                <w:sz w:val="20"/>
                <w:szCs w:val="20"/>
              </w:rPr>
            </w:pPr>
            <w:r w:rsidRPr="004672B0">
              <w:rPr>
                <w:rFonts w:cs="Calibri"/>
                <w:color w:val="000000"/>
                <w:sz w:val="20"/>
                <w:szCs w:val="20"/>
              </w:rPr>
              <w:t xml:space="preserve">Case detection rate (all forms) </w:t>
            </w:r>
          </w:p>
        </w:tc>
        <w:tc>
          <w:tcPr>
            <w:tcW w:w="960" w:type="dxa"/>
            <w:tcBorders>
              <w:top w:val="nil"/>
              <w:left w:val="nil"/>
              <w:bottom w:val="single" w:sz="4" w:space="0" w:color="auto"/>
              <w:right w:val="single" w:sz="4" w:space="0" w:color="auto"/>
            </w:tcBorders>
            <w:noWrap/>
            <w:vAlign w:val="bottom"/>
          </w:tcPr>
          <w:p w:rsidR="008434CC" w:rsidRPr="004672B0" w:rsidRDefault="008434CC" w:rsidP="00A62F29">
            <w:pPr>
              <w:spacing w:before="40" w:after="40"/>
              <w:ind w:right="57"/>
              <w:jc w:val="right"/>
              <w:rPr>
                <w:rFonts w:cs="Calibri"/>
                <w:color w:val="000000"/>
                <w:sz w:val="20"/>
                <w:szCs w:val="20"/>
              </w:rPr>
            </w:pPr>
            <w:r w:rsidRPr="004672B0">
              <w:rPr>
                <w:rFonts w:cs="Calibri"/>
                <w:color w:val="000000"/>
                <w:sz w:val="20"/>
                <w:szCs w:val="20"/>
              </w:rPr>
              <w:t>86%</w:t>
            </w:r>
          </w:p>
        </w:tc>
      </w:tr>
      <w:tr w:rsidR="008434CC" w:rsidRPr="004672B0" w:rsidTr="00A62F29">
        <w:trPr>
          <w:trHeight w:val="315"/>
          <w:jc w:val="center"/>
        </w:trPr>
        <w:tc>
          <w:tcPr>
            <w:tcW w:w="5896" w:type="dxa"/>
            <w:tcBorders>
              <w:top w:val="single" w:sz="4" w:space="0" w:color="auto"/>
              <w:left w:val="single" w:sz="4" w:space="0" w:color="auto"/>
              <w:bottom w:val="single" w:sz="4" w:space="0" w:color="auto"/>
              <w:right w:val="single" w:sz="4" w:space="0" w:color="auto"/>
            </w:tcBorders>
            <w:noWrap/>
            <w:vAlign w:val="center"/>
          </w:tcPr>
          <w:p w:rsidR="008434CC" w:rsidRPr="004672B0" w:rsidRDefault="008434CC" w:rsidP="00A62F29">
            <w:pPr>
              <w:spacing w:before="40" w:after="40"/>
              <w:rPr>
                <w:rFonts w:cs="Calibri"/>
                <w:color w:val="000000"/>
                <w:sz w:val="20"/>
                <w:szCs w:val="20"/>
              </w:rPr>
            </w:pPr>
            <w:r w:rsidRPr="004672B0">
              <w:rPr>
                <w:rFonts w:cs="Calibri"/>
                <w:color w:val="000000"/>
                <w:sz w:val="20"/>
                <w:szCs w:val="20"/>
              </w:rPr>
              <w:t>Case detection rate (SS+)</w:t>
            </w:r>
            <w:r w:rsidRPr="004672B0">
              <w:rPr>
                <w:rFonts w:cs="Calibri"/>
                <w:color w:val="000000"/>
                <w:sz w:val="20"/>
                <w:szCs w:val="20"/>
                <w:vertAlign w:val="superscript"/>
              </w:rPr>
              <w:t xml:space="preserve"> </w:t>
            </w:r>
            <w:r w:rsidRPr="004672B0">
              <w:rPr>
                <w:rFonts w:cs="Calibri"/>
                <w:color w:val="000000"/>
                <w:sz w:val="20"/>
                <w:szCs w:val="20"/>
              </w:rPr>
              <w:t>^</w:t>
            </w:r>
          </w:p>
        </w:tc>
        <w:tc>
          <w:tcPr>
            <w:tcW w:w="960" w:type="dxa"/>
            <w:tcBorders>
              <w:top w:val="nil"/>
              <w:left w:val="nil"/>
              <w:bottom w:val="single" w:sz="4" w:space="0" w:color="auto"/>
              <w:right w:val="single" w:sz="4" w:space="0" w:color="auto"/>
            </w:tcBorders>
            <w:noWrap/>
            <w:vAlign w:val="bottom"/>
          </w:tcPr>
          <w:p w:rsidR="008434CC" w:rsidRPr="004672B0" w:rsidRDefault="008434CC" w:rsidP="00A62F29">
            <w:pPr>
              <w:spacing w:before="40" w:after="40"/>
              <w:jc w:val="center"/>
              <w:rPr>
                <w:rFonts w:cs="Calibri"/>
                <w:color w:val="000000"/>
                <w:sz w:val="20"/>
                <w:szCs w:val="20"/>
              </w:rPr>
            </w:pPr>
            <w:r w:rsidRPr="004672B0">
              <w:rPr>
                <w:rFonts w:cs="Calibri"/>
                <w:color w:val="000000"/>
                <w:sz w:val="20"/>
                <w:szCs w:val="20"/>
              </w:rPr>
              <w:t>–</w:t>
            </w:r>
          </w:p>
        </w:tc>
      </w:tr>
      <w:tr w:rsidR="008434CC" w:rsidRPr="004672B0" w:rsidTr="00A62F29">
        <w:trPr>
          <w:trHeight w:val="315"/>
          <w:jc w:val="center"/>
        </w:trPr>
        <w:tc>
          <w:tcPr>
            <w:tcW w:w="5896" w:type="dxa"/>
            <w:tcBorders>
              <w:top w:val="single" w:sz="4" w:space="0" w:color="auto"/>
              <w:left w:val="single" w:sz="4" w:space="0" w:color="auto"/>
              <w:bottom w:val="single" w:sz="4" w:space="0" w:color="auto"/>
              <w:right w:val="single" w:sz="4" w:space="0" w:color="auto"/>
            </w:tcBorders>
            <w:noWrap/>
            <w:vAlign w:val="center"/>
          </w:tcPr>
          <w:p w:rsidR="008434CC" w:rsidRPr="004672B0" w:rsidRDefault="008434CC" w:rsidP="00A62F29">
            <w:pPr>
              <w:spacing w:before="40" w:after="40"/>
              <w:rPr>
                <w:rFonts w:cs="Calibri"/>
                <w:color w:val="000000"/>
                <w:sz w:val="20"/>
                <w:szCs w:val="20"/>
              </w:rPr>
            </w:pPr>
            <w:r w:rsidRPr="004672B0">
              <w:rPr>
                <w:rFonts w:cs="Calibri"/>
                <w:color w:val="000000"/>
                <w:sz w:val="20"/>
                <w:szCs w:val="20"/>
              </w:rPr>
              <w:t xml:space="preserve">Treatment success rate (all forms) </w:t>
            </w:r>
          </w:p>
        </w:tc>
        <w:tc>
          <w:tcPr>
            <w:tcW w:w="960" w:type="dxa"/>
            <w:tcBorders>
              <w:top w:val="nil"/>
              <w:left w:val="nil"/>
              <w:bottom w:val="single" w:sz="4" w:space="0" w:color="auto"/>
              <w:right w:val="single" w:sz="4" w:space="0" w:color="auto"/>
            </w:tcBorders>
            <w:noWrap/>
            <w:vAlign w:val="bottom"/>
          </w:tcPr>
          <w:p w:rsidR="008434CC" w:rsidRPr="004672B0" w:rsidRDefault="008434CC" w:rsidP="00A62F29">
            <w:pPr>
              <w:spacing w:before="40" w:after="40"/>
              <w:ind w:right="57"/>
              <w:jc w:val="right"/>
              <w:rPr>
                <w:rFonts w:cs="Calibri"/>
                <w:color w:val="000000"/>
                <w:sz w:val="20"/>
                <w:szCs w:val="20"/>
              </w:rPr>
            </w:pPr>
            <w:r w:rsidRPr="004672B0">
              <w:rPr>
                <w:rFonts w:cs="Calibri"/>
                <w:color w:val="000000"/>
                <w:sz w:val="20"/>
                <w:szCs w:val="20"/>
              </w:rPr>
              <w:t>92%</w:t>
            </w:r>
          </w:p>
        </w:tc>
      </w:tr>
      <w:tr w:rsidR="008434CC" w:rsidRPr="004672B0" w:rsidTr="00A62F29">
        <w:trPr>
          <w:trHeight w:val="315"/>
          <w:jc w:val="center"/>
        </w:trPr>
        <w:tc>
          <w:tcPr>
            <w:tcW w:w="5896" w:type="dxa"/>
            <w:tcBorders>
              <w:top w:val="single" w:sz="4" w:space="0" w:color="auto"/>
              <w:left w:val="single" w:sz="4" w:space="0" w:color="auto"/>
              <w:bottom w:val="single" w:sz="4" w:space="0" w:color="auto"/>
              <w:right w:val="single" w:sz="4" w:space="0" w:color="auto"/>
            </w:tcBorders>
            <w:noWrap/>
            <w:vAlign w:val="center"/>
          </w:tcPr>
          <w:p w:rsidR="008434CC" w:rsidRPr="004672B0" w:rsidRDefault="008434CC" w:rsidP="00A62F29">
            <w:pPr>
              <w:spacing w:before="40" w:after="40"/>
              <w:rPr>
                <w:rFonts w:cs="Calibri"/>
                <w:color w:val="000000"/>
                <w:sz w:val="20"/>
                <w:szCs w:val="20"/>
              </w:rPr>
            </w:pPr>
            <w:r w:rsidRPr="004672B0">
              <w:rPr>
                <w:rFonts w:cs="Calibri"/>
                <w:color w:val="000000"/>
                <w:sz w:val="20"/>
                <w:szCs w:val="20"/>
              </w:rPr>
              <w:t xml:space="preserve">Treatment success rate (SS+) </w:t>
            </w:r>
          </w:p>
        </w:tc>
        <w:tc>
          <w:tcPr>
            <w:tcW w:w="960" w:type="dxa"/>
            <w:tcBorders>
              <w:top w:val="nil"/>
              <w:left w:val="nil"/>
              <w:bottom w:val="single" w:sz="4" w:space="0" w:color="auto"/>
              <w:right w:val="single" w:sz="4" w:space="0" w:color="auto"/>
            </w:tcBorders>
            <w:noWrap/>
            <w:vAlign w:val="bottom"/>
          </w:tcPr>
          <w:p w:rsidR="008434CC" w:rsidRPr="004672B0" w:rsidRDefault="008434CC" w:rsidP="00A62F29">
            <w:pPr>
              <w:spacing w:before="40" w:after="40"/>
              <w:ind w:right="57"/>
              <w:jc w:val="right"/>
              <w:rPr>
                <w:rFonts w:cs="Calibri"/>
                <w:color w:val="000000"/>
                <w:sz w:val="20"/>
                <w:szCs w:val="20"/>
              </w:rPr>
            </w:pPr>
            <w:r w:rsidRPr="004672B0">
              <w:rPr>
                <w:rFonts w:cs="Calibri"/>
                <w:color w:val="000000"/>
                <w:sz w:val="20"/>
                <w:szCs w:val="20"/>
              </w:rPr>
              <w:t>97%</w:t>
            </w:r>
          </w:p>
        </w:tc>
      </w:tr>
      <w:tr w:rsidR="008434CC" w:rsidRPr="004672B0" w:rsidTr="00A62F29">
        <w:trPr>
          <w:trHeight w:val="315"/>
          <w:jc w:val="center"/>
        </w:trPr>
        <w:tc>
          <w:tcPr>
            <w:tcW w:w="5896" w:type="dxa"/>
            <w:tcBorders>
              <w:top w:val="single" w:sz="4" w:space="0" w:color="auto"/>
              <w:left w:val="single" w:sz="4" w:space="0" w:color="auto"/>
              <w:bottom w:val="single" w:sz="4" w:space="0" w:color="auto"/>
              <w:right w:val="single" w:sz="4" w:space="0" w:color="auto"/>
            </w:tcBorders>
            <w:noWrap/>
            <w:vAlign w:val="center"/>
          </w:tcPr>
          <w:p w:rsidR="008434CC" w:rsidRPr="004672B0" w:rsidRDefault="008434CC" w:rsidP="00A62F29">
            <w:pPr>
              <w:spacing w:before="40" w:after="40"/>
              <w:rPr>
                <w:rFonts w:cs="Calibri"/>
                <w:color w:val="000000"/>
                <w:sz w:val="20"/>
                <w:szCs w:val="20"/>
              </w:rPr>
            </w:pPr>
            <w:r w:rsidRPr="004672B0">
              <w:rPr>
                <w:rFonts w:cs="Calibri"/>
                <w:color w:val="000000"/>
                <w:sz w:val="20"/>
                <w:szCs w:val="20"/>
              </w:rPr>
              <w:t>Death rate (all forms)</w:t>
            </w:r>
          </w:p>
        </w:tc>
        <w:tc>
          <w:tcPr>
            <w:tcW w:w="960" w:type="dxa"/>
            <w:tcBorders>
              <w:top w:val="nil"/>
              <w:left w:val="nil"/>
              <w:bottom w:val="single" w:sz="4" w:space="0" w:color="auto"/>
              <w:right w:val="single" w:sz="4" w:space="0" w:color="auto"/>
            </w:tcBorders>
            <w:noWrap/>
            <w:vAlign w:val="bottom"/>
          </w:tcPr>
          <w:p w:rsidR="008434CC" w:rsidRPr="004672B0" w:rsidRDefault="008434CC" w:rsidP="00A62F29">
            <w:pPr>
              <w:spacing w:before="40" w:after="40"/>
              <w:ind w:right="57"/>
              <w:jc w:val="right"/>
              <w:rPr>
                <w:rFonts w:cs="Calibri"/>
                <w:color w:val="000000"/>
                <w:sz w:val="20"/>
                <w:szCs w:val="20"/>
              </w:rPr>
            </w:pPr>
            <w:r w:rsidRPr="004672B0">
              <w:rPr>
                <w:rFonts w:cs="Calibri"/>
                <w:color w:val="000000"/>
                <w:sz w:val="20"/>
                <w:szCs w:val="20"/>
              </w:rPr>
              <w:t>6%</w:t>
            </w:r>
          </w:p>
        </w:tc>
      </w:tr>
      <w:tr w:rsidR="008434CC" w:rsidRPr="004672B0" w:rsidTr="00A62F29">
        <w:trPr>
          <w:trHeight w:val="315"/>
          <w:jc w:val="center"/>
        </w:trPr>
        <w:tc>
          <w:tcPr>
            <w:tcW w:w="5896" w:type="dxa"/>
            <w:tcBorders>
              <w:top w:val="single" w:sz="4" w:space="0" w:color="auto"/>
              <w:left w:val="single" w:sz="4" w:space="0" w:color="auto"/>
              <w:bottom w:val="single" w:sz="4" w:space="0" w:color="auto"/>
              <w:right w:val="single" w:sz="4" w:space="0" w:color="auto"/>
            </w:tcBorders>
            <w:noWrap/>
            <w:vAlign w:val="center"/>
          </w:tcPr>
          <w:p w:rsidR="008434CC" w:rsidRPr="004672B0" w:rsidRDefault="008434CC" w:rsidP="00A62F29">
            <w:pPr>
              <w:spacing w:before="40" w:after="40"/>
              <w:rPr>
                <w:rFonts w:cs="Calibri"/>
                <w:color w:val="000000"/>
                <w:sz w:val="20"/>
                <w:szCs w:val="20"/>
              </w:rPr>
            </w:pPr>
            <w:r w:rsidRPr="004672B0">
              <w:rPr>
                <w:rFonts w:cs="Calibri"/>
                <w:color w:val="000000"/>
                <w:sz w:val="20"/>
                <w:szCs w:val="20"/>
              </w:rPr>
              <w:t>Default rate (all forms)</w:t>
            </w:r>
          </w:p>
        </w:tc>
        <w:tc>
          <w:tcPr>
            <w:tcW w:w="960" w:type="dxa"/>
            <w:tcBorders>
              <w:top w:val="nil"/>
              <w:left w:val="nil"/>
              <w:bottom w:val="single" w:sz="4" w:space="0" w:color="auto"/>
              <w:right w:val="single" w:sz="4" w:space="0" w:color="auto"/>
            </w:tcBorders>
            <w:noWrap/>
            <w:vAlign w:val="bottom"/>
          </w:tcPr>
          <w:p w:rsidR="008434CC" w:rsidRPr="004672B0" w:rsidRDefault="008434CC" w:rsidP="00A62F29">
            <w:pPr>
              <w:spacing w:before="40" w:after="40"/>
              <w:ind w:right="57"/>
              <w:jc w:val="right"/>
              <w:rPr>
                <w:rFonts w:cs="Calibri"/>
                <w:color w:val="000000"/>
                <w:sz w:val="20"/>
                <w:szCs w:val="20"/>
              </w:rPr>
            </w:pPr>
            <w:r w:rsidRPr="004672B0">
              <w:rPr>
                <w:rFonts w:cs="Calibri"/>
                <w:color w:val="000000"/>
                <w:sz w:val="20"/>
                <w:szCs w:val="20"/>
              </w:rPr>
              <w:t>1.4%</w:t>
            </w:r>
          </w:p>
        </w:tc>
      </w:tr>
      <w:tr w:rsidR="008434CC" w:rsidRPr="004672B0" w:rsidTr="00A62F29">
        <w:trPr>
          <w:trHeight w:val="315"/>
          <w:jc w:val="center"/>
        </w:trPr>
        <w:tc>
          <w:tcPr>
            <w:tcW w:w="5896" w:type="dxa"/>
            <w:tcBorders>
              <w:top w:val="single" w:sz="4" w:space="0" w:color="auto"/>
              <w:left w:val="single" w:sz="4" w:space="0" w:color="auto"/>
              <w:bottom w:val="single" w:sz="4" w:space="0" w:color="auto"/>
              <w:right w:val="single" w:sz="4" w:space="0" w:color="000000"/>
            </w:tcBorders>
            <w:noWrap/>
            <w:vAlign w:val="center"/>
          </w:tcPr>
          <w:p w:rsidR="008434CC" w:rsidRPr="004672B0" w:rsidRDefault="008434CC" w:rsidP="00A62F29">
            <w:pPr>
              <w:spacing w:before="40" w:after="40"/>
              <w:rPr>
                <w:rFonts w:cs="Calibri"/>
                <w:color w:val="000000"/>
                <w:sz w:val="20"/>
                <w:szCs w:val="20"/>
              </w:rPr>
            </w:pPr>
            <w:r w:rsidRPr="004672B0">
              <w:rPr>
                <w:rFonts w:cs="Calibri"/>
                <w:color w:val="000000"/>
                <w:sz w:val="20"/>
                <w:szCs w:val="20"/>
              </w:rPr>
              <w:t>Smear positivity rate among TB suspects</w:t>
            </w:r>
          </w:p>
        </w:tc>
        <w:tc>
          <w:tcPr>
            <w:tcW w:w="960" w:type="dxa"/>
            <w:tcBorders>
              <w:top w:val="nil"/>
              <w:left w:val="nil"/>
              <w:bottom w:val="single" w:sz="4" w:space="0" w:color="auto"/>
              <w:right w:val="single" w:sz="4" w:space="0" w:color="auto"/>
            </w:tcBorders>
            <w:noWrap/>
            <w:vAlign w:val="bottom"/>
          </w:tcPr>
          <w:p w:rsidR="008434CC" w:rsidRPr="004672B0" w:rsidRDefault="008434CC" w:rsidP="00A62F29">
            <w:pPr>
              <w:spacing w:before="40" w:after="40"/>
              <w:ind w:right="57"/>
              <w:jc w:val="right"/>
              <w:rPr>
                <w:rFonts w:cs="Calibri"/>
                <w:sz w:val="20"/>
                <w:szCs w:val="20"/>
              </w:rPr>
            </w:pPr>
            <w:r w:rsidRPr="004672B0">
              <w:rPr>
                <w:rFonts w:cs="Calibri"/>
                <w:sz w:val="20"/>
                <w:szCs w:val="20"/>
              </w:rPr>
              <w:t>12%</w:t>
            </w:r>
          </w:p>
        </w:tc>
      </w:tr>
      <w:tr w:rsidR="008434CC" w:rsidRPr="004672B0" w:rsidTr="00A62F29">
        <w:trPr>
          <w:trHeight w:val="315"/>
          <w:jc w:val="center"/>
        </w:trPr>
        <w:tc>
          <w:tcPr>
            <w:tcW w:w="5896" w:type="dxa"/>
            <w:tcBorders>
              <w:top w:val="single" w:sz="4" w:space="0" w:color="auto"/>
              <w:left w:val="single" w:sz="4" w:space="0" w:color="auto"/>
              <w:bottom w:val="single" w:sz="4" w:space="0" w:color="auto"/>
              <w:right w:val="single" w:sz="4" w:space="0" w:color="auto"/>
            </w:tcBorders>
            <w:vAlign w:val="center"/>
          </w:tcPr>
          <w:p w:rsidR="008434CC" w:rsidRPr="004672B0" w:rsidRDefault="008434CC" w:rsidP="00A62F29">
            <w:pPr>
              <w:spacing w:before="40" w:after="40"/>
              <w:rPr>
                <w:rFonts w:cs="Calibri"/>
                <w:color w:val="000000"/>
                <w:sz w:val="20"/>
                <w:szCs w:val="20"/>
              </w:rPr>
            </w:pPr>
            <w:r w:rsidRPr="004672B0">
              <w:rPr>
                <w:rFonts w:cs="Calibri"/>
                <w:color w:val="000000"/>
                <w:sz w:val="20"/>
                <w:szCs w:val="20"/>
              </w:rPr>
              <w:t>Proportion of TB suspects screened with 2 or 3 sputum samples</w:t>
            </w:r>
          </w:p>
        </w:tc>
        <w:tc>
          <w:tcPr>
            <w:tcW w:w="960" w:type="dxa"/>
            <w:tcBorders>
              <w:top w:val="nil"/>
              <w:left w:val="nil"/>
              <w:bottom w:val="single" w:sz="4" w:space="0" w:color="auto"/>
              <w:right w:val="single" w:sz="4" w:space="0" w:color="auto"/>
            </w:tcBorders>
            <w:noWrap/>
            <w:vAlign w:val="center"/>
          </w:tcPr>
          <w:p w:rsidR="008434CC" w:rsidRPr="004672B0" w:rsidRDefault="008434CC" w:rsidP="00A62F29">
            <w:pPr>
              <w:spacing w:before="40" w:after="40"/>
              <w:ind w:right="57"/>
              <w:jc w:val="right"/>
              <w:rPr>
                <w:rFonts w:cs="Calibri"/>
                <w:sz w:val="20"/>
                <w:szCs w:val="20"/>
              </w:rPr>
            </w:pPr>
            <w:r w:rsidRPr="004672B0">
              <w:rPr>
                <w:rFonts w:cs="Calibri"/>
                <w:sz w:val="20"/>
                <w:szCs w:val="20"/>
              </w:rPr>
              <w:t>68%</w:t>
            </w:r>
          </w:p>
        </w:tc>
      </w:tr>
    </w:tbl>
    <w:p w:rsidR="008434CC" w:rsidRPr="00EF387C" w:rsidRDefault="008434CC" w:rsidP="00581BE8">
      <w:pPr>
        <w:autoSpaceDE w:val="0"/>
        <w:autoSpaceDN w:val="0"/>
        <w:adjustRightInd w:val="0"/>
        <w:spacing w:line="264" w:lineRule="auto"/>
        <w:jc w:val="center"/>
        <w:rPr>
          <w:rStyle w:val="Style11ptBlack"/>
          <w:rFonts w:ascii="Calibri" w:hAnsi="Calibri" w:cs="Calibri"/>
          <w:sz w:val="20"/>
          <w:szCs w:val="18"/>
        </w:rPr>
      </w:pPr>
      <w:r w:rsidRPr="00EF387C">
        <w:rPr>
          <w:rStyle w:val="Style11ptBlack"/>
          <w:rFonts w:ascii="Calibri" w:hAnsi="Calibri" w:cs="Calibri"/>
          <w:sz w:val="20"/>
          <w:szCs w:val="18"/>
        </w:rPr>
        <w:t>Source: NTP (case data), SPC (rates)</w:t>
      </w:r>
    </w:p>
    <w:p w:rsidR="008434CC" w:rsidRPr="00EF387C" w:rsidRDefault="008434CC" w:rsidP="00581BE8">
      <w:pPr>
        <w:rPr>
          <w:rFonts w:cs="Calibri"/>
          <w:sz w:val="20"/>
          <w:szCs w:val="18"/>
        </w:rPr>
      </w:pPr>
      <w:r w:rsidRPr="00EF387C">
        <w:rPr>
          <w:rFonts w:cs="Calibri"/>
          <w:sz w:val="20"/>
          <w:szCs w:val="18"/>
        </w:rPr>
        <w:t xml:space="preserve">^ WHO is no longer providing the denominator for the sputum smear positive case detection rate, therefore unable to calculate this rate from 2010 onwards.  The SS+ case detection rate will not be provided in future reports. </w:t>
      </w:r>
    </w:p>
    <w:p w:rsidR="008434CC" w:rsidRPr="00EF387C" w:rsidRDefault="008434CC" w:rsidP="00581BE8">
      <w:pPr>
        <w:rPr>
          <w:rFonts w:cs="Calibri"/>
          <w:sz w:val="20"/>
          <w:szCs w:val="18"/>
        </w:rPr>
      </w:pPr>
      <w:r w:rsidRPr="00EF387C">
        <w:rPr>
          <w:rFonts w:cs="Calibri"/>
          <w:sz w:val="20"/>
          <w:szCs w:val="18"/>
        </w:rPr>
        <w:t>Note: 2009 data are used for the case detection rate, treatment success rate (all forms and SS+), death rate and defaulter rate</w:t>
      </w:r>
    </w:p>
    <w:p w:rsidR="008434CC" w:rsidRDefault="008434CC" w:rsidP="00B52A80">
      <w:r>
        <w:lastRenderedPageBreak/>
        <w:t>T</w:t>
      </w:r>
      <w:r w:rsidRPr="005338A2">
        <w:t xml:space="preserve">rends </w:t>
      </w:r>
      <w:r>
        <w:t>in the n</w:t>
      </w:r>
      <w:r w:rsidRPr="005338A2">
        <w:t xml:space="preserve">otification </w:t>
      </w:r>
      <w:r>
        <w:t xml:space="preserve">rate </w:t>
      </w:r>
      <w:r w:rsidRPr="005338A2">
        <w:t xml:space="preserve">and </w:t>
      </w:r>
      <w:r>
        <w:t xml:space="preserve">estimated </w:t>
      </w:r>
      <w:r w:rsidRPr="005338A2">
        <w:t xml:space="preserve">incidence rate (Figure </w:t>
      </w:r>
      <w:r>
        <w:t>3</w:t>
      </w:r>
      <w:r w:rsidRPr="005338A2">
        <w:t xml:space="preserve">) show </w:t>
      </w:r>
      <w:r>
        <w:t xml:space="preserve">that case </w:t>
      </w:r>
      <w:r w:rsidRPr="005338A2">
        <w:t xml:space="preserve">notification </w:t>
      </w:r>
      <w:r>
        <w:t xml:space="preserve">is </w:t>
      </w:r>
      <w:r w:rsidRPr="005338A2">
        <w:t xml:space="preserve">consistently lower than the estimated incidence for any given year, by a difference of approximately 20%. </w:t>
      </w:r>
      <w:r>
        <w:t xml:space="preserve"> </w:t>
      </w:r>
    </w:p>
    <w:p w:rsidR="008434CC" w:rsidRDefault="008434CC" w:rsidP="007B69E2"/>
    <w:p w:rsidR="008434CC" w:rsidRPr="00BD44F0" w:rsidRDefault="008434CC" w:rsidP="00EF387C">
      <w:pPr>
        <w:jc w:val="center"/>
        <w:rPr>
          <w:rFonts w:ascii="Arial" w:hAnsi="Arial" w:cs="Arial"/>
          <w:b/>
          <w:sz w:val="21"/>
          <w:szCs w:val="21"/>
        </w:rPr>
      </w:pPr>
      <w:r w:rsidRPr="00BD44F0">
        <w:rPr>
          <w:rFonts w:ascii="Arial" w:hAnsi="Arial" w:cs="Arial"/>
          <w:b/>
          <w:sz w:val="21"/>
          <w:szCs w:val="21"/>
        </w:rPr>
        <w:t>Figure 3: TB case notification rates and estimated TB incidence rates, Kiribati, 2000–2010</w:t>
      </w:r>
    </w:p>
    <w:p w:rsidR="008434CC" w:rsidRDefault="004C37E9" w:rsidP="00EF387C">
      <w:pPr>
        <w:jc w:val="center"/>
        <w:rPr>
          <w:b/>
        </w:rPr>
      </w:pPr>
      <w:r>
        <w:rPr>
          <w:noProof/>
          <w:lang w:val="en-AU" w:eastAsia="en-AU"/>
        </w:rPr>
        <w:pict>
          <v:shape id="Chart 20" o:spid="_x0000_i1029" type="#_x0000_t75" style="width:354.75pt;height:21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fK+sV3AAAAAUBAAAPAAAAZHJzL2Rvd25y&#10;ZXYueG1sTI/NTsMwEITvSLyDtUhcEHWaUH7SOFVVhFRxI63E1Y23cUS8DrGbhrdn4QKXkUazmvm2&#10;WE2uEyMOofWkYD5LQCDV3rTUKNjvXm4fQYSoyejOEyr4wgCr8vKi0LnxZ3rDsYqN4BIKuVZgY+xz&#10;KUNt0ekw8z0SZ0c/OB3ZDo00gz5zuetkmiT30umWeMHqHjcW64/q5BT07c1mu11/Ptn4PlWv6Wj3&#10;82er1PXVtF6CiDjFv2P4wWd0KJnp4E9kgugU8CPxVzl7SDO2BwV3WbYAWRbyP335DQ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">
            <v:imagedata r:id="rId18" o:title="" croptop="-3045f" cropbottom="-3982f" cropleft="-6611f" cropright="-5771f"/>
            <o:lock v:ext="edit" aspectratio="f"/>
          </v:shape>
        </w:pict>
      </w:r>
    </w:p>
    <w:p w:rsidR="008434CC" w:rsidRDefault="008434CC" w:rsidP="00C27E0F">
      <w:pPr>
        <w:jc w:val="center"/>
        <w:rPr>
          <w:sz w:val="20"/>
        </w:rPr>
      </w:pPr>
      <w:r w:rsidRPr="00ED58EE">
        <w:rPr>
          <w:sz w:val="20"/>
        </w:rPr>
        <w:t xml:space="preserve">Source: </w:t>
      </w:r>
      <w:r w:rsidRPr="005338A2">
        <w:rPr>
          <w:sz w:val="20"/>
        </w:rPr>
        <w:t xml:space="preserve">WHO </w:t>
      </w:r>
      <w:r>
        <w:rPr>
          <w:sz w:val="20"/>
        </w:rPr>
        <w:t>(</w:t>
      </w:r>
      <w:r w:rsidRPr="005338A2">
        <w:rPr>
          <w:sz w:val="20"/>
        </w:rPr>
        <w:t>2011</w:t>
      </w:r>
      <w:r>
        <w:rPr>
          <w:sz w:val="20"/>
        </w:rPr>
        <w:t xml:space="preserve">) </w:t>
      </w:r>
      <w:r w:rsidRPr="003D7DC7">
        <w:rPr>
          <w:i/>
          <w:sz w:val="20"/>
        </w:rPr>
        <w:t>Global Tuberculosis Control</w:t>
      </w:r>
      <w:r w:rsidRPr="005338A2">
        <w:rPr>
          <w:sz w:val="20"/>
        </w:rPr>
        <w:t xml:space="preserve"> report</w:t>
      </w:r>
      <w:r>
        <w:rPr>
          <w:sz w:val="20"/>
        </w:rPr>
        <w:t>.</w:t>
      </w:r>
      <w:r w:rsidRPr="00ED58EE">
        <w:rPr>
          <w:sz w:val="20"/>
        </w:rPr>
        <w:t xml:space="preserve"> </w:t>
      </w:r>
    </w:p>
    <w:p w:rsidR="008434CC" w:rsidRDefault="008434CC" w:rsidP="00EF387C"/>
    <w:p w:rsidR="008434CC" w:rsidRDefault="008434CC" w:rsidP="00B52A80">
      <w:r w:rsidRPr="005338A2">
        <w:t xml:space="preserve">This is </w:t>
      </w:r>
      <w:r>
        <w:t xml:space="preserve">also </w:t>
      </w:r>
      <w:r w:rsidRPr="005338A2">
        <w:t xml:space="preserve">reflected by the </w:t>
      </w:r>
      <w:r w:rsidRPr="00581BE8">
        <w:rPr>
          <w:color w:val="000000"/>
        </w:rPr>
        <w:t xml:space="preserve">estimated </w:t>
      </w:r>
      <w:r w:rsidRPr="005338A2">
        <w:t>case detection rate</w:t>
      </w:r>
      <w:r>
        <w:t xml:space="preserve"> (</w:t>
      </w:r>
      <w:r w:rsidRPr="00581BE8">
        <w:rPr>
          <w:color w:val="000000"/>
        </w:rPr>
        <w:t>%</w:t>
      </w:r>
      <w:r>
        <w:rPr>
          <w:color w:val="000000"/>
        </w:rPr>
        <w:t xml:space="preserve">; </w:t>
      </w:r>
      <w:r>
        <w:t>Figure 4),</w:t>
      </w:r>
      <w:r w:rsidRPr="005338A2">
        <w:t xml:space="preserve"> which was 78% in 2010; this means that </w:t>
      </w:r>
      <w:r>
        <w:t xml:space="preserve">up to </w:t>
      </w:r>
      <w:r w:rsidRPr="005338A2">
        <w:t>a</w:t>
      </w:r>
      <w:r>
        <w:t xml:space="preserve">n estimated </w:t>
      </w:r>
      <w:r w:rsidRPr="005338A2">
        <w:t>2</w:t>
      </w:r>
      <w:r>
        <w:t>2</w:t>
      </w:r>
      <w:r w:rsidRPr="005338A2">
        <w:t xml:space="preserve">% of cases </w:t>
      </w:r>
      <w:r>
        <w:t>in the community may</w:t>
      </w:r>
      <w:r w:rsidRPr="005338A2">
        <w:t xml:space="preserve"> </w:t>
      </w:r>
      <w:r>
        <w:t>still go</w:t>
      </w:r>
      <w:r w:rsidRPr="005338A2">
        <w:t xml:space="preserve"> </w:t>
      </w:r>
      <w:r>
        <w:t>un</w:t>
      </w:r>
      <w:r w:rsidRPr="005338A2">
        <w:t>detected.</w:t>
      </w:r>
    </w:p>
    <w:p w:rsidR="008434CC" w:rsidRDefault="008434CC" w:rsidP="00EF387C"/>
    <w:p w:rsidR="008434CC" w:rsidRPr="00BD44F0" w:rsidRDefault="008434CC" w:rsidP="00EF387C">
      <w:pPr>
        <w:jc w:val="center"/>
        <w:rPr>
          <w:rFonts w:ascii="Arial" w:hAnsi="Arial" w:cs="Arial"/>
          <w:b/>
          <w:sz w:val="21"/>
          <w:szCs w:val="21"/>
        </w:rPr>
      </w:pPr>
      <w:r w:rsidRPr="00BD44F0">
        <w:rPr>
          <w:rFonts w:ascii="Arial" w:hAnsi="Arial" w:cs="Arial"/>
          <w:b/>
          <w:sz w:val="21"/>
          <w:szCs w:val="21"/>
        </w:rPr>
        <w:t>Figure 4: Case detection rate (all forms of TB) (%), Kiribati, 2000–2010</w:t>
      </w:r>
    </w:p>
    <w:p w:rsidR="008434CC" w:rsidRPr="004D34E4" w:rsidRDefault="004C37E9" w:rsidP="00EF387C">
      <w:pPr>
        <w:jc w:val="center"/>
      </w:pPr>
      <w:r>
        <w:rPr>
          <w:noProof/>
          <w:lang w:val="en-AU" w:eastAsia="en-AU"/>
        </w:rPr>
        <w:pict>
          <v:shape id="Chart 19" o:spid="_x0000_i1030" type="#_x0000_t75" style="width:352.5pt;height:20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0Imec3QAAAAUBAAAPAAAAZHJzL2Rvd25y&#10;ZXYueG1sTI9PS8NAEMXvgt9hGcGb3ST2j8ZMiigWPBWrWLxNs2MSzc6G7LaN397Vi14GHu/x3m+K&#10;5Wg7deDBt04Q0kkCiqVyppUa4eX54eIKlA8khjonjPDFHpbl6UlBuXFHeeLDJtQqlojPCaEJoc+1&#10;9lXDlvzE9SzRe3eDpRDlUGsz0DGW205nSTLXllqJCw31fNdw9bnZWwS7+uD7xTbdTi9X9Vv7Ou+z&#10;tX9EPD8bb29ABR7DXxh+8CM6lJFp5/ZivOoQ4iPh90ZvkWYzUDuEaXI9A10W+j99+Q0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">
            <v:imagedata r:id="rId19" o:title="" croptop="-4012f" cropbottom="-8442f" cropleft="-4572f" cropright="-7031f"/>
            <o:lock v:ext="edit" aspectratio="f"/>
          </v:shape>
        </w:pict>
      </w:r>
    </w:p>
    <w:p w:rsidR="008434CC" w:rsidRDefault="008434CC" w:rsidP="00C27E0F">
      <w:pPr>
        <w:jc w:val="center"/>
        <w:rPr>
          <w:sz w:val="20"/>
        </w:rPr>
      </w:pPr>
      <w:r w:rsidRPr="00ED58EE">
        <w:rPr>
          <w:sz w:val="20"/>
        </w:rPr>
        <w:t xml:space="preserve">Source: </w:t>
      </w:r>
      <w:r w:rsidRPr="005338A2">
        <w:rPr>
          <w:sz w:val="20"/>
        </w:rPr>
        <w:t xml:space="preserve">WHO </w:t>
      </w:r>
      <w:r>
        <w:rPr>
          <w:sz w:val="20"/>
        </w:rPr>
        <w:t>(</w:t>
      </w:r>
      <w:r w:rsidRPr="005338A2">
        <w:rPr>
          <w:sz w:val="20"/>
        </w:rPr>
        <w:t>2011</w:t>
      </w:r>
      <w:r>
        <w:rPr>
          <w:sz w:val="20"/>
        </w:rPr>
        <w:t xml:space="preserve">) </w:t>
      </w:r>
      <w:r w:rsidRPr="003D7DC7">
        <w:rPr>
          <w:i/>
          <w:sz w:val="20"/>
        </w:rPr>
        <w:t>Global Tuberculosis Control</w:t>
      </w:r>
      <w:r w:rsidRPr="005338A2">
        <w:rPr>
          <w:sz w:val="20"/>
        </w:rPr>
        <w:t xml:space="preserve"> report</w:t>
      </w:r>
      <w:r>
        <w:rPr>
          <w:sz w:val="20"/>
        </w:rPr>
        <w:t>.</w:t>
      </w:r>
      <w:r w:rsidRPr="00ED58EE">
        <w:rPr>
          <w:sz w:val="20"/>
        </w:rPr>
        <w:t xml:space="preserve"> </w:t>
      </w:r>
    </w:p>
    <w:p w:rsidR="008434CC" w:rsidRDefault="008434CC" w:rsidP="00B52A80">
      <w:r>
        <w:lastRenderedPageBreak/>
        <w:t xml:space="preserve">Figure 5 </w:t>
      </w:r>
      <w:r w:rsidRPr="00581BE8">
        <w:rPr>
          <w:color w:val="000000"/>
        </w:rPr>
        <w:t>summarises the proportion of cases of TB by type across the 10-year period 2001-10</w:t>
      </w:r>
      <w:r>
        <w:t xml:space="preserve">, and </w:t>
      </w:r>
      <w:r>
        <w:rPr>
          <w:color w:val="000000"/>
        </w:rPr>
        <w:t>Figure</w:t>
      </w:r>
      <w:r w:rsidRPr="00581BE8">
        <w:rPr>
          <w:color w:val="000000"/>
        </w:rPr>
        <w:t xml:space="preserve"> </w:t>
      </w:r>
      <w:r>
        <w:rPr>
          <w:color w:val="000000"/>
        </w:rPr>
        <w:t>6</w:t>
      </w:r>
      <w:r w:rsidRPr="00A41245">
        <w:t xml:space="preserve"> </w:t>
      </w:r>
      <w:r>
        <w:t xml:space="preserve">compares the notification rate for sputum smear positive pulmonary TB with the all-forms notification rate. </w:t>
      </w:r>
    </w:p>
    <w:p w:rsidR="008434CC" w:rsidRDefault="008434CC" w:rsidP="00A41245">
      <w:pPr>
        <w:rPr>
          <w:b/>
        </w:rPr>
      </w:pPr>
    </w:p>
    <w:p w:rsidR="008434CC" w:rsidRPr="00AF0DD0" w:rsidRDefault="008434CC" w:rsidP="00A41245">
      <w:pPr>
        <w:keepNext/>
        <w:autoSpaceDE w:val="0"/>
        <w:autoSpaceDN w:val="0"/>
        <w:adjustRightInd w:val="0"/>
        <w:spacing w:line="264" w:lineRule="auto"/>
        <w:jc w:val="center"/>
        <w:rPr>
          <w:rStyle w:val="Style11ptBlack"/>
          <w:b/>
        </w:rPr>
      </w:pPr>
      <w:r>
        <w:rPr>
          <w:rStyle w:val="Style11ptBlack"/>
          <w:b/>
        </w:rPr>
        <w:t>Figur</w:t>
      </w:r>
      <w:r w:rsidRPr="00AF0DD0">
        <w:rPr>
          <w:rStyle w:val="Style11ptBlack"/>
          <w:b/>
        </w:rPr>
        <w:t xml:space="preserve">e </w:t>
      </w:r>
      <w:r>
        <w:rPr>
          <w:rStyle w:val="Style11ptBlack"/>
          <w:b/>
        </w:rPr>
        <w:t>5</w:t>
      </w:r>
      <w:r w:rsidRPr="00AF0DD0">
        <w:rPr>
          <w:rStyle w:val="Style11ptBlack"/>
          <w:b/>
        </w:rPr>
        <w:t xml:space="preserve">: </w:t>
      </w:r>
      <w:r>
        <w:rPr>
          <w:rStyle w:val="Style11ptBlack"/>
          <w:b/>
        </w:rPr>
        <w:t>Proportion of notified cases by type of TB,</w:t>
      </w:r>
      <w:r>
        <w:rPr>
          <w:rStyle w:val="Style11ptBlack"/>
          <w:b/>
        </w:rPr>
        <w:br/>
        <w:t xml:space="preserve">Kiribati, 2001-10 </w:t>
      </w:r>
    </w:p>
    <w:p w:rsidR="008434CC" w:rsidRPr="009071C4" w:rsidRDefault="008434CC" w:rsidP="00A41245">
      <w:pPr>
        <w:autoSpaceDE w:val="0"/>
        <w:autoSpaceDN w:val="0"/>
        <w:adjustRightInd w:val="0"/>
        <w:spacing w:line="264" w:lineRule="auto"/>
        <w:jc w:val="center"/>
        <w:rPr>
          <w:rStyle w:val="Style11ptBlack"/>
          <w:rFonts w:cs="Arial"/>
          <w:sz w:val="20"/>
          <w:szCs w:val="20"/>
        </w:rPr>
      </w:pPr>
      <w:r w:rsidRPr="004672B0">
        <w:rPr>
          <w:rFonts w:ascii="Arial" w:hAnsi="Arial" w:cs="Arial"/>
          <w:noProof/>
          <w:color w:val="000000"/>
          <w:sz w:val="20"/>
          <w:szCs w:val="20"/>
          <w:lang w:val="en-AU" w:eastAsia="en-AU"/>
        </w:rPr>
        <w:object w:dxaOrig="6279" w:dyaOrig="4244">
          <v:shape id="Chart 4" o:spid="_x0000_i1031" type="#_x0000_t75" style="width:387.75pt;height:249.75pt;visibility:visible" o:ole="">
            <v:imagedata r:id="rId20" o:title="" croptop="-5775f" cropbottom="-6517f" cropleft="-10124f" cropright="-6158f"/>
            <o:lock v:ext="edit" aspectratio="f"/>
          </v:shape>
          <o:OLEObject Type="Embed" ProgID="Excel.Chart.8" ShapeID="Chart 4" DrawAspect="Content" ObjectID="_1413968632" r:id="rId21"/>
        </w:object>
      </w:r>
    </w:p>
    <w:p w:rsidR="008434CC" w:rsidRPr="00BD44F0" w:rsidRDefault="008434CC" w:rsidP="00BD44F0">
      <w:pPr>
        <w:autoSpaceDE w:val="0"/>
        <w:autoSpaceDN w:val="0"/>
        <w:adjustRightInd w:val="0"/>
        <w:spacing w:before="0" w:line="264" w:lineRule="auto"/>
        <w:jc w:val="center"/>
        <w:rPr>
          <w:rStyle w:val="Style11ptBlack"/>
          <w:rFonts w:ascii="Calibri" w:hAnsi="Calibri" w:cs="Calibri"/>
          <w:sz w:val="20"/>
          <w:szCs w:val="18"/>
        </w:rPr>
      </w:pPr>
      <w:r w:rsidRPr="00BD44F0">
        <w:rPr>
          <w:rStyle w:val="Style11ptBlack"/>
          <w:rFonts w:ascii="Calibri" w:hAnsi="Calibri" w:cs="Calibri"/>
          <w:sz w:val="20"/>
          <w:szCs w:val="18"/>
        </w:rPr>
        <w:t>Source: NTP (2009-10 data), SPC (2001-08 data)</w:t>
      </w:r>
    </w:p>
    <w:p w:rsidR="008434CC" w:rsidRPr="00B929EA" w:rsidRDefault="008434CC" w:rsidP="005338A2">
      <w:pPr>
        <w:rPr>
          <w:b/>
        </w:rPr>
      </w:pPr>
    </w:p>
    <w:p w:rsidR="008434CC" w:rsidRPr="00BD44F0" w:rsidRDefault="008434CC" w:rsidP="006A1758">
      <w:pPr>
        <w:tabs>
          <w:tab w:val="left" w:pos="0"/>
        </w:tabs>
        <w:jc w:val="center"/>
        <w:rPr>
          <w:rFonts w:ascii="Arial" w:hAnsi="Arial" w:cs="Arial"/>
          <w:b/>
          <w:sz w:val="21"/>
          <w:szCs w:val="21"/>
        </w:rPr>
      </w:pPr>
      <w:r w:rsidRPr="00BD44F0">
        <w:rPr>
          <w:rFonts w:ascii="Arial" w:hAnsi="Arial" w:cs="Arial"/>
          <w:b/>
          <w:sz w:val="21"/>
          <w:szCs w:val="21"/>
        </w:rPr>
        <w:t xml:space="preserve">Figure </w:t>
      </w:r>
      <w:r>
        <w:rPr>
          <w:rFonts w:ascii="Arial" w:hAnsi="Arial" w:cs="Arial"/>
          <w:b/>
          <w:sz w:val="21"/>
          <w:szCs w:val="21"/>
        </w:rPr>
        <w:t>6</w:t>
      </w:r>
      <w:r w:rsidRPr="00BD44F0">
        <w:rPr>
          <w:rFonts w:ascii="Arial" w:hAnsi="Arial" w:cs="Arial"/>
          <w:b/>
          <w:sz w:val="21"/>
          <w:szCs w:val="21"/>
        </w:rPr>
        <w:t xml:space="preserve">: Tuberculosis case notification rates (all forms and sputum smear positive), </w:t>
      </w:r>
      <w:r w:rsidRPr="00BD44F0">
        <w:rPr>
          <w:rFonts w:ascii="Arial" w:hAnsi="Arial" w:cs="Arial"/>
          <w:b/>
          <w:sz w:val="21"/>
          <w:szCs w:val="21"/>
        </w:rPr>
        <w:br/>
        <w:t>Kiribati, 2000-2010</w:t>
      </w:r>
    </w:p>
    <w:p w:rsidR="008434CC" w:rsidRPr="0032252F" w:rsidRDefault="004C37E9" w:rsidP="006A1758">
      <w:pPr>
        <w:tabs>
          <w:tab w:val="left" w:pos="0"/>
        </w:tabs>
        <w:jc w:val="center"/>
        <w:rPr>
          <w:b/>
        </w:rPr>
      </w:pPr>
      <w:r>
        <w:rPr>
          <w:noProof/>
          <w:sz w:val="24"/>
          <w:szCs w:val="24"/>
          <w:lang w:val="en-AU" w:eastAsia="en-AU"/>
        </w:rPr>
        <w:pict>
          <v:shape id="Chart 5" o:spid="_x0000_i1032" type="#_x0000_t75" style="width:379.5pt;height:22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">
            <v:imagedata r:id="rId22" o:title="" croptop="-4468f" cropbottom="-4252f" cropleft="-1197f" cropright="-1787f"/>
            <o:lock v:ext="edit" aspectratio="f"/>
          </v:shape>
        </w:pict>
      </w:r>
    </w:p>
    <w:p w:rsidR="008434CC" w:rsidRPr="00C32CB8" w:rsidRDefault="008434CC" w:rsidP="006A1758">
      <w:pPr>
        <w:jc w:val="center"/>
        <w:rPr>
          <w:sz w:val="20"/>
        </w:rPr>
      </w:pPr>
      <w:r w:rsidRPr="000C50F7">
        <w:rPr>
          <w:sz w:val="20"/>
        </w:rPr>
        <w:t>Source: Kiribati NTP, 2011</w:t>
      </w:r>
    </w:p>
    <w:p w:rsidR="008434CC" w:rsidRPr="007B69E2" w:rsidRDefault="008434CC" w:rsidP="00A41245">
      <w:pPr>
        <w:rPr>
          <w:color w:val="000000"/>
        </w:rPr>
      </w:pPr>
      <w:r w:rsidRPr="007B69E2">
        <w:rPr>
          <w:color w:val="000000"/>
        </w:rPr>
        <w:t>The proportion of TB patients who died has increased slightly, from 3% in 2008 to 6% in 2010.</w:t>
      </w:r>
    </w:p>
    <w:p w:rsidR="008434CC" w:rsidRPr="00354D0A" w:rsidRDefault="008434CC" w:rsidP="005338A2">
      <w:pPr>
        <w:pStyle w:val="Heading2"/>
      </w:pPr>
      <w:bookmarkStart w:id="18" w:name="_Toc331686077"/>
      <w:r>
        <w:lastRenderedPageBreak/>
        <w:t>2</w:t>
      </w:r>
      <w:r w:rsidRPr="00354D0A">
        <w:t>.</w:t>
      </w:r>
      <w:r>
        <w:t>3</w:t>
      </w:r>
      <w:r w:rsidRPr="00354D0A">
        <w:t xml:space="preserve"> </w:t>
      </w:r>
      <w:r>
        <w:t>Social Determinants of Health, Hot Spot Communities and Risk</w:t>
      </w:r>
      <w:bookmarkEnd w:id="18"/>
      <w:r>
        <w:t xml:space="preserve"> </w:t>
      </w:r>
    </w:p>
    <w:p w:rsidR="008434CC" w:rsidRPr="00044B5B" w:rsidRDefault="008434CC" w:rsidP="00B52A80">
      <w:r w:rsidRPr="00044B5B">
        <w:t xml:space="preserve">Kiribati has a </w:t>
      </w:r>
      <w:r>
        <w:t xml:space="preserve">fragile economy, with a </w:t>
      </w:r>
      <w:r w:rsidRPr="00044B5B">
        <w:t xml:space="preserve">low </w:t>
      </w:r>
      <w:r w:rsidRPr="009B09A7">
        <w:rPr>
          <w:i/>
        </w:rPr>
        <w:t>per capita</w:t>
      </w:r>
      <w:r w:rsidRPr="00044B5B">
        <w:t xml:space="preserve"> gross domestic product and increasing poverty.  Development is constrained by rapid population growth, rapid urbanisation on Tarawa, youth unemployment, and high vulnerability to climate change and external financial influences.  </w:t>
      </w:r>
    </w:p>
    <w:p w:rsidR="008434CC" w:rsidRDefault="008434CC" w:rsidP="00B52A80">
      <w:r>
        <w:rPr>
          <w:rStyle w:val="Style11ptBlack"/>
          <w:rFonts w:ascii="Calibri" w:hAnsi="Calibri" w:cs="Calibri"/>
          <w:sz w:val="22"/>
        </w:rPr>
        <w:t xml:space="preserve">The urban areas of </w:t>
      </w:r>
      <w:r w:rsidRPr="00B66A73">
        <w:rPr>
          <w:rStyle w:val="Style11ptBlack"/>
          <w:rFonts w:ascii="Calibri" w:hAnsi="Calibri" w:cs="Calibri"/>
          <w:sz w:val="22"/>
        </w:rPr>
        <w:t>South Tarawa and Betio</w:t>
      </w:r>
      <w:r>
        <w:rPr>
          <w:rStyle w:val="Style11ptBlack"/>
          <w:rFonts w:ascii="Calibri" w:hAnsi="Calibri" w:cs="Calibri"/>
          <w:sz w:val="22"/>
        </w:rPr>
        <w:t xml:space="preserve"> </w:t>
      </w:r>
      <w:r>
        <w:t xml:space="preserve">are </w:t>
      </w:r>
      <w:r w:rsidRPr="002200A9">
        <w:t xml:space="preserve">the most </w:t>
      </w:r>
      <w:r>
        <w:t>crowd</w:t>
      </w:r>
      <w:r w:rsidRPr="002200A9">
        <w:t>ed island</w:t>
      </w:r>
      <w:r>
        <w:t>s</w:t>
      </w:r>
      <w:r w:rsidRPr="002200A9">
        <w:t xml:space="preserve"> in the country</w:t>
      </w:r>
      <w:r>
        <w:t>,</w:t>
      </w:r>
      <w:r w:rsidRPr="00B66A73">
        <w:rPr>
          <w:rStyle w:val="FootnoteReference"/>
          <w:rFonts w:cs="Calibri"/>
          <w:color w:val="000000"/>
        </w:rPr>
        <w:t xml:space="preserve"> </w:t>
      </w:r>
      <w:r>
        <w:t>with almost</w:t>
      </w:r>
      <w:r w:rsidRPr="002200A9">
        <w:t xml:space="preserve"> 50% of the total population</w:t>
      </w:r>
      <w:r>
        <w:t xml:space="preserve"> (of which more than half reside on Betio).</w:t>
      </w:r>
      <w:r w:rsidRPr="00B66A73">
        <w:rPr>
          <w:rStyle w:val="FootnoteReference"/>
          <w:rFonts w:cs="Calibri"/>
          <w:color w:val="000000"/>
        </w:rPr>
        <w:footnoteReference w:id="5"/>
      </w:r>
      <w:r>
        <w:t xml:space="preserve">  Here,</w:t>
      </w:r>
      <w:r w:rsidRPr="00B66A73">
        <w:rPr>
          <w:rStyle w:val="Style11ptBlack"/>
          <w:rFonts w:ascii="Calibri" w:hAnsi="Calibri" w:cs="Calibri"/>
          <w:sz w:val="22"/>
        </w:rPr>
        <w:t xml:space="preserve"> </w:t>
      </w:r>
      <w:r>
        <w:rPr>
          <w:rStyle w:val="Style11ptBlack"/>
          <w:rFonts w:ascii="Calibri" w:hAnsi="Calibri" w:cs="Calibri"/>
          <w:sz w:val="22"/>
        </w:rPr>
        <w:t xml:space="preserve">the </w:t>
      </w:r>
      <w:r w:rsidRPr="00B66A73">
        <w:rPr>
          <w:rStyle w:val="Style11ptBlack"/>
          <w:rFonts w:ascii="Calibri" w:hAnsi="Calibri" w:cs="Calibri"/>
          <w:sz w:val="22"/>
        </w:rPr>
        <w:t>social determinants of health (SDH)</w:t>
      </w:r>
      <w:r w:rsidRPr="00B66A73">
        <w:rPr>
          <w:rStyle w:val="Style11ptBlack"/>
          <w:rFonts w:ascii="Calibri" w:hAnsi="Calibri" w:cs="Calibri"/>
          <w:sz w:val="22"/>
          <w:vertAlign w:val="superscript"/>
        </w:rPr>
        <w:t xml:space="preserve"> </w:t>
      </w:r>
      <w:r w:rsidRPr="00B66A73">
        <w:rPr>
          <w:rStyle w:val="FootnoteReference"/>
          <w:rFonts w:cs="Calibri"/>
          <w:color w:val="000000"/>
        </w:rPr>
        <w:footnoteReference w:id="6"/>
      </w:r>
      <w:r w:rsidRPr="00B66A73">
        <w:rPr>
          <w:rStyle w:val="Style11ptBlack"/>
          <w:rFonts w:ascii="Calibri" w:hAnsi="Calibri" w:cs="Calibri"/>
          <w:sz w:val="22"/>
        </w:rPr>
        <w:t xml:space="preserve"> – poverty, population density, housing and ventilation, </w:t>
      </w:r>
      <w:r w:rsidRPr="00371D83">
        <w:rPr>
          <w:rStyle w:val="Style11ptBlack"/>
          <w:rFonts w:ascii="Calibri" w:hAnsi="Calibri" w:cs="Calibri"/>
          <w:sz w:val="22"/>
        </w:rPr>
        <w:t>water supply and sanitation</w:t>
      </w:r>
      <w:r>
        <w:rPr>
          <w:rStyle w:val="Style11ptBlack"/>
          <w:rFonts w:ascii="Calibri" w:hAnsi="Calibri" w:cs="Calibri"/>
          <w:sz w:val="22"/>
        </w:rPr>
        <w:t>,</w:t>
      </w:r>
      <w:r w:rsidRPr="00371D83">
        <w:rPr>
          <w:rStyle w:val="Style11ptBlack"/>
          <w:rFonts w:ascii="Calibri" w:hAnsi="Calibri" w:cs="Calibri"/>
          <w:sz w:val="22"/>
        </w:rPr>
        <w:t xml:space="preserve"> </w:t>
      </w:r>
      <w:r>
        <w:rPr>
          <w:rStyle w:val="Style11ptBlack"/>
          <w:rFonts w:ascii="Calibri" w:hAnsi="Calibri" w:cs="Calibri"/>
          <w:sz w:val="22"/>
        </w:rPr>
        <w:t xml:space="preserve">and </w:t>
      </w:r>
      <w:r w:rsidRPr="00B66A73">
        <w:rPr>
          <w:rStyle w:val="Style11ptBlack"/>
          <w:rFonts w:ascii="Calibri" w:hAnsi="Calibri" w:cs="Calibri"/>
          <w:sz w:val="22"/>
        </w:rPr>
        <w:t>standards of nutrition</w:t>
      </w:r>
      <w:r>
        <w:rPr>
          <w:rStyle w:val="Style11ptBlack"/>
          <w:rFonts w:ascii="Calibri" w:hAnsi="Calibri" w:cs="Calibri"/>
          <w:sz w:val="22"/>
        </w:rPr>
        <w:t>, education</w:t>
      </w:r>
      <w:r w:rsidRPr="00B66A73">
        <w:rPr>
          <w:rStyle w:val="Style11ptBlack"/>
          <w:rFonts w:ascii="Calibri" w:hAnsi="Calibri" w:cs="Calibri"/>
          <w:sz w:val="22"/>
        </w:rPr>
        <w:t xml:space="preserve"> and hygiene – are </w:t>
      </w:r>
      <w:r>
        <w:rPr>
          <w:rStyle w:val="Style11ptBlack"/>
          <w:rFonts w:ascii="Calibri" w:hAnsi="Calibri" w:cs="Calibri"/>
          <w:sz w:val="22"/>
        </w:rPr>
        <w:t xml:space="preserve">highly </w:t>
      </w:r>
      <w:r w:rsidRPr="00B66A73">
        <w:rPr>
          <w:rStyle w:val="Style11ptBlack"/>
          <w:rFonts w:ascii="Calibri" w:hAnsi="Calibri" w:cs="Calibri"/>
          <w:sz w:val="22"/>
        </w:rPr>
        <w:t>conducive to active transmission</w:t>
      </w:r>
      <w:r w:rsidRPr="00D532EC">
        <w:t xml:space="preserve"> </w:t>
      </w:r>
      <w:r>
        <w:t xml:space="preserve">of </w:t>
      </w:r>
      <w:r w:rsidRPr="002200A9">
        <w:t xml:space="preserve">TB </w:t>
      </w:r>
      <w:r>
        <w:t xml:space="preserve">and other </w:t>
      </w:r>
      <w:r w:rsidRPr="00B66A73">
        <w:rPr>
          <w:rStyle w:val="Style11ptBlack"/>
          <w:rFonts w:ascii="Calibri" w:hAnsi="Calibri" w:cs="Calibri"/>
          <w:sz w:val="22"/>
        </w:rPr>
        <w:t>disease</w:t>
      </w:r>
      <w:r>
        <w:rPr>
          <w:rStyle w:val="Style11ptBlack"/>
          <w:rFonts w:ascii="Calibri" w:hAnsi="Calibri" w:cs="Calibri"/>
          <w:sz w:val="22"/>
        </w:rPr>
        <w:t>s,</w:t>
      </w:r>
      <w:r w:rsidRPr="00B66A73">
        <w:rPr>
          <w:rStyle w:val="Style11ptBlack"/>
          <w:rFonts w:ascii="Calibri" w:hAnsi="Calibri" w:cs="Calibri"/>
          <w:sz w:val="22"/>
        </w:rPr>
        <w:t xml:space="preserve"> </w:t>
      </w:r>
      <w:r>
        <w:t>and contribute to t</w:t>
      </w:r>
      <w:r w:rsidRPr="002200A9">
        <w:t xml:space="preserve">he highest </w:t>
      </w:r>
      <w:r w:rsidRPr="000150F6">
        <w:t xml:space="preserve">notification </w:t>
      </w:r>
      <w:r w:rsidRPr="002200A9">
        <w:t xml:space="preserve">rates in </w:t>
      </w:r>
      <w:r>
        <w:rPr>
          <w:rStyle w:val="Style11ptBlack"/>
          <w:rFonts w:ascii="Calibri" w:hAnsi="Calibri" w:cs="Calibri"/>
          <w:sz w:val="22"/>
        </w:rPr>
        <w:t>Kiribati</w:t>
      </w:r>
      <w:r w:rsidRPr="00B66A73">
        <w:rPr>
          <w:rStyle w:val="Style11ptBlack"/>
          <w:rFonts w:ascii="Calibri" w:hAnsi="Calibri" w:cs="Calibri"/>
          <w:sz w:val="22"/>
        </w:rPr>
        <w:t>.</w:t>
      </w:r>
      <w:r w:rsidRPr="00B66A73">
        <w:rPr>
          <w:rStyle w:val="FootnoteReference"/>
          <w:rFonts w:cs="Calibri"/>
          <w:color w:val="000000"/>
        </w:rPr>
        <w:footnoteReference w:id="7"/>
      </w:r>
      <w:r w:rsidRPr="00B66A73">
        <w:rPr>
          <w:rStyle w:val="Style11ptBlack"/>
          <w:rFonts w:ascii="Calibri" w:hAnsi="Calibri" w:cs="Calibri"/>
          <w:sz w:val="22"/>
        </w:rPr>
        <w:t xml:space="preserve">  </w:t>
      </w:r>
    </w:p>
    <w:p w:rsidR="008434CC" w:rsidRPr="00354D0A" w:rsidRDefault="008434CC" w:rsidP="00054FB8">
      <w:pPr>
        <w:pStyle w:val="Heading3"/>
      </w:pPr>
      <w:bookmarkStart w:id="19" w:name="_Toc331686078"/>
      <w:r>
        <w:t>2</w:t>
      </w:r>
      <w:r w:rsidRPr="00354D0A">
        <w:t>.</w:t>
      </w:r>
      <w:r>
        <w:t>3.1</w:t>
      </w:r>
      <w:r w:rsidRPr="00354D0A">
        <w:t xml:space="preserve"> </w:t>
      </w:r>
      <w:r>
        <w:t>South Tarawa</w:t>
      </w:r>
      <w:bookmarkEnd w:id="19"/>
    </w:p>
    <w:p w:rsidR="008434CC" w:rsidRDefault="008434CC" w:rsidP="00B52A80">
      <w:r>
        <w:t xml:space="preserve">Of the </w:t>
      </w:r>
      <w:r w:rsidRPr="002200A9">
        <w:t xml:space="preserve">294 TB cases </w:t>
      </w:r>
      <w:r>
        <w:t xml:space="preserve">that were </w:t>
      </w:r>
      <w:r w:rsidRPr="002200A9">
        <w:t xml:space="preserve">notified </w:t>
      </w:r>
      <w:r>
        <w:t>to the NTP</w:t>
      </w:r>
      <w:r w:rsidRPr="00C85D25">
        <w:t xml:space="preserve"> </w:t>
      </w:r>
      <w:r>
        <w:t>i</w:t>
      </w:r>
      <w:r w:rsidRPr="002200A9">
        <w:t>n 2010</w:t>
      </w:r>
      <w:r>
        <w:t xml:space="preserve">, </w:t>
      </w:r>
      <w:r w:rsidRPr="002200A9">
        <w:t xml:space="preserve">227 (77%) resided on </w:t>
      </w:r>
      <w:r>
        <w:t>S</w:t>
      </w:r>
      <w:r w:rsidRPr="002200A9">
        <w:t xml:space="preserve">outh Tarawa </w:t>
      </w:r>
      <w:r w:rsidRPr="00D77C66">
        <w:rPr>
          <w:color w:val="000000"/>
        </w:rPr>
        <w:t>(Figure 7)</w:t>
      </w:r>
      <w:r w:rsidRPr="00D77C66">
        <w:rPr>
          <w:rStyle w:val="Style11ptBlack"/>
          <w:rFonts w:ascii="Calibri" w:hAnsi="Calibri" w:cs="Calibri"/>
          <w:sz w:val="22"/>
        </w:rPr>
        <w:t xml:space="preserve"> </w:t>
      </w:r>
      <w:r w:rsidRPr="002200A9">
        <w:t>and 67 (23%) in the outer islands.</w:t>
      </w:r>
    </w:p>
    <w:p w:rsidR="008434CC" w:rsidRDefault="008434CC" w:rsidP="00371D83">
      <w:pPr>
        <w:autoSpaceDE w:val="0"/>
        <w:autoSpaceDN w:val="0"/>
        <w:adjustRightInd w:val="0"/>
        <w:spacing w:line="264" w:lineRule="auto"/>
      </w:pPr>
    </w:p>
    <w:p w:rsidR="008434CC" w:rsidRPr="00F6348B" w:rsidRDefault="008434CC" w:rsidP="006A1758">
      <w:pPr>
        <w:jc w:val="center"/>
        <w:rPr>
          <w:b/>
        </w:rPr>
      </w:pPr>
      <w:r>
        <w:rPr>
          <w:b/>
        </w:rPr>
        <w:t>Figure 7</w:t>
      </w:r>
      <w:r w:rsidRPr="00F6348B">
        <w:rPr>
          <w:b/>
        </w:rPr>
        <w:t>: TB case notification rates in South Tarawa, Kiribati: 2000-2010</w:t>
      </w:r>
    </w:p>
    <w:p w:rsidR="008434CC" w:rsidRDefault="004C37E9" w:rsidP="006A1758">
      <w:pPr>
        <w:jc w:val="center"/>
      </w:pPr>
      <w:r>
        <w:rPr>
          <w:noProof/>
          <w:lang w:val="en-AU" w:eastAsia="en-AU"/>
        </w:rPr>
        <w:pict>
          <v:shape id="Chart 7" o:spid="_x0000_i1033" type="#_x0000_t75" style="width:413.25pt;height:24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v2Rxo3AAAAAUBAAAPAAAAZHJzL2Rvd25y&#10;ZXYueG1sTI/NTsMwEITvSLyDtUhcKmpTURSlcSqEgIoTpeQBnHjzU+J1FLtNeHsWLnAZaTSrmW+z&#10;7ex6ccYxdJ403C4VCKTK244aDcXH800CIkRD1vSeUMMXBtjmlxeZSa2f6B3Ph9gILqGQGg1tjEMq&#10;ZahadCYs/YDEWe1HZyLbsZF2NBOXu16ulLqXznTEC60Z8LHF6vNwchrcrn7dF+tZvizmqTzWu6e3&#10;RVNofX01P2xARJzj3zH84DM65MxU+hPZIHoN/Ej8Vc6S9YptqeEuUQpknsn/9Pk3AA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">
            <v:imagedata r:id="rId23" o:title="" croptop="-2109f" cropbottom="-2666f" cropleft="-1392f" cropright="-1658f"/>
            <o:lock v:ext="edit" aspectratio="f"/>
          </v:shape>
        </w:pict>
      </w:r>
    </w:p>
    <w:p w:rsidR="008434CC" w:rsidRPr="00C32CB8" w:rsidRDefault="008434CC" w:rsidP="00920E4E">
      <w:pPr>
        <w:jc w:val="center"/>
        <w:rPr>
          <w:sz w:val="20"/>
        </w:rPr>
      </w:pPr>
      <w:r w:rsidRPr="000C50F7">
        <w:rPr>
          <w:sz w:val="20"/>
        </w:rPr>
        <w:t>Source: Kiribati NTP</w:t>
      </w:r>
      <w:r>
        <w:rPr>
          <w:sz w:val="20"/>
        </w:rPr>
        <w:t xml:space="preserve"> </w:t>
      </w:r>
      <w:r w:rsidRPr="000C50F7">
        <w:rPr>
          <w:sz w:val="20"/>
        </w:rPr>
        <w:t>2011</w:t>
      </w:r>
    </w:p>
    <w:p w:rsidR="008434CC" w:rsidRDefault="008434CC" w:rsidP="006A1758">
      <w:pPr>
        <w:rPr>
          <w:b/>
        </w:rPr>
      </w:pPr>
    </w:p>
    <w:p w:rsidR="008434CC" w:rsidRDefault="008434CC" w:rsidP="00B52A80">
      <w:r w:rsidRPr="002200A9">
        <w:lastRenderedPageBreak/>
        <w:t xml:space="preserve">Of the TB cases reported </w:t>
      </w:r>
      <w:r>
        <w:t>from</w:t>
      </w:r>
      <w:r w:rsidRPr="002200A9">
        <w:t xml:space="preserve"> </w:t>
      </w:r>
      <w:r>
        <w:t>S</w:t>
      </w:r>
      <w:r w:rsidRPr="002200A9">
        <w:t xml:space="preserve">outh Tarawa, </w:t>
      </w:r>
      <w:r>
        <w:t xml:space="preserve">26% lived in </w:t>
      </w:r>
      <w:r w:rsidRPr="002200A9">
        <w:t xml:space="preserve">Betio, </w:t>
      </w:r>
      <w:r>
        <w:t xml:space="preserve">while 10% were from </w:t>
      </w:r>
      <w:r w:rsidRPr="002200A9">
        <w:t xml:space="preserve">Bikenibeu West and </w:t>
      </w:r>
      <w:r>
        <w:t xml:space="preserve">8% from </w:t>
      </w:r>
      <w:r w:rsidRPr="002200A9">
        <w:t>Bairiki</w:t>
      </w:r>
      <w:r>
        <w:t xml:space="preserve">.  The remaining South Tarawa </w:t>
      </w:r>
      <w:r w:rsidRPr="002200A9">
        <w:t>cases were distributed across the atoll</w:t>
      </w:r>
      <w:r>
        <w:t xml:space="preserve">, with the </w:t>
      </w:r>
      <w:r w:rsidRPr="002200A9">
        <w:t>villages</w:t>
      </w:r>
      <w:r>
        <w:t xml:space="preserve"> of Ambo, Antenon, Antebuka, Eita, </w:t>
      </w:r>
      <w:r w:rsidRPr="002200A9">
        <w:t xml:space="preserve">Banraeaba, </w:t>
      </w:r>
      <w:r>
        <w:t xml:space="preserve">Bonriki, </w:t>
      </w:r>
      <w:r w:rsidRPr="002200A9">
        <w:t>Buota and Temwaiku</w:t>
      </w:r>
      <w:r>
        <w:t xml:space="preserve"> reporting </w:t>
      </w:r>
      <w:r w:rsidRPr="002200A9">
        <w:t xml:space="preserve">higher </w:t>
      </w:r>
      <w:r>
        <w:t xml:space="preserve">than average </w:t>
      </w:r>
      <w:r w:rsidRPr="002200A9">
        <w:t>rate</w:t>
      </w:r>
      <w:r>
        <w:t>s</w:t>
      </w:r>
      <w:r w:rsidRPr="00DD1E92">
        <w:t>.</w:t>
      </w:r>
    </w:p>
    <w:p w:rsidR="008434CC" w:rsidRPr="002200A9" w:rsidRDefault="008434CC" w:rsidP="00B52A80">
      <w:r w:rsidRPr="002200A9">
        <w:t>Finding</w:t>
      </w:r>
      <w:r>
        <w:t xml:space="preserve"> </w:t>
      </w:r>
      <w:r w:rsidRPr="002200A9">
        <w:t xml:space="preserve">TB clusters in </w:t>
      </w:r>
      <w:r>
        <w:t xml:space="preserve">relatively </w:t>
      </w:r>
      <w:r w:rsidRPr="002200A9">
        <w:t>poor, crowded and isolated communities is not unusual</w:t>
      </w:r>
      <w:r>
        <w:t>,</w:t>
      </w:r>
      <w:r w:rsidRPr="002200A9">
        <w:t xml:space="preserve"> particularly in countries</w:t>
      </w:r>
      <w:r>
        <w:t xml:space="preserve"> like</w:t>
      </w:r>
      <w:r w:rsidRPr="002200A9">
        <w:t xml:space="preserve"> Kiribati</w:t>
      </w:r>
      <w:r>
        <w:t xml:space="preserve"> with a high background prevalence of TB</w:t>
      </w:r>
      <w:r w:rsidRPr="002200A9">
        <w:t xml:space="preserve">. </w:t>
      </w:r>
      <w:r>
        <w:t xml:space="preserve"> However, i</w:t>
      </w:r>
      <w:r w:rsidRPr="002200A9">
        <w:t>f allowed to persist</w:t>
      </w:r>
      <w:r>
        <w:t>, these clusters</w:t>
      </w:r>
      <w:r w:rsidRPr="002200A9">
        <w:t xml:space="preserve"> </w:t>
      </w:r>
      <w:r>
        <w:t>could potentially</w:t>
      </w:r>
      <w:r w:rsidRPr="002200A9">
        <w:t xml:space="preserve"> </w:t>
      </w:r>
      <w:r>
        <w:t xml:space="preserve">function as a </w:t>
      </w:r>
      <w:r w:rsidRPr="002200A9">
        <w:t xml:space="preserve">steady </w:t>
      </w:r>
      <w:r>
        <w:t xml:space="preserve">reservoir </w:t>
      </w:r>
      <w:r w:rsidRPr="002200A9">
        <w:t xml:space="preserve">of TB infection in the </w:t>
      </w:r>
      <w:r>
        <w:t xml:space="preserve">wider </w:t>
      </w:r>
      <w:r w:rsidRPr="002200A9">
        <w:t>community</w:t>
      </w:r>
      <w:r>
        <w:t>,</w:t>
      </w:r>
      <w:r w:rsidRPr="002200A9">
        <w:t xml:space="preserve"> with </w:t>
      </w:r>
      <w:r>
        <w:t xml:space="preserve">the added </w:t>
      </w:r>
      <w:r w:rsidRPr="002200A9">
        <w:t xml:space="preserve">potential to </w:t>
      </w:r>
      <w:r>
        <w:t>cause</w:t>
      </w:r>
      <w:r w:rsidRPr="002200A9">
        <w:t xml:space="preserve"> outbreaks.  It is therefore </w:t>
      </w:r>
      <w:r>
        <w:t xml:space="preserve">incumbent on </w:t>
      </w:r>
      <w:r w:rsidRPr="002200A9">
        <w:t xml:space="preserve">the NTP and </w:t>
      </w:r>
      <w:r>
        <w:t xml:space="preserve">the </w:t>
      </w:r>
      <w:r w:rsidRPr="002200A9">
        <w:t>MH</w:t>
      </w:r>
      <w:r>
        <w:t>MS</w:t>
      </w:r>
      <w:r w:rsidRPr="002200A9">
        <w:t xml:space="preserve"> to </w:t>
      </w:r>
      <w:r>
        <w:t>maintain a particular focus o</w:t>
      </w:r>
      <w:r w:rsidRPr="002200A9">
        <w:t>n these areas</w:t>
      </w:r>
      <w:r>
        <w:t>,</w:t>
      </w:r>
      <w:r w:rsidRPr="002200A9">
        <w:t xml:space="preserve"> </w:t>
      </w:r>
      <w:r>
        <w:t>increasing the case detection rate and maintaining a high treatment success rate</w:t>
      </w:r>
      <w:r w:rsidRPr="002200A9">
        <w:t xml:space="preserve"> in order to accelerate </w:t>
      </w:r>
      <w:r>
        <w:t>the</w:t>
      </w:r>
      <w:r w:rsidRPr="002200A9">
        <w:t xml:space="preserve"> </w:t>
      </w:r>
      <w:r>
        <w:t xml:space="preserve">overall </w:t>
      </w:r>
      <w:r w:rsidRPr="002200A9">
        <w:t xml:space="preserve">decline TB incidence. </w:t>
      </w:r>
      <w:r>
        <w:t xml:space="preserve"> </w:t>
      </w:r>
    </w:p>
    <w:p w:rsidR="008434CC" w:rsidRPr="00354D0A" w:rsidRDefault="008434CC" w:rsidP="00054FB8">
      <w:pPr>
        <w:pStyle w:val="Heading3"/>
      </w:pPr>
      <w:bookmarkStart w:id="20" w:name="_Toc331686079"/>
      <w:r>
        <w:t>2</w:t>
      </w:r>
      <w:r w:rsidRPr="00354D0A">
        <w:t>.</w:t>
      </w:r>
      <w:r>
        <w:t>3.2</w:t>
      </w:r>
      <w:r w:rsidRPr="00354D0A">
        <w:t xml:space="preserve"> </w:t>
      </w:r>
      <w:r>
        <w:t>Outer Islands</w:t>
      </w:r>
      <w:bookmarkEnd w:id="20"/>
    </w:p>
    <w:p w:rsidR="008434CC" w:rsidRDefault="008434CC" w:rsidP="00B66A73">
      <w:pPr>
        <w:autoSpaceDE w:val="0"/>
        <w:autoSpaceDN w:val="0"/>
        <w:adjustRightInd w:val="0"/>
        <w:spacing w:line="264" w:lineRule="auto"/>
      </w:pPr>
      <w:r w:rsidRPr="002200A9">
        <w:t xml:space="preserve">Figure </w:t>
      </w:r>
      <w:r>
        <w:t>8 shows t</w:t>
      </w:r>
      <w:r w:rsidRPr="002200A9">
        <w:t xml:space="preserve">he </w:t>
      </w:r>
      <w:r>
        <w:t xml:space="preserve">annual </w:t>
      </w:r>
      <w:r w:rsidRPr="002200A9">
        <w:t>case</w:t>
      </w:r>
      <w:r>
        <w:t xml:space="preserve"> notification rates</w:t>
      </w:r>
      <w:r w:rsidRPr="002200A9">
        <w:t xml:space="preserve"> reported from the outer islands</w:t>
      </w:r>
      <w:r>
        <w:t>.</w:t>
      </w:r>
      <w:r w:rsidRPr="002200A9">
        <w:t xml:space="preserve"> </w:t>
      </w:r>
    </w:p>
    <w:p w:rsidR="008434CC" w:rsidRDefault="008434CC" w:rsidP="00B52A80">
      <w:r>
        <w:t>T</w:t>
      </w:r>
      <w:r w:rsidRPr="00B66A73">
        <w:rPr>
          <w:rStyle w:val="Style11ptBlack"/>
          <w:rFonts w:ascii="Calibri" w:hAnsi="Calibri" w:cs="Calibri"/>
          <w:sz w:val="22"/>
        </w:rPr>
        <w:t>here is also an ongoing risk of introduction of infection through travel between Tarawa and the outer islands and reactivation of latent or previous infection as immunity declines in older age or for other reasons</w:t>
      </w:r>
      <w:r>
        <w:rPr>
          <w:rStyle w:val="Style11ptBlack"/>
          <w:rFonts w:ascii="Calibri" w:hAnsi="Calibri" w:cs="Calibri"/>
          <w:sz w:val="22"/>
        </w:rPr>
        <w:t xml:space="preserve">.  However, notification rates across all outer islands remain </w:t>
      </w:r>
      <w:r w:rsidRPr="002200A9">
        <w:t xml:space="preserve">significantly </w:t>
      </w:r>
      <w:r>
        <w:t xml:space="preserve">and consistently </w:t>
      </w:r>
      <w:r w:rsidRPr="002200A9">
        <w:t xml:space="preserve">lower </w:t>
      </w:r>
      <w:r>
        <w:t>than in South Tarawa</w:t>
      </w:r>
      <w:r w:rsidRPr="002200A9">
        <w:t>.</w:t>
      </w:r>
    </w:p>
    <w:p w:rsidR="008434CC" w:rsidRDefault="008434CC" w:rsidP="00B66A73">
      <w:pPr>
        <w:autoSpaceDE w:val="0"/>
        <w:autoSpaceDN w:val="0"/>
        <w:adjustRightInd w:val="0"/>
        <w:spacing w:line="264" w:lineRule="auto"/>
        <w:rPr>
          <w:rStyle w:val="Style11ptBlack"/>
          <w:rFonts w:ascii="Calibri" w:hAnsi="Calibri" w:cs="Calibri"/>
          <w:sz w:val="22"/>
        </w:rPr>
      </w:pPr>
    </w:p>
    <w:p w:rsidR="008434CC" w:rsidRPr="002169FD" w:rsidRDefault="008434CC" w:rsidP="002F4B15">
      <w:pPr>
        <w:jc w:val="center"/>
        <w:rPr>
          <w:b/>
        </w:rPr>
      </w:pPr>
      <w:r>
        <w:rPr>
          <w:b/>
        </w:rPr>
        <w:t>Figure 8</w:t>
      </w:r>
      <w:r w:rsidRPr="002169FD">
        <w:rPr>
          <w:b/>
        </w:rPr>
        <w:t>: TB case notification rates in the outer islands of Kiribati: 2000</w:t>
      </w:r>
      <w:r>
        <w:rPr>
          <w:b/>
        </w:rPr>
        <w:t>–</w:t>
      </w:r>
      <w:r w:rsidRPr="002169FD">
        <w:rPr>
          <w:b/>
        </w:rPr>
        <w:t>2010</w:t>
      </w:r>
    </w:p>
    <w:p w:rsidR="008434CC" w:rsidRDefault="004C37E9" w:rsidP="00A23144">
      <w:pPr>
        <w:jc w:val="center"/>
        <w:rPr>
          <w:sz w:val="18"/>
          <w:szCs w:val="18"/>
        </w:rPr>
      </w:pPr>
      <w:r>
        <w:rPr>
          <w:noProof/>
          <w:sz w:val="18"/>
          <w:szCs w:val="18"/>
          <w:lang w:val="en-AU" w:eastAsia="en-AU"/>
        </w:rPr>
        <w:pict>
          <v:shape id="Chart 9" o:spid="_x0000_i1034" type="#_x0000_t75" style="width:387pt;height:20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uIYxX2gAAAAUBAAAPAAAAZHJzL2Rvd25y&#10;ZXYueG1sTI9LS8RAEITvgv9haMGbOzG+lpjJIqIHERZ2fey1N9MmwZmekJls4r+39aKXhqKaqq/K&#10;1eydOtAQu8AGzhcZKOI62I4bA68vj2dLUDEhW3SBycAXRVhVx0clFjZMvKHDNjVKQjgWaKBNqS+0&#10;jnVLHuMi9MTifYTBYxI5NNoOOEm4dzrPsmvtsWNpaLGn+5bqz+3oDTz4afd2lV/s3DutR+J8/fTM&#10;ozGnJ/PdLahEc/p7hh98QYdKmPZhZBuVMyBD0u8Vb5ndiNwbuJRO0FWp/9NX3wA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">
            <v:imagedata r:id="rId24" o:title="" croptop="-2439f" cropbottom="-3168f" cropleft="-2310f" cropright="-1451f"/>
            <o:lock v:ext="edit" aspectratio="f"/>
          </v:shape>
        </w:pict>
      </w:r>
    </w:p>
    <w:p w:rsidR="008434CC" w:rsidRPr="00C32CB8" w:rsidRDefault="008434CC" w:rsidP="002F4B15">
      <w:pPr>
        <w:jc w:val="center"/>
        <w:rPr>
          <w:sz w:val="20"/>
        </w:rPr>
      </w:pPr>
      <w:r w:rsidRPr="000C50F7">
        <w:rPr>
          <w:sz w:val="20"/>
        </w:rPr>
        <w:t>Source: Kiribati NTP 2011</w:t>
      </w:r>
    </w:p>
    <w:p w:rsidR="008434CC" w:rsidRDefault="008434CC" w:rsidP="00A23144"/>
    <w:p w:rsidR="008434CC" w:rsidRDefault="008434CC" w:rsidP="00B52A80">
      <w:r>
        <w:t>Seven</w:t>
      </w:r>
      <w:r w:rsidRPr="002200A9">
        <w:t xml:space="preserve"> islands in the nearby Gilbert group are consistently reporting cases. </w:t>
      </w:r>
      <w:r>
        <w:t xml:space="preserve"> These are: </w:t>
      </w:r>
      <w:r w:rsidRPr="002200A9">
        <w:t>Abaiang</w:t>
      </w:r>
      <w:r>
        <w:t>, N</w:t>
      </w:r>
      <w:r w:rsidRPr="002200A9">
        <w:t>orth Tarawa, Maiana, Nonouti, Abemama</w:t>
      </w:r>
      <w:r>
        <w:t>, Makin</w:t>
      </w:r>
      <w:r w:rsidRPr="002200A9">
        <w:t xml:space="preserve"> and Tabiteuea </w:t>
      </w:r>
      <w:r>
        <w:t>N</w:t>
      </w:r>
      <w:r w:rsidRPr="002200A9">
        <w:t xml:space="preserve">orth. </w:t>
      </w:r>
      <w:r>
        <w:t xml:space="preserve"> Four</w:t>
      </w:r>
      <w:r w:rsidRPr="002200A9">
        <w:t xml:space="preserve"> of these </w:t>
      </w:r>
      <w:r>
        <w:t xml:space="preserve">islands </w:t>
      </w:r>
      <w:r w:rsidRPr="002200A9">
        <w:t>were included in the DOTS</w:t>
      </w:r>
      <w:r>
        <w:t xml:space="preserve"> </w:t>
      </w:r>
      <w:r w:rsidRPr="002200A9">
        <w:t xml:space="preserve">expansion efforts undertaken </w:t>
      </w:r>
      <w:r>
        <w:t xml:space="preserve">as part of </w:t>
      </w:r>
      <w:r w:rsidRPr="002200A9">
        <w:t>QTBEC</w:t>
      </w:r>
      <w:r>
        <w:t>P</w:t>
      </w:r>
      <w:r w:rsidRPr="002200A9">
        <w:t xml:space="preserve"> </w:t>
      </w:r>
      <w:r>
        <w:t>P</w:t>
      </w:r>
      <w:r w:rsidRPr="002200A9">
        <w:t xml:space="preserve">hase 2. </w:t>
      </w:r>
    </w:p>
    <w:p w:rsidR="008434CC" w:rsidRDefault="008434CC" w:rsidP="00B52A80">
      <w:r>
        <w:t xml:space="preserve">Rates of </w:t>
      </w:r>
      <w:r w:rsidRPr="002200A9">
        <w:t xml:space="preserve">TB in Kiritimati </w:t>
      </w:r>
      <w:r>
        <w:t>I</w:t>
      </w:r>
      <w:r w:rsidRPr="002200A9">
        <w:t xml:space="preserve">sland </w:t>
      </w:r>
      <w:r>
        <w:t>are</w:t>
      </w:r>
      <w:r w:rsidRPr="002200A9">
        <w:t xml:space="preserve"> lower</w:t>
      </w:r>
      <w:r>
        <w:t xml:space="preserve"> than reported elsewhere, </w:t>
      </w:r>
      <w:r w:rsidRPr="002200A9">
        <w:t xml:space="preserve">with an average of </w:t>
      </w:r>
      <w:r>
        <w:t>just ten</w:t>
      </w:r>
      <w:r w:rsidRPr="002200A9">
        <w:t xml:space="preserve"> cases per year.  However, it</w:t>
      </w:r>
      <w:r>
        <w:t xml:space="preserve"> i</w:t>
      </w:r>
      <w:r w:rsidRPr="002200A9">
        <w:t xml:space="preserve">s </w:t>
      </w:r>
      <w:r>
        <w:t xml:space="preserve">a primary focus of the GOK population </w:t>
      </w:r>
      <w:r w:rsidRPr="002200A9">
        <w:t>resettlement scheme</w:t>
      </w:r>
      <w:r>
        <w:t xml:space="preserve"> and</w:t>
      </w:r>
      <w:r w:rsidRPr="002200A9">
        <w:t xml:space="preserve"> the rate of TB </w:t>
      </w:r>
      <w:r>
        <w:t>may</w:t>
      </w:r>
      <w:r w:rsidRPr="002200A9">
        <w:t xml:space="preserve"> rise as population density increases</w:t>
      </w:r>
      <w:r>
        <w:t xml:space="preserve">, including as a result of overall population movement </w:t>
      </w:r>
      <w:r>
        <w:lastRenderedPageBreak/>
        <w:t>from South Tarawa and higher TB incidence areas in the Gilberts group.  E</w:t>
      </w:r>
      <w:r w:rsidRPr="002200A9">
        <w:t xml:space="preserve">stablishing </w:t>
      </w:r>
      <w:r w:rsidRPr="00DD1E92">
        <w:t>accessible and sustainable TB services in Kiritimat</w:t>
      </w:r>
      <w:r>
        <w:t>i will therefore be</w:t>
      </w:r>
      <w:r w:rsidRPr="00DD1E92">
        <w:t xml:space="preserve"> important.</w:t>
      </w:r>
    </w:p>
    <w:p w:rsidR="008434CC" w:rsidRPr="00354D0A" w:rsidRDefault="008434CC" w:rsidP="00054FB8">
      <w:pPr>
        <w:pStyle w:val="Heading3"/>
      </w:pPr>
      <w:bookmarkStart w:id="21" w:name="_Toc331686080"/>
      <w:r>
        <w:t>2</w:t>
      </w:r>
      <w:r w:rsidRPr="00354D0A">
        <w:t>.</w:t>
      </w:r>
      <w:r>
        <w:t>3.3</w:t>
      </w:r>
      <w:r w:rsidRPr="00354D0A">
        <w:t xml:space="preserve"> </w:t>
      </w:r>
      <w:r>
        <w:t>Co-Morbidities and Other Risk Factors</w:t>
      </w:r>
      <w:bookmarkEnd w:id="21"/>
    </w:p>
    <w:p w:rsidR="008434CC" w:rsidRPr="00B66A73" w:rsidRDefault="008434CC" w:rsidP="00B52A80">
      <w:r w:rsidRPr="00B66A73">
        <w:rPr>
          <w:rStyle w:val="Style11ptBlack"/>
          <w:rFonts w:ascii="Calibri" w:hAnsi="Calibri" w:cs="Calibri"/>
          <w:sz w:val="22"/>
        </w:rPr>
        <w:t xml:space="preserve">Diabetes and HIV infection are co-morbidities that depress immune function and increase the risk of acquiring TB infection; they also influence TB treatment response and outcome.  The 2004-05 Kiribati STEPs survey showed that approximately 20% of the adult population had diabetes, </w:t>
      </w:r>
      <w:r>
        <w:rPr>
          <w:rStyle w:val="Style11ptBlack"/>
          <w:rFonts w:ascii="Calibri" w:hAnsi="Calibri" w:cs="Calibri"/>
          <w:sz w:val="22"/>
        </w:rPr>
        <w:t>and that</w:t>
      </w:r>
      <w:r w:rsidRPr="00B66A73">
        <w:rPr>
          <w:rStyle w:val="Style11ptBlack"/>
          <w:rFonts w:ascii="Calibri" w:hAnsi="Calibri" w:cs="Calibri"/>
          <w:sz w:val="22"/>
        </w:rPr>
        <w:t xml:space="preserve"> prevalence increas</w:t>
      </w:r>
      <w:r>
        <w:rPr>
          <w:rStyle w:val="Style11ptBlack"/>
          <w:rFonts w:ascii="Calibri" w:hAnsi="Calibri" w:cs="Calibri"/>
          <w:sz w:val="22"/>
        </w:rPr>
        <w:t>es</w:t>
      </w:r>
      <w:r w:rsidRPr="00B66A73">
        <w:rPr>
          <w:rStyle w:val="Style11ptBlack"/>
          <w:rFonts w:ascii="Calibri" w:hAnsi="Calibri" w:cs="Calibri"/>
          <w:sz w:val="22"/>
        </w:rPr>
        <w:t xml:space="preserve"> with age.</w:t>
      </w:r>
      <w:r w:rsidRPr="00B66A73">
        <w:t xml:space="preserve">  </w:t>
      </w:r>
      <w:r w:rsidRPr="00B66A73">
        <w:rPr>
          <w:rStyle w:val="Style11ptBlack"/>
          <w:rFonts w:ascii="Calibri" w:hAnsi="Calibri" w:cs="Calibri"/>
          <w:sz w:val="22"/>
        </w:rPr>
        <w:t>Around 70% of males and just under 50% of females aged 30-54 years are regular smokers.</w:t>
      </w:r>
      <w:r w:rsidRPr="00D91E4A">
        <w:rPr>
          <w:rStyle w:val="FootnoteReference"/>
          <w:rFonts w:cs="Calibri"/>
          <w:color w:val="000000"/>
        </w:rPr>
        <w:t xml:space="preserve"> </w:t>
      </w:r>
      <w:r w:rsidRPr="00B66A73">
        <w:rPr>
          <w:rStyle w:val="FootnoteReference"/>
          <w:rFonts w:cs="Calibri"/>
          <w:color w:val="000000"/>
        </w:rPr>
        <w:footnoteReference w:id="8"/>
      </w:r>
      <w:r w:rsidRPr="00B66A73">
        <w:rPr>
          <w:vertAlign w:val="superscript"/>
        </w:rPr>
        <w:t>,</w:t>
      </w:r>
      <w:r w:rsidRPr="00B66A73">
        <w:rPr>
          <w:rStyle w:val="FootnoteReference"/>
          <w:rFonts w:cs="Calibri"/>
        </w:rPr>
        <w:footnoteReference w:id="9"/>
      </w:r>
      <w:r w:rsidRPr="00B66A73">
        <w:rPr>
          <w:vertAlign w:val="superscript"/>
        </w:rPr>
        <w:t>,</w:t>
      </w:r>
      <w:r w:rsidRPr="00B66A73">
        <w:rPr>
          <w:rStyle w:val="FootnoteReference"/>
          <w:rFonts w:cs="Calibri"/>
          <w:color w:val="000000"/>
        </w:rPr>
        <w:footnoteReference w:id="10"/>
      </w:r>
    </w:p>
    <w:p w:rsidR="008434CC" w:rsidRDefault="008434CC" w:rsidP="00B52A80">
      <w:pPr>
        <w:rPr>
          <w:rStyle w:val="Style11ptBlack"/>
          <w:rFonts w:ascii="Calibri" w:hAnsi="Calibri" w:cs="Calibri"/>
          <w:sz w:val="22"/>
        </w:rPr>
      </w:pPr>
      <w:r w:rsidRPr="00B66A73">
        <w:t>A cumulative total of 55 HIV infections have been reported since 1991, of whom 25 are known to have died; antiretroviral therapy (ART) has been available since 2006.</w:t>
      </w:r>
      <w:r w:rsidRPr="00B66A73">
        <w:rPr>
          <w:rStyle w:val="Style11ptBlack"/>
          <w:rFonts w:ascii="Calibri" w:hAnsi="Calibri" w:cs="Calibri"/>
          <w:sz w:val="22"/>
        </w:rPr>
        <w:t xml:space="preserve">  </w:t>
      </w:r>
    </w:p>
    <w:p w:rsidR="008434CC" w:rsidRPr="002A0FF3" w:rsidRDefault="008434CC" w:rsidP="00B52A80">
      <w:pPr>
        <w:rPr>
          <w:color w:val="000000"/>
        </w:rPr>
      </w:pPr>
      <w:r w:rsidRPr="002A0FF3">
        <w:rPr>
          <w:color w:val="000000"/>
        </w:rPr>
        <w:t xml:space="preserve">Forty per cent of total reported TB cases in 2010 were among younger people aged 0–24 years.  This suggests ongoing transmission of the disease in the community (rather than any specific vulnerability associated with age). </w:t>
      </w:r>
    </w:p>
    <w:p w:rsidR="008434CC" w:rsidRPr="00B66A73" w:rsidRDefault="008434CC" w:rsidP="00B66A73">
      <w:pPr>
        <w:autoSpaceDE w:val="0"/>
        <w:autoSpaceDN w:val="0"/>
        <w:adjustRightInd w:val="0"/>
        <w:spacing w:line="264" w:lineRule="auto"/>
        <w:rPr>
          <w:rStyle w:val="Style11ptBlack"/>
          <w:rFonts w:ascii="Calibri" w:hAnsi="Calibri" w:cs="Calibri"/>
          <w:sz w:val="22"/>
        </w:rPr>
      </w:pPr>
    </w:p>
    <w:p w:rsidR="008434CC" w:rsidRDefault="008434CC">
      <w:pPr>
        <w:spacing w:before="0" w:after="200"/>
        <w:rPr>
          <w:rFonts w:ascii="Cambria" w:hAnsi="Cambria"/>
          <w:b/>
          <w:bCs/>
          <w:color w:val="365F91"/>
          <w:sz w:val="32"/>
          <w:szCs w:val="28"/>
        </w:rPr>
      </w:pPr>
      <w:r>
        <w:br w:type="page"/>
      </w:r>
    </w:p>
    <w:p w:rsidR="008434CC" w:rsidRPr="004B08BC" w:rsidRDefault="008434CC" w:rsidP="004A1669">
      <w:pPr>
        <w:pStyle w:val="Heading1"/>
      </w:pPr>
      <w:bookmarkStart w:id="22" w:name="_Toc331686081"/>
      <w:r>
        <w:t>3</w:t>
      </w:r>
      <w:r w:rsidRPr="004B08BC">
        <w:t xml:space="preserve">. Development </w:t>
      </w:r>
      <w:r>
        <w:t>C</w:t>
      </w:r>
      <w:r w:rsidRPr="004B08BC">
        <w:t>ontext</w:t>
      </w:r>
      <w:r>
        <w:t>, Policies and Alignment</w:t>
      </w:r>
      <w:bookmarkEnd w:id="22"/>
    </w:p>
    <w:p w:rsidR="008434CC" w:rsidRDefault="008434CC" w:rsidP="00EC1B01">
      <w:pPr>
        <w:pStyle w:val="Heading2"/>
      </w:pPr>
      <w:bookmarkStart w:id="23" w:name="_Toc331686082"/>
      <w:r>
        <w:t>3</w:t>
      </w:r>
      <w:r w:rsidRPr="006F5675">
        <w:t xml:space="preserve">.1 </w:t>
      </w:r>
      <w:r w:rsidRPr="00EC1B01">
        <w:t>Kiribati Development Plan and National Health Strategy</w:t>
      </w:r>
      <w:bookmarkEnd w:id="23"/>
    </w:p>
    <w:p w:rsidR="008434CC" w:rsidRDefault="008434CC" w:rsidP="00B52A80">
      <w:r w:rsidRPr="00044B5B">
        <w:t xml:space="preserve">The Kiribati Development Plan (KDP) 2008–2011 was strongly aligned with the </w:t>
      </w:r>
      <w:r>
        <w:t>Millennium Development Goals (</w:t>
      </w:r>
      <w:r w:rsidRPr="00044B5B">
        <w:t>MDGs</w:t>
      </w:r>
      <w:r>
        <w:t>)</w:t>
      </w:r>
      <w:r w:rsidRPr="00044B5B">
        <w:t xml:space="preserve">, and includes health as one of its 6 priority areas.  </w:t>
      </w:r>
    </w:p>
    <w:p w:rsidR="008434CC" w:rsidRDefault="008434CC" w:rsidP="00B52A80">
      <w:r w:rsidRPr="00B52A80">
        <w:t xml:space="preserve">The current National Health Strategic Plan is also structured around the intended KDP health </w:t>
      </w:r>
      <w:r w:rsidRPr="00044B5B">
        <w:t xml:space="preserve">outcomes </w:t>
      </w:r>
      <w:r>
        <w:t>and the MDGs</w:t>
      </w:r>
      <w:r w:rsidRPr="00044B5B">
        <w:t xml:space="preserve">.  </w:t>
      </w:r>
      <w:r>
        <w:t xml:space="preserve">One of the </w:t>
      </w:r>
      <w:r w:rsidRPr="002200A9">
        <w:t>NHSP</w:t>
      </w:r>
      <w:r>
        <w:t xml:space="preserve"> </w:t>
      </w:r>
      <w:r w:rsidRPr="002200A9">
        <w:t>sub</w:t>
      </w:r>
      <w:r>
        <w:t>-</w:t>
      </w:r>
      <w:r w:rsidRPr="002200A9">
        <w:t>objectives</w:t>
      </w:r>
      <w:r>
        <w:t xml:space="preserve"> has been to “</w:t>
      </w:r>
      <w:r w:rsidRPr="002200A9">
        <w:t>reduce the rate of active TB</w:t>
      </w:r>
      <w:r>
        <w:t>”</w:t>
      </w:r>
      <w:r w:rsidRPr="002200A9">
        <w:t xml:space="preserve"> and </w:t>
      </w:r>
      <w:r>
        <w:t xml:space="preserve">the MHMS has </w:t>
      </w:r>
      <w:r w:rsidRPr="002200A9">
        <w:t xml:space="preserve">supported the full time placement of two senior nurses </w:t>
      </w:r>
      <w:r>
        <w:t>with</w:t>
      </w:r>
      <w:r w:rsidRPr="002200A9">
        <w:t xml:space="preserve">in the </w:t>
      </w:r>
      <w:r>
        <w:t>NTP.</w:t>
      </w:r>
    </w:p>
    <w:p w:rsidR="008434CC" w:rsidRPr="00044B5B" w:rsidRDefault="008434CC" w:rsidP="00B52A80">
      <w:r>
        <w:t>P</w:t>
      </w:r>
      <w:r w:rsidRPr="00044B5B">
        <w:t xml:space="preserve">rogress towards the health MDGs </w:t>
      </w:r>
      <w:r>
        <w:t xml:space="preserve">in Kiribati </w:t>
      </w:r>
      <w:r w:rsidRPr="00044B5B">
        <w:t>is hampered by systemic factors including a shortage of skilled health care workers, the age and condition of health infrastructure and teaching facilities, and difficulty meeting the recurrent costs of service delivery</w:t>
      </w:r>
      <w:r>
        <w:t>.  I</w:t>
      </w:r>
      <w:r w:rsidRPr="00044B5B">
        <w:t xml:space="preserve">n practice, most of the funded elements of the </w:t>
      </w:r>
      <w:r>
        <w:t xml:space="preserve">current </w:t>
      </w:r>
      <w:r w:rsidRPr="00044B5B">
        <w:t xml:space="preserve">NHSP reflect the work plans </w:t>
      </w:r>
      <w:r>
        <w:t xml:space="preserve">and budgets </w:t>
      </w:r>
      <w:r w:rsidRPr="00044B5B">
        <w:t>of development partners</w:t>
      </w:r>
      <w:r>
        <w:t>.</w:t>
      </w:r>
    </w:p>
    <w:p w:rsidR="008434CC" w:rsidRPr="00044B5B" w:rsidRDefault="008434CC" w:rsidP="00B52A80">
      <w:r w:rsidRPr="00044B5B">
        <w:t>A new</w:t>
      </w:r>
      <w:r>
        <w:t>, fully costed</w:t>
      </w:r>
      <w:r w:rsidRPr="00044B5B">
        <w:t xml:space="preserve"> NHSP </w:t>
      </w:r>
      <w:r>
        <w:t xml:space="preserve">for </w:t>
      </w:r>
      <w:r w:rsidRPr="00044B5B">
        <w:t>20</w:t>
      </w:r>
      <w:r>
        <w:t>12</w:t>
      </w:r>
      <w:r w:rsidRPr="00044B5B">
        <w:t>-1</w:t>
      </w:r>
      <w:r>
        <w:t>5</w:t>
      </w:r>
      <w:r w:rsidRPr="00044B5B">
        <w:t xml:space="preserve"> is </w:t>
      </w:r>
      <w:r>
        <w:t xml:space="preserve">nearing finalisation </w:t>
      </w:r>
      <w:r w:rsidRPr="00044B5B">
        <w:t xml:space="preserve">and </w:t>
      </w:r>
      <w:r>
        <w:t xml:space="preserve">is </w:t>
      </w:r>
      <w:r w:rsidRPr="00044B5B">
        <w:t>due to be released later this year.  Tuberculosis control aligns with Objective 3 of the new NHSP, which addresses communicable disease control.</w:t>
      </w:r>
    </w:p>
    <w:p w:rsidR="008434CC" w:rsidRDefault="008434CC" w:rsidP="00EC1B01">
      <w:pPr>
        <w:pStyle w:val="Heading2"/>
      </w:pPr>
      <w:bookmarkStart w:id="24" w:name="_Toc331686083"/>
      <w:r>
        <w:t>3</w:t>
      </w:r>
      <w:r w:rsidRPr="006F5675">
        <w:t>.</w:t>
      </w:r>
      <w:r>
        <w:t>2</w:t>
      </w:r>
      <w:r w:rsidRPr="006F5675">
        <w:t xml:space="preserve"> </w:t>
      </w:r>
      <w:r>
        <w:t>AusAID Priorities and Policies</w:t>
      </w:r>
      <w:bookmarkEnd w:id="24"/>
    </w:p>
    <w:p w:rsidR="008434CC" w:rsidRPr="00EC062F" w:rsidRDefault="008434CC" w:rsidP="00054FB8">
      <w:pPr>
        <w:pStyle w:val="Heading3"/>
      </w:pPr>
      <w:bookmarkStart w:id="25" w:name="_Toc331686084"/>
      <w:r w:rsidRPr="00EC062F">
        <w:t>3.2</w:t>
      </w:r>
      <w:r>
        <w:t>.1</w:t>
      </w:r>
      <w:r w:rsidRPr="00EC062F">
        <w:t xml:space="preserve"> </w:t>
      </w:r>
      <w:r>
        <w:t>Partnership for Development</w:t>
      </w:r>
      <w:bookmarkEnd w:id="25"/>
    </w:p>
    <w:p w:rsidR="008434CC" w:rsidRDefault="008434CC" w:rsidP="00CA49C7">
      <w:r w:rsidRPr="00044B5B">
        <w:t>AusAID’s country strategy and programs are defined by Australia–Kiribati Partnership for Development</w:t>
      </w:r>
      <w:r>
        <w:t xml:space="preserve"> (PPD).</w:t>
      </w:r>
      <w:r w:rsidRPr="00EB3912">
        <w:rPr>
          <w:rStyle w:val="FootnoteReference"/>
        </w:rPr>
        <w:footnoteReference w:id="11"/>
      </w:r>
      <w:r>
        <w:t xml:space="preserve">  H</w:t>
      </w:r>
      <w:r w:rsidRPr="00044B5B">
        <w:t>ealth is not currently a PPD priority outcome area, but remain</w:t>
      </w:r>
      <w:r>
        <w:t>s</w:t>
      </w:r>
      <w:r w:rsidRPr="00044B5B">
        <w:t xml:space="preserve"> a</w:t>
      </w:r>
      <w:r>
        <w:t xml:space="preserve"> standi</w:t>
      </w:r>
      <w:r w:rsidRPr="00044B5B">
        <w:t>n</w:t>
      </w:r>
      <w:r>
        <w:t>g</w:t>
      </w:r>
      <w:r w:rsidRPr="00044B5B">
        <w:t xml:space="preserve"> agenda item </w:t>
      </w:r>
      <w:r>
        <w:t>for monitoring dur</w:t>
      </w:r>
      <w:r w:rsidRPr="00044B5B">
        <w:t>in</w:t>
      </w:r>
      <w:r>
        <w:t>g</w:t>
      </w:r>
      <w:r w:rsidRPr="00044B5B">
        <w:t xml:space="preserve"> annual Partnership Talks.</w:t>
      </w:r>
      <w:r w:rsidRPr="00372AE7">
        <w:rPr>
          <w:rStyle w:val="FootnoteReference"/>
          <w:rFonts w:cs="Calibri"/>
          <w:color w:val="000000"/>
        </w:rPr>
        <w:footnoteReference w:id="12"/>
      </w:r>
    </w:p>
    <w:p w:rsidR="008434CC" w:rsidRPr="00372AE7" w:rsidRDefault="008434CC" w:rsidP="00CA49C7">
      <w:pPr>
        <w:rPr>
          <w:color w:val="000000"/>
          <w:sz w:val="24"/>
          <w:szCs w:val="24"/>
        </w:rPr>
      </w:pPr>
      <w:r>
        <w:rPr>
          <w:rStyle w:val="Style11ptBlack"/>
          <w:rFonts w:ascii="Calibri" w:hAnsi="Calibri" w:cs="Calibri"/>
          <w:sz w:val="22"/>
        </w:rPr>
        <w:t xml:space="preserve">Although funded through AusAID’s bilateral budget, </w:t>
      </w:r>
      <w:r w:rsidRPr="00372AE7">
        <w:rPr>
          <w:rStyle w:val="Style11ptBlack"/>
          <w:rFonts w:ascii="Calibri" w:hAnsi="Calibri" w:cs="Calibri"/>
          <w:sz w:val="22"/>
        </w:rPr>
        <w:t>Q</w:t>
      </w:r>
      <w:r>
        <w:rPr>
          <w:rStyle w:val="Style11ptBlack"/>
          <w:rFonts w:ascii="Calibri" w:hAnsi="Calibri" w:cs="Calibri"/>
          <w:sz w:val="22"/>
        </w:rPr>
        <w:t>TBECP ha</w:t>
      </w:r>
      <w:r w:rsidRPr="00372AE7">
        <w:rPr>
          <w:rStyle w:val="Style11ptBlack"/>
          <w:rFonts w:ascii="Calibri" w:hAnsi="Calibri" w:cs="Calibri"/>
          <w:sz w:val="22"/>
        </w:rPr>
        <w:t xml:space="preserve">s generally </w:t>
      </w:r>
      <w:r>
        <w:rPr>
          <w:rStyle w:val="Style11ptBlack"/>
          <w:rFonts w:ascii="Calibri" w:hAnsi="Calibri" w:cs="Calibri"/>
          <w:sz w:val="22"/>
        </w:rPr>
        <w:t xml:space="preserve">been considered </w:t>
      </w:r>
      <w:r w:rsidRPr="00372AE7">
        <w:rPr>
          <w:rStyle w:val="Style11ptBlack"/>
          <w:rFonts w:ascii="Calibri" w:hAnsi="Calibri" w:cs="Calibri"/>
          <w:sz w:val="22"/>
        </w:rPr>
        <w:t>a “regional” initiative (as it has been implemented by a regional development partner, SPC, in conjunction with that organisation’s role as principal recipient for the multi-country Global Fund TB project</w:t>
      </w:r>
      <w:r>
        <w:rPr>
          <w:rStyle w:val="Style11ptBlack"/>
          <w:rFonts w:ascii="Calibri" w:hAnsi="Calibri" w:cs="Calibri"/>
          <w:sz w:val="22"/>
        </w:rPr>
        <w:t>s</w:t>
      </w:r>
      <w:r w:rsidRPr="00CA49C7">
        <w:rPr>
          <w:rStyle w:val="Style11ptBlack"/>
          <w:rFonts w:ascii="Calibri" w:hAnsi="Calibri" w:cs="Calibri"/>
          <w:sz w:val="22"/>
        </w:rPr>
        <w:t xml:space="preserve"> </w:t>
      </w:r>
      <w:r>
        <w:rPr>
          <w:rStyle w:val="Style11ptBlack"/>
          <w:rFonts w:ascii="Calibri" w:hAnsi="Calibri" w:cs="Calibri"/>
          <w:sz w:val="22"/>
        </w:rPr>
        <w:t xml:space="preserve">in the </w:t>
      </w:r>
      <w:r w:rsidRPr="00372AE7">
        <w:rPr>
          <w:rStyle w:val="Style11ptBlack"/>
          <w:rFonts w:ascii="Calibri" w:hAnsi="Calibri" w:cs="Calibri"/>
          <w:sz w:val="22"/>
        </w:rPr>
        <w:t xml:space="preserve">Pacific).  </w:t>
      </w:r>
      <w:r>
        <w:rPr>
          <w:rStyle w:val="Style11ptBlack"/>
          <w:rFonts w:ascii="Calibri" w:hAnsi="Calibri" w:cs="Calibri"/>
          <w:sz w:val="22"/>
        </w:rPr>
        <w:t>In practice</w:t>
      </w:r>
      <w:r w:rsidRPr="00372AE7">
        <w:rPr>
          <w:rStyle w:val="Style11ptBlack"/>
          <w:rFonts w:ascii="Calibri" w:hAnsi="Calibri" w:cs="Calibri"/>
          <w:sz w:val="22"/>
        </w:rPr>
        <w:t xml:space="preserve">, </w:t>
      </w:r>
      <w:r>
        <w:rPr>
          <w:rStyle w:val="Style11ptBlack"/>
          <w:rFonts w:ascii="Calibri" w:hAnsi="Calibri" w:cs="Calibri"/>
          <w:sz w:val="22"/>
        </w:rPr>
        <w:t xml:space="preserve">however, </w:t>
      </w:r>
      <w:r w:rsidRPr="00372AE7">
        <w:rPr>
          <w:rStyle w:val="Style11ptBlack"/>
          <w:rFonts w:ascii="Calibri" w:hAnsi="Calibri" w:cs="Calibri"/>
          <w:sz w:val="22"/>
        </w:rPr>
        <w:t xml:space="preserve">the Project has been viewed as part of AusAID’s </w:t>
      </w:r>
      <w:r>
        <w:rPr>
          <w:rStyle w:val="Style11ptBlack"/>
          <w:rFonts w:ascii="Calibri" w:hAnsi="Calibri" w:cs="Calibri"/>
          <w:sz w:val="22"/>
        </w:rPr>
        <w:t xml:space="preserve">portfolio of </w:t>
      </w:r>
      <w:r w:rsidRPr="00372AE7">
        <w:rPr>
          <w:rStyle w:val="Style11ptBlack"/>
          <w:rFonts w:ascii="Calibri" w:hAnsi="Calibri" w:cs="Calibri"/>
          <w:sz w:val="22"/>
        </w:rPr>
        <w:t xml:space="preserve">second-tier </w:t>
      </w:r>
      <w:r>
        <w:rPr>
          <w:rStyle w:val="Style11ptBlack"/>
          <w:rFonts w:ascii="Calibri" w:hAnsi="Calibri" w:cs="Calibri"/>
          <w:sz w:val="22"/>
        </w:rPr>
        <w:t>PPD</w:t>
      </w:r>
      <w:r w:rsidRPr="00372AE7">
        <w:rPr>
          <w:rStyle w:val="Style11ptBlack"/>
          <w:rFonts w:ascii="Calibri" w:hAnsi="Calibri" w:cs="Calibri"/>
          <w:sz w:val="22"/>
        </w:rPr>
        <w:t xml:space="preserve"> support for the health sector in Kiribati</w:t>
      </w:r>
      <w:r>
        <w:rPr>
          <w:rStyle w:val="Style11ptBlack"/>
          <w:rFonts w:ascii="Calibri" w:hAnsi="Calibri" w:cs="Calibri"/>
          <w:sz w:val="22"/>
        </w:rPr>
        <w:t>,</w:t>
      </w:r>
      <w:r w:rsidRPr="00372AE7">
        <w:rPr>
          <w:rStyle w:val="Style11ptBlack"/>
          <w:rFonts w:ascii="Calibri" w:hAnsi="Calibri" w:cs="Calibri"/>
          <w:sz w:val="22"/>
        </w:rPr>
        <w:t xml:space="preserve"> and has been monitored and managed by the AusAID country office in Tarawa.</w:t>
      </w:r>
    </w:p>
    <w:p w:rsidR="008434CC" w:rsidRPr="00EC062F" w:rsidRDefault="008434CC" w:rsidP="00054FB8">
      <w:pPr>
        <w:pStyle w:val="Heading3"/>
      </w:pPr>
      <w:bookmarkStart w:id="26" w:name="_Toc331686085"/>
      <w:r w:rsidRPr="00EC062F">
        <w:lastRenderedPageBreak/>
        <w:t>3.2</w:t>
      </w:r>
      <w:r>
        <w:t>.2</w:t>
      </w:r>
      <w:r w:rsidRPr="00EC062F">
        <w:t xml:space="preserve"> </w:t>
      </w:r>
      <w:r>
        <w:t>Central AusAID Policies</w:t>
      </w:r>
      <w:bookmarkEnd w:id="26"/>
    </w:p>
    <w:p w:rsidR="008434CC" w:rsidRDefault="008434CC" w:rsidP="00CA49C7">
      <w:r>
        <w:t xml:space="preserve">AusAID’s over-arching agency strategy, </w:t>
      </w:r>
      <w:r w:rsidRPr="003F5506">
        <w:rPr>
          <w:i/>
        </w:rPr>
        <w:t>An Effective Aid Program for Australia</w:t>
      </w:r>
      <w:r>
        <w:t>,</w:t>
      </w:r>
      <w:r>
        <w:rPr>
          <w:rStyle w:val="FootnoteReference"/>
        </w:rPr>
        <w:footnoteReference w:id="13"/>
      </w:r>
      <w:r>
        <w:t xml:space="preserve"> and its core agency health policy, </w:t>
      </w:r>
      <w:r w:rsidRPr="003F5506">
        <w:rPr>
          <w:i/>
        </w:rPr>
        <w:t>Saving Lives</w:t>
      </w:r>
      <w:r>
        <w:t>,</w:t>
      </w:r>
      <w:r>
        <w:rPr>
          <w:rStyle w:val="FootnoteReference"/>
        </w:rPr>
        <w:footnoteReference w:id="14"/>
      </w:r>
      <w:r>
        <w:t xml:space="preserve"> both acknowledge the threat posed by TB and MDR-TB in the Asia-Pacific region and beyond.</w:t>
      </w:r>
    </w:p>
    <w:p w:rsidR="008434CC" w:rsidRDefault="008434CC" w:rsidP="003F5506">
      <w:r>
        <w:t xml:space="preserve">Both documents commit the Australian aid program to </w:t>
      </w:r>
      <w:r w:rsidRPr="00EC062F">
        <w:t>work</w:t>
      </w:r>
      <w:r>
        <w:t>ing</w:t>
      </w:r>
      <w:r w:rsidRPr="00EC062F">
        <w:t xml:space="preserve"> to halt and reverse infectious disease transmission</w:t>
      </w:r>
      <w:r>
        <w:t xml:space="preserve"> –</w:t>
      </w:r>
      <w:r w:rsidRPr="00EC062F">
        <w:t xml:space="preserve"> including tuberculosis</w:t>
      </w:r>
      <w:r>
        <w:t xml:space="preserve"> –</w:t>
      </w:r>
      <w:r w:rsidRPr="00EC062F">
        <w:t xml:space="preserve"> </w:t>
      </w:r>
      <w:r>
        <w:t xml:space="preserve">in line with the MDGs, </w:t>
      </w:r>
      <w:r w:rsidRPr="00EC062F">
        <w:t xml:space="preserve">and </w:t>
      </w:r>
      <w:r>
        <w:t xml:space="preserve">to </w:t>
      </w:r>
      <w:r w:rsidRPr="00EC062F">
        <w:t>address</w:t>
      </w:r>
      <w:r>
        <w:t>ing</w:t>
      </w:r>
      <w:r w:rsidRPr="00EC062F">
        <w:t xml:space="preserve"> the growing problem of non-communicable diseases</w:t>
      </w:r>
      <w:r>
        <w:t xml:space="preserve"> (NCD) </w:t>
      </w:r>
      <w:r w:rsidRPr="00EC062F">
        <w:t xml:space="preserve">in the Pacific. </w:t>
      </w:r>
      <w:r>
        <w:t xml:space="preserve"> Australia </w:t>
      </w:r>
      <w:r w:rsidRPr="00EC062F">
        <w:t xml:space="preserve">will </w:t>
      </w:r>
      <w:r>
        <w:t xml:space="preserve">also </w:t>
      </w:r>
      <w:r w:rsidRPr="00EC062F">
        <w:t xml:space="preserve">invest in strengthening health systems </w:t>
      </w:r>
      <w:r>
        <w:t>to enable</w:t>
      </w:r>
      <w:r w:rsidRPr="00EC062F">
        <w:t xml:space="preserve"> partner countries to deliver </w:t>
      </w:r>
      <w:r>
        <w:t xml:space="preserve">better </w:t>
      </w:r>
      <w:r w:rsidRPr="00EC062F">
        <w:t xml:space="preserve">services, </w:t>
      </w:r>
      <w:r>
        <w:t xml:space="preserve">including by </w:t>
      </w:r>
      <w:r w:rsidRPr="00EC062F">
        <w:t xml:space="preserve">training </w:t>
      </w:r>
      <w:r>
        <w:t>health worker</w:t>
      </w:r>
      <w:r w:rsidRPr="00EC062F">
        <w:t xml:space="preserve">s and improving drug procurement and distribution. </w:t>
      </w:r>
      <w:r>
        <w:t xml:space="preserve">Australian support will seek </w:t>
      </w:r>
      <w:r w:rsidRPr="00EC062F">
        <w:t xml:space="preserve">to reduce barriers that prevent </w:t>
      </w:r>
      <w:r>
        <w:t xml:space="preserve">people from </w:t>
      </w:r>
      <w:r w:rsidRPr="00EC062F">
        <w:t>accessing critical health services and interventions.</w:t>
      </w:r>
    </w:p>
    <w:p w:rsidR="008434CC" w:rsidRDefault="008434CC" w:rsidP="008D0197">
      <w:r w:rsidRPr="002200A9">
        <w:t xml:space="preserve">The </w:t>
      </w:r>
      <w:r>
        <w:t>proposed new P</w:t>
      </w:r>
      <w:r w:rsidRPr="002200A9">
        <w:t xml:space="preserve">roject </w:t>
      </w:r>
      <w:r>
        <w:t xml:space="preserve">aligns well with the Australian Government’s development priorities in the Pacific.  It directly targets disease transmission using a combination of enhanced public health approaches, appropriate, innovative technologies and work force capacity development; importantly </w:t>
      </w:r>
      <w:r w:rsidRPr="00CA49C7">
        <w:rPr>
          <w:color w:val="000000"/>
        </w:rPr>
        <w:t xml:space="preserve">(given the recognised links between TB infection and diabetes; see Section 2.3.3), it also maintains </w:t>
      </w:r>
      <w:r>
        <w:t>links with NCD control programs.  It will expand work begun under QTBECP on strengthening underlying aspects of the Kiribati health system, including program management, laboratory capacity, and the planning, procurement and distribution of TB and other drugs.  Consolidation and integration of active case finding, treatment delivery and other NTP interventions at the community and outer island level will provide critical support for improving access to health services.</w:t>
      </w:r>
    </w:p>
    <w:p w:rsidR="008434CC" w:rsidRPr="002200A9" w:rsidRDefault="008434CC" w:rsidP="00CA49C7">
      <w:r>
        <w:t xml:space="preserve">The Project will also remain consistent with </w:t>
      </w:r>
      <w:r w:rsidRPr="002200A9">
        <w:t xml:space="preserve">the overarching objectives and principles of the </w:t>
      </w:r>
      <w:r>
        <w:t>health elements of the PPD, which notes the importance of providing “</w:t>
      </w:r>
      <w:r w:rsidRPr="00902C36">
        <w:t>support for improved health service delivery</w:t>
      </w:r>
      <w:r>
        <w:t xml:space="preserve"> …</w:t>
      </w:r>
      <w:r w:rsidRPr="00902C36">
        <w:t xml:space="preserve"> in cooperation with other development partners</w:t>
      </w:r>
      <w:r>
        <w:t>”.</w:t>
      </w:r>
    </w:p>
    <w:p w:rsidR="008434CC" w:rsidRDefault="008434CC" w:rsidP="00D30F81">
      <w:pPr>
        <w:pStyle w:val="Heading2"/>
      </w:pPr>
      <w:bookmarkStart w:id="27" w:name="_Toc331686086"/>
      <w:r>
        <w:t>3</w:t>
      </w:r>
      <w:r w:rsidRPr="006F5675">
        <w:t>.</w:t>
      </w:r>
      <w:r>
        <w:t>3</w:t>
      </w:r>
      <w:r w:rsidRPr="006F5675">
        <w:t xml:space="preserve"> </w:t>
      </w:r>
      <w:r>
        <w:t>The New Kiribati National TB Strategic Plan</w:t>
      </w:r>
      <w:bookmarkEnd w:id="27"/>
    </w:p>
    <w:p w:rsidR="008434CC" w:rsidRDefault="008434CC" w:rsidP="003E071A">
      <w:r w:rsidRPr="002200A9">
        <w:t xml:space="preserve">In </w:t>
      </w:r>
      <w:r w:rsidRPr="00EC441F">
        <w:t xml:space="preserve">2000, the </w:t>
      </w:r>
      <w:r>
        <w:t>G</w:t>
      </w:r>
      <w:r w:rsidRPr="002200A9">
        <w:t xml:space="preserve">overnment </w:t>
      </w:r>
      <w:r>
        <w:t xml:space="preserve">of </w:t>
      </w:r>
      <w:r w:rsidRPr="002200A9">
        <w:t xml:space="preserve">Kiribati </w:t>
      </w:r>
      <w:r w:rsidRPr="00EC441F">
        <w:t xml:space="preserve">endorsed the </w:t>
      </w:r>
      <w:r>
        <w:t xml:space="preserve">WHO </w:t>
      </w:r>
      <w:r w:rsidRPr="0049136F">
        <w:rPr>
          <w:i/>
        </w:rPr>
        <w:t>Strategic Plan to Stop TB in the Western Pacific 2006–2010</w:t>
      </w:r>
      <w:r w:rsidRPr="002200A9">
        <w:t xml:space="preserve"> as the princip</w:t>
      </w:r>
      <w:r>
        <w:t xml:space="preserve">al </w:t>
      </w:r>
      <w:r w:rsidRPr="002200A9">
        <w:t xml:space="preserve">guideline for the implementation of </w:t>
      </w:r>
      <w:r>
        <w:t xml:space="preserve">the country’s TB control strategy: </w:t>
      </w:r>
      <w:r w:rsidRPr="002200A9">
        <w:t>DOTS.</w:t>
      </w:r>
      <w:r>
        <w:rPr>
          <w:rStyle w:val="FootnoteReference"/>
        </w:rPr>
        <w:footnoteReference w:id="15"/>
      </w:r>
      <w:r w:rsidRPr="002200A9">
        <w:t xml:space="preserve"> </w:t>
      </w:r>
      <w:r>
        <w:t xml:space="preserve"> This document set the over-arching strategic directions for the NTP, while work plans for the Global Fund projects (also aligned with the WHO regional strategy) provided the detail.</w:t>
      </w:r>
    </w:p>
    <w:p w:rsidR="008434CC" w:rsidRDefault="008434CC" w:rsidP="003E071A">
      <w:r>
        <w:t xml:space="preserve">The NTP has just developed a new </w:t>
      </w:r>
      <w:r w:rsidRPr="004B094E">
        <w:rPr>
          <w:i/>
        </w:rPr>
        <w:t>National Tuberculosis Strategic Plan</w:t>
      </w:r>
      <w:r>
        <w:t xml:space="preserve">, sub-titled </w:t>
      </w:r>
      <w:r w:rsidRPr="00AC0A54">
        <w:rPr>
          <w:i/>
        </w:rPr>
        <w:t>Acceleration towards TB Elimination</w:t>
      </w:r>
      <w:r>
        <w:t xml:space="preserve">.  The time frame for the </w:t>
      </w:r>
      <w:r w:rsidRPr="004B094E">
        <w:rPr>
          <w:i/>
        </w:rPr>
        <w:t>Strategic Plan</w:t>
      </w:r>
      <w:r>
        <w:t xml:space="preserve"> is the same as for the new NHSP, i.e. 2012-15.  It has, as its overall goal:</w:t>
      </w:r>
    </w:p>
    <w:p w:rsidR="008434CC" w:rsidRPr="003E071A" w:rsidRDefault="008434CC" w:rsidP="003E071A">
      <w:pPr>
        <w:ind w:left="720"/>
        <w:rPr>
          <w:i/>
        </w:rPr>
      </w:pPr>
      <w:r w:rsidRPr="003E071A">
        <w:rPr>
          <w:i/>
        </w:rPr>
        <w:t>To accelerate scale-up to achieve universal access to prevention, early diagnosis and effective patient-centred treatment for tuberculosis by 2015</w:t>
      </w:r>
    </w:p>
    <w:p w:rsidR="008434CC" w:rsidRPr="001377B5" w:rsidRDefault="008434CC" w:rsidP="003E071A">
      <w:pPr>
        <w:spacing w:before="180"/>
      </w:pPr>
      <w:r>
        <w:t xml:space="preserve">It will do this by </w:t>
      </w:r>
      <w:r w:rsidRPr="001377B5">
        <w:t>ensuring high case detection and treatment success rates in line with international targets</w:t>
      </w:r>
      <w:r>
        <w:t>,</w:t>
      </w:r>
      <w:r w:rsidRPr="001377B5">
        <w:t xml:space="preserve"> as well as by strengthening </w:t>
      </w:r>
      <w:r>
        <w:t xml:space="preserve">underlying elements of the </w:t>
      </w:r>
      <w:r w:rsidRPr="001377B5">
        <w:t>health system</w:t>
      </w:r>
      <w:r>
        <w:t>.</w:t>
      </w:r>
    </w:p>
    <w:p w:rsidR="008434CC" w:rsidRPr="007D666E" w:rsidRDefault="008434CC" w:rsidP="003E071A">
      <w:r w:rsidRPr="001377B5">
        <w:t xml:space="preserve">The </w:t>
      </w:r>
      <w:r>
        <w:t xml:space="preserve">new </w:t>
      </w:r>
      <w:r w:rsidRPr="004B094E">
        <w:rPr>
          <w:i/>
        </w:rPr>
        <w:t>Strategic Plan</w:t>
      </w:r>
      <w:r w:rsidRPr="001377B5">
        <w:t xml:space="preserve"> has 9 objectives </w:t>
      </w:r>
      <w:r>
        <w:t>–</w:t>
      </w:r>
      <w:r w:rsidRPr="001377B5">
        <w:t xml:space="preserve"> </w:t>
      </w:r>
      <w:r>
        <w:t>its overall objective structure is summarised in Box 3</w:t>
      </w:r>
      <w:r w:rsidRPr="001377B5">
        <w:t xml:space="preserve">. </w:t>
      </w:r>
      <w:r>
        <w:t xml:space="preserve"> </w:t>
      </w:r>
    </w:p>
    <w:p w:rsidR="008434CC" w:rsidRDefault="008434CC" w:rsidP="002A162A">
      <w:r w:rsidRPr="006443D4">
        <w:lastRenderedPageBreak/>
        <w:t xml:space="preserve">As the </w:t>
      </w:r>
      <w:r w:rsidRPr="006443D4">
        <w:rPr>
          <w:i/>
        </w:rPr>
        <w:t>Strategic Plan</w:t>
      </w:r>
      <w:r w:rsidRPr="006443D4">
        <w:t xml:space="preserve"> is still in initial draft form, it remains subject to some further analysis and discussion within the NTP and the MHMS</w:t>
      </w:r>
      <w:r>
        <w:t>, including agreement on performance indicators</w:t>
      </w:r>
      <w:r w:rsidRPr="006443D4">
        <w:t xml:space="preserve">; this provides further flexibility and opportunities to ensure alignment of the proposed new Project with it.  </w:t>
      </w:r>
      <w:r>
        <w:t xml:space="preserve">However, the draft </w:t>
      </w:r>
      <w:r w:rsidRPr="004B094E">
        <w:rPr>
          <w:i/>
        </w:rPr>
        <w:t>Strategic Plan</w:t>
      </w:r>
      <w:r>
        <w:t xml:space="preserve"> is comprehensive and is strongly informed by the WHO </w:t>
      </w:r>
      <w:r w:rsidRPr="003E071A">
        <w:t>regional strategy</w:t>
      </w:r>
      <w:r w:rsidRPr="006320D5">
        <w:t xml:space="preserve"> (see</w:t>
      </w:r>
      <w:r>
        <w:rPr>
          <w:i/>
        </w:rPr>
        <w:t xml:space="preserve"> Se</w:t>
      </w:r>
      <w:r>
        <w:t>ction 3.4) so major changes are not expected.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6662"/>
      </w:tblGrid>
      <w:tr w:rsidR="008434CC" w:rsidRPr="004672B0" w:rsidTr="002327BA">
        <w:tc>
          <w:tcPr>
            <w:tcW w:w="8079" w:type="dxa"/>
            <w:gridSpan w:val="2"/>
            <w:shd w:val="clear" w:color="auto" w:fill="C6D9F1"/>
          </w:tcPr>
          <w:p w:rsidR="008434CC" w:rsidRPr="004672B0" w:rsidRDefault="008434CC" w:rsidP="002327BA">
            <w:pPr>
              <w:autoSpaceDE w:val="0"/>
              <w:autoSpaceDN w:val="0"/>
              <w:adjustRightInd w:val="0"/>
              <w:spacing w:after="120"/>
              <w:jc w:val="center"/>
              <w:rPr>
                <w:b/>
                <w:i/>
              </w:rPr>
            </w:pPr>
            <w:r w:rsidRPr="004672B0">
              <w:rPr>
                <w:rFonts w:ascii="Arial" w:hAnsi="Arial" w:cs="Arial"/>
                <w:b/>
                <w:sz w:val="21"/>
                <w:szCs w:val="21"/>
              </w:rPr>
              <w:t>Box 3: Structure of Kiribati National TB Strategic Plan 2012–2015 (Draft)</w:t>
            </w:r>
          </w:p>
        </w:tc>
      </w:tr>
      <w:tr w:rsidR="008434CC" w:rsidRPr="004672B0" w:rsidTr="003E071A">
        <w:tc>
          <w:tcPr>
            <w:tcW w:w="1417" w:type="dxa"/>
            <w:tcBorders>
              <w:right w:val="nil"/>
            </w:tcBorders>
            <w:shd w:val="clear" w:color="auto" w:fill="DBE5F1"/>
          </w:tcPr>
          <w:p w:rsidR="008434CC" w:rsidRPr="004672B0" w:rsidRDefault="008434CC" w:rsidP="003E071A">
            <w:pPr>
              <w:autoSpaceDE w:val="0"/>
              <w:autoSpaceDN w:val="0"/>
              <w:adjustRightInd w:val="0"/>
              <w:spacing w:after="120"/>
              <w:jc w:val="center"/>
              <w:rPr>
                <w:b/>
              </w:rPr>
            </w:pPr>
            <w:r w:rsidRPr="004672B0">
              <w:rPr>
                <w:b/>
              </w:rPr>
              <w:t>Goal:</w:t>
            </w:r>
          </w:p>
        </w:tc>
        <w:tc>
          <w:tcPr>
            <w:tcW w:w="6662" w:type="dxa"/>
            <w:tcBorders>
              <w:left w:val="nil"/>
            </w:tcBorders>
            <w:shd w:val="clear" w:color="auto" w:fill="DBE5F1"/>
          </w:tcPr>
          <w:p w:rsidR="008434CC" w:rsidRPr="004672B0" w:rsidRDefault="008434CC" w:rsidP="002327BA">
            <w:pPr>
              <w:autoSpaceDE w:val="0"/>
              <w:autoSpaceDN w:val="0"/>
              <w:adjustRightInd w:val="0"/>
              <w:spacing w:after="120"/>
              <w:rPr>
                <w:b/>
                <w:i/>
              </w:rPr>
            </w:pPr>
            <w:r w:rsidRPr="004672B0">
              <w:rPr>
                <w:b/>
                <w:i/>
              </w:rPr>
              <w:t>To accelerate scale-up to achieve universal access to prevention, early diagnosis and effective patient-centred treatment for tuberculosis by 2015</w:t>
            </w:r>
          </w:p>
        </w:tc>
      </w:tr>
      <w:tr w:rsidR="008434CC" w:rsidRPr="004672B0" w:rsidTr="003E071A">
        <w:tc>
          <w:tcPr>
            <w:tcW w:w="1417" w:type="dxa"/>
            <w:tcBorders>
              <w:bottom w:val="nil"/>
              <w:right w:val="nil"/>
            </w:tcBorders>
          </w:tcPr>
          <w:p w:rsidR="008434CC" w:rsidRPr="004672B0" w:rsidRDefault="008434CC" w:rsidP="003E071A">
            <w:pPr>
              <w:autoSpaceDE w:val="0"/>
              <w:autoSpaceDN w:val="0"/>
              <w:adjustRightInd w:val="0"/>
              <w:spacing w:after="60"/>
              <w:jc w:val="center"/>
              <w:rPr>
                <w:b/>
              </w:rPr>
            </w:pPr>
            <w:r w:rsidRPr="004672B0">
              <w:rPr>
                <w:b/>
              </w:rPr>
              <w:t>Objective 1:</w:t>
            </w:r>
          </w:p>
        </w:tc>
        <w:tc>
          <w:tcPr>
            <w:tcW w:w="6662" w:type="dxa"/>
            <w:tcBorders>
              <w:left w:val="nil"/>
              <w:bottom w:val="nil"/>
            </w:tcBorders>
          </w:tcPr>
          <w:p w:rsidR="008434CC" w:rsidRPr="004672B0" w:rsidRDefault="008434CC" w:rsidP="002327BA">
            <w:pPr>
              <w:autoSpaceDE w:val="0"/>
              <w:autoSpaceDN w:val="0"/>
              <w:adjustRightInd w:val="0"/>
              <w:spacing w:after="60"/>
            </w:pPr>
            <w:r w:rsidRPr="004672B0">
              <w:rPr>
                <w:b/>
              </w:rPr>
              <w:t xml:space="preserve">Social Determinants of Health – </w:t>
            </w:r>
            <w:r w:rsidRPr="004672B0">
              <w:t>Advocating the role of social environmental factors in TB transmission to appropriate authorities and the high risk communities and population</w:t>
            </w:r>
          </w:p>
        </w:tc>
      </w:tr>
      <w:tr w:rsidR="008434CC" w:rsidRPr="004672B0" w:rsidTr="003E071A">
        <w:tc>
          <w:tcPr>
            <w:tcW w:w="1417" w:type="dxa"/>
            <w:tcBorders>
              <w:top w:val="nil"/>
              <w:bottom w:val="nil"/>
              <w:right w:val="nil"/>
            </w:tcBorders>
          </w:tcPr>
          <w:p w:rsidR="008434CC" w:rsidRPr="004672B0" w:rsidRDefault="008434CC" w:rsidP="003E071A">
            <w:pPr>
              <w:autoSpaceDE w:val="0"/>
              <w:autoSpaceDN w:val="0"/>
              <w:adjustRightInd w:val="0"/>
              <w:spacing w:before="60" w:after="60"/>
              <w:jc w:val="center"/>
              <w:rPr>
                <w:b/>
              </w:rPr>
            </w:pPr>
            <w:r w:rsidRPr="004672B0">
              <w:rPr>
                <w:b/>
              </w:rPr>
              <w:t>Objective 2:</w:t>
            </w:r>
          </w:p>
        </w:tc>
        <w:tc>
          <w:tcPr>
            <w:tcW w:w="6662" w:type="dxa"/>
            <w:tcBorders>
              <w:top w:val="nil"/>
              <w:left w:val="nil"/>
              <w:bottom w:val="nil"/>
            </w:tcBorders>
          </w:tcPr>
          <w:p w:rsidR="008434CC" w:rsidRPr="004672B0" w:rsidRDefault="008434CC" w:rsidP="002800F3">
            <w:pPr>
              <w:autoSpaceDE w:val="0"/>
              <w:autoSpaceDN w:val="0"/>
              <w:adjustRightInd w:val="0"/>
              <w:spacing w:before="60" w:after="60"/>
            </w:pPr>
            <w:r w:rsidRPr="004672B0">
              <w:rPr>
                <w:b/>
              </w:rPr>
              <w:t xml:space="preserve">Inter-Sectoral-Links – </w:t>
            </w:r>
            <w:r w:rsidRPr="004672B0">
              <w:t>Developing collaboration with MHMS programs, other government departments and NGOs to address factors that increase the risk of developing active TB disease</w:t>
            </w:r>
          </w:p>
        </w:tc>
      </w:tr>
      <w:tr w:rsidR="008434CC" w:rsidRPr="004672B0" w:rsidTr="003E071A">
        <w:tc>
          <w:tcPr>
            <w:tcW w:w="1417" w:type="dxa"/>
            <w:tcBorders>
              <w:top w:val="nil"/>
              <w:bottom w:val="nil"/>
              <w:right w:val="nil"/>
            </w:tcBorders>
          </w:tcPr>
          <w:p w:rsidR="008434CC" w:rsidRPr="004672B0" w:rsidRDefault="008434CC" w:rsidP="003E071A">
            <w:pPr>
              <w:autoSpaceDE w:val="0"/>
              <w:autoSpaceDN w:val="0"/>
              <w:adjustRightInd w:val="0"/>
              <w:spacing w:before="60" w:after="60"/>
              <w:jc w:val="center"/>
              <w:rPr>
                <w:b/>
              </w:rPr>
            </w:pPr>
            <w:r w:rsidRPr="004672B0">
              <w:rPr>
                <w:b/>
              </w:rPr>
              <w:t>Objective 3:</w:t>
            </w:r>
          </w:p>
        </w:tc>
        <w:tc>
          <w:tcPr>
            <w:tcW w:w="6662" w:type="dxa"/>
            <w:tcBorders>
              <w:top w:val="nil"/>
              <w:left w:val="nil"/>
              <w:bottom w:val="nil"/>
            </w:tcBorders>
          </w:tcPr>
          <w:p w:rsidR="008434CC" w:rsidRPr="004672B0" w:rsidRDefault="008434CC" w:rsidP="002327BA">
            <w:pPr>
              <w:autoSpaceDE w:val="0"/>
              <w:autoSpaceDN w:val="0"/>
              <w:adjustRightInd w:val="0"/>
              <w:spacing w:before="60" w:after="60"/>
            </w:pPr>
            <w:r w:rsidRPr="004672B0">
              <w:rPr>
                <w:b/>
              </w:rPr>
              <w:t xml:space="preserve">Universal Access – </w:t>
            </w:r>
            <w:r w:rsidRPr="004672B0">
              <w:t>Promoting universal and equitable access to quality and friendly NTP health services</w:t>
            </w:r>
          </w:p>
        </w:tc>
      </w:tr>
      <w:tr w:rsidR="008434CC" w:rsidRPr="004672B0" w:rsidTr="003E071A">
        <w:tc>
          <w:tcPr>
            <w:tcW w:w="1417" w:type="dxa"/>
            <w:tcBorders>
              <w:top w:val="nil"/>
              <w:bottom w:val="nil"/>
              <w:right w:val="nil"/>
            </w:tcBorders>
          </w:tcPr>
          <w:p w:rsidR="008434CC" w:rsidRPr="004672B0" w:rsidRDefault="008434CC" w:rsidP="003E071A">
            <w:pPr>
              <w:autoSpaceDE w:val="0"/>
              <w:autoSpaceDN w:val="0"/>
              <w:adjustRightInd w:val="0"/>
              <w:spacing w:before="60" w:after="60"/>
              <w:jc w:val="center"/>
              <w:rPr>
                <w:b/>
              </w:rPr>
            </w:pPr>
            <w:r w:rsidRPr="004672B0">
              <w:rPr>
                <w:b/>
              </w:rPr>
              <w:t>Objective 4:</w:t>
            </w:r>
          </w:p>
        </w:tc>
        <w:tc>
          <w:tcPr>
            <w:tcW w:w="6662" w:type="dxa"/>
            <w:tcBorders>
              <w:top w:val="nil"/>
              <w:left w:val="nil"/>
              <w:bottom w:val="nil"/>
            </w:tcBorders>
          </w:tcPr>
          <w:p w:rsidR="008434CC" w:rsidRPr="004672B0" w:rsidRDefault="008434CC" w:rsidP="002363E1">
            <w:pPr>
              <w:autoSpaceDE w:val="0"/>
              <w:autoSpaceDN w:val="0"/>
              <w:adjustRightInd w:val="0"/>
              <w:spacing w:before="60" w:after="60"/>
            </w:pPr>
            <w:r w:rsidRPr="004672B0">
              <w:rPr>
                <w:b/>
              </w:rPr>
              <w:t xml:space="preserve">Active Case Finding and Referral – </w:t>
            </w:r>
            <w:r w:rsidRPr="004672B0">
              <w:t>Enhancing collaboration with MHMS programs, other government departments and NGOs for active case finding and effective referral mechanisms</w:t>
            </w:r>
          </w:p>
        </w:tc>
      </w:tr>
      <w:tr w:rsidR="008434CC" w:rsidRPr="004672B0" w:rsidTr="003E071A">
        <w:tc>
          <w:tcPr>
            <w:tcW w:w="1417" w:type="dxa"/>
            <w:tcBorders>
              <w:top w:val="nil"/>
              <w:bottom w:val="nil"/>
              <w:right w:val="nil"/>
            </w:tcBorders>
          </w:tcPr>
          <w:p w:rsidR="008434CC" w:rsidRPr="004672B0" w:rsidRDefault="008434CC" w:rsidP="003E071A">
            <w:pPr>
              <w:autoSpaceDE w:val="0"/>
              <w:autoSpaceDN w:val="0"/>
              <w:adjustRightInd w:val="0"/>
              <w:spacing w:before="60" w:after="60"/>
              <w:jc w:val="center"/>
              <w:rPr>
                <w:b/>
              </w:rPr>
            </w:pPr>
            <w:r w:rsidRPr="004672B0">
              <w:rPr>
                <w:b/>
              </w:rPr>
              <w:t>Objective 5:</w:t>
            </w:r>
          </w:p>
        </w:tc>
        <w:tc>
          <w:tcPr>
            <w:tcW w:w="6662" w:type="dxa"/>
            <w:tcBorders>
              <w:top w:val="nil"/>
              <w:left w:val="nil"/>
              <w:bottom w:val="nil"/>
            </w:tcBorders>
          </w:tcPr>
          <w:p w:rsidR="008434CC" w:rsidRPr="004672B0" w:rsidRDefault="008434CC" w:rsidP="002363E1">
            <w:pPr>
              <w:autoSpaceDE w:val="0"/>
              <w:autoSpaceDN w:val="0"/>
              <w:adjustRightInd w:val="0"/>
              <w:spacing w:before="60" w:after="60"/>
            </w:pPr>
            <w:r w:rsidRPr="004672B0">
              <w:rPr>
                <w:b/>
              </w:rPr>
              <w:t xml:space="preserve">Clinical and Radiological Capacity – </w:t>
            </w:r>
            <w:r w:rsidRPr="004672B0">
              <w:t>Strengthening clinical and radiological diagnostic capacity</w:t>
            </w:r>
          </w:p>
        </w:tc>
      </w:tr>
      <w:tr w:rsidR="008434CC" w:rsidRPr="004672B0" w:rsidTr="003E071A">
        <w:tc>
          <w:tcPr>
            <w:tcW w:w="1417" w:type="dxa"/>
            <w:tcBorders>
              <w:top w:val="nil"/>
              <w:bottom w:val="nil"/>
              <w:right w:val="nil"/>
            </w:tcBorders>
          </w:tcPr>
          <w:p w:rsidR="008434CC" w:rsidRPr="004672B0" w:rsidRDefault="008434CC" w:rsidP="003E071A">
            <w:pPr>
              <w:autoSpaceDE w:val="0"/>
              <w:autoSpaceDN w:val="0"/>
              <w:adjustRightInd w:val="0"/>
              <w:spacing w:before="60" w:after="60"/>
              <w:jc w:val="center"/>
              <w:rPr>
                <w:b/>
              </w:rPr>
            </w:pPr>
            <w:r w:rsidRPr="004672B0">
              <w:rPr>
                <w:b/>
              </w:rPr>
              <w:t>Objective 6:</w:t>
            </w:r>
          </w:p>
        </w:tc>
        <w:tc>
          <w:tcPr>
            <w:tcW w:w="6662" w:type="dxa"/>
            <w:tcBorders>
              <w:top w:val="nil"/>
              <w:left w:val="nil"/>
              <w:bottom w:val="nil"/>
            </w:tcBorders>
          </w:tcPr>
          <w:p w:rsidR="008434CC" w:rsidRPr="004672B0" w:rsidRDefault="008434CC" w:rsidP="000633D8">
            <w:pPr>
              <w:autoSpaceDE w:val="0"/>
              <w:autoSpaceDN w:val="0"/>
              <w:adjustRightInd w:val="0"/>
              <w:spacing w:before="60" w:after="60"/>
            </w:pPr>
            <w:r w:rsidRPr="004672B0">
              <w:rPr>
                <w:b/>
              </w:rPr>
              <w:t xml:space="preserve">Laboratory Capacity – </w:t>
            </w:r>
            <w:r w:rsidRPr="004672B0">
              <w:t>Optimising TB laboratory capacity services to diagnose and monitor treatment of TB cases, including drug-resistant TB, TB-HIV and TB-DM</w:t>
            </w:r>
          </w:p>
        </w:tc>
      </w:tr>
      <w:tr w:rsidR="008434CC" w:rsidRPr="004672B0" w:rsidTr="003E071A">
        <w:tc>
          <w:tcPr>
            <w:tcW w:w="1417" w:type="dxa"/>
            <w:tcBorders>
              <w:top w:val="nil"/>
              <w:bottom w:val="nil"/>
              <w:right w:val="nil"/>
            </w:tcBorders>
          </w:tcPr>
          <w:p w:rsidR="008434CC" w:rsidRPr="004672B0" w:rsidRDefault="008434CC" w:rsidP="003E071A">
            <w:pPr>
              <w:autoSpaceDE w:val="0"/>
              <w:autoSpaceDN w:val="0"/>
              <w:adjustRightInd w:val="0"/>
              <w:spacing w:before="60" w:after="60"/>
              <w:jc w:val="center"/>
              <w:rPr>
                <w:b/>
              </w:rPr>
            </w:pPr>
            <w:r w:rsidRPr="004672B0">
              <w:rPr>
                <w:b/>
              </w:rPr>
              <w:t>Objective 7:</w:t>
            </w:r>
          </w:p>
        </w:tc>
        <w:tc>
          <w:tcPr>
            <w:tcW w:w="6662" w:type="dxa"/>
            <w:tcBorders>
              <w:top w:val="nil"/>
              <w:left w:val="nil"/>
              <w:bottom w:val="nil"/>
            </w:tcBorders>
          </w:tcPr>
          <w:p w:rsidR="008434CC" w:rsidRPr="004672B0" w:rsidRDefault="008434CC" w:rsidP="002800F3">
            <w:pPr>
              <w:autoSpaceDE w:val="0"/>
              <w:autoSpaceDN w:val="0"/>
              <w:adjustRightInd w:val="0"/>
              <w:spacing w:before="60" w:after="60"/>
            </w:pPr>
            <w:r w:rsidRPr="004672B0">
              <w:rPr>
                <w:b/>
              </w:rPr>
              <w:t xml:space="preserve">Human Resources – </w:t>
            </w:r>
            <w:r w:rsidRPr="004672B0">
              <w:t>Potentiating NTP human resource capacity through in-country and external training</w:t>
            </w:r>
          </w:p>
        </w:tc>
      </w:tr>
      <w:tr w:rsidR="008434CC" w:rsidRPr="004672B0" w:rsidTr="003E071A">
        <w:tc>
          <w:tcPr>
            <w:tcW w:w="1417" w:type="dxa"/>
            <w:tcBorders>
              <w:top w:val="nil"/>
              <w:bottom w:val="nil"/>
              <w:right w:val="nil"/>
            </w:tcBorders>
          </w:tcPr>
          <w:p w:rsidR="008434CC" w:rsidRPr="004672B0" w:rsidRDefault="008434CC" w:rsidP="003E071A">
            <w:pPr>
              <w:autoSpaceDE w:val="0"/>
              <w:autoSpaceDN w:val="0"/>
              <w:adjustRightInd w:val="0"/>
              <w:spacing w:before="60" w:after="60"/>
              <w:jc w:val="center"/>
              <w:rPr>
                <w:b/>
              </w:rPr>
            </w:pPr>
            <w:r w:rsidRPr="004672B0">
              <w:rPr>
                <w:b/>
              </w:rPr>
              <w:t>Objective 8:</w:t>
            </w:r>
          </w:p>
        </w:tc>
        <w:tc>
          <w:tcPr>
            <w:tcW w:w="6662" w:type="dxa"/>
            <w:tcBorders>
              <w:top w:val="nil"/>
              <w:left w:val="nil"/>
              <w:bottom w:val="nil"/>
            </w:tcBorders>
          </w:tcPr>
          <w:p w:rsidR="008434CC" w:rsidRPr="004672B0" w:rsidRDefault="008434CC" w:rsidP="002800F3">
            <w:pPr>
              <w:autoSpaceDE w:val="0"/>
              <w:autoSpaceDN w:val="0"/>
              <w:adjustRightInd w:val="0"/>
              <w:spacing w:before="60" w:after="60"/>
            </w:pPr>
            <w:r w:rsidRPr="004672B0">
              <w:rPr>
                <w:b/>
              </w:rPr>
              <w:t xml:space="preserve">Drugs and Co-Morbidities – </w:t>
            </w:r>
            <w:r w:rsidRPr="004672B0">
              <w:t>Strengthening TB Drug Management system, programmatic managements of MDR-TB, TB-HIV and TB-DM co-morbidities and the universal and equitable access to DOT</w:t>
            </w:r>
          </w:p>
        </w:tc>
      </w:tr>
      <w:tr w:rsidR="008434CC" w:rsidRPr="004672B0" w:rsidTr="003E071A">
        <w:tc>
          <w:tcPr>
            <w:tcW w:w="1417" w:type="dxa"/>
            <w:tcBorders>
              <w:top w:val="nil"/>
              <w:right w:val="nil"/>
            </w:tcBorders>
          </w:tcPr>
          <w:p w:rsidR="008434CC" w:rsidRPr="004672B0" w:rsidRDefault="008434CC" w:rsidP="003E071A">
            <w:pPr>
              <w:autoSpaceDE w:val="0"/>
              <w:autoSpaceDN w:val="0"/>
              <w:adjustRightInd w:val="0"/>
              <w:spacing w:before="60" w:after="180"/>
              <w:jc w:val="center"/>
              <w:rPr>
                <w:b/>
              </w:rPr>
            </w:pPr>
            <w:r w:rsidRPr="004672B0">
              <w:rPr>
                <w:b/>
              </w:rPr>
              <w:t>Objective 9:</w:t>
            </w:r>
          </w:p>
        </w:tc>
        <w:tc>
          <w:tcPr>
            <w:tcW w:w="6662" w:type="dxa"/>
            <w:tcBorders>
              <w:top w:val="nil"/>
              <w:left w:val="nil"/>
            </w:tcBorders>
          </w:tcPr>
          <w:p w:rsidR="008434CC" w:rsidRPr="004672B0" w:rsidRDefault="008434CC" w:rsidP="002327BA">
            <w:pPr>
              <w:autoSpaceDE w:val="0"/>
              <w:autoSpaceDN w:val="0"/>
              <w:adjustRightInd w:val="0"/>
              <w:spacing w:before="60" w:after="180"/>
            </w:pPr>
            <w:r w:rsidRPr="004672B0">
              <w:rPr>
                <w:b/>
              </w:rPr>
              <w:t xml:space="preserve">Health Systems and Infrastructure – </w:t>
            </w:r>
            <w:r w:rsidRPr="004672B0">
              <w:t>Strengthening NTP infrastructure and the health systems component that play roles in TB control</w:t>
            </w:r>
          </w:p>
        </w:tc>
      </w:tr>
    </w:tbl>
    <w:p w:rsidR="008434CC" w:rsidRDefault="008434CC" w:rsidP="002A162A"/>
    <w:p w:rsidR="008434CC" w:rsidRPr="001377B5" w:rsidRDefault="008434CC" w:rsidP="002A162A">
      <w:r w:rsidRPr="001377B5">
        <w:t xml:space="preserve">The expected results </w:t>
      </w:r>
      <w:r>
        <w:t xml:space="preserve">of implementation of the </w:t>
      </w:r>
      <w:r w:rsidRPr="004B094E">
        <w:rPr>
          <w:i/>
        </w:rPr>
        <w:t>Strategic Plan</w:t>
      </w:r>
      <w:r w:rsidRPr="001377B5">
        <w:t xml:space="preserve"> will be: </w:t>
      </w:r>
    </w:p>
    <w:p w:rsidR="008434CC" w:rsidRPr="002363E1" w:rsidRDefault="008434CC" w:rsidP="002A162A">
      <w:pPr>
        <w:pStyle w:val="ListParagraph"/>
        <w:numPr>
          <w:ilvl w:val="0"/>
          <w:numId w:val="35"/>
        </w:numPr>
        <w:autoSpaceDE w:val="0"/>
        <w:autoSpaceDN w:val="0"/>
        <w:adjustRightInd w:val="0"/>
        <w:spacing w:line="240" w:lineRule="auto"/>
        <w:ind w:hanging="371"/>
      </w:pPr>
      <w:r w:rsidRPr="002363E1">
        <w:t>an increased case notification rate;</w:t>
      </w:r>
    </w:p>
    <w:p w:rsidR="008434CC" w:rsidRPr="002363E1" w:rsidRDefault="008434CC" w:rsidP="002A162A">
      <w:pPr>
        <w:pStyle w:val="ListParagraph"/>
        <w:numPr>
          <w:ilvl w:val="0"/>
          <w:numId w:val="35"/>
        </w:numPr>
        <w:autoSpaceDE w:val="0"/>
        <w:autoSpaceDN w:val="0"/>
        <w:adjustRightInd w:val="0"/>
        <w:spacing w:line="240" w:lineRule="auto"/>
        <w:ind w:hanging="371"/>
      </w:pPr>
      <w:r w:rsidRPr="002363E1">
        <w:t>an increased case detection rate;</w:t>
      </w:r>
    </w:p>
    <w:p w:rsidR="008434CC" w:rsidRPr="002363E1" w:rsidRDefault="008434CC" w:rsidP="002A162A">
      <w:pPr>
        <w:pStyle w:val="ListParagraph"/>
        <w:numPr>
          <w:ilvl w:val="0"/>
          <w:numId w:val="35"/>
        </w:numPr>
        <w:autoSpaceDE w:val="0"/>
        <w:autoSpaceDN w:val="0"/>
        <w:adjustRightInd w:val="0"/>
        <w:spacing w:line="240" w:lineRule="auto"/>
        <w:ind w:hanging="371"/>
      </w:pPr>
      <w:r>
        <w:t xml:space="preserve">sustained </w:t>
      </w:r>
      <w:r w:rsidRPr="002363E1">
        <w:t>high treatment success rates;</w:t>
      </w:r>
    </w:p>
    <w:p w:rsidR="008434CC" w:rsidRPr="002363E1" w:rsidRDefault="008434CC" w:rsidP="002A162A">
      <w:pPr>
        <w:pStyle w:val="ListParagraph"/>
        <w:numPr>
          <w:ilvl w:val="0"/>
          <w:numId w:val="35"/>
        </w:numPr>
        <w:autoSpaceDE w:val="0"/>
        <w:autoSpaceDN w:val="0"/>
        <w:adjustRightInd w:val="0"/>
        <w:spacing w:line="240" w:lineRule="auto"/>
        <w:ind w:hanging="371"/>
      </w:pPr>
      <w:r w:rsidRPr="002363E1">
        <w:t xml:space="preserve">a reduction in </w:t>
      </w:r>
      <w:r>
        <w:t xml:space="preserve">estimated </w:t>
      </w:r>
      <w:r w:rsidRPr="002363E1">
        <w:t xml:space="preserve">TB prevalence </w:t>
      </w:r>
      <w:r>
        <w:t xml:space="preserve">rate </w:t>
      </w:r>
      <w:r w:rsidRPr="002363E1">
        <w:t xml:space="preserve">by 50% from 2000 levels </w:t>
      </w:r>
      <w:r>
        <w:t xml:space="preserve">(i.e. from 541 to 270 per 100,000) </w:t>
      </w:r>
      <w:r w:rsidRPr="002363E1">
        <w:t>by 2015</w:t>
      </w:r>
      <w:r>
        <w:t>;</w:t>
      </w:r>
      <w:r w:rsidRPr="002363E1">
        <w:t xml:space="preserve"> and</w:t>
      </w:r>
    </w:p>
    <w:p w:rsidR="008434CC" w:rsidRPr="002363E1" w:rsidRDefault="008434CC" w:rsidP="002A162A">
      <w:pPr>
        <w:pStyle w:val="ListParagraph"/>
        <w:numPr>
          <w:ilvl w:val="0"/>
          <w:numId w:val="35"/>
        </w:numPr>
        <w:autoSpaceDE w:val="0"/>
        <w:autoSpaceDN w:val="0"/>
        <w:adjustRightInd w:val="0"/>
        <w:spacing w:line="240" w:lineRule="auto"/>
        <w:ind w:hanging="371"/>
      </w:pPr>
      <w:r w:rsidRPr="002363E1">
        <w:lastRenderedPageBreak/>
        <w:t xml:space="preserve">a decline in </w:t>
      </w:r>
      <w:r>
        <w:t xml:space="preserve">estimated </w:t>
      </w:r>
      <w:r w:rsidRPr="002363E1">
        <w:t>TB incidence by 2015.</w:t>
      </w:r>
      <w:r>
        <w:rPr>
          <w:rStyle w:val="FootnoteReference"/>
        </w:rPr>
        <w:footnoteReference w:id="16"/>
      </w:r>
      <w:r w:rsidRPr="002363E1">
        <w:t xml:space="preserve">  </w:t>
      </w:r>
    </w:p>
    <w:p w:rsidR="008434CC" w:rsidRDefault="008434CC" w:rsidP="007A4756">
      <w:pPr>
        <w:pStyle w:val="Heading2"/>
      </w:pPr>
      <w:bookmarkStart w:id="28" w:name="_Toc331686087"/>
      <w:r>
        <w:t>3</w:t>
      </w:r>
      <w:r w:rsidRPr="006F5675">
        <w:t>.</w:t>
      </w:r>
      <w:r>
        <w:t>4</w:t>
      </w:r>
      <w:r w:rsidRPr="006F5675">
        <w:t xml:space="preserve"> </w:t>
      </w:r>
      <w:r>
        <w:t>Alignment with Global and Regional Strategies and Targets</w:t>
      </w:r>
      <w:bookmarkEnd w:id="28"/>
    </w:p>
    <w:p w:rsidR="008434CC" w:rsidRPr="00034C63" w:rsidRDefault="008434CC" w:rsidP="006320D5">
      <w:pPr>
        <w:rPr>
          <w:color w:val="000000"/>
        </w:rPr>
      </w:pPr>
      <w:r>
        <w:t xml:space="preserve">Both the new </w:t>
      </w:r>
      <w:r w:rsidRPr="004B094E">
        <w:rPr>
          <w:i/>
        </w:rPr>
        <w:t>National Tuberculosis Strategic Plan</w:t>
      </w:r>
      <w:r w:rsidRPr="002200A9">
        <w:t xml:space="preserve"> </w:t>
      </w:r>
      <w:r>
        <w:t>and t</w:t>
      </w:r>
      <w:r w:rsidRPr="002200A9">
        <w:t>he p</w:t>
      </w:r>
      <w:r>
        <w:t>roposed P</w:t>
      </w:r>
      <w:r w:rsidRPr="002200A9">
        <w:t xml:space="preserve">roject </w:t>
      </w:r>
      <w:r>
        <w:t xml:space="preserve">are aligned </w:t>
      </w:r>
      <w:r w:rsidRPr="002200A9">
        <w:t xml:space="preserve">to global and regional </w:t>
      </w:r>
      <w:r>
        <w:t xml:space="preserve">TB control </w:t>
      </w:r>
      <w:r w:rsidRPr="002200A9">
        <w:t>targets</w:t>
      </w:r>
      <w:r>
        <w:t>,</w:t>
      </w:r>
      <w:r w:rsidRPr="002200A9">
        <w:t xml:space="preserve"> including </w:t>
      </w:r>
      <w:r>
        <w:t xml:space="preserve">the targets in the new WHO </w:t>
      </w:r>
      <w:r w:rsidRPr="006320D5">
        <w:t>regional strategy</w:t>
      </w:r>
      <w:r>
        <w:t xml:space="preserve"> for 2011-2015,</w:t>
      </w:r>
      <w:r w:rsidRPr="002200A9">
        <w:rPr>
          <w:rStyle w:val="FootnoteReference"/>
        </w:rPr>
        <w:footnoteReference w:id="17"/>
      </w:r>
      <w:r>
        <w:t xml:space="preserve"> the </w:t>
      </w:r>
      <w:r w:rsidRPr="00034C63">
        <w:rPr>
          <w:color w:val="000000"/>
        </w:rPr>
        <w:t>international Stop TB Partnership targets,</w:t>
      </w:r>
      <w:r w:rsidRPr="00034C63">
        <w:rPr>
          <w:rStyle w:val="FootnoteReference"/>
          <w:color w:val="000000"/>
        </w:rPr>
        <w:footnoteReference w:id="18"/>
      </w:r>
      <w:r w:rsidRPr="00034C63">
        <w:rPr>
          <w:color w:val="000000"/>
        </w:rPr>
        <w:t xml:space="preserve"> and the MDGs. </w:t>
      </w:r>
    </w:p>
    <w:p w:rsidR="008434CC" w:rsidRDefault="008434CC" w:rsidP="006320D5">
      <w:r>
        <w:t xml:space="preserve">The alignment of the new </w:t>
      </w:r>
      <w:r w:rsidRPr="004B094E">
        <w:rPr>
          <w:i/>
        </w:rPr>
        <w:t>National Tuberculosis Strategic Plan</w:t>
      </w:r>
      <w:r w:rsidRPr="002200A9">
        <w:t xml:space="preserve"> </w:t>
      </w:r>
      <w:r>
        <w:t>(Box 3) with t</w:t>
      </w:r>
      <w:r w:rsidRPr="002200A9">
        <w:t>he</w:t>
      </w:r>
      <w:r>
        <w:t xml:space="preserve"> 5 objectives of the WHO </w:t>
      </w:r>
      <w:r>
        <w:rPr>
          <w:i/>
        </w:rPr>
        <w:t xml:space="preserve">Regional Strategy </w:t>
      </w:r>
      <w:r>
        <w:t>is confirmed schematically in Figure 9.</w:t>
      </w:r>
    </w:p>
    <w:p w:rsidR="008434CC" w:rsidRDefault="008434CC" w:rsidP="006320D5">
      <w:pPr>
        <w:rPr>
          <w:rFonts w:ascii="Arial" w:hAnsi="Arial" w:cs="Arial"/>
          <w:b/>
          <w:sz w:val="21"/>
          <w:szCs w:val="21"/>
        </w:rPr>
      </w:pPr>
      <w:r>
        <w:rPr>
          <w:color w:val="000000"/>
        </w:rPr>
        <w:t xml:space="preserve">The principal, impact level, global and regional targets for TB control are summarised in </w:t>
      </w:r>
      <w:r w:rsidRPr="00034C63">
        <w:rPr>
          <w:color w:val="000000"/>
        </w:rPr>
        <w:t xml:space="preserve">Box </w:t>
      </w:r>
      <w:r>
        <w:rPr>
          <w:color w:val="000000"/>
        </w:rPr>
        <w:t>4.</w:t>
      </w:r>
    </w:p>
    <w:p w:rsidR="008434CC" w:rsidRDefault="008434CC" w:rsidP="006320D5">
      <w:r w:rsidRPr="002200A9">
        <w:t>By investing in more targeted</w:t>
      </w:r>
      <w:r>
        <w:t>, more strategic</w:t>
      </w:r>
      <w:r w:rsidRPr="002200A9">
        <w:t xml:space="preserve"> active case finding and effective treatment</w:t>
      </w:r>
      <w:r>
        <w:t xml:space="preserve"> of those cases</w:t>
      </w:r>
      <w:r w:rsidRPr="002200A9">
        <w:t xml:space="preserve">, the </w:t>
      </w:r>
      <w:r>
        <w:t>proposed P</w:t>
      </w:r>
      <w:r w:rsidRPr="002200A9">
        <w:t xml:space="preserve">roject will be able to maintain achievements </w:t>
      </w:r>
      <w:r>
        <w:t>already made in recent years</w:t>
      </w:r>
      <w:r w:rsidRPr="002200A9">
        <w:t xml:space="preserve"> and </w:t>
      </w:r>
      <w:r>
        <w:t>increase case detection, and contribute to the achievement of the TB related MDGs.</w:t>
      </w:r>
    </w:p>
    <w:p w:rsidR="008434CC" w:rsidRDefault="008434CC" w:rsidP="002327BA"/>
    <w:p w:rsidR="008434CC" w:rsidRPr="00081C37" w:rsidRDefault="008434CC" w:rsidP="006443D4">
      <w:pPr>
        <w:keepNext/>
        <w:autoSpaceDE w:val="0"/>
        <w:autoSpaceDN w:val="0"/>
        <w:adjustRightInd w:val="0"/>
        <w:spacing w:before="240" w:after="240" w:line="240" w:lineRule="auto"/>
        <w:jc w:val="center"/>
        <w:rPr>
          <w:rFonts w:ascii="Arial" w:hAnsi="Arial" w:cs="Arial"/>
          <w:b/>
          <w:sz w:val="21"/>
          <w:szCs w:val="21"/>
        </w:rPr>
      </w:pPr>
      <w:r>
        <w:rPr>
          <w:rFonts w:ascii="Arial" w:hAnsi="Arial" w:cs="Arial"/>
          <w:b/>
          <w:sz w:val="21"/>
          <w:szCs w:val="21"/>
        </w:rPr>
        <w:t>Figure 9</w:t>
      </w:r>
      <w:r w:rsidRPr="00081C37">
        <w:rPr>
          <w:rFonts w:ascii="Arial" w:hAnsi="Arial" w:cs="Arial"/>
          <w:b/>
          <w:sz w:val="21"/>
          <w:szCs w:val="21"/>
        </w:rPr>
        <w:t xml:space="preserve">: </w:t>
      </w:r>
      <w:r>
        <w:rPr>
          <w:rFonts w:ascii="Arial" w:hAnsi="Arial" w:cs="Arial"/>
          <w:b/>
          <w:sz w:val="21"/>
          <w:szCs w:val="21"/>
        </w:rPr>
        <w:t>Program Logic – Alignment of the 9 objectives of the National TB</w:t>
      </w:r>
      <w:r w:rsidRPr="00D63FC6">
        <w:rPr>
          <w:rFonts w:ascii="Arial" w:hAnsi="Arial" w:cs="Arial"/>
          <w:b/>
          <w:sz w:val="21"/>
          <w:szCs w:val="21"/>
        </w:rPr>
        <w:t xml:space="preserve"> Strategic Plan </w:t>
      </w:r>
      <w:r>
        <w:rPr>
          <w:rFonts w:ascii="Arial" w:hAnsi="Arial" w:cs="Arial"/>
          <w:b/>
          <w:sz w:val="21"/>
          <w:szCs w:val="21"/>
        </w:rPr>
        <w:t xml:space="preserve">with the 5 objectives of the WHO Western Pacific </w:t>
      </w:r>
      <w:r w:rsidRPr="00081C37">
        <w:rPr>
          <w:rFonts w:ascii="Arial" w:hAnsi="Arial" w:cs="Arial"/>
          <w:b/>
          <w:sz w:val="21"/>
          <w:szCs w:val="21"/>
        </w:rPr>
        <w:t>Regional</w:t>
      </w:r>
      <w:r w:rsidRPr="00D63FC6">
        <w:rPr>
          <w:rFonts w:ascii="Arial" w:hAnsi="Arial" w:cs="Arial"/>
          <w:b/>
          <w:sz w:val="21"/>
          <w:szCs w:val="21"/>
        </w:rPr>
        <w:t xml:space="preserve"> Strategy </w:t>
      </w:r>
    </w:p>
    <w:p w:rsidR="008434CC" w:rsidRDefault="004C37E9" w:rsidP="008B665A">
      <w:pPr>
        <w:autoSpaceDE w:val="0"/>
        <w:autoSpaceDN w:val="0"/>
        <w:adjustRightInd w:val="0"/>
        <w:spacing w:line="240" w:lineRule="auto"/>
        <w:jc w:val="center"/>
      </w:pPr>
      <w:r>
        <w:rPr>
          <w:noProof/>
          <w:lang w:val="en-AU" w:eastAsia="en-AU"/>
        </w:rPr>
        <w:pict>
          <v:shape id="Picture 8" o:spid="_x0000_i1035" type="#_x0000_t75" style="width:393pt;height:293.25pt;visibility:visible" o:bordertopcolor="#4f81bd" o:borderleftcolor="#4f81bd" o:borderbottomcolor="#4f81bd" o:borderrightcolor="#4f81bd">
            <v:imagedata r:id="rId25" o:title=""/>
            <w10:bordertop type="single" width="6"/>
            <w10:borderleft type="single" width="6"/>
            <w10:borderbottom type="single" width="6"/>
            <w10:borderright type="single" width="6"/>
          </v:shape>
        </w:pict>
      </w:r>
    </w:p>
    <w:p w:rsidR="008434CC" w:rsidRDefault="008434CC" w:rsidP="006320D5"/>
    <w:p w:rsidR="008434CC" w:rsidRPr="006C5F38" w:rsidRDefault="008434CC" w:rsidP="006320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8434CC" w:rsidRPr="004672B0" w:rsidTr="002327BA">
        <w:tc>
          <w:tcPr>
            <w:tcW w:w="9242" w:type="dxa"/>
            <w:shd w:val="clear" w:color="auto" w:fill="C6D9F1"/>
          </w:tcPr>
          <w:p w:rsidR="008434CC" w:rsidRPr="004672B0" w:rsidRDefault="008434CC" w:rsidP="006C5F38">
            <w:pPr>
              <w:autoSpaceDE w:val="0"/>
              <w:autoSpaceDN w:val="0"/>
              <w:adjustRightInd w:val="0"/>
              <w:spacing w:after="120"/>
              <w:jc w:val="center"/>
              <w:rPr>
                <w:b/>
              </w:rPr>
            </w:pPr>
            <w:r w:rsidRPr="00081C37">
              <w:rPr>
                <w:rFonts w:ascii="Arial" w:hAnsi="Arial" w:cs="Arial"/>
                <w:b/>
                <w:sz w:val="21"/>
                <w:szCs w:val="21"/>
              </w:rPr>
              <w:t>Box 2: International and Regional Goals, Targets and Indicators for TB control</w:t>
            </w:r>
            <w:r>
              <w:rPr>
                <w:rFonts w:ascii="Arial" w:hAnsi="Arial" w:cs="Arial"/>
                <w:b/>
                <w:sz w:val="21"/>
                <w:szCs w:val="21"/>
              </w:rPr>
              <w:t xml:space="preserve"> </w:t>
            </w:r>
          </w:p>
        </w:tc>
      </w:tr>
      <w:tr w:rsidR="008434CC" w:rsidRPr="004672B0" w:rsidTr="002327BA">
        <w:tc>
          <w:tcPr>
            <w:tcW w:w="9242" w:type="dxa"/>
            <w:shd w:val="clear" w:color="auto" w:fill="DBE5F1"/>
          </w:tcPr>
          <w:p w:rsidR="008434CC" w:rsidRPr="004672B0" w:rsidRDefault="008434CC" w:rsidP="00F05C1E">
            <w:pPr>
              <w:autoSpaceDE w:val="0"/>
              <w:autoSpaceDN w:val="0"/>
              <w:adjustRightInd w:val="0"/>
              <w:spacing w:before="60" w:after="60"/>
              <w:jc w:val="center"/>
              <w:rPr>
                <w:b/>
              </w:rPr>
            </w:pPr>
            <w:r w:rsidRPr="004672B0">
              <w:rPr>
                <w:b/>
              </w:rPr>
              <w:t>Millennium Development Goals (2015)</w:t>
            </w:r>
          </w:p>
        </w:tc>
      </w:tr>
      <w:tr w:rsidR="008434CC" w:rsidRPr="004672B0" w:rsidTr="002327BA">
        <w:tc>
          <w:tcPr>
            <w:tcW w:w="9242" w:type="dxa"/>
          </w:tcPr>
          <w:p w:rsidR="008434CC" w:rsidRPr="004672B0" w:rsidRDefault="008434CC" w:rsidP="000633D8">
            <w:pPr>
              <w:autoSpaceDE w:val="0"/>
              <w:autoSpaceDN w:val="0"/>
              <w:adjustRightInd w:val="0"/>
              <w:jc w:val="center"/>
              <w:rPr>
                <w:b/>
              </w:rPr>
            </w:pPr>
            <w:r w:rsidRPr="004672B0">
              <w:rPr>
                <w:b/>
              </w:rPr>
              <w:t>Goal 6: Combat HIV/ AIDS, malaria and other diseases</w:t>
            </w:r>
          </w:p>
          <w:p w:rsidR="008434CC" w:rsidRPr="004672B0" w:rsidRDefault="008434CC" w:rsidP="000633D8">
            <w:pPr>
              <w:autoSpaceDE w:val="0"/>
              <w:autoSpaceDN w:val="0"/>
              <w:adjustRightInd w:val="0"/>
              <w:jc w:val="center"/>
            </w:pPr>
            <w:r w:rsidRPr="004672B0">
              <w:rPr>
                <w:b/>
              </w:rPr>
              <w:t>Target 6c.</w:t>
            </w:r>
            <w:r w:rsidRPr="004672B0">
              <w:t xml:space="preserve"> Halt and begin to reverse the incidence of malaria and other major diseases</w:t>
            </w:r>
          </w:p>
          <w:p w:rsidR="008434CC" w:rsidRPr="004672B0" w:rsidRDefault="008434CC" w:rsidP="000633D8">
            <w:pPr>
              <w:autoSpaceDE w:val="0"/>
              <w:autoSpaceDN w:val="0"/>
              <w:adjustRightInd w:val="0"/>
              <w:jc w:val="center"/>
            </w:pPr>
            <w:r w:rsidRPr="004672B0">
              <w:rPr>
                <w:b/>
              </w:rPr>
              <w:t>Indicator 6.9</w:t>
            </w:r>
            <w:r w:rsidRPr="004672B0">
              <w:t xml:space="preserve"> Incidence, prevalence and death rates associated with TB</w:t>
            </w:r>
          </w:p>
          <w:p w:rsidR="008434CC" w:rsidRPr="004672B0" w:rsidRDefault="008434CC" w:rsidP="000633D8">
            <w:pPr>
              <w:autoSpaceDE w:val="0"/>
              <w:autoSpaceDN w:val="0"/>
              <w:adjustRightInd w:val="0"/>
              <w:jc w:val="center"/>
            </w:pPr>
            <w:r w:rsidRPr="004672B0">
              <w:rPr>
                <w:b/>
              </w:rPr>
              <w:t>Indicator 6.10</w:t>
            </w:r>
            <w:r w:rsidRPr="004672B0">
              <w:t xml:space="preserve"> Proportion of TB cases detected and cured under DOTS</w:t>
            </w:r>
          </w:p>
          <w:p w:rsidR="008434CC" w:rsidRPr="004672B0" w:rsidRDefault="008434CC" w:rsidP="000633D8">
            <w:pPr>
              <w:autoSpaceDE w:val="0"/>
              <w:autoSpaceDN w:val="0"/>
              <w:adjustRightInd w:val="0"/>
              <w:jc w:val="center"/>
            </w:pPr>
          </w:p>
        </w:tc>
      </w:tr>
      <w:tr w:rsidR="008434CC" w:rsidRPr="004672B0" w:rsidTr="002327BA">
        <w:tc>
          <w:tcPr>
            <w:tcW w:w="9242" w:type="dxa"/>
            <w:shd w:val="clear" w:color="auto" w:fill="DBE5F1"/>
          </w:tcPr>
          <w:p w:rsidR="008434CC" w:rsidRPr="004672B0" w:rsidRDefault="008434CC" w:rsidP="00FA63EA">
            <w:pPr>
              <w:keepNext/>
              <w:autoSpaceDE w:val="0"/>
              <w:autoSpaceDN w:val="0"/>
              <w:adjustRightInd w:val="0"/>
              <w:spacing w:before="60" w:after="60"/>
              <w:jc w:val="center"/>
              <w:rPr>
                <w:b/>
              </w:rPr>
            </w:pPr>
            <w:r w:rsidRPr="004672B0">
              <w:rPr>
                <w:b/>
              </w:rPr>
              <w:t>Stop TB Partnership targets (2015 and 2050)</w:t>
            </w:r>
          </w:p>
        </w:tc>
      </w:tr>
      <w:tr w:rsidR="008434CC" w:rsidRPr="004672B0" w:rsidTr="002327BA">
        <w:tc>
          <w:tcPr>
            <w:tcW w:w="9242" w:type="dxa"/>
          </w:tcPr>
          <w:p w:rsidR="008434CC" w:rsidRPr="004672B0" w:rsidRDefault="008434CC" w:rsidP="00FA63EA">
            <w:pPr>
              <w:keepNext/>
              <w:autoSpaceDE w:val="0"/>
              <w:autoSpaceDN w:val="0"/>
              <w:adjustRightInd w:val="0"/>
              <w:jc w:val="center"/>
            </w:pPr>
            <w:r w:rsidRPr="004672B0">
              <w:rPr>
                <w:b/>
              </w:rPr>
              <w:t>By 2015:</w:t>
            </w:r>
            <w:r w:rsidRPr="004672B0">
              <w:t xml:space="preserve"> Reduce TB prevalence and death rates by 50%,  relative to the levels in 1990</w:t>
            </w:r>
          </w:p>
          <w:p w:rsidR="008434CC" w:rsidRPr="004672B0" w:rsidRDefault="008434CC" w:rsidP="00FA63EA">
            <w:pPr>
              <w:keepNext/>
              <w:autoSpaceDE w:val="0"/>
              <w:autoSpaceDN w:val="0"/>
              <w:adjustRightInd w:val="0"/>
              <w:jc w:val="center"/>
            </w:pPr>
            <w:r w:rsidRPr="004672B0">
              <w:rPr>
                <w:b/>
              </w:rPr>
              <w:t>By 2050:</w:t>
            </w:r>
            <w:r w:rsidRPr="004672B0">
              <w:t xml:space="preserve"> Reduce the global incidence of active TB cases to &lt;1 case per million population per year</w:t>
            </w:r>
          </w:p>
          <w:p w:rsidR="008434CC" w:rsidRPr="004672B0" w:rsidRDefault="008434CC" w:rsidP="00FA63EA">
            <w:pPr>
              <w:keepNext/>
              <w:autoSpaceDE w:val="0"/>
              <w:autoSpaceDN w:val="0"/>
              <w:adjustRightInd w:val="0"/>
              <w:jc w:val="center"/>
            </w:pPr>
          </w:p>
        </w:tc>
      </w:tr>
      <w:tr w:rsidR="008434CC" w:rsidRPr="004672B0" w:rsidTr="002327BA">
        <w:tc>
          <w:tcPr>
            <w:tcW w:w="9242" w:type="dxa"/>
            <w:shd w:val="clear" w:color="auto" w:fill="DBE5F1"/>
          </w:tcPr>
          <w:p w:rsidR="008434CC" w:rsidRPr="004672B0" w:rsidRDefault="008434CC" w:rsidP="00E42C0F">
            <w:pPr>
              <w:autoSpaceDE w:val="0"/>
              <w:autoSpaceDN w:val="0"/>
              <w:adjustRightInd w:val="0"/>
              <w:spacing w:before="60" w:after="60"/>
              <w:jc w:val="center"/>
              <w:rPr>
                <w:b/>
              </w:rPr>
            </w:pPr>
            <w:r w:rsidRPr="004672B0">
              <w:rPr>
                <w:b/>
              </w:rPr>
              <w:t>World Health Organization regional targets (2011-2015)*</w:t>
            </w:r>
          </w:p>
        </w:tc>
      </w:tr>
      <w:tr w:rsidR="008434CC" w:rsidRPr="004672B0" w:rsidTr="002327BA">
        <w:tc>
          <w:tcPr>
            <w:tcW w:w="9242" w:type="dxa"/>
          </w:tcPr>
          <w:p w:rsidR="008434CC" w:rsidRPr="004672B0" w:rsidRDefault="008434CC" w:rsidP="000633D8">
            <w:pPr>
              <w:autoSpaceDE w:val="0"/>
              <w:autoSpaceDN w:val="0"/>
              <w:adjustRightInd w:val="0"/>
              <w:jc w:val="center"/>
              <w:rPr>
                <w:rFonts w:eastAsia="MinionPro-Regular"/>
              </w:rPr>
            </w:pPr>
            <w:r w:rsidRPr="004672B0">
              <w:rPr>
                <w:rFonts w:eastAsia="MinionPro-Regular"/>
              </w:rPr>
              <w:t xml:space="preserve">Reduce the prevalence and mortality from all forms of TB by half by 2015, </w:t>
            </w:r>
            <w:r w:rsidRPr="004672B0">
              <w:rPr>
                <w:rFonts w:eastAsia="MinionPro-Regular"/>
              </w:rPr>
              <w:br/>
              <w:t>relative to the levels in 2000</w:t>
            </w:r>
          </w:p>
          <w:p w:rsidR="008434CC" w:rsidRPr="004672B0" w:rsidRDefault="008434CC" w:rsidP="000633D8">
            <w:pPr>
              <w:autoSpaceDE w:val="0"/>
              <w:autoSpaceDN w:val="0"/>
              <w:adjustRightInd w:val="0"/>
              <w:jc w:val="center"/>
              <w:rPr>
                <w:rFonts w:eastAsia="MinionPro-Regular"/>
              </w:rPr>
            </w:pPr>
            <w:r w:rsidRPr="004672B0">
              <w:rPr>
                <w:rFonts w:eastAsia="MinionPro-Regular"/>
              </w:rPr>
              <w:t>Cure rate beyond 85%</w:t>
            </w:r>
          </w:p>
          <w:p w:rsidR="008434CC" w:rsidRPr="004672B0" w:rsidRDefault="008434CC" w:rsidP="000633D8">
            <w:pPr>
              <w:autoSpaceDE w:val="0"/>
              <w:autoSpaceDN w:val="0"/>
              <w:adjustRightInd w:val="0"/>
              <w:jc w:val="center"/>
              <w:rPr>
                <w:rFonts w:eastAsia="MinionPro-Regular"/>
              </w:rPr>
            </w:pPr>
            <w:r w:rsidRPr="004672B0">
              <w:rPr>
                <w:rFonts w:eastAsia="MinionPro-Regular"/>
              </w:rPr>
              <w:t>Increasing case notification rate as a result of intensified case finding</w:t>
            </w:r>
          </w:p>
          <w:p w:rsidR="008434CC" w:rsidRPr="004672B0" w:rsidRDefault="008434CC" w:rsidP="000633D8">
            <w:pPr>
              <w:autoSpaceDE w:val="0"/>
              <w:autoSpaceDN w:val="0"/>
              <w:adjustRightInd w:val="0"/>
              <w:jc w:val="center"/>
              <w:rPr>
                <w:rFonts w:eastAsia="MinionPro-Regular"/>
              </w:rPr>
            </w:pPr>
            <w:r w:rsidRPr="004672B0">
              <w:rPr>
                <w:rFonts w:eastAsia="MinionPro-Regular"/>
              </w:rPr>
              <w:t xml:space="preserve">Country strategy developed for active case finding </w:t>
            </w:r>
          </w:p>
          <w:p w:rsidR="008434CC" w:rsidRPr="004672B0" w:rsidRDefault="008434CC" w:rsidP="000633D8">
            <w:pPr>
              <w:autoSpaceDE w:val="0"/>
              <w:autoSpaceDN w:val="0"/>
              <w:adjustRightInd w:val="0"/>
              <w:jc w:val="center"/>
            </w:pPr>
            <w:r w:rsidRPr="004672B0">
              <w:t>100% of MDR-TB patients have access to adequate treatment</w:t>
            </w:r>
          </w:p>
          <w:p w:rsidR="008434CC" w:rsidRPr="004672B0" w:rsidRDefault="008434CC" w:rsidP="000633D8">
            <w:pPr>
              <w:autoSpaceDE w:val="0"/>
              <w:autoSpaceDN w:val="0"/>
              <w:adjustRightInd w:val="0"/>
              <w:jc w:val="center"/>
            </w:pPr>
          </w:p>
        </w:tc>
      </w:tr>
    </w:tbl>
    <w:p w:rsidR="008434CC" w:rsidRPr="004D34E4" w:rsidRDefault="008434CC" w:rsidP="002327BA">
      <w:pPr>
        <w:autoSpaceDE w:val="0"/>
        <w:autoSpaceDN w:val="0"/>
        <w:adjustRightInd w:val="0"/>
        <w:spacing w:before="60" w:line="240" w:lineRule="auto"/>
        <w:rPr>
          <w:sz w:val="18"/>
          <w:szCs w:val="18"/>
        </w:rPr>
      </w:pPr>
      <w:r w:rsidRPr="004D34E4">
        <w:rPr>
          <w:sz w:val="18"/>
          <w:szCs w:val="18"/>
        </w:rPr>
        <w:t xml:space="preserve">*A selection of relevant targets is presented in this </w:t>
      </w:r>
      <w:r>
        <w:rPr>
          <w:sz w:val="18"/>
          <w:szCs w:val="18"/>
        </w:rPr>
        <w:t>Box</w:t>
      </w:r>
      <w:r w:rsidRPr="004D34E4">
        <w:rPr>
          <w:sz w:val="18"/>
          <w:szCs w:val="18"/>
        </w:rPr>
        <w:t xml:space="preserve">; the complete list of targets is available in the </w:t>
      </w:r>
      <w:r w:rsidRPr="00367489">
        <w:rPr>
          <w:i/>
          <w:sz w:val="18"/>
          <w:szCs w:val="18"/>
        </w:rPr>
        <w:t>Regional Strategy to Stop Tuberculosis in the Western Pacific 2011–2015</w:t>
      </w:r>
      <w:r w:rsidRPr="004D34E4">
        <w:rPr>
          <w:sz w:val="18"/>
          <w:szCs w:val="18"/>
        </w:rPr>
        <w:t xml:space="preserve">. </w:t>
      </w:r>
    </w:p>
    <w:p w:rsidR="008434CC" w:rsidRPr="006C5F38" w:rsidRDefault="008434CC" w:rsidP="006320D5"/>
    <w:p w:rsidR="008434CC" w:rsidRDefault="008434CC" w:rsidP="00455CAE">
      <w:pPr>
        <w:pStyle w:val="Heading2"/>
      </w:pPr>
      <w:bookmarkStart w:id="29" w:name="_Toc331686088"/>
      <w:r>
        <w:t>3</w:t>
      </w:r>
      <w:r w:rsidRPr="006F5675">
        <w:t>.</w:t>
      </w:r>
      <w:r>
        <w:t>5</w:t>
      </w:r>
      <w:r w:rsidRPr="006F5675">
        <w:t xml:space="preserve"> </w:t>
      </w:r>
      <w:r>
        <w:t>Alignment with SPC Strategies</w:t>
      </w:r>
      <w:bookmarkEnd w:id="29"/>
    </w:p>
    <w:p w:rsidR="008434CC" w:rsidRDefault="008434CC" w:rsidP="006320D5">
      <w:r>
        <w:t>Finally</w:t>
      </w:r>
      <w:r w:rsidRPr="002200A9">
        <w:t>, th</w:t>
      </w:r>
      <w:r>
        <w:t>e</w:t>
      </w:r>
      <w:r w:rsidRPr="002200A9">
        <w:t xml:space="preserve"> proposed </w:t>
      </w:r>
      <w:r>
        <w:t>P</w:t>
      </w:r>
      <w:r w:rsidRPr="002200A9">
        <w:t xml:space="preserve">roject </w:t>
      </w:r>
      <w:r>
        <w:t>will support</w:t>
      </w:r>
      <w:r w:rsidRPr="002200A9">
        <w:t xml:space="preserve"> the goal of SPC’s </w:t>
      </w:r>
      <w:r w:rsidRPr="00B60A09">
        <w:rPr>
          <w:i/>
        </w:rPr>
        <w:t>Public Health Division Strategic Plan</w:t>
      </w:r>
      <w:r>
        <w:t xml:space="preserve">, </w:t>
      </w:r>
      <w:r>
        <w:rPr>
          <w:i/>
        </w:rPr>
        <w:t>2010-2014</w:t>
      </w:r>
      <w:r w:rsidRPr="00EA6081">
        <w:t xml:space="preserve">, </w:t>
      </w:r>
      <w:r w:rsidRPr="002200A9">
        <w:t>which is</w:t>
      </w:r>
      <w:r>
        <w:t>:</w:t>
      </w:r>
      <w:r w:rsidRPr="002200A9">
        <w:t xml:space="preserve"> </w:t>
      </w:r>
    </w:p>
    <w:p w:rsidR="008434CC" w:rsidRDefault="008434CC" w:rsidP="006320D5">
      <w:pPr>
        <w:ind w:left="720"/>
      </w:pPr>
      <w:r w:rsidRPr="00B60A09">
        <w:rPr>
          <w:i/>
        </w:rPr>
        <w:t>To assist Pacific Island countries and territories to achieve improved health outcomes and thereby safeguard and protect the health of Pacific Island people</w:t>
      </w:r>
      <w:r w:rsidRPr="002200A9">
        <w:t>.</w:t>
      </w:r>
      <w:r>
        <w:t xml:space="preserve"> </w:t>
      </w:r>
      <w:r w:rsidRPr="002200A9">
        <w:t xml:space="preserve"> </w:t>
      </w:r>
    </w:p>
    <w:p w:rsidR="008434CC" w:rsidRDefault="008434CC" w:rsidP="006320D5">
      <w:pPr>
        <w:spacing w:before="180"/>
      </w:pPr>
      <w:r>
        <w:t xml:space="preserve">The Project also aligns closely with the </w:t>
      </w:r>
      <w:r w:rsidRPr="002200A9">
        <w:t>four main objectives</w:t>
      </w:r>
      <w:r>
        <w:t xml:space="preserve"> of the </w:t>
      </w:r>
      <w:r w:rsidRPr="00B60A09">
        <w:rPr>
          <w:i/>
        </w:rPr>
        <w:t>Strategic Plan</w:t>
      </w:r>
      <w:r>
        <w:t>, which are to</w:t>
      </w:r>
      <w:r w:rsidRPr="002200A9">
        <w:t>:</w:t>
      </w:r>
    </w:p>
    <w:p w:rsidR="008434CC" w:rsidRDefault="008434CC" w:rsidP="00B916EC">
      <w:pPr>
        <w:pStyle w:val="ListParagraph"/>
        <w:numPr>
          <w:ilvl w:val="0"/>
          <w:numId w:val="20"/>
        </w:numPr>
        <w:autoSpaceDE w:val="0"/>
        <w:autoSpaceDN w:val="0"/>
        <w:adjustRightInd w:val="0"/>
        <w:spacing w:line="240" w:lineRule="auto"/>
        <w:ind w:left="851" w:hanging="425"/>
      </w:pPr>
      <w:r>
        <w:t>R</w:t>
      </w:r>
      <w:r w:rsidRPr="00C96B36">
        <w:t xml:space="preserve">educe the overall impact and burden </w:t>
      </w:r>
      <w:r>
        <w:t>of disease;</w:t>
      </w:r>
    </w:p>
    <w:p w:rsidR="008434CC" w:rsidRDefault="008434CC" w:rsidP="00B916EC">
      <w:pPr>
        <w:pStyle w:val="ListParagraph"/>
        <w:numPr>
          <w:ilvl w:val="0"/>
          <w:numId w:val="20"/>
        </w:numPr>
        <w:autoSpaceDE w:val="0"/>
        <w:autoSpaceDN w:val="0"/>
        <w:adjustRightInd w:val="0"/>
        <w:spacing w:line="240" w:lineRule="auto"/>
        <w:ind w:left="851" w:hanging="425"/>
      </w:pPr>
      <w:r>
        <w:t>C</w:t>
      </w:r>
      <w:r w:rsidRPr="00C96B36">
        <w:t>ontribute towards strengthened national health systems</w:t>
      </w:r>
      <w:r>
        <w:t>;</w:t>
      </w:r>
    </w:p>
    <w:p w:rsidR="008434CC" w:rsidRDefault="008434CC" w:rsidP="00B916EC">
      <w:pPr>
        <w:pStyle w:val="ListParagraph"/>
        <w:numPr>
          <w:ilvl w:val="0"/>
          <w:numId w:val="20"/>
        </w:numPr>
        <w:autoSpaceDE w:val="0"/>
        <w:autoSpaceDN w:val="0"/>
        <w:adjustRightInd w:val="0"/>
        <w:spacing w:line="240" w:lineRule="auto"/>
        <w:ind w:left="851" w:hanging="425"/>
      </w:pPr>
      <w:r>
        <w:t>I</w:t>
      </w:r>
      <w:r w:rsidRPr="00C96B36">
        <w:t>ncrease the capacity of PICT</w:t>
      </w:r>
      <w:r>
        <w:t>s</w:t>
      </w:r>
      <w:r w:rsidRPr="00C96B36">
        <w:t xml:space="preserve"> to address the non-health sector determinants of health; and </w:t>
      </w:r>
    </w:p>
    <w:p w:rsidR="008434CC" w:rsidRDefault="008434CC" w:rsidP="00B916EC">
      <w:pPr>
        <w:pStyle w:val="ListParagraph"/>
        <w:numPr>
          <w:ilvl w:val="0"/>
          <w:numId w:val="20"/>
        </w:numPr>
        <w:autoSpaceDE w:val="0"/>
        <w:autoSpaceDN w:val="0"/>
        <w:adjustRightInd w:val="0"/>
        <w:spacing w:line="240" w:lineRule="auto"/>
        <w:ind w:left="851" w:hanging="425"/>
      </w:pPr>
      <w:r>
        <w:t>I</w:t>
      </w:r>
      <w:r w:rsidRPr="00C96B36">
        <w:t>ncrease the scope, efficiency and impact of interventions.</w:t>
      </w:r>
    </w:p>
    <w:p w:rsidR="008434CC" w:rsidRPr="00353B51" w:rsidRDefault="008434CC" w:rsidP="00D30F81"/>
    <w:p w:rsidR="008434CC" w:rsidRDefault="008434CC">
      <w:pPr>
        <w:spacing w:before="0" w:after="200"/>
        <w:rPr>
          <w:rFonts w:ascii="Cambria" w:hAnsi="Cambria"/>
          <w:b/>
          <w:bCs/>
          <w:color w:val="365F91"/>
          <w:sz w:val="32"/>
          <w:szCs w:val="28"/>
        </w:rPr>
      </w:pPr>
      <w:r>
        <w:br w:type="page"/>
      </w:r>
    </w:p>
    <w:p w:rsidR="008434CC" w:rsidRPr="002200A9" w:rsidRDefault="008434CC" w:rsidP="004A1669">
      <w:pPr>
        <w:pStyle w:val="Heading1"/>
      </w:pPr>
      <w:bookmarkStart w:id="30" w:name="_Toc331686089"/>
      <w:r>
        <w:t>4. Lessons Learned from QTBECP</w:t>
      </w:r>
      <w:bookmarkEnd w:id="30"/>
    </w:p>
    <w:p w:rsidR="008434CC" w:rsidRDefault="008434CC" w:rsidP="00882280">
      <w:r w:rsidRPr="004351BA">
        <w:t>Project funding ha</w:t>
      </w:r>
      <w:r>
        <w:t>s</w:t>
      </w:r>
      <w:r w:rsidRPr="004351BA">
        <w:t xml:space="preserve"> supported significant improvements to the NTP infrastructure and TB services across the country</w:t>
      </w:r>
      <w:r>
        <w:t xml:space="preserve">; these have been </w:t>
      </w:r>
      <w:r w:rsidRPr="004351BA">
        <w:t xml:space="preserve">outlined in </w:t>
      </w:r>
      <w:r>
        <w:t xml:space="preserve">the </w:t>
      </w:r>
      <w:r w:rsidRPr="004351BA">
        <w:t xml:space="preserve">annual </w:t>
      </w:r>
      <w:r>
        <w:t xml:space="preserve">QTBECP </w:t>
      </w:r>
      <w:r w:rsidRPr="004351BA">
        <w:t>reports to AusAID</w:t>
      </w:r>
      <w:r>
        <w:t xml:space="preserve"> and the reports of independent reviews of Phase 1 and Phase 2</w:t>
      </w:r>
      <w:r w:rsidRPr="004351BA">
        <w:t>.</w:t>
      </w:r>
    </w:p>
    <w:p w:rsidR="008434CC" w:rsidRPr="004351BA" w:rsidRDefault="008434CC" w:rsidP="00882280">
      <w:pPr>
        <w:rPr>
          <w:rStyle w:val="Style11ptBlack"/>
          <w:rFonts w:ascii="Calibri" w:hAnsi="Calibri" w:cs="Calibri"/>
          <w:sz w:val="22"/>
        </w:rPr>
      </w:pPr>
      <w:r w:rsidRPr="004351BA">
        <w:rPr>
          <w:rStyle w:val="Style11ptBlack"/>
          <w:rFonts w:ascii="Calibri" w:hAnsi="Calibri" w:cs="Calibri"/>
          <w:sz w:val="22"/>
        </w:rPr>
        <w:t xml:space="preserve">Both </w:t>
      </w:r>
      <w:r>
        <w:rPr>
          <w:rStyle w:val="Style11ptBlack"/>
          <w:rFonts w:ascii="Calibri" w:hAnsi="Calibri" w:cs="Calibri"/>
          <w:sz w:val="22"/>
        </w:rPr>
        <w:t xml:space="preserve">independent </w:t>
      </w:r>
      <w:r w:rsidRPr="004351BA">
        <w:rPr>
          <w:rStyle w:val="Style11ptBlack"/>
          <w:rFonts w:ascii="Calibri" w:hAnsi="Calibri" w:cs="Calibri"/>
          <w:sz w:val="22"/>
        </w:rPr>
        <w:t xml:space="preserve">reviews </w:t>
      </w:r>
      <w:r>
        <w:rPr>
          <w:rStyle w:val="Style11ptBlack"/>
          <w:rFonts w:ascii="Calibri" w:hAnsi="Calibri" w:cs="Calibri"/>
          <w:sz w:val="22"/>
        </w:rPr>
        <w:t>describe how</w:t>
      </w:r>
      <w:r w:rsidRPr="004351BA">
        <w:rPr>
          <w:rStyle w:val="Style11ptBlack"/>
          <w:rFonts w:ascii="Calibri" w:hAnsi="Calibri" w:cs="Calibri"/>
          <w:sz w:val="22"/>
        </w:rPr>
        <w:t>, since 2006, the Project ha</w:t>
      </w:r>
      <w:r>
        <w:rPr>
          <w:rStyle w:val="Style11ptBlack"/>
          <w:rFonts w:ascii="Calibri" w:hAnsi="Calibri" w:cs="Calibri"/>
          <w:sz w:val="22"/>
        </w:rPr>
        <w:t>s</w:t>
      </w:r>
      <w:r w:rsidRPr="004351BA">
        <w:rPr>
          <w:rStyle w:val="Style11ptBlack"/>
          <w:rFonts w:ascii="Calibri" w:hAnsi="Calibri" w:cs="Calibri"/>
          <w:sz w:val="22"/>
        </w:rPr>
        <w:t xml:space="preserve"> </w:t>
      </w:r>
      <w:r>
        <w:rPr>
          <w:rStyle w:val="Style11ptBlack"/>
          <w:rFonts w:ascii="Calibri" w:hAnsi="Calibri" w:cs="Calibri"/>
          <w:sz w:val="22"/>
        </w:rPr>
        <w:t xml:space="preserve">functioned </w:t>
      </w:r>
      <w:r w:rsidRPr="004351BA">
        <w:rPr>
          <w:rStyle w:val="Style11ptBlack"/>
          <w:rFonts w:ascii="Calibri" w:hAnsi="Calibri" w:cs="Calibri"/>
          <w:sz w:val="22"/>
        </w:rPr>
        <w:t xml:space="preserve">as an innovative ‘pathfinder’ project to identify </w:t>
      </w:r>
      <w:r>
        <w:rPr>
          <w:rStyle w:val="Style11ptBlack"/>
          <w:rFonts w:ascii="Calibri" w:hAnsi="Calibri" w:cs="Calibri"/>
          <w:sz w:val="22"/>
        </w:rPr>
        <w:t xml:space="preserve">and strengthen </w:t>
      </w:r>
      <w:r w:rsidRPr="004351BA">
        <w:rPr>
          <w:rStyle w:val="Style11ptBlack"/>
          <w:rFonts w:ascii="Calibri" w:hAnsi="Calibri" w:cs="Calibri"/>
          <w:sz w:val="22"/>
        </w:rPr>
        <w:t xml:space="preserve">appropriate strategies for addressing the TB epidemic in Kiribati – particularly through supporting and strengthening the NTP’s implementation of the DOTS strategy.  </w:t>
      </w:r>
    </w:p>
    <w:p w:rsidR="008434CC" w:rsidRDefault="008434CC" w:rsidP="00882280">
      <w:r>
        <w:t>However, the emergence of MDR-TB remains a potentially destructive and very expensive threat to TB control across the Pacific.</w:t>
      </w:r>
      <w:r>
        <w:rPr>
          <w:rStyle w:val="FootnoteReference"/>
        </w:rPr>
        <w:footnoteReference w:id="19"/>
      </w:r>
      <w:r>
        <w:t xml:space="preserve">  The Marshall Islands and Chuuk in the Federated States of Micronesia have both recorded outbreaks of MDR-TB, and sporadic cases have been detected in other PICTs (including Kiribati</w:t>
      </w:r>
      <w:r w:rsidRPr="00EA6081">
        <w:t xml:space="preserve"> </w:t>
      </w:r>
      <w:r>
        <w:t>and, more recently, in Palau and Cook Islands).</w:t>
      </w:r>
    </w:p>
    <w:p w:rsidR="008434CC" w:rsidRPr="002200A9" w:rsidRDefault="008434CC" w:rsidP="00190373">
      <w:pPr>
        <w:pStyle w:val="Heading2"/>
      </w:pPr>
      <w:bookmarkStart w:id="31" w:name="_Toc331686090"/>
      <w:r>
        <w:t>4.1 Impact of the Project</w:t>
      </w:r>
      <w:bookmarkEnd w:id="31"/>
    </w:p>
    <w:p w:rsidR="008434CC" w:rsidRPr="004351BA" w:rsidRDefault="008434CC" w:rsidP="004334AA">
      <w:pPr>
        <w:rPr>
          <w:rStyle w:val="Style11ptBlack"/>
          <w:rFonts w:ascii="Calibri" w:hAnsi="Calibri" w:cs="Calibri"/>
          <w:sz w:val="22"/>
        </w:rPr>
      </w:pPr>
      <w:r w:rsidRPr="004351BA">
        <w:rPr>
          <w:rStyle w:val="Style11ptBlack"/>
          <w:rFonts w:ascii="Calibri" w:hAnsi="Calibri" w:cs="Calibri"/>
          <w:sz w:val="22"/>
        </w:rPr>
        <w:t xml:space="preserve">The Phase 2 review noted that reported </w:t>
      </w:r>
      <w:r w:rsidRPr="004351BA">
        <w:rPr>
          <w:color w:val="000000"/>
        </w:rPr>
        <w:t xml:space="preserve">TB </w:t>
      </w:r>
      <w:r w:rsidRPr="004351BA">
        <w:rPr>
          <w:rStyle w:val="Style11ptBlack"/>
          <w:rFonts w:ascii="Calibri" w:hAnsi="Calibri" w:cs="Calibri"/>
          <w:sz w:val="22"/>
        </w:rPr>
        <w:t>incidence and prevalence</w:t>
      </w:r>
      <w:r w:rsidRPr="004351BA">
        <w:rPr>
          <w:color w:val="000000"/>
        </w:rPr>
        <w:t xml:space="preserve"> rates had started to decline, and that no further cases of MDR-TB had been detected</w:t>
      </w:r>
      <w:r w:rsidRPr="004351BA">
        <w:rPr>
          <w:rStyle w:val="Style11ptBlack"/>
          <w:rFonts w:ascii="Calibri" w:hAnsi="Calibri" w:cs="Calibri"/>
          <w:sz w:val="22"/>
        </w:rPr>
        <w:t>.  Following the peak in total notifications in 2006</w:t>
      </w:r>
      <w:r>
        <w:rPr>
          <w:rStyle w:val="Style11ptBlack"/>
          <w:rFonts w:ascii="Calibri" w:hAnsi="Calibri" w:cs="Calibri"/>
          <w:sz w:val="22"/>
        </w:rPr>
        <w:t xml:space="preserve"> (</w:t>
      </w:r>
      <w:r w:rsidRPr="00333FC5">
        <w:rPr>
          <w:rStyle w:val="Style11ptBlack"/>
          <w:rFonts w:ascii="Calibri" w:hAnsi="Calibri" w:cs="Calibri"/>
          <w:sz w:val="22"/>
        </w:rPr>
        <w:t>375 cases</w:t>
      </w:r>
      <w:r>
        <w:rPr>
          <w:rStyle w:val="Style11ptBlack"/>
          <w:rFonts w:ascii="Calibri" w:hAnsi="Calibri" w:cs="Calibri"/>
          <w:sz w:val="22"/>
        </w:rPr>
        <w:t>;</w:t>
      </w:r>
      <w:r w:rsidRPr="00333FC5">
        <w:rPr>
          <w:rStyle w:val="Style11ptBlack"/>
          <w:rFonts w:ascii="Calibri" w:hAnsi="Calibri" w:cs="Calibri"/>
          <w:sz w:val="22"/>
        </w:rPr>
        <w:t xml:space="preserve"> crude notification rate 399 per 100,000</w:t>
      </w:r>
      <w:r>
        <w:rPr>
          <w:rStyle w:val="Style11ptBlack"/>
          <w:rFonts w:ascii="Calibri" w:hAnsi="Calibri" w:cs="Calibri"/>
          <w:sz w:val="22"/>
        </w:rPr>
        <w:t>)</w:t>
      </w:r>
      <w:r w:rsidRPr="004351BA">
        <w:rPr>
          <w:rStyle w:val="Style11ptBlack"/>
          <w:rFonts w:ascii="Calibri" w:hAnsi="Calibri" w:cs="Calibri"/>
          <w:sz w:val="22"/>
        </w:rPr>
        <w:t xml:space="preserve">, there had been a gradual decline in reported cases and notification rates for all forms of TB to 2010 (294 cases; 284 per 100,000), </w:t>
      </w:r>
      <w:r>
        <w:rPr>
          <w:rStyle w:val="Style11ptBlack"/>
          <w:rFonts w:ascii="Calibri" w:hAnsi="Calibri" w:cs="Calibri"/>
          <w:sz w:val="22"/>
        </w:rPr>
        <w:t>although with</w:t>
      </w:r>
      <w:r w:rsidRPr="004351BA">
        <w:rPr>
          <w:rStyle w:val="Style11ptBlack"/>
          <w:rFonts w:ascii="Calibri" w:hAnsi="Calibri" w:cs="Calibri"/>
          <w:sz w:val="22"/>
        </w:rPr>
        <w:t xml:space="preserve"> a slower rate of decline among sputum smear positive (SS+) cases</w:t>
      </w:r>
      <w:r>
        <w:rPr>
          <w:rStyle w:val="Style11ptBlack"/>
          <w:rFonts w:ascii="Calibri" w:hAnsi="Calibri" w:cs="Calibri"/>
          <w:sz w:val="22"/>
        </w:rPr>
        <w:t xml:space="preserve"> (which may reflect errors in diagnosis or poor quality of specimens)</w:t>
      </w:r>
      <w:r w:rsidRPr="004351BA">
        <w:rPr>
          <w:rStyle w:val="Style11ptBlack"/>
          <w:rFonts w:ascii="Calibri" w:hAnsi="Calibri" w:cs="Calibri"/>
          <w:sz w:val="22"/>
        </w:rPr>
        <w:t xml:space="preserve">.  </w:t>
      </w:r>
    </w:p>
    <w:p w:rsidR="008434CC" w:rsidRPr="00F52408" w:rsidRDefault="008434CC" w:rsidP="004334AA">
      <w:pPr>
        <w:rPr>
          <w:rStyle w:val="Style11ptBlack"/>
          <w:rFonts w:ascii="Calibri" w:hAnsi="Calibri" w:cs="Calibri"/>
          <w:sz w:val="22"/>
        </w:rPr>
      </w:pPr>
      <w:r w:rsidRPr="00F52408">
        <w:rPr>
          <w:rStyle w:val="Style11ptBlack"/>
          <w:rFonts w:ascii="Calibri" w:hAnsi="Calibri" w:cs="Calibri"/>
          <w:sz w:val="22"/>
        </w:rPr>
        <w:t xml:space="preserve">The treatment success (92% for all forms of TB, 97% for SS+ pulmonary TB) and case detection rates (86% for all forms) have remained high and above </w:t>
      </w:r>
      <w:r>
        <w:rPr>
          <w:rStyle w:val="Style11ptBlack"/>
          <w:rFonts w:ascii="Calibri" w:hAnsi="Calibri" w:cs="Calibri"/>
          <w:sz w:val="22"/>
        </w:rPr>
        <w:t xml:space="preserve">NTP </w:t>
      </w:r>
      <w:r w:rsidRPr="00F52408">
        <w:rPr>
          <w:rStyle w:val="Style11ptBlack"/>
          <w:rFonts w:ascii="Calibri" w:hAnsi="Calibri" w:cs="Calibri"/>
          <w:sz w:val="22"/>
        </w:rPr>
        <w:t>targets</w:t>
      </w:r>
      <w:r>
        <w:rPr>
          <w:color w:val="000000"/>
        </w:rPr>
        <w:t>; re-treatment cases are uncommon</w:t>
      </w:r>
      <w:r w:rsidRPr="00F52408">
        <w:rPr>
          <w:rStyle w:val="Style11ptBlack"/>
          <w:rFonts w:ascii="Calibri" w:hAnsi="Calibri" w:cs="Calibri"/>
          <w:sz w:val="22"/>
        </w:rPr>
        <w:t xml:space="preserve">. </w:t>
      </w:r>
      <w:r>
        <w:rPr>
          <w:rStyle w:val="Style11ptBlack"/>
          <w:rFonts w:ascii="Calibri" w:hAnsi="Calibri" w:cs="Calibri"/>
          <w:sz w:val="22"/>
        </w:rPr>
        <w:t xml:space="preserve"> However – as has also been noted in Section 2 of the present document – some improvement in case detection is still needed (and possible), especially as declines in SS+ cases remain slower than for other forms of TB.</w:t>
      </w:r>
    </w:p>
    <w:p w:rsidR="008434CC" w:rsidRPr="007B69E2" w:rsidRDefault="008434CC" w:rsidP="00917AC0">
      <w:pPr>
        <w:rPr>
          <w:color w:val="000000"/>
        </w:rPr>
      </w:pPr>
      <w:r w:rsidRPr="007B69E2">
        <w:rPr>
          <w:color w:val="000000"/>
        </w:rPr>
        <w:t xml:space="preserve">The smear positivity rate among TB suspects has also declined, from 20% in 2008 to 12% in 2010 – </w:t>
      </w:r>
      <w:r w:rsidRPr="00F52408">
        <w:rPr>
          <w:rStyle w:val="Style11ptBlack"/>
          <w:rFonts w:ascii="Calibri" w:hAnsi="Calibri" w:cs="Calibri"/>
          <w:sz w:val="22"/>
        </w:rPr>
        <w:t xml:space="preserve">close to </w:t>
      </w:r>
      <w:r w:rsidRPr="007B69E2">
        <w:rPr>
          <w:color w:val="000000"/>
        </w:rPr>
        <w:t xml:space="preserve">the WHO recommended proportion of 10% (which suggests better identification and screening of TB suspects). </w:t>
      </w:r>
    </w:p>
    <w:p w:rsidR="008434CC" w:rsidRPr="002200A9" w:rsidRDefault="008434CC" w:rsidP="00190373">
      <w:pPr>
        <w:pStyle w:val="Heading2"/>
      </w:pPr>
      <w:bookmarkStart w:id="32" w:name="_Toc331686091"/>
      <w:r>
        <w:t>4.2 Enhanced Quality and Capacity</w:t>
      </w:r>
      <w:r w:rsidRPr="009E197B">
        <w:t xml:space="preserve"> </w:t>
      </w:r>
      <w:r>
        <w:t>of NTP Activities</w:t>
      </w:r>
      <w:bookmarkEnd w:id="32"/>
    </w:p>
    <w:p w:rsidR="008434CC" w:rsidRPr="00B15A06" w:rsidRDefault="008434CC" w:rsidP="00882280">
      <w:pPr>
        <w:rPr>
          <w:rStyle w:val="Style11ptBlack"/>
          <w:rFonts w:ascii="Calibri" w:hAnsi="Calibri" w:cs="Calibri"/>
          <w:sz w:val="22"/>
        </w:rPr>
      </w:pPr>
      <w:r w:rsidRPr="00A34243">
        <w:rPr>
          <w:rStyle w:val="Style11ptBlack"/>
          <w:rFonts w:ascii="Calibri" w:hAnsi="Calibri" w:cs="Calibri"/>
          <w:sz w:val="22"/>
        </w:rPr>
        <w:t>The QTBECP cont</w:t>
      </w:r>
      <w:r>
        <w:rPr>
          <w:rStyle w:val="Style11ptBlack"/>
          <w:rFonts w:ascii="Calibri" w:hAnsi="Calibri" w:cs="Calibri"/>
          <w:sz w:val="22"/>
        </w:rPr>
        <w:t>r</w:t>
      </w:r>
      <w:r w:rsidRPr="00A34243">
        <w:rPr>
          <w:rStyle w:val="Style11ptBlack"/>
          <w:rFonts w:ascii="Calibri" w:hAnsi="Calibri" w:cs="Calibri"/>
          <w:sz w:val="22"/>
        </w:rPr>
        <w:t>i</w:t>
      </w:r>
      <w:r>
        <w:rPr>
          <w:rStyle w:val="Style11ptBlack"/>
          <w:rFonts w:ascii="Calibri" w:hAnsi="Calibri" w:cs="Calibri"/>
          <w:sz w:val="22"/>
        </w:rPr>
        <w:t>b</w:t>
      </w:r>
      <w:r w:rsidRPr="00A34243">
        <w:rPr>
          <w:rStyle w:val="Style11ptBlack"/>
          <w:rFonts w:ascii="Calibri" w:hAnsi="Calibri" w:cs="Calibri"/>
          <w:sz w:val="22"/>
        </w:rPr>
        <w:t>u</w:t>
      </w:r>
      <w:r>
        <w:rPr>
          <w:rStyle w:val="Style11ptBlack"/>
          <w:rFonts w:ascii="Calibri" w:hAnsi="Calibri" w:cs="Calibri"/>
          <w:sz w:val="22"/>
        </w:rPr>
        <w:t>t</w:t>
      </w:r>
      <w:r w:rsidRPr="00A34243">
        <w:rPr>
          <w:rStyle w:val="Style11ptBlack"/>
          <w:rFonts w:ascii="Calibri" w:hAnsi="Calibri" w:cs="Calibri"/>
          <w:sz w:val="22"/>
        </w:rPr>
        <w:t xml:space="preserve">es to the quality and timeliness of diagnosis and treatment of TB at all levels.  The completion of the </w:t>
      </w:r>
      <w:r>
        <w:rPr>
          <w:rStyle w:val="Style11ptBlack"/>
          <w:rFonts w:ascii="Calibri" w:hAnsi="Calibri" w:cs="Calibri"/>
          <w:sz w:val="22"/>
        </w:rPr>
        <w:t xml:space="preserve">national </w:t>
      </w:r>
      <w:r w:rsidRPr="00A34243">
        <w:rPr>
          <w:rStyle w:val="Style11ptBlack"/>
          <w:rFonts w:ascii="Calibri" w:hAnsi="Calibri" w:cs="Calibri"/>
          <w:sz w:val="22"/>
        </w:rPr>
        <w:t xml:space="preserve">TB Control Centre (TBCC) and laboratory and the provision of transportation, training and technical support to community TB workers has been particularly </w:t>
      </w:r>
      <w:r w:rsidRPr="00A34243">
        <w:rPr>
          <w:rStyle w:val="Style11ptBlack"/>
          <w:rFonts w:ascii="Calibri" w:hAnsi="Calibri" w:cs="Calibri"/>
          <w:sz w:val="22"/>
        </w:rPr>
        <w:lastRenderedPageBreak/>
        <w:t>important</w:t>
      </w:r>
      <w:r>
        <w:rPr>
          <w:rStyle w:val="Style11ptBlack"/>
          <w:rFonts w:ascii="Calibri" w:hAnsi="Calibri" w:cs="Calibri"/>
          <w:sz w:val="22"/>
        </w:rPr>
        <w:t xml:space="preserve">.  (Complementary support has been provided by the Global Fund for 22 community-based </w:t>
      </w:r>
      <w:r w:rsidRPr="00B15A06">
        <w:rPr>
          <w:rStyle w:val="Style11ptBlack"/>
          <w:rFonts w:ascii="Calibri" w:hAnsi="Calibri" w:cs="Calibri"/>
          <w:sz w:val="22"/>
        </w:rPr>
        <w:t xml:space="preserve">and other positions in the expanded NTP; see also </w:t>
      </w:r>
      <w:r w:rsidRPr="00B15A06">
        <w:rPr>
          <w:rStyle w:val="Style11ptBlack"/>
          <w:rFonts w:ascii="Calibri" w:hAnsi="Calibri" w:cs="Calibri"/>
          <w:i/>
          <w:sz w:val="22"/>
        </w:rPr>
        <w:t>Project Funded Positions</w:t>
      </w:r>
      <w:r w:rsidRPr="00B15A06">
        <w:rPr>
          <w:rStyle w:val="Style11ptBlack"/>
          <w:rFonts w:ascii="Calibri" w:hAnsi="Calibri" w:cs="Calibri"/>
          <w:sz w:val="22"/>
        </w:rPr>
        <w:t xml:space="preserve">, Section 6.4).  </w:t>
      </w:r>
    </w:p>
    <w:p w:rsidR="008434CC" w:rsidRPr="00A34243" w:rsidRDefault="008434CC" w:rsidP="00882280">
      <w:pPr>
        <w:rPr>
          <w:rStyle w:val="Style11ptBlack"/>
          <w:rFonts w:ascii="Calibri" w:hAnsi="Calibri" w:cs="Calibri"/>
          <w:sz w:val="22"/>
        </w:rPr>
      </w:pPr>
      <w:r w:rsidRPr="00A34243">
        <w:rPr>
          <w:rStyle w:val="Style11ptBlack"/>
          <w:rFonts w:ascii="Calibri" w:hAnsi="Calibri" w:cs="Calibri"/>
          <w:sz w:val="22"/>
        </w:rPr>
        <w:t xml:space="preserve">Other than minor errors of quantification, the performance of the TBCC laboratory on external quality assurance </w:t>
      </w:r>
      <w:r>
        <w:rPr>
          <w:rStyle w:val="Style11ptBlack"/>
          <w:rFonts w:ascii="Calibri" w:hAnsi="Calibri" w:cs="Calibri"/>
          <w:sz w:val="22"/>
        </w:rPr>
        <w:t xml:space="preserve">schemes (EQAS) </w:t>
      </w:r>
      <w:r w:rsidRPr="00A34243">
        <w:rPr>
          <w:rStyle w:val="Style11ptBlack"/>
          <w:rFonts w:ascii="Calibri" w:hAnsi="Calibri" w:cs="Calibri"/>
          <w:sz w:val="22"/>
        </w:rPr>
        <w:t xml:space="preserve">for TB microscopy has been close to 100%.  The imminent </w:t>
      </w:r>
      <w:r>
        <w:rPr>
          <w:rStyle w:val="Style11ptBlack"/>
          <w:rFonts w:ascii="Calibri" w:hAnsi="Calibri" w:cs="Calibri"/>
          <w:sz w:val="22"/>
        </w:rPr>
        <w:t xml:space="preserve">(albeit delayed) </w:t>
      </w:r>
      <w:r w:rsidRPr="00A34243">
        <w:rPr>
          <w:rStyle w:val="Style11ptBlack"/>
          <w:rFonts w:ascii="Calibri" w:hAnsi="Calibri" w:cs="Calibri"/>
          <w:sz w:val="22"/>
        </w:rPr>
        <w:t xml:space="preserve">establishment of culture facilities </w:t>
      </w:r>
      <w:r>
        <w:rPr>
          <w:rStyle w:val="Style11ptBlack"/>
          <w:rFonts w:ascii="Calibri" w:hAnsi="Calibri" w:cs="Calibri"/>
          <w:sz w:val="22"/>
        </w:rPr>
        <w:t xml:space="preserve">in the TB laboratory </w:t>
      </w:r>
      <w:r w:rsidRPr="00A34243">
        <w:rPr>
          <w:rStyle w:val="Style11ptBlack"/>
          <w:rFonts w:ascii="Calibri" w:hAnsi="Calibri" w:cs="Calibri"/>
          <w:sz w:val="22"/>
        </w:rPr>
        <w:t xml:space="preserve">represents a major step forward in diagnosis and treatment monitoring in Kiribati.  </w:t>
      </w:r>
    </w:p>
    <w:p w:rsidR="008434CC" w:rsidRPr="00A34243" w:rsidRDefault="008434CC" w:rsidP="00B15A06">
      <w:pPr>
        <w:rPr>
          <w:rStyle w:val="Style11ptBlack"/>
          <w:rFonts w:ascii="Calibri" w:hAnsi="Calibri" w:cs="Calibri"/>
          <w:sz w:val="22"/>
        </w:rPr>
      </w:pPr>
      <w:r w:rsidRPr="00A34243">
        <w:rPr>
          <w:rStyle w:val="Style11ptBlack"/>
          <w:rFonts w:ascii="Calibri" w:hAnsi="Calibri" w:cs="Calibri"/>
          <w:sz w:val="22"/>
        </w:rPr>
        <w:t xml:space="preserve">New molecular technologies for TB diagnosis </w:t>
      </w:r>
      <w:r>
        <w:rPr>
          <w:rStyle w:val="Style11ptBlack"/>
          <w:rFonts w:ascii="Calibri" w:hAnsi="Calibri" w:cs="Calibri"/>
          <w:sz w:val="22"/>
        </w:rPr>
        <w:t xml:space="preserve">(e.g. procurement of a </w:t>
      </w:r>
      <w:r w:rsidRPr="00C70E91">
        <w:rPr>
          <w:rStyle w:val="Style11ptBlack"/>
          <w:rFonts w:ascii="Calibri" w:hAnsi="Calibri" w:cs="Calibri"/>
          <w:i/>
          <w:sz w:val="22"/>
        </w:rPr>
        <w:t>GeneXpert</w:t>
      </w:r>
      <w:r>
        <w:rPr>
          <w:rStyle w:val="Style11ptBlack"/>
          <w:rFonts w:ascii="Calibri" w:hAnsi="Calibri" w:cs="Calibri"/>
          <w:sz w:val="22"/>
        </w:rPr>
        <w:t xml:space="preserve"> machine) </w:t>
      </w:r>
      <w:r w:rsidRPr="00A34243">
        <w:rPr>
          <w:rStyle w:val="Style11ptBlack"/>
          <w:rFonts w:ascii="Calibri" w:hAnsi="Calibri" w:cs="Calibri"/>
          <w:sz w:val="22"/>
        </w:rPr>
        <w:t xml:space="preserve">and drug sensitivity testing </w:t>
      </w:r>
      <w:r>
        <w:rPr>
          <w:rStyle w:val="Style11ptBlack"/>
          <w:rFonts w:ascii="Calibri" w:hAnsi="Calibri" w:cs="Calibri"/>
          <w:sz w:val="22"/>
        </w:rPr>
        <w:t xml:space="preserve">(DST) </w:t>
      </w:r>
      <w:r w:rsidRPr="00A34243">
        <w:rPr>
          <w:rStyle w:val="Style11ptBlack"/>
          <w:rFonts w:ascii="Calibri" w:hAnsi="Calibri" w:cs="Calibri"/>
          <w:sz w:val="22"/>
        </w:rPr>
        <w:t xml:space="preserve">will be the next steps for laboratory development, but </w:t>
      </w:r>
      <w:r>
        <w:rPr>
          <w:rStyle w:val="Style11ptBlack"/>
          <w:rFonts w:ascii="Calibri" w:hAnsi="Calibri" w:cs="Calibri"/>
          <w:sz w:val="22"/>
        </w:rPr>
        <w:t xml:space="preserve">would be subject to careful policy analysis to guide </w:t>
      </w:r>
      <w:r w:rsidRPr="00A34243">
        <w:rPr>
          <w:rStyle w:val="Style11ptBlack"/>
          <w:rFonts w:ascii="Calibri" w:hAnsi="Calibri" w:cs="Calibri"/>
          <w:sz w:val="22"/>
        </w:rPr>
        <w:t xml:space="preserve">the evolving National Laboratory </w:t>
      </w:r>
      <w:r>
        <w:rPr>
          <w:rStyle w:val="Style11ptBlack"/>
          <w:rFonts w:ascii="Calibri" w:hAnsi="Calibri" w:cs="Calibri"/>
          <w:sz w:val="22"/>
        </w:rPr>
        <w:t>Strateg</w:t>
      </w:r>
      <w:r w:rsidRPr="00A34243">
        <w:rPr>
          <w:rStyle w:val="Style11ptBlack"/>
          <w:rFonts w:ascii="Calibri" w:hAnsi="Calibri" w:cs="Calibri"/>
          <w:sz w:val="22"/>
        </w:rPr>
        <w:t>y and Plan.</w:t>
      </w:r>
      <w:r>
        <w:rPr>
          <w:rStyle w:val="Style11ptBlack"/>
          <w:rFonts w:ascii="Calibri" w:hAnsi="Calibri" w:cs="Calibri"/>
          <w:sz w:val="22"/>
        </w:rPr>
        <w:t xml:space="preserve">  This will help to reduce the gap between SS+ and SS- pulmonary TB, which remains wider than expected in a low-HIV environment.</w:t>
      </w:r>
    </w:p>
    <w:p w:rsidR="008434CC" w:rsidRDefault="008434CC" w:rsidP="00B15A06">
      <w:pPr>
        <w:rPr>
          <w:rStyle w:val="Style11ptBlack"/>
          <w:rFonts w:ascii="Calibri" w:hAnsi="Calibri" w:cs="Calibri"/>
          <w:sz w:val="22"/>
        </w:rPr>
      </w:pPr>
      <w:r w:rsidRPr="00A34243">
        <w:rPr>
          <w:rStyle w:val="Style11ptBlack"/>
          <w:rFonts w:ascii="Calibri" w:hAnsi="Calibri" w:cs="Calibri"/>
          <w:sz w:val="22"/>
        </w:rPr>
        <w:t xml:space="preserve">The application of evidence-based diagnosis and treatment protocols and fluctuations in the availability of first-line </w:t>
      </w:r>
      <w:r>
        <w:rPr>
          <w:rStyle w:val="Style11ptBlack"/>
          <w:rFonts w:ascii="Calibri" w:hAnsi="Calibri" w:cs="Calibri"/>
          <w:sz w:val="22"/>
        </w:rPr>
        <w:t xml:space="preserve">TB </w:t>
      </w:r>
      <w:r w:rsidRPr="00A34243">
        <w:rPr>
          <w:rStyle w:val="Style11ptBlack"/>
          <w:rFonts w:ascii="Calibri" w:hAnsi="Calibri" w:cs="Calibri"/>
          <w:sz w:val="22"/>
        </w:rPr>
        <w:t>drugs (despite assistance from the Global Drug Facility</w:t>
      </w:r>
      <w:r>
        <w:rPr>
          <w:rStyle w:val="Style11ptBlack"/>
          <w:rFonts w:ascii="Calibri" w:hAnsi="Calibri" w:cs="Calibri"/>
          <w:sz w:val="22"/>
        </w:rPr>
        <w:t>; GDF</w:t>
      </w:r>
      <w:r w:rsidRPr="00A34243">
        <w:rPr>
          <w:rStyle w:val="Style11ptBlack"/>
          <w:rFonts w:ascii="Calibri" w:hAnsi="Calibri" w:cs="Calibri"/>
          <w:sz w:val="22"/>
        </w:rPr>
        <w:t xml:space="preserve">) are residual challenges that </w:t>
      </w:r>
      <w:r>
        <w:rPr>
          <w:rStyle w:val="Style11ptBlack"/>
          <w:rFonts w:ascii="Calibri" w:hAnsi="Calibri" w:cs="Calibri"/>
          <w:sz w:val="22"/>
        </w:rPr>
        <w:t>need to be addressed to consolidate the quality of NTP management and operations</w:t>
      </w:r>
      <w:r w:rsidRPr="00A34243">
        <w:rPr>
          <w:rStyle w:val="Style11ptBlack"/>
          <w:rFonts w:ascii="Calibri" w:hAnsi="Calibri" w:cs="Calibri"/>
          <w:sz w:val="22"/>
        </w:rPr>
        <w:t xml:space="preserve">.  </w:t>
      </w:r>
    </w:p>
    <w:p w:rsidR="008434CC" w:rsidRPr="002200A9" w:rsidRDefault="008434CC" w:rsidP="00190373">
      <w:pPr>
        <w:pStyle w:val="Heading2"/>
      </w:pPr>
      <w:bookmarkStart w:id="33" w:name="_Toc331686092"/>
      <w:r>
        <w:t xml:space="preserve">4.3 </w:t>
      </w:r>
      <w:r w:rsidRPr="00C70E91">
        <w:t>High-Risk Communities in South Tarawa</w:t>
      </w:r>
      <w:bookmarkEnd w:id="33"/>
    </w:p>
    <w:p w:rsidR="008434CC" w:rsidRPr="00C70E91" w:rsidRDefault="008434CC" w:rsidP="00B15A06">
      <w:pPr>
        <w:rPr>
          <w:rStyle w:val="Style11ptBlack"/>
          <w:rFonts w:ascii="Calibri" w:hAnsi="Calibri" w:cs="Calibri"/>
          <w:sz w:val="22"/>
        </w:rPr>
      </w:pPr>
      <w:r w:rsidRPr="00C70E91">
        <w:rPr>
          <w:rStyle w:val="Style11ptBlack"/>
          <w:rFonts w:ascii="Calibri" w:hAnsi="Calibri" w:cs="Calibri"/>
          <w:sz w:val="22"/>
        </w:rPr>
        <w:t xml:space="preserve">Further analysis of South Tarawa NTP data indicates that, in addition to </w:t>
      </w:r>
      <w:r>
        <w:rPr>
          <w:rStyle w:val="Style11ptBlack"/>
          <w:rFonts w:ascii="Calibri" w:hAnsi="Calibri" w:cs="Calibri"/>
          <w:sz w:val="22"/>
        </w:rPr>
        <w:t>recognis</w:t>
      </w:r>
      <w:r w:rsidRPr="00C70E91">
        <w:rPr>
          <w:rStyle w:val="Style11ptBlack"/>
          <w:rFonts w:ascii="Calibri" w:hAnsi="Calibri" w:cs="Calibri"/>
          <w:sz w:val="22"/>
        </w:rPr>
        <w:t xml:space="preserve">ed ‘hot spots’ (Betio, Bairiki, Teaoraereke and Bikenibeu), some intensification of active case finding may be indicated in Antenon and Antebuka, Banraeaba, Ambo, Eita, Temwaiku, Bonriki and Buota. </w:t>
      </w:r>
    </w:p>
    <w:p w:rsidR="008434CC" w:rsidRPr="00C70E91" w:rsidRDefault="008434CC" w:rsidP="00B15A06">
      <w:pPr>
        <w:rPr>
          <w:rStyle w:val="Style11ptBlack"/>
          <w:rFonts w:ascii="Calibri" w:hAnsi="Calibri" w:cs="Calibri"/>
          <w:sz w:val="22"/>
        </w:rPr>
      </w:pPr>
      <w:r w:rsidRPr="00C70E91">
        <w:rPr>
          <w:rStyle w:val="Style11ptBlack"/>
          <w:rFonts w:ascii="Calibri" w:hAnsi="Calibri" w:cs="Calibri"/>
          <w:sz w:val="22"/>
        </w:rPr>
        <w:t xml:space="preserve">Given the population and work force constraints on South Tarawa, intensified TB screening in these communities needs to be adequately resourced and done in a way that maximises integration with other areas of community based primary health care (PHC) but is still closely monitored and able to generate sufficient evidence to inform future strategies and health policy.  This would involve </w:t>
      </w:r>
      <w:r>
        <w:rPr>
          <w:rStyle w:val="Style11ptBlack"/>
          <w:rFonts w:ascii="Calibri" w:hAnsi="Calibri" w:cs="Calibri"/>
          <w:sz w:val="22"/>
        </w:rPr>
        <w:t xml:space="preserve">engagement with Public Health Nurses (PHN) and other </w:t>
      </w:r>
      <w:r w:rsidRPr="00C70E91">
        <w:rPr>
          <w:rStyle w:val="Style11ptBlack"/>
          <w:rFonts w:ascii="Calibri" w:hAnsi="Calibri" w:cs="Calibri"/>
          <w:sz w:val="22"/>
        </w:rPr>
        <w:t>community health personnel</w:t>
      </w:r>
      <w:r>
        <w:rPr>
          <w:rStyle w:val="Style11ptBlack"/>
          <w:rFonts w:ascii="Calibri" w:hAnsi="Calibri" w:cs="Calibri"/>
          <w:sz w:val="22"/>
        </w:rPr>
        <w:t>,</w:t>
      </w:r>
      <w:r w:rsidRPr="00C70E91">
        <w:rPr>
          <w:rStyle w:val="Style11ptBlack"/>
          <w:rFonts w:ascii="Calibri" w:hAnsi="Calibri" w:cs="Calibri"/>
          <w:sz w:val="22"/>
        </w:rPr>
        <w:t xml:space="preserve"> and a more active health promotion approach</w:t>
      </w:r>
      <w:r>
        <w:rPr>
          <w:rStyle w:val="Style11ptBlack"/>
          <w:rFonts w:ascii="Calibri" w:hAnsi="Calibri" w:cs="Calibri"/>
          <w:sz w:val="22"/>
        </w:rPr>
        <w:t xml:space="preserve"> (</w:t>
      </w:r>
      <w:r w:rsidRPr="00C70E91">
        <w:rPr>
          <w:rStyle w:val="Style11ptBlack"/>
          <w:rFonts w:ascii="Calibri" w:hAnsi="Calibri" w:cs="Calibri"/>
          <w:sz w:val="22"/>
        </w:rPr>
        <w:t>similar to the more integrated model already practised in the outer islands</w:t>
      </w:r>
      <w:r>
        <w:rPr>
          <w:rStyle w:val="Style11ptBlack"/>
          <w:rFonts w:ascii="Calibri" w:hAnsi="Calibri" w:cs="Calibri"/>
          <w:sz w:val="22"/>
        </w:rPr>
        <w:t>)</w:t>
      </w:r>
      <w:r w:rsidRPr="00C70E91">
        <w:rPr>
          <w:rStyle w:val="Style11ptBlack"/>
          <w:rFonts w:ascii="Calibri" w:hAnsi="Calibri" w:cs="Calibri"/>
          <w:sz w:val="22"/>
        </w:rPr>
        <w:t>.</w:t>
      </w:r>
    </w:p>
    <w:p w:rsidR="008434CC" w:rsidRDefault="008434CC" w:rsidP="00B15A06">
      <w:pPr>
        <w:rPr>
          <w:rStyle w:val="Style11ptBlack"/>
          <w:rFonts w:ascii="Calibri" w:hAnsi="Calibri" w:cs="Calibri"/>
          <w:sz w:val="22"/>
        </w:rPr>
      </w:pPr>
      <w:r w:rsidRPr="00C70E91">
        <w:rPr>
          <w:rStyle w:val="Style11ptBlack"/>
          <w:rFonts w:ascii="Calibri" w:hAnsi="Calibri" w:cs="Calibri"/>
          <w:sz w:val="22"/>
        </w:rPr>
        <w:t xml:space="preserve">TB screening is in place for higher risk institutional populations (i.e. prisoners, psychiatric patients) but this is in need of periodic </w:t>
      </w:r>
      <w:r>
        <w:rPr>
          <w:rStyle w:val="Style11ptBlack"/>
          <w:rFonts w:ascii="Calibri" w:hAnsi="Calibri" w:cs="Calibri"/>
          <w:sz w:val="22"/>
        </w:rPr>
        <w:t xml:space="preserve">evaluation, </w:t>
      </w:r>
      <w:r w:rsidRPr="00C70E91">
        <w:rPr>
          <w:rStyle w:val="Style11ptBlack"/>
          <w:rFonts w:ascii="Calibri" w:hAnsi="Calibri" w:cs="Calibri"/>
          <w:sz w:val="22"/>
        </w:rPr>
        <w:t xml:space="preserve">maintenance and support.  </w:t>
      </w:r>
    </w:p>
    <w:p w:rsidR="008434CC" w:rsidRPr="002200A9" w:rsidRDefault="008434CC" w:rsidP="00190373">
      <w:pPr>
        <w:pStyle w:val="Heading2"/>
      </w:pPr>
      <w:bookmarkStart w:id="34" w:name="_Toc331686093"/>
      <w:r>
        <w:t xml:space="preserve">4.4 </w:t>
      </w:r>
      <w:r w:rsidRPr="00C70E91">
        <w:t>Expand</w:t>
      </w:r>
      <w:r>
        <w:t>ed</w:t>
      </w:r>
      <w:r w:rsidRPr="00C70E91">
        <w:t xml:space="preserve"> DOTS Coverage to Outer Islands</w:t>
      </w:r>
      <w:bookmarkEnd w:id="34"/>
    </w:p>
    <w:p w:rsidR="008434CC" w:rsidRDefault="008434CC" w:rsidP="00C402E3">
      <w:pPr>
        <w:rPr>
          <w:rStyle w:val="Style11ptBlack"/>
          <w:rFonts w:ascii="Calibri" w:hAnsi="Calibri" w:cs="Calibri"/>
          <w:sz w:val="22"/>
        </w:rPr>
      </w:pPr>
      <w:r>
        <w:rPr>
          <w:rStyle w:val="Style11ptBlack"/>
          <w:rFonts w:ascii="Calibri" w:hAnsi="Calibri" w:cs="Calibri"/>
          <w:sz w:val="22"/>
        </w:rPr>
        <w:t>In the outer islands, TB treatment and contact tracing are devolved to Nurse Aides at the community level, who work under the supervision of a Medical Assistant based on the island.  Overall guidance is provided by Tarawa-based District Nurse Managers, while the project-funded NTP Coordinator and Contact Tracing Nurses provide coaching on quality of care and oversight of outcomes for individual cases and their contacts.</w:t>
      </w:r>
    </w:p>
    <w:p w:rsidR="008434CC" w:rsidRDefault="008434CC" w:rsidP="00C402E3">
      <w:pPr>
        <w:rPr>
          <w:rStyle w:val="Style11ptBlack"/>
          <w:rFonts w:ascii="Calibri" w:hAnsi="Calibri" w:cs="Calibri"/>
          <w:sz w:val="22"/>
        </w:rPr>
      </w:pPr>
      <w:r w:rsidRPr="00C70E91">
        <w:rPr>
          <w:rStyle w:val="Style11ptBlack"/>
          <w:rFonts w:ascii="Calibri" w:hAnsi="Calibri" w:cs="Calibri"/>
          <w:sz w:val="22"/>
        </w:rPr>
        <w:t>In the Gilberts Group, the latest data suggest a need for some intensification of active case finding in Abemama, Maiama and Makin (in addition to maintaining activities in the identified outer island ‘hot spots’ of Abaiang, Nonouti, North Tarawa and Tabiteuea North).</w:t>
      </w:r>
    </w:p>
    <w:p w:rsidR="008434CC" w:rsidRPr="002200A9" w:rsidRDefault="008434CC" w:rsidP="00190373">
      <w:pPr>
        <w:pStyle w:val="Heading2"/>
      </w:pPr>
      <w:bookmarkStart w:id="35" w:name="_Toc331686094"/>
      <w:r>
        <w:lastRenderedPageBreak/>
        <w:t>4.5 Co-Morbidities and Inter-Program Linkages</w:t>
      </w:r>
      <w:bookmarkEnd w:id="35"/>
    </w:p>
    <w:p w:rsidR="008434CC" w:rsidRPr="00C70E91" w:rsidRDefault="008434CC" w:rsidP="00C70E91">
      <w:pPr>
        <w:rPr>
          <w:rStyle w:val="Style11ptBlack"/>
          <w:rFonts w:ascii="Calibri" w:hAnsi="Calibri" w:cs="Calibri"/>
          <w:sz w:val="22"/>
        </w:rPr>
      </w:pPr>
      <w:r w:rsidRPr="00C70E91">
        <w:rPr>
          <w:rStyle w:val="Style11ptBlack"/>
          <w:rFonts w:ascii="Calibri" w:hAnsi="Calibri" w:cs="Calibri"/>
          <w:sz w:val="22"/>
        </w:rPr>
        <w:t>TB screening is generally integrated into pre-test counselling in the HIV program, and the TB program provides universal access to provider</w:t>
      </w:r>
      <w:r>
        <w:rPr>
          <w:rStyle w:val="Style11ptBlack"/>
          <w:rFonts w:ascii="Calibri" w:hAnsi="Calibri" w:cs="Calibri"/>
          <w:sz w:val="22"/>
        </w:rPr>
        <w:t>-</w:t>
      </w:r>
      <w:r w:rsidRPr="00C70E91">
        <w:rPr>
          <w:rStyle w:val="Style11ptBlack"/>
          <w:rFonts w:ascii="Calibri" w:hAnsi="Calibri" w:cs="Calibri"/>
          <w:sz w:val="22"/>
        </w:rPr>
        <w:t xml:space="preserve">initiated testing and counselling (PITC) for HIV (with an estimated uptake of 50-70%).  However, documentation to assist monitoring the quality and coverage of service provision is lacking in both programs.  Awareness of the benefits of isoniazid (IPT) and co-trimoxazole preventive therapy for people living with HIV infection is limited. </w:t>
      </w:r>
    </w:p>
    <w:p w:rsidR="008434CC" w:rsidRPr="00C70E91" w:rsidRDefault="008434CC" w:rsidP="00C70E91">
      <w:pPr>
        <w:rPr>
          <w:rStyle w:val="Style11ptBlack"/>
          <w:rFonts w:ascii="Calibri" w:hAnsi="Calibri" w:cs="Calibri"/>
          <w:sz w:val="22"/>
        </w:rPr>
      </w:pPr>
      <w:r w:rsidRPr="00C70E91">
        <w:rPr>
          <w:rStyle w:val="Style11ptBlack"/>
          <w:rFonts w:ascii="Calibri" w:hAnsi="Calibri" w:cs="Calibri"/>
          <w:sz w:val="22"/>
        </w:rPr>
        <w:t xml:space="preserve">The NTP and NCD clinic have continued to promote IPT for diabetic contacts of diagnosed TB cases – </w:t>
      </w:r>
      <w:r>
        <w:rPr>
          <w:rStyle w:val="Style11ptBlack"/>
          <w:rFonts w:ascii="Calibri" w:hAnsi="Calibri" w:cs="Calibri"/>
          <w:sz w:val="22"/>
        </w:rPr>
        <w:t xml:space="preserve">but </w:t>
      </w:r>
      <w:r w:rsidRPr="00C70E91">
        <w:rPr>
          <w:rStyle w:val="Style11ptBlack"/>
          <w:rFonts w:ascii="Calibri" w:hAnsi="Calibri" w:cs="Calibri"/>
          <w:sz w:val="22"/>
        </w:rPr>
        <w:t xml:space="preserve">without thorough documentation.  </w:t>
      </w:r>
    </w:p>
    <w:p w:rsidR="008434CC" w:rsidRDefault="008434CC" w:rsidP="00C70E91">
      <w:pPr>
        <w:rPr>
          <w:rStyle w:val="Style11ptBlack"/>
          <w:rFonts w:ascii="Calibri" w:hAnsi="Calibri" w:cs="Calibri"/>
          <w:sz w:val="22"/>
        </w:rPr>
      </w:pPr>
      <w:r w:rsidRPr="00C70E91">
        <w:rPr>
          <w:rStyle w:val="Style11ptBlack"/>
          <w:rFonts w:ascii="Calibri" w:hAnsi="Calibri" w:cs="Calibri"/>
          <w:sz w:val="22"/>
        </w:rPr>
        <w:t xml:space="preserve">Inter-program meetings to review policies and performance are </w:t>
      </w:r>
      <w:r>
        <w:rPr>
          <w:rStyle w:val="Style11ptBlack"/>
          <w:rFonts w:ascii="Calibri" w:hAnsi="Calibri" w:cs="Calibri"/>
          <w:sz w:val="22"/>
        </w:rPr>
        <w:t xml:space="preserve">important to improving the quality of care for patients with co-morbid conditions, but take place </w:t>
      </w:r>
      <w:r w:rsidRPr="00C70E91">
        <w:rPr>
          <w:rStyle w:val="Style11ptBlack"/>
          <w:rFonts w:ascii="Calibri" w:hAnsi="Calibri" w:cs="Calibri"/>
          <w:sz w:val="22"/>
        </w:rPr>
        <w:t>very infrequent</w:t>
      </w:r>
      <w:r>
        <w:rPr>
          <w:rStyle w:val="Style11ptBlack"/>
          <w:rFonts w:ascii="Calibri" w:hAnsi="Calibri" w:cs="Calibri"/>
          <w:sz w:val="22"/>
        </w:rPr>
        <w:t>ly</w:t>
      </w:r>
      <w:r w:rsidRPr="00C70E91">
        <w:rPr>
          <w:rStyle w:val="Style11ptBlack"/>
          <w:rFonts w:ascii="Calibri" w:hAnsi="Calibri" w:cs="Calibri"/>
          <w:sz w:val="22"/>
        </w:rPr>
        <w:t>.</w:t>
      </w:r>
    </w:p>
    <w:p w:rsidR="008434CC" w:rsidRPr="002200A9" w:rsidRDefault="008434CC" w:rsidP="00190373">
      <w:pPr>
        <w:pStyle w:val="Heading2"/>
      </w:pPr>
      <w:bookmarkStart w:id="36" w:name="_Toc331686095"/>
      <w:r>
        <w:t>4.6 Development Effectiveness</w:t>
      </w:r>
      <w:bookmarkEnd w:id="36"/>
    </w:p>
    <w:p w:rsidR="008434CC" w:rsidRDefault="008434CC" w:rsidP="00C402E3">
      <w:pPr>
        <w:rPr>
          <w:rStyle w:val="Style11ptBlack"/>
          <w:rFonts w:ascii="Calibri" w:hAnsi="Calibri" w:cs="Calibri"/>
          <w:sz w:val="22"/>
        </w:rPr>
      </w:pPr>
      <w:r w:rsidRPr="004F4EB4">
        <w:rPr>
          <w:rStyle w:val="Style11ptBlack"/>
          <w:rFonts w:ascii="Calibri" w:hAnsi="Calibri" w:cs="Calibri"/>
          <w:sz w:val="22"/>
        </w:rPr>
        <w:t>Despite being termed a project, the QTBECP beg</w:t>
      </w:r>
      <w:r>
        <w:rPr>
          <w:rStyle w:val="Style11ptBlack"/>
          <w:rFonts w:ascii="Calibri" w:hAnsi="Calibri" w:cs="Calibri"/>
          <w:sz w:val="22"/>
        </w:rPr>
        <w:t>a</w:t>
      </w:r>
      <w:r w:rsidRPr="004F4EB4">
        <w:rPr>
          <w:rStyle w:val="Style11ptBlack"/>
          <w:rFonts w:ascii="Calibri" w:hAnsi="Calibri" w:cs="Calibri"/>
          <w:sz w:val="22"/>
        </w:rPr>
        <w:t xml:space="preserve">n to follow a more programmatic approach during Phase 2; it </w:t>
      </w:r>
      <w:r>
        <w:rPr>
          <w:rStyle w:val="Style11ptBlack"/>
          <w:rFonts w:ascii="Calibri" w:hAnsi="Calibri" w:cs="Calibri"/>
          <w:sz w:val="22"/>
        </w:rPr>
        <w:t xml:space="preserve">now </w:t>
      </w:r>
      <w:r w:rsidRPr="004F4EB4">
        <w:rPr>
          <w:rStyle w:val="Style11ptBlack"/>
          <w:rFonts w:ascii="Calibri" w:hAnsi="Calibri" w:cs="Calibri"/>
          <w:sz w:val="22"/>
        </w:rPr>
        <w:t xml:space="preserve">has a </w:t>
      </w:r>
      <w:r>
        <w:rPr>
          <w:rStyle w:val="Style11ptBlack"/>
          <w:rFonts w:ascii="Calibri" w:hAnsi="Calibri" w:cs="Calibri"/>
          <w:sz w:val="22"/>
        </w:rPr>
        <w:t xml:space="preserve">more </w:t>
      </w:r>
      <w:r w:rsidRPr="004F4EB4">
        <w:rPr>
          <w:rStyle w:val="Style11ptBlack"/>
          <w:rFonts w:ascii="Calibri" w:hAnsi="Calibri" w:cs="Calibri"/>
          <w:sz w:val="22"/>
        </w:rPr>
        <w:t>responsive implementation strategy that is closely (and increasing) aligned with NTP priorities, and partially harmonised with the Global Fund Round 7 TB project</w:t>
      </w:r>
      <w:r>
        <w:rPr>
          <w:rStyle w:val="Style11ptBlack"/>
          <w:rFonts w:ascii="Calibri" w:hAnsi="Calibri" w:cs="Calibri"/>
          <w:sz w:val="22"/>
        </w:rPr>
        <w:t>.  This trend will be further supported during the proposed new project.</w:t>
      </w:r>
    </w:p>
    <w:p w:rsidR="008434CC" w:rsidRDefault="008434CC" w:rsidP="00A34243">
      <w:pPr>
        <w:rPr>
          <w:rStyle w:val="Style11ptBlack"/>
          <w:rFonts w:ascii="Calibri" w:hAnsi="Calibri" w:cs="Calibri"/>
          <w:sz w:val="22"/>
        </w:rPr>
      </w:pPr>
      <w:r>
        <w:rPr>
          <w:rStyle w:val="Style11ptBlack"/>
          <w:rFonts w:ascii="Calibri" w:hAnsi="Calibri" w:cs="Calibri"/>
          <w:sz w:val="22"/>
        </w:rPr>
        <w:t xml:space="preserve">In relation to </w:t>
      </w:r>
      <w:r w:rsidRPr="00F66A2A">
        <w:rPr>
          <w:rStyle w:val="Style11ptBlack"/>
          <w:rFonts w:ascii="Calibri" w:hAnsi="Calibri" w:cs="Calibri"/>
          <w:sz w:val="22"/>
        </w:rPr>
        <w:t xml:space="preserve">the </w:t>
      </w:r>
      <w:r w:rsidRPr="006B7AC6">
        <w:rPr>
          <w:rStyle w:val="Style11ptBlack"/>
          <w:rFonts w:ascii="Calibri" w:hAnsi="Calibri" w:cs="Calibri"/>
          <w:sz w:val="22"/>
        </w:rPr>
        <w:t xml:space="preserve">Organisation for Economic Co-operation and Development </w:t>
      </w:r>
      <w:r>
        <w:rPr>
          <w:rStyle w:val="Style11ptBlack"/>
          <w:rFonts w:ascii="Calibri" w:hAnsi="Calibri" w:cs="Calibri"/>
          <w:sz w:val="22"/>
        </w:rPr>
        <w:t xml:space="preserve">(OECD) </w:t>
      </w:r>
      <w:r w:rsidRPr="006B7AC6">
        <w:rPr>
          <w:rStyle w:val="Style11ptBlack"/>
          <w:rFonts w:ascii="Calibri" w:hAnsi="Calibri" w:cs="Calibri"/>
          <w:sz w:val="22"/>
        </w:rPr>
        <w:t xml:space="preserve">Development Assistance Committee </w:t>
      </w:r>
      <w:r>
        <w:rPr>
          <w:rStyle w:val="Style11ptBlack"/>
          <w:rFonts w:ascii="Calibri" w:hAnsi="Calibri" w:cs="Calibri"/>
          <w:sz w:val="22"/>
        </w:rPr>
        <w:t>(</w:t>
      </w:r>
      <w:r w:rsidRPr="00F66A2A">
        <w:rPr>
          <w:rStyle w:val="Style11ptBlack"/>
          <w:rFonts w:ascii="Calibri" w:hAnsi="Calibri" w:cs="Calibri"/>
          <w:sz w:val="22"/>
        </w:rPr>
        <w:t>DAC</w:t>
      </w:r>
      <w:r>
        <w:rPr>
          <w:rStyle w:val="Style11ptBlack"/>
          <w:rFonts w:ascii="Calibri" w:hAnsi="Calibri" w:cs="Calibri"/>
          <w:sz w:val="22"/>
        </w:rPr>
        <w:t>)</w:t>
      </w:r>
      <w:r w:rsidRPr="00F66A2A">
        <w:rPr>
          <w:rStyle w:val="Style11ptBlack"/>
          <w:rFonts w:ascii="Calibri" w:hAnsi="Calibri" w:cs="Calibri"/>
          <w:sz w:val="22"/>
        </w:rPr>
        <w:t xml:space="preserve"> </w:t>
      </w:r>
      <w:r>
        <w:rPr>
          <w:rStyle w:val="Style11ptBlack"/>
          <w:rFonts w:ascii="Calibri" w:hAnsi="Calibri" w:cs="Calibri"/>
          <w:sz w:val="22"/>
        </w:rPr>
        <w:t xml:space="preserve">assessment </w:t>
      </w:r>
      <w:r w:rsidRPr="00F66A2A">
        <w:rPr>
          <w:rStyle w:val="Style11ptBlack"/>
          <w:rFonts w:ascii="Calibri" w:hAnsi="Calibri" w:cs="Calibri"/>
          <w:sz w:val="22"/>
        </w:rPr>
        <w:t xml:space="preserve">criteria and </w:t>
      </w:r>
      <w:r>
        <w:rPr>
          <w:rStyle w:val="Style11ptBlack"/>
          <w:rFonts w:ascii="Calibri" w:hAnsi="Calibri" w:cs="Calibri"/>
          <w:sz w:val="22"/>
        </w:rPr>
        <w:t xml:space="preserve">the </w:t>
      </w:r>
      <w:r w:rsidRPr="00F66A2A">
        <w:rPr>
          <w:rStyle w:val="Style11ptBlack"/>
          <w:rFonts w:ascii="Calibri" w:hAnsi="Calibri" w:cs="Calibri"/>
          <w:sz w:val="22"/>
        </w:rPr>
        <w:t xml:space="preserve">related </w:t>
      </w:r>
      <w:r w:rsidRPr="00EE1866">
        <w:rPr>
          <w:rStyle w:val="Style11ptBlack"/>
          <w:rFonts w:ascii="Calibri" w:hAnsi="Calibri" w:cs="Calibri"/>
          <w:sz w:val="22"/>
        </w:rPr>
        <w:t>AusAID Quality at Implementation</w:t>
      </w:r>
      <w:r>
        <w:rPr>
          <w:rStyle w:val="Style11ptBlack"/>
          <w:rFonts w:ascii="Calibri" w:hAnsi="Calibri" w:cs="Calibri"/>
          <w:sz w:val="22"/>
        </w:rPr>
        <w:t xml:space="preserve"> (QAI) scoring system,</w:t>
      </w:r>
      <w:r w:rsidRPr="00F66A2A">
        <w:rPr>
          <w:rStyle w:val="Style11ptBlack"/>
          <w:rFonts w:ascii="Calibri" w:hAnsi="Calibri" w:cs="Calibri"/>
          <w:sz w:val="22"/>
        </w:rPr>
        <w:t xml:space="preserve"> </w:t>
      </w:r>
      <w:r>
        <w:rPr>
          <w:rStyle w:val="Style11ptBlack"/>
          <w:rFonts w:ascii="Calibri" w:hAnsi="Calibri" w:cs="Calibri"/>
          <w:sz w:val="22"/>
        </w:rPr>
        <w:t>Phase 2 of the Project rated extremely well for relevance and effectiveness and moderately well for efficiency, gender equity and analysis and learning</w:t>
      </w:r>
      <w:r w:rsidRPr="006D4233">
        <w:rPr>
          <w:rStyle w:val="Style11ptBlack"/>
          <w:rFonts w:ascii="Calibri" w:hAnsi="Calibri" w:cs="Calibri"/>
          <w:sz w:val="22"/>
        </w:rPr>
        <w:t xml:space="preserve">.  </w:t>
      </w:r>
    </w:p>
    <w:p w:rsidR="008434CC" w:rsidRDefault="008434CC" w:rsidP="00A34243">
      <w:pPr>
        <w:rPr>
          <w:rStyle w:val="Style11ptBlack"/>
          <w:rFonts w:ascii="Calibri" w:hAnsi="Calibri" w:cs="Calibri"/>
          <w:sz w:val="22"/>
        </w:rPr>
      </w:pPr>
      <w:r>
        <w:rPr>
          <w:rStyle w:val="Style11ptBlack"/>
          <w:rFonts w:ascii="Calibri" w:hAnsi="Calibri" w:cs="Calibri"/>
          <w:sz w:val="22"/>
        </w:rPr>
        <w:t>Ratings were more modest for sustainability (due to a s</w:t>
      </w:r>
      <w:r w:rsidRPr="00F66A2A">
        <w:rPr>
          <w:rStyle w:val="Style11ptBlack"/>
          <w:rFonts w:ascii="Calibri" w:hAnsi="Calibri" w:cs="Calibri"/>
          <w:sz w:val="22"/>
        </w:rPr>
        <w:t xml:space="preserve">trong tendency towards substitution for </w:t>
      </w:r>
      <w:r>
        <w:rPr>
          <w:rStyle w:val="Style11ptBlack"/>
          <w:rFonts w:ascii="Calibri" w:hAnsi="Calibri" w:cs="Calibri"/>
          <w:sz w:val="22"/>
        </w:rPr>
        <w:t xml:space="preserve">some core </w:t>
      </w:r>
      <w:r w:rsidRPr="00F66A2A">
        <w:rPr>
          <w:rStyle w:val="Style11ptBlack"/>
          <w:rFonts w:ascii="Calibri" w:hAnsi="Calibri" w:cs="Calibri"/>
          <w:sz w:val="22"/>
        </w:rPr>
        <w:t>NTP responsibilities, with limited absorption of Project functions into Government systems</w:t>
      </w:r>
      <w:r>
        <w:rPr>
          <w:rStyle w:val="Style11ptBlack"/>
          <w:rFonts w:ascii="Calibri" w:hAnsi="Calibri" w:cs="Calibri"/>
          <w:sz w:val="22"/>
        </w:rPr>
        <w:t>) and monitoring and evaluation (M&amp;E; as r</w:t>
      </w:r>
      <w:r w:rsidRPr="00EE1866">
        <w:rPr>
          <w:rStyle w:val="Style11ptBlack"/>
          <w:rFonts w:ascii="Calibri" w:hAnsi="Calibri" w:cs="Calibri"/>
          <w:sz w:val="22"/>
        </w:rPr>
        <w:t xml:space="preserve">eporting </w:t>
      </w:r>
      <w:r>
        <w:rPr>
          <w:rStyle w:val="Style11ptBlack"/>
          <w:rFonts w:ascii="Calibri" w:hAnsi="Calibri" w:cs="Calibri"/>
          <w:sz w:val="22"/>
        </w:rPr>
        <w:t xml:space="preserve">had </w:t>
      </w:r>
      <w:r w:rsidRPr="00EE1866">
        <w:rPr>
          <w:rStyle w:val="Style11ptBlack"/>
          <w:rFonts w:ascii="Calibri" w:hAnsi="Calibri" w:cs="Calibri"/>
          <w:sz w:val="22"/>
        </w:rPr>
        <w:t xml:space="preserve">generally </w:t>
      </w:r>
      <w:r>
        <w:rPr>
          <w:rStyle w:val="Style11ptBlack"/>
          <w:rFonts w:ascii="Calibri" w:hAnsi="Calibri" w:cs="Calibri"/>
          <w:sz w:val="22"/>
        </w:rPr>
        <w:t xml:space="preserve">been </w:t>
      </w:r>
      <w:r w:rsidRPr="00EE1866">
        <w:rPr>
          <w:rStyle w:val="Style11ptBlack"/>
          <w:rFonts w:ascii="Calibri" w:hAnsi="Calibri" w:cs="Calibri"/>
          <w:sz w:val="22"/>
        </w:rPr>
        <w:t xml:space="preserve">more narrative than analytical; </w:t>
      </w:r>
      <w:r>
        <w:rPr>
          <w:rStyle w:val="Style11ptBlack"/>
          <w:rFonts w:ascii="Calibri" w:hAnsi="Calibri" w:cs="Calibri"/>
          <w:sz w:val="22"/>
        </w:rPr>
        <w:t xml:space="preserve">and not based on any </w:t>
      </w:r>
      <w:r w:rsidRPr="00EE1866">
        <w:rPr>
          <w:rStyle w:val="Style11ptBlack"/>
          <w:rFonts w:ascii="Calibri" w:hAnsi="Calibri" w:cs="Calibri"/>
          <w:sz w:val="22"/>
        </w:rPr>
        <w:t xml:space="preserve">reporting criteria </w:t>
      </w:r>
      <w:r>
        <w:rPr>
          <w:rStyle w:val="Style11ptBlack"/>
          <w:rFonts w:ascii="Calibri" w:hAnsi="Calibri" w:cs="Calibri"/>
          <w:sz w:val="22"/>
        </w:rPr>
        <w:t xml:space="preserve">or </w:t>
      </w:r>
      <w:r w:rsidRPr="00EE1866">
        <w:rPr>
          <w:rStyle w:val="Style11ptBlack"/>
          <w:rFonts w:ascii="Calibri" w:hAnsi="Calibri" w:cs="Calibri"/>
          <w:sz w:val="22"/>
        </w:rPr>
        <w:t xml:space="preserve">explicit intermediate targets in </w:t>
      </w:r>
      <w:r>
        <w:rPr>
          <w:rStyle w:val="Style11ptBlack"/>
          <w:rFonts w:ascii="Calibri" w:hAnsi="Calibri" w:cs="Calibri"/>
          <w:sz w:val="22"/>
        </w:rPr>
        <w:t xml:space="preserve">the </w:t>
      </w:r>
      <w:r w:rsidRPr="00EE1866">
        <w:rPr>
          <w:rStyle w:val="Style11ptBlack"/>
          <w:rFonts w:ascii="Calibri" w:hAnsi="Calibri" w:cs="Calibri"/>
          <w:sz w:val="22"/>
        </w:rPr>
        <w:t xml:space="preserve">log frame or </w:t>
      </w:r>
      <w:r>
        <w:rPr>
          <w:rStyle w:val="Style11ptBlack"/>
          <w:rFonts w:ascii="Calibri" w:hAnsi="Calibri" w:cs="Calibri"/>
          <w:sz w:val="22"/>
        </w:rPr>
        <w:t xml:space="preserve">original </w:t>
      </w:r>
      <w:r w:rsidRPr="00EE1866">
        <w:rPr>
          <w:rStyle w:val="Style11ptBlack"/>
          <w:rFonts w:ascii="Calibri" w:hAnsi="Calibri" w:cs="Calibri"/>
          <w:sz w:val="22"/>
        </w:rPr>
        <w:t>design</w:t>
      </w:r>
      <w:r>
        <w:rPr>
          <w:rStyle w:val="Style11ptBlack"/>
          <w:rFonts w:ascii="Calibri" w:hAnsi="Calibri" w:cs="Calibri"/>
          <w:sz w:val="22"/>
        </w:rPr>
        <w:t>).</w:t>
      </w:r>
      <w:r w:rsidRPr="00F66A2A">
        <w:rPr>
          <w:rStyle w:val="Style11ptBlack"/>
          <w:rFonts w:ascii="Calibri" w:hAnsi="Calibri" w:cs="Calibri"/>
          <w:sz w:val="22"/>
        </w:rPr>
        <w:t xml:space="preserve"> </w:t>
      </w:r>
    </w:p>
    <w:p w:rsidR="008434CC" w:rsidRDefault="008434CC" w:rsidP="00A62F29">
      <w:pPr>
        <w:rPr>
          <w:rStyle w:val="Style11ptBlack"/>
          <w:rFonts w:ascii="Calibri" w:hAnsi="Calibri" w:cs="Calibri"/>
          <w:sz w:val="22"/>
        </w:rPr>
      </w:pPr>
      <w:r>
        <w:rPr>
          <w:rStyle w:val="Style11ptBlack"/>
          <w:rFonts w:ascii="Calibri" w:hAnsi="Calibri" w:cs="Calibri"/>
          <w:sz w:val="22"/>
        </w:rPr>
        <w:t xml:space="preserve">The Phase 2 review recommended that </w:t>
      </w:r>
      <w:r w:rsidRPr="006D4233">
        <w:rPr>
          <w:rStyle w:val="Style11ptBlack"/>
          <w:rFonts w:ascii="Calibri" w:hAnsi="Calibri" w:cs="Calibri"/>
          <w:sz w:val="22"/>
        </w:rPr>
        <w:t xml:space="preserve">clear and explicit strategies </w:t>
      </w:r>
      <w:r>
        <w:rPr>
          <w:rStyle w:val="Style11ptBlack"/>
          <w:rFonts w:ascii="Calibri" w:hAnsi="Calibri" w:cs="Calibri"/>
          <w:sz w:val="22"/>
        </w:rPr>
        <w:t xml:space="preserve">be developed </w:t>
      </w:r>
      <w:r w:rsidRPr="006D4233">
        <w:rPr>
          <w:rStyle w:val="Style11ptBlack"/>
          <w:rFonts w:ascii="Calibri" w:hAnsi="Calibri" w:cs="Calibri"/>
          <w:sz w:val="22"/>
        </w:rPr>
        <w:t xml:space="preserve">to integrate </w:t>
      </w:r>
      <w:r>
        <w:rPr>
          <w:rStyle w:val="Style11ptBlack"/>
          <w:rFonts w:ascii="Calibri" w:hAnsi="Calibri" w:cs="Calibri"/>
          <w:sz w:val="22"/>
        </w:rPr>
        <w:t>donor-funded</w:t>
      </w:r>
      <w:r w:rsidRPr="006D4233">
        <w:rPr>
          <w:rStyle w:val="Style11ptBlack"/>
          <w:rFonts w:ascii="Calibri" w:hAnsi="Calibri" w:cs="Calibri"/>
          <w:sz w:val="22"/>
        </w:rPr>
        <w:t xml:space="preserve"> inputs into the </w:t>
      </w:r>
      <w:r>
        <w:rPr>
          <w:rStyle w:val="Style11ptBlack"/>
          <w:rFonts w:ascii="Calibri" w:hAnsi="Calibri" w:cs="Calibri"/>
          <w:sz w:val="22"/>
        </w:rPr>
        <w:t xml:space="preserve">national </w:t>
      </w:r>
      <w:r w:rsidRPr="006D4233">
        <w:rPr>
          <w:rStyle w:val="Style11ptBlack"/>
          <w:rFonts w:ascii="Calibri" w:hAnsi="Calibri" w:cs="Calibri"/>
          <w:sz w:val="22"/>
        </w:rPr>
        <w:t>program</w:t>
      </w:r>
      <w:r>
        <w:rPr>
          <w:rStyle w:val="Style11ptBlack"/>
          <w:rFonts w:ascii="Calibri" w:hAnsi="Calibri" w:cs="Calibri"/>
          <w:sz w:val="22"/>
        </w:rPr>
        <w:t xml:space="preserve"> as a way of enhancing their sustainability</w:t>
      </w:r>
      <w:r w:rsidRPr="006D4233">
        <w:rPr>
          <w:rStyle w:val="Style11ptBlack"/>
          <w:rFonts w:ascii="Calibri" w:hAnsi="Calibri" w:cs="Calibri"/>
          <w:sz w:val="22"/>
        </w:rPr>
        <w:t>.  This would preferably involve integrating activity planning and financial management more closely with the NTP</w:t>
      </w:r>
      <w:r w:rsidRPr="00B44B18">
        <w:rPr>
          <w:rStyle w:val="Style11ptBlack"/>
          <w:rFonts w:ascii="Calibri" w:hAnsi="Calibri" w:cs="Calibri"/>
          <w:sz w:val="22"/>
        </w:rPr>
        <w:t xml:space="preserve"> </w:t>
      </w:r>
      <w:r>
        <w:rPr>
          <w:rStyle w:val="Style11ptBlack"/>
          <w:rFonts w:ascii="Calibri" w:hAnsi="Calibri" w:cs="Calibri"/>
          <w:sz w:val="22"/>
        </w:rPr>
        <w:t xml:space="preserve">and Government </w:t>
      </w:r>
      <w:r w:rsidRPr="006D4233">
        <w:rPr>
          <w:rStyle w:val="Style11ptBlack"/>
          <w:rFonts w:ascii="Calibri" w:hAnsi="Calibri" w:cs="Calibri"/>
          <w:sz w:val="22"/>
        </w:rPr>
        <w:t>systems, and engaging more strategically with community based PHC and public health services when implementing community aspects of the program.</w:t>
      </w:r>
    </w:p>
    <w:p w:rsidR="008434CC" w:rsidRPr="002200A9" w:rsidRDefault="008434CC" w:rsidP="00975F40">
      <w:pPr>
        <w:pStyle w:val="Heading2"/>
      </w:pPr>
      <w:bookmarkStart w:id="37" w:name="_Toc331686096"/>
      <w:r>
        <w:t>4.7 Conclusions</w:t>
      </w:r>
      <w:bookmarkEnd w:id="37"/>
    </w:p>
    <w:p w:rsidR="008434CC" w:rsidRDefault="008434CC" w:rsidP="00C12D76">
      <w:r w:rsidRPr="00934771">
        <w:t xml:space="preserve">This proposed </w:t>
      </w:r>
      <w:r>
        <w:t xml:space="preserve">new </w:t>
      </w:r>
      <w:r w:rsidRPr="00934771">
        <w:t>Project follows on from QTBEC</w:t>
      </w:r>
      <w:r>
        <w:t>P</w:t>
      </w:r>
      <w:r w:rsidRPr="00934771">
        <w:t xml:space="preserve"> Phases 1 and 2</w:t>
      </w:r>
      <w:r>
        <w:t>, building on all the achievements and lessons of the last 4-5 years</w:t>
      </w:r>
      <w:r w:rsidRPr="00934771">
        <w:t xml:space="preserve">. </w:t>
      </w:r>
    </w:p>
    <w:p w:rsidR="008434CC" w:rsidRDefault="008434CC" w:rsidP="00C12D76">
      <w:r>
        <w:t>This will involve</w:t>
      </w:r>
      <w:r w:rsidRPr="00934771">
        <w:t xml:space="preserve"> </w:t>
      </w:r>
      <w:r>
        <w:t xml:space="preserve">a balance between </w:t>
      </w:r>
      <w:r w:rsidRPr="00934771">
        <w:t>maintaining the momentum</w:t>
      </w:r>
      <w:r w:rsidRPr="002200A9">
        <w:t xml:space="preserve"> </w:t>
      </w:r>
      <w:r>
        <w:t xml:space="preserve">and </w:t>
      </w:r>
      <w:r w:rsidRPr="002200A9">
        <w:t xml:space="preserve">good progress </w:t>
      </w:r>
      <w:r>
        <w:t xml:space="preserve">achieved with </w:t>
      </w:r>
      <w:r w:rsidRPr="002200A9">
        <w:t>QTBEC</w:t>
      </w:r>
      <w:r>
        <w:t>P and Global Fund support</w:t>
      </w:r>
      <w:r w:rsidRPr="002200A9">
        <w:t xml:space="preserve">, improving on the achievements </w:t>
      </w:r>
      <w:r>
        <w:t xml:space="preserve">of those </w:t>
      </w:r>
      <w:r w:rsidRPr="002200A9">
        <w:t>projects</w:t>
      </w:r>
      <w:r>
        <w:t xml:space="preserve"> where possible, then </w:t>
      </w:r>
      <w:r w:rsidRPr="002200A9">
        <w:t xml:space="preserve">commencing </w:t>
      </w:r>
      <w:r>
        <w:t xml:space="preserve">preparation for </w:t>
      </w:r>
      <w:r w:rsidRPr="002200A9">
        <w:t>TB elimination</w:t>
      </w:r>
      <w:r>
        <w:t xml:space="preserve"> planning</w:t>
      </w:r>
      <w:r w:rsidRPr="00743F04">
        <w:t xml:space="preserve"> </w:t>
      </w:r>
      <w:r>
        <w:t>as incidence declines and NTP capacity matures</w:t>
      </w:r>
      <w:r w:rsidRPr="002200A9">
        <w:t xml:space="preserve">. </w:t>
      </w:r>
    </w:p>
    <w:p w:rsidR="008434CC" w:rsidRDefault="008434CC" w:rsidP="00C12D76">
      <w:r w:rsidRPr="002200A9">
        <w:t xml:space="preserve">It will build on the sound TB infrastructure and systems developed under QTBEC Phase 1 and </w:t>
      </w:r>
      <w:r>
        <w:t>refine</w:t>
      </w:r>
      <w:r w:rsidRPr="002200A9">
        <w:t xml:space="preserve"> </w:t>
      </w:r>
      <w:r>
        <w:t xml:space="preserve">the </w:t>
      </w:r>
      <w:r w:rsidRPr="002200A9">
        <w:t xml:space="preserve">nationwide expansion of TB services created in Phase 2 </w:t>
      </w:r>
      <w:r>
        <w:t>by</w:t>
      </w:r>
      <w:r w:rsidRPr="002200A9">
        <w:t xml:space="preserve"> enhancing, strengthening and </w:t>
      </w:r>
      <w:r w:rsidRPr="002200A9">
        <w:lastRenderedPageBreak/>
        <w:t xml:space="preserve">consolidating </w:t>
      </w:r>
      <w:r>
        <w:t xml:space="preserve">activities within the NTP, and </w:t>
      </w:r>
      <w:r w:rsidRPr="002200A9">
        <w:t xml:space="preserve">by </w:t>
      </w:r>
      <w:r>
        <w:t xml:space="preserve">integrating donor-funded planning and management mechanisms and </w:t>
      </w:r>
      <w:r w:rsidRPr="002200A9">
        <w:t>resources</w:t>
      </w:r>
      <w:r>
        <w:t xml:space="preserve"> with NTP and MHMS structures and systems</w:t>
      </w:r>
      <w:r w:rsidRPr="002200A9">
        <w:t xml:space="preserve">. </w:t>
      </w:r>
    </w:p>
    <w:p w:rsidR="008434CC" w:rsidRPr="007D51A7" w:rsidRDefault="008434CC" w:rsidP="007D51A7">
      <w:r w:rsidRPr="002200A9">
        <w:t>The project will focus on eliminating TB through early case detection using efficient diagnostic too</w:t>
      </w:r>
      <w:r>
        <w:t>ls, effective treatment program</w:t>
      </w:r>
      <w:r w:rsidRPr="002200A9">
        <w:t>s and provision of equitable and accessible TB services to the community</w:t>
      </w:r>
      <w:r>
        <w:t>,</w:t>
      </w:r>
      <w:r w:rsidRPr="002200A9">
        <w:t xml:space="preserve"> especially the isolated and the poor. </w:t>
      </w:r>
      <w:r>
        <w:t xml:space="preserve"> </w:t>
      </w:r>
      <w:r w:rsidRPr="002200A9">
        <w:t xml:space="preserve">TB elimination plans will be an integral part of the project implementation and </w:t>
      </w:r>
      <w:r>
        <w:t xml:space="preserve">are </w:t>
      </w:r>
      <w:r w:rsidRPr="002200A9">
        <w:t>expected to continue as part of the NTP longer term plans and activities beyond 2017</w:t>
      </w:r>
      <w:r>
        <w:t>,</w:t>
      </w:r>
      <w:r w:rsidRPr="002200A9">
        <w:t xml:space="preserve"> towards the global target of TB elimination in 2050</w:t>
      </w:r>
      <w:r w:rsidRPr="007D51A7">
        <w:t xml:space="preserve">. </w:t>
      </w:r>
    </w:p>
    <w:p w:rsidR="008434CC" w:rsidRDefault="008434CC" w:rsidP="004A1669">
      <w:pPr>
        <w:pStyle w:val="Heading1"/>
      </w:pPr>
      <w:bookmarkStart w:id="38" w:name="_Toc331686097"/>
      <w:r>
        <w:t xml:space="preserve">5. </w:t>
      </w:r>
      <w:r w:rsidRPr="00B929EA">
        <w:t xml:space="preserve">Project </w:t>
      </w:r>
      <w:r>
        <w:t>D</w:t>
      </w:r>
      <w:r w:rsidRPr="00B929EA">
        <w:t xml:space="preserve">esign and </w:t>
      </w:r>
      <w:r>
        <w:t>Theory of Change</w:t>
      </w:r>
      <w:bookmarkEnd w:id="38"/>
    </w:p>
    <w:p w:rsidR="008434CC" w:rsidRDefault="008434CC" w:rsidP="00AC0A54">
      <w:pPr>
        <w:rPr>
          <w:color w:val="000000"/>
        </w:rPr>
      </w:pPr>
      <w:r w:rsidRPr="007C7EDA">
        <w:rPr>
          <w:color w:val="000000"/>
        </w:rPr>
        <w:t>This new project</w:t>
      </w:r>
      <w:r>
        <w:rPr>
          <w:color w:val="000000"/>
        </w:rPr>
        <w:t xml:space="preserve"> will be</w:t>
      </w:r>
      <w:r w:rsidRPr="007C7EDA">
        <w:rPr>
          <w:color w:val="000000"/>
        </w:rPr>
        <w:t xml:space="preserve"> titled </w:t>
      </w:r>
      <w:r w:rsidRPr="007C7EDA">
        <w:rPr>
          <w:b/>
          <w:i/>
          <w:color w:val="000000"/>
        </w:rPr>
        <w:t>Towards TB Elimination in Kiribati</w:t>
      </w:r>
      <w:r>
        <w:rPr>
          <w:i/>
          <w:color w:val="000000"/>
        </w:rPr>
        <w:t>.</w:t>
      </w:r>
      <w:r w:rsidRPr="007C7EDA">
        <w:rPr>
          <w:color w:val="000000"/>
        </w:rPr>
        <w:t xml:space="preserve"> </w:t>
      </w:r>
    </w:p>
    <w:p w:rsidR="008434CC" w:rsidRPr="00DB1DA2" w:rsidRDefault="008434CC" w:rsidP="00763634">
      <w:r w:rsidRPr="00DB1DA2">
        <w:t xml:space="preserve">Given the declining TB rates in Kiribati since 2006 during QTBEC </w:t>
      </w:r>
      <w:r>
        <w:t>P</w:t>
      </w:r>
      <w:r w:rsidRPr="00DB1DA2">
        <w:t xml:space="preserve">hases 1 and 2, </w:t>
      </w:r>
      <w:r>
        <w:t xml:space="preserve">the </w:t>
      </w:r>
      <w:r w:rsidRPr="00DB1DA2">
        <w:t xml:space="preserve">NTP made a conscious decision to move away from the use of the term </w:t>
      </w:r>
      <w:r>
        <w:t>“</w:t>
      </w:r>
      <w:r w:rsidRPr="00DB1DA2">
        <w:t>QTBEC</w:t>
      </w:r>
      <w:r>
        <w:t>P</w:t>
      </w:r>
      <w:r w:rsidRPr="00DB1DA2">
        <w:t xml:space="preserve"> Phase 3</w:t>
      </w:r>
      <w:r>
        <w:t>” as the emphasis of the new Project will be different</w:t>
      </w:r>
      <w:r w:rsidRPr="00DB1DA2">
        <w:t xml:space="preserve">. </w:t>
      </w:r>
      <w:r>
        <w:t xml:space="preserve"> </w:t>
      </w:r>
      <w:r w:rsidRPr="00DB1DA2">
        <w:t>Instead</w:t>
      </w:r>
      <w:r>
        <w:t>,</w:t>
      </w:r>
      <w:r w:rsidRPr="00DB1DA2">
        <w:t xml:space="preserve"> </w:t>
      </w:r>
      <w:r>
        <w:t xml:space="preserve">and in line with the higher order recommendations of the Phase 2 MTR, </w:t>
      </w:r>
      <w:r w:rsidRPr="00DB1DA2">
        <w:t>a more proactive and forward looking title</w:t>
      </w:r>
      <w:r>
        <w:t xml:space="preserve"> </w:t>
      </w:r>
      <w:r w:rsidRPr="00DB1DA2">
        <w:t>was chosen to reflect the relevant processes of consolidation and maintenance that will now follow</w:t>
      </w:r>
      <w:r>
        <w:t xml:space="preserve">, </w:t>
      </w:r>
      <w:r w:rsidRPr="00DB1DA2">
        <w:t>the commitment of the NTP and M</w:t>
      </w:r>
      <w:r>
        <w:t>HMS</w:t>
      </w:r>
      <w:r w:rsidRPr="00DB1DA2">
        <w:t xml:space="preserve"> towards the absorption of NTP key services at the end of the proposed </w:t>
      </w:r>
      <w:r>
        <w:t>5</w:t>
      </w:r>
      <w:r w:rsidRPr="00DB1DA2">
        <w:t xml:space="preserve"> years of this </w:t>
      </w:r>
      <w:r>
        <w:t>P</w:t>
      </w:r>
      <w:r w:rsidRPr="00DB1DA2">
        <w:t>roject</w:t>
      </w:r>
      <w:r>
        <w:t>,</w:t>
      </w:r>
      <w:r w:rsidRPr="00DB1DA2">
        <w:t xml:space="preserve"> and the continuation into </w:t>
      </w:r>
      <w:r>
        <w:t xml:space="preserve">the </w:t>
      </w:r>
      <w:r w:rsidRPr="00DB1DA2">
        <w:t>long</w:t>
      </w:r>
      <w:r>
        <w:t>er</w:t>
      </w:r>
      <w:r w:rsidRPr="00DB1DA2">
        <w:t xml:space="preserve"> term </w:t>
      </w:r>
      <w:r>
        <w:t xml:space="preserve">goal of </w:t>
      </w:r>
      <w:r w:rsidRPr="00DB1DA2">
        <w:t xml:space="preserve">TB </w:t>
      </w:r>
      <w:r w:rsidRPr="0072765E">
        <w:t>elimination</w:t>
      </w:r>
      <w:r w:rsidRPr="002169FD">
        <w:t>.</w:t>
      </w:r>
      <w:r>
        <w:t xml:space="preserve"> </w:t>
      </w:r>
    </w:p>
    <w:p w:rsidR="008434CC" w:rsidRPr="007C7EDA" w:rsidRDefault="008434CC" w:rsidP="00763634">
      <w:pPr>
        <w:rPr>
          <w:color w:val="000000"/>
        </w:rPr>
      </w:pPr>
      <w:r w:rsidRPr="00AF4AC5">
        <w:rPr>
          <w:i/>
          <w:color w:val="000000"/>
        </w:rPr>
        <w:t>Towards TB Elimination in Kiribati</w:t>
      </w:r>
      <w:r w:rsidRPr="007C7EDA">
        <w:rPr>
          <w:color w:val="000000"/>
        </w:rPr>
        <w:t xml:space="preserve"> </w:t>
      </w:r>
      <w:r>
        <w:rPr>
          <w:color w:val="000000"/>
        </w:rPr>
        <w:t xml:space="preserve">will be </w:t>
      </w:r>
      <w:r w:rsidRPr="007C7EDA">
        <w:rPr>
          <w:color w:val="000000"/>
        </w:rPr>
        <w:t xml:space="preserve">a </w:t>
      </w:r>
      <w:r>
        <w:rPr>
          <w:color w:val="000000"/>
        </w:rPr>
        <w:t xml:space="preserve">5 </w:t>
      </w:r>
      <w:r w:rsidRPr="007C7EDA">
        <w:rPr>
          <w:color w:val="000000"/>
        </w:rPr>
        <w:t>year</w:t>
      </w:r>
      <w:r>
        <w:rPr>
          <w:color w:val="000000"/>
        </w:rPr>
        <w:t>s and</w:t>
      </w:r>
      <w:r w:rsidRPr="007C7EDA">
        <w:rPr>
          <w:color w:val="000000"/>
        </w:rPr>
        <w:t xml:space="preserve"> three</w:t>
      </w:r>
      <w:r>
        <w:rPr>
          <w:color w:val="000000"/>
        </w:rPr>
        <w:t xml:space="preserve"> </w:t>
      </w:r>
      <w:r w:rsidRPr="007C7EDA">
        <w:rPr>
          <w:color w:val="000000"/>
        </w:rPr>
        <w:t>month</w:t>
      </w:r>
      <w:r>
        <w:rPr>
          <w:color w:val="000000"/>
        </w:rPr>
        <w:t>s</w:t>
      </w:r>
      <w:r w:rsidRPr="007C7EDA">
        <w:rPr>
          <w:color w:val="000000"/>
        </w:rPr>
        <w:t xml:space="preserve"> project that will support implementation of TB elimination strategies through the consolidation of QTBEC Phases 1 and 2 resources and achievements over approximately the first three years, and the step-wise integration of key elements of the Project to the MHMS over approximately the last two years.  </w:t>
      </w:r>
    </w:p>
    <w:p w:rsidR="008434CC" w:rsidRDefault="008434CC" w:rsidP="00AC0A54">
      <w:pPr>
        <w:pStyle w:val="Heading2"/>
      </w:pPr>
      <w:bookmarkStart w:id="39" w:name="_Toc331686098"/>
      <w:r>
        <w:t xml:space="preserve">5.1 Structure </w:t>
      </w:r>
      <w:r w:rsidRPr="00B929EA">
        <w:t xml:space="preserve">and </w:t>
      </w:r>
      <w:r>
        <w:t>Program Logic</w:t>
      </w:r>
      <w:bookmarkEnd w:id="39"/>
    </w:p>
    <w:p w:rsidR="008434CC" w:rsidRDefault="008434CC" w:rsidP="00054FB8">
      <w:pPr>
        <w:pStyle w:val="Heading3"/>
      </w:pPr>
      <w:bookmarkStart w:id="40" w:name="_Toc331686099"/>
      <w:r>
        <w:t>5.1.1 Vision</w:t>
      </w:r>
      <w:bookmarkEnd w:id="40"/>
    </w:p>
    <w:p w:rsidR="008434CC" w:rsidRDefault="008434CC" w:rsidP="00344796">
      <w:r>
        <w:t xml:space="preserve">The Vision of the </w:t>
      </w:r>
      <w:r w:rsidRPr="004B094E">
        <w:rPr>
          <w:i/>
        </w:rPr>
        <w:t>National Tuberculosis Strategic Plan</w:t>
      </w:r>
      <w:r>
        <w:t xml:space="preserve"> is:</w:t>
      </w:r>
    </w:p>
    <w:p w:rsidR="008434CC" w:rsidRPr="00E8384D" w:rsidRDefault="008434CC" w:rsidP="00E8384D">
      <w:pPr>
        <w:jc w:val="center"/>
        <w:rPr>
          <w:i/>
        </w:rPr>
      </w:pPr>
      <w:r w:rsidRPr="00E8384D">
        <w:rPr>
          <w:i/>
        </w:rPr>
        <w:t>A TB Free Kiribati Paradise</w:t>
      </w:r>
    </w:p>
    <w:p w:rsidR="008434CC" w:rsidRDefault="008434CC" w:rsidP="00E8384D">
      <w:pPr>
        <w:spacing w:before="180"/>
      </w:pPr>
      <w:r>
        <w:t xml:space="preserve">The Vision tells us what would ideally be achieved, given all the necessary resources to support successful implementation of the </w:t>
      </w:r>
      <w:r w:rsidRPr="004B094E">
        <w:rPr>
          <w:i/>
        </w:rPr>
        <w:t>Strategic Plan</w:t>
      </w:r>
      <w:r>
        <w:t>.  It is shared by the NTP and any partners who support its work, and informs everyone of “</w:t>
      </w:r>
      <w:r w:rsidRPr="0095094F">
        <w:rPr>
          <w:b/>
        </w:rPr>
        <w:t>why</w:t>
      </w:r>
      <w:r>
        <w:t>” they contribute to the program.</w:t>
      </w:r>
    </w:p>
    <w:p w:rsidR="008434CC" w:rsidRDefault="008434CC" w:rsidP="00E8384D">
      <w:r>
        <w:t xml:space="preserve">For the purpose of aligning the proposed Project with the national </w:t>
      </w:r>
      <w:r w:rsidRPr="004B094E">
        <w:rPr>
          <w:i/>
        </w:rPr>
        <w:t>Strategic Plan</w:t>
      </w:r>
      <w:r>
        <w:t>, we have interpreted the meaning of the Vision by expanding and clarifying it as follows:</w:t>
      </w:r>
    </w:p>
    <w:p w:rsidR="008434CC" w:rsidRPr="00E8384D" w:rsidRDefault="008434CC" w:rsidP="00763634">
      <w:pPr>
        <w:ind w:left="720"/>
        <w:rPr>
          <w:i/>
        </w:rPr>
      </w:pPr>
      <w:r w:rsidRPr="00E8384D">
        <w:rPr>
          <w:i/>
        </w:rPr>
        <w:t>By 2017, the people of Kiribati, regardless of where they live, have access to and are benefiting from good quality TB prevention, timely and accurate diagnosis, and effective clinical treatment and monitoring that is appropriately integrated into national systems of primary and preventive care</w:t>
      </w:r>
      <w:r>
        <w:rPr>
          <w:i/>
        </w:rPr>
        <w:t>.</w:t>
      </w:r>
    </w:p>
    <w:p w:rsidR="008434CC" w:rsidRDefault="008434CC" w:rsidP="005A3EDA">
      <w:pPr>
        <w:spacing w:before="180"/>
      </w:pPr>
      <w:r>
        <w:t xml:space="preserve">To achieve this Vision, the NTP will need to maintain high case detection and treatment success rates in line with international targets.  Health workers will need to have the right skills, equipment and resources to provide a defined range of services.  Those services will be well planned and </w:t>
      </w:r>
      <w:r>
        <w:lastRenderedPageBreak/>
        <w:t>efficiently coordinated, and guided by ongoing and regular analysis (i.e. surveillance and operational research).  Where services are supported through collaborations with international technical partner agencies, they need to be cost-efficient and sustainable.</w:t>
      </w:r>
    </w:p>
    <w:p w:rsidR="008434CC" w:rsidRDefault="008434CC" w:rsidP="00054FB8">
      <w:pPr>
        <w:pStyle w:val="Heading3"/>
      </w:pPr>
      <w:bookmarkStart w:id="41" w:name="_Toc331686100"/>
      <w:r>
        <w:t>5.1.2 Goal</w:t>
      </w:r>
      <w:bookmarkEnd w:id="41"/>
    </w:p>
    <w:p w:rsidR="008434CC" w:rsidRDefault="008434CC" w:rsidP="00763634">
      <w:r>
        <w:t xml:space="preserve">As noted above, the Goal of the </w:t>
      </w:r>
      <w:r w:rsidRPr="004B094E">
        <w:rPr>
          <w:i/>
        </w:rPr>
        <w:t>National Tuberculosis Strategic Plan</w:t>
      </w:r>
      <w:r>
        <w:t xml:space="preserve"> is:</w:t>
      </w:r>
    </w:p>
    <w:p w:rsidR="008434CC" w:rsidRDefault="008434CC" w:rsidP="007C7EDA">
      <w:pPr>
        <w:autoSpaceDE w:val="0"/>
        <w:autoSpaceDN w:val="0"/>
        <w:adjustRightInd w:val="0"/>
        <w:spacing w:line="240" w:lineRule="auto"/>
        <w:ind w:left="720"/>
        <w:rPr>
          <w:i/>
        </w:rPr>
      </w:pPr>
      <w:r w:rsidRPr="001377B5">
        <w:rPr>
          <w:i/>
        </w:rPr>
        <w:t>To accelerate scale</w:t>
      </w:r>
      <w:r>
        <w:rPr>
          <w:i/>
        </w:rPr>
        <w:t>-</w:t>
      </w:r>
      <w:r w:rsidRPr="001377B5">
        <w:rPr>
          <w:i/>
        </w:rPr>
        <w:t>up to achieve universal access to prevention, early diagnosis and effective patient-centred treatment for tuberculosis by 2015</w:t>
      </w:r>
    </w:p>
    <w:p w:rsidR="008434CC" w:rsidRPr="001377B5" w:rsidRDefault="008434CC" w:rsidP="00763634">
      <w:r>
        <w:t xml:space="preserve">The Goal of the NTP </w:t>
      </w:r>
      <w:r w:rsidRPr="004B094E">
        <w:rPr>
          <w:i/>
        </w:rPr>
        <w:t>Strategic Plan</w:t>
      </w:r>
      <w:r>
        <w:t xml:space="preserve"> will be a collaborative achievement by all partners, and is also adopted as the shared Goal of the proposed Project.  However, as the Project will run for two years beyond the </w:t>
      </w:r>
      <w:r w:rsidRPr="004B094E">
        <w:rPr>
          <w:i/>
        </w:rPr>
        <w:t>Strategic Plan</w:t>
      </w:r>
      <w:r>
        <w:t xml:space="preserve">, the time frame for the Project Goal is modified as: </w:t>
      </w:r>
      <w:r>
        <w:rPr>
          <w:i/>
        </w:rPr>
        <w:t>to 2015 and beyond</w:t>
      </w:r>
      <w:r>
        <w:t>.</w:t>
      </w:r>
    </w:p>
    <w:p w:rsidR="008434CC" w:rsidRDefault="008434CC" w:rsidP="00054FB8">
      <w:pPr>
        <w:pStyle w:val="Heading3"/>
      </w:pPr>
      <w:bookmarkStart w:id="42" w:name="_Toc331686101"/>
      <w:r>
        <w:t>5.1.3 Mission</w:t>
      </w:r>
      <w:bookmarkEnd w:id="42"/>
    </w:p>
    <w:p w:rsidR="008434CC" w:rsidRDefault="008434CC" w:rsidP="00763634">
      <w:r>
        <w:t xml:space="preserve">Unlike the Vision or the Goal, the Mission statement helps us to differentiate the Project’s contribution to the Vision, and starts to define the Project role and mandate more clearly </w:t>
      </w:r>
      <w:r>
        <w:rPr>
          <w:rFonts w:ascii="Arial Unicode MS" w:eastAsia="Arial Unicode MS" w:hAnsi="Arial Unicode MS" w:cs="Arial Unicode MS" w:hint="eastAsia"/>
        </w:rPr>
        <w:t>‒</w:t>
      </w:r>
      <w:r>
        <w:t xml:space="preserve"> i.e.:</w:t>
      </w:r>
    </w:p>
    <w:p w:rsidR="008434CC" w:rsidRDefault="008434CC" w:rsidP="00B916EC">
      <w:pPr>
        <w:pStyle w:val="ListParagraph"/>
        <w:numPr>
          <w:ilvl w:val="0"/>
          <w:numId w:val="21"/>
        </w:numPr>
        <w:ind w:hanging="229"/>
      </w:pPr>
      <w:r w:rsidRPr="0095094F">
        <w:rPr>
          <w:b/>
        </w:rPr>
        <w:t>what</w:t>
      </w:r>
      <w:r>
        <w:t xml:space="preserve"> the Project’s core business is, </w:t>
      </w:r>
    </w:p>
    <w:p w:rsidR="008434CC" w:rsidRDefault="008434CC" w:rsidP="00B916EC">
      <w:pPr>
        <w:pStyle w:val="ListParagraph"/>
        <w:numPr>
          <w:ilvl w:val="0"/>
          <w:numId w:val="21"/>
        </w:numPr>
        <w:ind w:hanging="229"/>
      </w:pPr>
      <w:r w:rsidRPr="0095094F">
        <w:rPr>
          <w:b/>
        </w:rPr>
        <w:t>who</w:t>
      </w:r>
      <w:r>
        <w:t xml:space="preserve"> the partners are that the Project works with, and </w:t>
      </w:r>
    </w:p>
    <w:p w:rsidR="008434CC" w:rsidRDefault="008434CC" w:rsidP="00B916EC">
      <w:pPr>
        <w:pStyle w:val="ListParagraph"/>
        <w:numPr>
          <w:ilvl w:val="0"/>
          <w:numId w:val="21"/>
        </w:numPr>
        <w:ind w:hanging="229"/>
      </w:pPr>
      <w:r w:rsidRPr="0095094F">
        <w:rPr>
          <w:b/>
        </w:rPr>
        <w:t>how</w:t>
      </w:r>
      <w:r>
        <w:t xml:space="preserve"> it interacts with those partners</w:t>
      </w:r>
    </w:p>
    <w:p w:rsidR="008434CC" w:rsidRDefault="008434CC" w:rsidP="00151503">
      <w:pPr>
        <w:spacing w:before="180"/>
      </w:pPr>
      <w:r>
        <w:t xml:space="preserve">The Mission of the </w:t>
      </w:r>
      <w:r w:rsidRPr="004907E8">
        <w:rPr>
          <w:i/>
        </w:rPr>
        <w:t xml:space="preserve">Towards TB Elimination in Kiribati </w:t>
      </w:r>
      <w:r>
        <w:t>project is:</w:t>
      </w:r>
    </w:p>
    <w:p w:rsidR="008434CC" w:rsidRDefault="008434CC" w:rsidP="004907E8">
      <w:pPr>
        <w:autoSpaceDE w:val="0"/>
        <w:autoSpaceDN w:val="0"/>
        <w:adjustRightInd w:val="0"/>
        <w:spacing w:line="240" w:lineRule="auto"/>
        <w:ind w:left="720"/>
        <w:rPr>
          <w:i/>
        </w:rPr>
      </w:pPr>
      <w:r>
        <w:rPr>
          <w:i/>
        </w:rPr>
        <w:t>To work</w:t>
      </w:r>
      <w:r w:rsidRPr="004907E8">
        <w:rPr>
          <w:i/>
        </w:rPr>
        <w:t xml:space="preserve"> with the Kiribati NTP, clinical and public health service providers and technical partners to improve the quality, access and efficiency of diagnostic, clinical and preventive TB services in Kiribati, including by strengthening the TB work force and relevant underlying aspects of the health system</w:t>
      </w:r>
    </w:p>
    <w:p w:rsidR="008434CC" w:rsidRPr="00F01C45" w:rsidRDefault="008434CC" w:rsidP="00763634">
      <w:pPr>
        <w:spacing w:before="180"/>
      </w:pPr>
      <w:r w:rsidRPr="00F01C45">
        <w:t xml:space="preserve">The Mission also starts to define the proposed Project’s role and mandate more clearly, and what it can be held accountable for.  Together with the Vision, it emphasises improved diagnostic capacity, active case finding in targeted communities and provision of effective treatment through equitable and accessible TB services across the entire country.  </w:t>
      </w:r>
    </w:p>
    <w:p w:rsidR="008434CC" w:rsidRPr="00F01C45" w:rsidRDefault="008434CC" w:rsidP="00763634">
      <w:r w:rsidRPr="00F01C45">
        <w:t>In contrast to QTBECP, the new Project will make a gradual shift away from direct support for implementation towards facilitation and capacity support under an integrated annual work plan.  The more focused approach of the new Project will complement NTP efforts to reduce the burden of TB, and will provide Kiribati with a good platform from which to commence TB elimination plans.</w:t>
      </w:r>
    </w:p>
    <w:p w:rsidR="008434CC" w:rsidRDefault="008434CC" w:rsidP="00054FB8">
      <w:pPr>
        <w:pStyle w:val="Heading3"/>
      </w:pPr>
      <w:bookmarkStart w:id="43" w:name="_Toc331686102"/>
      <w:r>
        <w:t>5.1.4 Objectives</w:t>
      </w:r>
      <w:bookmarkEnd w:id="43"/>
    </w:p>
    <w:p w:rsidR="008434CC" w:rsidRDefault="008434CC" w:rsidP="00763634">
      <w:r>
        <w:t xml:space="preserve">Rather than directly replicating the 9 objectives of the </w:t>
      </w:r>
      <w:r w:rsidRPr="004B094E">
        <w:rPr>
          <w:i/>
        </w:rPr>
        <w:t>National Tuberculosis Strategic Plan</w:t>
      </w:r>
      <w:r>
        <w:t xml:space="preserve">, Project support will contribute to five over-arching functional objectives, each of which addresses one or several objectives of the </w:t>
      </w:r>
      <w:r w:rsidRPr="004B094E">
        <w:rPr>
          <w:i/>
        </w:rPr>
        <w:t>Strategic Plan</w:t>
      </w:r>
      <w:r>
        <w:t>.  This is also better aligned with the Mission statement.</w:t>
      </w:r>
    </w:p>
    <w:p w:rsidR="008434CC" w:rsidRPr="004E1274" w:rsidRDefault="008434CC" w:rsidP="00763634">
      <w:pPr>
        <w:rPr>
          <w:color w:val="000000"/>
        </w:rPr>
      </w:pPr>
      <w:r w:rsidRPr="004E1274">
        <w:rPr>
          <w:color w:val="000000"/>
        </w:rPr>
        <w:t xml:space="preserve">In more detail, the 5 objectives of the Project are: </w:t>
      </w:r>
    </w:p>
    <w:p w:rsidR="008434CC" w:rsidRDefault="008434CC" w:rsidP="00AF4AC5">
      <w:pPr>
        <w:ind w:left="720"/>
      </w:pPr>
      <w:r w:rsidRPr="00CB15DC">
        <w:rPr>
          <w:b/>
        </w:rPr>
        <w:t>Objective 1 –</w:t>
      </w:r>
      <w:r>
        <w:t xml:space="preserve"> To s</w:t>
      </w:r>
      <w:r w:rsidRPr="00E83B2F">
        <w:t>upport universal access to quality TB services</w:t>
      </w:r>
      <w:r>
        <w:t xml:space="preserve">, </w:t>
      </w:r>
      <w:r w:rsidRPr="00E83B2F">
        <w:t xml:space="preserve">including through </w:t>
      </w:r>
      <w:r>
        <w:t>active case finding</w:t>
      </w:r>
      <w:r w:rsidRPr="00E83B2F">
        <w:t xml:space="preserve"> and community mobilisation</w:t>
      </w:r>
      <w:r>
        <w:t xml:space="preserve"> (aligned with NTP </w:t>
      </w:r>
      <w:r w:rsidRPr="00BA70C7">
        <w:rPr>
          <w:i/>
        </w:rPr>
        <w:t>Strategic Plan</w:t>
      </w:r>
      <w:r>
        <w:t xml:space="preserve"> Objectives 1-4</w:t>
      </w:r>
      <w:r w:rsidRPr="00E83B2F">
        <w:t>)</w:t>
      </w:r>
    </w:p>
    <w:p w:rsidR="008434CC" w:rsidRDefault="008434CC" w:rsidP="00AF4AC5">
      <w:pPr>
        <w:ind w:left="720"/>
      </w:pPr>
      <w:r w:rsidRPr="00CB15DC">
        <w:rPr>
          <w:b/>
        </w:rPr>
        <w:lastRenderedPageBreak/>
        <w:t>Objective 2 –</w:t>
      </w:r>
      <w:r>
        <w:t xml:space="preserve"> To s</w:t>
      </w:r>
      <w:r w:rsidRPr="00E83B2F">
        <w:t>upport quality laboratory diagnosis and clinical standards</w:t>
      </w:r>
      <w:r>
        <w:t xml:space="preserve"> (aligned with NTP </w:t>
      </w:r>
      <w:r w:rsidRPr="00BA70C7">
        <w:rPr>
          <w:i/>
        </w:rPr>
        <w:t>Strategic Plan</w:t>
      </w:r>
      <w:r>
        <w:t xml:space="preserve"> Objectives 5 and 6</w:t>
      </w:r>
      <w:r w:rsidRPr="00E83B2F">
        <w:t>)</w:t>
      </w:r>
    </w:p>
    <w:p w:rsidR="008434CC" w:rsidRDefault="008434CC" w:rsidP="00AF4AC5">
      <w:pPr>
        <w:ind w:left="720"/>
      </w:pPr>
      <w:r w:rsidRPr="00CB15DC">
        <w:rPr>
          <w:b/>
        </w:rPr>
        <w:t>Objective 3 –</w:t>
      </w:r>
      <w:r>
        <w:t xml:space="preserve"> To s</w:t>
      </w:r>
      <w:r w:rsidRPr="00E83B2F">
        <w:t xml:space="preserve">upport </w:t>
      </w:r>
      <w:r w:rsidRPr="003530E2">
        <w:t xml:space="preserve">programmatic management of </w:t>
      </w:r>
      <w:r>
        <w:t xml:space="preserve">important co-morbidities in Kiribati, including </w:t>
      </w:r>
      <w:r w:rsidRPr="003530E2">
        <w:t>TB-HIV, TB-D</w:t>
      </w:r>
      <w:r>
        <w:t>iabetes</w:t>
      </w:r>
      <w:r w:rsidRPr="003530E2">
        <w:t xml:space="preserve"> and MDR-TB</w:t>
      </w:r>
      <w:r>
        <w:t xml:space="preserve"> (aligned with NTP </w:t>
      </w:r>
      <w:r w:rsidRPr="00BA70C7">
        <w:rPr>
          <w:i/>
        </w:rPr>
        <w:t>Strategic Plan</w:t>
      </w:r>
      <w:r>
        <w:t xml:space="preserve"> Objective 8</w:t>
      </w:r>
      <w:r w:rsidRPr="00E83B2F">
        <w:t>)</w:t>
      </w:r>
    </w:p>
    <w:p w:rsidR="008434CC" w:rsidRDefault="008434CC" w:rsidP="00AF4AC5">
      <w:pPr>
        <w:ind w:left="720"/>
      </w:pPr>
      <w:r w:rsidRPr="00CB15DC">
        <w:rPr>
          <w:b/>
        </w:rPr>
        <w:t>Objective 4 –</w:t>
      </w:r>
      <w:r>
        <w:t xml:space="preserve"> To s</w:t>
      </w:r>
      <w:r w:rsidRPr="00E83B2F">
        <w:t xml:space="preserve">upport </w:t>
      </w:r>
      <w:r w:rsidRPr="003530E2">
        <w:t>planning and management</w:t>
      </w:r>
      <w:r>
        <w:t xml:space="preserve"> of the NTP and contribute to strengthening related aspects of the health system in Kiribati (aligned with NTP </w:t>
      </w:r>
      <w:r w:rsidRPr="00763634">
        <w:rPr>
          <w:i/>
        </w:rPr>
        <w:t>Strategic Plan</w:t>
      </w:r>
      <w:r>
        <w:t xml:space="preserve"> Objectives 7 and 9</w:t>
      </w:r>
      <w:r w:rsidRPr="00E83B2F">
        <w:t>)</w:t>
      </w:r>
    </w:p>
    <w:p w:rsidR="008434CC" w:rsidRPr="00BA70C7" w:rsidRDefault="008434CC" w:rsidP="00AF4AC5">
      <w:pPr>
        <w:ind w:left="720"/>
      </w:pPr>
      <w:r w:rsidRPr="00CB15DC">
        <w:rPr>
          <w:b/>
        </w:rPr>
        <w:t>Objective 5 –</w:t>
      </w:r>
      <w:r>
        <w:t xml:space="preserve"> </w:t>
      </w:r>
      <w:r w:rsidRPr="00D063E7">
        <w:t xml:space="preserve">To </w:t>
      </w:r>
      <w:r>
        <w:t xml:space="preserve">strengthen </w:t>
      </w:r>
      <w:r w:rsidRPr="00D063E7">
        <w:t>TB intervention strategies through evidence-based operational research</w:t>
      </w:r>
      <w:r>
        <w:t xml:space="preserve"> (aligned with NTP </w:t>
      </w:r>
      <w:r w:rsidRPr="00763634">
        <w:rPr>
          <w:i/>
        </w:rPr>
        <w:t>Strategic Plan</w:t>
      </w:r>
      <w:r>
        <w:t xml:space="preserve"> Objective 9</w:t>
      </w:r>
      <w:r w:rsidRPr="00E83B2F">
        <w:t>)</w:t>
      </w:r>
    </w:p>
    <w:p w:rsidR="008434CC" w:rsidRDefault="008434CC" w:rsidP="00763634">
      <w:r>
        <w:t xml:space="preserve">Alignment of the Project structure with the </w:t>
      </w:r>
      <w:r w:rsidRPr="004B094E">
        <w:rPr>
          <w:i/>
        </w:rPr>
        <w:t>Strategic Plan</w:t>
      </w:r>
      <w:r>
        <w:rPr>
          <w:i/>
        </w:rPr>
        <w:t xml:space="preserve"> </w:t>
      </w:r>
      <w:r>
        <w:t>is shown diagrammatically in Figure 10.</w:t>
      </w:r>
    </w:p>
    <w:p w:rsidR="008434CC" w:rsidRDefault="008434CC" w:rsidP="00763634"/>
    <w:p w:rsidR="008434CC" w:rsidRPr="00081C37" w:rsidRDefault="008434CC" w:rsidP="003F29CC">
      <w:pPr>
        <w:keepNext/>
        <w:autoSpaceDE w:val="0"/>
        <w:autoSpaceDN w:val="0"/>
        <w:adjustRightInd w:val="0"/>
        <w:spacing w:before="240" w:after="240" w:line="240" w:lineRule="auto"/>
        <w:jc w:val="center"/>
        <w:rPr>
          <w:rFonts w:ascii="Arial" w:hAnsi="Arial" w:cs="Arial"/>
          <w:b/>
          <w:sz w:val="21"/>
          <w:szCs w:val="21"/>
        </w:rPr>
      </w:pPr>
      <w:r>
        <w:rPr>
          <w:rFonts w:ascii="Arial" w:hAnsi="Arial" w:cs="Arial"/>
          <w:b/>
          <w:sz w:val="21"/>
          <w:szCs w:val="21"/>
        </w:rPr>
        <w:t>Figure 10</w:t>
      </w:r>
      <w:r w:rsidRPr="00081C37">
        <w:rPr>
          <w:rFonts w:ascii="Arial" w:hAnsi="Arial" w:cs="Arial"/>
          <w:b/>
          <w:sz w:val="21"/>
          <w:szCs w:val="21"/>
        </w:rPr>
        <w:t xml:space="preserve">: </w:t>
      </w:r>
      <w:r>
        <w:rPr>
          <w:rFonts w:ascii="Arial" w:hAnsi="Arial" w:cs="Arial"/>
          <w:b/>
          <w:sz w:val="21"/>
          <w:szCs w:val="21"/>
        </w:rPr>
        <w:t xml:space="preserve">Program Logic – Alignment of the 5 objectives of the </w:t>
      </w:r>
      <w:r w:rsidRPr="002A57EB">
        <w:rPr>
          <w:rFonts w:ascii="Arial" w:hAnsi="Arial" w:cs="Arial"/>
          <w:b/>
          <w:i/>
          <w:sz w:val="21"/>
          <w:szCs w:val="21"/>
        </w:rPr>
        <w:t>Towards TB Elimination in Kiribati</w:t>
      </w:r>
      <w:r>
        <w:rPr>
          <w:rFonts w:ascii="Arial" w:hAnsi="Arial" w:cs="Arial"/>
          <w:b/>
          <w:sz w:val="21"/>
          <w:szCs w:val="21"/>
        </w:rPr>
        <w:t xml:space="preserve"> Project with the 9 objectives of the </w:t>
      </w:r>
      <w:r w:rsidRPr="002A57EB">
        <w:rPr>
          <w:rFonts w:ascii="Arial" w:hAnsi="Arial" w:cs="Arial"/>
          <w:b/>
          <w:i/>
          <w:sz w:val="21"/>
          <w:szCs w:val="21"/>
        </w:rPr>
        <w:t>National Tuberculosis Strategic Plan</w:t>
      </w:r>
      <w:r>
        <w:rPr>
          <w:rFonts w:ascii="Arial" w:hAnsi="Arial" w:cs="Arial"/>
          <w:b/>
          <w:sz w:val="21"/>
          <w:szCs w:val="21"/>
        </w:rPr>
        <w:t>, and how they contribute (through the Project’s Mission) to a shared Goal and Vision</w:t>
      </w:r>
    </w:p>
    <w:p w:rsidR="008434CC" w:rsidRDefault="004C37E9" w:rsidP="003F29CC">
      <w:pPr>
        <w:jc w:val="center"/>
      </w:pPr>
      <w:r>
        <w:rPr>
          <w:noProof/>
          <w:lang w:val="en-AU" w:eastAsia="en-AU"/>
        </w:rPr>
        <w:pict>
          <v:shape id="Picture 10" o:spid="_x0000_i1036" type="#_x0000_t75" style="width:408pt;height:329.25pt;visibility:visible" o:bordertopcolor="#4f81bd" o:borderleftcolor="#4f81bd" o:borderbottomcolor="#4f81bd" o:borderrightcolor="#4f81bd">
            <v:imagedata r:id="rId26" o:title=""/>
            <w10:bordertop type="single" width="6"/>
            <w10:borderleft type="single" width="6"/>
            <w10:borderbottom type="single" width="6"/>
            <w10:borderright type="single" width="6"/>
          </v:shape>
        </w:pict>
      </w:r>
    </w:p>
    <w:p w:rsidR="008434CC" w:rsidRDefault="008434CC" w:rsidP="00AF4AC5"/>
    <w:p w:rsidR="008434CC" w:rsidRDefault="008434CC" w:rsidP="005A3EDA">
      <w:pPr>
        <w:pStyle w:val="Heading2"/>
      </w:pPr>
      <w:bookmarkStart w:id="44" w:name="_Toc331686103"/>
      <w:r>
        <w:t>5.2 Duration and Time Line</w:t>
      </w:r>
      <w:bookmarkEnd w:id="44"/>
      <w:r>
        <w:t xml:space="preserve"> </w:t>
      </w:r>
    </w:p>
    <w:p w:rsidR="008434CC" w:rsidRDefault="008434CC" w:rsidP="00763634">
      <w:r w:rsidRPr="002200A9">
        <w:t>Th</w:t>
      </w:r>
      <w:r>
        <w:t>e</w:t>
      </w:r>
      <w:r w:rsidRPr="002200A9">
        <w:t xml:space="preserve"> Project duration </w:t>
      </w:r>
      <w:r>
        <w:t>will be</w:t>
      </w:r>
      <w:r w:rsidRPr="002200A9">
        <w:t xml:space="preserve"> </w:t>
      </w:r>
      <w:r>
        <w:t>5</w:t>
      </w:r>
      <w:r w:rsidRPr="002200A9">
        <w:t xml:space="preserve"> years and three months. </w:t>
      </w:r>
      <w:r>
        <w:t xml:space="preserve"> </w:t>
      </w:r>
      <w:r w:rsidRPr="002200A9">
        <w:t xml:space="preserve">Based on current TB estimates and trends, the NTP </w:t>
      </w:r>
      <w:r>
        <w:t>(and independent reviews) anticipate</w:t>
      </w:r>
      <w:r w:rsidRPr="002200A9">
        <w:t xml:space="preserve"> that </w:t>
      </w:r>
      <w:r>
        <w:t>an</w:t>
      </w:r>
      <w:r w:rsidRPr="002200A9">
        <w:t xml:space="preserve"> additional five years of intens</w:t>
      </w:r>
      <w:r>
        <w:t>ifi</w:t>
      </w:r>
      <w:r w:rsidRPr="002200A9">
        <w:t>e</w:t>
      </w:r>
      <w:r>
        <w:t>d</w:t>
      </w:r>
      <w:r w:rsidRPr="002200A9">
        <w:t xml:space="preserve"> TB control </w:t>
      </w:r>
      <w:r w:rsidRPr="002200A9">
        <w:lastRenderedPageBreak/>
        <w:t xml:space="preserve">efforts and </w:t>
      </w:r>
      <w:r>
        <w:t xml:space="preserve">technical and financial </w:t>
      </w:r>
      <w:r w:rsidRPr="002200A9">
        <w:t xml:space="preserve">assistance will be </w:t>
      </w:r>
      <w:r>
        <w:t>required</w:t>
      </w:r>
      <w:r w:rsidRPr="002200A9">
        <w:t xml:space="preserve"> to further reduce the TB burden. </w:t>
      </w:r>
      <w:r>
        <w:t xml:space="preserve"> </w:t>
      </w:r>
      <w:r w:rsidRPr="002200A9">
        <w:t xml:space="preserve">It will also provide ample time for the gradual transfer and </w:t>
      </w:r>
      <w:r>
        <w:t xml:space="preserve">eventual </w:t>
      </w:r>
      <w:r w:rsidRPr="002200A9">
        <w:t xml:space="preserve">integration of </w:t>
      </w:r>
      <w:r>
        <w:t>P</w:t>
      </w:r>
      <w:r w:rsidRPr="002200A9">
        <w:t xml:space="preserve">roject elements into the </w:t>
      </w:r>
      <w:r>
        <w:t xml:space="preserve">NTP or other areas of the </w:t>
      </w:r>
      <w:r w:rsidRPr="002200A9">
        <w:t>M</w:t>
      </w:r>
      <w:r>
        <w:t>HMS</w:t>
      </w:r>
      <w:r w:rsidRPr="002200A9">
        <w:t>, depending on resources available and the TB epidemiology at the time.</w:t>
      </w:r>
    </w:p>
    <w:p w:rsidR="008434CC" w:rsidRDefault="008434CC" w:rsidP="00763634">
      <w:r w:rsidRPr="002200A9">
        <w:t xml:space="preserve">The </w:t>
      </w:r>
      <w:r>
        <w:t>5¼ years of the Project duration will be</w:t>
      </w:r>
      <w:r w:rsidRPr="002200A9">
        <w:t xml:space="preserve"> </w:t>
      </w:r>
      <w:r>
        <w:t>divided into three</w:t>
      </w:r>
      <w:r w:rsidRPr="002200A9">
        <w:t xml:space="preserve"> </w:t>
      </w:r>
      <w:r>
        <w:t>distinct phase</w:t>
      </w:r>
      <w:r w:rsidRPr="002200A9">
        <w:t xml:space="preserve">s: </w:t>
      </w:r>
    </w:p>
    <w:p w:rsidR="008434CC" w:rsidRDefault="008434CC" w:rsidP="00B916EC">
      <w:pPr>
        <w:pStyle w:val="ListParagraph"/>
        <w:numPr>
          <w:ilvl w:val="0"/>
          <w:numId w:val="41"/>
        </w:numPr>
      </w:pPr>
      <w:r>
        <w:t xml:space="preserve">A </w:t>
      </w:r>
      <w:r w:rsidRPr="0039244F">
        <w:rPr>
          <w:b/>
          <w:i/>
        </w:rPr>
        <w:t>Transitional Phase</w:t>
      </w:r>
      <w:r>
        <w:t xml:space="preserve"> of three months (bridging between QTBECP and the new Project)</w:t>
      </w:r>
    </w:p>
    <w:p w:rsidR="008434CC" w:rsidRDefault="008434CC" w:rsidP="00B916EC">
      <w:pPr>
        <w:pStyle w:val="ListParagraph"/>
        <w:numPr>
          <w:ilvl w:val="0"/>
          <w:numId w:val="41"/>
        </w:numPr>
      </w:pPr>
      <w:r>
        <w:t xml:space="preserve">An </w:t>
      </w:r>
      <w:r w:rsidRPr="0039244F">
        <w:rPr>
          <w:b/>
          <w:i/>
        </w:rPr>
        <w:t>Alignment and Support Phase</w:t>
      </w:r>
      <w:r>
        <w:t xml:space="preserve"> of up to three years (“Phase 1”)</w:t>
      </w:r>
    </w:p>
    <w:p w:rsidR="008434CC" w:rsidRDefault="008434CC" w:rsidP="00B916EC">
      <w:pPr>
        <w:pStyle w:val="ListParagraph"/>
        <w:numPr>
          <w:ilvl w:val="0"/>
          <w:numId w:val="41"/>
        </w:numPr>
      </w:pPr>
      <w:r>
        <w:t xml:space="preserve">An </w:t>
      </w:r>
      <w:r w:rsidRPr="0039244F">
        <w:rPr>
          <w:b/>
          <w:i/>
        </w:rPr>
        <w:t>Integration Phase</w:t>
      </w:r>
      <w:r>
        <w:t xml:space="preserve"> of at least two years (“Phase 2”)</w:t>
      </w:r>
    </w:p>
    <w:p w:rsidR="008434CC" w:rsidRPr="00CE55C8" w:rsidRDefault="008434CC" w:rsidP="00763634">
      <w:pPr>
        <w:spacing w:before="180"/>
        <w:rPr>
          <w:color w:val="000000"/>
        </w:rPr>
      </w:pPr>
      <w:r w:rsidRPr="00CE55C8">
        <w:rPr>
          <w:color w:val="000000"/>
        </w:rPr>
        <w:t>The active management of each of the three phases is discussed in more detail in Section 6.5.</w:t>
      </w:r>
    </w:p>
    <w:p w:rsidR="008434CC" w:rsidRPr="00236479" w:rsidRDefault="008434CC" w:rsidP="00CE55C8">
      <w:r>
        <w:t xml:space="preserve">It is acknowledged that the proposed duration of the Project is longer than the duration of the NTP </w:t>
      </w:r>
      <w:r w:rsidRPr="00236479">
        <w:rPr>
          <w:i/>
        </w:rPr>
        <w:t>Strategic Plan</w:t>
      </w:r>
      <w:r>
        <w:t xml:space="preserve">.  This will ensure continuity of technical and financial support in case of delay in extending or re-developing the </w:t>
      </w:r>
      <w:r w:rsidRPr="00236479">
        <w:rPr>
          <w:i/>
        </w:rPr>
        <w:t>Strategic Plan</w:t>
      </w:r>
      <w:r>
        <w:rPr>
          <w:i/>
        </w:rPr>
        <w:t xml:space="preserve"> </w:t>
      </w:r>
      <w:r>
        <w:t xml:space="preserve">or the </w:t>
      </w:r>
      <w:r w:rsidRPr="00CE55C8">
        <w:rPr>
          <w:color w:val="000000"/>
        </w:rPr>
        <w:t xml:space="preserve">NHSP </w:t>
      </w:r>
      <w:r>
        <w:t>beyond their current cycle.</w:t>
      </w:r>
    </w:p>
    <w:p w:rsidR="008434CC" w:rsidRDefault="008434CC" w:rsidP="007E0DB9">
      <w:pPr>
        <w:pStyle w:val="Heading2"/>
      </w:pPr>
      <w:bookmarkStart w:id="45" w:name="_Toc331686104"/>
      <w:r>
        <w:t>5.3</w:t>
      </w:r>
      <w:r w:rsidRPr="006F5675">
        <w:t xml:space="preserve"> </w:t>
      </w:r>
      <w:r>
        <w:t>Cross-Cutting Development Themes</w:t>
      </w:r>
      <w:bookmarkEnd w:id="45"/>
    </w:p>
    <w:p w:rsidR="008434CC" w:rsidRPr="00054FB8" w:rsidRDefault="008434CC" w:rsidP="00054FB8">
      <w:pPr>
        <w:pStyle w:val="Heading3"/>
      </w:pPr>
      <w:bookmarkStart w:id="46" w:name="_Toc331686105"/>
      <w:r w:rsidRPr="00054FB8">
        <w:t>5.3.1 Gender</w:t>
      </w:r>
      <w:bookmarkEnd w:id="46"/>
    </w:p>
    <w:p w:rsidR="008434CC" w:rsidRDefault="008434CC" w:rsidP="007E0DB9">
      <w:r w:rsidRPr="00693605">
        <w:t xml:space="preserve">Male and female patients currently access </w:t>
      </w:r>
      <w:r>
        <w:t>NTP</w:t>
      </w:r>
      <w:r w:rsidRPr="00693605">
        <w:t xml:space="preserve"> services in approximately equal numbers</w:t>
      </w:r>
      <w:r>
        <w:t xml:space="preserve">.  However, the MTR of QTBECP Phase 2 found </w:t>
      </w:r>
      <w:r w:rsidRPr="00516F54">
        <w:t>a male-to-female ratio of about 1.5:1</w:t>
      </w:r>
      <w:r>
        <w:t xml:space="preserve"> among cases across all age groups and a female predominance among cases in older age groups (the latter probably reflecting </w:t>
      </w:r>
      <w:r w:rsidRPr="00516F54">
        <w:t xml:space="preserve">population structure </w:t>
      </w:r>
      <w:r>
        <w:t>and the longer life expectancy of women in Kiribati)</w:t>
      </w:r>
      <w:r w:rsidRPr="00516F54">
        <w:t>.</w:t>
      </w:r>
    </w:p>
    <w:p w:rsidR="008434CC" w:rsidRDefault="008434CC" w:rsidP="007E0DB9">
      <w:r>
        <w:t xml:space="preserve">The new Project’s ACSM strategy and operational research activities will assess possible </w:t>
      </w:r>
      <w:r w:rsidRPr="003668BD">
        <w:t>gender-related risk behaviours or other factors, or poorer access or utilisation of health services by younger adult and middle aged women</w:t>
      </w:r>
      <w:r w:rsidRPr="00516F54">
        <w:t xml:space="preserve"> </w:t>
      </w:r>
      <w:r>
        <w:t>or older men.</w:t>
      </w:r>
      <w:r w:rsidRPr="00516F54">
        <w:t xml:space="preserve"> </w:t>
      </w:r>
    </w:p>
    <w:p w:rsidR="008434CC" w:rsidRPr="003668BD" w:rsidRDefault="008434CC" w:rsidP="00054FB8">
      <w:pPr>
        <w:pStyle w:val="Heading3"/>
      </w:pPr>
      <w:bookmarkStart w:id="47" w:name="_Toc331686106"/>
      <w:r w:rsidRPr="003668BD">
        <w:t>5.3.</w:t>
      </w:r>
      <w:r>
        <w:t>2</w:t>
      </w:r>
      <w:r w:rsidRPr="003668BD">
        <w:t xml:space="preserve"> Disability</w:t>
      </w:r>
      <w:bookmarkEnd w:id="47"/>
    </w:p>
    <w:p w:rsidR="008434CC" w:rsidRDefault="008434CC" w:rsidP="003668BD">
      <w:r w:rsidRPr="003668BD">
        <w:t>T</w:t>
      </w:r>
      <w:r>
        <w:t>hrough more efficient case finding and contact tracing, t</w:t>
      </w:r>
      <w:r w:rsidRPr="003668BD">
        <w:t xml:space="preserve">he </w:t>
      </w:r>
      <w:r>
        <w:t xml:space="preserve">proposed Project </w:t>
      </w:r>
      <w:r w:rsidRPr="003668BD">
        <w:t xml:space="preserve">will </w:t>
      </w:r>
      <w:r>
        <w:t>exercise its major influence over disability through the preservation of better lung function as a result of earlier initiation of treatment</w:t>
      </w:r>
      <w:r w:rsidRPr="003668BD">
        <w:t>.</w:t>
      </w:r>
      <w:r>
        <w:t xml:space="preserve">  The intensified outreach through improved universal access to preventive and curative, home-based DOTS services (described in detail in Section 6.2.1) will also benefit people with impaired mobility and therefore limited access to fixed health facilities.</w:t>
      </w:r>
    </w:p>
    <w:p w:rsidR="008434CC" w:rsidRPr="003668BD" w:rsidRDefault="008434CC" w:rsidP="003668BD">
      <w:r>
        <w:t xml:space="preserve">The Project will also partner with </w:t>
      </w:r>
      <w:r w:rsidRPr="00902C36">
        <w:t>Te Toamatoa</w:t>
      </w:r>
      <w:r>
        <w:t xml:space="preserve">, a </w:t>
      </w:r>
      <w:r w:rsidRPr="00FE63C7">
        <w:rPr>
          <w:bCs/>
        </w:rPr>
        <w:t>non</w:t>
      </w:r>
      <w:r>
        <w:rPr>
          <w:bCs/>
        </w:rPr>
        <w:t>-</w:t>
      </w:r>
      <w:r w:rsidRPr="00FE63C7">
        <w:rPr>
          <w:bCs/>
        </w:rPr>
        <w:t>government</w:t>
      </w:r>
      <w:r>
        <w:rPr>
          <w:bCs/>
        </w:rPr>
        <w:t xml:space="preserve"> organisation</w:t>
      </w:r>
      <w:r w:rsidRPr="00FE63C7">
        <w:rPr>
          <w:bCs/>
        </w:rPr>
        <w:t xml:space="preserve"> </w:t>
      </w:r>
      <w:r>
        <w:rPr>
          <w:bCs/>
        </w:rPr>
        <w:t>(</w:t>
      </w:r>
      <w:r w:rsidRPr="00902C36">
        <w:t>NGO</w:t>
      </w:r>
      <w:r>
        <w:t>)</w:t>
      </w:r>
      <w:r w:rsidRPr="00902C36">
        <w:t xml:space="preserve"> made up of disabled people from South Tarawa</w:t>
      </w:r>
      <w:r>
        <w:t xml:space="preserve">, in community </w:t>
      </w:r>
      <w:r w:rsidRPr="00902C36">
        <w:t xml:space="preserve">dramas </w:t>
      </w:r>
      <w:r>
        <w:t>as a vehicle for for health promotion.</w:t>
      </w:r>
    </w:p>
    <w:p w:rsidR="008434CC" w:rsidRPr="003668BD" w:rsidRDefault="008434CC" w:rsidP="00054FB8">
      <w:pPr>
        <w:pStyle w:val="Heading3"/>
      </w:pPr>
      <w:bookmarkStart w:id="48" w:name="_Toc331686107"/>
      <w:r w:rsidRPr="003668BD">
        <w:t>5.3.</w:t>
      </w:r>
      <w:r>
        <w:t>3</w:t>
      </w:r>
      <w:r w:rsidRPr="003668BD">
        <w:t xml:space="preserve"> </w:t>
      </w:r>
      <w:r w:rsidRPr="00E07C81">
        <w:t>Environment</w:t>
      </w:r>
      <w:bookmarkEnd w:id="48"/>
    </w:p>
    <w:p w:rsidR="008434CC" w:rsidRDefault="008434CC" w:rsidP="003668BD">
      <w:r w:rsidRPr="003668BD">
        <w:t xml:space="preserve">The negative impact of the </w:t>
      </w:r>
      <w:r>
        <w:t>Project</w:t>
      </w:r>
      <w:r w:rsidRPr="003668BD">
        <w:t xml:space="preserve"> on the environment is likely to be negligible.  Clinical staff will use existing systems to dispose of medical waste, and </w:t>
      </w:r>
      <w:r>
        <w:t>bio-safety systems are already in place in the TB laboratory and for sputum collection in a separate area at the TBCC</w:t>
      </w:r>
      <w:r w:rsidRPr="003668BD">
        <w:t xml:space="preserve">.  </w:t>
      </w:r>
      <w:r>
        <w:t>I</w:t>
      </w:r>
      <w:r w:rsidRPr="003668BD">
        <w:t>nfection control practices</w:t>
      </w:r>
      <w:r>
        <w:t xml:space="preserve"> will be strengthened through development and dissemination of guidelines for clinical staff; these guidelines will also inform the evolving national laboratory policy and TB laboratory strategic development</w:t>
      </w:r>
      <w:r w:rsidRPr="003668BD">
        <w:t xml:space="preserve">.  </w:t>
      </w:r>
    </w:p>
    <w:p w:rsidR="008434CC" w:rsidRDefault="008434CC" w:rsidP="003668BD">
      <w:r w:rsidRPr="003668BD">
        <w:lastRenderedPageBreak/>
        <w:t xml:space="preserve">An increase in travel to the </w:t>
      </w:r>
      <w:r>
        <w:t>outer islands</w:t>
      </w:r>
      <w:r w:rsidRPr="003668BD">
        <w:t xml:space="preserve"> by </w:t>
      </w:r>
      <w:r>
        <w:t xml:space="preserve">NTP and community health staff </w:t>
      </w:r>
      <w:r w:rsidRPr="003668BD">
        <w:t xml:space="preserve">will inevitably increase the direct carbon footprint of the </w:t>
      </w:r>
      <w:r>
        <w:t>Project.  T</w:t>
      </w:r>
      <w:r w:rsidRPr="003668BD">
        <w:t xml:space="preserve">his may be largely off-set by the increased efficiency inherent in </w:t>
      </w:r>
      <w:r>
        <w:t xml:space="preserve">diagnosing and </w:t>
      </w:r>
      <w:r w:rsidRPr="003668BD">
        <w:t xml:space="preserve">treating patients closer to home, i.e. without them needing to </w:t>
      </w:r>
      <w:r>
        <w:t>be referred</w:t>
      </w:r>
      <w:r w:rsidRPr="003668BD">
        <w:t xml:space="preserve"> to </w:t>
      </w:r>
      <w:r>
        <w:t>hospital or the TBCC in Tarawa</w:t>
      </w:r>
      <w:r w:rsidRPr="003668BD">
        <w:t>.</w:t>
      </w:r>
    </w:p>
    <w:p w:rsidR="008434CC" w:rsidRPr="003668BD" w:rsidRDefault="008434CC" w:rsidP="00054FB8">
      <w:pPr>
        <w:pStyle w:val="Heading3"/>
      </w:pPr>
      <w:bookmarkStart w:id="49" w:name="_Toc331686108"/>
      <w:r w:rsidRPr="003668BD">
        <w:t>5.3.</w:t>
      </w:r>
      <w:r>
        <w:t>4</w:t>
      </w:r>
      <w:r w:rsidRPr="003668BD">
        <w:t xml:space="preserve"> </w:t>
      </w:r>
      <w:r>
        <w:t>Other Cross-Cutting Issues</w:t>
      </w:r>
      <w:bookmarkEnd w:id="49"/>
    </w:p>
    <w:p w:rsidR="008434CC" w:rsidRDefault="008434CC" w:rsidP="003B03FF">
      <w:r w:rsidRPr="00821639">
        <w:rPr>
          <w:b/>
        </w:rPr>
        <w:t>Fiduciary risk</w:t>
      </w:r>
      <w:r>
        <w:t xml:space="preserve"> will be addressed through Project financial management systems (Section 7.3.2)</w:t>
      </w:r>
      <w:r w:rsidRPr="003668BD">
        <w:t>.</w:t>
      </w:r>
    </w:p>
    <w:p w:rsidR="008434CC" w:rsidRDefault="008434CC" w:rsidP="003B03FF">
      <w:r w:rsidRPr="00821639">
        <w:rPr>
          <w:b/>
        </w:rPr>
        <w:t>HIV infection</w:t>
      </w:r>
      <w:r w:rsidRPr="003B03FF">
        <w:t xml:space="preserve"> and </w:t>
      </w:r>
      <w:r w:rsidRPr="00821639">
        <w:rPr>
          <w:b/>
        </w:rPr>
        <w:t>diabetes</w:t>
      </w:r>
      <w:r w:rsidRPr="003B03FF">
        <w:t xml:space="preserve"> (as an important chronic disease in the Pacific) are AusAID priorities and are prominent areas of focus for the project</w:t>
      </w:r>
      <w:r>
        <w:t xml:space="preserve"> (Objective 3).</w:t>
      </w:r>
    </w:p>
    <w:p w:rsidR="008434CC" w:rsidRPr="00821639" w:rsidRDefault="008434CC" w:rsidP="00821639">
      <w:r>
        <w:t xml:space="preserve">Improved diagnosis and management of paediatric TB will contribute to </w:t>
      </w:r>
      <w:r w:rsidRPr="00821639">
        <w:rPr>
          <w:b/>
        </w:rPr>
        <w:t>child protection</w:t>
      </w:r>
      <w:r>
        <w:t>.</w:t>
      </w:r>
    </w:p>
    <w:p w:rsidR="008434CC" w:rsidRDefault="008434CC" w:rsidP="004A1669">
      <w:pPr>
        <w:pStyle w:val="Heading1"/>
      </w:pPr>
      <w:bookmarkStart w:id="50" w:name="_Toc331686109"/>
      <w:r>
        <w:t>6. Project I</w:t>
      </w:r>
      <w:r w:rsidRPr="00B929EA">
        <w:t>mplementation</w:t>
      </w:r>
      <w:r>
        <w:t>, Human Resources and Phasing</w:t>
      </w:r>
      <w:bookmarkEnd w:id="50"/>
    </w:p>
    <w:p w:rsidR="008434CC" w:rsidRDefault="008434CC" w:rsidP="00867D36">
      <w:pPr>
        <w:pStyle w:val="Heading2"/>
      </w:pPr>
      <w:bookmarkStart w:id="51" w:name="_Toc331686110"/>
      <w:r>
        <w:t>6.1 Integrated Annual Work Plan and Budget</w:t>
      </w:r>
      <w:bookmarkEnd w:id="51"/>
    </w:p>
    <w:p w:rsidR="008434CC" w:rsidRDefault="008434CC" w:rsidP="00054FB8">
      <w:pPr>
        <w:pStyle w:val="Heading3"/>
      </w:pPr>
      <w:bookmarkStart w:id="52" w:name="_Toc331686111"/>
      <w:r>
        <w:t>6.1.1 The “Four Ones” Principles</w:t>
      </w:r>
      <w:bookmarkEnd w:id="52"/>
    </w:p>
    <w:p w:rsidR="008434CC" w:rsidRPr="00DA7D95" w:rsidRDefault="008434CC" w:rsidP="00CE55C8">
      <w:r w:rsidRPr="00DA7D95">
        <w:t>In reviewing options for planning, management and governance, the June 2012 planning workshop for MHMS, the NTP, SPC and AusAID was guided by the principles characterised by UNAIDS as the “Three Ones”.</w:t>
      </w:r>
      <w:r w:rsidRPr="00DA7D95">
        <w:rPr>
          <w:rStyle w:val="FootnoteReference"/>
          <w:color w:val="000000"/>
        </w:rPr>
        <w:footnoteReference w:id="20"/>
      </w:r>
      <w:r w:rsidRPr="00DA7D95">
        <w:t xml:space="preserve">  The workshop adapted these principles to include a “fourth one” (budget; Box 5). </w:t>
      </w:r>
    </w:p>
    <w:p w:rsidR="008434CC" w:rsidRPr="00DA7D95" w:rsidRDefault="008434CC" w:rsidP="00A165AE">
      <w:pPr>
        <w:autoSpaceDE w:val="0"/>
        <w:autoSpaceDN w:val="0"/>
        <w:adjustRightInd w:val="0"/>
        <w:spacing w:line="264" w:lineRule="auto"/>
        <w:rPr>
          <w:rStyle w:val="Style11ptBlack"/>
          <w:rFonts w:ascii="Calibri" w:hAnsi="Calibri" w:cs="Calibri"/>
          <w:sz w:val="22"/>
          <w:szCs w:val="21"/>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tblGrid>
      <w:tr w:rsidR="008434CC" w:rsidRPr="004672B0" w:rsidTr="008939CD">
        <w:tc>
          <w:tcPr>
            <w:tcW w:w="5954" w:type="dxa"/>
            <w:shd w:val="clear" w:color="auto" w:fill="DBE5F1"/>
          </w:tcPr>
          <w:p w:rsidR="008434CC" w:rsidRPr="004672B0" w:rsidRDefault="008434CC" w:rsidP="00591828">
            <w:pPr>
              <w:autoSpaceDE w:val="0"/>
              <w:autoSpaceDN w:val="0"/>
              <w:adjustRightInd w:val="0"/>
              <w:spacing w:after="240" w:line="264" w:lineRule="auto"/>
              <w:jc w:val="center"/>
              <w:rPr>
                <w:rStyle w:val="Style11ptBlack"/>
                <w:b/>
              </w:rPr>
            </w:pPr>
            <w:r w:rsidRPr="004672B0">
              <w:rPr>
                <w:rStyle w:val="Style11ptBlack"/>
                <w:b/>
              </w:rPr>
              <w:t>Box 5: The “Four Ones” Principles as applied to the Kiribati National Tuberculosis Program</w:t>
            </w:r>
          </w:p>
          <w:p w:rsidR="008434CC" w:rsidRPr="004672B0" w:rsidRDefault="008434CC" w:rsidP="00B916EC">
            <w:pPr>
              <w:pStyle w:val="ListParagraph"/>
              <w:numPr>
                <w:ilvl w:val="0"/>
                <w:numId w:val="28"/>
              </w:numPr>
              <w:autoSpaceDE w:val="0"/>
              <w:autoSpaceDN w:val="0"/>
              <w:adjustRightInd w:val="0"/>
              <w:spacing w:before="60" w:after="60" w:line="264" w:lineRule="auto"/>
              <w:ind w:left="641" w:right="284" w:hanging="357"/>
              <w:contextualSpacing w:val="0"/>
              <w:rPr>
                <w:rStyle w:val="Style11ptBlack"/>
                <w:rFonts w:ascii="Calibri" w:hAnsi="Calibri" w:cs="Calibri"/>
                <w:sz w:val="22"/>
              </w:rPr>
            </w:pPr>
            <w:r w:rsidRPr="004672B0">
              <w:rPr>
                <w:rStyle w:val="Style11ptBlack"/>
                <w:rFonts w:ascii="Calibri" w:hAnsi="Calibri" w:cs="Calibri"/>
                <w:sz w:val="22"/>
              </w:rPr>
              <w:t xml:space="preserve">One agreed </w:t>
            </w:r>
            <w:r w:rsidRPr="004672B0">
              <w:rPr>
                <w:rStyle w:val="Style11ptBlack"/>
                <w:rFonts w:ascii="Calibri" w:hAnsi="Calibri" w:cs="Calibri"/>
                <w:i/>
                <w:sz w:val="22"/>
              </w:rPr>
              <w:t xml:space="preserve">National Tuberculosis </w:t>
            </w:r>
            <w:r w:rsidRPr="004672B0">
              <w:rPr>
                <w:rStyle w:val="Style11ptBlack"/>
                <w:rFonts w:ascii="Calibri" w:hAnsi="Calibri" w:cs="Calibri"/>
                <w:b/>
                <w:i/>
                <w:sz w:val="22"/>
              </w:rPr>
              <w:t>Strategic Plan</w:t>
            </w:r>
            <w:r w:rsidRPr="004672B0">
              <w:rPr>
                <w:rStyle w:val="Style11ptBlack"/>
                <w:rFonts w:ascii="Calibri" w:hAnsi="Calibri" w:cs="Calibri"/>
                <w:sz w:val="22"/>
              </w:rPr>
              <w:t xml:space="preserve"> that provides the basis for coordinating the work of all partners</w:t>
            </w:r>
          </w:p>
          <w:p w:rsidR="008434CC" w:rsidRPr="004672B0" w:rsidRDefault="008434CC" w:rsidP="00B916EC">
            <w:pPr>
              <w:pStyle w:val="ListParagraph"/>
              <w:numPr>
                <w:ilvl w:val="0"/>
                <w:numId w:val="28"/>
              </w:numPr>
              <w:autoSpaceDE w:val="0"/>
              <w:autoSpaceDN w:val="0"/>
              <w:adjustRightInd w:val="0"/>
              <w:spacing w:before="60" w:after="60" w:line="264" w:lineRule="auto"/>
              <w:ind w:left="641" w:right="284" w:hanging="357"/>
              <w:contextualSpacing w:val="0"/>
              <w:rPr>
                <w:rStyle w:val="Style11ptBlack"/>
                <w:rFonts w:ascii="Calibri" w:hAnsi="Calibri" w:cs="Calibri"/>
                <w:sz w:val="22"/>
              </w:rPr>
            </w:pPr>
            <w:r w:rsidRPr="004672B0">
              <w:rPr>
                <w:rStyle w:val="Style11ptBlack"/>
                <w:rFonts w:ascii="Calibri" w:hAnsi="Calibri" w:cs="Calibri"/>
                <w:sz w:val="22"/>
              </w:rPr>
              <w:t xml:space="preserve">One National TB </w:t>
            </w:r>
            <w:r w:rsidRPr="004672B0">
              <w:rPr>
                <w:rStyle w:val="Style11ptBlack"/>
                <w:rFonts w:ascii="Calibri" w:hAnsi="Calibri" w:cs="Calibri"/>
                <w:b/>
                <w:sz w:val="22"/>
              </w:rPr>
              <w:t>Coordinating Authority</w:t>
            </w:r>
            <w:r w:rsidRPr="004672B0">
              <w:rPr>
                <w:rStyle w:val="Style11ptBlack"/>
                <w:rFonts w:ascii="Calibri" w:hAnsi="Calibri" w:cs="Calibri"/>
                <w:sz w:val="22"/>
              </w:rPr>
              <w:t>, with a broad based multi-sectoral mandate</w:t>
            </w:r>
          </w:p>
          <w:p w:rsidR="008434CC" w:rsidRPr="004672B0" w:rsidRDefault="008434CC" w:rsidP="00B916EC">
            <w:pPr>
              <w:pStyle w:val="ListParagraph"/>
              <w:numPr>
                <w:ilvl w:val="0"/>
                <w:numId w:val="28"/>
              </w:numPr>
              <w:autoSpaceDE w:val="0"/>
              <w:autoSpaceDN w:val="0"/>
              <w:adjustRightInd w:val="0"/>
              <w:spacing w:before="60" w:after="60" w:line="264" w:lineRule="auto"/>
              <w:ind w:left="641" w:right="284" w:hanging="357"/>
              <w:contextualSpacing w:val="0"/>
              <w:rPr>
                <w:rStyle w:val="Style11ptBlack"/>
                <w:rFonts w:ascii="Calibri" w:hAnsi="Calibri" w:cs="Calibri"/>
                <w:sz w:val="22"/>
              </w:rPr>
            </w:pPr>
            <w:r w:rsidRPr="004672B0">
              <w:rPr>
                <w:rStyle w:val="Style11ptBlack"/>
                <w:rFonts w:ascii="Calibri" w:hAnsi="Calibri" w:cs="Calibri"/>
                <w:sz w:val="22"/>
              </w:rPr>
              <w:t xml:space="preserve">One agreed country level </w:t>
            </w:r>
            <w:r w:rsidRPr="004672B0">
              <w:rPr>
                <w:rStyle w:val="Style11ptBlack"/>
                <w:rFonts w:ascii="Calibri" w:hAnsi="Calibri" w:cs="Calibri"/>
                <w:b/>
                <w:sz w:val="22"/>
              </w:rPr>
              <w:t>Monitoring and Evaluation Framework</w:t>
            </w:r>
            <w:r w:rsidRPr="004672B0">
              <w:rPr>
                <w:rStyle w:val="Style11ptBlack"/>
                <w:rFonts w:ascii="Calibri" w:hAnsi="Calibri" w:cs="Calibri"/>
                <w:sz w:val="22"/>
              </w:rPr>
              <w:t xml:space="preserve"> for the NTP</w:t>
            </w:r>
          </w:p>
          <w:p w:rsidR="008434CC" w:rsidRPr="004672B0" w:rsidRDefault="008434CC" w:rsidP="00B916EC">
            <w:pPr>
              <w:pStyle w:val="ListParagraph"/>
              <w:numPr>
                <w:ilvl w:val="0"/>
                <w:numId w:val="28"/>
              </w:numPr>
              <w:autoSpaceDE w:val="0"/>
              <w:autoSpaceDN w:val="0"/>
              <w:adjustRightInd w:val="0"/>
              <w:spacing w:before="60" w:after="60" w:line="264" w:lineRule="auto"/>
              <w:ind w:left="641" w:right="284" w:hanging="357"/>
              <w:contextualSpacing w:val="0"/>
              <w:rPr>
                <w:rStyle w:val="Style11ptBlack"/>
                <w:rFonts w:ascii="Calibri" w:hAnsi="Calibri" w:cs="Calibri"/>
                <w:sz w:val="22"/>
              </w:rPr>
            </w:pPr>
            <w:r w:rsidRPr="004672B0">
              <w:rPr>
                <w:rStyle w:val="Style11ptBlack"/>
                <w:rFonts w:ascii="Calibri" w:hAnsi="Calibri" w:cs="Calibri"/>
                <w:sz w:val="22"/>
              </w:rPr>
              <w:t xml:space="preserve">One </w:t>
            </w:r>
            <w:r w:rsidRPr="004672B0">
              <w:rPr>
                <w:rStyle w:val="Style11ptBlack"/>
                <w:rFonts w:ascii="Calibri" w:hAnsi="Calibri" w:cs="Calibri"/>
                <w:b/>
                <w:sz w:val="22"/>
              </w:rPr>
              <w:t xml:space="preserve">integrated budget </w:t>
            </w:r>
            <w:r w:rsidRPr="004672B0">
              <w:rPr>
                <w:rStyle w:val="Style11ptBlack"/>
                <w:rFonts w:ascii="Calibri" w:hAnsi="Calibri" w:cs="Calibri"/>
                <w:sz w:val="22"/>
              </w:rPr>
              <w:t xml:space="preserve">and </w:t>
            </w:r>
            <w:r w:rsidRPr="004672B0">
              <w:rPr>
                <w:rStyle w:val="Style11ptBlack"/>
                <w:rFonts w:ascii="Calibri" w:hAnsi="Calibri" w:cs="Calibri"/>
                <w:b/>
                <w:sz w:val="22"/>
              </w:rPr>
              <w:t>costed</w:t>
            </w:r>
            <w:r w:rsidRPr="004672B0">
              <w:rPr>
                <w:rStyle w:val="Style11ptBlack"/>
                <w:rFonts w:ascii="Calibri" w:hAnsi="Calibri" w:cs="Calibri"/>
                <w:sz w:val="22"/>
              </w:rPr>
              <w:t xml:space="preserve"> </w:t>
            </w:r>
            <w:r w:rsidRPr="004672B0">
              <w:rPr>
                <w:rStyle w:val="Style11ptBlack"/>
                <w:rFonts w:ascii="Calibri" w:hAnsi="Calibri" w:cs="Calibri"/>
                <w:b/>
                <w:sz w:val="22"/>
              </w:rPr>
              <w:t>work plan</w:t>
            </w:r>
            <w:r w:rsidRPr="004672B0">
              <w:rPr>
                <w:rStyle w:val="Style11ptBlack"/>
                <w:rFonts w:ascii="Calibri" w:hAnsi="Calibri" w:cs="Calibri"/>
                <w:sz w:val="22"/>
              </w:rPr>
              <w:t xml:space="preserve">, which identifies the activities of all partners and the sources of funding for all activities  </w:t>
            </w:r>
          </w:p>
          <w:p w:rsidR="008434CC" w:rsidRPr="004672B0" w:rsidRDefault="008434CC" w:rsidP="00591828">
            <w:pPr>
              <w:pStyle w:val="ListParagraph"/>
              <w:autoSpaceDE w:val="0"/>
              <w:autoSpaceDN w:val="0"/>
              <w:adjustRightInd w:val="0"/>
              <w:spacing w:before="60" w:line="264" w:lineRule="auto"/>
              <w:rPr>
                <w:rStyle w:val="Style11ptBlack"/>
              </w:rPr>
            </w:pPr>
          </w:p>
        </w:tc>
      </w:tr>
    </w:tbl>
    <w:p w:rsidR="008434CC" w:rsidRPr="00F11966" w:rsidRDefault="008434CC" w:rsidP="00A165AE">
      <w:pPr>
        <w:autoSpaceDE w:val="0"/>
        <w:autoSpaceDN w:val="0"/>
        <w:adjustRightInd w:val="0"/>
        <w:spacing w:line="264" w:lineRule="auto"/>
        <w:rPr>
          <w:rStyle w:val="Style11ptBlack"/>
          <w:rFonts w:ascii="Calibri" w:hAnsi="Calibri" w:cs="Calibri"/>
          <w:sz w:val="22"/>
        </w:rPr>
      </w:pPr>
    </w:p>
    <w:p w:rsidR="008434CC" w:rsidRDefault="008434CC" w:rsidP="00054FB8">
      <w:pPr>
        <w:pStyle w:val="Heading3"/>
      </w:pPr>
      <w:bookmarkStart w:id="53" w:name="_Toc331686112"/>
      <w:r>
        <w:lastRenderedPageBreak/>
        <w:t>6.1.2 Work Plan Development</w:t>
      </w:r>
      <w:bookmarkEnd w:id="53"/>
    </w:p>
    <w:p w:rsidR="008434CC" w:rsidRDefault="008434CC" w:rsidP="00CE55C8">
      <w:r>
        <w:t>Each year, the NTP and SPC (and other partners as appropriate)</w:t>
      </w:r>
      <w:r w:rsidRPr="00DA7D95">
        <w:t xml:space="preserve"> </w:t>
      </w:r>
      <w:r>
        <w:t xml:space="preserve">will collaborate to develop an </w:t>
      </w:r>
      <w:r w:rsidRPr="00DA7D95">
        <w:t>integrated work plan and budget</w:t>
      </w:r>
      <w:r>
        <w:t xml:space="preserve"> for all TB activities that will take place under the NTP.  (This is a model that has already been piloted for harmonising the QTBECP with the Global Fund Round 7 TB grant to </w:t>
      </w:r>
      <w:r w:rsidRPr="002200A9">
        <w:t>bett</w:t>
      </w:r>
      <w:r>
        <w:t>er streamline</w:t>
      </w:r>
      <w:r w:rsidRPr="002200A9">
        <w:t xml:space="preserve"> </w:t>
      </w:r>
      <w:r>
        <w:t xml:space="preserve">their </w:t>
      </w:r>
      <w:r w:rsidRPr="002200A9">
        <w:t xml:space="preserve">activities </w:t>
      </w:r>
      <w:r>
        <w:t>against the NTP).</w:t>
      </w:r>
    </w:p>
    <w:p w:rsidR="008434CC" w:rsidRDefault="008434CC" w:rsidP="00CE55C8">
      <w:r>
        <w:t xml:space="preserve">The integrated work plan and budget will group activities under each NTP </w:t>
      </w:r>
      <w:r w:rsidRPr="004B094E">
        <w:rPr>
          <w:i/>
        </w:rPr>
        <w:t>Strategic Plan</w:t>
      </w:r>
      <w:r>
        <w:t xml:space="preserve"> objective (also grouped, as necessary, by area of Project assistance; Figure 10), including identifying the timing of implementation, the cost, and the source of funding.</w:t>
      </w:r>
      <w:r w:rsidRPr="00B31D41">
        <w:t xml:space="preserve"> </w:t>
      </w:r>
    </w:p>
    <w:p w:rsidR="008434CC" w:rsidRPr="00065FE9" w:rsidRDefault="008434CC" w:rsidP="00CE55C8">
      <w:pPr>
        <w:rPr>
          <w:color w:val="000000"/>
        </w:rPr>
      </w:pPr>
      <w:r>
        <w:t xml:space="preserve">The first </w:t>
      </w:r>
      <w:r w:rsidRPr="00DA7D95">
        <w:t>integrated</w:t>
      </w:r>
      <w:r>
        <w:t xml:space="preserve"> annual work plan and budget (i.e. for 2013) will be developed during the Transitional Phase (i.e. the first three months) of P</w:t>
      </w:r>
      <w:r w:rsidRPr="002200A9">
        <w:t>roject implementation</w:t>
      </w:r>
      <w:r>
        <w:t>,</w:t>
      </w:r>
      <w:r w:rsidRPr="002200A9">
        <w:t xml:space="preserve"> or as soon as the </w:t>
      </w:r>
      <w:r>
        <w:t>n</w:t>
      </w:r>
      <w:r w:rsidRPr="002200A9">
        <w:t xml:space="preserve">ational </w:t>
      </w:r>
      <w:r w:rsidRPr="00DA7D95">
        <w:rPr>
          <w:i/>
        </w:rPr>
        <w:t>Strategic Plan</w:t>
      </w:r>
      <w:r>
        <w:t xml:space="preserve"> and the new Project </w:t>
      </w:r>
      <w:r w:rsidRPr="002200A9">
        <w:t>ha</w:t>
      </w:r>
      <w:r>
        <w:t>ve</w:t>
      </w:r>
      <w:r w:rsidRPr="002200A9">
        <w:t xml:space="preserve"> been endor</w:t>
      </w:r>
      <w:r>
        <w:t xml:space="preserve">sed.  Should </w:t>
      </w:r>
      <w:r w:rsidRPr="002200A9">
        <w:t xml:space="preserve">development of </w:t>
      </w:r>
      <w:r>
        <w:t xml:space="preserve">the single </w:t>
      </w:r>
      <w:r w:rsidRPr="00AA00C4">
        <w:t xml:space="preserve">national </w:t>
      </w:r>
      <w:r w:rsidRPr="00065FE9">
        <w:rPr>
          <w:color w:val="000000"/>
        </w:rPr>
        <w:t>work plan be delayed, the Senior NTP/Project Adviser (see Section 6.4) and the SPC TB Adviser may develop a</w:t>
      </w:r>
      <w:r w:rsidRPr="00065FE9">
        <w:rPr>
          <w:color w:val="000000"/>
          <w:sz w:val="24"/>
          <w:szCs w:val="24"/>
        </w:rPr>
        <w:t xml:space="preserve"> </w:t>
      </w:r>
      <w:r w:rsidRPr="00065FE9">
        <w:rPr>
          <w:color w:val="000000"/>
        </w:rPr>
        <w:t xml:space="preserve">detailed work plan for just the Project and residual Global Fund support as a contingency plan (see </w:t>
      </w:r>
      <w:r w:rsidRPr="00821639">
        <w:rPr>
          <w:i/>
          <w:color w:val="000000"/>
        </w:rPr>
        <w:t xml:space="preserve">Risk </w:t>
      </w:r>
      <w:r>
        <w:rPr>
          <w:i/>
          <w:color w:val="000000"/>
        </w:rPr>
        <w:t xml:space="preserve">Analysis and Risk </w:t>
      </w:r>
      <w:r w:rsidRPr="00821639">
        <w:rPr>
          <w:i/>
          <w:color w:val="000000"/>
        </w:rPr>
        <w:t>Management</w:t>
      </w:r>
      <w:r w:rsidRPr="00065FE9">
        <w:rPr>
          <w:color w:val="000000"/>
        </w:rPr>
        <w:t xml:space="preserve">, Section </w:t>
      </w:r>
      <w:r>
        <w:rPr>
          <w:color w:val="000000"/>
        </w:rPr>
        <w:t>10</w:t>
      </w:r>
      <w:r w:rsidRPr="00065FE9">
        <w:rPr>
          <w:color w:val="000000"/>
        </w:rPr>
        <w:t xml:space="preserve"> and Appendix 3).  </w:t>
      </w:r>
    </w:p>
    <w:p w:rsidR="008434CC" w:rsidRPr="00AB4FA2" w:rsidRDefault="008434CC" w:rsidP="00F62647">
      <w:pPr>
        <w:pStyle w:val="Heading2"/>
      </w:pPr>
      <w:bookmarkStart w:id="54" w:name="_Toc331686113"/>
      <w:r>
        <w:t>6</w:t>
      </w:r>
      <w:r w:rsidRPr="00AB4FA2">
        <w:t>.</w:t>
      </w:r>
      <w:r>
        <w:t>2</w:t>
      </w:r>
      <w:r w:rsidRPr="00AB4FA2">
        <w:t xml:space="preserve"> </w:t>
      </w:r>
      <w:r>
        <w:t>Rationale and Indicative Activities for Each Objective</w:t>
      </w:r>
      <w:bookmarkEnd w:id="54"/>
    </w:p>
    <w:p w:rsidR="008434CC" w:rsidRPr="00065FE9" w:rsidRDefault="008434CC" w:rsidP="00F62647">
      <w:pPr>
        <w:rPr>
          <w:color w:val="000000"/>
        </w:rPr>
      </w:pPr>
      <w:r w:rsidRPr="00065FE9">
        <w:rPr>
          <w:color w:val="000000"/>
        </w:rPr>
        <w:t xml:space="preserve">The following discussion describes the principal areas of focus under each Project objective.  The phasing of key activity groupings under each Project and NTP </w:t>
      </w:r>
      <w:r w:rsidRPr="00065FE9">
        <w:rPr>
          <w:i/>
          <w:color w:val="000000"/>
        </w:rPr>
        <w:t>Strategic Plan</w:t>
      </w:r>
      <w:r w:rsidRPr="00065FE9">
        <w:rPr>
          <w:color w:val="000000"/>
        </w:rPr>
        <w:t xml:space="preserve"> objective are presented in more detail in the budget (Appendix 1).</w:t>
      </w:r>
    </w:p>
    <w:p w:rsidR="008434CC" w:rsidRDefault="008434CC" w:rsidP="00054FB8">
      <w:pPr>
        <w:pStyle w:val="Heading3"/>
      </w:pPr>
      <w:bookmarkStart w:id="55" w:name="_Toc331686114"/>
      <w:r>
        <w:t>6.2.1 Project Objective 1 – Universal Access</w:t>
      </w:r>
      <w:bookmarkEnd w:id="55"/>
    </w:p>
    <w:p w:rsidR="008434CC" w:rsidRDefault="008434CC" w:rsidP="00A24E8D">
      <w:pPr>
        <w:rPr>
          <w:bCs/>
        </w:rPr>
      </w:pPr>
      <w:r>
        <w:rPr>
          <w:bCs/>
        </w:rPr>
        <w:t>QTBEC</w:t>
      </w:r>
      <w:r w:rsidRPr="00DB1DA2">
        <w:rPr>
          <w:bCs/>
        </w:rPr>
        <w:t>P</w:t>
      </w:r>
      <w:r>
        <w:rPr>
          <w:bCs/>
        </w:rPr>
        <w:t xml:space="preserve"> P</w:t>
      </w:r>
      <w:r w:rsidRPr="00DB1DA2">
        <w:rPr>
          <w:bCs/>
        </w:rPr>
        <w:t xml:space="preserve">hases </w:t>
      </w:r>
      <w:r>
        <w:rPr>
          <w:bCs/>
        </w:rPr>
        <w:t>1</w:t>
      </w:r>
      <w:r w:rsidRPr="00DB1DA2">
        <w:rPr>
          <w:bCs/>
        </w:rPr>
        <w:t xml:space="preserve"> and </w:t>
      </w:r>
      <w:r>
        <w:rPr>
          <w:bCs/>
        </w:rPr>
        <w:t>2</w:t>
      </w:r>
      <w:r w:rsidRPr="00DB1DA2">
        <w:rPr>
          <w:bCs/>
        </w:rPr>
        <w:t xml:space="preserve"> have made significant contributions to the establishment of a strong foundation for TB control in Kiribati through the development of infrastructure, systems and </w:t>
      </w:r>
      <w:r>
        <w:rPr>
          <w:bCs/>
        </w:rPr>
        <w:t xml:space="preserve">team </w:t>
      </w:r>
      <w:r w:rsidRPr="00DB1DA2">
        <w:rPr>
          <w:bCs/>
        </w:rPr>
        <w:t xml:space="preserve">capacity </w:t>
      </w:r>
      <w:r>
        <w:rPr>
          <w:bCs/>
        </w:rPr>
        <w:t>dur</w:t>
      </w:r>
      <w:r w:rsidRPr="00DB1DA2">
        <w:rPr>
          <w:bCs/>
        </w:rPr>
        <w:t>in</w:t>
      </w:r>
      <w:r>
        <w:rPr>
          <w:bCs/>
        </w:rPr>
        <w:t>g</w:t>
      </w:r>
      <w:r w:rsidRPr="00DB1DA2">
        <w:rPr>
          <w:bCs/>
        </w:rPr>
        <w:t xml:space="preserve"> Phase 1</w:t>
      </w:r>
      <w:r>
        <w:rPr>
          <w:bCs/>
        </w:rPr>
        <w:t>,</w:t>
      </w:r>
      <w:r w:rsidRPr="00DB1DA2">
        <w:rPr>
          <w:bCs/>
        </w:rPr>
        <w:t xml:space="preserve"> and expansion of TB services to the outer islands in Phase 2. </w:t>
      </w:r>
      <w:r>
        <w:rPr>
          <w:bCs/>
        </w:rPr>
        <w:t xml:space="preserve"> </w:t>
      </w:r>
    </w:p>
    <w:p w:rsidR="008434CC" w:rsidRDefault="008434CC" w:rsidP="00A24E8D">
      <w:r w:rsidRPr="00DB1DA2">
        <w:rPr>
          <w:bCs/>
        </w:rPr>
        <w:t>Objective 1 of th</w:t>
      </w:r>
      <w:r>
        <w:rPr>
          <w:bCs/>
        </w:rPr>
        <w:t>e new</w:t>
      </w:r>
      <w:r w:rsidRPr="00DB1DA2">
        <w:rPr>
          <w:bCs/>
        </w:rPr>
        <w:t xml:space="preserve"> </w:t>
      </w:r>
      <w:r>
        <w:rPr>
          <w:bCs/>
        </w:rPr>
        <w:t>P</w:t>
      </w:r>
      <w:r w:rsidRPr="00DB1DA2">
        <w:rPr>
          <w:bCs/>
        </w:rPr>
        <w:t>roject focuses on the</w:t>
      </w:r>
      <w:r>
        <w:rPr>
          <w:bCs/>
        </w:rPr>
        <w:t xml:space="preserve"> further development</w:t>
      </w:r>
      <w:r w:rsidRPr="00DB1DA2">
        <w:rPr>
          <w:bCs/>
        </w:rPr>
        <w:t xml:space="preserve"> of </w:t>
      </w:r>
      <w:r>
        <w:rPr>
          <w:bCs/>
        </w:rPr>
        <w:t xml:space="preserve">universal access to </w:t>
      </w:r>
      <w:r w:rsidRPr="00DB1DA2">
        <w:rPr>
          <w:bCs/>
        </w:rPr>
        <w:t xml:space="preserve">high quality </w:t>
      </w:r>
      <w:r>
        <w:rPr>
          <w:bCs/>
        </w:rPr>
        <w:t xml:space="preserve">preventive approaches and diagnostic and curative </w:t>
      </w:r>
      <w:r w:rsidRPr="00DB1DA2">
        <w:rPr>
          <w:bCs/>
        </w:rPr>
        <w:t>TB services nationwide.</w:t>
      </w:r>
      <w:r>
        <w:rPr>
          <w:bCs/>
        </w:rPr>
        <w:t xml:space="preserve">  It is aligned with </w:t>
      </w:r>
      <w:r>
        <w:t xml:space="preserve">Objectives 1-4 of the NTP </w:t>
      </w:r>
      <w:r w:rsidRPr="00BA70C7">
        <w:rPr>
          <w:i/>
        </w:rPr>
        <w:t>Strategic Plan</w:t>
      </w:r>
      <w:r>
        <w:t>, which address advocacy for improved social determinants of health, inter-sectoral and inter-program collaboration, access, and active case finding and referral.</w:t>
      </w:r>
    </w:p>
    <w:p w:rsidR="008434CC" w:rsidRDefault="008434CC" w:rsidP="00260B19">
      <w:r w:rsidRPr="00DB1DA2">
        <w:t>Political commitment is crucial to sustain the NTP</w:t>
      </w:r>
      <w:r>
        <w:t>,</w:t>
      </w:r>
      <w:r w:rsidRPr="00DB1DA2">
        <w:t xml:space="preserve"> </w:t>
      </w:r>
      <w:r>
        <w:t xml:space="preserve">including by </w:t>
      </w:r>
      <w:r w:rsidRPr="00DB1DA2">
        <w:t xml:space="preserve">ensuring adequate human resources to </w:t>
      </w:r>
      <w:r>
        <w:t xml:space="preserve">staff the </w:t>
      </w:r>
      <w:r w:rsidRPr="00DB1DA2">
        <w:t>TB</w:t>
      </w:r>
      <w:r>
        <w:t xml:space="preserve"> laboratory</w:t>
      </w:r>
      <w:r w:rsidRPr="00DB1DA2">
        <w:t xml:space="preserve">, qualified nurses and doctors to manage the NTP and provide </w:t>
      </w:r>
      <w:r>
        <w:t xml:space="preserve">clinical and community </w:t>
      </w:r>
      <w:r w:rsidRPr="00DB1DA2">
        <w:t xml:space="preserve">TB care and services nationwide, </w:t>
      </w:r>
      <w:r>
        <w:t xml:space="preserve">the </w:t>
      </w:r>
      <w:r w:rsidRPr="00DB1DA2">
        <w:t>availability of funds to sustain a continuous supply of TB drugs</w:t>
      </w:r>
      <w:r>
        <w:t>,</w:t>
      </w:r>
      <w:r w:rsidRPr="00DB1DA2">
        <w:t xml:space="preserve"> and transportation infrastructure to continue timely delivery of TB services to patients and vulnerable </w:t>
      </w:r>
      <w:r>
        <w:t>groups</w:t>
      </w:r>
      <w:r w:rsidRPr="00DB1DA2">
        <w:t xml:space="preserve">. </w:t>
      </w:r>
      <w:r>
        <w:t xml:space="preserve"> </w:t>
      </w:r>
      <w:r w:rsidRPr="00DB1DA2">
        <w:t xml:space="preserve">The government’s </w:t>
      </w:r>
      <w:r>
        <w:t xml:space="preserve">anticipated </w:t>
      </w:r>
      <w:r w:rsidRPr="00DB1DA2">
        <w:t xml:space="preserve">endorsement of </w:t>
      </w:r>
      <w:r>
        <w:t>the N</w:t>
      </w:r>
      <w:r w:rsidRPr="00DB1DA2">
        <w:t>T</w:t>
      </w:r>
      <w:r>
        <w:t>P</w:t>
      </w:r>
      <w:r w:rsidRPr="00DB1DA2">
        <w:t xml:space="preserve"> </w:t>
      </w:r>
      <w:r w:rsidRPr="00260B19">
        <w:rPr>
          <w:i/>
        </w:rPr>
        <w:t>Strategic Plan</w:t>
      </w:r>
      <w:r w:rsidRPr="00DB1DA2">
        <w:t xml:space="preserve"> as </w:t>
      </w:r>
      <w:r>
        <w:t>a key component</w:t>
      </w:r>
      <w:r w:rsidRPr="00DB1DA2">
        <w:t xml:space="preserve"> of the </w:t>
      </w:r>
      <w:r>
        <w:t xml:space="preserve">new NHSP </w:t>
      </w:r>
      <w:r w:rsidRPr="00DB1DA2">
        <w:t xml:space="preserve">underpins </w:t>
      </w:r>
      <w:r>
        <w:t xml:space="preserve">the </w:t>
      </w:r>
      <w:r w:rsidRPr="00DB1DA2">
        <w:t xml:space="preserve">longer term commitment and support. </w:t>
      </w:r>
    </w:p>
    <w:p w:rsidR="008434CC" w:rsidRDefault="008434CC" w:rsidP="00260B19">
      <w:r w:rsidRPr="003C36B3">
        <w:rPr>
          <w:bCs/>
        </w:rPr>
        <w:t xml:space="preserve">World TB Day, </w:t>
      </w:r>
      <w:r>
        <w:rPr>
          <w:bCs/>
        </w:rPr>
        <w:t>(</w:t>
      </w:r>
      <w:r w:rsidRPr="003C36B3">
        <w:rPr>
          <w:bCs/>
        </w:rPr>
        <w:t>March 24</w:t>
      </w:r>
      <w:r>
        <w:rPr>
          <w:bCs/>
        </w:rPr>
        <w:t>)</w:t>
      </w:r>
      <w:r w:rsidRPr="003C36B3">
        <w:rPr>
          <w:bCs/>
        </w:rPr>
        <w:t xml:space="preserve"> is an annual national event organised by </w:t>
      </w:r>
      <w:r>
        <w:rPr>
          <w:bCs/>
        </w:rPr>
        <w:t xml:space="preserve">the </w:t>
      </w:r>
      <w:r w:rsidRPr="003C36B3">
        <w:rPr>
          <w:bCs/>
        </w:rPr>
        <w:t xml:space="preserve">NTP and its partners on South Tarawa to increase public </w:t>
      </w:r>
      <w:r>
        <w:rPr>
          <w:bCs/>
        </w:rPr>
        <w:t xml:space="preserve">awareness and to </w:t>
      </w:r>
      <w:r w:rsidRPr="003C36B3">
        <w:rPr>
          <w:bCs/>
        </w:rPr>
        <w:t xml:space="preserve">focus </w:t>
      </w:r>
      <w:r>
        <w:rPr>
          <w:bCs/>
        </w:rPr>
        <w:t xml:space="preserve">political and community leaders’ </w:t>
      </w:r>
      <w:r w:rsidRPr="003C36B3">
        <w:rPr>
          <w:bCs/>
        </w:rPr>
        <w:t xml:space="preserve">attention </w:t>
      </w:r>
      <w:r>
        <w:rPr>
          <w:bCs/>
        </w:rPr>
        <w:t>on</w:t>
      </w:r>
      <w:r w:rsidRPr="003C36B3">
        <w:rPr>
          <w:bCs/>
        </w:rPr>
        <w:t xml:space="preserve"> </w:t>
      </w:r>
      <w:r>
        <w:rPr>
          <w:bCs/>
        </w:rPr>
        <w:t>to TB</w:t>
      </w:r>
      <w:r w:rsidRPr="003C36B3">
        <w:rPr>
          <w:bCs/>
        </w:rPr>
        <w:t xml:space="preserve">. </w:t>
      </w:r>
      <w:r>
        <w:rPr>
          <w:bCs/>
        </w:rPr>
        <w:t xml:space="preserve"> E</w:t>
      </w:r>
      <w:r w:rsidRPr="003C36B3">
        <w:rPr>
          <w:bCs/>
        </w:rPr>
        <w:t xml:space="preserve">ducation and awareness messages are delivered to the general public and vulnerable community groups </w:t>
      </w:r>
      <w:r>
        <w:rPr>
          <w:bCs/>
        </w:rPr>
        <w:t xml:space="preserve">during the </w:t>
      </w:r>
      <w:r w:rsidRPr="003C36B3">
        <w:rPr>
          <w:bCs/>
        </w:rPr>
        <w:t>week leading up to March 24 through different media</w:t>
      </w:r>
      <w:r>
        <w:rPr>
          <w:bCs/>
        </w:rPr>
        <w:t>,</w:t>
      </w:r>
      <w:r w:rsidRPr="003C36B3">
        <w:rPr>
          <w:bCs/>
        </w:rPr>
        <w:t xml:space="preserve"> such as radio, drama</w:t>
      </w:r>
      <w:r>
        <w:rPr>
          <w:bCs/>
        </w:rPr>
        <w:t>,</w:t>
      </w:r>
      <w:r w:rsidRPr="003C36B3">
        <w:rPr>
          <w:bCs/>
        </w:rPr>
        <w:t xml:space="preserve"> road floats, singing competitions</w:t>
      </w:r>
      <w:r>
        <w:rPr>
          <w:bCs/>
        </w:rPr>
        <w:t xml:space="preserve"> and</w:t>
      </w:r>
      <w:r w:rsidRPr="003C36B3">
        <w:rPr>
          <w:bCs/>
        </w:rPr>
        <w:t xml:space="preserve"> public speeches</w:t>
      </w:r>
      <w:r>
        <w:rPr>
          <w:bCs/>
        </w:rPr>
        <w:t>, with the participation</w:t>
      </w:r>
      <w:r w:rsidRPr="003C36B3">
        <w:rPr>
          <w:bCs/>
        </w:rPr>
        <w:t xml:space="preserve"> </w:t>
      </w:r>
      <w:r>
        <w:rPr>
          <w:bCs/>
        </w:rPr>
        <w:t>of</w:t>
      </w:r>
      <w:r w:rsidRPr="003C36B3">
        <w:rPr>
          <w:bCs/>
        </w:rPr>
        <w:t xml:space="preserve"> NGO partners </w:t>
      </w:r>
      <w:r>
        <w:rPr>
          <w:bCs/>
        </w:rPr>
        <w:t>such as the Kiribati Red Cross, the Te Toamatoa community dance group (</w:t>
      </w:r>
      <w:r>
        <w:t>whose m</w:t>
      </w:r>
      <w:r w:rsidRPr="00902C36">
        <w:t xml:space="preserve">embers have </w:t>
      </w:r>
      <w:r>
        <w:lastRenderedPageBreak/>
        <w:t xml:space="preserve">already </w:t>
      </w:r>
      <w:r w:rsidRPr="00902C36">
        <w:t>been trained and ha</w:t>
      </w:r>
      <w:r>
        <w:t>ve</w:t>
      </w:r>
      <w:r w:rsidRPr="00902C36">
        <w:t xml:space="preserve"> performed dramas on TB and other health </w:t>
      </w:r>
      <w:r>
        <w:t>related themes)</w:t>
      </w:r>
      <w:r>
        <w:rPr>
          <w:bCs/>
        </w:rPr>
        <w:t xml:space="preserve"> and the Kiribati Family Health Association (KIFHA</w:t>
      </w:r>
      <w:r w:rsidRPr="003C36B3">
        <w:rPr>
          <w:bCs/>
        </w:rPr>
        <w:t>)</w:t>
      </w:r>
      <w:r>
        <w:rPr>
          <w:bCs/>
        </w:rPr>
        <w:t>.</w:t>
      </w:r>
    </w:p>
    <w:p w:rsidR="008434CC" w:rsidRDefault="008434CC" w:rsidP="00E3340A">
      <w:r w:rsidRPr="00DB1DA2">
        <w:t xml:space="preserve">Structured </w:t>
      </w:r>
      <w:r>
        <w:t>advocacy, communication and social mobilisation (ACSM) activities,</w:t>
      </w:r>
      <w:r w:rsidRPr="00DB1DA2">
        <w:t xml:space="preserve"> targeting different population sectors</w:t>
      </w:r>
      <w:r>
        <w:t>,</w:t>
      </w:r>
      <w:r w:rsidRPr="00DB1DA2">
        <w:t xml:space="preserve"> is an important part of TB control activities. </w:t>
      </w:r>
      <w:r>
        <w:t xml:space="preserve"> </w:t>
      </w:r>
      <w:r w:rsidRPr="00DB1DA2">
        <w:t xml:space="preserve">Effective ASCM will </w:t>
      </w:r>
      <w:r>
        <w:t xml:space="preserve">aim to decrease stigma, </w:t>
      </w:r>
      <w:r w:rsidRPr="00DB1DA2">
        <w:t xml:space="preserve">promote equitable access to TB services and increase case detection. </w:t>
      </w:r>
      <w:r>
        <w:t xml:space="preserve"> </w:t>
      </w:r>
      <w:r w:rsidRPr="00DB1DA2">
        <w:t>The Health Promotion Unit in the MH</w:t>
      </w:r>
      <w:r>
        <w:t>MS</w:t>
      </w:r>
      <w:r w:rsidRPr="00DB1DA2">
        <w:t xml:space="preserve"> has been working closely with the NTP </w:t>
      </w:r>
      <w:r>
        <w:t>to produce educational</w:t>
      </w:r>
      <w:r w:rsidRPr="00DB1DA2">
        <w:t xml:space="preserve"> materials, but</w:t>
      </w:r>
      <w:r>
        <w:t xml:space="preserve"> the Unit has had</w:t>
      </w:r>
      <w:r w:rsidRPr="00DB1DA2">
        <w:t xml:space="preserve"> very little involvement in community outreach activities</w:t>
      </w:r>
      <w:r>
        <w:t>; it also needs some support to quality-assure and reproduce its information, education and communication (IEC)</w:t>
      </w:r>
      <w:r w:rsidRPr="00322BA2">
        <w:t xml:space="preserve"> </w:t>
      </w:r>
      <w:r>
        <w:t>materials</w:t>
      </w:r>
      <w:r w:rsidRPr="00DB1DA2">
        <w:t xml:space="preserve">. </w:t>
      </w:r>
      <w:r>
        <w:t xml:space="preserve"> </w:t>
      </w:r>
      <w:r w:rsidRPr="00DB1DA2">
        <w:t xml:space="preserve">Partnership </w:t>
      </w:r>
      <w:r>
        <w:t xml:space="preserve">between the NTP and </w:t>
      </w:r>
      <w:r w:rsidRPr="00DB1DA2">
        <w:t xml:space="preserve">NGOs has been quite limited </w:t>
      </w:r>
      <w:r>
        <w:t xml:space="preserve">to date, but </w:t>
      </w:r>
      <w:r w:rsidRPr="00DB1DA2">
        <w:t>will be expanded in th</w:t>
      </w:r>
      <w:r>
        <w:t>e new</w:t>
      </w:r>
      <w:r w:rsidRPr="00DB1DA2">
        <w:t xml:space="preserve"> </w:t>
      </w:r>
      <w:r>
        <w:t>P</w:t>
      </w:r>
      <w:r w:rsidRPr="00DB1DA2">
        <w:t>roject to include the</w:t>
      </w:r>
      <w:r>
        <w:t xml:space="preserve"> </w:t>
      </w:r>
      <w:r w:rsidRPr="00F34043">
        <w:t xml:space="preserve">partners </w:t>
      </w:r>
      <w:r>
        <w:t>listed above</w:t>
      </w:r>
      <w:r w:rsidRPr="00E40FF5">
        <w:t>.</w:t>
      </w:r>
      <w:r>
        <w:t xml:space="preserve"> </w:t>
      </w:r>
    </w:p>
    <w:p w:rsidR="008434CC" w:rsidRPr="00DB1DA2" w:rsidRDefault="008434CC" w:rsidP="00FC5470">
      <w:r w:rsidRPr="00DB1DA2">
        <w:t>As community</w:t>
      </w:r>
      <w:r>
        <w:t>-</w:t>
      </w:r>
      <w:r w:rsidRPr="00DB1DA2">
        <w:t>based TB control is progressively implemented</w:t>
      </w:r>
      <w:r>
        <w:t>,</w:t>
      </w:r>
      <w:r w:rsidRPr="00DB1DA2">
        <w:t xml:space="preserve"> initially on </w:t>
      </w:r>
      <w:r>
        <w:t>S</w:t>
      </w:r>
      <w:r w:rsidRPr="00DB1DA2">
        <w:t>outh Tarawa and gradually in the outer islands, provision of comprehensive TB services to patients</w:t>
      </w:r>
      <w:r>
        <w:t>’</w:t>
      </w:r>
      <w:r w:rsidRPr="00DB1DA2">
        <w:t xml:space="preserve"> door step is </w:t>
      </w:r>
      <w:r>
        <w:t>desirable</w:t>
      </w:r>
      <w:r w:rsidRPr="00DB1DA2">
        <w:t xml:space="preserve">. </w:t>
      </w:r>
      <w:r>
        <w:t xml:space="preserve"> </w:t>
      </w:r>
      <w:r w:rsidRPr="00DB1DA2">
        <w:t xml:space="preserve">Supervision of TB treatment by trained </w:t>
      </w:r>
      <w:r>
        <w:t xml:space="preserve">community based personnel </w:t>
      </w:r>
      <w:r w:rsidRPr="00DB1DA2">
        <w:t xml:space="preserve">is </w:t>
      </w:r>
      <w:r>
        <w:t>an important element of community based TB care</w:t>
      </w:r>
      <w:r w:rsidRPr="00DB1DA2">
        <w:t xml:space="preserve">. </w:t>
      </w:r>
    </w:p>
    <w:p w:rsidR="008434CC" w:rsidRPr="00DB1DA2" w:rsidRDefault="008434CC" w:rsidP="00FC5470">
      <w:r w:rsidRPr="00DB1DA2">
        <w:t xml:space="preserve">On </w:t>
      </w:r>
      <w:r>
        <w:t>S</w:t>
      </w:r>
      <w:r w:rsidRPr="00DB1DA2">
        <w:t xml:space="preserve">outh Tarawa, the 15 full time </w:t>
      </w:r>
      <w:r>
        <w:t xml:space="preserve">Community </w:t>
      </w:r>
      <w:r w:rsidRPr="00DB1DA2">
        <w:t>DOT Workers</w:t>
      </w:r>
      <w:r>
        <w:t xml:space="preserve"> (CDW) were </w:t>
      </w:r>
      <w:r w:rsidRPr="00DB1DA2">
        <w:t xml:space="preserve">recruited </w:t>
      </w:r>
      <w:r>
        <w:t>under</w:t>
      </w:r>
      <w:r w:rsidRPr="00DB1DA2">
        <w:t xml:space="preserve"> QTBEC </w:t>
      </w:r>
      <w:r>
        <w:t>P</w:t>
      </w:r>
      <w:r w:rsidRPr="00DB1DA2">
        <w:t xml:space="preserve">hase 1 </w:t>
      </w:r>
      <w:r>
        <w:t xml:space="preserve">(see also Section 6.4, </w:t>
      </w:r>
      <w:r w:rsidRPr="00821639">
        <w:rPr>
          <w:i/>
        </w:rPr>
        <w:t>Project Funded Positions</w:t>
      </w:r>
      <w:r>
        <w:t xml:space="preserve">), and </w:t>
      </w:r>
      <w:r w:rsidRPr="00DB1DA2">
        <w:t>will continue to provide supervised TB treatment in patients</w:t>
      </w:r>
      <w:r>
        <w:t>’</w:t>
      </w:r>
      <w:r w:rsidRPr="00DB1DA2">
        <w:t xml:space="preserve"> homes in </w:t>
      </w:r>
      <w:r>
        <w:t>S</w:t>
      </w:r>
      <w:r w:rsidRPr="00DB1DA2">
        <w:t>outh Tarawa</w:t>
      </w:r>
      <w:r>
        <w:t xml:space="preserve">.  In addition, they will </w:t>
      </w:r>
      <w:r w:rsidRPr="00DB1DA2">
        <w:t xml:space="preserve">take </w:t>
      </w:r>
      <w:r>
        <w:t xml:space="preserve">on an expanded </w:t>
      </w:r>
      <w:r w:rsidRPr="00DB1DA2">
        <w:t xml:space="preserve">role in the proposed </w:t>
      </w:r>
      <w:r>
        <w:t>P</w:t>
      </w:r>
      <w:r w:rsidRPr="00DB1DA2">
        <w:t>roject</w:t>
      </w:r>
      <w:r>
        <w:t>: t</w:t>
      </w:r>
      <w:r w:rsidRPr="00DB1DA2">
        <w:t xml:space="preserve">hey will be trained to </w:t>
      </w:r>
      <w:r>
        <w:t>provide</w:t>
      </w:r>
      <w:r w:rsidRPr="00DB1DA2">
        <w:t xml:space="preserve"> TB education and </w:t>
      </w:r>
      <w:r>
        <w:t>awareness</w:t>
      </w:r>
      <w:r w:rsidRPr="00DB1DA2">
        <w:t xml:space="preserve"> messages to all household members of TB cases </w:t>
      </w:r>
      <w:r>
        <w:t xml:space="preserve">whose treatment </w:t>
      </w:r>
      <w:r w:rsidRPr="00DB1DA2">
        <w:t>they supervise</w:t>
      </w:r>
      <w:r>
        <w:t>,</w:t>
      </w:r>
      <w:r w:rsidRPr="00DB1DA2">
        <w:t xml:space="preserve"> and to carry out active case finding in the household. They will </w:t>
      </w:r>
      <w:r>
        <w:t xml:space="preserve">also </w:t>
      </w:r>
      <w:r w:rsidRPr="00DB1DA2">
        <w:t>collect sputum</w:t>
      </w:r>
      <w:r w:rsidRPr="00B929EA">
        <w:rPr>
          <w:sz w:val="24"/>
          <w:szCs w:val="24"/>
        </w:rPr>
        <w:t xml:space="preserve"> </w:t>
      </w:r>
      <w:r w:rsidRPr="00DB1DA2">
        <w:t>specimens from symptomatic household members</w:t>
      </w:r>
      <w:r>
        <w:t xml:space="preserve"> (i.e. TB suspects)</w:t>
      </w:r>
      <w:r w:rsidRPr="00DB1DA2">
        <w:t>.</w:t>
      </w:r>
    </w:p>
    <w:p w:rsidR="008434CC" w:rsidRPr="00DB1DA2" w:rsidRDefault="008434CC" w:rsidP="00FC5470">
      <w:r>
        <w:t xml:space="preserve">Since the extension of TB services to the four selected outer islands with a higher TB burden, </w:t>
      </w:r>
      <w:r w:rsidRPr="00DB1DA2">
        <w:t>(</w:t>
      </w:r>
      <w:r>
        <w:t xml:space="preserve">i.e. </w:t>
      </w:r>
      <w:r w:rsidRPr="00DB1DA2">
        <w:t>Abaiang, Nonouti, Tab</w:t>
      </w:r>
      <w:r>
        <w:t>iteuea</w:t>
      </w:r>
      <w:r w:rsidRPr="00DB1DA2">
        <w:t xml:space="preserve"> North and North Tarawa)</w:t>
      </w:r>
      <w:r>
        <w:t xml:space="preserve">, Nurse Aides have performed </w:t>
      </w:r>
      <w:r w:rsidRPr="00DB1DA2">
        <w:t xml:space="preserve">the </w:t>
      </w:r>
      <w:r>
        <w:t xml:space="preserve">same </w:t>
      </w:r>
      <w:r w:rsidRPr="00DB1DA2">
        <w:t xml:space="preserve">functions </w:t>
      </w:r>
      <w:r>
        <w:t>as</w:t>
      </w:r>
      <w:r w:rsidRPr="00DB1DA2">
        <w:t xml:space="preserve"> the </w:t>
      </w:r>
      <w:r>
        <w:t xml:space="preserve">CDWs located </w:t>
      </w:r>
      <w:r w:rsidRPr="00DB1DA2">
        <w:t xml:space="preserve">on </w:t>
      </w:r>
      <w:r>
        <w:t>S</w:t>
      </w:r>
      <w:r w:rsidRPr="00DB1DA2">
        <w:t>outh Tarawa</w:t>
      </w:r>
      <w:r>
        <w:t>.</w:t>
      </w:r>
      <w:r w:rsidRPr="00DB1DA2">
        <w:t xml:space="preserve"> In the proposed </w:t>
      </w:r>
      <w:r>
        <w:t>P</w:t>
      </w:r>
      <w:r w:rsidRPr="00DB1DA2">
        <w:t xml:space="preserve">roject, a total of </w:t>
      </w:r>
      <w:r>
        <w:t>seven</w:t>
      </w:r>
      <w:r w:rsidRPr="00DB1DA2">
        <w:t xml:space="preserve"> outer islands </w:t>
      </w:r>
      <w:r>
        <w:t xml:space="preserve">(inclusive of the four that were targeted under QTBEC Phase2) </w:t>
      </w:r>
      <w:r w:rsidRPr="00DB1DA2">
        <w:t xml:space="preserve">have been identified for intensified TB case </w:t>
      </w:r>
      <w:r>
        <w:t xml:space="preserve">finding </w:t>
      </w:r>
      <w:r w:rsidRPr="00DB1DA2">
        <w:t xml:space="preserve">and NAs will be expected to deliver the same services </w:t>
      </w:r>
      <w:r>
        <w:t xml:space="preserve">to TB patients </w:t>
      </w:r>
      <w:r w:rsidRPr="00DB1DA2">
        <w:t xml:space="preserve">on </w:t>
      </w:r>
      <w:r>
        <w:t xml:space="preserve">an </w:t>
      </w:r>
      <w:r w:rsidRPr="00DB1DA2">
        <w:t xml:space="preserve">incentive basis. </w:t>
      </w:r>
      <w:r>
        <w:t xml:space="preserve">In addition, </w:t>
      </w:r>
      <w:r w:rsidRPr="00DB1DA2">
        <w:t xml:space="preserve">NAs will be trained to conduct </w:t>
      </w:r>
      <w:r>
        <w:t>basic</w:t>
      </w:r>
      <w:r w:rsidRPr="00DB1DA2">
        <w:t xml:space="preserve"> TB screening</w:t>
      </w:r>
      <w:r>
        <w:t xml:space="preserve"> using a simple questionnaire</w:t>
      </w:r>
      <w:r w:rsidRPr="00DB1DA2">
        <w:t xml:space="preserve"> in the households</w:t>
      </w:r>
      <w:r>
        <w:t xml:space="preserve"> they are visiting, and </w:t>
      </w:r>
      <w:r w:rsidRPr="00DB1DA2">
        <w:t xml:space="preserve">will collect sputum specimens from symptomatic household members </w:t>
      </w:r>
      <w:r>
        <w:t>to</w:t>
      </w:r>
      <w:r w:rsidRPr="00DB1DA2">
        <w:t xml:space="preserve"> send to the TB laboratory in </w:t>
      </w:r>
      <w:r>
        <w:t>S</w:t>
      </w:r>
      <w:r w:rsidRPr="00DB1DA2">
        <w:t xml:space="preserve">outh Tarawa. The </w:t>
      </w:r>
      <w:r>
        <w:t>use of</w:t>
      </w:r>
      <w:r w:rsidRPr="00DB1DA2">
        <w:t xml:space="preserve"> NA</w:t>
      </w:r>
      <w:r>
        <w:t>s</w:t>
      </w:r>
      <w:r w:rsidRPr="00DB1DA2">
        <w:t xml:space="preserve"> in the outer islands ensures the integration of NTP services into the national health system and assures future sustainability of the system. </w:t>
      </w:r>
      <w:r>
        <w:t xml:space="preserve"> However, t</w:t>
      </w:r>
      <w:r w:rsidRPr="00DB1DA2">
        <w:t xml:space="preserve">he quality of their work needs to be evaluated before this is implemented widely. </w:t>
      </w:r>
    </w:p>
    <w:p w:rsidR="008434CC" w:rsidRDefault="008434CC" w:rsidP="00632D5C">
      <w:r>
        <w:t>The Kiribati NTP has high treatment success rates, a low rate of retreatment cases among smear positive individuals, a low HIV prevalence environment and good laboratory performance, all of which suggest that expanded case finding will be an effective strategy in reducing TB transmission.  Hence, the most</w:t>
      </w:r>
      <w:r w:rsidRPr="00DB1DA2">
        <w:t xml:space="preserve"> important focus of this objective </w:t>
      </w:r>
      <w:r>
        <w:t>will</w:t>
      </w:r>
      <w:r w:rsidRPr="00DB1DA2">
        <w:t xml:space="preserve"> a</w:t>
      </w:r>
      <w:r>
        <w:t xml:space="preserve">rguably be </w:t>
      </w:r>
      <w:r w:rsidRPr="00DB1DA2">
        <w:t>the intensification of active case finding and making TB services accessible and equitable to vulnerable sectors of the community</w:t>
      </w:r>
      <w:r>
        <w:t>.</w:t>
      </w:r>
    </w:p>
    <w:p w:rsidR="008434CC" w:rsidRPr="00AC3CEA" w:rsidRDefault="008434CC" w:rsidP="00632D5C">
      <w:pPr>
        <w:rPr>
          <w:color w:val="000000"/>
        </w:rPr>
      </w:pPr>
      <w:r w:rsidRPr="00F53FB8">
        <w:rPr>
          <w:color w:val="000000"/>
        </w:rPr>
        <w:t xml:space="preserve">An </w:t>
      </w:r>
      <w:r w:rsidRPr="00E3340A">
        <w:rPr>
          <w:b/>
          <w:i/>
          <w:color w:val="000000"/>
        </w:rPr>
        <w:t>active case finding strategy</w:t>
      </w:r>
      <w:r w:rsidRPr="00F53FB8">
        <w:rPr>
          <w:color w:val="000000"/>
        </w:rPr>
        <w:t xml:space="preserve"> will be developed during the Transition Phase, </w:t>
      </w:r>
      <w:r>
        <w:rPr>
          <w:color w:val="000000"/>
        </w:rPr>
        <w:t>and will include</w:t>
      </w:r>
      <w:r w:rsidRPr="00F53FB8">
        <w:rPr>
          <w:color w:val="000000"/>
        </w:rPr>
        <w:t xml:space="preserve"> the </w:t>
      </w:r>
      <w:r>
        <w:rPr>
          <w:color w:val="000000"/>
        </w:rPr>
        <w:t xml:space="preserve">geographic focus </w:t>
      </w:r>
      <w:r w:rsidRPr="00AC3CEA">
        <w:rPr>
          <w:color w:val="000000"/>
        </w:rPr>
        <w:t>principles described in Section 6.3 below.</w:t>
      </w:r>
      <w:r>
        <w:rPr>
          <w:color w:val="000000"/>
        </w:rPr>
        <w:t xml:space="preserve">  </w:t>
      </w:r>
      <w:r>
        <w:t xml:space="preserve">It will </w:t>
      </w:r>
      <w:r w:rsidRPr="00DB1DA2">
        <w:t xml:space="preserve">particularly </w:t>
      </w:r>
      <w:r>
        <w:t xml:space="preserve">target known TB contacts, </w:t>
      </w:r>
      <w:r w:rsidRPr="00DB1DA2">
        <w:t xml:space="preserve">children, prisoners, </w:t>
      </w:r>
      <w:r>
        <w:t xml:space="preserve">the </w:t>
      </w:r>
      <w:r w:rsidRPr="00DB1DA2">
        <w:t xml:space="preserve">rural population, socially and economically disadvantaged </w:t>
      </w:r>
      <w:r>
        <w:t>groups</w:t>
      </w:r>
      <w:r w:rsidRPr="00DB1DA2">
        <w:t xml:space="preserve"> in squatter</w:t>
      </w:r>
      <w:r>
        <w:t xml:space="preserve"> </w:t>
      </w:r>
      <w:r w:rsidRPr="00F53FB8">
        <w:rPr>
          <w:color w:val="000000"/>
        </w:rPr>
        <w:t xml:space="preserve">settlements and crowded urban areas (e.g. in Betio), and people living with HIV or diabetes.  </w:t>
      </w:r>
    </w:p>
    <w:p w:rsidR="008434CC" w:rsidRPr="00DB1DA2" w:rsidRDefault="008434CC" w:rsidP="005B6371">
      <w:r w:rsidRPr="00DB1DA2">
        <w:lastRenderedPageBreak/>
        <w:t xml:space="preserve">Contact tracing </w:t>
      </w:r>
      <w:r>
        <w:t>will be</w:t>
      </w:r>
      <w:r w:rsidRPr="00DB1DA2">
        <w:t xml:space="preserve"> </w:t>
      </w:r>
      <w:r>
        <w:t>an important component of the case finding strategy</w:t>
      </w:r>
      <w:r w:rsidRPr="00DB1DA2">
        <w:t xml:space="preserve">. </w:t>
      </w:r>
      <w:r>
        <w:t xml:space="preserve"> </w:t>
      </w:r>
      <w:r w:rsidRPr="00DB1DA2">
        <w:t xml:space="preserve">There are </w:t>
      </w:r>
      <w:r>
        <w:t>three</w:t>
      </w:r>
      <w:r w:rsidRPr="00DB1DA2">
        <w:t xml:space="preserve"> trained C</w:t>
      </w:r>
      <w:r>
        <w:t xml:space="preserve">ontact </w:t>
      </w:r>
      <w:r w:rsidRPr="00DB1DA2">
        <w:t>T</w:t>
      </w:r>
      <w:r>
        <w:t xml:space="preserve">racing </w:t>
      </w:r>
      <w:r w:rsidRPr="00DB1DA2">
        <w:t>N</w:t>
      </w:r>
      <w:r>
        <w:t>urses</w:t>
      </w:r>
      <w:r w:rsidRPr="00DB1DA2">
        <w:t xml:space="preserve"> </w:t>
      </w:r>
      <w:r>
        <w:t xml:space="preserve">(CTNs) </w:t>
      </w:r>
      <w:r w:rsidRPr="00DB1DA2">
        <w:t xml:space="preserve">on </w:t>
      </w:r>
      <w:r>
        <w:t>S</w:t>
      </w:r>
      <w:r w:rsidRPr="00DB1DA2">
        <w:t xml:space="preserve">outh Tarawa and </w:t>
      </w:r>
      <w:r>
        <w:t>one</w:t>
      </w:r>
      <w:r w:rsidRPr="00DB1DA2">
        <w:t xml:space="preserve"> </w:t>
      </w:r>
      <w:r>
        <w:t>o</w:t>
      </w:r>
      <w:r w:rsidRPr="00DB1DA2">
        <w:t xml:space="preserve">n Kiritimati. </w:t>
      </w:r>
      <w:r>
        <w:t xml:space="preserve"> </w:t>
      </w:r>
      <w:r w:rsidRPr="00DB1DA2">
        <w:t xml:space="preserve">Their primary role is to conduct </w:t>
      </w:r>
      <w:r>
        <w:t>TB</w:t>
      </w:r>
      <w:r w:rsidRPr="00DB1DA2">
        <w:t xml:space="preserve"> </w:t>
      </w:r>
      <w:r>
        <w:t xml:space="preserve">contact tracing in </w:t>
      </w:r>
      <w:r w:rsidRPr="00DB1DA2">
        <w:t>households of infectio</w:t>
      </w:r>
      <w:r>
        <w:t>u</w:t>
      </w:r>
      <w:r w:rsidRPr="00DB1DA2">
        <w:t>s TB case</w:t>
      </w:r>
      <w:r>
        <w:t>s, where disease transmission may have already taken place</w:t>
      </w:r>
      <w:r w:rsidRPr="00DB1DA2">
        <w:t>.</w:t>
      </w:r>
      <w:r>
        <w:t xml:space="preserve">  </w:t>
      </w:r>
      <w:r w:rsidRPr="00DB1DA2">
        <w:t xml:space="preserve">CTNs also supervise </w:t>
      </w:r>
      <w:r>
        <w:t xml:space="preserve">Community </w:t>
      </w:r>
      <w:r w:rsidRPr="00DB1DA2">
        <w:t>DOT Workers</w:t>
      </w:r>
      <w:r>
        <w:t xml:space="preserve"> and</w:t>
      </w:r>
      <w:r w:rsidRPr="00DB1DA2">
        <w:t xml:space="preserve"> conduct supervisory trips to the outer islands</w:t>
      </w:r>
      <w:r>
        <w:t xml:space="preserve">, where they </w:t>
      </w:r>
      <w:r w:rsidRPr="00DB1DA2">
        <w:t xml:space="preserve">will </w:t>
      </w:r>
      <w:r>
        <w:t xml:space="preserve">extend their </w:t>
      </w:r>
      <w:r w:rsidRPr="00DB1DA2">
        <w:t xml:space="preserve">contact tracing </w:t>
      </w:r>
      <w:r>
        <w:t>activities to include the households of infectious TB cases</w:t>
      </w:r>
      <w:r w:rsidRPr="00DB1DA2">
        <w:t xml:space="preserve">. </w:t>
      </w:r>
    </w:p>
    <w:p w:rsidR="008434CC" w:rsidRDefault="008434CC" w:rsidP="00A24E8D">
      <w:r>
        <w:t>In summary, the principal areas of activity supported through this Project Objective will include:</w:t>
      </w:r>
    </w:p>
    <w:p w:rsidR="008434CC" w:rsidRDefault="008434CC" w:rsidP="00B916EC">
      <w:pPr>
        <w:pStyle w:val="ListParagraph"/>
        <w:numPr>
          <w:ilvl w:val="0"/>
          <w:numId w:val="36"/>
        </w:numPr>
        <w:rPr>
          <w:bCs/>
        </w:rPr>
      </w:pPr>
      <w:r w:rsidRPr="00FE63C7">
        <w:rPr>
          <w:bCs/>
        </w:rPr>
        <w:t>Advoca</w:t>
      </w:r>
      <w:r>
        <w:rPr>
          <w:bCs/>
        </w:rPr>
        <w:t xml:space="preserve">cy to political and other leaders on </w:t>
      </w:r>
      <w:r w:rsidRPr="00FE63C7">
        <w:rPr>
          <w:bCs/>
        </w:rPr>
        <w:t>the role of social and environmental factors in TB transmission</w:t>
      </w:r>
      <w:r>
        <w:rPr>
          <w:bCs/>
        </w:rPr>
        <w:t xml:space="preserve"> and orientation on the new NTP </w:t>
      </w:r>
      <w:r w:rsidRPr="00DD453E">
        <w:rPr>
          <w:bCs/>
          <w:i/>
        </w:rPr>
        <w:t>Strategic Plan</w:t>
      </w:r>
      <w:r>
        <w:rPr>
          <w:bCs/>
        </w:rPr>
        <w:t>, emphasising the importance of sustained financing for the NTP</w:t>
      </w:r>
      <w:r w:rsidRPr="00FE63C7">
        <w:rPr>
          <w:bCs/>
        </w:rPr>
        <w:t xml:space="preserve"> </w:t>
      </w:r>
    </w:p>
    <w:p w:rsidR="008434CC" w:rsidRPr="00F278F0" w:rsidRDefault="008434CC" w:rsidP="00821639">
      <w:pPr>
        <w:pStyle w:val="ListParagraph"/>
        <w:numPr>
          <w:ilvl w:val="0"/>
          <w:numId w:val="36"/>
        </w:numPr>
        <w:ind w:left="771" w:hanging="357"/>
        <w:contextualSpacing w:val="0"/>
        <w:rPr>
          <w:bCs/>
        </w:rPr>
      </w:pPr>
      <w:r w:rsidRPr="00FE63C7">
        <w:rPr>
          <w:bCs/>
        </w:rPr>
        <w:t xml:space="preserve">Collaboration with </w:t>
      </w:r>
      <w:r>
        <w:rPr>
          <w:bCs/>
        </w:rPr>
        <w:t xml:space="preserve">other </w:t>
      </w:r>
      <w:r w:rsidRPr="00FE63C7">
        <w:rPr>
          <w:bCs/>
        </w:rPr>
        <w:t>MHMS programs</w:t>
      </w:r>
      <w:r>
        <w:rPr>
          <w:bCs/>
        </w:rPr>
        <w:t xml:space="preserve"> (in particular, the NCD and child health programs) and</w:t>
      </w:r>
      <w:r w:rsidRPr="00FE63C7">
        <w:rPr>
          <w:bCs/>
        </w:rPr>
        <w:t xml:space="preserve"> other government departments</w:t>
      </w:r>
      <w:r>
        <w:rPr>
          <w:bCs/>
        </w:rPr>
        <w:t xml:space="preserve"> </w:t>
      </w:r>
      <w:r w:rsidRPr="00FE63C7">
        <w:rPr>
          <w:bCs/>
        </w:rPr>
        <w:t>to address factors that increase the risk of developing active TB disease</w:t>
      </w:r>
    </w:p>
    <w:p w:rsidR="008434CC" w:rsidRPr="00F278F0" w:rsidRDefault="008434CC" w:rsidP="00821639">
      <w:pPr>
        <w:pStyle w:val="ListParagraph"/>
        <w:numPr>
          <w:ilvl w:val="0"/>
          <w:numId w:val="36"/>
        </w:numPr>
        <w:ind w:left="771" w:hanging="357"/>
        <w:contextualSpacing w:val="0"/>
        <w:rPr>
          <w:bCs/>
        </w:rPr>
      </w:pPr>
      <w:r w:rsidRPr="00FE63C7">
        <w:rPr>
          <w:bCs/>
        </w:rPr>
        <w:t xml:space="preserve">Collaboration with </w:t>
      </w:r>
      <w:r>
        <w:rPr>
          <w:bCs/>
        </w:rPr>
        <w:t xml:space="preserve">NGOs </w:t>
      </w:r>
      <w:r w:rsidRPr="00902C36">
        <w:t xml:space="preserve">in community education through drama and </w:t>
      </w:r>
      <w:r>
        <w:t>other activities</w:t>
      </w:r>
    </w:p>
    <w:p w:rsidR="008434CC" w:rsidRDefault="008434CC" w:rsidP="005F3F1B">
      <w:pPr>
        <w:pStyle w:val="ListParagraph"/>
        <w:keepNext/>
        <w:numPr>
          <w:ilvl w:val="0"/>
          <w:numId w:val="36"/>
        </w:numPr>
        <w:ind w:left="771" w:hanging="357"/>
        <w:contextualSpacing w:val="0"/>
      </w:pPr>
      <w:r>
        <w:t>Improved access to and utilisation of TB services through:</w:t>
      </w:r>
    </w:p>
    <w:p w:rsidR="008434CC" w:rsidRDefault="008434CC" w:rsidP="00063FEB">
      <w:pPr>
        <w:pStyle w:val="ListParagraph"/>
        <w:numPr>
          <w:ilvl w:val="1"/>
          <w:numId w:val="36"/>
        </w:numPr>
        <w:spacing w:before="0" w:after="200"/>
        <w:ind w:left="1134" w:hanging="283"/>
      </w:pPr>
      <w:r>
        <w:t>Strengthening the effectiveness of ACSM activities, including engage</w:t>
      </w:r>
      <w:r w:rsidRPr="00E65DAC">
        <w:t xml:space="preserve">ment of </w:t>
      </w:r>
      <w:r>
        <w:t>a</w:t>
      </w:r>
      <w:r w:rsidRPr="00E65DAC">
        <w:t xml:space="preserve">n ACSM Consultant </w:t>
      </w:r>
      <w:r>
        <w:t>to support the work of an ACSM Task Force and the MHMS Health Promotion Unit and further develop their skills</w:t>
      </w:r>
    </w:p>
    <w:p w:rsidR="008434CC" w:rsidRDefault="008434CC" w:rsidP="00063FEB">
      <w:pPr>
        <w:pStyle w:val="ListParagraph"/>
        <w:numPr>
          <w:ilvl w:val="1"/>
          <w:numId w:val="36"/>
        </w:numPr>
        <w:spacing w:before="0" w:after="200"/>
        <w:ind w:left="1134" w:hanging="283"/>
      </w:pPr>
      <w:r>
        <w:t>Promotion during World TB Day activities</w:t>
      </w:r>
    </w:p>
    <w:p w:rsidR="008434CC" w:rsidRDefault="008434CC" w:rsidP="00063FEB">
      <w:pPr>
        <w:pStyle w:val="ListParagraph"/>
        <w:numPr>
          <w:ilvl w:val="1"/>
          <w:numId w:val="36"/>
        </w:numPr>
        <w:spacing w:before="0" w:after="200"/>
        <w:ind w:left="1134" w:hanging="283"/>
      </w:pPr>
      <w:r>
        <w:t>Development or reproduction of IEC</w:t>
      </w:r>
      <w:r w:rsidRPr="00322BA2">
        <w:t xml:space="preserve"> </w:t>
      </w:r>
      <w:r>
        <w:t>materials</w:t>
      </w:r>
    </w:p>
    <w:p w:rsidR="008434CC" w:rsidRDefault="008434CC" w:rsidP="00821639">
      <w:pPr>
        <w:pStyle w:val="ListParagraph"/>
        <w:numPr>
          <w:ilvl w:val="1"/>
          <w:numId w:val="36"/>
        </w:numPr>
        <w:spacing w:before="0" w:after="200"/>
        <w:ind w:left="1134" w:hanging="283"/>
      </w:pPr>
      <w:r w:rsidRPr="00636433">
        <w:t xml:space="preserve">Strengthened referral systems </w:t>
      </w:r>
      <w:r>
        <w:t xml:space="preserve">to and </w:t>
      </w:r>
      <w:r w:rsidRPr="00636433">
        <w:t>from outer islands and peripheral clinics</w:t>
      </w:r>
    </w:p>
    <w:p w:rsidR="008434CC" w:rsidRDefault="008434CC" w:rsidP="00821639">
      <w:pPr>
        <w:pStyle w:val="ListParagraph"/>
        <w:numPr>
          <w:ilvl w:val="1"/>
          <w:numId w:val="36"/>
        </w:numPr>
        <w:spacing w:before="0" w:after="120"/>
        <w:ind w:left="1134" w:hanging="283"/>
        <w:contextualSpacing w:val="0"/>
      </w:pPr>
      <w:r w:rsidRPr="005B499C">
        <w:t>Timely and evidence-based monitoring of treatment (i.e. follow up sputum monitoring and clinical review</w:t>
      </w:r>
      <w:r>
        <w:t>)</w:t>
      </w:r>
    </w:p>
    <w:p w:rsidR="008434CC" w:rsidRDefault="008434CC" w:rsidP="00821639">
      <w:pPr>
        <w:pStyle w:val="ListParagraph"/>
        <w:numPr>
          <w:ilvl w:val="0"/>
          <w:numId w:val="36"/>
        </w:numPr>
        <w:ind w:left="771" w:hanging="357"/>
        <w:contextualSpacing w:val="0"/>
      </w:pPr>
      <w:r w:rsidRPr="000D3697">
        <w:t xml:space="preserve">Maintaining </w:t>
      </w:r>
      <w:r>
        <w:t xml:space="preserve">support (including refresher training, salaries and transportation) for </w:t>
      </w:r>
      <w:r w:rsidRPr="00226670">
        <w:rPr>
          <w:color w:val="000000"/>
        </w:rPr>
        <w:t xml:space="preserve">community-based TB staff on South Tarawa (more detail provided under </w:t>
      </w:r>
      <w:r w:rsidRPr="00226670">
        <w:rPr>
          <w:i/>
          <w:color w:val="000000"/>
        </w:rPr>
        <w:t>Project-Funded Positions</w:t>
      </w:r>
      <w:r w:rsidRPr="00226670">
        <w:rPr>
          <w:color w:val="000000"/>
        </w:rPr>
        <w:t xml:space="preserve">, Section 6.4) to </w:t>
      </w:r>
      <w:r w:rsidRPr="00226670">
        <w:rPr>
          <w:bCs/>
          <w:color w:val="000000"/>
        </w:rPr>
        <w:t>deliver the community-based aspects of each of the 5 elements of the DOTS strategy</w:t>
      </w:r>
      <w:r w:rsidRPr="00226670">
        <w:rPr>
          <w:color w:val="000000"/>
        </w:rPr>
        <w:t xml:space="preserve"> (Box 1), including by implementing updated active </w:t>
      </w:r>
      <w:r>
        <w:rPr>
          <w:color w:val="000000"/>
        </w:rPr>
        <w:t xml:space="preserve">and passive </w:t>
      </w:r>
      <w:r w:rsidRPr="00226670">
        <w:rPr>
          <w:color w:val="000000"/>
        </w:rPr>
        <w:t xml:space="preserve">case finding </w:t>
      </w:r>
      <w:r>
        <w:t>strategies and ensuring good quality sputum specimens for referral</w:t>
      </w:r>
    </w:p>
    <w:p w:rsidR="008434CC" w:rsidRDefault="008434CC" w:rsidP="00821639">
      <w:pPr>
        <w:pStyle w:val="ListParagraph"/>
        <w:numPr>
          <w:ilvl w:val="0"/>
          <w:numId w:val="36"/>
        </w:numPr>
        <w:ind w:left="771" w:hanging="357"/>
        <w:contextualSpacing w:val="0"/>
      </w:pPr>
      <w:r>
        <w:t xml:space="preserve">Maintaining support for Nurse Aides on the outer islands to continue to provide supervision of TB patients on treatment and, in consultation with CTNs, to implement screening and active case finding among their contacts </w:t>
      </w:r>
    </w:p>
    <w:p w:rsidR="008434CC" w:rsidRDefault="008434CC" w:rsidP="00821639">
      <w:pPr>
        <w:pStyle w:val="ListParagraph"/>
        <w:numPr>
          <w:ilvl w:val="0"/>
          <w:numId w:val="36"/>
        </w:numPr>
        <w:ind w:left="771" w:hanging="357"/>
        <w:contextualSpacing w:val="0"/>
      </w:pPr>
      <w:r>
        <w:t>Developing screening programs in higher risk populations (e.g. prisoners, front line health workers)</w:t>
      </w:r>
    </w:p>
    <w:p w:rsidR="008434CC" w:rsidRDefault="008434CC" w:rsidP="00054FB8">
      <w:pPr>
        <w:pStyle w:val="Heading3"/>
      </w:pPr>
      <w:bookmarkStart w:id="56" w:name="_Toc331686115"/>
      <w:r>
        <w:t xml:space="preserve">6.2.2 Project Objective 2 – </w:t>
      </w:r>
      <w:r w:rsidRPr="00D31E05">
        <w:t>Quality Laboratory Diagnosis and Clinical Standards</w:t>
      </w:r>
      <w:bookmarkEnd w:id="56"/>
    </w:p>
    <w:p w:rsidR="008434CC" w:rsidRDefault="008434CC" w:rsidP="00E3340A">
      <w:r>
        <w:t xml:space="preserve">Project </w:t>
      </w:r>
      <w:r w:rsidRPr="00EA5695">
        <w:t xml:space="preserve">Objective 2 focuses on further enhancement of the laboratory </w:t>
      </w:r>
      <w:r>
        <w:t xml:space="preserve">and radiological </w:t>
      </w:r>
      <w:r w:rsidRPr="00EA5695">
        <w:t xml:space="preserve">diagnostic capacity </w:t>
      </w:r>
      <w:r>
        <w:t xml:space="preserve">and clinical treatment knowledge and expertise </w:t>
      </w:r>
      <w:r w:rsidRPr="00EA5695">
        <w:t xml:space="preserve">to </w:t>
      </w:r>
      <w:r>
        <w:t xml:space="preserve">assist the NTP to </w:t>
      </w:r>
      <w:r w:rsidRPr="00EA5695">
        <w:t xml:space="preserve">increase case finding and early diagnosis. </w:t>
      </w:r>
      <w:r>
        <w:rPr>
          <w:bCs/>
        </w:rPr>
        <w:t xml:space="preserve">It is aligned with </w:t>
      </w:r>
      <w:r>
        <w:t xml:space="preserve">Objectives 5 and 6 of the NTP </w:t>
      </w:r>
      <w:r w:rsidRPr="00BA70C7">
        <w:rPr>
          <w:i/>
        </w:rPr>
        <w:t>Strategic Plan</w:t>
      </w:r>
      <w:r>
        <w:t>, which address clinical and radiological capacity and laboratory capacity, respectively.</w:t>
      </w:r>
    </w:p>
    <w:p w:rsidR="008434CC" w:rsidRPr="00DB1DA2" w:rsidRDefault="008434CC" w:rsidP="009C593C">
      <w:pPr>
        <w:autoSpaceDE w:val="0"/>
        <w:autoSpaceDN w:val="0"/>
        <w:adjustRightInd w:val="0"/>
        <w:spacing w:line="240" w:lineRule="auto"/>
      </w:pPr>
      <w:r w:rsidRPr="00DB1DA2">
        <w:lastRenderedPageBreak/>
        <w:t>In Kiribati, TB is diagnosed by sputum smear microscopy in a dedicated TB laboratory</w:t>
      </w:r>
      <w:r>
        <w:t xml:space="preserve"> located in the national TBCC; t</w:t>
      </w:r>
      <w:r w:rsidRPr="00DB1DA2">
        <w:t>wo full</w:t>
      </w:r>
      <w:r>
        <w:t>-</w:t>
      </w:r>
      <w:r w:rsidRPr="00DB1DA2">
        <w:t xml:space="preserve">time laboratory staff were recruited under the QTBEC </w:t>
      </w:r>
      <w:r>
        <w:t>P</w:t>
      </w:r>
      <w:r w:rsidRPr="00DB1DA2">
        <w:t xml:space="preserve">roject </w:t>
      </w:r>
      <w:r>
        <w:t>P</w:t>
      </w:r>
      <w:r w:rsidRPr="00DB1DA2">
        <w:t xml:space="preserve">hase 2. </w:t>
      </w:r>
      <w:r>
        <w:t xml:space="preserve"> </w:t>
      </w:r>
      <w:r w:rsidRPr="00DB1DA2">
        <w:t xml:space="preserve">The </w:t>
      </w:r>
      <w:r>
        <w:t>new P</w:t>
      </w:r>
      <w:r w:rsidRPr="00DB1DA2">
        <w:t xml:space="preserve">roject will continue to support </w:t>
      </w:r>
      <w:r>
        <w:t xml:space="preserve">the two positions. </w:t>
      </w:r>
    </w:p>
    <w:p w:rsidR="008434CC" w:rsidRPr="00005C15" w:rsidRDefault="008434CC" w:rsidP="00970699">
      <w:r w:rsidRPr="00005C15">
        <w:t xml:space="preserve">Sputum smear microscopy will be maintained as the </w:t>
      </w:r>
      <w:r>
        <w:t>diagnostic</w:t>
      </w:r>
      <w:r w:rsidRPr="00005C15">
        <w:t xml:space="preserve"> test for TB</w:t>
      </w:r>
      <w:r>
        <w:t>,</w:t>
      </w:r>
      <w:r w:rsidRPr="00005C15">
        <w:t xml:space="preserve"> </w:t>
      </w:r>
      <w:r>
        <w:t xml:space="preserve">so </w:t>
      </w:r>
      <w:r w:rsidRPr="00005C15">
        <w:t>participation in regional EQA</w:t>
      </w:r>
      <w:r>
        <w:t>S</w:t>
      </w:r>
      <w:r w:rsidRPr="00005C15">
        <w:t xml:space="preserve"> with</w:t>
      </w:r>
      <w:r>
        <w:t xml:space="preserve"> partner</w:t>
      </w:r>
      <w:r w:rsidRPr="00005C15">
        <w:t xml:space="preserve"> reference laboratories in New Zealand and Australia through the Pacific TB Laboratory (PATLAB) Network </w:t>
      </w:r>
      <w:r>
        <w:t>is essential</w:t>
      </w:r>
      <w:r w:rsidRPr="00005C15">
        <w:t xml:space="preserve">. </w:t>
      </w:r>
      <w:r>
        <w:t xml:space="preserve"> I</w:t>
      </w:r>
      <w:r w:rsidRPr="00005C15">
        <w:t xml:space="preserve">nternal quality control </w:t>
      </w:r>
      <w:r>
        <w:t xml:space="preserve">(QC) </w:t>
      </w:r>
      <w:r w:rsidRPr="00005C15">
        <w:t xml:space="preserve">measures </w:t>
      </w:r>
      <w:r>
        <w:t>have been implement</w:t>
      </w:r>
      <w:r w:rsidRPr="00005C15">
        <w:t xml:space="preserve">ed </w:t>
      </w:r>
      <w:r>
        <w:t xml:space="preserve">and </w:t>
      </w:r>
      <w:r w:rsidRPr="00005C15">
        <w:t xml:space="preserve">will </w:t>
      </w:r>
      <w:r>
        <w:t xml:space="preserve">need to </w:t>
      </w:r>
      <w:r w:rsidRPr="00005C15">
        <w:t>b</w:t>
      </w:r>
      <w:r>
        <w:t xml:space="preserve">e maintained </w:t>
      </w:r>
      <w:r w:rsidRPr="00005C15">
        <w:t>by the TB Laboratory Supervisor under the oversight of the National Laboratory Manager.</w:t>
      </w:r>
    </w:p>
    <w:p w:rsidR="008434CC" w:rsidRPr="00DB1DA2" w:rsidRDefault="008434CC" w:rsidP="001B0806">
      <w:r w:rsidRPr="00DB1DA2">
        <w:t xml:space="preserve">The national TB laboratory must </w:t>
      </w:r>
      <w:r>
        <w:t xml:space="preserve">also </w:t>
      </w:r>
      <w:r w:rsidRPr="00DB1DA2">
        <w:t>have up</w:t>
      </w:r>
      <w:r>
        <w:t>-</w:t>
      </w:r>
      <w:r w:rsidRPr="00DB1DA2">
        <w:t>to</w:t>
      </w:r>
      <w:r>
        <w:t>-</w:t>
      </w:r>
      <w:r w:rsidRPr="00DB1DA2">
        <w:t>date standard operating procedures, infection control guidelines</w:t>
      </w:r>
      <w:r>
        <w:t xml:space="preserve"> and QC protocols</w:t>
      </w:r>
      <w:r w:rsidRPr="00DB1DA2">
        <w:t xml:space="preserve"> that are aligned to the national laboratory strategy. </w:t>
      </w:r>
      <w:r>
        <w:t xml:space="preserve"> </w:t>
      </w:r>
    </w:p>
    <w:p w:rsidR="008434CC" w:rsidRPr="00DB1DA2" w:rsidRDefault="008434CC" w:rsidP="0086378D">
      <w:r w:rsidRPr="00DB1DA2">
        <w:t xml:space="preserve">The Kiribati TB laboratory </w:t>
      </w:r>
      <w:r>
        <w:t>is expected to implement</w:t>
      </w:r>
      <w:r w:rsidRPr="00DB1DA2">
        <w:t xml:space="preserve"> TB culture </w:t>
      </w:r>
      <w:r>
        <w:t>by the end of 2012</w:t>
      </w:r>
      <w:r w:rsidRPr="00DB1DA2">
        <w:t>.</w:t>
      </w:r>
      <w:r>
        <w:t xml:space="preserve"> </w:t>
      </w:r>
      <w:r w:rsidRPr="00DB1DA2">
        <w:t xml:space="preserve"> The majority of the equipment </w:t>
      </w:r>
      <w:r>
        <w:t xml:space="preserve">needed </w:t>
      </w:r>
      <w:r w:rsidRPr="00DB1DA2">
        <w:t>for TB culture ha</w:t>
      </w:r>
      <w:r>
        <w:t>s</w:t>
      </w:r>
      <w:r w:rsidRPr="00DB1DA2">
        <w:t xml:space="preserve"> been procured </w:t>
      </w:r>
      <w:r>
        <w:t xml:space="preserve">under QTBECP Phase 2, </w:t>
      </w:r>
      <w:r w:rsidRPr="00DB1DA2">
        <w:t xml:space="preserve">and two laboratory staff have been trained on TB culture </w:t>
      </w:r>
      <w:r>
        <w:t xml:space="preserve">methods at the </w:t>
      </w:r>
      <w:r w:rsidRPr="00DB1DA2">
        <w:t>Institute of Medical and Veterinary Sc</w:t>
      </w:r>
      <w:r>
        <w:t>ienc</w:t>
      </w:r>
      <w:r w:rsidRPr="00DB1DA2">
        <w:t xml:space="preserve">es </w:t>
      </w:r>
      <w:r>
        <w:t>(IMVS) in Adelaide, Australia</w:t>
      </w:r>
      <w:r w:rsidRPr="00DB1DA2">
        <w:t xml:space="preserve">. </w:t>
      </w:r>
      <w:r>
        <w:t xml:space="preserve"> </w:t>
      </w:r>
      <w:r w:rsidRPr="00DB1DA2">
        <w:t>Liquid culture and DST will allow better diagnosis of</w:t>
      </w:r>
      <w:r>
        <w:t>:</w:t>
      </w:r>
    </w:p>
    <w:p w:rsidR="008434CC" w:rsidRDefault="008434CC" w:rsidP="00B916EC">
      <w:pPr>
        <w:pStyle w:val="ListParagraph"/>
        <w:numPr>
          <w:ilvl w:val="0"/>
          <w:numId w:val="37"/>
        </w:numPr>
        <w:rPr>
          <w:color w:val="1A171B"/>
        </w:rPr>
      </w:pPr>
      <w:r w:rsidRPr="009D08F7">
        <w:rPr>
          <w:color w:val="1A171B"/>
        </w:rPr>
        <w:t>sputum smear negative pulmonary TB</w:t>
      </w:r>
      <w:r>
        <w:rPr>
          <w:color w:val="1A171B"/>
        </w:rPr>
        <w:t>,</w:t>
      </w:r>
      <w:r w:rsidRPr="009D08F7">
        <w:rPr>
          <w:color w:val="1A171B"/>
        </w:rPr>
        <w:t xml:space="preserve"> </w:t>
      </w:r>
    </w:p>
    <w:p w:rsidR="008434CC" w:rsidRDefault="008434CC" w:rsidP="00B916EC">
      <w:pPr>
        <w:pStyle w:val="ListParagraph"/>
        <w:numPr>
          <w:ilvl w:val="0"/>
          <w:numId w:val="37"/>
        </w:numPr>
        <w:rPr>
          <w:color w:val="1A171B"/>
        </w:rPr>
      </w:pPr>
      <w:r w:rsidRPr="009D08F7">
        <w:rPr>
          <w:color w:val="1A171B"/>
        </w:rPr>
        <w:t>drug resistant TB</w:t>
      </w:r>
      <w:r>
        <w:rPr>
          <w:color w:val="1A171B"/>
        </w:rPr>
        <w:t>,</w:t>
      </w:r>
      <w:r w:rsidRPr="009D08F7">
        <w:rPr>
          <w:color w:val="1A171B"/>
        </w:rPr>
        <w:t xml:space="preserve"> </w:t>
      </w:r>
    </w:p>
    <w:p w:rsidR="008434CC" w:rsidRDefault="008434CC" w:rsidP="00B916EC">
      <w:pPr>
        <w:pStyle w:val="ListParagraph"/>
        <w:numPr>
          <w:ilvl w:val="0"/>
          <w:numId w:val="37"/>
        </w:numPr>
        <w:rPr>
          <w:color w:val="1A171B"/>
        </w:rPr>
      </w:pPr>
      <w:r w:rsidRPr="009D08F7">
        <w:rPr>
          <w:color w:val="1A171B"/>
        </w:rPr>
        <w:t xml:space="preserve">TB among HIV </w:t>
      </w:r>
      <w:r>
        <w:rPr>
          <w:color w:val="1A171B"/>
        </w:rPr>
        <w:t xml:space="preserve">infected </w:t>
      </w:r>
      <w:r w:rsidRPr="009D08F7">
        <w:rPr>
          <w:color w:val="1A171B"/>
        </w:rPr>
        <w:t>adults and children</w:t>
      </w:r>
      <w:r>
        <w:rPr>
          <w:color w:val="1A171B"/>
        </w:rPr>
        <w:t>,</w:t>
      </w:r>
      <w:r w:rsidRPr="009D08F7">
        <w:rPr>
          <w:color w:val="1A171B"/>
        </w:rPr>
        <w:t xml:space="preserve"> and </w:t>
      </w:r>
    </w:p>
    <w:p w:rsidR="008434CC" w:rsidRPr="009D08F7" w:rsidRDefault="008434CC" w:rsidP="00B916EC">
      <w:pPr>
        <w:pStyle w:val="ListParagraph"/>
        <w:numPr>
          <w:ilvl w:val="0"/>
          <w:numId w:val="37"/>
        </w:numPr>
        <w:rPr>
          <w:color w:val="1A171B"/>
        </w:rPr>
      </w:pPr>
      <w:r w:rsidRPr="009D08F7">
        <w:rPr>
          <w:color w:val="1A171B"/>
        </w:rPr>
        <w:t>monitoring of response to treatment for patients with MDR-TB.</w:t>
      </w:r>
    </w:p>
    <w:p w:rsidR="008434CC" w:rsidRPr="00903A12" w:rsidRDefault="008434CC" w:rsidP="00970699">
      <w:pPr>
        <w:spacing w:before="180"/>
      </w:pPr>
      <w:r w:rsidRPr="00903A12">
        <w:t xml:space="preserve">Following endorsement by </w:t>
      </w:r>
      <w:r>
        <w:t>its</w:t>
      </w:r>
      <w:r w:rsidRPr="00903A12">
        <w:t xml:space="preserve"> Strategic and Technical Advisory Group in 2010, WHO has advocated the implementation of an automated nucleic acid amplification test</w:t>
      </w:r>
      <w:r>
        <w:t>,</w:t>
      </w:r>
      <w:r w:rsidRPr="00903A12">
        <w:t xml:space="preserve"> the </w:t>
      </w:r>
      <w:r w:rsidRPr="0086378D">
        <w:rPr>
          <w:i/>
        </w:rPr>
        <w:t>Xpert</w:t>
      </w:r>
      <w:r w:rsidRPr="00903A12">
        <w:t>® MTB/RIF test (</w:t>
      </w:r>
      <w:r w:rsidRPr="00903A12">
        <w:rPr>
          <w:i/>
        </w:rPr>
        <w:t>GeneXpert</w:t>
      </w:r>
      <w:r>
        <w:t>;</w:t>
      </w:r>
      <w:r w:rsidRPr="00903A12">
        <w:t xml:space="preserve"> Cepheid, Sunnyvale, CA, USA). </w:t>
      </w:r>
      <w:r>
        <w:t xml:space="preserve"> </w:t>
      </w:r>
      <w:r w:rsidRPr="00903A12">
        <w:t xml:space="preserve">The test allows for </w:t>
      </w:r>
      <w:r w:rsidRPr="0086378D">
        <w:rPr>
          <w:u w:val="single"/>
        </w:rPr>
        <w:t>identification</w:t>
      </w:r>
      <w:r w:rsidRPr="00903A12">
        <w:t xml:space="preserve"> of </w:t>
      </w:r>
      <w:r w:rsidRPr="00903A12">
        <w:rPr>
          <w:i/>
        </w:rPr>
        <w:t>Mycobacterium tuberculosis</w:t>
      </w:r>
      <w:r w:rsidRPr="00903A12">
        <w:t xml:space="preserve"> (i.e. speciation) and detection of </w:t>
      </w:r>
      <w:r w:rsidRPr="0086378D">
        <w:rPr>
          <w:u w:val="single"/>
        </w:rPr>
        <w:t>resistance to rifampicin</w:t>
      </w:r>
      <w:r>
        <w:t>, one of the two first line TB drugs that become ineffective in MDR-TB</w:t>
      </w:r>
      <w:r w:rsidRPr="00903A12">
        <w:t xml:space="preserve">. </w:t>
      </w:r>
      <w:r>
        <w:t xml:space="preserve"> </w:t>
      </w:r>
      <w:r w:rsidRPr="00903A12">
        <w:t xml:space="preserve">The test </w:t>
      </w:r>
      <w:r>
        <w:t>t</w:t>
      </w:r>
      <w:r w:rsidRPr="00903A12">
        <w:t>herefore</w:t>
      </w:r>
      <w:r>
        <w:t xml:space="preserve"> </w:t>
      </w:r>
      <w:r w:rsidRPr="00903A12">
        <w:t xml:space="preserve">has </w:t>
      </w:r>
      <w:r>
        <w:t xml:space="preserve">a potential role in Kiribati </w:t>
      </w:r>
      <w:r w:rsidRPr="00903A12">
        <w:t xml:space="preserve">in making a definitive diagnosis of TB in </w:t>
      </w:r>
      <w:r>
        <w:t xml:space="preserve">suspects </w:t>
      </w:r>
      <w:r w:rsidRPr="00903A12">
        <w:t xml:space="preserve">who have sputum smear negative pulmonary TB (including </w:t>
      </w:r>
      <w:r>
        <w:t xml:space="preserve">in higher risk individuals: re-treatment cases, and </w:t>
      </w:r>
      <w:r w:rsidRPr="00903A12">
        <w:t>in people co-infected with HIV)</w:t>
      </w:r>
      <w:r>
        <w:t>,</w:t>
      </w:r>
      <w:r w:rsidRPr="00903A12">
        <w:t xml:space="preserve"> and in </w:t>
      </w:r>
      <w:r>
        <w:t xml:space="preserve">detecting </w:t>
      </w:r>
      <w:r w:rsidRPr="00903A12">
        <w:t>MDR-TB.</w:t>
      </w:r>
      <w:r>
        <w:t xml:space="preserve">  However, it has no role in monitoring the response to treatment in patients initiated on TB therapy, other than to confirm the emergence of rifampicin resistance in an infection that was previously judged to be sensitive.</w:t>
      </w:r>
    </w:p>
    <w:p w:rsidR="008434CC" w:rsidRPr="004C093A" w:rsidRDefault="008434CC" w:rsidP="009D08F7">
      <w:pPr>
        <w:rPr>
          <w:color w:val="000000"/>
        </w:rPr>
      </w:pPr>
      <w:r>
        <w:t xml:space="preserve">Further analysis is needed of the relative cost-effectiveness of molecular diagnosis versus culture and DST in the prevailing epidemiological setting in Kiribati.  This will be the subject of the Project’s early support for operational research and evidence based policy analysis (described further at </w:t>
      </w:r>
      <w:r w:rsidRPr="004C093A">
        <w:rPr>
          <w:color w:val="000000"/>
        </w:rPr>
        <w:t xml:space="preserve">Section 6.2.5).  </w:t>
      </w:r>
    </w:p>
    <w:p w:rsidR="008434CC" w:rsidRDefault="008434CC" w:rsidP="009D08F7">
      <w:r w:rsidRPr="00903A12">
        <w:t xml:space="preserve">The </w:t>
      </w:r>
      <w:r>
        <w:t xml:space="preserve">Project has set aside a dedicated budget to facilitate the adoption of </w:t>
      </w:r>
      <w:r w:rsidRPr="00AD11D9">
        <w:rPr>
          <w:i/>
        </w:rPr>
        <w:t>Genexpert</w:t>
      </w:r>
      <w:r w:rsidRPr="00903A12">
        <w:t xml:space="preserve">® MTB/RIF </w:t>
      </w:r>
      <w:r>
        <w:t xml:space="preserve">technology </w:t>
      </w:r>
      <w:r w:rsidRPr="00903A12">
        <w:t xml:space="preserve">in Year 3, </w:t>
      </w:r>
      <w:r>
        <w:t>subject to the recommendations of the TB laboratory policy analysis</w:t>
      </w:r>
      <w:r w:rsidRPr="00903A12">
        <w:t>.</w:t>
      </w:r>
      <w:r>
        <w:t xml:space="preserve">  </w:t>
      </w:r>
    </w:p>
    <w:p w:rsidR="008434CC" w:rsidRDefault="008434CC" w:rsidP="009D08F7">
      <w:r>
        <w:t xml:space="preserve">An alternative remains to further strengthen mycobacterial culture facilities and possibly introduce DST (with the assistance of technical experts from IMVS); a limited number of specimens for molecular diagnosis could then be referred to Fiji, where </w:t>
      </w:r>
      <w:r w:rsidRPr="00AD11D9">
        <w:rPr>
          <w:i/>
        </w:rPr>
        <w:t>Genexpert</w:t>
      </w:r>
      <w:r>
        <w:rPr>
          <w:i/>
        </w:rPr>
        <w:t xml:space="preserve"> </w:t>
      </w:r>
      <w:r>
        <w:t>facilities are being introduced in three centres in 2012.</w:t>
      </w:r>
    </w:p>
    <w:p w:rsidR="008434CC" w:rsidRDefault="008434CC" w:rsidP="009D08F7">
      <w:r>
        <w:t xml:space="preserve">Improved laboratory capacity will enhance the quality of TB diagnosis in Kiribati, where there has been a long tradition of initiating trials of TB treatment in individuals – particularly children – with clinically suspicious signs and symptoms but negative sputum microscopy.  This Project objective will </w:t>
      </w:r>
      <w:r>
        <w:lastRenderedPageBreak/>
        <w:t>complement laboratory strengthening with a program of support for hospital clinicians to improve their diagnostic acumen in the diagnosis of paediatric, sputum negative and extra-pulmonary TB, and to promote IPT in paediatric contacts under 5 years of age.</w:t>
      </w:r>
    </w:p>
    <w:p w:rsidR="008434CC" w:rsidRDefault="008434CC" w:rsidP="009D08F7">
      <w:r>
        <w:t>The introduction of digital radiology will facilitate the introduction of a teleradiology service, whereby electronic chest X-Ray images can be emailed to a participating centre of excellence for a second opinion on hard-to-diagnose cases.</w:t>
      </w:r>
    </w:p>
    <w:p w:rsidR="008434CC" w:rsidRDefault="008434CC" w:rsidP="00AD11D9">
      <w:r w:rsidRPr="00865BB3">
        <w:t xml:space="preserve">Infection control measures need to be enforced in TB clinics, hospital wards, the TB laboratory, and outpatient and waiting areas in order to prevent </w:t>
      </w:r>
      <w:r>
        <w:t>cross-infection</w:t>
      </w:r>
      <w:r w:rsidRPr="00865BB3">
        <w:t xml:space="preserve">. </w:t>
      </w:r>
      <w:r>
        <w:t xml:space="preserve"> </w:t>
      </w:r>
      <w:r w:rsidRPr="00865BB3">
        <w:t xml:space="preserve">Measures include the use of protective masks by health care workers, administrative controls (for example, in waiting areas for people attending outpatient services) and environmental measures such as ventilation systems. </w:t>
      </w:r>
      <w:r>
        <w:t xml:space="preserve"> </w:t>
      </w:r>
      <w:r w:rsidRPr="00865BB3">
        <w:t>The best indicator to assess the quality of infection control is the ratio of the notification rate of TB among health care workers to the notification rate among the general population</w:t>
      </w:r>
      <w:r>
        <w:t>; t</w:t>
      </w:r>
      <w:r w:rsidRPr="00865BB3">
        <w:t>his ratio should be around one.</w:t>
      </w:r>
      <w:r w:rsidRPr="00865BB3">
        <w:rPr>
          <w:rStyle w:val="FootnoteReference"/>
        </w:rPr>
        <w:t xml:space="preserve"> </w:t>
      </w:r>
      <w:r w:rsidRPr="008F474E">
        <w:rPr>
          <w:rStyle w:val="FootnoteReference"/>
        </w:rPr>
        <w:footnoteReference w:id="21"/>
      </w:r>
      <w:r w:rsidRPr="00865BB3">
        <w:t xml:space="preserve"> </w:t>
      </w:r>
    </w:p>
    <w:p w:rsidR="008434CC" w:rsidRDefault="008434CC" w:rsidP="005F3F1B">
      <w:pPr>
        <w:keepNext/>
      </w:pPr>
      <w:r>
        <w:t>In summary, the principal areas of activity supported through this Project Objective will include:</w:t>
      </w:r>
    </w:p>
    <w:p w:rsidR="008434CC" w:rsidRDefault="008434CC" w:rsidP="00B916EC">
      <w:pPr>
        <w:pStyle w:val="ListParagraph"/>
        <w:numPr>
          <w:ilvl w:val="0"/>
          <w:numId w:val="38"/>
        </w:numPr>
      </w:pPr>
      <w:r>
        <w:t>Salary support for the TB Laboratory Supervisor and Technician</w:t>
      </w:r>
    </w:p>
    <w:p w:rsidR="008434CC" w:rsidRDefault="008434CC" w:rsidP="00821639">
      <w:pPr>
        <w:pStyle w:val="ListParagraph"/>
        <w:numPr>
          <w:ilvl w:val="0"/>
          <w:numId w:val="38"/>
        </w:numPr>
        <w:ind w:left="714" w:hanging="357"/>
        <w:contextualSpacing w:val="0"/>
      </w:pPr>
      <w:r>
        <w:t>Procurement of laboratory reagents and consumables</w:t>
      </w:r>
    </w:p>
    <w:p w:rsidR="008434CC" w:rsidRDefault="008434CC" w:rsidP="00821639">
      <w:pPr>
        <w:pStyle w:val="ListParagraph"/>
        <w:numPr>
          <w:ilvl w:val="0"/>
          <w:numId w:val="38"/>
        </w:numPr>
        <w:ind w:left="714" w:hanging="357"/>
        <w:contextualSpacing w:val="0"/>
      </w:pPr>
      <w:r>
        <w:t>The costs of supervisory visits from IMVS to oversee the development of TB culture and possibly the introduction of in-country DST</w:t>
      </w:r>
    </w:p>
    <w:p w:rsidR="008434CC" w:rsidRDefault="008434CC" w:rsidP="00821639">
      <w:pPr>
        <w:pStyle w:val="ListParagraph"/>
        <w:numPr>
          <w:ilvl w:val="0"/>
          <w:numId w:val="38"/>
        </w:numPr>
        <w:ind w:left="714" w:hanging="357"/>
        <w:contextualSpacing w:val="0"/>
      </w:pPr>
      <w:r>
        <w:t xml:space="preserve">The costs of </w:t>
      </w:r>
      <w:r w:rsidRPr="002C79C3">
        <w:t>TB culture and  first line DST for all retreatment of previously treated cases and others at high risk for MDR-TB (i.e. contacts of an MDR-TB case)</w:t>
      </w:r>
      <w:r>
        <w:t>, and of occasional s</w:t>
      </w:r>
      <w:r w:rsidRPr="00636433">
        <w:t xml:space="preserve">econd line DST, and </w:t>
      </w:r>
      <w:r>
        <w:t xml:space="preserve">of </w:t>
      </w:r>
      <w:r w:rsidRPr="00636433">
        <w:t xml:space="preserve">HIV testing </w:t>
      </w:r>
      <w:r>
        <w:t xml:space="preserve">and confirmation </w:t>
      </w:r>
      <w:r w:rsidRPr="00636433">
        <w:t>for MDR-TB cases</w:t>
      </w:r>
    </w:p>
    <w:p w:rsidR="008434CC" w:rsidRDefault="008434CC" w:rsidP="00821639">
      <w:pPr>
        <w:pStyle w:val="ListParagraph"/>
        <w:numPr>
          <w:ilvl w:val="0"/>
          <w:numId w:val="38"/>
        </w:numPr>
        <w:ind w:left="714" w:hanging="357"/>
        <w:contextualSpacing w:val="0"/>
      </w:pPr>
      <w:r>
        <w:t>Training for laboratory staff (in-country and/or at IMVS in Australia)</w:t>
      </w:r>
    </w:p>
    <w:p w:rsidR="008434CC" w:rsidRDefault="008434CC" w:rsidP="00821639">
      <w:pPr>
        <w:pStyle w:val="ListParagraph"/>
        <w:numPr>
          <w:ilvl w:val="0"/>
          <w:numId w:val="38"/>
        </w:numPr>
        <w:ind w:left="714" w:hanging="357"/>
        <w:contextualSpacing w:val="0"/>
      </w:pPr>
      <w:r>
        <w:t xml:space="preserve">Participation in EQAS activities </w:t>
      </w:r>
    </w:p>
    <w:p w:rsidR="008434CC" w:rsidRDefault="008434CC" w:rsidP="00821639">
      <w:pPr>
        <w:pStyle w:val="ListParagraph"/>
        <w:numPr>
          <w:ilvl w:val="0"/>
          <w:numId w:val="38"/>
        </w:numPr>
        <w:ind w:left="714" w:hanging="357"/>
        <w:contextualSpacing w:val="0"/>
      </w:pPr>
      <w:r>
        <w:t>The costs of supervisory outreach by the Laboratory Supervisor to Kiritimati</w:t>
      </w:r>
    </w:p>
    <w:p w:rsidR="008434CC" w:rsidRDefault="008434CC" w:rsidP="00821639">
      <w:pPr>
        <w:pStyle w:val="ListParagraph"/>
        <w:numPr>
          <w:ilvl w:val="0"/>
          <w:numId w:val="38"/>
        </w:numPr>
        <w:ind w:left="714" w:hanging="357"/>
        <w:contextualSpacing w:val="0"/>
      </w:pPr>
      <w:r>
        <w:t>Development, production and implementation of infection control guidelines, including availability of N95 masks</w:t>
      </w:r>
    </w:p>
    <w:p w:rsidR="008434CC" w:rsidRPr="00CC09D1" w:rsidRDefault="008434CC" w:rsidP="00821639">
      <w:pPr>
        <w:pStyle w:val="ListParagraph"/>
        <w:numPr>
          <w:ilvl w:val="0"/>
          <w:numId w:val="38"/>
        </w:numPr>
        <w:ind w:left="714" w:hanging="357"/>
        <w:contextualSpacing w:val="0"/>
      </w:pPr>
      <w:r>
        <w:t xml:space="preserve">Subject to the recommendations arising from the analysis of the TB laboratory strategy, introduction of </w:t>
      </w:r>
      <w:r w:rsidRPr="00AD11D9">
        <w:rPr>
          <w:i/>
        </w:rPr>
        <w:t>Genexpert</w:t>
      </w:r>
      <w:r>
        <w:rPr>
          <w:i/>
        </w:rPr>
        <w:t xml:space="preserve"> </w:t>
      </w:r>
      <w:r>
        <w:t>facilities in the Kiribati TB laboratory</w:t>
      </w:r>
    </w:p>
    <w:p w:rsidR="008434CC" w:rsidRPr="00CC09D1" w:rsidRDefault="008434CC" w:rsidP="00821639">
      <w:pPr>
        <w:pStyle w:val="ListParagraph"/>
        <w:numPr>
          <w:ilvl w:val="0"/>
          <w:numId w:val="38"/>
        </w:numPr>
        <w:ind w:left="714" w:hanging="357"/>
        <w:contextualSpacing w:val="0"/>
      </w:pPr>
      <w:r>
        <w:t>Procurement of digital radiology equipment, and training of radiography staff in its use</w:t>
      </w:r>
    </w:p>
    <w:p w:rsidR="008434CC" w:rsidRPr="00821639" w:rsidRDefault="008434CC" w:rsidP="00821639">
      <w:pPr>
        <w:pStyle w:val="ListParagraph"/>
        <w:numPr>
          <w:ilvl w:val="0"/>
          <w:numId w:val="38"/>
        </w:numPr>
        <w:ind w:left="714" w:hanging="357"/>
        <w:contextualSpacing w:val="0"/>
      </w:pPr>
      <w:r>
        <w:t xml:space="preserve">Clinical refresher training and course in the diagnosis and management of sputum negative, suspected pulmonary TB and paediatric TB, including in-country radiology training for clinicians (if feasible, linked opportunistically to a package of broader radiology training for primary care and emergency clinicians) </w:t>
      </w:r>
    </w:p>
    <w:p w:rsidR="008434CC" w:rsidRDefault="008434CC" w:rsidP="00821639">
      <w:pPr>
        <w:pStyle w:val="ListParagraph"/>
        <w:numPr>
          <w:ilvl w:val="0"/>
          <w:numId w:val="38"/>
        </w:numPr>
        <w:ind w:left="714" w:hanging="357"/>
        <w:contextualSpacing w:val="0"/>
      </w:pPr>
      <w:r w:rsidRPr="003252D5">
        <w:t>Duplication and distribution of WHO guidelines for diagnosis of TB in children</w:t>
      </w:r>
    </w:p>
    <w:p w:rsidR="008434CC" w:rsidRDefault="008434CC" w:rsidP="00054FB8">
      <w:pPr>
        <w:pStyle w:val="Heading3"/>
      </w:pPr>
      <w:bookmarkStart w:id="57" w:name="_Toc331686116"/>
      <w:r>
        <w:lastRenderedPageBreak/>
        <w:t xml:space="preserve">6.2.3 Project Objective 3 – </w:t>
      </w:r>
      <w:r w:rsidRPr="00D31E05">
        <w:t xml:space="preserve">Management of </w:t>
      </w:r>
      <w:r>
        <w:t>MDR-TB and C</w:t>
      </w:r>
      <w:r w:rsidRPr="00D31E05">
        <w:t>o-morbidities</w:t>
      </w:r>
      <w:bookmarkEnd w:id="57"/>
    </w:p>
    <w:p w:rsidR="008434CC" w:rsidRDefault="008434CC" w:rsidP="00970699">
      <w:r w:rsidRPr="00DB1DA2">
        <w:t>MDR-TB was last reported in Kiribati in 2005</w:t>
      </w:r>
      <w:r>
        <w:t>.  S</w:t>
      </w:r>
      <w:r w:rsidRPr="00DB1DA2">
        <w:t>ince that time</w:t>
      </w:r>
      <w:r>
        <w:t>,</w:t>
      </w:r>
      <w:r w:rsidRPr="00DB1DA2">
        <w:t xml:space="preserve"> two cases of rifampicin mono</w:t>
      </w:r>
      <w:r>
        <w:t>-</w:t>
      </w:r>
      <w:r w:rsidRPr="00DB1DA2">
        <w:t xml:space="preserve">resistant </w:t>
      </w:r>
      <w:r>
        <w:t>TB have also been</w:t>
      </w:r>
      <w:r w:rsidRPr="00DB1DA2">
        <w:t xml:space="preserve"> reported</w:t>
      </w:r>
      <w:r>
        <w:t>,</w:t>
      </w:r>
      <w:r w:rsidRPr="00DB1DA2">
        <w:t xml:space="preserve"> one in a</w:t>
      </w:r>
      <w:r>
        <w:t xml:space="preserve"> person who was co-infected</w:t>
      </w:r>
      <w:r w:rsidRPr="00DB1DA2">
        <w:t xml:space="preserve"> </w:t>
      </w:r>
      <w:r>
        <w:t xml:space="preserve">with </w:t>
      </w:r>
      <w:r w:rsidRPr="00DB1DA2">
        <w:t>HIV</w:t>
      </w:r>
      <w:r>
        <w:t xml:space="preserve"> (who died due to another AIDS-related illness before their TB infection was cured) and</w:t>
      </w:r>
      <w:r w:rsidRPr="00DB1DA2">
        <w:t xml:space="preserve"> </w:t>
      </w:r>
      <w:r>
        <w:t xml:space="preserve">one who </w:t>
      </w:r>
      <w:r w:rsidRPr="00DB1DA2">
        <w:t xml:space="preserve">was cured. </w:t>
      </w:r>
      <w:r>
        <w:t xml:space="preserve"> </w:t>
      </w:r>
    </w:p>
    <w:p w:rsidR="008434CC" w:rsidRPr="00970699" w:rsidRDefault="008434CC" w:rsidP="00970699">
      <w:pPr>
        <w:rPr>
          <w:color w:val="000000"/>
        </w:rPr>
      </w:pPr>
      <w:r>
        <w:t>A d</w:t>
      </w:r>
      <w:r w:rsidRPr="00DB1DA2">
        <w:t>rug resistance surv</w:t>
      </w:r>
      <w:r>
        <w:t>ey</w:t>
      </w:r>
      <w:r w:rsidRPr="00DB1DA2">
        <w:t xml:space="preserve"> conducted in Kiribati during QTBEC </w:t>
      </w:r>
      <w:r>
        <w:t>P</w:t>
      </w:r>
      <w:r w:rsidRPr="00DB1DA2">
        <w:t>hase 1 as pa</w:t>
      </w:r>
      <w:r>
        <w:t xml:space="preserve">rt of a molecular epidemiological study </w:t>
      </w:r>
      <w:r w:rsidRPr="00DB1DA2">
        <w:t xml:space="preserve">did not find any </w:t>
      </w:r>
      <w:r>
        <w:t xml:space="preserve">additional cases of </w:t>
      </w:r>
      <w:r w:rsidRPr="00DB1DA2">
        <w:t xml:space="preserve">MDR-TB.  </w:t>
      </w:r>
      <w:r>
        <w:t xml:space="preserve">However, preparedness for a case of MDR-TB remains important for the Kiribati NTP (as it is in Micronesia and the Marshall islands, where MDR-TB outbreaks have occurred); budgetary provision is available through the </w:t>
      </w:r>
      <w:r w:rsidRPr="00970699">
        <w:rPr>
          <w:color w:val="000000"/>
        </w:rPr>
        <w:t xml:space="preserve">Project’s health systems component (Section 6.2.4). </w:t>
      </w:r>
    </w:p>
    <w:p w:rsidR="008434CC" w:rsidRDefault="008434CC" w:rsidP="00970699">
      <w:pPr>
        <w:rPr>
          <w:bCs/>
        </w:rPr>
      </w:pPr>
      <w:r w:rsidRPr="00EA1628">
        <w:rPr>
          <w:bCs/>
        </w:rPr>
        <w:t xml:space="preserve">The best time to take action against MDR-TB is before it becomes a problem.  It is far better </w:t>
      </w:r>
      <w:r>
        <w:rPr>
          <w:bCs/>
        </w:rPr>
        <w:t>(</w:t>
      </w:r>
      <w:r w:rsidRPr="00EA1628">
        <w:rPr>
          <w:bCs/>
        </w:rPr>
        <w:t>and cheaper</w:t>
      </w:r>
      <w:r>
        <w:rPr>
          <w:bCs/>
        </w:rPr>
        <w:t>)</w:t>
      </w:r>
      <w:r w:rsidRPr="00EA1628">
        <w:rPr>
          <w:bCs/>
        </w:rPr>
        <w:t xml:space="preserve"> to invest in a program to prevent drug</w:t>
      </w:r>
      <w:r>
        <w:rPr>
          <w:bCs/>
        </w:rPr>
        <w:t xml:space="preserve"> </w:t>
      </w:r>
      <w:r w:rsidRPr="00EA1628">
        <w:rPr>
          <w:bCs/>
        </w:rPr>
        <w:t xml:space="preserve">resistance occurring than to respond to an MDR-TB </w:t>
      </w:r>
      <w:r>
        <w:rPr>
          <w:bCs/>
        </w:rPr>
        <w:t xml:space="preserve">case or cluster </w:t>
      </w:r>
      <w:r w:rsidRPr="00EA1628">
        <w:rPr>
          <w:bCs/>
        </w:rPr>
        <w:t xml:space="preserve">that has already occurred.  </w:t>
      </w:r>
      <w:r w:rsidRPr="00DB1DA2">
        <w:rPr>
          <w:bCs/>
        </w:rPr>
        <w:t xml:space="preserve">Improving </w:t>
      </w:r>
      <w:r>
        <w:rPr>
          <w:bCs/>
        </w:rPr>
        <w:t xml:space="preserve">the capacity of the </w:t>
      </w:r>
      <w:r w:rsidRPr="00DB1DA2">
        <w:rPr>
          <w:bCs/>
        </w:rPr>
        <w:t xml:space="preserve">NTP to </w:t>
      </w:r>
      <w:r>
        <w:rPr>
          <w:bCs/>
        </w:rPr>
        <w:t xml:space="preserve">identify and </w:t>
      </w:r>
      <w:r w:rsidRPr="00DB1DA2">
        <w:rPr>
          <w:bCs/>
        </w:rPr>
        <w:t>diagnose TB</w:t>
      </w:r>
      <w:r>
        <w:rPr>
          <w:bCs/>
        </w:rPr>
        <w:t xml:space="preserve"> infection and to implement prompt, well-supervised treatment will help to limit the incidence of drug-</w:t>
      </w:r>
      <w:r w:rsidRPr="00DB1DA2">
        <w:rPr>
          <w:bCs/>
        </w:rPr>
        <w:t xml:space="preserve">resistant TB as </w:t>
      </w:r>
      <w:r>
        <w:rPr>
          <w:bCs/>
        </w:rPr>
        <w:t xml:space="preserve">much </w:t>
      </w:r>
      <w:r w:rsidRPr="00DB1DA2">
        <w:rPr>
          <w:bCs/>
        </w:rPr>
        <w:t>as possible</w:t>
      </w:r>
      <w:r>
        <w:rPr>
          <w:bCs/>
        </w:rPr>
        <w:t>. (</w:t>
      </w:r>
      <w:r w:rsidRPr="00DB1DA2">
        <w:rPr>
          <w:bCs/>
        </w:rPr>
        <w:t xml:space="preserve">Systematic screening and testing of TB cases to diagnose </w:t>
      </w:r>
      <w:r>
        <w:rPr>
          <w:bCs/>
        </w:rPr>
        <w:t xml:space="preserve">drug </w:t>
      </w:r>
      <w:r w:rsidRPr="00DB1DA2">
        <w:rPr>
          <w:bCs/>
        </w:rPr>
        <w:t>resistant TB</w:t>
      </w:r>
      <w:r>
        <w:rPr>
          <w:bCs/>
        </w:rPr>
        <w:t xml:space="preserve"> is included as a laboratory function under Project Objective 2.  </w:t>
      </w:r>
      <w:r w:rsidRPr="00636433">
        <w:rPr>
          <w:bCs/>
        </w:rPr>
        <w:t>It is estimated that there will be three to four batches annually for the first three years for first line DST among retreatment cases or MDR-TB contacts</w:t>
      </w:r>
      <w:r>
        <w:rPr>
          <w:bCs/>
        </w:rPr>
        <w:t xml:space="preserve"> and </w:t>
      </w:r>
      <w:r w:rsidRPr="00636433">
        <w:rPr>
          <w:bCs/>
        </w:rPr>
        <w:t>suspects</w:t>
      </w:r>
      <w:r>
        <w:rPr>
          <w:bCs/>
        </w:rPr>
        <w:t>; t</w:t>
      </w:r>
      <w:r w:rsidRPr="00636433">
        <w:rPr>
          <w:bCs/>
        </w:rPr>
        <w:t>hereafter</w:t>
      </w:r>
      <w:r>
        <w:rPr>
          <w:bCs/>
        </w:rPr>
        <w:t>,</w:t>
      </w:r>
      <w:r w:rsidRPr="00636433">
        <w:rPr>
          <w:bCs/>
        </w:rPr>
        <w:t xml:space="preserve"> the need for DST will likely remain the same</w:t>
      </w:r>
      <w:r>
        <w:rPr>
          <w:bCs/>
        </w:rPr>
        <w:t>).</w:t>
      </w:r>
    </w:p>
    <w:p w:rsidR="008434CC" w:rsidRDefault="008434CC" w:rsidP="00970699">
      <w:r w:rsidRPr="003277AC">
        <w:t xml:space="preserve">Collaboration between the TB and HIV programs </w:t>
      </w:r>
      <w:r>
        <w:t>in Kiribati is relatively loosely structured; r</w:t>
      </w:r>
      <w:r w:rsidRPr="003277AC">
        <w:t xml:space="preserve">eporting and recording </w:t>
      </w:r>
      <w:r>
        <w:t xml:space="preserve">of dual interventions, inter-program referrals and other linkages </w:t>
      </w:r>
      <w:r w:rsidRPr="003277AC">
        <w:t xml:space="preserve">for TB-HIV co-infected </w:t>
      </w:r>
      <w:r>
        <w:t>individual</w:t>
      </w:r>
      <w:r w:rsidRPr="003277AC">
        <w:t xml:space="preserve">s has been very </w:t>
      </w:r>
      <w:r>
        <w:t>inconsistent</w:t>
      </w:r>
      <w:r w:rsidRPr="003277AC">
        <w:t xml:space="preserve">. </w:t>
      </w:r>
      <w:r>
        <w:t xml:space="preserve"> </w:t>
      </w:r>
      <w:r w:rsidRPr="003277AC">
        <w:t xml:space="preserve">However, the NTP has </w:t>
      </w:r>
      <w:r>
        <w:t>been</w:t>
      </w:r>
      <w:r w:rsidRPr="003277AC">
        <w:t xml:space="preserve"> conducting provider initiated HIV testing </w:t>
      </w:r>
      <w:r>
        <w:t xml:space="preserve">and counselling </w:t>
      </w:r>
      <w:r w:rsidRPr="003277AC">
        <w:t>for all confirmed TB cases since mid-2009</w:t>
      </w:r>
      <w:r>
        <w:t>,</w:t>
      </w:r>
      <w:r w:rsidRPr="003277AC">
        <w:t xml:space="preserve"> </w:t>
      </w:r>
      <w:r>
        <w:t xml:space="preserve">with an estimated </w:t>
      </w:r>
      <w:r w:rsidRPr="003277AC">
        <w:t xml:space="preserve">uptake </w:t>
      </w:r>
      <w:r>
        <w:t xml:space="preserve">of </w:t>
      </w:r>
      <w:r w:rsidRPr="003277AC">
        <w:t>60%.</w:t>
      </w:r>
    </w:p>
    <w:p w:rsidR="008434CC" w:rsidRDefault="008434CC" w:rsidP="00634178">
      <w:r w:rsidRPr="003277AC">
        <w:t xml:space="preserve">Studies show that people with diabetes mellitus have a threefold </w:t>
      </w:r>
      <w:r>
        <w:t xml:space="preserve">increased </w:t>
      </w:r>
      <w:r w:rsidRPr="003277AC">
        <w:t xml:space="preserve">risk of </w:t>
      </w:r>
      <w:r>
        <w:t xml:space="preserve">acquiring </w:t>
      </w:r>
      <w:r w:rsidRPr="003277AC">
        <w:t xml:space="preserve">TB.  </w:t>
      </w:r>
      <w:r>
        <w:t>Moreover</w:t>
      </w:r>
      <w:r w:rsidRPr="003277AC">
        <w:t xml:space="preserve">, </w:t>
      </w:r>
      <w:r>
        <w:t xml:space="preserve">clinical experience to date </w:t>
      </w:r>
      <w:r w:rsidRPr="003277AC">
        <w:t xml:space="preserve">in Kiribati </w:t>
      </w:r>
      <w:r>
        <w:t>i</w:t>
      </w:r>
      <w:r w:rsidRPr="003277AC">
        <w:t xml:space="preserve">s that TB patients with </w:t>
      </w:r>
      <w:r>
        <w:t xml:space="preserve">poorly </w:t>
      </w:r>
      <w:r w:rsidRPr="003277AC">
        <w:t>controlled diabetes have a very poor response to TB treatment, with some remaining sputum smear positive at two months or more and others presenting with relapsed TB</w:t>
      </w:r>
      <w:r>
        <w:t xml:space="preserve"> after completion of initial treatment</w:t>
      </w:r>
      <w:r w:rsidRPr="003277AC">
        <w:t xml:space="preserve">.  </w:t>
      </w:r>
    </w:p>
    <w:p w:rsidR="008434CC" w:rsidRDefault="008434CC" w:rsidP="005828E0">
      <w:r>
        <w:t xml:space="preserve">The Project will help set up a system for screening </w:t>
      </w:r>
      <w:r w:rsidRPr="003277AC">
        <w:t xml:space="preserve">people with diabetes for TB in the diabetes clinic, and/or if they are a household contacts of an infectious TB case. </w:t>
      </w:r>
      <w:r>
        <w:t xml:space="preserve"> As part of this inter-program collaboration, isoniazid</w:t>
      </w:r>
      <w:r w:rsidRPr="00DB1DA2">
        <w:t xml:space="preserve"> pr</w:t>
      </w:r>
      <w:r>
        <w:t xml:space="preserve">eventive therapy </w:t>
      </w:r>
      <w:r w:rsidRPr="003277AC">
        <w:t xml:space="preserve">will be provided for diabetic contacts </w:t>
      </w:r>
      <w:r>
        <w:t>and for</w:t>
      </w:r>
      <w:r w:rsidRPr="00DB1DA2">
        <w:t xml:space="preserve"> </w:t>
      </w:r>
      <w:r w:rsidRPr="003277AC">
        <w:t>diabet</w:t>
      </w:r>
      <w:r>
        <w:t>es</w:t>
      </w:r>
      <w:r w:rsidRPr="003277AC">
        <w:t xml:space="preserve"> patients with evidence of TB infection (after ruling out active TB disease)</w:t>
      </w:r>
      <w:r>
        <w:t xml:space="preserve">. </w:t>
      </w:r>
    </w:p>
    <w:p w:rsidR="008434CC" w:rsidRDefault="008434CC" w:rsidP="00AE4466">
      <w:r>
        <w:t>In summary, the principal areas of activity supported through this Project Objective will include:</w:t>
      </w:r>
    </w:p>
    <w:p w:rsidR="008434CC" w:rsidRDefault="008434CC" w:rsidP="00821639">
      <w:pPr>
        <w:pStyle w:val="ListParagraph"/>
        <w:numPr>
          <w:ilvl w:val="0"/>
          <w:numId w:val="38"/>
        </w:numPr>
        <w:ind w:left="714" w:hanging="357"/>
        <w:contextualSpacing w:val="0"/>
      </w:pPr>
      <w:r>
        <w:t>Prevention of MDR-TB through high quality treatment and supervision</w:t>
      </w:r>
    </w:p>
    <w:p w:rsidR="008434CC" w:rsidRDefault="008434CC" w:rsidP="00821639">
      <w:pPr>
        <w:pStyle w:val="ListParagraph"/>
        <w:numPr>
          <w:ilvl w:val="0"/>
          <w:numId w:val="38"/>
        </w:numPr>
        <w:ind w:left="714" w:hanging="357"/>
        <w:contextualSpacing w:val="0"/>
      </w:pPr>
      <w:r>
        <w:t>Support for management of any MDR-TB case according to international guidelines, including specialist clinical and diagnostic advice and access to second line drugs</w:t>
      </w:r>
    </w:p>
    <w:p w:rsidR="008434CC" w:rsidRDefault="008434CC" w:rsidP="00821639">
      <w:pPr>
        <w:pStyle w:val="ListParagraph"/>
        <w:numPr>
          <w:ilvl w:val="0"/>
          <w:numId w:val="38"/>
        </w:numPr>
        <w:ind w:left="714" w:hanging="357"/>
        <w:contextualSpacing w:val="0"/>
      </w:pPr>
      <w:r>
        <w:t>Establishing inter-program links between the NTP, the HIV program and the NCD program, including scaling up access to IPT for people living with HIV or diabetes, and to ART and co-trimoxazole preventive therapy for people co-infected with HIV and TB</w:t>
      </w:r>
    </w:p>
    <w:p w:rsidR="008434CC" w:rsidRDefault="008434CC" w:rsidP="00821639">
      <w:pPr>
        <w:pStyle w:val="ListParagraph"/>
        <w:numPr>
          <w:ilvl w:val="0"/>
          <w:numId w:val="38"/>
        </w:numPr>
        <w:ind w:left="714" w:hanging="357"/>
        <w:contextualSpacing w:val="0"/>
      </w:pPr>
      <w:r>
        <w:t>Maintaining PITC for HIV for eligible individuals</w:t>
      </w:r>
    </w:p>
    <w:p w:rsidR="008434CC" w:rsidRDefault="008434CC" w:rsidP="00821639">
      <w:pPr>
        <w:pStyle w:val="ListParagraph"/>
        <w:numPr>
          <w:ilvl w:val="0"/>
          <w:numId w:val="38"/>
        </w:numPr>
        <w:ind w:left="714" w:hanging="357"/>
        <w:contextualSpacing w:val="0"/>
      </w:pPr>
      <w:r>
        <w:t>Scaling up TB screening among people living with HIV</w:t>
      </w:r>
    </w:p>
    <w:p w:rsidR="008434CC" w:rsidRDefault="008434CC" w:rsidP="00821639">
      <w:pPr>
        <w:pStyle w:val="ListParagraph"/>
        <w:numPr>
          <w:ilvl w:val="0"/>
          <w:numId w:val="38"/>
        </w:numPr>
        <w:ind w:left="714" w:hanging="357"/>
        <w:contextualSpacing w:val="0"/>
      </w:pPr>
      <w:r>
        <w:lastRenderedPageBreak/>
        <w:t>Design and introduction of new registers to facilitate inter-program protocol development, patient monitoring and outcome analysis</w:t>
      </w:r>
    </w:p>
    <w:p w:rsidR="008434CC" w:rsidRDefault="008434CC" w:rsidP="00054FB8">
      <w:pPr>
        <w:pStyle w:val="Heading3"/>
      </w:pPr>
      <w:bookmarkStart w:id="58" w:name="_Toc331686117"/>
      <w:r>
        <w:t xml:space="preserve">6.2.4 Project Objective 4 – Planning, </w:t>
      </w:r>
      <w:r w:rsidRPr="00D31E05">
        <w:t xml:space="preserve">Management </w:t>
      </w:r>
      <w:r>
        <w:t>and Health System</w:t>
      </w:r>
      <w:r w:rsidRPr="00D31E05">
        <w:t>s</w:t>
      </w:r>
      <w:bookmarkEnd w:id="58"/>
    </w:p>
    <w:p w:rsidR="008434CC" w:rsidRDefault="008434CC" w:rsidP="00973AF5">
      <w:r>
        <w:t xml:space="preserve">Stock-outs </w:t>
      </w:r>
      <w:r w:rsidRPr="00DB1DA2">
        <w:t xml:space="preserve">of </w:t>
      </w:r>
      <w:r>
        <w:t xml:space="preserve">first line </w:t>
      </w:r>
      <w:r w:rsidRPr="00DB1DA2">
        <w:t xml:space="preserve">TB drugs </w:t>
      </w:r>
      <w:r>
        <w:t>remain a challenge for</w:t>
      </w:r>
      <w:r w:rsidRPr="00DB1DA2">
        <w:t xml:space="preserve"> the Kiribati NTP. </w:t>
      </w:r>
      <w:r>
        <w:t xml:space="preserve"> </w:t>
      </w:r>
    </w:p>
    <w:p w:rsidR="008434CC" w:rsidRDefault="008434CC" w:rsidP="00973AF5">
      <w:r w:rsidRPr="00DB1DA2">
        <w:t xml:space="preserve">In 2010, </w:t>
      </w:r>
      <w:r>
        <w:t xml:space="preserve">the </w:t>
      </w:r>
      <w:r w:rsidRPr="00DB1DA2">
        <w:t>NTP started procure</w:t>
      </w:r>
      <w:r>
        <w:t>ment of</w:t>
      </w:r>
      <w:r w:rsidRPr="00DB1DA2">
        <w:t xml:space="preserve"> fixed dose combination </w:t>
      </w:r>
      <w:r>
        <w:t xml:space="preserve">first line </w:t>
      </w:r>
      <w:r w:rsidRPr="00DB1DA2">
        <w:t xml:space="preserve">TB drugs through the </w:t>
      </w:r>
      <w:r w:rsidRPr="00AE4466">
        <w:t>Stop TB Partnership</w:t>
      </w:r>
      <w:r>
        <w:t xml:space="preserve">’s </w:t>
      </w:r>
      <w:r w:rsidRPr="00DB1DA2">
        <w:t>Global Drug Facility</w:t>
      </w:r>
      <w:r>
        <w:t>,</w:t>
      </w:r>
      <w:r w:rsidRPr="00DB1DA2">
        <w:t xml:space="preserve"> which should reduce stock</w:t>
      </w:r>
      <w:r>
        <w:t>-outs and improve patient</w:t>
      </w:r>
      <w:r w:rsidRPr="00DB1DA2">
        <w:t xml:space="preserve"> compliance. </w:t>
      </w:r>
      <w:r>
        <w:t xml:space="preserve"> </w:t>
      </w:r>
      <w:r w:rsidRPr="00DB1DA2">
        <w:t>However, residual issues still remain</w:t>
      </w:r>
      <w:r>
        <w:t>,</w:t>
      </w:r>
      <w:r w:rsidRPr="00DB1DA2">
        <w:t xml:space="preserve"> </w:t>
      </w:r>
      <w:r>
        <w:t xml:space="preserve">which </w:t>
      </w:r>
      <w:r w:rsidRPr="00DB1DA2">
        <w:t>relat</w:t>
      </w:r>
      <w:r>
        <w:t>e</w:t>
      </w:r>
      <w:r w:rsidRPr="00DB1DA2">
        <w:t xml:space="preserve"> to the drug management</w:t>
      </w:r>
      <w:r>
        <w:t xml:space="preserve"> system</w:t>
      </w:r>
      <w:r w:rsidRPr="00DB1DA2">
        <w:t xml:space="preserve">. </w:t>
      </w:r>
    </w:p>
    <w:p w:rsidR="008434CC" w:rsidRPr="00DB1DA2" w:rsidRDefault="008434CC" w:rsidP="00973AF5">
      <w:r w:rsidRPr="00DB1DA2">
        <w:t>The NTP must establish a reliable TB drug management system that links to the MH</w:t>
      </w:r>
      <w:r>
        <w:t>MS</w:t>
      </w:r>
      <w:r w:rsidRPr="00DB1DA2">
        <w:t xml:space="preserve"> pharmacy procurement system and </w:t>
      </w:r>
      <w:r>
        <w:t xml:space="preserve">is </w:t>
      </w:r>
      <w:r w:rsidRPr="00DB1DA2">
        <w:t xml:space="preserve">aligned to </w:t>
      </w:r>
      <w:r>
        <w:t xml:space="preserve">the </w:t>
      </w:r>
      <w:r w:rsidRPr="00DB1DA2">
        <w:t>GDF framework</w:t>
      </w:r>
      <w:r>
        <w:t>,</w:t>
      </w:r>
      <w:r w:rsidRPr="00DB1DA2">
        <w:t xml:space="preserve"> with technical support from WHO and SPC. </w:t>
      </w:r>
      <w:r>
        <w:t xml:space="preserve"> </w:t>
      </w:r>
    </w:p>
    <w:p w:rsidR="008434CC" w:rsidRDefault="008434CC" w:rsidP="00973AF5">
      <w:r w:rsidRPr="00DB1DA2">
        <w:t xml:space="preserve">The proposed </w:t>
      </w:r>
      <w:r>
        <w:t>P</w:t>
      </w:r>
      <w:r w:rsidRPr="00DB1DA2">
        <w:t xml:space="preserve">roject will support procurement of second line TB drugs </w:t>
      </w:r>
      <w:r>
        <w:t>through</w:t>
      </w:r>
      <w:r w:rsidRPr="00DB1DA2">
        <w:t xml:space="preserve"> the Green Light Committee (GLC</w:t>
      </w:r>
      <w:r w:rsidRPr="00441AB9">
        <w:t>, which is hosted and administered by WHO</w:t>
      </w:r>
      <w:r w:rsidRPr="00DB1DA2">
        <w:t>)</w:t>
      </w:r>
      <w:r>
        <w:t xml:space="preserve"> should a case of MDR-TB be detected.  Until the end of the current Global Fund Round 7 TB grant, </w:t>
      </w:r>
      <w:r w:rsidRPr="00DB1DA2">
        <w:t xml:space="preserve">Kiribati </w:t>
      </w:r>
      <w:r>
        <w:t>can</w:t>
      </w:r>
      <w:r w:rsidRPr="00DB1DA2">
        <w:t xml:space="preserve"> participate in a pooled procurement mechanism </w:t>
      </w:r>
      <w:r>
        <w:t xml:space="preserve">coordinated by the WHO Regional Office in Manila that enables access to quality assured second line TB drugs.  The Project will endeavour to maintain those links while covering the cost of the GLC application fee (a one-off payment) and the cost of purchasing the second line drugs, which are beyond the budget of most national Governments. </w:t>
      </w:r>
    </w:p>
    <w:p w:rsidR="008434CC" w:rsidRDefault="008434CC" w:rsidP="00973AF5">
      <w:r>
        <w:t>Various other aspects of the health system will be supported and maintained through the Project, including the NTP health work force (orientation and training), continued supervision and support through the position of a NTP Coordinator, supervisory outreach visits, and strengthening information management systems.</w:t>
      </w:r>
    </w:p>
    <w:p w:rsidR="008434CC" w:rsidRPr="000D461B" w:rsidRDefault="008434CC" w:rsidP="0094462A">
      <w:r w:rsidRPr="000D461B">
        <w:t>Capacity building and training</w:t>
      </w:r>
      <w:r>
        <w:t xml:space="preserve"> will be maintained in Phase 1 and 2 as the program</w:t>
      </w:r>
      <w:r w:rsidRPr="000D461B">
        <w:t xml:space="preserve"> must maintain a minimum level of competency and proficiency of </w:t>
      </w:r>
      <w:r>
        <w:t>among its</w:t>
      </w:r>
      <w:r w:rsidRPr="000D461B">
        <w:t xml:space="preserve"> staff to </w:t>
      </w:r>
      <w:r>
        <w:t xml:space="preserve">remain </w:t>
      </w:r>
      <w:r w:rsidRPr="000D461B">
        <w:t>effective.</w:t>
      </w:r>
    </w:p>
    <w:p w:rsidR="008434CC" w:rsidRDefault="008434CC" w:rsidP="00973AF5">
      <w:r w:rsidRPr="00DB1DA2">
        <w:t>Currently</w:t>
      </w:r>
      <w:r>
        <w:t xml:space="preserve">, all NTP staff plus the TB </w:t>
      </w:r>
      <w:r w:rsidRPr="00DB1DA2">
        <w:t xml:space="preserve">laboratory staff and </w:t>
      </w:r>
      <w:r>
        <w:t>a P</w:t>
      </w:r>
      <w:r w:rsidRPr="00DB1DA2">
        <w:t xml:space="preserve">harmacy </w:t>
      </w:r>
      <w:r>
        <w:t xml:space="preserve">representative attend </w:t>
      </w:r>
      <w:r w:rsidRPr="00DB1DA2">
        <w:t xml:space="preserve">fortnightly meetings </w:t>
      </w:r>
      <w:r>
        <w:t xml:space="preserve">to review and discuss the progress of the </w:t>
      </w:r>
      <w:r w:rsidRPr="00DB1DA2">
        <w:t>NTP</w:t>
      </w:r>
      <w:r>
        <w:t xml:space="preserve">; </w:t>
      </w:r>
      <w:r w:rsidRPr="00DB1DA2">
        <w:t xml:space="preserve">this must continue into the </w:t>
      </w:r>
      <w:r>
        <w:t xml:space="preserve">new </w:t>
      </w:r>
      <w:r w:rsidRPr="00DD1E92">
        <w:t>Project</w:t>
      </w:r>
      <w:r>
        <w:t xml:space="preserve">.  </w:t>
      </w:r>
    </w:p>
    <w:p w:rsidR="008434CC" w:rsidRDefault="008434CC" w:rsidP="00973AF5">
      <w:r w:rsidRPr="005B499C">
        <w:t xml:space="preserve">Implementation-focused and results-based monitoring and evaluation must be key components of the Project in order to keep track of implementation and to ensure that the intended outcomes and impacts are being achieved. </w:t>
      </w:r>
      <w:r>
        <w:t xml:space="preserve"> </w:t>
      </w:r>
      <w:r w:rsidRPr="005B499C">
        <w:t xml:space="preserve">For a long time, the Kiribati NTP has been documenting treatment outcomes for all types of TB. </w:t>
      </w:r>
      <w:r>
        <w:t xml:space="preserve"> A</w:t>
      </w:r>
      <w:r w:rsidRPr="005B499C">
        <w:t xml:space="preserve">s part of documenting treatment outcomes, </w:t>
      </w:r>
      <w:r>
        <w:t xml:space="preserve">SPC and WHO will support </w:t>
      </w:r>
      <w:r w:rsidRPr="005B499C">
        <w:t xml:space="preserve">the NTP </w:t>
      </w:r>
      <w:r>
        <w:t xml:space="preserve">to </w:t>
      </w:r>
      <w:r w:rsidRPr="005B499C">
        <w:t xml:space="preserve">also monitor </w:t>
      </w:r>
      <w:r>
        <w:t xml:space="preserve">and document </w:t>
      </w:r>
      <w:r w:rsidRPr="005B499C">
        <w:t>relevant co morbid conditions to ensure they are treated</w:t>
      </w:r>
      <w:r>
        <w:t>,</w:t>
      </w:r>
      <w:r w:rsidRPr="005B499C">
        <w:t xml:space="preserve"> in order to minimise adverse impacts on the outcome of treatment.  </w:t>
      </w:r>
    </w:p>
    <w:p w:rsidR="008434CC" w:rsidRDefault="008434CC" w:rsidP="00973AF5">
      <w:r>
        <w:t>In addition, an annual program review is proposed at which the achievements, performance and challenges of the previous year are discussed and directions set for the coming year.</w:t>
      </w:r>
    </w:p>
    <w:p w:rsidR="008434CC" w:rsidRDefault="008434CC" w:rsidP="00973AF5">
      <w:r>
        <w:t>In summary, the principal areas of activity supported through this Project Objective will include:</w:t>
      </w:r>
    </w:p>
    <w:p w:rsidR="008434CC" w:rsidRDefault="008434CC" w:rsidP="00821639">
      <w:pPr>
        <w:pStyle w:val="ListParagraph"/>
        <w:numPr>
          <w:ilvl w:val="0"/>
          <w:numId w:val="38"/>
        </w:numPr>
        <w:ind w:left="714" w:hanging="357"/>
        <w:contextualSpacing w:val="0"/>
      </w:pPr>
      <w:r>
        <w:t xml:space="preserve">Training for Pharmacy staff on drug supply management, to </w:t>
      </w:r>
      <w:r>
        <w:rPr>
          <w:bCs/>
        </w:rPr>
        <w:t>ensure a c</w:t>
      </w:r>
      <w:r w:rsidRPr="00DB1DA2">
        <w:rPr>
          <w:bCs/>
        </w:rPr>
        <w:t xml:space="preserve">ontinuous supply </w:t>
      </w:r>
      <w:r>
        <w:rPr>
          <w:bCs/>
        </w:rPr>
        <w:t xml:space="preserve">of </w:t>
      </w:r>
      <w:r w:rsidRPr="00DB1DA2">
        <w:rPr>
          <w:bCs/>
        </w:rPr>
        <w:t>all</w:t>
      </w:r>
      <w:r>
        <w:rPr>
          <w:bCs/>
        </w:rPr>
        <w:t xml:space="preserve"> first line and alternative first line </w:t>
      </w:r>
      <w:r w:rsidRPr="00DB1DA2">
        <w:rPr>
          <w:bCs/>
        </w:rPr>
        <w:t xml:space="preserve">TB </w:t>
      </w:r>
      <w:r>
        <w:rPr>
          <w:bCs/>
        </w:rPr>
        <w:t xml:space="preserve">drug formulations, </w:t>
      </w:r>
      <w:r w:rsidRPr="00DB1DA2">
        <w:rPr>
          <w:bCs/>
        </w:rPr>
        <w:t>including paediatric formulations</w:t>
      </w:r>
    </w:p>
    <w:p w:rsidR="008434CC" w:rsidRDefault="008434CC" w:rsidP="00821639">
      <w:pPr>
        <w:pStyle w:val="ListParagraph"/>
        <w:numPr>
          <w:ilvl w:val="0"/>
          <w:numId w:val="38"/>
        </w:numPr>
        <w:ind w:left="714" w:hanging="357"/>
        <w:contextualSpacing w:val="0"/>
      </w:pPr>
      <w:r>
        <w:t>Access to second line TB treatment through the GLC</w:t>
      </w:r>
    </w:p>
    <w:p w:rsidR="008434CC" w:rsidRDefault="008434CC" w:rsidP="00821639">
      <w:pPr>
        <w:pStyle w:val="ListParagraph"/>
        <w:numPr>
          <w:ilvl w:val="0"/>
          <w:numId w:val="38"/>
        </w:numPr>
        <w:ind w:left="714" w:hanging="357"/>
        <w:contextualSpacing w:val="0"/>
      </w:pPr>
      <w:r>
        <w:t>Salary support for the NTP Coordinator position, and for the Watchman and Cleaner at the TBCC</w:t>
      </w:r>
    </w:p>
    <w:p w:rsidR="008434CC" w:rsidRPr="00821639" w:rsidRDefault="008434CC" w:rsidP="00821639">
      <w:pPr>
        <w:pStyle w:val="ListParagraph"/>
        <w:numPr>
          <w:ilvl w:val="0"/>
          <w:numId w:val="38"/>
        </w:numPr>
        <w:ind w:left="714" w:hanging="357"/>
        <w:contextualSpacing w:val="0"/>
      </w:pPr>
      <w:r>
        <w:rPr>
          <w:bCs/>
        </w:rPr>
        <w:lastRenderedPageBreak/>
        <w:t>Annual refresher t</w:t>
      </w:r>
      <w:r w:rsidRPr="00DB1DA2">
        <w:rPr>
          <w:bCs/>
        </w:rPr>
        <w:t xml:space="preserve">raining to all </w:t>
      </w:r>
      <w:r>
        <w:rPr>
          <w:bCs/>
        </w:rPr>
        <w:t>health</w:t>
      </w:r>
      <w:r w:rsidRPr="00DB1DA2">
        <w:rPr>
          <w:bCs/>
        </w:rPr>
        <w:t xml:space="preserve"> care workers involved in TB control </w:t>
      </w:r>
    </w:p>
    <w:p w:rsidR="008434CC" w:rsidRDefault="008434CC" w:rsidP="00821639">
      <w:pPr>
        <w:pStyle w:val="ListParagraph"/>
        <w:numPr>
          <w:ilvl w:val="0"/>
          <w:numId w:val="38"/>
        </w:numPr>
        <w:ind w:left="714" w:hanging="357"/>
        <w:contextualSpacing w:val="0"/>
      </w:pPr>
      <w:r>
        <w:t>Continued support for fortnightly NTP coordination meetings</w:t>
      </w:r>
    </w:p>
    <w:p w:rsidR="008434CC" w:rsidRDefault="008434CC" w:rsidP="00821639">
      <w:pPr>
        <w:pStyle w:val="ListParagraph"/>
        <w:numPr>
          <w:ilvl w:val="0"/>
          <w:numId w:val="38"/>
        </w:numPr>
        <w:ind w:left="714" w:hanging="357"/>
        <w:contextualSpacing w:val="0"/>
      </w:pPr>
      <w:r>
        <w:t>Support for supervisory outreach by the NTP to outer islands</w:t>
      </w:r>
    </w:p>
    <w:p w:rsidR="008434CC" w:rsidRDefault="008434CC" w:rsidP="00821639">
      <w:pPr>
        <w:pStyle w:val="ListParagraph"/>
        <w:numPr>
          <w:ilvl w:val="0"/>
          <w:numId w:val="38"/>
        </w:numPr>
        <w:ind w:left="714" w:hanging="357"/>
        <w:contextualSpacing w:val="0"/>
      </w:pPr>
      <w:r>
        <w:t>Technical and logistic support for NTP information and monitoring systems</w:t>
      </w:r>
    </w:p>
    <w:p w:rsidR="008434CC" w:rsidRDefault="008434CC" w:rsidP="00821639">
      <w:pPr>
        <w:pStyle w:val="ListParagraph"/>
        <w:numPr>
          <w:ilvl w:val="0"/>
          <w:numId w:val="38"/>
        </w:numPr>
        <w:ind w:left="714" w:hanging="357"/>
        <w:contextualSpacing w:val="0"/>
      </w:pPr>
      <w:r>
        <w:t>Support for an annual program review meeting for NTP staff and selected MHMS representatives, with opportunities for staff from selected South Tarawa communities and outer island ‘hot spots’ to also attend</w:t>
      </w:r>
    </w:p>
    <w:p w:rsidR="008434CC" w:rsidRDefault="008434CC" w:rsidP="00821639">
      <w:pPr>
        <w:pStyle w:val="ListParagraph"/>
        <w:numPr>
          <w:ilvl w:val="0"/>
          <w:numId w:val="38"/>
        </w:numPr>
        <w:contextualSpacing w:val="0"/>
      </w:pPr>
      <w:r>
        <w:t>Some support for m</w:t>
      </w:r>
      <w:r w:rsidRPr="008D43D6">
        <w:t>aintaining infrastructure</w:t>
      </w:r>
      <w:r>
        <w:t xml:space="preserve"> (</w:t>
      </w:r>
      <w:r w:rsidRPr="008D43D6">
        <w:t xml:space="preserve">i.e. </w:t>
      </w:r>
      <w:r>
        <w:t xml:space="preserve">the </w:t>
      </w:r>
      <w:r w:rsidRPr="008D43D6">
        <w:t>TB</w:t>
      </w:r>
      <w:r>
        <w:t>CC</w:t>
      </w:r>
      <w:r w:rsidRPr="008D43D6">
        <w:t xml:space="preserve">, </w:t>
      </w:r>
      <w:r>
        <w:t xml:space="preserve">the </w:t>
      </w:r>
      <w:r w:rsidRPr="008D43D6">
        <w:t>Maungan DOT</w:t>
      </w:r>
      <w:r>
        <w:t xml:space="preserve">S </w:t>
      </w:r>
      <w:r w:rsidRPr="00821639">
        <w:rPr>
          <w:i/>
        </w:rPr>
        <w:t>maneaba</w:t>
      </w:r>
      <w:r w:rsidRPr="008D43D6">
        <w:t xml:space="preserve"> </w:t>
      </w:r>
      <w:r>
        <w:t xml:space="preserve">in </w:t>
      </w:r>
      <w:r w:rsidRPr="008D43D6">
        <w:t xml:space="preserve">Tarawa, </w:t>
      </w:r>
      <w:r>
        <w:t xml:space="preserve">the </w:t>
      </w:r>
      <w:r w:rsidRPr="008D43D6">
        <w:t>DOT</w:t>
      </w:r>
      <w:r>
        <w:t>S</w:t>
      </w:r>
      <w:r w:rsidRPr="008D43D6">
        <w:t xml:space="preserve"> </w:t>
      </w:r>
      <w:r w:rsidRPr="00821639">
        <w:rPr>
          <w:i/>
        </w:rPr>
        <w:t>bwuia</w:t>
      </w:r>
      <w:r w:rsidRPr="008D43D6">
        <w:t xml:space="preserve"> </w:t>
      </w:r>
      <w:r>
        <w:t xml:space="preserve">on </w:t>
      </w:r>
      <w:r w:rsidRPr="008D43D6">
        <w:t>Kiritimati)</w:t>
      </w:r>
    </w:p>
    <w:p w:rsidR="008434CC" w:rsidRDefault="008434CC" w:rsidP="00054FB8">
      <w:pPr>
        <w:pStyle w:val="Heading3"/>
      </w:pPr>
      <w:bookmarkStart w:id="59" w:name="_Toc331686118"/>
      <w:r>
        <w:t>6.2.5 Project Objective 5 – Operational Research</w:t>
      </w:r>
      <w:bookmarkEnd w:id="59"/>
    </w:p>
    <w:p w:rsidR="008434CC" w:rsidRDefault="008434CC" w:rsidP="00F978F5">
      <w:r>
        <w:t xml:space="preserve">Just over 1% of the Project budget has been reserved for operational research.  </w:t>
      </w:r>
    </w:p>
    <w:p w:rsidR="008434CC" w:rsidRDefault="008434CC" w:rsidP="00F978F5">
      <w:r>
        <w:t>Activities currently proposed under this Project Objective include:</w:t>
      </w:r>
    </w:p>
    <w:p w:rsidR="008434CC" w:rsidRDefault="008434CC" w:rsidP="00821639">
      <w:pPr>
        <w:pStyle w:val="ListParagraph"/>
        <w:numPr>
          <w:ilvl w:val="0"/>
          <w:numId w:val="39"/>
        </w:numPr>
        <w:ind w:left="714" w:hanging="357"/>
        <w:contextualSpacing w:val="0"/>
      </w:pPr>
      <w:r>
        <w:t>Evaluation of the quality of DOTS currently practised by Nurse Aides on the outer islands</w:t>
      </w:r>
    </w:p>
    <w:p w:rsidR="008434CC" w:rsidRDefault="008434CC" w:rsidP="00821639">
      <w:pPr>
        <w:pStyle w:val="ListParagraph"/>
        <w:numPr>
          <w:ilvl w:val="0"/>
          <w:numId w:val="39"/>
        </w:numPr>
        <w:ind w:left="714" w:hanging="357"/>
        <w:contextualSpacing w:val="0"/>
      </w:pPr>
      <w:r>
        <w:t>Follow-up of the TB-Diabetes study conducted under QTBECP</w:t>
      </w:r>
    </w:p>
    <w:p w:rsidR="008434CC" w:rsidRDefault="008434CC" w:rsidP="00821639">
      <w:pPr>
        <w:pStyle w:val="ListParagraph"/>
        <w:numPr>
          <w:ilvl w:val="0"/>
          <w:numId w:val="39"/>
        </w:numPr>
        <w:ind w:left="714" w:hanging="357"/>
        <w:contextualSpacing w:val="0"/>
      </w:pPr>
      <w:r>
        <w:t>Evaluation of contact tracing strategies and performance</w:t>
      </w:r>
    </w:p>
    <w:p w:rsidR="008434CC" w:rsidRDefault="008434CC" w:rsidP="00821639">
      <w:pPr>
        <w:pStyle w:val="ListParagraph"/>
        <w:numPr>
          <w:ilvl w:val="0"/>
          <w:numId w:val="39"/>
        </w:numPr>
        <w:ind w:left="714" w:hanging="357"/>
        <w:contextualSpacing w:val="0"/>
      </w:pPr>
      <w:r>
        <w:t>Projection of human resources needs of the NTP, including absorption of certain roles into MHMS and/or local government</w:t>
      </w:r>
    </w:p>
    <w:p w:rsidR="008434CC" w:rsidRDefault="008434CC" w:rsidP="00821639">
      <w:pPr>
        <w:pStyle w:val="ListParagraph"/>
        <w:numPr>
          <w:ilvl w:val="0"/>
          <w:numId w:val="39"/>
        </w:numPr>
        <w:ind w:left="714" w:hanging="357"/>
        <w:contextualSpacing w:val="0"/>
      </w:pPr>
      <w:r>
        <w:t>Analysis of options for TB laboratory development, and development of a TB laboratory strategy to guide further expansion of laboratory capacity (to include molecular diagnosis or DST)</w:t>
      </w:r>
    </w:p>
    <w:p w:rsidR="008434CC" w:rsidRPr="007B419A" w:rsidRDefault="008434CC" w:rsidP="0093623D">
      <w:pPr>
        <w:spacing w:before="180"/>
        <w:rPr>
          <w:color w:val="000000"/>
        </w:rPr>
      </w:pPr>
      <w:r w:rsidRPr="007B419A">
        <w:rPr>
          <w:color w:val="000000"/>
        </w:rPr>
        <w:t xml:space="preserve">Each year, the annual program review will update the menu of operational research and aspects of the NTP that need additional data or analysis to enhance their performance.  Examples include analysing the reasons for the current wide gap between incidence of smear negative cases and smear positive cases, and exploring the evidence for and against a high level of case finding.  This may also entail examining whether smear microscopy is working as well as reported by critically reviewing EQAS processes.  </w:t>
      </w:r>
    </w:p>
    <w:p w:rsidR="008434CC" w:rsidRDefault="008434CC" w:rsidP="00821639">
      <w:r>
        <w:t xml:space="preserve">Where relevant, </w:t>
      </w:r>
      <w:r w:rsidRPr="00D55800">
        <w:t>surveys</w:t>
      </w:r>
      <w:r>
        <w:t xml:space="preserve"> and other operational research projects</w:t>
      </w:r>
      <w:r w:rsidRPr="00D55800">
        <w:t xml:space="preserve"> </w:t>
      </w:r>
      <w:r>
        <w:t xml:space="preserve">will </w:t>
      </w:r>
      <w:r w:rsidRPr="00D55800">
        <w:t>disaggregate the</w:t>
      </w:r>
      <w:r>
        <w:t>ir</w:t>
      </w:r>
      <w:r w:rsidRPr="00D55800">
        <w:t xml:space="preserve"> data in various ways (e.g. gender</w:t>
      </w:r>
      <w:r>
        <w:t>,</w:t>
      </w:r>
      <w:r w:rsidRPr="00D55800">
        <w:t xml:space="preserve"> age groups, place of residence or work, and occupational or other risk factor</w:t>
      </w:r>
      <w:r>
        <w:t>)</w:t>
      </w:r>
      <w:r w:rsidRPr="00D55800">
        <w:t xml:space="preserve"> </w:t>
      </w:r>
      <w:r>
        <w:t>to inform program development and targeting of interventions.</w:t>
      </w:r>
      <w:r w:rsidRPr="00D55800">
        <w:t xml:space="preserve"> </w:t>
      </w:r>
    </w:p>
    <w:p w:rsidR="008434CC" w:rsidRPr="00BA7F3D" w:rsidRDefault="008434CC" w:rsidP="00BA0E53">
      <w:pPr>
        <w:pStyle w:val="Heading2"/>
      </w:pPr>
      <w:bookmarkStart w:id="60" w:name="_Toc331686119"/>
      <w:r>
        <w:t>6.3 Active Case Finding Strategy – Geographic Focus</w:t>
      </w:r>
      <w:bookmarkEnd w:id="60"/>
    </w:p>
    <w:p w:rsidR="008434CC" w:rsidRDefault="008434CC" w:rsidP="0093623D">
      <w:r>
        <w:t xml:space="preserve">In its </w:t>
      </w:r>
      <w:r w:rsidRPr="008B2794">
        <w:rPr>
          <w:i/>
        </w:rPr>
        <w:t>Global tuberculosis control</w:t>
      </w:r>
      <w:r w:rsidRPr="008B2794">
        <w:t xml:space="preserve"> report </w:t>
      </w:r>
      <w:r>
        <w:t>(</w:t>
      </w:r>
      <w:r w:rsidRPr="008B2794">
        <w:t>2011</w:t>
      </w:r>
      <w:r>
        <w:t xml:space="preserve">), </w:t>
      </w:r>
      <w:r w:rsidRPr="00DB1DA2">
        <w:t xml:space="preserve">WHO reported </w:t>
      </w:r>
      <w:r>
        <w:t xml:space="preserve">sub-optimal </w:t>
      </w:r>
      <w:r w:rsidRPr="00DB1DA2">
        <w:t xml:space="preserve">case detection </w:t>
      </w:r>
      <w:r>
        <w:t xml:space="preserve">rates </w:t>
      </w:r>
      <w:r w:rsidRPr="00DB1DA2">
        <w:t>in Kiribati between 200</w:t>
      </w:r>
      <w:r>
        <w:t>5</w:t>
      </w:r>
      <w:r w:rsidRPr="00DB1DA2">
        <w:t xml:space="preserve"> and 20</w:t>
      </w:r>
      <w:r>
        <w:t>10.</w:t>
      </w:r>
      <w:r w:rsidRPr="00DB1DA2">
        <w:t xml:space="preserve"> </w:t>
      </w:r>
      <w:r>
        <w:t xml:space="preserve"> This </w:t>
      </w:r>
      <w:r w:rsidRPr="00DB1DA2">
        <w:t xml:space="preserve">is </w:t>
      </w:r>
      <w:r>
        <w:t xml:space="preserve">probably </w:t>
      </w:r>
      <w:r w:rsidRPr="00DB1DA2">
        <w:t xml:space="preserve">due to </w:t>
      </w:r>
      <w:r>
        <w:t>a number of factors, including</w:t>
      </w:r>
      <w:r w:rsidRPr="00DB1DA2">
        <w:t xml:space="preserve"> limited access to </w:t>
      </w:r>
      <w:r>
        <w:t xml:space="preserve">community level case-finding and </w:t>
      </w:r>
      <w:r w:rsidRPr="00DB1DA2">
        <w:t xml:space="preserve">TB </w:t>
      </w:r>
      <w:r>
        <w:t xml:space="preserve">diagnostic </w:t>
      </w:r>
      <w:r w:rsidRPr="00DB1DA2">
        <w:t>service</w:t>
      </w:r>
      <w:r>
        <w:t>s</w:t>
      </w:r>
      <w:r w:rsidRPr="00DB1DA2">
        <w:t xml:space="preserve">. </w:t>
      </w:r>
      <w:r>
        <w:t xml:space="preserve"> </w:t>
      </w:r>
      <w:r w:rsidRPr="008B2794">
        <w:t>Support for</w:t>
      </w:r>
      <w:r>
        <w:rPr>
          <w:b/>
          <w:i/>
        </w:rPr>
        <w:t xml:space="preserve"> </w:t>
      </w:r>
      <w:r w:rsidRPr="009D10E6">
        <w:t>active case finding</w:t>
      </w:r>
      <w:r w:rsidRPr="00DB1DA2">
        <w:t xml:space="preserve"> </w:t>
      </w:r>
      <w:r>
        <w:t>will therefore be</w:t>
      </w:r>
      <w:r w:rsidRPr="00DB1DA2">
        <w:t xml:space="preserve"> a major </w:t>
      </w:r>
      <w:r>
        <w:t>strategic emphasis</w:t>
      </w:r>
      <w:r w:rsidRPr="00DB1DA2">
        <w:t xml:space="preserve"> of the proposed Project (</w:t>
      </w:r>
      <w:r>
        <w:t xml:space="preserve">through Project Objective 1), in support of NTP </w:t>
      </w:r>
      <w:r w:rsidRPr="000F5BEE">
        <w:rPr>
          <w:i/>
        </w:rPr>
        <w:t>Strategic Plan</w:t>
      </w:r>
      <w:r>
        <w:t xml:space="preserve"> Objective 4</w:t>
      </w:r>
      <w:r w:rsidRPr="00DB1DA2">
        <w:t xml:space="preserve">. </w:t>
      </w:r>
      <w:r>
        <w:t xml:space="preserve"> </w:t>
      </w:r>
    </w:p>
    <w:p w:rsidR="008434CC" w:rsidRPr="00DB1DA2" w:rsidRDefault="008434CC" w:rsidP="0093623D">
      <w:r w:rsidRPr="00F53FB8">
        <w:lastRenderedPageBreak/>
        <w:t xml:space="preserve">An active case finding strategy will be developed </w:t>
      </w:r>
      <w:r>
        <w:t xml:space="preserve">prior to the formal commencement of Phase 1 of </w:t>
      </w:r>
      <w:r w:rsidRPr="003A3CFB">
        <w:t xml:space="preserve">the Project.  This will then be expanded prudently nationwide and intensified, particularly in high risk </w:t>
      </w:r>
      <w:r w:rsidRPr="00DB1DA2">
        <w:t xml:space="preserve">and socio-economically disadvantaged areas. </w:t>
      </w:r>
      <w:r>
        <w:t xml:space="preserve"> </w:t>
      </w:r>
      <w:r w:rsidRPr="00DB1DA2">
        <w:t>Expansion of active case finding</w:t>
      </w:r>
      <w:r>
        <w:t>,</w:t>
      </w:r>
      <w:r w:rsidRPr="00DB1DA2">
        <w:t xml:space="preserve"> combined with TB awareness messages and provision of </w:t>
      </w:r>
      <w:r>
        <w:t xml:space="preserve">free and accessible </w:t>
      </w:r>
      <w:r w:rsidRPr="00DB1DA2">
        <w:t>TB services</w:t>
      </w:r>
      <w:r>
        <w:t>,</w:t>
      </w:r>
      <w:r w:rsidRPr="00DB1DA2">
        <w:t xml:space="preserve"> </w:t>
      </w:r>
      <w:r>
        <w:t>may be expected to</w:t>
      </w:r>
      <w:r w:rsidRPr="00DB1DA2">
        <w:t xml:space="preserve"> improve </w:t>
      </w:r>
      <w:r>
        <w:t xml:space="preserve">engagement with </w:t>
      </w:r>
      <w:r w:rsidRPr="00DB1DA2">
        <w:t xml:space="preserve">TB services </w:t>
      </w:r>
      <w:r>
        <w:t xml:space="preserve">among </w:t>
      </w:r>
      <w:r w:rsidRPr="00DB1DA2">
        <w:t xml:space="preserve">these communities. </w:t>
      </w:r>
    </w:p>
    <w:p w:rsidR="008434CC" w:rsidRPr="00DB1DA2" w:rsidRDefault="008434CC" w:rsidP="00BA0E53">
      <w:pPr>
        <w:spacing w:before="180"/>
      </w:pPr>
      <w:r w:rsidRPr="00DB1DA2">
        <w:t xml:space="preserve">On </w:t>
      </w:r>
      <w:r w:rsidRPr="00173597">
        <w:rPr>
          <w:b/>
        </w:rPr>
        <w:t>South Tarawa</w:t>
      </w:r>
      <w:r>
        <w:t>,</w:t>
      </w:r>
      <w:r w:rsidRPr="00DB1DA2">
        <w:t xml:space="preserve"> where close to 80% of </w:t>
      </w:r>
      <w:r>
        <w:t xml:space="preserve">current </w:t>
      </w:r>
      <w:r w:rsidRPr="00DB1DA2">
        <w:t>TB cases</w:t>
      </w:r>
      <w:r>
        <w:t xml:space="preserve"> reside</w:t>
      </w:r>
      <w:r w:rsidRPr="00DB1DA2">
        <w:t>, active case finding will be expanded th</w:t>
      </w:r>
      <w:r>
        <w:t>r</w:t>
      </w:r>
      <w:r w:rsidRPr="00DB1DA2">
        <w:t>ough</w:t>
      </w:r>
      <w:r>
        <w:t xml:space="preserve"> a range of activities</w:t>
      </w:r>
      <w:r w:rsidRPr="00DB1DA2">
        <w:t xml:space="preserve">: </w:t>
      </w:r>
    </w:p>
    <w:p w:rsidR="008434CC" w:rsidRPr="00DB1DA2" w:rsidRDefault="008434CC" w:rsidP="00B916EC">
      <w:pPr>
        <w:pStyle w:val="ListParagraph"/>
        <w:numPr>
          <w:ilvl w:val="0"/>
          <w:numId w:val="30"/>
        </w:numPr>
      </w:pPr>
      <w:r>
        <w:t xml:space="preserve">Contact Tracing Nurses </w:t>
      </w:r>
      <w:r w:rsidRPr="00DB1DA2">
        <w:t xml:space="preserve">will </w:t>
      </w:r>
      <w:r>
        <w:t>conduct contact tracing in households of infectious TB cases;</w:t>
      </w:r>
    </w:p>
    <w:p w:rsidR="008434CC" w:rsidRPr="00DB1DA2" w:rsidRDefault="008434CC" w:rsidP="00B916EC">
      <w:pPr>
        <w:pStyle w:val="ListParagraph"/>
        <w:numPr>
          <w:ilvl w:val="0"/>
          <w:numId w:val="30"/>
        </w:numPr>
      </w:pPr>
      <w:r>
        <w:t>Community DOTS Workers will be educated to recognise and screen TB suspects in household contacts of TB cases (</w:t>
      </w:r>
      <w:r w:rsidRPr="00DB1DA2">
        <w:t xml:space="preserve">except </w:t>
      </w:r>
      <w:r>
        <w:t xml:space="preserve">in </w:t>
      </w:r>
      <w:r w:rsidRPr="00DB1DA2">
        <w:t xml:space="preserve">the </w:t>
      </w:r>
      <w:r>
        <w:t xml:space="preserve">households of </w:t>
      </w:r>
      <w:r w:rsidRPr="00DB1DA2">
        <w:t xml:space="preserve">sputum smear positive </w:t>
      </w:r>
      <w:r>
        <w:t xml:space="preserve">pulmonary TB cases, </w:t>
      </w:r>
      <w:r w:rsidRPr="00DB1DA2">
        <w:t xml:space="preserve">who </w:t>
      </w:r>
      <w:r>
        <w:t>will be</w:t>
      </w:r>
      <w:r w:rsidRPr="00DB1DA2">
        <w:t xml:space="preserve"> covered by CTNs</w:t>
      </w:r>
      <w:r>
        <w:t>);</w:t>
      </w:r>
    </w:p>
    <w:p w:rsidR="008434CC" w:rsidRPr="00DB1DA2" w:rsidRDefault="008434CC" w:rsidP="00B916EC">
      <w:pPr>
        <w:pStyle w:val="ListParagraph"/>
        <w:numPr>
          <w:ilvl w:val="0"/>
          <w:numId w:val="30"/>
        </w:numPr>
      </w:pPr>
      <w:r w:rsidRPr="00DB1DA2">
        <w:t>P</w:t>
      </w:r>
      <w:r>
        <w:t xml:space="preserve">ublic </w:t>
      </w:r>
      <w:r w:rsidRPr="00DB1DA2">
        <w:t>H</w:t>
      </w:r>
      <w:r>
        <w:t xml:space="preserve">ealth Nurses </w:t>
      </w:r>
      <w:r w:rsidRPr="002F2292">
        <w:t xml:space="preserve"> </w:t>
      </w:r>
      <w:r>
        <w:t xml:space="preserve">will </w:t>
      </w:r>
      <w:r w:rsidRPr="00DB1DA2">
        <w:t xml:space="preserve">be trained to </w:t>
      </w:r>
      <w:r>
        <w:t xml:space="preserve">recognise and </w:t>
      </w:r>
      <w:r w:rsidRPr="00DB1DA2">
        <w:t xml:space="preserve">screen TB suspects and collect sputum specimens from symptomatic TB suspects during </w:t>
      </w:r>
      <w:r>
        <w:t>t</w:t>
      </w:r>
      <w:r w:rsidRPr="00DB1DA2">
        <w:t>he</w:t>
      </w:r>
      <w:r>
        <w:t>i</w:t>
      </w:r>
      <w:r w:rsidRPr="00DB1DA2">
        <w:t xml:space="preserve">r home visits </w:t>
      </w:r>
      <w:r>
        <w:t>in</w:t>
      </w:r>
      <w:r w:rsidRPr="00DB1DA2">
        <w:t xml:space="preserve"> the general community</w:t>
      </w:r>
      <w:r>
        <w:t>;</w:t>
      </w:r>
    </w:p>
    <w:p w:rsidR="008434CC" w:rsidRPr="00DB1DA2" w:rsidRDefault="008434CC" w:rsidP="00D74E3F">
      <w:pPr>
        <w:pStyle w:val="ListParagraph"/>
        <w:widowControl w:val="0"/>
        <w:numPr>
          <w:ilvl w:val="0"/>
          <w:numId w:val="30"/>
        </w:numPr>
        <w:ind w:left="714" w:hanging="357"/>
      </w:pPr>
      <w:r>
        <w:t xml:space="preserve">TB Community Nurses (TBCNs) </w:t>
      </w:r>
      <w:r w:rsidRPr="00DB1DA2">
        <w:t>will conduct active case finding in high risk population groups</w:t>
      </w:r>
      <w:r>
        <w:t>, including</w:t>
      </w:r>
      <w:r w:rsidRPr="00DB1DA2">
        <w:t xml:space="preserve"> in the </w:t>
      </w:r>
      <w:r>
        <w:t>four identified and 8 emerging S</w:t>
      </w:r>
      <w:r w:rsidRPr="00DB1DA2">
        <w:t>outh Tarawa</w:t>
      </w:r>
      <w:r>
        <w:t xml:space="preserve"> ‘h</w:t>
      </w:r>
      <w:r w:rsidRPr="00DB1DA2">
        <w:t>ot spot</w:t>
      </w:r>
      <w:r>
        <w:t>s’;</w:t>
      </w:r>
    </w:p>
    <w:p w:rsidR="008434CC" w:rsidRPr="00DB1DA2" w:rsidRDefault="008434CC" w:rsidP="00B916EC">
      <w:pPr>
        <w:pStyle w:val="ListParagraph"/>
        <w:numPr>
          <w:ilvl w:val="0"/>
          <w:numId w:val="30"/>
        </w:numPr>
      </w:pPr>
      <w:r>
        <w:t>NGOs (e.g.</w:t>
      </w:r>
      <w:r w:rsidRPr="008909CF">
        <w:t xml:space="preserve"> </w:t>
      </w:r>
      <w:r>
        <w:t>the</w:t>
      </w:r>
      <w:r w:rsidRPr="00DB1DA2">
        <w:t xml:space="preserve"> </w:t>
      </w:r>
      <w:r>
        <w:t xml:space="preserve">Kiribati </w:t>
      </w:r>
      <w:r w:rsidRPr="00DB1DA2">
        <w:t>Red Cross</w:t>
      </w:r>
      <w:r>
        <w:t>) will</w:t>
      </w:r>
      <w:r w:rsidRPr="00DB1DA2">
        <w:t xml:space="preserve"> </w:t>
      </w:r>
      <w:r>
        <w:t xml:space="preserve">be recruited on a short term basis (one or two weeks) during national annual festivals and events, such as soccer tournaments and other sporting events, to educate people about TB; </w:t>
      </w:r>
    </w:p>
    <w:p w:rsidR="008434CC" w:rsidRDefault="008434CC" w:rsidP="00B916EC">
      <w:pPr>
        <w:pStyle w:val="ListParagraph"/>
        <w:numPr>
          <w:ilvl w:val="0"/>
          <w:numId w:val="30"/>
        </w:numPr>
      </w:pPr>
      <w:r>
        <w:t xml:space="preserve">Depending on the availability of resources, contact tracing in work places and schools could occur when there is a reported cluster or new focus of TB infection, or possibly during other health-focused activities. </w:t>
      </w:r>
    </w:p>
    <w:p w:rsidR="008434CC" w:rsidRPr="00DB1DA2" w:rsidRDefault="008434CC" w:rsidP="00BA0E53">
      <w:r w:rsidRPr="00DB1DA2">
        <w:t xml:space="preserve">Active case finding will </w:t>
      </w:r>
      <w:r>
        <w:t xml:space="preserve">also </w:t>
      </w:r>
      <w:r w:rsidRPr="00DB1DA2">
        <w:t xml:space="preserve">be expanded to the </w:t>
      </w:r>
      <w:r w:rsidRPr="00173597">
        <w:rPr>
          <w:b/>
        </w:rPr>
        <w:t>outer islands</w:t>
      </w:r>
      <w:r w:rsidRPr="00DB1DA2">
        <w:t xml:space="preserve"> through</w:t>
      </w:r>
      <w:r>
        <w:t xml:space="preserve"> a range of activities, which will focus initially on the four identified and three emerging ‘hot spot’ islands</w:t>
      </w:r>
      <w:r w:rsidRPr="00DB1DA2">
        <w:t>:</w:t>
      </w:r>
    </w:p>
    <w:p w:rsidR="008434CC" w:rsidRDefault="008434CC" w:rsidP="00B916EC">
      <w:pPr>
        <w:pStyle w:val="ListParagraph"/>
        <w:numPr>
          <w:ilvl w:val="0"/>
          <w:numId w:val="29"/>
        </w:numPr>
      </w:pPr>
      <w:r>
        <w:t xml:space="preserve">CTNs will </w:t>
      </w:r>
      <w:r w:rsidRPr="00DB1DA2">
        <w:t xml:space="preserve">conduct TB </w:t>
      </w:r>
      <w:r>
        <w:t xml:space="preserve">contact tracing </w:t>
      </w:r>
      <w:r w:rsidRPr="00DB1DA2">
        <w:t xml:space="preserve">in households of infectious TB cases </w:t>
      </w:r>
    </w:p>
    <w:p w:rsidR="008434CC" w:rsidRPr="0045787D" w:rsidRDefault="008434CC" w:rsidP="00B916EC">
      <w:pPr>
        <w:pStyle w:val="ListParagraph"/>
        <w:numPr>
          <w:ilvl w:val="0"/>
          <w:numId w:val="29"/>
        </w:numPr>
      </w:pPr>
      <w:r w:rsidRPr="0045787D">
        <w:t>N</w:t>
      </w:r>
      <w:r>
        <w:t xml:space="preserve">urse </w:t>
      </w:r>
      <w:r w:rsidRPr="0045787D">
        <w:t>A</w:t>
      </w:r>
      <w:r>
        <w:t>ide</w:t>
      </w:r>
      <w:r w:rsidRPr="0045787D">
        <w:t xml:space="preserve">s will be trained to recognise and screen TB suspects in the households of TB cases they </w:t>
      </w:r>
      <w:r>
        <w:t xml:space="preserve">are </w:t>
      </w:r>
      <w:r w:rsidRPr="0045787D">
        <w:t>supervis</w:t>
      </w:r>
      <w:r>
        <w:t>ing</w:t>
      </w:r>
      <w:r w:rsidRPr="0045787D">
        <w:t xml:space="preserve"> for treatment</w:t>
      </w:r>
      <w:r>
        <w:t>; t</w:t>
      </w:r>
      <w:r w:rsidRPr="0045787D">
        <w:t>hey will collect sputum specimens from symptomatic suspects and send them to the n</w:t>
      </w:r>
      <w:r>
        <w:t>ational TB laboratory in Tarawa</w:t>
      </w:r>
    </w:p>
    <w:p w:rsidR="008434CC" w:rsidRPr="00DB1DA2" w:rsidRDefault="008434CC" w:rsidP="00B916EC">
      <w:pPr>
        <w:pStyle w:val="ListParagraph"/>
        <w:numPr>
          <w:ilvl w:val="0"/>
          <w:numId w:val="29"/>
        </w:numPr>
      </w:pPr>
      <w:r>
        <w:t>Other community health staff</w:t>
      </w:r>
      <w:r w:rsidRPr="0045787D">
        <w:t xml:space="preserve"> </w:t>
      </w:r>
      <w:r>
        <w:t xml:space="preserve">(e.g. Medical Assistants, Midwives) </w:t>
      </w:r>
      <w:r w:rsidRPr="0045787D">
        <w:t>will also be trained to recognise and screen TB suspects and collect sp</w:t>
      </w:r>
      <w:r w:rsidRPr="00DB1DA2">
        <w:t xml:space="preserve">utum specimens from </w:t>
      </w:r>
      <w:r>
        <w:t xml:space="preserve">those who are </w:t>
      </w:r>
      <w:r w:rsidRPr="00DB1DA2">
        <w:t xml:space="preserve">symptomatic during </w:t>
      </w:r>
      <w:r>
        <w:t>t</w:t>
      </w:r>
      <w:r w:rsidRPr="00DB1DA2">
        <w:t>he</w:t>
      </w:r>
      <w:r>
        <w:t>i</w:t>
      </w:r>
      <w:r w:rsidRPr="00DB1DA2">
        <w:t xml:space="preserve">r home visits </w:t>
      </w:r>
      <w:r>
        <w:t>in</w:t>
      </w:r>
      <w:r w:rsidRPr="00DB1DA2">
        <w:t xml:space="preserve"> the general community</w:t>
      </w:r>
      <w:r>
        <w:t xml:space="preserve">. </w:t>
      </w:r>
    </w:p>
    <w:p w:rsidR="008434CC" w:rsidRDefault="008434CC" w:rsidP="0093623D">
      <w:pPr>
        <w:spacing w:before="180"/>
      </w:pPr>
      <w:r>
        <w:t>As noted above, p</w:t>
      </w:r>
      <w:r w:rsidRPr="00DB1DA2">
        <w:t xml:space="preserve">rovision of </w:t>
      </w:r>
      <w:r>
        <w:t>IPT for</w:t>
      </w:r>
      <w:r w:rsidRPr="00DB1DA2">
        <w:t xml:space="preserve"> those with </w:t>
      </w:r>
      <w:r>
        <w:t xml:space="preserve">evidence of </w:t>
      </w:r>
      <w:r w:rsidRPr="00DB1DA2">
        <w:t xml:space="preserve">TB infection </w:t>
      </w:r>
      <w:r>
        <w:t xml:space="preserve">or at-risk contacts of identified infectious cases </w:t>
      </w:r>
      <w:r w:rsidRPr="00DB1DA2">
        <w:t>will be an integral part of active case finding</w:t>
      </w:r>
      <w:r>
        <w:t xml:space="preserve">, guided by evidence-based guidelines from WHO and other authorities. </w:t>
      </w:r>
    </w:p>
    <w:p w:rsidR="008434CC" w:rsidRPr="00BA7F3D" w:rsidRDefault="008434CC" w:rsidP="00CB1C0F">
      <w:pPr>
        <w:pStyle w:val="Heading2"/>
      </w:pPr>
      <w:bookmarkStart w:id="61" w:name="_Toc331686120"/>
      <w:r>
        <w:t>6.4 Project-Funded Positions</w:t>
      </w:r>
      <w:bookmarkEnd w:id="61"/>
    </w:p>
    <w:p w:rsidR="008434CC" w:rsidRDefault="008434CC" w:rsidP="00054FB8">
      <w:pPr>
        <w:pStyle w:val="Heading3"/>
      </w:pPr>
      <w:bookmarkStart w:id="62" w:name="_Toc331686121"/>
      <w:r>
        <w:t>6.4.1 Current (under QTPECP and Global Fund)</w:t>
      </w:r>
      <w:bookmarkEnd w:id="62"/>
    </w:p>
    <w:p w:rsidR="008434CC" w:rsidRDefault="008434CC" w:rsidP="00CA5AC0">
      <w:pPr>
        <w:rPr>
          <w:rStyle w:val="Style11ptBlack"/>
          <w:rFonts w:ascii="Calibri" w:hAnsi="Calibri" w:cs="Calibri"/>
          <w:sz w:val="22"/>
        </w:rPr>
      </w:pPr>
      <w:r w:rsidRPr="00FC2B02">
        <w:rPr>
          <w:color w:val="000000"/>
        </w:rPr>
        <w:t xml:space="preserve">The total number of NTP staff is 35.  </w:t>
      </w:r>
      <w:r w:rsidRPr="00DB660D">
        <w:rPr>
          <w:rStyle w:val="Style11ptBlack"/>
          <w:rFonts w:ascii="Calibri" w:hAnsi="Calibri" w:cs="Calibri"/>
          <w:sz w:val="22"/>
        </w:rPr>
        <w:t xml:space="preserve">These positions </w:t>
      </w:r>
      <w:r>
        <w:rPr>
          <w:rStyle w:val="Style11ptBlack"/>
          <w:rFonts w:ascii="Calibri" w:hAnsi="Calibri" w:cs="Calibri"/>
          <w:sz w:val="22"/>
        </w:rPr>
        <w:t xml:space="preserve">(all of which are essential to maintaining current NTP services) </w:t>
      </w:r>
      <w:r w:rsidRPr="00DB660D">
        <w:rPr>
          <w:rStyle w:val="Style11ptBlack"/>
          <w:rFonts w:ascii="Calibri" w:hAnsi="Calibri" w:cs="Calibri"/>
          <w:sz w:val="22"/>
        </w:rPr>
        <w:t xml:space="preserve">are summarised in Table </w:t>
      </w:r>
      <w:r>
        <w:rPr>
          <w:rStyle w:val="Style11ptBlack"/>
          <w:rFonts w:ascii="Calibri" w:hAnsi="Calibri" w:cs="Calibri"/>
          <w:sz w:val="22"/>
        </w:rPr>
        <w:t>2</w:t>
      </w:r>
      <w:r w:rsidRPr="00DB660D">
        <w:rPr>
          <w:rStyle w:val="Style11ptBlack"/>
          <w:rFonts w:ascii="Calibri" w:hAnsi="Calibri" w:cs="Calibri"/>
          <w:sz w:val="22"/>
        </w:rPr>
        <w:t>.</w:t>
      </w:r>
    </w:p>
    <w:p w:rsidR="008434CC" w:rsidRPr="00DB660D" w:rsidRDefault="008434CC" w:rsidP="00DB660D">
      <w:pPr>
        <w:rPr>
          <w:rStyle w:val="Style11ptBlack"/>
          <w:rFonts w:ascii="Calibri" w:hAnsi="Calibri" w:cs="Calibri"/>
        </w:rPr>
      </w:pPr>
    </w:p>
    <w:p w:rsidR="008434CC" w:rsidRPr="00DC1B41" w:rsidRDefault="008434CC" w:rsidP="00DB660D">
      <w:pPr>
        <w:keepNext/>
        <w:autoSpaceDE w:val="0"/>
        <w:autoSpaceDN w:val="0"/>
        <w:adjustRightInd w:val="0"/>
        <w:spacing w:after="120" w:line="264" w:lineRule="auto"/>
        <w:jc w:val="center"/>
        <w:rPr>
          <w:rStyle w:val="Style11ptBlack"/>
          <w:b/>
        </w:rPr>
      </w:pPr>
      <w:r w:rsidRPr="00DC1B41">
        <w:rPr>
          <w:rStyle w:val="Style11ptBlack"/>
          <w:b/>
        </w:rPr>
        <w:lastRenderedPageBreak/>
        <w:t xml:space="preserve">Table </w:t>
      </w:r>
      <w:r>
        <w:rPr>
          <w:rStyle w:val="Style11ptBlack"/>
          <w:b/>
        </w:rPr>
        <w:t>2</w:t>
      </w:r>
      <w:r w:rsidRPr="00DC1B41">
        <w:rPr>
          <w:rStyle w:val="Style11ptBlack"/>
          <w:b/>
        </w:rPr>
        <w:t>: Staff working on the Kiribati NTP, by source of funding for position, 201</w:t>
      </w:r>
      <w:r>
        <w:rPr>
          <w:rStyle w:val="Style11ptBlack"/>
          <w:b/>
        </w:rPr>
        <w:t>2</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1275"/>
        <w:gridCol w:w="1276"/>
        <w:gridCol w:w="1276"/>
      </w:tblGrid>
      <w:tr w:rsidR="008434CC" w:rsidRPr="004672B0" w:rsidTr="00632583">
        <w:tc>
          <w:tcPr>
            <w:tcW w:w="3969" w:type="dxa"/>
          </w:tcPr>
          <w:p w:rsidR="008434CC" w:rsidRPr="004672B0" w:rsidRDefault="008434CC" w:rsidP="00632583">
            <w:pPr>
              <w:autoSpaceDE w:val="0"/>
              <w:autoSpaceDN w:val="0"/>
              <w:adjustRightInd w:val="0"/>
              <w:spacing w:before="60" w:after="60"/>
              <w:jc w:val="center"/>
              <w:rPr>
                <w:rStyle w:val="Style11ptBlack"/>
                <w:rFonts w:ascii="Calibri" w:hAnsi="Calibri" w:cs="Calibri"/>
                <w:b/>
                <w:sz w:val="22"/>
              </w:rPr>
            </w:pPr>
            <w:r w:rsidRPr="004672B0">
              <w:rPr>
                <w:rStyle w:val="Style11ptBlack"/>
                <w:rFonts w:ascii="Calibri" w:hAnsi="Calibri" w:cs="Calibri"/>
                <w:b/>
                <w:sz w:val="22"/>
              </w:rPr>
              <w:t>Category of Worker</w:t>
            </w:r>
          </w:p>
        </w:tc>
        <w:tc>
          <w:tcPr>
            <w:tcW w:w="1275" w:type="dxa"/>
          </w:tcPr>
          <w:p w:rsidR="008434CC" w:rsidRPr="004672B0" w:rsidRDefault="008434CC" w:rsidP="00632583">
            <w:pPr>
              <w:autoSpaceDE w:val="0"/>
              <w:autoSpaceDN w:val="0"/>
              <w:adjustRightInd w:val="0"/>
              <w:spacing w:before="60" w:after="60"/>
              <w:jc w:val="center"/>
              <w:rPr>
                <w:rStyle w:val="Style11ptBlack"/>
                <w:rFonts w:ascii="Calibri" w:hAnsi="Calibri" w:cs="Calibri"/>
                <w:b/>
                <w:sz w:val="22"/>
              </w:rPr>
            </w:pPr>
            <w:r w:rsidRPr="004672B0">
              <w:rPr>
                <w:rStyle w:val="Style11ptBlack"/>
                <w:rFonts w:ascii="Calibri" w:hAnsi="Calibri" w:cs="Calibri"/>
                <w:b/>
                <w:sz w:val="22"/>
              </w:rPr>
              <w:t>NTP</w:t>
            </w:r>
          </w:p>
        </w:tc>
        <w:tc>
          <w:tcPr>
            <w:tcW w:w="1276" w:type="dxa"/>
          </w:tcPr>
          <w:p w:rsidR="008434CC" w:rsidRPr="004672B0" w:rsidRDefault="008434CC" w:rsidP="00632583">
            <w:pPr>
              <w:autoSpaceDE w:val="0"/>
              <w:autoSpaceDN w:val="0"/>
              <w:adjustRightInd w:val="0"/>
              <w:spacing w:before="60" w:after="60"/>
              <w:jc w:val="center"/>
              <w:rPr>
                <w:rStyle w:val="Style11ptBlack"/>
                <w:rFonts w:ascii="Calibri" w:hAnsi="Calibri" w:cs="Calibri"/>
                <w:b/>
                <w:sz w:val="22"/>
              </w:rPr>
            </w:pPr>
            <w:r w:rsidRPr="004672B0">
              <w:rPr>
                <w:rStyle w:val="Style11ptBlack"/>
                <w:rFonts w:ascii="Calibri" w:hAnsi="Calibri" w:cs="Calibri"/>
                <w:b/>
                <w:sz w:val="22"/>
              </w:rPr>
              <w:t>QTBECP</w:t>
            </w:r>
          </w:p>
        </w:tc>
        <w:tc>
          <w:tcPr>
            <w:tcW w:w="1276" w:type="dxa"/>
          </w:tcPr>
          <w:p w:rsidR="008434CC" w:rsidRPr="004672B0" w:rsidRDefault="008434CC" w:rsidP="00632583">
            <w:pPr>
              <w:autoSpaceDE w:val="0"/>
              <w:autoSpaceDN w:val="0"/>
              <w:adjustRightInd w:val="0"/>
              <w:spacing w:before="60" w:after="60"/>
              <w:jc w:val="center"/>
              <w:rPr>
                <w:rStyle w:val="Style11ptBlack"/>
                <w:rFonts w:ascii="Calibri" w:hAnsi="Calibri" w:cs="Calibri"/>
                <w:b/>
                <w:sz w:val="22"/>
              </w:rPr>
            </w:pPr>
            <w:r w:rsidRPr="004672B0">
              <w:rPr>
                <w:rStyle w:val="Style11ptBlack"/>
                <w:rFonts w:ascii="Calibri" w:hAnsi="Calibri" w:cs="Calibri"/>
                <w:b/>
                <w:sz w:val="22"/>
              </w:rPr>
              <w:t>GF</w:t>
            </w:r>
          </w:p>
        </w:tc>
      </w:tr>
      <w:tr w:rsidR="008434CC" w:rsidRPr="004672B0" w:rsidTr="00632583">
        <w:tc>
          <w:tcPr>
            <w:tcW w:w="3969" w:type="dxa"/>
          </w:tcPr>
          <w:p w:rsidR="008434CC" w:rsidRPr="004672B0" w:rsidRDefault="008434CC" w:rsidP="005A06B7">
            <w:pPr>
              <w:autoSpaceDE w:val="0"/>
              <w:autoSpaceDN w:val="0"/>
              <w:adjustRightInd w:val="0"/>
              <w:spacing w:before="40" w:after="40"/>
              <w:rPr>
                <w:rStyle w:val="Style11ptBlack"/>
                <w:rFonts w:ascii="Calibri" w:hAnsi="Calibri" w:cs="Calibri"/>
                <w:sz w:val="22"/>
                <w:szCs w:val="20"/>
              </w:rPr>
            </w:pPr>
            <w:r w:rsidRPr="004672B0">
              <w:rPr>
                <w:rStyle w:val="Style11ptBlack"/>
                <w:rFonts w:ascii="Calibri" w:hAnsi="Calibri" w:cs="Calibri"/>
                <w:sz w:val="22"/>
                <w:szCs w:val="20"/>
              </w:rPr>
              <w:t>NTP Manager</w:t>
            </w:r>
          </w:p>
        </w:tc>
        <w:tc>
          <w:tcPr>
            <w:tcW w:w="1275"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sz w:val="22"/>
                <w:szCs w:val="20"/>
              </w:rPr>
            </w:pPr>
            <w:r w:rsidRPr="004672B0">
              <w:rPr>
                <w:rStyle w:val="Style11ptBlack"/>
                <w:rFonts w:ascii="Calibri" w:hAnsi="Calibri" w:cs="Calibri"/>
                <w:sz w:val="22"/>
                <w:szCs w:val="20"/>
              </w:rPr>
              <w:t>1</w:t>
            </w:r>
          </w:p>
        </w:tc>
        <w:tc>
          <w:tcPr>
            <w:tcW w:w="1276"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sz w:val="22"/>
                <w:szCs w:val="20"/>
              </w:rPr>
            </w:pPr>
          </w:p>
        </w:tc>
        <w:tc>
          <w:tcPr>
            <w:tcW w:w="1276"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sz w:val="22"/>
                <w:szCs w:val="20"/>
              </w:rPr>
            </w:pPr>
          </w:p>
        </w:tc>
      </w:tr>
      <w:tr w:rsidR="008434CC" w:rsidRPr="004672B0" w:rsidTr="00632583">
        <w:tc>
          <w:tcPr>
            <w:tcW w:w="3969" w:type="dxa"/>
          </w:tcPr>
          <w:p w:rsidR="008434CC" w:rsidRPr="004672B0" w:rsidRDefault="008434CC" w:rsidP="005231D4">
            <w:pPr>
              <w:autoSpaceDE w:val="0"/>
              <w:autoSpaceDN w:val="0"/>
              <w:adjustRightInd w:val="0"/>
              <w:spacing w:before="40" w:after="40"/>
              <w:rPr>
                <w:rStyle w:val="Style11ptBlack"/>
                <w:rFonts w:ascii="Calibri" w:hAnsi="Calibri" w:cs="Calibri"/>
                <w:sz w:val="22"/>
                <w:szCs w:val="20"/>
              </w:rPr>
            </w:pPr>
            <w:r w:rsidRPr="004672B0">
              <w:rPr>
                <w:rStyle w:val="Style11ptBlack"/>
                <w:rFonts w:ascii="Calibri" w:hAnsi="Calibri" w:cs="Calibri"/>
                <w:sz w:val="22"/>
                <w:szCs w:val="20"/>
              </w:rPr>
              <w:t>NTP Coordinator</w:t>
            </w:r>
          </w:p>
        </w:tc>
        <w:tc>
          <w:tcPr>
            <w:tcW w:w="1275"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sz w:val="22"/>
                <w:szCs w:val="20"/>
              </w:rPr>
            </w:pPr>
          </w:p>
        </w:tc>
        <w:tc>
          <w:tcPr>
            <w:tcW w:w="1276"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sz w:val="22"/>
                <w:szCs w:val="20"/>
              </w:rPr>
            </w:pPr>
          </w:p>
        </w:tc>
        <w:tc>
          <w:tcPr>
            <w:tcW w:w="1276"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sz w:val="22"/>
                <w:szCs w:val="20"/>
              </w:rPr>
            </w:pPr>
            <w:r w:rsidRPr="004672B0">
              <w:rPr>
                <w:rStyle w:val="Style11ptBlack"/>
                <w:rFonts w:ascii="Calibri" w:hAnsi="Calibri" w:cs="Calibri"/>
                <w:sz w:val="22"/>
                <w:szCs w:val="20"/>
              </w:rPr>
              <w:t>1</w:t>
            </w:r>
          </w:p>
        </w:tc>
      </w:tr>
      <w:tr w:rsidR="008434CC" w:rsidRPr="004672B0" w:rsidTr="00632583">
        <w:tc>
          <w:tcPr>
            <w:tcW w:w="3969" w:type="dxa"/>
          </w:tcPr>
          <w:p w:rsidR="008434CC" w:rsidRPr="004672B0" w:rsidRDefault="008434CC" w:rsidP="005231D4">
            <w:pPr>
              <w:autoSpaceDE w:val="0"/>
              <w:autoSpaceDN w:val="0"/>
              <w:adjustRightInd w:val="0"/>
              <w:spacing w:before="40" w:after="40"/>
              <w:rPr>
                <w:rStyle w:val="Style11ptBlack"/>
                <w:rFonts w:ascii="Calibri" w:hAnsi="Calibri" w:cs="Calibri"/>
                <w:sz w:val="22"/>
                <w:szCs w:val="20"/>
              </w:rPr>
            </w:pPr>
            <w:r w:rsidRPr="004672B0">
              <w:rPr>
                <w:rStyle w:val="Style11ptBlack"/>
                <w:rFonts w:ascii="Calibri" w:hAnsi="Calibri" w:cs="Calibri"/>
                <w:sz w:val="22"/>
                <w:szCs w:val="20"/>
              </w:rPr>
              <w:t>Project Coordinator</w:t>
            </w:r>
          </w:p>
        </w:tc>
        <w:tc>
          <w:tcPr>
            <w:tcW w:w="1275"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sz w:val="22"/>
                <w:szCs w:val="20"/>
              </w:rPr>
            </w:pPr>
          </w:p>
        </w:tc>
        <w:tc>
          <w:tcPr>
            <w:tcW w:w="1276"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sz w:val="22"/>
                <w:szCs w:val="20"/>
              </w:rPr>
            </w:pPr>
            <w:r w:rsidRPr="004672B0">
              <w:rPr>
                <w:rStyle w:val="Style11ptBlack"/>
                <w:rFonts w:ascii="Calibri" w:hAnsi="Calibri" w:cs="Calibri"/>
                <w:sz w:val="22"/>
                <w:szCs w:val="20"/>
              </w:rPr>
              <w:t>1</w:t>
            </w:r>
          </w:p>
        </w:tc>
        <w:tc>
          <w:tcPr>
            <w:tcW w:w="1276"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sz w:val="22"/>
                <w:szCs w:val="20"/>
              </w:rPr>
            </w:pPr>
          </w:p>
        </w:tc>
      </w:tr>
      <w:tr w:rsidR="008434CC" w:rsidRPr="004672B0" w:rsidTr="00632583">
        <w:tc>
          <w:tcPr>
            <w:tcW w:w="3969" w:type="dxa"/>
          </w:tcPr>
          <w:p w:rsidR="008434CC" w:rsidRPr="004672B0" w:rsidRDefault="008434CC" w:rsidP="005231D4">
            <w:pPr>
              <w:autoSpaceDE w:val="0"/>
              <w:autoSpaceDN w:val="0"/>
              <w:adjustRightInd w:val="0"/>
              <w:spacing w:before="40" w:after="40"/>
              <w:rPr>
                <w:rStyle w:val="Style11ptBlack"/>
                <w:rFonts w:ascii="Calibri" w:hAnsi="Calibri" w:cs="Calibri"/>
                <w:sz w:val="22"/>
                <w:szCs w:val="20"/>
              </w:rPr>
            </w:pPr>
            <w:r w:rsidRPr="004672B0">
              <w:rPr>
                <w:rStyle w:val="Style11ptBlack"/>
                <w:rFonts w:ascii="Calibri" w:hAnsi="Calibri" w:cs="Calibri"/>
                <w:sz w:val="22"/>
                <w:szCs w:val="20"/>
              </w:rPr>
              <w:t>Community TB Nurse</w:t>
            </w:r>
          </w:p>
        </w:tc>
        <w:tc>
          <w:tcPr>
            <w:tcW w:w="1275"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sz w:val="22"/>
                <w:szCs w:val="20"/>
              </w:rPr>
            </w:pPr>
            <w:r w:rsidRPr="004672B0">
              <w:rPr>
                <w:rStyle w:val="Style11ptBlack"/>
                <w:rFonts w:ascii="Calibri" w:hAnsi="Calibri" w:cs="Calibri"/>
                <w:sz w:val="22"/>
                <w:szCs w:val="20"/>
              </w:rPr>
              <w:t>2</w:t>
            </w:r>
          </w:p>
        </w:tc>
        <w:tc>
          <w:tcPr>
            <w:tcW w:w="1276"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sz w:val="22"/>
                <w:szCs w:val="20"/>
              </w:rPr>
            </w:pPr>
            <w:r w:rsidRPr="004672B0">
              <w:rPr>
                <w:rStyle w:val="Style11ptBlack"/>
                <w:rFonts w:ascii="Calibri" w:hAnsi="Calibri" w:cs="Calibri"/>
                <w:sz w:val="22"/>
                <w:szCs w:val="20"/>
              </w:rPr>
              <w:t>2</w:t>
            </w:r>
          </w:p>
        </w:tc>
        <w:tc>
          <w:tcPr>
            <w:tcW w:w="1276"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sz w:val="22"/>
                <w:szCs w:val="20"/>
              </w:rPr>
            </w:pPr>
          </w:p>
        </w:tc>
      </w:tr>
      <w:tr w:rsidR="008434CC" w:rsidRPr="004672B0" w:rsidTr="00632583">
        <w:tc>
          <w:tcPr>
            <w:tcW w:w="3969" w:type="dxa"/>
          </w:tcPr>
          <w:p w:rsidR="008434CC" w:rsidRPr="004672B0" w:rsidRDefault="008434CC" w:rsidP="005231D4">
            <w:pPr>
              <w:autoSpaceDE w:val="0"/>
              <w:autoSpaceDN w:val="0"/>
              <w:adjustRightInd w:val="0"/>
              <w:spacing w:before="40" w:after="40"/>
              <w:rPr>
                <w:rStyle w:val="Style11ptBlack"/>
                <w:rFonts w:ascii="Calibri" w:hAnsi="Calibri" w:cs="Calibri"/>
                <w:sz w:val="22"/>
                <w:szCs w:val="20"/>
              </w:rPr>
            </w:pPr>
            <w:r w:rsidRPr="004672B0">
              <w:rPr>
                <w:rStyle w:val="Style11ptBlack"/>
                <w:rFonts w:ascii="Calibri" w:hAnsi="Calibri" w:cs="Calibri"/>
                <w:sz w:val="22"/>
                <w:szCs w:val="20"/>
              </w:rPr>
              <w:t>Ward TB Nurse</w:t>
            </w:r>
          </w:p>
        </w:tc>
        <w:tc>
          <w:tcPr>
            <w:tcW w:w="1275"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sz w:val="22"/>
                <w:szCs w:val="20"/>
              </w:rPr>
            </w:pPr>
            <w:r w:rsidRPr="004672B0">
              <w:rPr>
                <w:rStyle w:val="Style11ptBlack"/>
                <w:rFonts w:ascii="Calibri" w:hAnsi="Calibri" w:cs="Calibri"/>
                <w:sz w:val="22"/>
                <w:szCs w:val="20"/>
              </w:rPr>
              <w:t>5</w:t>
            </w:r>
          </w:p>
        </w:tc>
        <w:tc>
          <w:tcPr>
            <w:tcW w:w="1276"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sz w:val="22"/>
                <w:szCs w:val="20"/>
              </w:rPr>
            </w:pPr>
          </w:p>
        </w:tc>
        <w:tc>
          <w:tcPr>
            <w:tcW w:w="1276"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sz w:val="22"/>
                <w:szCs w:val="20"/>
              </w:rPr>
            </w:pPr>
          </w:p>
        </w:tc>
      </w:tr>
      <w:tr w:rsidR="008434CC" w:rsidRPr="004672B0" w:rsidTr="00632583">
        <w:tc>
          <w:tcPr>
            <w:tcW w:w="3969" w:type="dxa"/>
          </w:tcPr>
          <w:p w:rsidR="008434CC" w:rsidRPr="004672B0" w:rsidRDefault="008434CC" w:rsidP="005231D4">
            <w:pPr>
              <w:autoSpaceDE w:val="0"/>
              <w:autoSpaceDN w:val="0"/>
              <w:adjustRightInd w:val="0"/>
              <w:spacing w:before="40" w:after="40"/>
              <w:rPr>
                <w:rStyle w:val="Style11ptBlack"/>
                <w:rFonts w:ascii="Calibri" w:hAnsi="Calibri" w:cs="Calibri"/>
                <w:sz w:val="22"/>
                <w:szCs w:val="20"/>
              </w:rPr>
            </w:pPr>
            <w:r w:rsidRPr="004672B0">
              <w:rPr>
                <w:rStyle w:val="Style11ptBlack"/>
                <w:rFonts w:ascii="Calibri" w:hAnsi="Calibri" w:cs="Calibri"/>
                <w:sz w:val="22"/>
                <w:szCs w:val="20"/>
              </w:rPr>
              <w:t>Contact Tracing Nurse</w:t>
            </w:r>
          </w:p>
        </w:tc>
        <w:tc>
          <w:tcPr>
            <w:tcW w:w="1275"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sz w:val="22"/>
                <w:szCs w:val="20"/>
              </w:rPr>
            </w:pPr>
          </w:p>
        </w:tc>
        <w:tc>
          <w:tcPr>
            <w:tcW w:w="1276"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sz w:val="22"/>
                <w:szCs w:val="20"/>
              </w:rPr>
            </w:pPr>
          </w:p>
        </w:tc>
        <w:tc>
          <w:tcPr>
            <w:tcW w:w="1276"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sz w:val="22"/>
                <w:szCs w:val="20"/>
              </w:rPr>
            </w:pPr>
            <w:r w:rsidRPr="004672B0">
              <w:rPr>
                <w:rStyle w:val="Style11ptBlack"/>
                <w:rFonts w:ascii="Calibri" w:hAnsi="Calibri" w:cs="Calibri"/>
                <w:sz w:val="22"/>
                <w:szCs w:val="20"/>
              </w:rPr>
              <w:t>4</w:t>
            </w:r>
          </w:p>
        </w:tc>
      </w:tr>
      <w:tr w:rsidR="008434CC" w:rsidRPr="004672B0" w:rsidTr="00632583">
        <w:tc>
          <w:tcPr>
            <w:tcW w:w="3969" w:type="dxa"/>
          </w:tcPr>
          <w:p w:rsidR="008434CC" w:rsidRPr="004672B0" w:rsidRDefault="008434CC" w:rsidP="005231D4">
            <w:pPr>
              <w:autoSpaceDE w:val="0"/>
              <w:autoSpaceDN w:val="0"/>
              <w:adjustRightInd w:val="0"/>
              <w:spacing w:before="40" w:after="40"/>
              <w:rPr>
                <w:rStyle w:val="Style11ptBlack"/>
                <w:rFonts w:ascii="Calibri" w:hAnsi="Calibri" w:cs="Calibri"/>
                <w:sz w:val="22"/>
                <w:szCs w:val="20"/>
              </w:rPr>
            </w:pPr>
            <w:r w:rsidRPr="004672B0">
              <w:rPr>
                <w:rStyle w:val="Style11ptBlack"/>
                <w:rFonts w:ascii="Calibri" w:hAnsi="Calibri" w:cs="Calibri"/>
                <w:sz w:val="22"/>
                <w:szCs w:val="20"/>
              </w:rPr>
              <w:t>Community DOTS Worker</w:t>
            </w:r>
          </w:p>
        </w:tc>
        <w:tc>
          <w:tcPr>
            <w:tcW w:w="1275"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sz w:val="22"/>
                <w:szCs w:val="20"/>
              </w:rPr>
            </w:pPr>
          </w:p>
        </w:tc>
        <w:tc>
          <w:tcPr>
            <w:tcW w:w="1276"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sz w:val="22"/>
                <w:szCs w:val="20"/>
              </w:rPr>
            </w:pPr>
          </w:p>
        </w:tc>
        <w:tc>
          <w:tcPr>
            <w:tcW w:w="1276"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sz w:val="22"/>
                <w:szCs w:val="20"/>
              </w:rPr>
            </w:pPr>
            <w:r w:rsidRPr="004672B0">
              <w:rPr>
                <w:rStyle w:val="Style11ptBlack"/>
                <w:rFonts w:ascii="Calibri" w:hAnsi="Calibri" w:cs="Calibri"/>
                <w:sz w:val="22"/>
                <w:szCs w:val="20"/>
              </w:rPr>
              <w:t>15</w:t>
            </w:r>
          </w:p>
        </w:tc>
      </w:tr>
      <w:tr w:rsidR="008434CC" w:rsidRPr="004672B0" w:rsidTr="00632583">
        <w:tc>
          <w:tcPr>
            <w:tcW w:w="3969" w:type="dxa"/>
          </w:tcPr>
          <w:p w:rsidR="008434CC" w:rsidRPr="004672B0" w:rsidRDefault="008434CC" w:rsidP="005231D4">
            <w:pPr>
              <w:autoSpaceDE w:val="0"/>
              <w:autoSpaceDN w:val="0"/>
              <w:adjustRightInd w:val="0"/>
              <w:spacing w:before="40" w:after="40"/>
              <w:rPr>
                <w:rStyle w:val="Style11ptBlack"/>
                <w:rFonts w:ascii="Calibri" w:hAnsi="Calibri" w:cs="Calibri"/>
                <w:sz w:val="22"/>
                <w:szCs w:val="20"/>
              </w:rPr>
            </w:pPr>
            <w:r w:rsidRPr="004672B0">
              <w:rPr>
                <w:rStyle w:val="Style11ptBlack"/>
                <w:rFonts w:ascii="Calibri" w:hAnsi="Calibri" w:cs="Calibri"/>
                <w:sz w:val="22"/>
                <w:szCs w:val="20"/>
              </w:rPr>
              <w:t>Laboratory staff</w:t>
            </w:r>
          </w:p>
        </w:tc>
        <w:tc>
          <w:tcPr>
            <w:tcW w:w="1275"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sz w:val="22"/>
                <w:szCs w:val="20"/>
              </w:rPr>
            </w:pPr>
          </w:p>
        </w:tc>
        <w:tc>
          <w:tcPr>
            <w:tcW w:w="1276"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sz w:val="22"/>
                <w:szCs w:val="20"/>
              </w:rPr>
            </w:pPr>
            <w:r w:rsidRPr="004672B0">
              <w:rPr>
                <w:rStyle w:val="Style11ptBlack"/>
                <w:rFonts w:ascii="Calibri" w:hAnsi="Calibri" w:cs="Calibri"/>
                <w:sz w:val="22"/>
                <w:szCs w:val="20"/>
              </w:rPr>
              <w:t>2</w:t>
            </w:r>
          </w:p>
        </w:tc>
        <w:tc>
          <w:tcPr>
            <w:tcW w:w="1276"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sz w:val="22"/>
                <w:szCs w:val="20"/>
              </w:rPr>
            </w:pPr>
          </w:p>
        </w:tc>
      </w:tr>
      <w:tr w:rsidR="008434CC" w:rsidRPr="004672B0" w:rsidTr="00632583">
        <w:tc>
          <w:tcPr>
            <w:tcW w:w="3969" w:type="dxa"/>
          </w:tcPr>
          <w:p w:rsidR="008434CC" w:rsidRPr="004672B0" w:rsidRDefault="008434CC" w:rsidP="005231D4">
            <w:pPr>
              <w:autoSpaceDE w:val="0"/>
              <w:autoSpaceDN w:val="0"/>
              <w:adjustRightInd w:val="0"/>
              <w:spacing w:before="40" w:after="40"/>
              <w:rPr>
                <w:rStyle w:val="Style11ptBlack"/>
                <w:rFonts w:ascii="Calibri" w:hAnsi="Calibri" w:cs="Calibri"/>
                <w:sz w:val="22"/>
                <w:szCs w:val="20"/>
              </w:rPr>
            </w:pPr>
            <w:r w:rsidRPr="004672B0">
              <w:rPr>
                <w:rStyle w:val="Style11ptBlack"/>
                <w:rFonts w:ascii="Calibri" w:hAnsi="Calibri" w:cs="Calibri"/>
                <w:sz w:val="22"/>
                <w:szCs w:val="20"/>
              </w:rPr>
              <w:t>Ancillary support staff</w:t>
            </w:r>
          </w:p>
        </w:tc>
        <w:tc>
          <w:tcPr>
            <w:tcW w:w="1275"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sz w:val="22"/>
                <w:szCs w:val="20"/>
              </w:rPr>
            </w:pPr>
          </w:p>
        </w:tc>
        <w:tc>
          <w:tcPr>
            <w:tcW w:w="1276"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sz w:val="22"/>
                <w:szCs w:val="20"/>
              </w:rPr>
            </w:pPr>
          </w:p>
        </w:tc>
        <w:tc>
          <w:tcPr>
            <w:tcW w:w="1276"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sz w:val="22"/>
                <w:szCs w:val="20"/>
              </w:rPr>
            </w:pPr>
            <w:r w:rsidRPr="004672B0">
              <w:rPr>
                <w:rStyle w:val="Style11ptBlack"/>
                <w:rFonts w:ascii="Calibri" w:hAnsi="Calibri" w:cs="Calibri"/>
                <w:sz w:val="22"/>
                <w:szCs w:val="20"/>
              </w:rPr>
              <w:t>2</w:t>
            </w:r>
          </w:p>
        </w:tc>
      </w:tr>
      <w:tr w:rsidR="008434CC" w:rsidRPr="004672B0" w:rsidTr="00632583">
        <w:tc>
          <w:tcPr>
            <w:tcW w:w="3969" w:type="dxa"/>
          </w:tcPr>
          <w:p w:rsidR="008434CC" w:rsidRPr="004672B0" w:rsidRDefault="008434CC" w:rsidP="005231D4">
            <w:pPr>
              <w:autoSpaceDE w:val="0"/>
              <w:autoSpaceDN w:val="0"/>
              <w:adjustRightInd w:val="0"/>
              <w:spacing w:before="40" w:after="40"/>
              <w:jc w:val="right"/>
              <w:rPr>
                <w:rStyle w:val="Style11ptBlack"/>
                <w:rFonts w:ascii="Calibri" w:hAnsi="Calibri" w:cs="Calibri"/>
                <w:b/>
                <w:sz w:val="22"/>
                <w:szCs w:val="20"/>
              </w:rPr>
            </w:pPr>
            <w:r w:rsidRPr="004672B0">
              <w:rPr>
                <w:rStyle w:val="Style11ptBlack"/>
                <w:rFonts w:ascii="Calibri" w:hAnsi="Calibri" w:cs="Calibri"/>
                <w:b/>
                <w:sz w:val="22"/>
                <w:szCs w:val="20"/>
              </w:rPr>
              <w:t>Total:</w:t>
            </w:r>
          </w:p>
        </w:tc>
        <w:tc>
          <w:tcPr>
            <w:tcW w:w="1275"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b/>
                <w:sz w:val="22"/>
                <w:szCs w:val="20"/>
              </w:rPr>
            </w:pPr>
            <w:r w:rsidRPr="004672B0">
              <w:rPr>
                <w:rStyle w:val="Style11ptBlack"/>
                <w:rFonts w:ascii="Calibri" w:hAnsi="Calibri" w:cs="Calibri"/>
                <w:b/>
                <w:sz w:val="22"/>
                <w:szCs w:val="20"/>
              </w:rPr>
              <w:t>8</w:t>
            </w:r>
          </w:p>
        </w:tc>
        <w:tc>
          <w:tcPr>
            <w:tcW w:w="1276"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b/>
                <w:sz w:val="22"/>
                <w:szCs w:val="20"/>
              </w:rPr>
            </w:pPr>
            <w:r w:rsidRPr="004672B0">
              <w:rPr>
                <w:rStyle w:val="Style11ptBlack"/>
                <w:rFonts w:ascii="Calibri" w:hAnsi="Calibri" w:cs="Calibri"/>
                <w:b/>
                <w:sz w:val="22"/>
                <w:szCs w:val="20"/>
              </w:rPr>
              <w:t>5</w:t>
            </w:r>
          </w:p>
        </w:tc>
        <w:tc>
          <w:tcPr>
            <w:tcW w:w="1276" w:type="dxa"/>
          </w:tcPr>
          <w:p w:rsidR="008434CC" w:rsidRPr="004672B0" w:rsidRDefault="008434CC" w:rsidP="005231D4">
            <w:pPr>
              <w:autoSpaceDE w:val="0"/>
              <w:autoSpaceDN w:val="0"/>
              <w:adjustRightInd w:val="0"/>
              <w:spacing w:before="40" w:after="40"/>
              <w:ind w:right="454"/>
              <w:jc w:val="right"/>
              <w:rPr>
                <w:rStyle w:val="Style11ptBlack"/>
                <w:rFonts w:ascii="Calibri" w:hAnsi="Calibri" w:cs="Calibri"/>
                <w:b/>
                <w:sz w:val="22"/>
                <w:szCs w:val="20"/>
              </w:rPr>
            </w:pPr>
            <w:r w:rsidRPr="004672B0">
              <w:rPr>
                <w:rStyle w:val="Style11ptBlack"/>
                <w:rFonts w:ascii="Calibri" w:hAnsi="Calibri" w:cs="Calibri"/>
                <w:b/>
                <w:sz w:val="22"/>
                <w:szCs w:val="20"/>
              </w:rPr>
              <w:t>22</w:t>
            </w:r>
          </w:p>
        </w:tc>
      </w:tr>
    </w:tbl>
    <w:p w:rsidR="008434CC" w:rsidRDefault="008434CC" w:rsidP="0094462A">
      <w:pPr>
        <w:rPr>
          <w:rStyle w:val="Style11ptBlack"/>
          <w:rFonts w:ascii="Calibri" w:hAnsi="Calibri" w:cs="Calibri"/>
          <w:sz w:val="22"/>
        </w:rPr>
      </w:pPr>
    </w:p>
    <w:p w:rsidR="008434CC" w:rsidRPr="00FC2B02" w:rsidRDefault="008434CC" w:rsidP="0094462A">
      <w:pPr>
        <w:rPr>
          <w:rStyle w:val="Style11ptBlack"/>
          <w:rFonts w:ascii="Calibri" w:hAnsi="Calibri" w:cs="Calibri"/>
          <w:sz w:val="22"/>
        </w:rPr>
      </w:pPr>
      <w:r w:rsidRPr="00FC2B02">
        <w:rPr>
          <w:rStyle w:val="Style11ptBlack"/>
          <w:rFonts w:ascii="Calibri" w:hAnsi="Calibri" w:cs="Calibri"/>
          <w:sz w:val="22"/>
        </w:rPr>
        <w:t xml:space="preserve">Only the </w:t>
      </w:r>
      <w:r>
        <w:rPr>
          <w:rStyle w:val="Style11ptBlack"/>
          <w:rFonts w:ascii="Calibri" w:hAnsi="Calibri" w:cs="Calibri"/>
          <w:sz w:val="22"/>
        </w:rPr>
        <w:t>Manage</w:t>
      </w:r>
      <w:r w:rsidRPr="00FC2B02">
        <w:rPr>
          <w:rStyle w:val="Style11ptBlack"/>
          <w:rFonts w:ascii="Calibri" w:hAnsi="Calibri" w:cs="Calibri"/>
          <w:sz w:val="22"/>
        </w:rPr>
        <w:t xml:space="preserve">r, two TB community nursing specialists and five TB ward nurses are core MHMS employees.  </w:t>
      </w:r>
    </w:p>
    <w:p w:rsidR="008434CC" w:rsidRPr="00DB660D" w:rsidRDefault="008434CC" w:rsidP="0094462A">
      <w:pPr>
        <w:rPr>
          <w:rStyle w:val="Style11ptBlack"/>
          <w:rFonts w:ascii="Calibri" w:hAnsi="Calibri" w:cs="Calibri"/>
          <w:sz w:val="22"/>
        </w:rPr>
      </w:pPr>
      <w:r>
        <w:rPr>
          <w:rStyle w:val="Style11ptBlack"/>
          <w:rFonts w:ascii="Calibri" w:hAnsi="Calibri" w:cs="Calibri"/>
          <w:sz w:val="22"/>
        </w:rPr>
        <w:t xml:space="preserve">All other positions (currently </w:t>
      </w:r>
      <w:r w:rsidRPr="00DB660D">
        <w:rPr>
          <w:rStyle w:val="Style11ptBlack"/>
          <w:rFonts w:ascii="Calibri" w:hAnsi="Calibri" w:cs="Calibri"/>
          <w:sz w:val="22"/>
        </w:rPr>
        <w:t>27</w:t>
      </w:r>
      <w:r>
        <w:rPr>
          <w:rStyle w:val="Style11ptBlack"/>
          <w:rFonts w:ascii="Calibri" w:hAnsi="Calibri" w:cs="Calibri"/>
          <w:sz w:val="22"/>
        </w:rPr>
        <w:t>)</w:t>
      </w:r>
      <w:r w:rsidRPr="00DB660D">
        <w:rPr>
          <w:rStyle w:val="Style11ptBlack"/>
          <w:rFonts w:ascii="Calibri" w:hAnsi="Calibri" w:cs="Calibri"/>
          <w:sz w:val="22"/>
        </w:rPr>
        <w:t xml:space="preserve"> working on TB control in Kiribati </w:t>
      </w:r>
      <w:r>
        <w:rPr>
          <w:rStyle w:val="Style11ptBlack"/>
          <w:rFonts w:ascii="Calibri" w:hAnsi="Calibri" w:cs="Calibri"/>
          <w:sz w:val="22"/>
        </w:rPr>
        <w:t xml:space="preserve">are funded and engaged </w:t>
      </w:r>
      <w:r w:rsidRPr="00DB660D">
        <w:rPr>
          <w:rStyle w:val="Style11ptBlack"/>
          <w:rFonts w:ascii="Calibri" w:hAnsi="Calibri" w:cs="Calibri"/>
          <w:sz w:val="22"/>
        </w:rPr>
        <w:t xml:space="preserve">through donor supported projects – 22 under the Global Fund </w:t>
      </w:r>
      <w:r>
        <w:rPr>
          <w:rStyle w:val="Style11ptBlack"/>
          <w:rFonts w:ascii="Calibri" w:hAnsi="Calibri" w:cs="Calibri"/>
          <w:sz w:val="22"/>
        </w:rPr>
        <w:t xml:space="preserve">(many of whom were initially engaged under QTBECP Phase 1) </w:t>
      </w:r>
      <w:r w:rsidRPr="00DB660D">
        <w:rPr>
          <w:rStyle w:val="Style11ptBlack"/>
          <w:rFonts w:ascii="Calibri" w:hAnsi="Calibri" w:cs="Calibri"/>
          <w:sz w:val="22"/>
        </w:rPr>
        <w:t>and 5 under QTBECP</w:t>
      </w:r>
      <w:r>
        <w:rPr>
          <w:rStyle w:val="Style11ptBlack"/>
          <w:rFonts w:ascii="Calibri" w:hAnsi="Calibri" w:cs="Calibri"/>
          <w:sz w:val="22"/>
        </w:rPr>
        <w:t xml:space="preserve"> Phase 2</w:t>
      </w:r>
      <w:r w:rsidRPr="00DB660D">
        <w:rPr>
          <w:rStyle w:val="Style11ptBlack"/>
          <w:rFonts w:ascii="Calibri" w:hAnsi="Calibri" w:cs="Calibri"/>
          <w:sz w:val="22"/>
        </w:rPr>
        <w:t xml:space="preserve">.  </w:t>
      </w:r>
    </w:p>
    <w:p w:rsidR="008434CC" w:rsidRDefault="008434CC" w:rsidP="002A3291">
      <w:r>
        <w:t xml:space="preserve">The roles of 7 categories of staff employed by projects and working on the Kiribati NTP are: </w:t>
      </w:r>
      <w:r w:rsidRPr="00D63CAB">
        <w:t xml:space="preserve"> </w:t>
      </w:r>
    </w:p>
    <w:p w:rsidR="008434CC" w:rsidRDefault="008434CC" w:rsidP="002A3291">
      <w:pPr>
        <w:pStyle w:val="ListParagraph"/>
        <w:ind w:left="357"/>
        <w:contextualSpacing w:val="0"/>
      </w:pPr>
      <w:r>
        <w:rPr>
          <w:b/>
          <w:i/>
        </w:rPr>
        <w:t>Project Co</w:t>
      </w:r>
      <w:r w:rsidRPr="00BD44D3">
        <w:rPr>
          <w:b/>
          <w:i/>
        </w:rPr>
        <w:t>ordinator (PC):</w:t>
      </w:r>
      <w:r>
        <w:t xml:space="preserve">  The PC provides overall management and co-ordination of the Project at the country level and ensures that Project implementation is running according to an agreed work plan.  The PC works closely with NTP Manager and staff to ensure that the Project supports the NTP and is aligned with NTP priorities and other TB projects in Kiribati. </w:t>
      </w:r>
    </w:p>
    <w:p w:rsidR="008434CC" w:rsidRDefault="008434CC" w:rsidP="002A3291">
      <w:pPr>
        <w:pStyle w:val="ListParagraph"/>
        <w:ind w:left="357"/>
        <w:contextualSpacing w:val="0"/>
      </w:pPr>
      <w:r w:rsidRPr="00BD44D3">
        <w:rPr>
          <w:b/>
          <w:i/>
        </w:rPr>
        <w:t>NTP Coordinator:</w:t>
      </w:r>
      <w:r>
        <w:t xml:space="preserve">  The Coordinator </w:t>
      </w:r>
      <w:r w:rsidRPr="00DB1DA2">
        <w:t xml:space="preserve">supervises the work of all staff in the </w:t>
      </w:r>
      <w:r>
        <w:t>NTP</w:t>
      </w:r>
      <w:r w:rsidRPr="00DB1DA2">
        <w:t xml:space="preserve">, oversees the TB information system, submits </w:t>
      </w:r>
      <w:r>
        <w:t>Global Fund</w:t>
      </w:r>
      <w:r w:rsidRPr="00DB1DA2">
        <w:t xml:space="preserve"> programmatic reports, conducts supervisory visits to outer islands, conduct</w:t>
      </w:r>
      <w:r>
        <w:t>s</w:t>
      </w:r>
      <w:r w:rsidRPr="00DB1DA2">
        <w:t xml:space="preserve"> on</w:t>
      </w:r>
      <w:r>
        <w:t>-</w:t>
      </w:r>
      <w:r w:rsidRPr="00DB1DA2">
        <w:t>site training where necessary to staff members</w:t>
      </w:r>
      <w:r>
        <w:t>,</w:t>
      </w:r>
      <w:r w:rsidRPr="00DB1DA2">
        <w:t xml:space="preserve"> and coordinates the implementation of program activities. </w:t>
      </w:r>
      <w:r>
        <w:t xml:space="preserve"> </w:t>
      </w:r>
      <w:r w:rsidRPr="00DB1DA2">
        <w:t xml:space="preserve">She assists the NTP </w:t>
      </w:r>
      <w:r>
        <w:t>M</w:t>
      </w:r>
      <w:r w:rsidRPr="00DB1DA2">
        <w:t xml:space="preserve">anager and </w:t>
      </w:r>
      <w:r>
        <w:t xml:space="preserve">provides oversight and management of the NTP </w:t>
      </w:r>
      <w:r w:rsidRPr="00DB1DA2">
        <w:t xml:space="preserve">when the NTP </w:t>
      </w:r>
      <w:r>
        <w:t>M</w:t>
      </w:r>
      <w:r w:rsidRPr="00DB1DA2">
        <w:t>anager is on leave</w:t>
      </w:r>
      <w:r>
        <w:t>.</w:t>
      </w:r>
    </w:p>
    <w:p w:rsidR="008434CC" w:rsidRDefault="008434CC" w:rsidP="002A3291">
      <w:pPr>
        <w:pStyle w:val="ListParagraph"/>
        <w:ind w:left="357"/>
        <w:contextualSpacing w:val="0"/>
      </w:pPr>
      <w:r w:rsidRPr="00BD44D3">
        <w:rPr>
          <w:b/>
          <w:i/>
        </w:rPr>
        <w:t>Contact Tracing Nurses:</w:t>
      </w:r>
      <w:r>
        <w:t xml:space="preserve">  CTNs </w:t>
      </w:r>
      <w:r w:rsidRPr="00DB1DA2">
        <w:t xml:space="preserve">conduct TB </w:t>
      </w:r>
      <w:r>
        <w:t>contact tracing</w:t>
      </w:r>
      <w:r w:rsidRPr="00DB1DA2">
        <w:t xml:space="preserve"> in households of infectious TB cases. They also supervise </w:t>
      </w:r>
      <w:r>
        <w:t>CDW</w:t>
      </w:r>
      <w:r w:rsidRPr="00DB1DA2">
        <w:t xml:space="preserve">s and conduct supervisory visits to </w:t>
      </w:r>
      <w:r>
        <w:t xml:space="preserve">selected </w:t>
      </w:r>
      <w:r w:rsidRPr="00DB1DA2">
        <w:t>outer islands.</w:t>
      </w:r>
    </w:p>
    <w:p w:rsidR="008434CC" w:rsidRDefault="008434CC" w:rsidP="002A3291">
      <w:pPr>
        <w:pStyle w:val="ListParagraph"/>
        <w:ind w:left="357"/>
        <w:contextualSpacing w:val="0"/>
      </w:pPr>
      <w:r w:rsidRPr="00BD44D3">
        <w:rPr>
          <w:b/>
          <w:i/>
        </w:rPr>
        <w:t>Community DOTS Workers:</w:t>
      </w:r>
      <w:r w:rsidRPr="00A27E9E">
        <w:t xml:space="preserve"> </w:t>
      </w:r>
      <w:r>
        <w:t xml:space="preserve"> </w:t>
      </w:r>
      <w:r w:rsidRPr="00A27E9E">
        <w:t xml:space="preserve">CDWs </w:t>
      </w:r>
      <w:r w:rsidRPr="00DB1DA2">
        <w:t xml:space="preserve">provide </w:t>
      </w:r>
      <w:r>
        <w:t>strict</w:t>
      </w:r>
      <w:r w:rsidRPr="00DB1DA2">
        <w:t xml:space="preserve"> supervision of TB treatment in patients</w:t>
      </w:r>
      <w:r>
        <w:t>’</w:t>
      </w:r>
      <w:r w:rsidRPr="00DB1DA2">
        <w:t xml:space="preserve"> houses (</w:t>
      </w:r>
      <w:r>
        <w:t>i.e. directly observed therapy</w:t>
      </w:r>
      <w:r w:rsidRPr="00DB1DA2">
        <w:t xml:space="preserve">), provide TB education </w:t>
      </w:r>
      <w:r>
        <w:t xml:space="preserve">to patients and contacts, </w:t>
      </w:r>
      <w:r w:rsidRPr="00DB1DA2">
        <w:t>and collect sputum specimens from symptomatic household members</w:t>
      </w:r>
      <w:r>
        <w:t xml:space="preserve"> for follow up</w:t>
      </w:r>
      <w:r w:rsidRPr="00DB1DA2">
        <w:t xml:space="preserve">. </w:t>
      </w:r>
      <w:r>
        <w:t xml:space="preserve"> </w:t>
      </w:r>
      <w:r w:rsidRPr="00DB1DA2">
        <w:t>The number of CDW</w:t>
      </w:r>
      <w:r>
        <w:t>s</w:t>
      </w:r>
      <w:r w:rsidRPr="00DB1DA2">
        <w:t xml:space="preserve"> will need to be reviewed regularly and adjusted (up o</w:t>
      </w:r>
      <w:r>
        <w:t xml:space="preserve">r </w:t>
      </w:r>
      <w:r w:rsidRPr="00DB1DA2">
        <w:t xml:space="preserve">down) according to the burden </w:t>
      </w:r>
      <w:r>
        <w:t xml:space="preserve">and incidence </w:t>
      </w:r>
      <w:r w:rsidRPr="00DB1DA2">
        <w:t>of TB</w:t>
      </w:r>
      <w:r>
        <w:t>:</w:t>
      </w:r>
      <w:r w:rsidRPr="00DB1DA2">
        <w:t xml:space="preserve"> </w:t>
      </w:r>
      <w:r>
        <w:t>a</w:t>
      </w:r>
      <w:r w:rsidRPr="00DB1DA2">
        <w:t xml:space="preserve"> reasonable case load ratio </w:t>
      </w:r>
      <w:r>
        <w:t>is one</w:t>
      </w:r>
      <w:r w:rsidRPr="00DB1DA2">
        <w:t xml:space="preserve"> CDW</w:t>
      </w:r>
      <w:r>
        <w:t xml:space="preserve"> per</w:t>
      </w:r>
      <w:r w:rsidRPr="00DB1DA2">
        <w:t xml:space="preserve"> 15 </w:t>
      </w:r>
      <w:r>
        <w:t>TB c</w:t>
      </w:r>
      <w:r w:rsidRPr="00DB1DA2">
        <w:t xml:space="preserve">ases. </w:t>
      </w:r>
      <w:r>
        <w:t xml:space="preserve"> </w:t>
      </w:r>
      <w:r w:rsidRPr="00DB1DA2">
        <w:t xml:space="preserve">The DOT function </w:t>
      </w:r>
      <w:r>
        <w:t>i</w:t>
      </w:r>
      <w:r w:rsidRPr="00DB1DA2">
        <w:t xml:space="preserve">s </w:t>
      </w:r>
      <w:r>
        <w:t xml:space="preserve">a </w:t>
      </w:r>
      <w:r w:rsidRPr="00DB1DA2">
        <w:t>critical element of TB control activities</w:t>
      </w:r>
      <w:r>
        <w:t xml:space="preserve"> in Kiribati, and high treatment success rates and low rates of drug resistance have been achieved and maintained using CDWs as an integral part of the program. </w:t>
      </w:r>
      <w:r w:rsidRPr="00DB1DA2">
        <w:t xml:space="preserve"> </w:t>
      </w:r>
    </w:p>
    <w:p w:rsidR="008434CC" w:rsidRDefault="008434CC" w:rsidP="002A3291">
      <w:pPr>
        <w:pStyle w:val="ListParagraph"/>
        <w:ind w:left="357"/>
        <w:contextualSpacing w:val="0"/>
      </w:pPr>
      <w:r w:rsidRPr="00BD44D3">
        <w:rPr>
          <w:b/>
          <w:i/>
        </w:rPr>
        <w:lastRenderedPageBreak/>
        <w:t>TB Community Nurses:</w:t>
      </w:r>
      <w:r>
        <w:t xml:space="preserve">  The </w:t>
      </w:r>
      <w:r w:rsidRPr="00DB1DA2">
        <w:t xml:space="preserve">primary role </w:t>
      </w:r>
      <w:r>
        <w:t xml:space="preserve">of the TBCNs </w:t>
      </w:r>
      <w:r w:rsidRPr="00DB1DA2">
        <w:t>is to implement TB cont</w:t>
      </w:r>
      <w:r>
        <w:t>r</w:t>
      </w:r>
      <w:r w:rsidRPr="00DB1DA2">
        <w:t>ol outreach activities to vulnerable population</w:t>
      </w:r>
      <w:r>
        <w:t>s</w:t>
      </w:r>
      <w:r w:rsidRPr="00DB1DA2">
        <w:t xml:space="preserve"> in the ‘hot spots’ on </w:t>
      </w:r>
      <w:r>
        <w:t>S</w:t>
      </w:r>
      <w:r w:rsidRPr="00DB1DA2">
        <w:t>outh Tarawa</w:t>
      </w:r>
      <w:r>
        <w:t xml:space="preserve">.  Their role and function may change in the future and </w:t>
      </w:r>
      <w:r w:rsidRPr="00DB1DA2">
        <w:t xml:space="preserve">will depend on </w:t>
      </w:r>
      <w:r>
        <w:t xml:space="preserve">the local TB epidemiology. </w:t>
      </w:r>
    </w:p>
    <w:p w:rsidR="008434CC" w:rsidRDefault="008434CC" w:rsidP="002A3291">
      <w:pPr>
        <w:pStyle w:val="ListParagraph"/>
        <w:ind w:left="357"/>
        <w:contextualSpacing w:val="0"/>
      </w:pPr>
      <w:r w:rsidRPr="00BD44D3">
        <w:rPr>
          <w:b/>
          <w:i/>
        </w:rPr>
        <w:t>Security Officer:</w:t>
      </w:r>
      <w:r>
        <w:t xml:space="preserve">  The Security Officer ensures that the TB Control Centre is safe and secure by conducting patrols of the building. </w:t>
      </w:r>
    </w:p>
    <w:p w:rsidR="008434CC" w:rsidRDefault="008434CC" w:rsidP="002A3291">
      <w:pPr>
        <w:pStyle w:val="ListParagraph"/>
        <w:ind w:left="357"/>
        <w:contextualSpacing w:val="0"/>
      </w:pPr>
      <w:r w:rsidRPr="00BD44D3">
        <w:rPr>
          <w:b/>
          <w:i/>
        </w:rPr>
        <w:t>Cleaner:</w:t>
      </w:r>
      <w:r>
        <w:t xml:space="preserve">  The Cleaner is responsible for maintaining the cleanliness of the TBCC. </w:t>
      </w:r>
    </w:p>
    <w:p w:rsidR="008434CC" w:rsidRDefault="008434CC" w:rsidP="00F61550">
      <w:pPr>
        <w:spacing w:before="180"/>
      </w:pPr>
      <w:r>
        <w:t xml:space="preserve">In addition, the </w:t>
      </w:r>
      <w:r w:rsidRPr="00DF0D27">
        <w:rPr>
          <w:b/>
          <w:i/>
        </w:rPr>
        <w:t>TB Laboratory Supervisor</w:t>
      </w:r>
      <w:r>
        <w:t xml:space="preserve"> and one </w:t>
      </w:r>
      <w:r w:rsidRPr="00DF0D27">
        <w:rPr>
          <w:b/>
          <w:i/>
        </w:rPr>
        <w:t>TB Laboratory Technician</w:t>
      </w:r>
      <w:r>
        <w:t xml:space="preserve"> work under the authority of the National Laboratory Manager but with strong functional links to the NTP.  Both positions are currently funded by QTBECP.</w:t>
      </w:r>
    </w:p>
    <w:p w:rsidR="008434CC" w:rsidRDefault="008434CC" w:rsidP="00054FB8">
      <w:pPr>
        <w:pStyle w:val="Heading3"/>
      </w:pPr>
      <w:bookmarkStart w:id="63" w:name="_Toc331686122"/>
      <w:r>
        <w:t>6.4.2 Proposed (under the new Project)</w:t>
      </w:r>
      <w:bookmarkEnd w:id="63"/>
    </w:p>
    <w:p w:rsidR="008434CC" w:rsidRPr="00872B12" w:rsidRDefault="008434CC" w:rsidP="00DF0D27">
      <w:r>
        <w:t xml:space="preserve">The limited MHMS budget and Public Service Commission restrictions mean that, in order to </w:t>
      </w:r>
      <w:r>
        <w:rPr>
          <w:rStyle w:val="Style11ptBlack"/>
          <w:rFonts w:ascii="Calibri" w:hAnsi="Calibri" w:cs="Calibri"/>
          <w:sz w:val="22"/>
        </w:rPr>
        <w:t>maintain NTP services at a level that can meet current and expected levels of demand</w:t>
      </w:r>
      <w:r w:rsidRPr="00872B12">
        <w:rPr>
          <w:rStyle w:val="Style11ptBlack"/>
          <w:rFonts w:ascii="Calibri" w:hAnsi="Calibri" w:cs="Calibri"/>
          <w:sz w:val="22"/>
        </w:rPr>
        <w:t>,</w:t>
      </w:r>
      <w:r w:rsidRPr="00872B12">
        <w:t xml:space="preserve"> the roles of</w:t>
      </w:r>
      <w:r>
        <w:t xml:space="preserve"> </w:t>
      </w:r>
      <w:r w:rsidRPr="00DB660D">
        <w:t xml:space="preserve">staff currently funded </w:t>
      </w:r>
      <w:r>
        <w:t xml:space="preserve">under QTBECP or </w:t>
      </w:r>
      <w:r w:rsidRPr="00DB660D">
        <w:t>the Global Fund</w:t>
      </w:r>
      <w:r>
        <w:t xml:space="preserve"> grant </w:t>
      </w:r>
      <w:r w:rsidRPr="00B929EA">
        <w:t xml:space="preserve">will need to be absorbed </w:t>
      </w:r>
      <w:r>
        <w:t xml:space="preserve">during </w:t>
      </w:r>
      <w:r w:rsidRPr="002A3291">
        <w:rPr>
          <w:color w:val="000000"/>
        </w:rPr>
        <w:t>Phase 1</w:t>
      </w:r>
      <w:r>
        <w:rPr>
          <w:color w:val="000000"/>
        </w:rPr>
        <w:t xml:space="preserve"> of </w:t>
      </w:r>
      <w:r w:rsidRPr="00B929EA">
        <w:t xml:space="preserve">the </w:t>
      </w:r>
      <w:r>
        <w:t xml:space="preserve">new </w:t>
      </w:r>
      <w:r w:rsidRPr="00872B12">
        <w:t xml:space="preserve">Project, in line with the NTP Human Resources Plan (which will be developed in Year 1). </w:t>
      </w:r>
    </w:p>
    <w:p w:rsidR="008434CC" w:rsidRPr="00F30398" w:rsidRDefault="008434CC" w:rsidP="00DF0D27">
      <w:r w:rsidRPr="00F30398">
        <w:t>These roles currently include those of:</w:t>
      </w:r>
    </w:p>
    <w:p w:rsidR="008434CC" w:rsidRPr="00F30398" w:rsidRDefault="008434CC" w:rsidP="00B916EC">
      <w:pPr>
        <w:pStyle w:val="ListParagraph"/>
        <w:numPr>
          <w:ilvl w:val="0"/>
          <w:numId w:val="40"/>
        </w:numPr>
        <w:rPr>
          <w:color w:val="000000"/>
        </w:rPr>
      </w:pPr>
      <w:r w:rsidRPr="00F30398">
        <w:rPr>
          <w:color w:val="000000"/>
        </w:rPr>
        <w:t xml:space="preserve">four of the 5 staff who are currently funded by QTBECP – two TBCNs and two laboratory staff – who will transfer at the beginning of the Transitional Phase of the new Project; and </w:t>
      </w:r>
    </w:p>
    <w:p w:rsidR="008434CC" w:rsidRPr="00F30398" w:rsidRDefault="008434CC" w:rsidP="00B916EC">
      <w:pPr>
        <w:pStyle w:val="ListParagraph"/>
        <w:numPr>
          <w:ilvl w:val="0"/>
          <w:numId w:val="40"/>
        </w:numPr>
        <w:rPr>
          <w:color w:val="000000"/>
        </w:rPr>
      </w:pPr>
      <w:r w:rsidRPr="00F30398">
        <w:rPr>
          <w:color w:val="000000"/>
        </w:rPr>
        <w:t xml:space="preserve">the 22 staff who are funded by the Global Fund Round 7 TB grant – </w:t>
      </w:r>
      <w:r w:rsidRPr="00F30398">
        <w:t xml:space="preserve">the NTP Coordinator, four CTNs, 15 CDWs on South Tarawa and the two ancillary staff (the Security Officer and the Cleaner) – </w:t>
      </w:r>
      <w:r w:rsidRPr="00F30398">
        <w:rPr>
          <w:color w:val="000000"/>
        </w:rPr>
        <w:t xml:space="preserve">who will transfer from 1 July 2013.  </w:t>
      </w:r>
    </w:p>
    <w:p w:rsidR="008434CC" w:rsidRPr="00F30398" w:rsidRDefault="008434CC" w:rsidP="00DF0D27">
      <w:r w:rsidRPr="00F30398">
        <w:t xml:space="preserve">The local Project Coordinator position was created under the QTBECP to implement, manage and monitor the Project locally.  Under the new Project, this role will be re-designated as </w:t>
      </w:r>
      <w:r w:rsidRPr="00F30398">
        <w:rPr>
          <w:b/>
          <w:i/>
        </w:rPr>
        <w:t>Senior NTP Consultant / Project Adviser</w:t>
      </w:r>
      <w:r w:rsidRPr="00F30398">
        <w:t xml:space="preserve">.  The Senior Adviser will continue to work closely with the NTP, and many of the more clinical and public health duties and responsibilities will be similar to those of the PC in previous projects.  However, unlike the previous projects, there will be two important changes proposed in this Project; a) that the financial and budget responsibilities will be transferred to a Project Accountant, and b) that the day to day implementation of the project will be handed over to the </w:t>
      </w:r>
      <w:r w:rsidRPr="00F30398">
        <w:rPr>
          <w:b/>
          <w:i/>
        </w:rPr>
        <w:t>NTP Co-ordinator</w:t>
      </w:r>
      <w:r w:rsidRPr="00F30398">
        <w:t xml:space="preserve">, in line with current MHMS policies regarding project management support for national disease programmes.  The Senior Adviser will work closely with the NTP Co-ordinator to provide guidance and oversight of all operational aspects of the project but will also take on clinical and public health duties.  The Senior Adviser role will provide advice and support on technical issues related to the Project (including managing the potentially complex, phased absorption of many Project functions into the MHMS during Phase 2) and provide clinical support to the NTP.  The Senior Adviser will also assist the NTP Manager to implement and monitor the first </w:t>
      </w:r>
      <w:r w:rsidRPr="00F30398">
        <w:rPr>
          <w:i/>
        </w:rPr>
        <w:t>National Tuberculosis Strategic Plan</w:t>
      </w:r>
      <w:r w:rsidRPr="00F30398">
        <w:t>.</w:t>
      </w:r>
    </w:p>
    <w:p w:rsidR="008434CC" w:rsidRPr="00F30398" w:rsidRDefault="008434CC" w:rsidP="00DF0D27">
      <w:r w:rsidRPr="00F30398">
        <w:t>The role of the Senior Adviser will therefore include the following tasks.</w:t>
      </w:r>
    </w:p>
    <w:p w:rsidR="008434CC" w:rsidRPr="00F30398" w:rsidRDefault="008434CC" w:rsidP="00B916EC">
      <w:pPr>
        <w:pStyle w:val="ListParagraph"/>
        <w:numPr>
          <w:ilvl w:val="0"/>
          <w:numId w:val="23"/>
        </w:numPr>
      </w:pPr>
      <w:r w:rsidRPr="00F30398">
        <w:t xml:space="preserve">Provide technical support and advice to the NTP regarding the implementation of both the Project and, as necessary, the NTP </w:t>
      </w:r>
      <w:r w:rsidRPr="00F30398">
        <w:rPr>
          <w:i/>
        </w:rPr>
        <w:t>Strategic Plan</w:t>
      </w:r>
    </w:p>
    <w:p w:rsidR="008434CC" w:rsidRPr="00F30398" w:rsidRDefault="008434CC" w:rsidP="00B916EC">
      <w:pPr>
        <w:pStyle w:val="ListParagraph"/>
        <w:numPr>
          <w:ilvl w:val="0"/>
          <w:numId w:val="23"/>
        </w:numPr>
      </w:pPr>
      <w:r w:rsidRPr="00F30398">
        <w:t>Assist the NTP Manager and NTP Co-ordinator in the organisation and management of the annual program review and compilation of the annual NTP report</w:t>
      </w:r>
    </w:p>
    <w:p w:rsidR="008434CC" w:rsidRPr="00F30398" w:rsidRDefault="008434CC" w:rsidP="00B916EC">
      <w:pPr>
        <w:pStyle w:val="ListParagraph"/>
        <w:numPr>
          <w:ilvl w:val="0"/>
          <w:numId w:val="23"/>
        </w:numPr>
        <w:rPr>
          <w:color w:val="000000"/>
        </w:rPr>
      </w:pPr>
      <w:r w:rsidRPr="00F30398">
        <w:rPr>
          <w:color w:val="000000"/>
        </w:rPr>
        <w:lastRenderedPageBreak/>
        <w:t>Participate in and report to the Project governance body, with the NTP Co-ordinator (as described in Section 7)</w:t>
      </w:r>
    </w:p>
    <w:p w:rsidR="008434CC" w:rsidRPr="00F30398" w:rsidRDefault="008434CC" w:rsidP="00B916EC">
      <w:pPr>
        <w:pStyle w:val="ListParagraph"/>
        <w:numPr>
          <w:ilvl w:val="0"/>
          <w:numId w:val="23"/>
        </w:numPr>
        <w:rPr>
          <w:color w:val="000000"/>
        </w:rPr>
      </w:pPr>
      <w:r w:rsidRPr="00F30398">
        <w:rPr>
          <w:color w:val="000000"/>
        </w:rPr>
        <w:t>Provide support to the NTP Co-ordinator regarding Project-specific reports to SPC’s TB Team and the Project governance body on a regular basis (as described in Sections 9 and 10)</w:t>
      </w:r>
    </w:p>
    <w:p w:rsidR="008434CC" w:rsidRPr="00F30398" w:rsidRDefault="008434CC" w:rsidP="00CD7A11">
      <w:pPr>
        <w:pStyle w:val="ListParagraph"/>
        <w:numPr>
          <w:ilvl w:val="0"/>
          <w:numId w:val="23"/>
        </w:numPr>
        <w:ind w:left="714" w:hanging="357"/>
      </w:pPr>
      <w:r w:rsidRPr="00F30398">
        <w:t xml:space="preserve">Support the NTP Manager with clinical duties, by assisting in the TB clinics as required. </w:t>
      </w:r>
    </w:p>
    <w:p w:rsidR="008434CC" w:rsidRPr="00F30398" w:rsidRDefault="008434CC" w:rsidP="00CD7A11">
      <w:pPr>
        <w:spacing w:before="180"/>
      </w:pPr>
      <w:r w:rsidRPr="00F30398">
        <w:t>The role of the NTP Co-ordinator will therefore include the following tasks:</w:t>
      </w:r>
    </w:p>
    <w:p w:rsidR="008434CC" w:rsidRPr="00F30398" w:rsidRDefault="008434CC" w:rsidP="00CD7A11">
      <w:pPr>
        <w:ind w:left="714" w:hanging="357"/>
      </w:pPr>
      <w:r w:rsidRPr="00F30398">
        <w:t>•</w:t>
      </w:r>
      <w:r w:rsidRPr="00F30398">
        <w:tab/>
        <w:t>Manage and co-ordinate the Project according to an agreed work plan, including monitoring progress against an agreed performance framework</w:t>
      </w:r>
    </w:p>
    <w:p w:rsidR="008434CC" w:rsidRPr="00F30398" w:rsidRDefault="008434CC" w:rsidP="00CD7A11">
      <w:pPr>
        <w:pStyle w:val="ListParagraph"/>
        <w:numPr>
          <w:ilvl w:val="0"/>
          <w:numId w:val="53"/>
        </w:numPr>
        <w:ind w:left="714" w:hanging="357"/>
        <w:contextualSpacing w:val="0"/>
      </w:pPr>
      <w:r w:rsidRPr="00F30398">
        <w:t>Work with the Project Accountant and the Manager of the MHMS project financial management unit to ensure that financial oversight of the Project and management of fiduciary risk are satisfactory, and that mobilisation of resources and acquittals of expenditure are timely</w:t>
      </w:r>
    </w:p>
    <w:p w:rsidR="008434CC" w:rsidRPr="00F30398" w:rsidRDefault="008434CC" w:rsidP="00CD7A11">
      <w:pPr>
        <w:ind w:left="714" w:hanging="357"/>
      </w:pPr>
      <w:r w:rsidRPr="00F30398">
        <w:t>•</w:t>
      </w:r>
      <w:r w:rsidRPr="00F30398">
        <w:tab/>
        <w:t>Participate in and report to the Project governance body (as described in Section 7)</w:t>
      </w:r>
    </w:p>
    <w:p w:rsidR="008434CC" w:rsidRDefault="008434CC" w:rsidP="00CD7A11">
      <w:pPr>
        <w:ind w:left="714" w:hanging="357"/>
      </w:pPr>
      <w:r w:rsidRPr="00F30398">
        <w:t>•</w:t>
      </w:r>
      <w:r w:rsidRPr="00F30398">
        <w:tab/>
        <w:t>Provide Project-specific reports to SPC’s TB Team and the Project governance body on a regular basis (as described</w:t>
      </w:r>
      <w:r>
        <w:t xml:space="preserve"> in Sections 9 and 10)</w:t>
      </w:r>
    </w:p>
    <w:p w:rsidR="008434CC" w:rsidRDefault="008434CC" w:rsidP="00CD7A11">
      <w:pPr>
        <w:ind w:left="714" w:hanging="357"/>
      </w:pPr>
      <w:r w:rsidRPr="00970DBE">
        <w:t>•</w:t>
      </w:r>
      <w:r w:rsidRPr="00970DBE">
        <w:tab/>
        <w:t>Liaise with appropriate government authorities and community leaders to ensure timely implementation of the Project</w:t>
      </w:r>
    </w:p>
    <w:p w:rsidR="008434CC" w:rsidRPr="00872B12" w:rsidRDefault="008434CC" w:rsidP="00CD7A11">
      <w:pPr>
        <w:ind w:left="714" w:hanging="357"/>
      </w:pPr>
      <w:r w:rsidRPr="00B55271">
        <w:t>•</w:t>
      </w:r>
      <w:r w:rsidRPr="00B55271">
        <w:tab/>
      </w:r>
      <w:r>
        <w:t xml:space="preserve">Under the direction of the NTP Manager and assisted by the Senior Adviser, organise </w:t>
      </w:r>
      <w:r w:rsidRPr="0065418B">
        <w:t>the annual program review and compilation of the annual NTP report</w:t>
      </w:r>
      <w:r>
        <w:t>.</w:t>
      </w:r>
    </w:p>
    <w:p w:rsidR="008434CC" w:rsidRPr="00F30398" w:rsidRDefault="008434CC" w:rsidP="00E925CA">
      <w:pPr>
        <w:spacing w:before="180"/>
      </w:pPr>
      <w:r>
        <w:t xml:space="preserve">If time permits (and subject to MHMS agreement), the Senior Adviser may occasionally be released to provide technical and managerial support to </w:t>
      </w:r>
      <w:r w:rsidRPr="00F30398">
        <w:t xml:space="preserve">the national tuberculosis programs of other countries in the region in the event of an outbreak or significant performance challenges; separate funding for these tasks will be provided through SPC.  </w:t>
      </w:r>
    </w:p>
    <w:p w:rsidR="008434CC" w:rsidRDefault="008434CC" w:rsidP="00C95E62">
      <w:r w:rsidRPr="00F30398">
        <w:rPr>
          <w:color w:val="000000"/>
        </w:rPr>
        <w:t xml:space="preserve">One additional staff member will be recruited under this Project: a </w:t>
      </w:r>
      <w:r w:rsidRPr="00F30398">
        <w:rPr>
          <w:b/>
          <w:i/>
        </w:rPr>
        <w:t>Project Accountant</w:t>
      </w:r>
      <w:r w:rsidRPr="00F30398">
        <w:rPr>
          <w:color w:val="000000"/>
        </w:rPr>
        <w:t xml:space="preserve">, who will manage the Project finances.  </w:t>
      </w:r>
      <w:r w:rsidRPr="00F30398">
        <w:t>Many of the procedural accounting and book-keeping functions incumbent on the present Project Coordinator role will devolve to the</w:t>
      </w:r>
      <w:r w:rsidRPr="00F30398">
        <w:rPr>
          <w:color w:val="000000"/>
        </w:rPr>
        <w:t xml:space="preserve"> Project Accountant</w:t>
      </w:r>
      <w:r w:rsidRPr="00F30398">
        <w:t>, who will be responsible for the following tasks:</w:t>
      </w:r>
    </w:p>
    <w:p w:rsidR="008434CC" w:rsidRPr="0064603F" w:rsidRDefault="008434CC" w:rsidP="00B916EC">
      <w:pPr>
        <w:pStyle w:val="ListParagraph"/>
        <w:numPr>
          <w:ilvl w:val="0"/>
          <w:numId w:val="24"/>
        </w:numPr>
      </w:pPr>
      <w:r w:rsidRPr="0064603F">
        <w:t>Manage Project funds at the country level, including disbursements, acquittals and financial monitoring</w:t>
      </w:r>
    </w:p>
    <w:p w:rsidR="008434CC" w:rsidRDefault="008434CC" w:rsidP="00B916EC">
      <w:pPr>
        <w:pStyle w:val="ListParagraph"/>
        <w:numPr>
          <w:ilvl w:val="0"/>
          <w:numId w:val="24"/>
        </w:numPr>
      </w:pPr>
      <w:r>
        <w:t xml:space="preserve">Disburse </w:t>
      </w:r>
      <w:r w:rsidRPr="00B929EA">
        <w:t xml:space="preserve">funds to the </w:t>
      </w:r>
      <w:r>
        <w:t>P</w:t>
      </w:r>
      <w:r w:rsidRPr="00B929EA">
        <w:t xml:space="preserve">roject according to </w:t>
      </w:r>
      <w:r>
        <w:t xml:space="preserve">an </w:t>
      </w:r>
      <w:r w:rsidRPr="00B929EA">
        <w:t xml:space="preserve">agreed protocol between </w:t>
      </w:r>
      <w:r>
        <w:t>SPC and the MHMS</w:t>
      </w:r>
    </w:p>
    <w:p w:rsidR="008434CC" w:rsidRPr="00881394" w:rsidRDefault="008434CC" w:rsidP="00B916EC">
      <w:pPr>
        <w:pStyle w:val="ListParagraph"/>
        <w:numPr>
          <w:ilvl w:val="0"/>
          <w:numId w:val="24"/>
        </w:numPr>
        <w:rPr>
          <w:color w:val="000000"/>
        </w:rPr>
      </w:pPr>
      <w:r w:rsidRPr="00881394">
        <w:rPr>
          <w:color w:val="000000"/>
        </w:rPr>
        <w:t xml:space="preserve">Provide financial reports to SPC’s TB Team, the NTP and AusAID on a regular basis (see Section </w:t>
      </w:r>
      <w:r>
        <w:rPr>
          <w:color w:val="000000"/>
        </w:rPr>
        <w:t>9</w:t>
      </w:r>
      <w:r w:rsidRPr="00881394">
        <w:rPr>
          <w:color w:val="000000"/>
        </w:rPr>
        <w:t>.3.2)</w:t>
      </w:r>
    </w:p>
    <w:p w:rsidR="008434CC" w:rsidRDefault="008434CC" w:rsidP="00881394">
      <w:pPr>
        <w:spacing w:before="180"/>
        <w:rPr>
          <w:color w:val="000000"/>
        </w:rPr>
      </w:pPr>
      <w:r>
        <w:t xml:space="preserve">It is anticipated that the Project Accountant will be co-located with the MHMS </w:t>
      </w:r>
      <w:r w:rsidRPr="00560A11">
        <w:rPr>
          <w:color w:val="000000"/>
        </w:rPr>
        <w:t>project financial management unit</w:t>
      </w:r>
      <w:r>
        <w:rPr>
          <w:color w:val="000000"/>
        </w:rPr>
        <w:t>.  However, with frequent contact with the Senior Adviser and attendance at fortnightly NTP coordination meetings will be required.</w:t>
      </w:r>
      <w:r w:rsidRPr="00560A11">
        <w:rPr>
          <w:color w:val="000000"/>
        </w:rPr>
        <w:t xml:space="preserve"> </w:t>
      </w:r>
    </w:p>
    <w:p w:rsidR="008434CC" w:rsidRPr="00F30398" w:rsidRDefault="008434CC" w:rsidP="00072036">
      <w:pPr>
        <w:spacing w:before="180"/>
      </w:pPr>
      <w:r>
        <w:t xml:space="preserve">Under the QTBECP, the Project sits alongside the NTP as a parallel organisational structure.  Under the new Project, it is proposed that Project-funded positions are integrated more organically into the </w:t>
      </w:r>
      <w:r w:rsidRPr="00F30398">
        <w:t xml:space="preserve">structure of the NTP, as Figure 11 shows.  </w:t>
      </w:r>
    </w:p>
    <w:p w:rsidR="008434CC" w:rsidRPr="00072036" w:rsidRDefault="008434CC" w:rsidP="00072036">
      <w:pPr>
        <w:spacing w:before="180"/>
        <w:jc w:val="center"/>
      </w:pPr>
      <w:r w:rsidRPr="00F30398">
        <w:rPr>
          <w:rFonts w:ascii="Arial" w:hAnsi="Arial" w:cs="Arial"/>
          <w:b/>
          <w:sz w:val="21"/>
          <w:szCs w:val="21"/>
        </w:rPr>
        <w:lastRenderedPageBreak/>
        <w:t>Figure 11: Organisational Chart showing MHMS-funded and Project-funded positions within the National TB Program</w:t>
      </w:r>
    </w:p>
    <w:p w:rsidR="008434CC" w:rsidRDefault="004C37E9" w:rsidP="005A06B7">
      <w:pPr>
        <w:ind w:left="170"/>
        <w:jc w:val="center"/>
      </w:pPr>
      <w:r>
        <w:rPr>
          <w:noProof/>
          <w:lang w:val="en-AU" w:eastAsia="en-AU"/>
        </w:rPr>
        <w:pict>
          <v:shape id="Picture 1" o:spid="_x0000_i1037" type="#_x0000_t75" style="width:309.75pt;height:207.75pt;visibility:visible">
            <v:imagedata r:id="rId27" o:title=""/>
          </v:shape>
        </w:pict>
      </w:r>
    </w:p>
    <w:p w:rsidR="008434CC" w:rsidRDefault="008434CC" w:rsidP="00DF0D27"/>
    <w:p w:rsidR="008434CC" w:rsidRDefault="008434CC" w:rsidP="00DF0D27">
      <w:r w:rsidRPr="00AB4FA2">
        <w:t xml:space="preserve">The </w:t>
      </w:r>
      <w:r w:rsidRPr="0064603F">
        <w:rPr>
          <w:b/>
          <w:i/>
        </w:rPr>
        <w:t>National TB Laboratory Supervisor</w:t>
      </w:r>
      <w:r w:rsidRPr="004C624D">
        <w:t xml:space="preserve"> </w:t>
      </w:r>
      <w:r w:rsidRPr="00642CEE">
        <w:t>is</w:t>
      </w:r>
      <w:r w:rsidRPr="00647605">
        <w:t xml:space="preserve"> </w:t>
      </w:r>
      <w:r>
        <w:t>d</w:t>
      </w:r>
      <w:r w:rsidRPr="00B929EA">
        <w:t xml:space="preserve">irectly responsible for </w:t>
      </w:r>
      <w:r>
        <w:t xml:space="preserve">the </w:t>
      </w:r>
      <w:r w:rsidRPr="00B929EA">
        <w:t>day</w:t>
      </w:r>
      <w:r>
        <w:t>-</w:t>
      </w:r>
      <w:r w:rsidRPr="00B929EA">
        <w:t>to</w:t>
      </w:r>
      <w:r>
        <w:t>-</w:t>
      </w:r>
      <w:r w:rsidRPr="00B929EA">
        <w:t xml:space="preserve">day </w:t>
      </w:r>
      <w:r>
        <w:t>operations of</w:t>
      </w:r>
      <w:r w:rsidRPr="00B929EA">
        <w:t xml:space="preserve"> the </w:t>
      </w:r>
      <w:r>
        <w:t xml:space="preserve">TB </w:t>
      </w:r>
      <w:r w:rsidRPr="00B929EA">
        <w:t>laboratory</w:t>
      </w:r>
      <w:r>
        <w:t xml:space="preserve">.  The role will essentially continue as per QTBECP, i.e. </w:t>
      </w:r>
    </w:p>
    <w:p w:rsidR="008434CC" w:rsidRDefault="008434CC" w:rsidP="00B916EC">
      <w:pPr>
        <w:pStyle w:val="ListParagraph"/>
        <w:numPr>
          <w:ilvl w:val="0"/>
          <w:numId w:val="31"/>
        </w:numPr>
        <w:tabs>
          <w:tab w:val="num" w:pos="426"/>
        </w:tabs>
      </w:pPr>
      <w:r>
        <w:t>S</w:t>
      </w:r>
      <w:r w:rsidRPr="00B929EA">
        <w:t>uperv</w:t>
      </w:r>
      <w:r>
        <w:t xml:space="preserve">ise </w:t>
      </w:r>
      <w:r w:rsidRPr="00B929EA">
        <w:t>the laboratory technician</w:t>
      </w:r>
      <w:r>
        <w:t>(s)</w:t>
      </w:r>
      <w:r w:rsidRPr="00B929EA">
        <w:t xml:space="preserve"> </w:t>
      </w:r>
    </w:p>
    <w:p w:rsidR="008434CC" w:rsidRDefault="008434CC" w:rsidP="00B916EC">
      <w:pPr>
        <w:pStyle w:val="ListParagraph"/>
        <w:numPr>
          <w:ilvl w:val="0"/>
          <w:numId w:val="31"/>
        </w:numPr>
        <w:tabs>
          <w:tab w:val="num" w:pos="426"/>
        </w:tabs>
      </w:pPr>
      <w:r>
        <w:t>Collaborate with the NTP to e</w:t>
      </w:r>
      <w:r w:rsidRPr="00B929EA">
        <w:t xml:space="preserve">nsure that the TB laboratory fully supports </w:t>
      </w:r>
      <w:r>
        <w:t xml:space="preserve">the </w:t>
      </w:r>
      <w:r w:rsidRPr="00B929EA">
        <w:t>NTP</w:t>
      </w:r>
    </w:p>
    <w:p w:rsidR="008434CC" w:rsidRDefault="008434CC" w:rsidP="00B916EC">
      <w:pPr>
        <w:pStyle w:val="ListParagraph"/>
        <w:numPr>
          <w:ilvl w:val="0"/>
          <w:numId w:val="31"/>
        </w:numPr>
        <w:tabs>
          <w:tab w:val="num" w:pos="426"/>
        </w:tabs>
      </w:pPr>
      <w:r>
        <w:t>Collaborate with the National Laboratory Manager to e</w:t>
      </w:r>
      <w:r w:rsidRPr="00B929EA">
        <w:t xml:space="preserve">nsure that the TB laboratory </w:t>
      </w:r>
      <w:r>
        <w:t xml:space="preserve">remains </w:t>
      </w:r>
      <w:r w:rsidRPr="00B929EA">
        <w:t xml:space="preserve">fully </w:t>
      </w:r>
      <w:r>
        <w:t>consistent with broader national laboratory strategies and policies</w:t>
      </w:r>
    </w:p>
    <w:p w:rsidR="008434CC" w:rsidRDefault="008434CC" w:rsidP="00B916EC">
      <w:pPr>
        <w:pStyle w:val="ListParagraph"/>
        <w:numPr>
          <w:ilvl w:val="0"/>
          <w:numId w:val="31"/>
        </w:numPr>
        <w:tabs>
          <w:tab w:val="num" w:pos="426"/>
        </w:tabs>
      </w:pPr>
      <w:r>
        <w:t>Implement QC activities appropriate to current technologies available in the TB laboratory (microscopy) and those about to be introduced (TB culture)</w:t>
      </w:r>
    </w:p>
    <w:p w:rsidR="008434CC" w:rsidRDefault="008434CC" w:rsidP="00B916EC">
      <w:pPr>
        <w:pStyle w:val="ListParagraph"/>
        <w:numPr>
          <w:ilvl w:val="0"/>
          <w:numId w:val="31"/>
        </w:numPr>
        <w:tabs>
          <w:tab w:val="num" w:pos="426"/>
        </w:tabs>
      </w:pPr>
      <w:r>
        <w:t>Participate in EQAS activities</w:t>
      </w:r>
    </w:p>
    <w:p w:rsidR="008434CC" w:rsidRDefault="008434CC" w:rsidP="00B916EC">
      <w:pPr>
        <w:pStyle w:val="ListParagraph"/>
        <w:numPr>
          <w:ilvl w:val="0"/>
          <w:numId w:val="31"/>
        </w:numPr>
        <w:tabs>
          <w:tab w:val="num" w:pos="426"/>
        </w:tabs>
      </w:pPr>
      <w:r>
        <w:t>Maintain and complete TB laboratory recording and reporting tools</w:t>
      </w:r>
      <w:r w:rsidRPr="00B929EA">
        <w:t xml:space="preserve"> </w:t>
      </w:r>
    </w:p>
    <w:p w:rsidR="008434CC" w:rsidRDefault="008434CC" w:rsidP="00B916EC">
      <w:pPr>
        <w:pStyle w:val="ListParagraph"/>
        <w:numPr>
          <w:ilvl w:val="0"/>
          <w:numId w:val="31"/>
        </w:numPr>
        <w:tabs>
          <w:tab w:val="num" w:pos="426"/>
        </w:tabs>
      </w:pPr>
      <w:r>
        <w:t>Collaborate with external technical consultants to improve laboratory operations</w:t>
      </w:r>
    </w:p>
    <w:p w:rsidR="008434CC" w:rsidRDefault="008434CC" w:rsidP="00B916EC">
      <w:pPr>
        <w:pStyle w:val="ListParagraph"/>
        <w:numPr>
          <w:ilvl w:val="0"/>
          <w:numId w:val="31"/>
        </w:numPr>
        <w:tabs>
          <w:tab w:val="num" w:pos="426"/>
        </w:tabs>
      </w:pPr>
      <w:r>
        <w:t>Provide laboratory training</w:t>
      </w:r>
    </w:p>
    <w:p w:rsidR="008434CC" w:rsidRDefault="008434CC" w:rsidP="00C23766">
      <w:pPr>
        <w:spacing w:before="180"/>
      </w:pPr>
      <w:r>
        <w:t>Depending on the findings of the laboratory policy analysis and the evolving TB laboratory strategy, the Laboratory Supervisor’s role may need to be adjusted to include the following tasks.</w:t>
      </w:r>
    </w:p>
    <w:p w:rsidR="008434CC" w:rsidRDefault="008434CC" w:rsidP="00821639">
      <w:pPr>
        <w:pStyle w:val="ListParagraph"/>
        <w:keepNext/>
        <w:numPr>
          <w:ilvl w:val="0"/>
          <w:numId w:val="31"/>
        </w:numPr>
        <w:tabs>
          <w:tab w:val="num" w:pos="426"/>
        </w:tabs>
        <w:ind w:left="714" w:hanging="357"/>
      </w:pPr>
      <w:r w:rsidRPr="00B929EA">
        <w:t>Implement</w:t>
      </w:r>
      <w:r>
        <w:t xml:space="preserve"> </w:t>
      </w:r>
      <w:r w:rsidRPr="00644007">
        <w:rPr>
          <w:i/>
        </w:rPr>
        <w:t>Xpert</w:t>
      </w:r>
      <w:r w:rsidRPr="00990D12">
        <w:rPr>
          <w:rFonts w:ascii="SabonLTStd-Roman" w:hAnsi="SabonLTStd-Roman" w:cs="SabonLTStd-Roman"/>
          <w:color w:val="221E1F"/>
          <w:sz w:val="13"/>
          <w:szCs w:val="13"/>
          <w:lang w:val="en-AU"/>
        </w:rPr>
        <w:t>®</w:t>
      </w:r>
      <w:r w:rsidRPr="00B929EA">
        <w:t xml:space="preserve"> MTB/R</w:t>
      </w:r>
      <w:r>
        <w:t>IF</w:t>
      </w:r>
      <w:r w:rsidRPr="00B929EA">
        <w:t xml:space="preserve"> test</w:t>
      </w:r>
      <w:r>
        <w:t>ing and/or DST</w:t>
      </w:r>
    </w:p>
    <w:p w:rsidR="008434CC" w:rsidRDefault="008434CC" w:rsidP="00B916EC">
      <w:pPr>
        <w:pStyle w:val="ListParagraph"/>
        <w:numPr>
          <w:ilvl w:val="0"/>
          <w:numId w:val="31"/>
        </w:numPr>
        <w:tabs>
          <w:tab w:val="num" w:pos="426"/>
        </w:tabs>
      </w:pPr>
      <w:r>
        <w:t>Implement QC activities appropriate to any newly introduced technologies</w:t>
      </w:r>
    </w:p>
    <w:p w:rsidR="008434CC" w:rsidRDefault="008434CC" w:rsidP="00B916EC">
      <w:pPr>
        <w:pStyle w:val="ListParagraph"/>
        <w:numPr>
          <w:ilvl w:val="0"/>
          <w:numId w:val="31"/>
        </w:numPr>
        <w:tabs>
          <w:tab w:val="num" w:pos="426"/>
        </w:tabs>
      </w:pPr>
      <w:r>
        <w:t>Participate in EQAS activities</w:t>
      </w:r>
      <w:r w:rsidRPr="00644007">
        <w:t xml:space="preserve"> </w:t>
      </w:r>
      <w:r>
        <w:t>appropriate to any newly introduced technologies</w:t>
      </w:r>
    </w:p>
    <w:p w:rsidR="008434CC" w:rsidRDefault="008434CC" w:rsidP="00CB1C0F">
      <w:r>
        <w:t xml:space="preserve">The roles and responsibilities of </w:t>
      </w:r>
      <w:r w:rsidRPr="00632583">
        <w:rPr>
          <w:b/>
          <w:i/>
        </w:rPr>
        <w:t>other Project-engaged staff</w:t>
      </w:r>
      <w:r>
        <w:t xml:space="preserve"> are expected to remain much the same as under present arrangements, but subject to the requirements of the expanded active case finding and contact tracing strategy.</w:t>
      </w:r>
    </w:p>
    <w:p w:rsidR="008434CC" w:rsidRDefault="008434CC" w:rsidP="00054FB8">
      <w:pPr>
        <w:pStyle w:val="Heading3"/>
      </w:pPr>
      <w:bookmarkStart w:id="64" w:name="_Toc331686123"/>
      <w:r>
        <w:t>6.4.3 Terms and Conditions</w:t>
      </w:r>
      <w:bookmarkEnd w:id="64"/>
    </w:p>
    <w:p w:rsidR="008434CC" w:rsidRPr="00F30398" w:rsidRDefault="008434CC" w:rsidP="006B0554">
      <w:r w:rsidRPr="00F30398">
        <w:t xml:space="preserve">Detailed </w:t>
      </w:r>
      <w:r w:rsidRPr="00F30398">
        <w:rPr>
          <w:b/>
          <w:i/>
        </w:rPr>
        <w:t>terms of reference</w:t>
      </w:r>
      <w:r w:rsidRPr="00F30398">
        <w:t xml:space="preserve"> (TORs) for the Senior NTP Consultant / Project Adviser and the NTP Co-ordinator will be developed by October 2012, i.e. prior to the commencement of the proposed Project. </w:t>
      </w:r>
    </w:p>
    <w:p w:rsidR="008434CC" w:rsidRPr="00F30398" w:rsidRDefault="008434CC" w:rsidP="006B0554">
      <w:r w:rsidRPr="00F30398">
        <w:lastRenderedPageBreak/>
        <w:t xml:space="preserve">TORs for all other positions funded through the Project will be finalised at the beginning of the Transitional Phase.  </w:t>
      </w:r>
    </w:p>
    <w:p w:rsidR="008434CC" w:rsidRPr="00F30398" w:rsidRDefault="008434CC" w:rsidP="006B0554">
      <w:r w:rsidRPr="00F30398">
        <w:t>Terms and conditions for Project-funded staff will be aligned with prevailing GOK provisions.</w:t>
      </w:r>
    </w:p>
    <w:p w:rsidR="008434CC" w:rsidRPr="00F30398" w:rsidRDefault="008434CC" w:rsidP="00BA0E53">
      <w:pPr>
        <w:pStyle w:val="Heading2"/>
      </w:pPr>
      <w:bookmarkStart w:id="65" w:name="_Toc331686124"/>
      <w:r w:rsidRPr="00F30398">
        <w:t>6.5 Phasing of Project Support</w:t>
      </w:r>
      <w:bookmarkEnd w:id="65"/>
    </w:p>
    <w:p w:rsidR="008434CC" w:rsidRPr="00F30398" w:rsidRDefault="008434CC" w:rsidP="00054FB8">
      <w:pPr>
        <w:pStyle w:val="Heading3"/>
      </w:pPr>
      <w:bookmarkStart w:id="66" w:name="_Toc331686125"/>
      <w:r w:rsidRPr="00F30398">
        <w:t>6.5.1 Transitional Phase</w:t>
      </w:r>
      <w:bookmarkEnd w:id="66"/>
    </w:p>
    <w:p w:rsidR="008434CC" w:rsidRPr="00F30398" w:rsidRDefault="008434CC" w:rsidP="002A57EB">
      <w:r w:rsidRPr="00F30398">
        <w:t xml:space="preserve">The three-month transitional period from October to December 2012 will enable the Project to align to the GOK fiscal year, which is the calendar year. </w:t>
      </w:r>
    </w:p>
    <w:p w:rsidR="008434CC" w:rsidRPr="00F30398" w:rsidRDefault="008434CC" w:rsidP="002A57EB">
      <w:r w:rsidRPr="00F30398">
        <w:t xml:space="preserve">The key priorities for the Transition Phase include: </w:t>
      </w:r>
    </w:p>
    <w:p w:rsidR="008434CC" w:rsidRPr="00F30398" w:rsidRDefault="008434CC" w:rsidP="00821639">
      <w:pPr>
        <w:pStyle w:val="ListParagraph"/>
        <w:numPr>
          <w:ilvl w:val="0"/>
          <w:numId w:val="14"/>
        </w:numPr>
        <w:tabs>
          <w:tab w:val="left" w:pos="851"/>
        </w:tabs>
        <w:ind w:left="714" w:hanging="357"/>
      </w:pPr>
      <w:r w:rsidRPr="00F30398">
        <w:t>Development of the first annual integrated work plan and budget, i.e. for 2013;</w:t>
      </w:r>
    </w:p>
    <w:p w:rsidR="008434CC" w:rsidRPr="00F30398" w:rsidRDefault="008434CC" w:rsidP="00821639">
      <w:pPr>
        <w:pStyle w:val="ListParagraph"/>
        <w:numPr>
          <w:ilvl w:val="0"/>
          <w:numId w:val="14"/>
        </w:numPr>
        <w:tabs>
          <w:tab w:val="left" w:pos="851"/>
        </w:tabs>
        <w:ind w:left="714" w:hanging="357"/>
      </w:pPr>
      <w:r w:rsidRPr="00F30398">
        <w:t xml:space="preserve">Agreement on baselines and indicators for NTP </w:t>
      </w:r>
      <w:r w:rsidRPr="00F30398">
        <w:rPr>
          <w:i/>
        </w:rPr>
        <w:t>Strategic Plan</w:t>
      </w:r>
      <w:r w:rsidRPr="00F30398">
        <w:t>, especially where those baselines and indicators are shared with the Project’s performance framework (Appendix 3);</w:t>
      </w:r>
    </w:p>
    <w:p w:rsidR="008434CC" w:rsidRPr="00F30398" w:rsidRDefault="008434CC" w:rsidP="00821639">
      <w:pPr>
        <w:pStyle w:val="ListParagraph"/>
        <w:numPr>
          <w:ilvl w:val="0"/>
          <w:numId w:val="14"/>
        </w:numPr>
        <w:tabs>
          <w:tab w:val="left" w:pos="851"/>
        </w:tabs>
        <w:ind w:left="714" w:hanging="357"/>
      </w:pPr>
      <w:r w:rsidRPr="00F30398">
        <w:t>Continuation of essential elements of support from QTBECP, including personnel costs for 5 NTP staff members;</w:t>
      </w:r>
    </w:p>
    <w:p w:rsidR="008434CC" w:rsidRPr="00F30398" w:rsidRDefault="008434CC" w:rsidP="00821639">
      <w:pPr>
        <w:pStyle w:val="ListParagraph"/>
        <w:numPr>
          <w:ilvl w:val="0"/>
          <w:numId w:val="14"/>
        </w:numPr>
        <w:tabs>
          <w:tab w:val="left" w:pos="851"/>
        </w:tabs>
        <w:ind w:left="714" w:hanging="357"/>
        <w:rPr>
          <w:rStyle w:val="Style11ptBlack"/>
          <w:rFonts w:ascii="Calibri" w:hAnsi="Calibri"/>
          <w:color w:val="auto"/>
          <w:sz w:val="22"/>
        </w:rPr>
      </w:pPr>
      <w:r w:rsidRPr="00F30398">
        <w:t>Confirmation of TORs and job descriptions for all Project-engaged staff working on the NTP</w:t>
      </w:r>
      <w:r w:rsidRPr="00F30398">
        <w:rPr>
          <w:rStyle w:val="Style11ptBlack"/>
          <w:rFonts w:ascii="Calibri" w:hAnsi="Calibri" w:cs="Calibri"/>
          <w:sz w:val="22"/>
        </w:rPr>
        <w:t>;</w:t>
      </w:r>
    </w:p>
    <w:p w:rsidR="008434CC" w:rsidRPr="00F30398" w:rsidRDefault="008434CC" w:rsidP="00821639">
      <w:pPr>
        <w:pStyle w:val="ListParagraph"/>
        <w:numPr>
          <w:ilvl w:val="0"/>
          <w:numId w:val="14"/>
        </w:numPr>
        <w:tabs>
          <w:tab w:val="left" w:pos="851"/>
        </w:tabs>
        <w:ind w:left="714" w:hanging="357"/>
        <w:rPr>
          <w:rStyle w:val="Style11ptBlack"/>
          <w:rFonts w:ascii="Calibri" w:hAnsi="Calibri"/>
          <w:color w:val="auto"/>
          <w:sz w:val="22"/>
        </w:rPr>
      </w:pPr>
      <w:r w:rsidRPr="00F30398">
        <w:rPr>
          <w:rStyle w:val="Style11ptBlack"/>
          <w:rFonts w:ascii="Calibri" w:hAnsi="Calibri" w:cs="Calibri"/>
          <w:sz w:val="22"/>
        </w:rPr>
        <w:t xml:space="preserve">Confirmation of core TORs and, if possible, membership of </w:t>
      </w:r>
      <w:r w:rsidRPr="00F30398">
        <w:rPr>
          <w:color w:val="000000"/>
        </w:rPr>
        <w:t xml:space="preserve">Technical Advisory Group </w:t>
      </w:r>
      <w:r w:rsidRPr="00F30398">
        <w:t xml:space="preserve">(TAG; </w:t>
      </w:r>
      <w:r w:rsidRPr="00F30398">
        <w:rPr>
          <w:color w:val="000000"/>
        </w:rPr>
        <w:t xml:space="preserve">see </w:t>
      </w:r>
      <w:r w:rsidRPr="00F30398">
        <w:rPr>
          <w:rStyle w:val="Style11ptBlack"/>
          <w:rFonts w:ascii="Calibri" w:hAnsi="Calibri" w:cs="Calibri"/>
          <w:sz w:val="22"/>
        </w:rPr>
        <w:t>Section 7.6)</w:t>
      </w:r>
      <w:r w:rsidRPr="00F30398">
        <w:rPr>
          <w:color w:val="000000"/>
        </w:rPr>
        <w:t>;</w:t>
      </w:r>
    </w:p>
    <w:p w:rsidR="008434CC" w:rsidRPr="00F30398" w:rsidRDefault="008434CC" w:rsidP="00821639">
      <w:pPr>
        <w:pStyle w:val="ListParagraph"/>
        <w:numPr>
          <w:ilvl w:val="0"/>
          <w:numId w:val="14"/>
        </w:numPr>
        <w:tabs>
          <w:tab w:val="left" w:pos="851"/>
        </w:tabs>
        <w:ind w:left="714" w:hanging="357"/>
        <w:rPr>
          <w:color w:val="000000"/>
        </w:rPr>
      </w:pPr>
      <w:r w:rsidRPr="00F30398">
        <w:rPr>
          <w:rStyle w:val="Style11ptBlack"/>
          <w:rFonts w:ascii="Calibri" w:hAnsi="Calibri" w:cs="Calibri"/>
          <w:sz w:val="22"/>
        </w:rPr>
        <w:t xml:space="preserve">Confirmation of banking and financial management arrangements </w:t>
      </w:r>
      <w:r w:rsidRPr="00F30398">
        <w:rPr>
          <w:color w:val="000000"/>
        </w:rPr>
        <w:t xml:space="preserve">(see </w:t>
      </w:r>
      <w:r w:rsidRPr="00F30398">
        <w:rPr>
          <w:rStyle w:val="Style11ptBlack"/>
          <w:rFonts w:ascii="Calibri" w:hAnsi="Calibri" w:cs="Calibri"/>
          <w:sz w:val="22"/>
        </w:rPr>
        <w:t>Section 7.3)</w:t>
      </w:r>
      <w:r w:rsidRPr="00F30398">
        <w:rPr>
          <w:color w:val="000000"/>
        </w:rPr>
        <w:t>;</w:t>
      </w:r>
    </w:p>
    <w:p w:rsidR="008434CC" w:rsidRPr="00F30398" w:rsidRDefault="008434CC" w:rsidP="00821639">
      <w:pPr>
        <w:pStyle w:val="ListParagraph"/>
        <w:numPr>
          <w:ilvl w:val="0"/>
          <w:numId w:val="14"/>
        </w:numPr>
        <w:tabs>
          <w:tab w:val="left" w:pos="851"/>
        </w:tabs>
        <w:ind w:left="714" w:hanging="357"/>
        <w:rPr>
          <w:rStyle w:val="Style11ptBlack"/>
          <w:rFonts w:ascii="Calibri" w:hAnsi="Calibri"/>
          <w:sz w:val="22"/>
        </w:rPr>
      </w:pPr>
      <w:r w:rsidRPr="00F30398">
        <w:rPr>
          <w:rStyle w:val="Style11ptBlack"/>
          <w:rFonts w:ascii="Calibri" w:hAnsi="Calibri" w:cs="Calibri"/>
          <w:sz w:val="22"/>
        </w:rPr>
        <w:t>Development of Active Case Finding Strategy, reflecting (where appropriate) available evidence and lessons from comparable countries;</w:t>
      </w:r>
      <w:r w:rsidRPr="00F30398">
        <w:rPr>
          <w:rStyle w:val="FootnoteReference"/>
          <w:rFonts w:cs="Calibri"/>
          <w:color w:val="000000"/>
        </w:rPr>
        <w:footnoteReference w:id="22"/>
      </w:r>
    </w:p>
    <w:p w:rsidR="008434CC" w:rsidRPr="00F30398" w:rsidRDefault="008434CC" w:rsidP="00821639">
      <w:pPr>
        <w:pStyle w:val="ListParagraph"/>
        <w:numPr>
          <w:ilvl w:val="0"/>
          <w:numId w:val="14"/>
        </w:numPr>
        <w:tabs>
          <w:tab w:val="left" w:pos="851"/>
        </w:tabs>
        <w:ind w:left="714" w:hanging="357"/>
        <w:rPr>
          <w:color w:val="000000"/>
        </w:rPr>
      </w:pPr>
      <w:r w:rsidRPr="00F30398">
        <w:rPr>
          <w:rStyle w:val="Style11ptBlack"/>
          <w:rFonts w:ascii="Calibri" w:hAnsi="Calibri" w:cs="Calibri"/>
          <w:sz w:val="22"/>
        </w:rPr>
        <w:t>Commencement of NTP human resources analysis and planning</w:t>
      </w:r>
      <w:r w:rsidRPr="00F30398">
        <w:rPr>
          <w:color w:val="000000"/>
        </w:rPr>
        <w:t>.</w:t>
      </w:r>
    </w:p>
    <w:p w:rsidR="008434CC" w:rsidRPr="00F30398" w:rsidRDefault="008434CC" w:rsidP="00054FB8">
      <w:pPr>
        <w:pStyle w:val="Heading3"/>
      </w:pPr>
      <w:bookmarkStart w:id="67" w:name="_Toc331686126"/>
      <w:r w:rsidRPr="00F30398">
        <w:t>6.5.2 Phase 1 (Alignment and Support Phase)</w:t>
      </w:r>
      <w:bookmarkEnd w:id="67"/>
    </w:p>
    <w:p w:rsidR="008434CC" w:rsidRPr="00F30398" w:rsidRDefault="008434CC" w:rsidP="002A57EB">
      <w:r w:rsidRPr="00F30398">
        <w:t xml:space="preserve">Phase 1 proper – the Alignment and Support Phase – will then run for a maximum of 3 years (January 2013 to December 2015). </w:t>
      </w:r>
    </w:p>
    <w:p w:rsidR="008434CC" w:rsidRPr="00F30398" w:rsidRDefault="008434CC" w:rsidP="002A57EB">
      <w:r w:rsidRPr="00F30398">
        <w:t>Key priorities for Phase 1 include:</w:t>
      </w:r>
    </w:p>
    <w:p w:rsidR="008434CC" w:rsidRPr="00F30398" w:rsidRDefault="008434CC" w:rsidP="00821639">
      <w:pPr>
        <w:pStyle w:val="ListParagraph"/>
        <w:numPr>
          <w:ilvl w:val="0"/>
          <w:numId w:val="14"/>
        </w:numPr>
        <w:tabs>
          <w:tab w:val="left" w:pos="360"/>
        </w:tabs>
        <w:ind w:left="714" w:hanging="357"/>
        <w:contextualSpacing w:val="0"/>
      </w:pPr>
      <w:r w:rsidRPr="00F30398">
        <w:t>Further strengthening of infrastructure and systems developed under QTBEC Phases 1 and 2 and the Global Fund TB grant, to ensure high quality TB services are available and accessible to the community;</w:t>
      </w:r>
    </w:p>
    <w:p w:rsidR="008434CC" w:rsidRPr="00F30398" w:rsidRDefault="008434CC" w:rsidP="00821639">
      <w:pPr>
        <w:pStyle w:val="ListParagraph"/>
        <w:numPr>
          <w:ilvl w:val="0"/>
          <w:numId w:val="14"/>
        </w:numPr>
        <w:tabs>
          <w:tab w:val="left" w:pos="360"/>
        </w:tabs>
        <w:ind w:left="714" w:hanging="357"/>
        <w:contextualSpacing w:val="0"/>
      </w:pPr>
      <w:r w:rsidRPr="00F30398">
        <w:t xml:space="preserve">Consolidation and alignment of resources from other projects and the MHMS to further improve the quality of TB services, extend community outreach to vulnerable communities, and support capacity building of staff; and </w:t>
      </w:r>
    </w:p>
    <w:p w:rsidR="008434CC" w:rsidRPr="00F30398" w:rsidRDefault="008434CC" w:rsidP="00821639">
      <w:pPr>
        <w:pStyle w:val="ListParagraph"/>
        <w:numPr>
          <w:ilvl w:val="0"/>
          <w:numId w:val="14"/>
        </w:numPr>
        <w:tabs>
          <w:tab w:val="left" w:pos="360"/>
        </w:tabs>
        <w:ind w:left="714" w:hanging="357"/>
        <w:contextualSpacing w:val="0"/>
      </w:pPr>
      <w:r w:rsidRPr="00F30398">
        <w:lastRenderedPageBreak/>
        <w:t xml:space="preserve">Introduction, harmonisation and consolidation of TB services into national health systems and mechanisms (e.g. introduction of DOTS and other core NTP functions to the work of Nurse Aides on the outer islands and PHNs on South Tarawa). </w:t>
      </w:r>
    </w:p>
    <w:p w:rsidR="008434CC" w:rsidRPr="00F30398" w:rsidRDefault="008434CC" w:rsidP="002A57EB">
      <w:r w:rsidRPr="00F30398">
        <w:t xml:space="preserve">Careful review of progress during the second year of Phase 1 (2014) will inform decisions about whether to transition to Phase 2 a little early (i.e. at the beginning of or during 2015) or, as planned, in late 2015 / early 2016. </w:t>
      </w:r>
    </w:p>
    <w:p w:rsidR="008434CC" w:rsidRPr="00F30398" w:rsidRDefault="008434CC" w:rsidP="00054FB8">
      <w:pPr>
        <w:pStyle w:val="Heading3"/>
      </w:pPr>
      <w:bookmarkStart w:id="68" w:name="_Toc331686127"/>
      <w:r w:rsidRPr="00F30398">
        <w:t>6.5.3 Phase 2 (Integration Phase)</w:t>
      </w:r>
      <w:bookmarkEnd w:id="68"/>
    </w:p>
    <w:p w:rsidR="008434CC" w:rsidRPr="00F30398" w:rsidRDefault="008434CC" w:rsidP="007C20C9">
      <w:pPr>
        <w:rPr>
          <w:color w:val="000000"/>
        </w:rPr>
      </w:pPr>
      <w:r w:rsidRPr="00F30398">
        <w:rPr>
          <w:color w:val="000000"/>
        </w:rPr>
        <w:t xml:space="preserve">The principal focus of Phase 2 – the Integration Phase – will be to ensure the maintenance and long term sustainability of Project inputs and the NTP itself.  </w:t>
      </w:r>
    </w:p>
    <w:p w:rsidR="008434CC" w:rsidRPr="00F30398" w:rsidRDefault="008434CC" w:rsidP="007C20C9">
      <w:r w:rsidRPr="00F30398">
        <w:t xml:space="preserve">It will run for a minimum of two years (January 2016 to December 2017); subject to performance and progress with alignment during Phase 2, it may commence earlier but will nevertheless extend to the Project’s planned conclusion date. </w:t>
      </w:r>
    </w:p>
    <w:p w:rsidR="008434CC" w:rsidRPr="00F30398" w:rsidRDefault="008434CC" w:rsidP="00056D33">
      <w:pPr>
        <w:rPr>
          <w:color w:val="000000"/>
        </w:rPr>
      </w:pPr>
      <w:r w:rsidRPr="00F30398">
        <w:rPr>
          <w:color w:val="000000"/>
        </w:rPr>
        <w:t xml:space="preserve">This process will include the </w:t>
      </w:r>
      <w:r w:rsidRPr="00F30398">
        <w:rPr>
          <w:b/>
          <w:i/>
          <w:color w:val="000000"/>
        </w:rPr>
        <w:t>development a series of integration plans</w:t>
      </w:r>
      <w:r w:rsidRPr="00F30398">
        <w:rPr>
          <w:color w:val="000000"/>
        </w:rPr>
        <w:t xml:space="preserve"> </w:t>
      </w:r>
      <w:r w:rsidRPr="00F30398">
        <w:t xml:space="preserve">in the run-up to and during Phase 2 </w:t>
      </w:r>
      <w:r w:rsidRPr="00F30398">
        <w:rPr>
          <w:color w:val="000000"/>
        </w:rPr>
        <w:t xml:space="preserve">by the Senior NTP/Project Adviser and the NTP Manager (in consultation with SPC and the MHMS) to define and describe the </w:t>
      </w:r>
      <w:r w:rsidRPr="00F30398">
        <w:rPr>
          <w:i/>
          <w:color w:val="000000"/>
        </w:rPr>
        <w:t>gradual</w:t>
      </w:r>
      <w:r w:rsidRPr="00F30398">
        <w:rPr>
          <w:color w:val="000000"/>
        </w:rPr>
        <w:t xml:space="preserve"> transfer and </w:t>
      </w:r>
      <w:r w:rsidRPr="00F30398">
        <w:rPr>
          <w:i/>
          <w:color w:val="000000"/>
        </w:rPr>
        <w:t>integration</w:t>
      </w:r>
      <w:r w:rsidRPr="00F30398">
        <w:rPr>
          <w:color w:val="000000"/>
        </w:rPr>
        <w:t xml:space="preserve"> of Project elements into MHMS systems, including: </w:t>
      </w:r>
    </w:p>
    <w:p w:rsidR="008434CC" w:rsidRPr="00F30398" w:rsidRDefault="008434CC" w:rsidP="00821639">
      <w:pPr>
        <w:pStyle w:val="ListParagraph"/>
        <w:numPr>
          <w:ilvl w:val="0"/>
          <w:numId w:val="14"/>
        </w:numPr>
        <w:tabs>
          <w:tab w:val="left" w:pos="360"/>
        </w:tabs>
        <w:ind w:left="714" w:hanging="357"/>
        <w:contextualSpacing w:val="0"/>
      </w:pPr>
      <w:r w:rsidRPr="00F30398">
        <w:t>Ownership and responsibility for:</w:t>
      </w:r>
    </w:p>
    <w:p w:rsidR="008434CC" w:rsidRPr="00F30398" w:rsidRDefault="008434CC" w:rsidP="00063FEB">
      <w:pPr>
        <w:pStyle w:val="ListParagraph"/>
        <w:numPr>
          <w:ilvl w:val="1"/>
          <w:numId w:val="14"/>
        </w:numPr>
        <w:tabs>
          <w:tab w:val="left" w:pos="360"/>
        </w:tabs>
        <w:ind w:left="1134" w:hanging="283"/>
        <w:rPr>
          <w:color w:val="000000"/>
        </w:rPr>
      </w:pPr>
      <w:r w:rsidRPr="00F30398">
        <w:rPr>
          <w:color w:val="000000"/>
        </w:rPr>
        <w:t>Project-funded personnel (i.e. Project-supported NTP positions according to the NTP human resources analysis, projections and development plan – see Section 6.2.5)</w:t>
      </w:r>
    </w:p>
    <w:p w:rsidR="008434CC" w:rsidRPr="00F30398" w:rsidRDefault="008434CC" w:rsidP="00063FEB">
      <w:pPr>
        <w:pStyle w:val="ListParagraph"/>
        <w:numPr>
          <w:ilvl w:val="1"/>
          <w:numId w:val="14"/>
        </w:numPr>
        <w:tabs>
          <w:tab w:val="left" w:pos="360"/>
        </w:tabs>
        <w:ind w:left="1134" w:hanging="283"/>
      </w:pPr>
      <w:r w:rsidRPr="00F30398">
        <w:t xml:space="preserve">Project-funded infrastructure (e.g. Project-funded motor vehicles, the TBCC and adjacent </w:t>
      </w:r>
      <w:r w:rsidRPr="00F30398">
        <w:rPr>
          <w:i/>
        </w:rPr>
        <w:t>maneaba</w:t>
      </w:r>
      <w:r w:rsidRPr="00F30398">
        <w:t>, laboratory equipment, etc)</w:t>
      </w:r>
    </w:p>
    <w:p w:rsidR="008434CC" w:rsidRPr="00F30398" w:rsidRDefault="008434CC" w:rsidP="00821639">
      <w:pPr>
        <w:pStyle w:val="ListParagraph"/>
        <w:numPr>
          <w:ilvl w:val="0"/>
          <w:numId w:val="14"/>
        </w:numPr>
        <w:tabs>
          <w:tab w:val="left" w:pos="360"/>
        </w:tabs>
        <w:ind w:left="714" w:hanging="357"/>
        <w:contextualSpacing w:val="0"/>
      </w:pPr>
      <w:r w:rsidRPr="00F30398">
        <w:t xml:space="preserve">Absorption of other NTP functions and recurrent operating costs into the MHMS , including: </w:t>
      </w:r>
    </w:p>
    <w:p w:rsidR="008434CC" w:rsidRPr="00F30398" w:rsidRDefault="008434CC" w:rsidP="00063FEB">
      <w:pPr>
        <w:pStyle w:val="ListParagraph"/>
        <w:numPr>
          <w:ilvl w:val="1"/>
          <w:numId w:val="14"/>
        </w:numPr>
        <w:tabs>
          <w:tab w:val="left" w:pos="360"/>
        </w:tabs>
        <w:ind w:left="1134" w:hanging="283"/>
      </w:pPr>
      <w:r w:rsidRPr="00F30398">
        <w:t>NTP gradually taking primary responsibility for development of the integrated annual work plan and budget (which should clearly define the roles of participating stakeholders, and must be endorsed by the MHMS and, where relevant, have the agreement of donors)</w:t>
      </w:r>
    </w:p>
    <w:p w:rsidR="008434CC" w:rsidRPr="00F30398" w:rsidRDefault="008434CC" w:rsidP="00063FEB">
      <w:pPr>
        <w:pStyle w:val="ListParagraph"/>
        <w:numPr>
          <w:ilvl w:val="1"/>
          <w:numId w:val="14"/>
        </w:numPr>
        <w:tabs>
          <w:tab w:val="left" w:pos="360"/>
        </w:tabs>
        <w:ind w:left="1134" w:hanging="283"/>
      </w:pPr>
      <w:r w:rsidRPr="00F30398">
        <w:t xml:space="preserve">Maintenance and depreciation schedules for large scale infrastructure (e.g. the TBCC and </w:t>
      </w:r>
      <w:r w:rsidRPr="00F30398">
        <w:rPr>
          <w:i/>
        </w:rPr>
        <w:t>maneaba</w:t>
      </w:r>
      <w:r w:rsidRPr="00F30398">
        <w:t xml:space="preserve">, which should have been refurbished at MHMS cost during Phase 1 and exchanged  with the Project for the existing Maungan DOTS </w:t>
      </w:r>
      <w:r w:rsidRPr="00F30398">
        <w:rPr>
          <w:i/>
        </w:rPr>
        <w:t>maneaba</w:t>
      </w:r>
      <w:r w:rsidRPr="00F30398">
        <w:t>)</w:t>
      </w:r>
    </w:p>
    <w:p w:rsidR="008434CC" w:rsidRPr="00F30398" w:rsidRDefault="008434CC" w:rsidP="00063FEB">
      <w:pPr>
        <w:pStyle w:val="ListParagraph"/>
        <w:numPr>
          <w:ilvl w:val="1"/>
          <w:numId w:val="14"/>
        </w:numPr>
        <w:ind w:left="1134" w:hanging="283"/>
        <w:rPr>
          <w:color w:val="000000"/>
        </w:rPr>
      </w:pPr>
      <w:r w:rsidRPr="00F30398">
        <w:rPr>
          <w:color w:val="000000"/>
        </w:rPr>
        <w:t>TB laboratory functions, including the employment of suitably qualified laboratory technicians and maintaining consumables, equipment maintenance, engagement of technical support, and participation in EQAS</w:t>
      </w:r>
    </w:p>
    <w:p w:rsidR="008434CC" w:rsidRPr="00F30398" w:rsidRDefault="008434CC" w:rsidP="00063FEB">
      <w:pPr>
        <w:pStyle w:val="ListParagraph"/>
        <w:numPr>
          <w:ilvl w:val="1"/>
          <w:numId w:val="14"/>
        </w:numPr>
        <w:tabs>
          <w:tab w:val="left" w:pos="360"/>
        </w:tabs>
        <w:ind w:left="1134" w:hanging="283"/>
        <w:rPr>
          <w:color w:val="000000"/>
        </w:rPr>
      </w:pPr>
      <w:r w:rsidRPr="00F30398">
        <w:rPr>
          <w:color w:val="000000"/>
        </w:rPr>
        <w:t xml:space="preserve">Shipment fees for specimens for DST (and, if relevant under the new TB laboratory strategy, for molecular diagnosis in selected cases), to partner reference laboratories </w:t>
      </w:r>
    </w:p>
    <w:p w:rsidR="008434CC" w:rsidRPr="00F30398" w:rsidRDefault="008434CC" w:rsidP="00063FEB">
      <w:pPr>
        <w:pStyle w:val="ListParagraph"/>
        <w:numPr>
          <w:ilvl w:val="1"/>
          <w:numId w:val="14"/>
        </w:numPr>
        <w:tabs>
          <w:tab w:val="left" w:pos="360"/>
        </w:tabs>
        <w:ind w:left="1134" w:hanging="283"/>
        <w:rPr>
          <w:color w:val="000000"/>
        </w:rPr>
      </w:pPr>
      <w:r w:rsidRPr="00F30398">
        <w:rPr>
          <w:color w:val="000000"/>
        </w:rPr>
        <w:t xml:space="preserve">Costs of laboratory consumables </w:t>
      </w:r>
    </w:p>
    <w:p w:rsidR="008434CC" w:rsidRPr="00F30398" w:rsidRDefault="008434CC" w:rsidP="00063FEB">
      <w:pPr>
        <w:pStyle w:val="ListParagraph"/>
        <w:numPr>
          <w:ilvl w:val="1"/>
          <w:numId w:val="14"/>
        </w:numPr>
        <w:tabs>
          <w:tab w:val="left" w:pos="360"/>
        </w:tabs>
        <w:ind w:left="1134" w:hanging="283"/>
        <w:rPr>
          <w:color w:val="000000"/>
        </w:rPr>
      </w:pPr>
      <w:r w:rsidRPr="00F30398">
        <w:rPr>
          <w:color w:val="000000"/>
        </w:rPr>
        <w:t xml:space="preserve">Procurement of </w:t>
      </w:r>
      <w:r w:rsidRPr="00F30398">
        <w:rPr>
          <w:i/>
          <w:color w:val="000000"/>
        </w:rPr>
        <w:t>GeneXpert</w:t>
      </w:r>
      <w:r w:rsidRPr="00F30398">
        <w:rPr>
          <w:color w:val="000000"/>
        </w:rPr>
        <w:t xml:space="preserve"> MTB/RIF (according to laboratory development policy)</w:t>
      </w:r>
    </w:p>
    <w:p w:rsidR="008434CC" w:rsidRPr="00F30398" w:rsidRDefault="008434CC" w:rsidP="00821639">
      <w:pPr>
        <w:pStyle w:val="ListParagraph"/>
        <w:numPr>
          <w:ilvl w:val="0"/>
          <w:numId w:val="14"/>
        </w:numPr>
        <w:tabs>
          <w:tab w:val="left" w:pos="360"/>
        </w:tabs>
        <w:ind w:left="714" w:hanging="357"/>
        <w:contextualSpacing w:val="0"/>
        <w:rPr>
          <w:color w:val="000000"/>
        </w:rPr>
      </w:pPr>
      <w:r w:rsidRPr="00F30398">
        <w:rPr>
          <w:color w:val="000000"/>
        </w:rPr>
        <w:t xml:space="preserve">Absorption of selected NTP operating costs and incentive payments into local government, including: </w:t>
      </w:r>
    </w:p>
    <w:p w:rsidR="008434CC" w:rsidRPr="00F30398" w:rsidRDefault="008434CC" w:rsidP="00063FEB">
      <w:pPr>
        <w:pStyle w:val="ListParagraph"/>
        <w:numPr>
          <w:ilvl w:val="1"/>
          <w:numId w:val="14"/>
        </w:numPr>
        <w:tabs>
          <w:tab w:val="left" w:pos="360"/>
        </w:tabs>
        <w:ind w:left="1134" w:hanging="283"/>
        <w:rPr>
          <w:color w:val="000000"/>
        </w:rPr>
      </w:pPr>
      <w:r w:rsidRPr="00F30398">
        <w:rPr>
          <w:color w:val="000000"/>
        </w:rPr>
        <w:t>Payment of retainers and allowances for CDWs in selected South Tarawa communities, where their services will be retained to manage ongoing treatment and contact tracing, and to support PHNs in active case finding</w:t>
      </w:r>
    </w:p>
    <w:p w:rsidR="008434CC" w:rsidRPr="00F30398" w:rsidRDefault="008434CC" w:rsidP="00063FEB">
      <w:pPr>
        <w:pStyle w:val="ListParagraph"/>
        <w:numPr>
          <w:ilvl w:val="1"/>
          <w:numId w:val="14"/>
        </w:numPr>
        <w:tabs>
          <w:tab w:val="left" w:pos="360"/>
        </w:tabs>
        <w:ind w:left="1134" w:hanging="283"/>
        <w:rPr>
          <w:color w:val="000000"/>
        </w:rPr>
      </w:pPr>
      <w:r w:rsidRPr="00F30398">
        <w:rPr>
          <w:color w:val="000000"/>
        </w:rPr>
        <w:lastRenderedPageBreak/>
        <w:t>Incentive payments for Nurse Aides on the outer islands, who may need to continue to perform tasks similar to the CDWs on South Tarawa</w:t>
      </w:r>
    </w:p>
    <w:p w:rsidR="008434CC" w:rsidRPr="00F30398" w:rsidRDefault="008434CC" w:rsidP="00E61105">
      <w:pPr>
        <w:spacing w:before="180"/>
      </w:pPr>
      <w:r w:rsidRPr="00F30398">
        <w:t xml:space="preserve">Planning for Phase 2 should begin during Phase 1, as it will require a significant amount of discussion, consultation and agreement.  </w:t>
      </w:r>
    </w:p>
    <w:p w:rsidR="008434CC" w:rsidRPr="00F30398" w:rsidRDefault="008434CC" w:rsidP="00E61105">
      <w:r w:rsidRPr="00F30398">
        <w:t xml:space="preserve">In the case of Project-funded NTP staff positions, discussion on transfer of staff salaries to the MHMS could commence even earlier – e.g. during the Transitional Phase between the QTBEC Project and Phase 1 of the new Project – to undertake some preparatory thinking about the transfer of some staff to the MHMS earlier than 2017.  These discussions will be further guided by an operational research project on the required staff mix within the NTP over the medium- to longer-term. </w:t>
      </w:r>
    </w:p>
    <w:p w:rsidR="008434CC" w:rsidRPr="00F30398" w:rsidRDefault="008434CC" w:rsidP="00AF3617">
      <w:r w:rsidRPr="00F30398">
        <w:t>The Senior NTP/ Project Adviser will be responsible for initiating and coordinating dialogue between the MHMS, the Project and the NTP on these matters.</w:t>
      </w:r>
    </w:p>
    <w:p w:rsidR="008434CC" w:rsidRPr="00F30398" w:rsidRDefault="008434CC" w:rsidP="00A7287E"/>
    <w:p w:rsidR="008434CC" w:rsidRPr="00F30398" w:rsidRDefault="008434CC">
      <w:pPr>
        <w:spacing w:before="0" w:after="200"/>
        <w:rPr>
          <w:rFonts w:ascii="Cambria" w:hAnsi="Cambria"/>
          <w:b/>
          <w:bCs/>
          <w:color w:val="365F91"/>
          <w:sz w:val="32"/>
          <w:szCs w:val="28"/>
        </w:rPr>
      </w:pPr>
      <w:r w:rsidRPr="00F30398">
        <w:br w:type="page"/>
      </w:r>
    </w:p>
    <w:p w:rsidR="008434CC" w:rsidRPr="00F30398" w:rsidRDefault="008434CC" w:rsidP="004A1669">
      <w:pPr>
        <w:pStyle w:val="Heading1"/>
      </w:pPr>
      <w:bookmarkStart w:id="69" w:name="_Toc331686128"/>
      <w:r w:rsidRPr="00F30398">
        <w:t>7. Project Governance, Coordination and Management</w:t>
      </w:r>
      <w:bookmarkEnd w:id="69"/>
    </w:p>
    <w:p w:rsidR="008434CC" w:rsidRPr="00F30398" w:rsidRDefault="008434CC" w:rsidP="00867D36">
      <w:pPr>
        <w:pStyle w:val="Heading2"/>
      </w:pPr>
      <w:bookmarkStart w:id="70" w:name="_Toc331686129"/>
      <w:r w:rsidRPr="00F30398">
        <w:t>7.1 Responsibility for Implementation</w:t>
      </w:r>
      <w:bookmarkEnd w:id="70"/>
    </w:p>
    <w:p w:rsidR="008434CC" w:rsidRPr="00F30398" w:rsidRDefault="008434CC" w:rsidP="00867D36">
      <w:pPr>
        <w:rPr>
          <w:color w:val="000000"/>
        </w:rPr>
      </w:pPr>
      <w:r w:rsidRPr="00F30398">
        <w:rPr>
          <w:color w:val="000000"/>
        </w:rPr>
        <w:t xml:space="preserve">The Project will be jointly implemented by the NTP (under the authority of the MHMS) and the Secretariat of the Pacific Community (whose involvement is described further in Section 7.5.3). </w:t>
      </w:r>
    </w:p>
    <w:p w:rsidR="008434CC" w:rsidRPr="00F30398" w:rsidRDefault="008434CC" w:rsidP="00867D36">
      <w:r w:rsidRPr="00F30398">
        <w:t xml:space="preserve">Implementation will be guided by the </w:t>
      </w:r>
      <w:r w:rsidRPr="00F30398">
        <w:rPr>
          <w:i/>
        </w:rPr>
        <w:t>National Tuberculosis Strategic Plan</w:t>
      </w:r>
      <w:r w:rsidRPr="00F30398">
        <w:t xml:space="preserve">, consistent with the WHO </w:t>
      </w:r>
      <w:r w:rsidRPr="00F30398">
        <w:rPr>
          <w:i/>
        </w:rPr>
        <w:t>Regional Strategy to Stop TB in the Western Pacific Region 2011–2015</w:t>
      </w:r>
      <w:r w:rsidRPr="00F30398">
        <w:t xml:space="preserve">.  </w:t>
      </w:r>
    </w:p>
    <w:p w:rsidR="008434CC" w:rsidRPr="00F30398" w:rsidRDefault="008434CC" w:rsidP="00867D36">
      <w:pPr>
        <w:rPr>
          <w:color w:val="000000"/>
        </w:rPr>
      </w:pPr>
      <w:r w:rsidRPr="00F30398">
        <w:rPr>
          <w:color w:val="000000"/>
        </w:rPr>
        <w:t xml:space="preserve">Technical assistance will be provided by SPC, with additional technical support through WHO, the IMVS (for laboratory support) and other experts as appropriate (explained further in Section 7.5.4).  </w:t>
      </w:r>
    </w:p>
    <w:p w:rsidR="008434CC" w:rsidRPr="00F30398" w:rsidRDefault="008434CC" w:rsidP="00A30F09">
      <w:pPr>
        <w:pStyle w:val="Heading2"/>
      </w:pPr>
      <w:bookmarkStart w:id="71" w:name="_Toc331686130"/>
      <w:r w:rsidRPr="00F30398">
        <w:t>7.2 Strategic Oversight and Management</w:t>
      </w:r>
      <w:bookmarkEnd w:id="71"/>
      <w:r w:rsidRPr="00F30398">
        <w:t xml:space="preserve"> </w:t>
      </w:r>
    </w:p>
    <w:p w:rsidR="008434CC" w:rsidRPr="00F30398" w:rsidRDefault="008434CC" w:rsidP="001007F5">
      <w:r w:rsidRPr="00F30398">
        <w:t xml:space="preserve">Overall strategic oversight for the Project (including management, technical and financial oversight) should be provided by a single coordination authority that includes representation from MHMS, the NTP, SPC’s TB Team (Disease Surveillance, Research and Control Unit, Public Health Division) and, as principal donor, AusAID.  </w:t>
      </w:r>
    </w:p>
    <w:p w:rsidR="008434CC" w:rsidRPr="00F30398" w:rsidRDefault="008434CC" w:rsidP="001007F5">
      <w:r w:rsidRPr="00F30398">
        <w:t>The coordinating body would be responsible for overseeing joint NTP-Project implementation and providing guidance in reaching their stated goal and objectives.  From time to time, it may also need to review and approve major changes to the design, management, organisation or Project-funded expenditure.</w:t>
      </w:r>
    </w:p>
    <w:p w:rsidR="008434CC" w:rsidRPr="00F30398" w:rsidRDefault="008434CC" w:rsidP="00054FB8">
      <w:pPr>
        <w:pStyle w:val="Heading3"/>
      </w:pPr>
      <w:bookmarkStart w:id="72" w:name="_Toc331686131"/>
      <w:r w:rsidRPr="00F30398">
        <w:t>7.2.1 Core Oversight and Management Body – HITEC</w:t>
      </w:r>
      <w:bookmarkEnd w:id="72"/>
    </w:p>
    <w:p w:rsidR="008434CC" w:rsidRPr="00F30398" w:rsidRDefault="008434CC" w:rsidP="00AB67F1">
      <w:r w:rsidRPr="00F30398">
        <w:t xml:space="preserve">Under QTBECP, this role has been taken by a specially-constituted National Implementation Coordinating Committee (NICC).  </w:t>
      </w:r>
    </w:p>
    <w:p w:rsidR="008434CC" w:rsidRPr="00F30398" w:rsidRDefault="008434CC" w:rsidP="00AB67F1">
      <w:r w:rsidRPr="00F30398">
        <w:t xml:space="preserve">Under the aligned Project, in line with the “Four Ones” principles, it is proposed that a separate NICC would </w:t>
      </w:r>
      <w:r w:rsidRPr="00F30398">
        <w:rPr>
          <w:u w:val="single"/>
        </w:rPr>
        <w:t>not</w:t>
      </w:r>
      <w:r w:rsidRPr="00F30398">
        <w:t xml:space="preserve"> be required.</w:t>
      </w:r>
    </w:p>
    <w:p w:rsidR="008434CC" w:rsidRPr="00F30398" w:rsidRDefault="008434CC" w:rsidP="001007F5">
      <w:r w:rsidRPr="00F30398">
        <w:t xml:space="preserve">The body that is proposed to assume the strategic oversight role is the HIV-TB Executive Committee (HITEC) of the MHMS, which provides oversight of the Global Fund Country Coordination Mechanism (CCM) and implementation of the Global Fund HIV and TB grants.  </w:t>
      </w:r>
    </w:p>
    <w:p w:rsidR="008434CC" w:rsidRPr="00F30398" w:rsidRDefault="008434CC" w:rsidP="00481F95">
      <w:r w:rsidRPr="00F30398">
        <w:t xml:space="preserve">HITEC already includes members of the MHMS Senior Executive and key public health decision makers and already works in close collaboration with the Kiribati NTP, who will implement the </w:t>
      </w:r>
      <w:r w:rsidRPr="00F30398">
        <w:rPr>
          <w:i/>
        </w:rPr>
        <w:t>Towards TB Elimination in Kiribati</w:t>
      </w:r>
      <w:r w:rsidRPr="00F30398">
        <w:t xml:space="preserve"> Project.  </w:t>
      </w:r>
    </w:p>
    <w:p w:rsidR="008434CC" w:rsidRPr="00F30398" w:rsidRDefault="008434CC" w:rsidP="00481F95">
      <w:r w:rsidRPr="00F30398">
        <w:t xml:space="preserve">HITEC currently meets once a quarter and </w:t>
      </w:r>
      <w:r w:rsidRPr="00F30398">
        <w:rPr>
          <w:i/>
        </w:rPr>
        <w:t xml:space="preserve">ad hoc </w:t>
      </w:r>
      <w:r w:rsidRPr="00F30398">
        <w:t xml:space="preserve">as required for emerging issues. </w:t>
      </w:r>
    </w:p>
    <w:p w:rsidR="008434CC" w:rsidRPr="00F30398" w:rsidRDefault="008434CC" w:rsidP="001007F5">
      <w:r w:rsidRPr="00F30398">
        <w:t>The addition of the new project to their portfolio would be logically aligned with (and probably overlap) their other areas of interest and responsibility.</w:t>
      </w:r>
    </w:p>
    <w:p w:rsidR="008434CC" w:rsidRPr="00F30398" w:rsidRDefault="008434CC" w:rsidP="00054FB8">
      <w:pPr>
        <w:pStyle w:val="Heading3"/>
      </w:pPr>
      <w:bookmarkStart w:id="73" w:name="_Toc331686132"/>
      <w:r w:rsidRPr="00F30398">
        <w:lastRenderedPageBreak/>
        <w:t>7.2.2 Donor and Technical Partner Participation</w:t>
      </w:r>
      <w:bookmarkEnd w:id="73"/>
    </w:p>
    <w:p w:rsidR="008434CC" w:rsidRPr="00F30398" w:rsidRDefault="008434CC" w:rsidP="009E6A97">
      <w:pPr>
        <w:rPr>
          <w:color w:val="000000"/>
        </w:rPr>
      </w:pPr>
      <w:r w:rsidRPr="00F30398">
        <w:rPr>
          <w:color w:val="000000"/>
        </w:rPr>
        <w:t>During the 5¼ years of the proposed Project, planning and partial transfer of some elements of the Project to the GOK will commence, subject to assurances that the quality of TB control efforts will not be compromised.  There will need to be continuing discussions throughout the Project lifecycle between SPC, AusAID and GOK on the funding needed to sustain the necessary intensified TB control efforts beyond this proposed Project period, in order to realise the full benefits from TB control efforts across 10 or more years of donor-funded support.</w:t>
      </w:r>
    </w:p>
    <w:p w:rsidR="008434CC" w:rsidRPr="00F30398" w:rsidRDefault="008434CC" w:rsidP="00FF66F4">
      <w:r w:rsidRPr="00F30398">
        <w:t>High level oversight of the project and the NTP should therefore include opportunities for donor and technical partner participation, as it provides an important forum for policy and strategic dialogue.</w:t>
      </w:r>
    </w:p>
    <w:p w:rsidR="008434CC" w:rsidRPr="00F30398" w:rsidRDefault="008434CC" w:rsidP="00FF66F4">
      <w:r w:rsidRPr="00F30398">
        <w:t xml:space="preserve">Although not normally members of HITEC, it is proposed that both AusAID (through the health focal point at its Tarawa office) and the SPC TB technical unit (through the Senior NTP/Project Adviser) are invited to participate in alternate HITEC meetings (i.e. approximately 6-monthly).  </w:t>
      </w:r>
    </w:p>
    <w:p w:rsidR="008434CC" w:rsidRPr="00F30398" w:rsidRDefault="008434CC" w:rsidP="00FF66F4">
      <w:r w:rsidRPr="00F30398">
        <w:t>As appropriate, the timing of the HITEC Project coordination and management mechanism might be varied slightly to accommodate visits by SPC, WHO or AusAID technical advisers.</w:t>
      </w:r>
    </w:p>
    <w:p w:rsidR="008434CC" w:rsidRPr="00F30398" w:rsidRDefault="008434CC" w:rsidP="00E571BA">
      <w:pPr>
        <w:pStyle w:val="Heading2"/>
      </w:pPr>
      <w:bookmarkStart w:id="74" w:name="_Toc331686133"/>
      <w:r w:rsidRPr="00F30398">
        <w:t>7.3 Financial Management</w:t>
      </w:r>
      <w:bookmarkEnd w:id="74"/>
    </w:p>
    <w:p w:rsidR="008434CC" w:rsidRPr="00F30398" w:rsidRDefault="008434CC" w:rsidP="00054FB8">
      <w:pPr>
        <w:pStyle w:val="Heading3"/>
      </w:pPr>
      <w:bookmarkStart w:id="75" w:name="_Toc331686134"/>
      <w:r w:rsidRPr="00F30398">
        <w:t>7.3.1 Current Arrangements under QTBECP and the Global Fund</w:t>
      </w:r>
      <w:bookmarkEnd w:id="75"/>
    </w:p>
    <w:p w:rsidR="008434CC" w:rsidRPr="00F30398" w:rsidRDefault="008434CC" w:rsidP="00AF3617">
      <w:pPr>
        <w:rPr>
          <w:color w:val="000000"/>
        </w:rPr>
      </w:pPr>
      <w:r w:rsidRPr="00F30398">
        <w:rPr>
          <w:color w:val="000000"/>
        </w:rPr>
        <w:t xml:space="preserve">The QTBECP budget and financial management is currently managed in close association with the TB and Finance Sections in SPC but still stands apart from national or in-country financial management systems.  </w:t>
      </w:r>
    </w:p>
    <w:p w:rsidR="008434CC" w:rsidRPr="00F30398" w:rsidRDefault="008434CC" w:rsidP="005A45BA">
      <w:r w:rsidRPr="00F30398">
        <w:t xml:space="preserve">Global Fund TB resources, on the other hand, are managed directly by an in-country project financial management unit, operating from within the MHMS but through separately earmarked bank accounts.  This office also handles Global Fund HIV finances and funds made available through the HIV/STI Response Fund; both of these regional funding programs are mobilised through SPC.  It has well established computerised financial management systems and a staff of three (one accountant – a former Secretary of Finance – and two accounts clerks) , and both SPC and the Global Fund’s Local Fund Agent (LFA) have accredited the unit’s systems and capacity as suitable for handling Global Fund resources.   </w:t>
      </w:r>
    </w:p>
    <w:p w:rsidR="008434CC" w:rsidRPr="00F30398" w:rsidRDefault="008434CC" w:rsidP="00054FB8">
      <w:pPr>
        <w:pStyle w:val="Heading3"/>
      </w:pPr>
      <w:bookmarkStart w:id="76" w:name="_Toc331686135"/>
      <w:r w:rsidRPr="00F30398">
        <w:t>7.3.2 Options for Alignment of Financial Management Systems</w:t>
      </w:r>
      <w:bookmarkEnd w:id="76"/>
    </w:p>
    <w:p w:rsidR="008434CC" w:rsidRPr="00F30398" w:rsidRDefault="008434CC" w:rsidP="00AF3617">
      <w:pPr>
        <w:rPr>
          <w:color w:val="000000"/>
        </w:rPr>
      </w:pPr>
      <w:r w:rsidRPr="00F30398">
        <w:rPr>
          <w:color w:val="000000"/>
        </w:rPr>
        <w:t xml:space="preserve">The MHMS project financial management unit Accountant believes that his team would be capable of absorbing the additional work associated with managing externally funded TB project resources without needing additional staff or risking a slowing of disbursements.  Existing processes could be adapted to meet the needs of the new </w:t>
      </w:r>
      <w:r w:rsidRPr="00F30398">
        <w:rPr>
          <w:i/>
          <w:color w:val="000000"/>
        </w:rPr>
        <w:t>Towards TB Elimination in Kiribati</w:t>
      </w:r>
      <w:r w:rsidRPr="00F30398">
        <w:rPr>
          <w:color w:val="000000"/>
        </w:rPr>
        <w:t xml:space="preserve"> Project (or </w:t>
      </w:r>
      <w:r w:rsidRPr="00F30398">
        <w:rPr>
          <w:i/>
          <w:color w:val="000000"/>
        </w:rPr>
        <w:t>vice versa</w:t>
      </w:r>
      <w:r w:rsidRPr="00F30398">
        <w:rPr>
          <w:color w:val="000000"/>
        </w:rPr>
        <w:t>), e.g. generating monthly reports of financial acquittal.</w:t>
      </w:r>
    </w:p>
    <w:p w:rsidR="008434CC" w:rsidRPr="00F30398" w:rsidRDefault="008434CC" w:rsidP="00AF3617">
      <w:pPr>
        <w:rPr>
          <w:color w:val="000000"/>
        </w:rPr>
      </w:pPr>
      <w:r w:rsidRPr="00F30398">
        <w:rPr>
          <w:color w:val="000000"/>
        </w:rPr>
        <w:t xml:space="preserve">The MTR of QTBECP Phase 2 also strongly recommended channelling project-related funds and financial management through the international projects unit in MHMS, thereby freeing Project staff from routine book-keeping activities but maintaining similar safeguards to those applied to management of Global Fund and Response Fund financial resources.  </w:t>
      </w:r>
    </w:p>
    <w:p w:rsidR="008434CC" w:rsidRPr="00F30398" w:rsidRDefault="008434CC" w:rsidP="00AF3617">
      <w:pPr>
        <w:rPr>
          <w:color w:val="000000"/>
        </w:rPr>
      </w:pPr>
      <w:r w:rsidRPr="00F30398">
        <w:rPr>
          <w:color w:val="000000"/>
        </w:rPr>
        <w:lastRenderedPageBreak/>
        <w:t xml:space="preserve">However, a Pacific Islands Forum peer review and an AusAID Assessment of National Systems (ANS) conducted in the meantime have both recommended a more cautious approach.  The AusAID ANS concluded that there is a substantial level of fiduciary risk attached to the use of GOK systems, and that direct placement of Australian Government funds should be restricted to the current limited use of the Kiribati Government Development Fund until such time as a public financial management (PFM) and procurement reform program is well advanced.  AusAID has indicated that this cautious approach is not mitigated by SPC’s or the Global Fund LFA’s accreditation of the processes and standards of the international projects unit in MHMS.  </w:t>
      </w:r>
    </w:p>
    <w:p w:rsidR="008434CC" w:rsidRPr="00F30398" w:rsidRDefault="008434CC" w:rsidP="00054FB8">
      <w:pPr>
        <w:pStyle w:val="Heading3"/>
      </w:pPr>
      <w:bookmarkStart w:id="77" w:name="_Toc331686136"/>
      <w:r w:rsidRPr="00F30398">
        <w:t>7.3.3 Recommended Approach from the Beginning of the new TB Project</w:t>
      </w:r>
      <w:bookmarkEnd w:id="77"/>
    </w:p>
    <w:p w:rsidR="008434CC" w:rsidRPr="00F30398" w:rsidRDefault="008434CC" w:rsidP="00560A11">
      <w:r w:rsidRPr="00F30398">
        <w:rPr>
          <w:color w:val="000000"/>
        </w:rPr>
        <w:t xml:space="preserve">MHMS have expressed a keen interest in managing all aspects of the Project (both financial and programmatic) as soon as possible.  </w:t>
      </w:r>
      <w:r w:rsidRPr="00F30398">
        <w:t xml:space="preserve">The compromise approach proposed following the design workshop is to: </w:t>
      </w:r>
    </w:p>
    <w:p w:rsidR="008434CC" w:rsidRPr="00F30398" w:rsidRDefault="008434CC" w:rsidP="00B916EC">
      <w:pPr>
        <w:pStyle w:val="ListParagraph"/>
        <w:numPr>
          <w:ilvl w:val="0"/>
          <w:numId w:val="42"/>
        </w:numPr>
      </w:pPr>
      <w:r w:rsidRPr="00F30398">
        <w:t xml:space="preserve">maintain a separate stream of AusAID funding through a dedicated SPC bank account, </w:t>
      </w:r>
    </w:p>
    <w:p w:rsidR="008434CC" w:rsidRPr="00F30398" w:rsidRDefault="008434CC" w:rsidP="00B916EC">
      <w:pPr>
        <w:pStyle w:val="ListParagraph"/>
        <w:numPr>
          <w:ilvl w:val="0"/>
          <w:numId w:val="42"/>
        </w:numPr>
      </w:pPr>
      <w:r w:rsidRPr="00F30398">
        <w:t xml:space="preserve">ensure that this bank account is AUD-denominated (to minimise exchange rate losses on conversion from AUD to XPF and back again, and to minimise risks associated with holding AusAID funds in USD- or EUR-denominated accounts), </w:t>
      </w:r>
    </w:p>
    <w:p w:rsidR="008434CC" w:rsidRPr="00F30398" w:rsidRDefault="008434CC" w:rsidP="00B916EC">
      <w:pPr>
        <w:pStyle w:val="ListParagraph"/>
        <w:numPr>
          <w:ilvl w:val="0"/>
          <w:numId w:val="42"/>
        </w:numPr>
      </w:pPr>
      <w:r w:rsidRPr="00F30398">
        <w:t>maintain a Project-specific, AUD-denominated bank account in Kiribati (e.g. the same bank account in Kiribati created under QTBEC Phase 2),</w:t>
      </w:r>
    </w:p>
    <w:p w:rsidR="008434CC" w:rsidRPr="00F30398" w:rsidRDefault="008434CC" w:rsidP="00B916EC">
      <w:pPr>
        <w:pStyle w:val="ListParagraph"/>
        <w:numPr>
          <w:ilvl w:val="0"/>
          <w:numId w:val="42"/>
        </w:numPr>
      </w:pPr>
      <w:r w:rsidRPr="00F30398">
        <w:t xml:space="preserve">place the Project Accountant within the </w:t>
      </w:r>
      <w:r w:rsidRPr="00F30398">
        <w:rPr>
          <w:color w:val="000000"/>
        </w:rPr>
        <w:t>international projects unit in MHMS, where they would work in close association with the supervising Accountant of that unit and use systems and software that are compatible across programs, and</w:t>
      </w:r>
    </w:p>
    <w:p w:rsidR="008434CC" w:rsidRPr="00F30398" w:rsidRDefault="008434CC" w:rsidP="00B916EC">
      <w:pPr>
        <w:pStyle w:val="ListParagraph"/>
        <w:numPr>
          <w:ilvl w:val="0"/>
          <w:numId w:val="42"/>
        </w:numPr>
      </w:pPr>
      <w:r w:rsidRPr="00F30398">
        <w:rPr>
          <w:color w:val="000000"/>
        </w:rPr>
        <w:t>use those systems to generate Project-specific financial reports as required.</w:t>
      </w:r>
    </w:p>
    <w:p w:rsidR="008434CC" w:rsidRPr="00F30398" w:rsidRDefault="008434CC" w:rsidP="00915168">
      <w:pPr>
        <w:rPr>
          <w:color w:val="000000"/>
        </w:rPr>
      </w:pPr>
      <w:r w:rsidRPr="00F30398">
        <w:t xml:space="preserve">Project funds would be disbursed by the SPC TB Team to the bank account in Kiribati in accordance with the pace of Project implementation against the integrated NTP budget and work plan and </w:t>
      </w:r>
      <w:r w:rsidRPr="00F30398">
        <w:rPr>
          <w:color w:val="000000"/>
        </w:rPr>
        <w:t>periodic acquittals of expenditure (see also Section 9.3.2).</w:t>
      </w:r>
    </w:p>
    <w:p w:rsidR="008434CC" w:rsidRPr="00F30398" w:rsidRDefault="008434CC" w:rsidP="00E571BA">
      <w:pPr>
        <w:rPr>
          <w:color w:val="000000"/>
        </w:rPr>
      </w:pPr>
      <w:r w:rsidRPr="00F30398">
        <w:rPr>
          <w:color w:val="000000"/>
        </w:rPr>
        <w:t>This approach has the advantage of developing close engagement between the Project Accountant and the MHMS international projects unit.  Should PFM and procurement reforms gain AusAID accreditation on subsequent reassessment, the Project will then be well placed to immediately commence a  phased integration of elements of Project financial management into the MHMS system in accordance with the principles described above (Section 6.5.3) for Phase 2 integration.</w:t>
      </w:r>
    </w:p>
    <w:p w:rsidR="008434CC" w:rsidRPr="00F30398" w:rsidRDefault="008434CC" w:rsidP="00E571BA">
      <w:pPr>
        <w:rPr>
          <w:color w:val="000000"/>
        </w:rPr>
      </w:pPr>
      <w:r w:rsidRPr="00F30398">
        <w:rPr>
          <w:color w:val="000000"/>
        </w:rPr>
        <w:t>This would also be subject to satisfactory annual external audits of Project finances (which could be undertaken either by an auditor contracted by SPC or by the GOK’s Auditor-General’s Department).</w:t>
      </w:r>
    </w:p>
    <w:p w:rsidR="008434CC" w:rsidRPr="00F30398" w:rsidRDefault="008434CC" w:rsidP="00E571BA">
      <w:pPr>
        <w:rPr>
          <w:color w:val="000000"/>
        </w:rPr>
      </w:pPr>
      <w:r w:rsidRPr="00F30398">
        <w:rPr>
          <w:color w:val="000000"/>
        </w:rPr>
        <w:t xml:space="preserve">Subject to the satisfactory assessment and performance of the Project during the Mid Term Review (scheduled for mid-2014, and which will include an assessment of financial management of the Project), MHMS may be able to take on full responsibility for aspects of the Project or, potentially, the whole Project.  The Project may then be restructured to take the form of an acquittable cash grant; if recommended by the MTR, separate grants may need to be retained for technical and (if required) accounting/ financial support.  However, this will be subject to the MTR team’s assessment of the implementation and performance of the Project to date, and will require agreement from AusAID to proceed in this manner. </w:t>
      </w:r>
    </w:p>
    <w:p w:rsidR="008434CC" w:rsidRPr="00F30398" w:rsidRDefault="008434CC" w:rsidP="009E6A97">
      <w:pPr>
        <w:pStyle w:val="Heading2"/>
      </w:pPr>
      <w:bookmarkStart w:id="78" w:name="_Toc331686137"/>
      <w:bookmarkStart w:id="79" w:name="_Toc312266614"/>
      <w:r w:rsidRPr="00F30398">
        <w:lastRenderedPageBreak/>
        <w:t>7.4 The Roles of Other Partners in the Project</w:t>
      </w:r>
      <w:bookmarkEnd w:id="78"/>
    </w:p>
    <w:p w:rsidR="008434CC" w:rsidRPr="00F30398" w:rsidRDefault="008434CC" w:rsidP="00054FB8">
      <w:pPr>
        <w:pStyle w:val="Heading3"/>
      </w:pPr>
      <w:bookmarkStart w:id="80" w:name="_Toc331686138"/>
      <w:r w:rsidRPr="00F30398">
        <w:t>7.4.1 Ministry of Health and Medical Services</w:t>
      </w:r>
      <w:bookmarkEnd w:id="80"/>
      <w:r w:rsidRPr="00F30398">
        <w:t xml:space="preserve"> </w:t>
      </w:r>
    </w:p>
    <w:p w:rsidR="008434CC" w:rsidRPr="00F30398" w:rsidRDefault="008434CC" w:rsidP="004F5033">
      <w:r w:rsidRPr="00F30398">
        <w:t>The initial arrangement between the MHMS and QTBECP Phase 1, endorsed by the former Health Minister and his Secretary in 2005, stated that the “MOH retains the right to host the project through co-sharing costs of services, such as internet access or providing in-kind contributions to the project through provision of free office space and facilities”.  This arrangement worked very well during Phase 1 of the Project but changed after the NTP moved into the new national TBCC in 2009.</w:t>
      </w:r>
    </w:p>
    <w:p w:rsidR="008434CC" w:rsidRPr="00F30398" w:rsidRDefault="008434CC" w:rsidP="001B0EC2">
      <w:pPr>
        <w:rPr>
          <w:color w:val="000000"/>
        </w:rPr>
      </w:pPr>
      <w:r w:rsidRPr="00F30398">
        <w:t xml:space="preserve">As described, the MHMS currently supports the NTP through the funding of core NTP staff positions </w:t>
      </w:r>
      <w:r w:rsidRPr="00F30398">
        <w:rPr>
          <w:color w:val="000000"/>
        </w:rPr>
        <w:t xml:space="preserve">(Table 1 and Figure 11) and the procurement of first line TB drugs through the Global Drug Facility.  </w:t>
      </w:r>
      <w:r w:rsidRPr="00F30398">
        <w:t xml:space="preserve">The </w:t>
      </w:r>
      <w:r w:rsidRPr="00F30398">
        <w:rPr>
          <w:i/>
        </w:rPr>
        <w:t>Towards TB Elimination in Kiribati</w:t>
      </w:r>
      <w:r w:rsidRPr="00F30398">
        <w:t xml:space="preserve"> Project will facilitate smooth transition of Project functions </w:t>
      </w:r>
      <w:r w:rsidRPr="00F30398">
        <w:rPr>
          <w:color w:val="000000"/>
        </w:rPr>
        <w:t>and resources across to the national Government (Section 6.5.3), including developing a human resources plan for the NTP and monitoring the need and disposition of Project funded staff (Sections 6.2.5 and 6.4).</w:t>
      </w:r>
    </w:p>
    <w:p w:rsidR="008434CC" w:rsidRPr="00F30398" w:rsidRDefault="008434CC" w:rsidP="001B0EC2">
      <w:r w:rsidRPr="00F30398">
        <w:t>The MHMS will also facilitate and provide overall supervision for the roles of outer island Medical Assistants and Midwives supervising Nurse Aides who are monitoring and supervising DOTS and case finding activities in their communities.</w:t>
      </w:r>
    </w:p>
    <w:p w:rsidR="008434CC" w:rsidRPr="00F30398" w:rsidRDefault="008434CC" w:rsidP="00A30F09">
      <w:r w:rsidRPr="00F30398">
        <w:t xml:space="preserve">In relation to TB laboratory services, the </w:t>
      </w:r>
      <w:r w:rsidRPr="00F30398">
        <w:rPr>
          <w:b/>
          <w:i/>
        </w:rPr>
        <w:t>National Laboratory Manager</w:t>
      </w:r>
      <w:r w:rsidRPr="00F30398">
        <w:t xml:space="preserve"> will be responsible for the oversight and management of the TB laboratory in the TBCC.  Her role will include the following tasks:</w:t>
      </w:r>
    </w:p>
    <w:p w:rsidR="008434CC" w:rsidRPr="00F30398" w:rsidRDefault="008434CC" w:rsidP="00707A6E">
      <w:pPr>
        <w:pStyle w:val="ListParagraph"/>
        <w:numPr>
          <w:ilvl w:val="0"/>
          <w:numId w:val="49"/>
        </w:numPr>
      </w:pPr>
      <w:r w:rsidRPr="00F30398">
        <w:t xml:space="preserve">Complete the </w:t>
      </w:r>
      <w:r w:rsidRPr="00F30398">
        <w:rPr>
          <w:i/>
        </w:rPr>
        <w:t>National Laboratory Strategic Plan</w:t>
      </w:r>
      <w:r w:rsidRPr="00F30398">
        <w:t xml:space="preserve"> (aligned to the </w:t>
      </w:r>
      <w:r w:rsidRPr="00F30398">
        <w:rPr>
          <w:i/>
        </w:rPr>
        <w:t>Asia Pacific Strategy for Strengthening Health Laboratory Services, 2010–2015</w:t>
      </w:r>
      <w:r w:rsidRPr="00F30398">
        <w:t>)</w:t>
      </w:r>
    </w:p>
    <w:p w:rsidR="008434CC" w:rsidRPr="00F30398" w:rsidRDefault="008434CC" w:rsidP="00707A6E">
      <w:pPr>
        <w:pStyle w:val="ListParagraph"/>
        <w:numPr>
          <w:ilvl w:val="0"/>
          <w:numId w:val="49"/>
        </w:numPr>
      </w:pPr>
      <w:r w:rsidRPr="00F30398">
        <w:t xml:space="preserve">Ensure that the evolving strategy for TB laboratory development is also well aligned with the </w:t>
      </w:r>
      <w:r w:rsidRPr="00F30398">
        <w:rPr>
          <w:i/>
        </w:rPr>
        <w:t>National Laboratory Strategic Plan</w:t>
      </w:r>
    </w:p>
    <w:p w:rsidR="008434CC" w:rsidRDefault="008434CC" w:rsidP="00707A6E">
      <w:pPr>
        <w:pStyle w:val="ListParagraph"/>
        <w:numPr>
          <w:ilvl w:val="0"/>
          <w:numId w:val="49"/>
        </w:numPr>
      </w:pPr>
      <w:r w:rsidRPr="00F30398">
        <w:t>Procure</w:t>
      </w:r>
      <w:r>
        <w:t>, install and screen</w:t>
      </w:r>
      <w:r w:rsidRPr="00B929EA">
        <w:t xml:space="preserve"> </w:t>
      </w:r>
      <w:r>
        <w:t xml:space="preserve">(pre-installation) </w:t>
      </w:r>
      <w:r w:rsidRPr="00B929EA">
        <w:t>laboratory equipment</w:t>
      </w:r>
    </w:p>
    <w:p w:rsidR="008434CC" w:rsidRDefault="008434CC" w:rsidP="00707A6E">
      <w:pPr>
        <w:pStyle w:val="ListParagraph"/>
        <w:numPr>
          <w:ilvl w:val="0"/>
          <w:numId w:val="49"/>
        </w:numPr>
      </w:pPr>
      <w:r w:rsidRPr="00B929EA">
        <w:t xml:space="preserve">Recruit qualified staff to work in the </w:t>
      </w:r>
      <w:r>
        <w:t>TB laboratory</w:t>
      </w:r>
    </w:p>
    <w:p w:rsidR="008434CC" w:rsidRDefault="008434CC" w:rsidP="00707A6E">
      <w:pPr>
        <w:pStyle w:val="ListParagraph"/>
        <w:numPr>
          <w:ilvl w:val="0"/>
          <w:numId w:val="49"/>
        </w:numPr>
      </w:pPr>
      <w:r w:rsidRPr="00B929EA">
        <w:t>Provi</w:t>
      </w:r>
      <w:r>
        <w:t>de</w:t>
      </w:r>
      <w:r w:rsidRPr="00B929EA">
        <w:t xml:space="preserve"> training to national laboratory staff</w:t>
      </w:r>
    </w:p>
    <w:p w:rsidR="008434CC" w:rsidRDefault="008434CC" w:rsidP="00707A6E">
      <w:pPr>
        <w:pStyle w:val="ListParagraph"/>
        <w:numPr>
          <w:ilvl w:val="0"/>
          <w:numId w:val="49"/>
        </w:numPr>
      </w:pPr>
      <w:r w:rsidRPr="00B929EA">
        <w:t>I</w:t>
      </w:r>
      <w:r>
        <w:t xml:space="preserve">ntroduce and monitor the application of standard operating procedures and </w:t>
      </w:r>
      <w:r w:rsidRPr="00B929EA">
        <w:t xml:space="preserve">diagnostic </w:t>
      </w:r>
      <w:r>
        <w:t>algorithms</w:t>
      </w:r>
      <w:r w:rsidRPr="00B929EA">
        <w:t xml:space="preserve"> </w:t>
      </w:r>
      <w:r>
        <w:t xml:space="preserve">in relation to existing technologies (e.g. slide preparation), new technologies (e.g. commencement of TB culture) and future technologies (e.g. the introduction of TB DST </w:t>
      </w:r>
      <w:r w:rsidRPr="00B929EA">
        <w:t>and</w:t>
      </w:r>
      <w:r>
        <w:t>/or</w:t>
      </w:r>
      <w:r w:rsidRPr="00B929EA">
        <w:t xml:space="preserve"> </w:t>
      </w:r>
      <w:r w:rsidRPr="00C207C0">
        <w:rPr>
          <w:i/>
        </w:rPr>
        <w:t>Xpert</w:t>
      </w:r>
      <w:r>
        <w:rPr>
          <w:rFonts w:ascii="SabonLTStd-Roman" w:hAnsi="SabonLTStd-Roman" w:cs="SabonLTStd-Roman"/>
          <w:color w:val="221E1F"/>
          <w:sz w:val="13"/>
          <w:szCs w:val="13"/>
          <w:lang w:val="en-AU"/>
        </w:rPr>
        <w:t>®</w:t>
      </w:r>
      <w:r w:rsidRPr="00B929EA">
        <w:t xml:space="preserve"> MTB/R</w:t>
      </w:r>
      <w:r>
        <w:t>IF</w:t>
      </w:r>
      <w:r w:rsidRPr="00B929EA">
        <w:t xml:space="preserve"> test</w:t>
      </w:r>
      <w:r>
        <w:t>ing)</w:t>
      </w:r>
    </w:p>
    <w:p w:rsidR="008434CC" w:rsidRDefault="008434CC" w:rsidP="00054FB8">
      <w:pPr>
        <w:pStyle w:val="Heading3"/>
      </w:pPr>
      <w:bookmarkStart w:id="81" w:name="_Toc331686139"/>
      <w:r>
        <w:t xml:space="preserve">7.4.2 The </w:t>
      </w:r>
      <w:r w:rsidRPr="00B929EA">
        <w:t>N</w:t>
      </w:r>
      <w:r>
        <w:t xml:space="preserve">ational </w:t>
      </w:r>
      <w:r w:rsidRPr="00B929EA">
        <w:t>T</w:t>
      </w:r>
      <w:r>
        <w:t xml:space="preserve">B </w:t>
      </w:r>
      <w:r w:rsidRPr="00B929EA">
        <w:t>P</w:t>
      </w:r>
      <w:r>
        <w:t>rogram</w:t>
      </w:r>
      <w:bookmarkEnd w:id="81"/>
      <w:r w:rsidRPr="00B929EA">
        <w:t xml:space="preserve"> </w:t>
      </w:r>
    </w:p>
    <w:p w:rsidR="008434CC" w:rsidRDefault="008434CC" w:rsidP="001B0EC2">
      <w:r w:rsidRPr="00B929EA">
        <w:t>Within</w:t>
      </w:r>
      <w:r>
        <w:t xml:space="preserve"> the MHMS</w:t>
      </w:r>
      <w:r w:rsidRPr="00B929EA">
        <w:t xml:space="preserve">, the NTP </w:t>
      </w:r>
      <w:r>
        <w:t>will be</w:t>
      </w:r>
      <w:r w:rsidRPr="00B929EA">
        <w:t xml:space="preserve"> directly responsible for implementation </w:t>
      </w:r>
      <w:r>
        <w:t xml:space="preserve">of the </w:t>
      </w:r>
      <w:r w:rsidRPr="00C76D69">
        <w:rPr>
          <w:i/>
        </w:rPr>
        <w:t xml:space="preserve">National </w:t>
      </w:r>
      <w:r>
        <w:rPr>
          <w:i/>
        </w:rPr>
        <w:t xml:space="preserve">TB </w:t>
      </w:r>
      <w:r w:rsidRPr="00C76D69">
        <w:rPr>
          <w:i/>
        </w:rPr>
        <w:t>Strategy</w:t>
      </w:r>
      <w:r>
        <w:t xml:space="preserve">, which guides all </w:t>
      </w:r>
      <w:r w:rsidRPr="00B929EA">
        <w:t xml:space="preserve">technical aspects of </w:t>
      </w:r>
      <w:r>
        <w:t>the P</w:t>
      </w:r>
      <w:r w:rsidRPr="00B929EA">
        <w:t xml:space="preserve">roject. </w:t>
      </w:r>
      <w:r>
        <w:t xml:space="preserve"> </w:t>
      </w:r>
      <w:r w:rsidRPr="00B929EA">
        <w:t>In addition to its ongoing TB control work, the NTP will perform the following tasks</w:t>
      </w:r>
      <w:r>
        <w:t xml:space="preserve"> under the guidance of the NTP Manager:</w:t>
      </w:r>
    </w:p>
    <w:p w:rsidR="008434CC" w:rsidRDefault="008434CC" w:rsidP="00707A6E">
      <w:pPr>
        <w:pStyle w:val="ListParagraph"/>
        <w:numPr>
          <w:ilvl w:val="0"/>
          <w:numId w:val="48"/>
        </w:numPr>
      </w:pPr>
      <w:r>
        <w:t>Participate in the d</w:t>
      </w:r>
      <w:r w:rsidRPr="00B929EA">
        <w:t>evelop</w:t>
      </w:r>
      <w:r>
        <w:t>ment of</w:t>
      </w:r>
      <w:r w:rsidRPr="00B929EA">
        <w:t xml:space="preserve"> </w:t>
      </w:r>
      <w:r>
        <w:t xml:space="preserve">a collaborative </w:t>
      </w:r>
      <w:r w:rsidRPr="00B929EA">
        <w:t xml:space="preserve">work plan that </w:t>
      </w:r>
      <w:r w:rsidRPr="007A5C8B">
        <w:t>incorporates all TB control activities in the country</w:t>
      </w:r>
      <w:r>
        <w:t>, including Government and Project funded activities</w:t>
      </w:r>
    </w:p>
    <w:p w:rsidR="008434CC" w:rsidRDefault="008434CC" w:rsidP="00B916EC">
      <w:pPr>
        <w:pStyle w:val="ListParagraph"/>
        <w:numPr>
          <w:ilvl w:val="0"/>
          <w:numId w:val="32"/>
        </w:numPr>
      </w:pPr>
      <w:r>
        <w:t xml:space="preserve">Implement Project activities </w:t>
      </w:r>
      <w:r w:rsidRPr="007A5C8B">
        <w:t>and</w:t>
      </w:r>
      <w:r w:rsidRPr="00B929EA">
        <w:t xml:space="preserve"> provi</w:t>
      </w:r>
      <w:r>
        <w:t>de</w:t>
      </w:r>
      <w:r w:rsidRPr="00B929EA">
        <w:t xml:space="preserve"> relevant training</w:t>
      </w:r>
    </w:p>
    <w:p w:rsidR="008434CC" w:rsidRDefault="008434CC" w:rsidP="00B916EC">
      <w:pPr>
        <w:pStyle w:val="ListParagraph"/>
        <w:numPr>
          <w:ilvl w:val="0"/>
          <w:numId w:val="32"/>
        </w:numPr>
      </w:pPr>
      <w:r>
        <w:t>Revise</w:t>
      </w:r>
      <w:r w:rsidRPr="00B929EA">
        <w:t xml:space="preserve"> the </w:t>
      </w:r>
      <w:r w:rsidRPr="00C76D69">
        <w:rPr>
          <w:i/>
        </w:rPr>
        <w:t>National TB Strategy</w:t>
      </w:r>
      <w:r w:rsidRPr="00B929EA">
        <w:t xml:space="preserve"> </w:t>
      </w:r>
      <w:r>
        <w:t>and relevant sections of the</w:t>
      </w:r>
      <w:r w:rsidRPr="00B929EA">
        <w:t xml:space="preserve"> NHSP </w:t>
      </w:r>
      <w:r>
        <w:t xml:space="preserve">beyond </w:t>
      </w:r>
      <w:r w:rsidRPr="00B929EA">
        <w:t>2015</w:t>
      </w:r>
    </w:p>
    <w:p w:rsidR="008434CC" w:rsidRDefault="008434CC" w:rsidP="00B916EC">
      <w:pPr>
        <w:pStyle w:val="ListParagraph"/>
        <w:numPr>
          <w:ilvl w:val="0"/>
          <w:numId w:val="32"/>
        </w:numPr>
      </w:pPr>
      <w:r w:rsidRPr="00B929EA">
        <w:lastRenderedPageBreak/>
        <w:t>Ensur</w:t>
      </w:r>
      <w:r>
        <w:t>e</w:t>
      </w:r>
      <w:r w:rsidRPr="00B929EA">
        <w:t xml:space="preserve"> that </w:t>
      </w:r>
      <w:r>
        <w:t xml:space="preserve">an adequate supply of first line </w:t>
      </w:r>
      <w:r w:rsidRPr="00B929EA">
        <w:t xml:space="preserve">TB drugs </w:t>
      </w:r>
      <w:r>
        <w:t>is</w:t>
      </w:r>
      <w:r w:rsidRPr="00B929EA">
        <w:t xml:space="preserve"> available through the </w:t>
      </w:r>
      <w:r>
        <w:t>g</w:t>
      </w:r>
      <w:r w:rsidRPr="00B929EA">
        <w:t>overnment Pharmacy</w:t>
      </w:r>
    </w:p>
    <w:p w:rsidR="008434CC" w:rsidRDefault="008434CC" w:rsidP="00B916EC">
      <w:pPr>
        <w:pStyle w:val="ListParagraph"/>
        <w:numPr>
          <w:ilvl w:val="0"/>
          <w:numId w:val="32"/>
        </w:numPr>
      </w:pPr>
      <w:r w:rsidRPr="00B929EA">
        <w:t xml:space="preserve">Coordinate </w:t>
      </w:r>
      <w:r>
        <w:t>external technical assistance</w:t>
      </w:r>
    </w:p>
    <w:p w:rsidR="008434CC" w:rsidRDefault="008434CC" w:rsidP="00B916EC">
      <w:pPr>
        <w:pStyle w:val="ListParagraph"/>
        <w:numPr>
          <w:ilvl w:val="0"/>
          <w:numId w:val="32"/>
        </w:numPr>
      </w:pPr>
      <w:r>
        <w:t>M</w:t>
      </w:r>
      <w:r w:rsidRPr="00B929EA">
        <w:t>aintain TB surveillance</w:t>
      </w:r>
      <w:r>
        <w:t xml:space="preserve"> and reporting using recording and reporting systems that are aligned to WHO’s definitions and requirements</w:t>
      </w:r>
    </w:p>
    <w:p w:rsidR="008434CC" w:rsidRDefault="008434CC" w:rsidP="00B916EC">
      <w:pPr>
        <w:pStyle w:val="ListParagraph"/>
        <w:numPr>
          <w:ilvl w:val="0"/>
          <w:numId w:val="32"/>
        </w:numPr>
      </w:pPr>
      <w:r>
        <w:t>Provide c</w:t>
      </w:r>
      <w:r w:rsidRPr="00B929EA">
        <w:t xml:space="preserve">linical </w:t>
      </w:r>
      <w:r>
        <w:t xml:space="preserve">care for </w:t>
      </w:r>
      <w:r w:rsidRPr="00B929EA">
        <w:t>TB patients</w:t>
      </w:r>
      <w:r>
        <w:t>, TB suspects, TB contacts and others at risk of developing TB or co-morbidities</w:t>
      </w:r>
    </w:p>
    <w:p w:rsidR="008434CC" w:rsidRDefault="008434CC" w:rsidP="00B916EC">
      <w:pPr>
        <w:pStyle w:val="ListParagraph"/>
        <w:numPr>
          <w:ilvl w:val="0"/>
          <w:numId w:val="32"/>
        </w:numPr>
      </w:pPr>
      <w:r>
        <w:t>Collaborate with the Health Promotion Unit and the ACSM consultant to develop a strategy for TB advocacy activities</w:t>
      </w:r>
    </w:p>
    <w:p w:rsidR="008434CC" w:rsidRDefault="008434CC" w:rsidP="00B916EC">
      <w:pPr>
        <w:pStyle w:val="ListParagraph"/>
        <w:numPr>
          <w:ilvl w:val="0"/>
          <w:numId w:val="32"/>
        </w:numPr>
      </w:pPr>
      <w:r>
        <w:t>Collaborate with other relevant health programmes and groups to increase case detection</w:t>
      </w:r>
    </w:p>
    <w:p w:rsidR="008434CC" w:rsidRDefault="008434CC" w:rsidP="00B916EC">
      <w:pPr>
        <w:pStyle w:val="ListParagraph"/>
        <w:numPr>
          <w:ilvl w:val="0"/>
          <w:numId w:val="32"/>
        </w:numPr>
      </w:pPr>
      <w:r w:rsidRPr="00B929EA">
        <w:t>Lead all national TB initiatives</w:t>
      </w:r>
    </w:p>
    <w:p w:rsidR="008434CC" w:rsidRPr="004C192C" w:rsidRDefault="008434CC" w:rsidP="00054FB8">
      <w:pPr>
        <w:pStyle w:val="Heading3"/>
      </w:pPr>
      <w:bookmarkStart w:id="82" w:name="_Toc331686140"/>
      <w:r>
        <w:t>7.4.3 Secretariat of the Pacific Community</w:t>
      </w:r>
      <w:bookmarkEnd w:id="82"/>
    </w:p>
    <w:p w:rsidR="008434CC" w:rsidRPr="006F3162" w:rsidRDefault="008434CC" w:rsidP="00E97339">
      <w:pPr>
        <w:rPr>
          <w:color w:val="000000"/>
        </w:rPr>
      </w:pPr>
      <w:r w:rsidRPr="006F3162">
        <w:rPr>
          <w:color w:val="000000"/>
        </w:rPr>
        <w:t>SPC is the region’s multi-sectoral, inter-governmental body and brings a unique capability for technical support, not only for health-related aspects of the Project (through the TB Team in its Public Health Division) but also through linkages with its Human Development Program (addressing gender, youth, and culture), its Stat</w:t>
      </w:r>
      <w:r>
        <w:rPr>
          <w:color w:val="000000"/>
        </w:rPr>
        <w:t>istics for Development Program</w:t>
      </w:r>
      <w:r w:rsidRPr="006F3162">
        <w:rPr>
          <w:color w:val="000000"/>
        </w:rPr>
        <w:t xml:space="preserve"> and its Strategic Engagement Policy and Planning Facility.   </w:t>
      </w:r>
    </w:p>
    <w:p w:rsidR="008434CC" w:rsidRDefault="008434CC" w:rsidP="00E97339">
      <w:pPr>
        <w:rPr>
          <w:color w:val="000000"/>
        </w:rPr>
      </w:pPr>
      <w:r w:rsidRPr="006F3162">
        <w:rPr>
          <w:color w:val="000000"/>
        </w:rPr>
        <w:t xml:space="preserve">SPC’s involvement with the existing QTBECP (since 2006) and the Round 2 and Round 7 Global Fund grants (since 2003) give it a profound comparative advantage over other potential implementing partners in relation to the planning and implementation of TB interventions in Kiribati.  It has an established relationship with the MHMS </w:t>
      </w:r>
      <w:r>
        <w:rPr>
          <w:color w:val="000000"/>
        </w:rPr>
        <w:t xml:space="preserve">(including the </w:t>
      </w:r>
      <w:r w:rsidRPr="002D728A">
        <w:t>in-country project financial management unit</w:t>
      </w:r>
      <w:r>
        <w:t>)</w:t>
      </w:r>
      <w:r w:rsidRPr="006F3162">
        <w:rPr>
          <w:color w:val="000000"/>
        </w:rPr>
        <w:t xml:space="preserve"> and NTP and with the AusAID country office and, as noted </w:t>
      </w:r>
      <w:r w:rsidRPr="00707A6E">
        <w:rPr>
          <w:color w:val="000000"/>
        </w:rPr>
        <w:t xml:space="preserve">at Section 3.5, its Public Health Division strategic plan is supportive of the directions of the new </w:t>
      </w:r>
      <w:r w:rsidRPr="006F3162">
        <w:rPr>
          <w:color w:val="000000"/>
        </w:rPr>
        <w:t>Project</w:t>
      </w:r>
      <w:r>
        <w:rPr>
          <w:color w:val="000000"/>
        </w:rPr>
        <w:t>; this also includes close involvement in strategies to address HIV risk and infection and NCDs in the Pacific</w:t>
      </w:r>
      <w:r w:rsidRPr="006F3162">
        <w:rPr>
          <w:color w:val="000000"/>
        </w:rPr>
        <w:t>.</w:t>
      </w:r>
    </w:p>
    <w:p w:rsidR="008434CC" w:rsidRPr="006F3162" w:rsidRDefault="008434CC" w:rsidP="00E97339">
      <w:pPr>
        <w:rPr>
          <w:color w:val="000000"/>
        </w:rPr>
      </w:pPr>
      <w:r>
        <w:rPr>
          <w:color w:val="000000"/>
        </w:rPr>
        <w:t>Although SPC does not yet have a country office in Kiribati, the Senior NTP/Project Adviser and, to a certain extent, the NTP Coordinator will be in regular contact with the technical unit in Noumea and can represent SPC on a day-to-day basis.</w:t>
      </w:r>
    </w:p>
    <w:p w:rsidR="008434CC" w:rsidRDefault="008434CC" w:rsidP="00E97339">
      <w:r>
        <w:t>As principal implementing partner for the new Project, SPC will provide two principal avenues of support:</w:t>
      </w:r>
    </w:p>
    <w:p w:rsidR="008434CC" w:rsidRDefault="008434CC" w:rsidP="00E97339">
      <w:r w:rsidRPr="00B929EA">
        <w:t>The</w:t>
      </w:r>
      <w:r w:rsidRPr="00AB4FA2">
        <w:rPr>
          <w:b/>
        </w:rPr>
        <w:t xml:space="preserve"> </w:t>
      </w:r>
      <w:r>
        <w:t xml:space="preserve">SPC </w:t>
      </w:r>
      <w:r w:rsidRPr="00AB4FA2">
        <w:rPr>
          <w:b/>
        </w:rPr>
        <w:t xml:space="preserve">TB Adviser </w:t>
      </w:r>
      <w:r>
        <w:t xml:space="preserve">(TB Team, Noumea) </w:t>
      </w:r>
      <w:r w:rsidRPr="00B929EA">
        <w:t xml:space="preserve">will </w:t>
      </w:r>
      <w:r w:rsidRPr="006B3431">
        <w:rPr>
          <w:color w:val="000000"/>
        </w:rPr>
        <w:t xml:space="preserve">provide strong support </w:t>
      </w:r>
      <w:r>
        <w:t xml:space="preserve">to the Senior NTP/Project Adviser on </w:t>
      </w:r>
      <w:r w:rsidRPr="00B929EA">
        <w:t xml:space="preserve">overall </w:t>
      </w:r>
      <w:r>
        <w:t>P</w:t>
      </w:r>
      <w:r w:rsidRPr="00B929EA">
        <w:t xml:space="preserve">roject </w:t>
      </w:r>
      <w:r>
        <w:t xml:space="preserve">management and </w:t>
      </w:r>
      <w:r w:rsidRPr="00B929EA">
        <w:t xml:space="preserve">coordination, including: </w:t>
      </w:r>
    </w:p>
    <w:p w:rsidR="008434CC" w:rsidRDefault="008434CC" w:rsidP="00B916EC">
      <w:pPr>
        <w:pStyle w:val="ListParagraph"/>
        <w:numPr>
          <w:ilvl w:val="0"/>
          <w:numId w:val="22"/>
        </w:numPr>
      </w:pPr>
      <w:r>
        <w:t>O</w:t>
      </w:r>
      <w:r w:rsidRPr="00B929EA">
        <w:t xml:space="preserve">rganising and managing </w:t>
      </w:r>
      <w:r>
        <w:t>P</w:t>
      </w:r>
      <w:r w:rsidRPr="00B929EA">
        <w:t>roject implementation</w:t>
      </w:r>
      <w:r>
        <w:t xml:space="preserve"> and monitoring, including technical, project and financial management </w:t>
      </w:r>
    </w:p>
    <w:p w:rsidR="008434CC" w:rsidRDefault="008434CC" w:rsidP="00B916EC">
      <w:pPr>
        <w:pStyle w:val="ListParagraph"/>
        <w:numPr>
          <w:ilvl w:val="0"/>
          <w:numId w:val="22"/>
        </w:numPr>
      </w:pPr>
      <w:r>
        <w:t xml:space="preserve">Helping to develop and then </w:t>
      </w:r>
      <w:r w:rsidRPr="00B929EA">
        <w:t xml:space="preserve">submitting required </w:t>
      </w:r>
      <w:r>
        <w:t>P</w:t>
      </w:r>
      <w:r w:rsidRPr="00B929EA">
        <w:t>roject</w:t>
      </w:r>
      <w:r>
        <w:t>-specific</w:t>
      </w:r>
      <w:r w:rsidRPr="00B929EA">
        <w:t xml:space="preserve"> reports to AusAID </w:t>
      </w:r>
      <w:r>
        <w:t>and SPC</w:t>
      </w:r>
    </w:p>
    <w:p w:rsidR="008434CC" w:rsidRDefault="008434CC" w:rsidP="00B916EC">
      <w:pPr>
        <w:pStyle w:val="ListParagraph"/>
        <w:numPr>
          <w:ilvl w:val="0"/>
          <w:numId w:val="22"/>
        </w:numPr>
      </w:pPr>
      <w:r>
        <w:t>P</w:t>
      </w:r>
      <w:r w:rsidRPr="00B929EA">
        <w:t xml:space="preserve">roviding technical assistance to </w:t>
      </w:r>
      <w:r>
        <w:t>the Project, in collaboration with other partners.</w:t>
      </w:r>
    </w:p>
    <w:p w:rsidR="008434CC" w:rsidRDefault="008434CC" w:rsidP="00E97339">
      <w:r w:rsidRPr="00B929EA">
        <w:t xml:space="preserve">The </w:t>
      </w:r>
      <w:r>
        <w:t>SPC</w:t>
      </w:r>
      <w:r w:rsidRPr="008D5229">
        <w:t xml:space="preserve"> </w:t>
      </w:r>
      <w:r w:rsidRPr="00AB4FA2">
        <w:rPr>
          <w:b/>
        </w:rPr>
        <w:t>Project Administrator</w:t>
      </w:r>
      <w:r w:rsidRPr="00B929EA">
        <w:t xml:space="preserve"> </w:t>
      </w:r>
      <w:r>
        <w:t xml:space="preserve">(TB Team, Noumea) </w:t>
      </w:r>
      <w:r w:rsidRPr="00B929EA">
        <w:t xml:space="preserve">will be responsible for </w:t>
      </w:r>
      <w:r>
        <w:t xml:space="preserve">SPC’s </w:t>
      </w:r>
      <w:r w:rsidRPr="00B929EA">
        <w:t xml:space="preserve">financial </w:t>
      </w:r>
      <w:r>
        <w:t>administration</w:t>
      </w:r>
      <w:r w:rsidRPr="00B929EA">
        <w:t xml:space="preserve"> of the </w:t>
      </w:r>
      <w:r>
        <w:t>P</w:t>
      </w:r>
      <w:r w:rsidRPr="00B929EA">
        <w:t>roject</w:t>
      </w:r>
      <w:r>
        <w:t xml:space="preserve"> under the guidance of the TB Adviser, and will work closely with the Project A</w:t>
      </w:r>
      <w:r w:rsidRPr="00B929EA">
        <w:t xml:space="preserve">ccountant. </w:t>
      </w:r>
      <w:r>
        <w:t xml:space="preserve"> </w:t>
      </w:r>
      <w:r w:rsidRPr="00B929EA">
        <w:t xml:space="preserve">Other tasks </w:t>
      </w:r>
      <w:r>
        <w:t>of the Project Administrator include:</w:t>
      </w:r>
    </w:p>
    <w:p w:rsidR="008434CC" w:rsidRDefault="008434CC" w:rsidP="00B916EC">
      <w:pPr>
        <w:pStyle w:val="ListParagraph"/>
        <w:numPr>
          <w:ilvl w:val="0"/>
          <w:numId w:val="25"/>
        </w:numPr>
      </w:pPr>
      <w:r>
        <w:lastRenderedPageBreak/>
        <w:t>In consultation with</w:t>
      </w:r>
      <w:r w:rsidRPr="00B929EA">
        <w:t xml:space="preserve"> </w:t>
      </w:r>
      <w:r>
        <w:t>the Project A</w:t>
      </w:r>
      <w:r w:rsidRPr="00B929EA">
        <w:t>ccountant</w:t>
      </w:r>
      <w:r w:rsidRPr="00322F49">
        <w:t xml:space="preserve"> </w:t>
      </w:r>
      <w:r>
        <w:t>(</w:t>
      </w:r>
      <w:r w:rsidRPr="00B929EA">
        <w:t xml:space="preserve">who will be managing </w:t>
      </w:r>
      <w:r>
        <w:t>P</w:t>
      </w:r>
      <w:r w:rsidRPr="00B929EA">
        <w:t>roject disbursement</w:t>
      </w:r>
      <w:r>
        <w:t>, acquittals and monitoring</w:t>
      </w:r>
      <w:r w:rsidRPr="00B929EA">
        <w:t xml:space="preserve"> at the </w:t>
      </w:r>
      <w:r>
        <w:t>in-country</w:t>
      </w:r>
      <w:r w:rsidRPr="00B929EA">
        <w:t xml:space="preserve"> level</w:t>
      </w:r>
      <w:r>
        <w:t>),</w:t>
      </w:r>
      <w:r w:rsidRPr="00B929EA">
        <w:t xml:space="preserve"> develop</w:t>
      </w:r>
      <w:r>
        <w:t>ing</w:t>
      </w:r>
      <w:r w:rsidRPr="00B929EA">
        <w:t xml:space="preserve"> or refin</w:t>
      </w:r>
      <w:r>
        <w:t>ing financial</w:t>
      </w:r>
      <w:r w:rsidRPr="00B929EA">
        <w:t xml:space="preserve"> monitoring tools </w:t>
      </w:r>
      <w:r>
        <w:t xml:space="preserve">to </w:t>
      </w:r>
      <w:r w:rsidRPr="00B929EA">
        <w:t>ensur</w:t>
      </w:r>
      <w:r>
        <w:t>e</w:t>
      </w:r>
      <w:r w:rsidRPr="00B929EA">
        <w:t xml:space="preserve"> that th</w:t>
      </w:r>
      <w:r>
        <w:t>at</w:t>
      </w:r>
      <w:r w:rsidRPr="00B929EA">
        <w:t xml:space="preserve"> </w:t>
      </w:r>
      <w:r>
        <w:t>P</w:t>
      </w:r>
      <w:r w:rsidRPr="00B929EA">
        <w:t>roject requirements are fulfilled</w:t>
      </w:r>
    </w:p>
    <w:p w:rsidR="008434CC" w:rsidRDefault="008434CC" w:rsidP="00B916EC">
      <w:pPr>
        <w:pStyle w:val="ListParagraph"/>
        <w:numPr>
          <w:ilvl w:val="0"/>
          <w:numId w:val="25"/>
        </w:numPr>
      </w:pPr>
      <w:r>
        <w:t>Ensuring that</w:t>
      </w:r>
      <w:r w:rsidRPr="00B929EA">
        <w:t xml:space="preserve"> </w:t>
      </w:r>
      <w:r>
        <w:t>the P</w:t>
      </w:r>
      <w:r w:rsidRPr="00B929EA">
        <w:t xml:space="preserve">roject </w:t>
      </w:r>
      <w:r>
        <w:t xml:space="preserve">financial </w:t>
      </w:r>
      <w:r w:rsidRPr="00B929EA">
        <w:t xml:space="preserve">reporting system </w:t>
      </w:r>
      <w:r>
        <w:t xml:space="preserve">and tools are compatible with both the SPC reporting system and – eventually – also the MHMS </w:t>
      </w:r>
      <w:r w:rsidRPr="002D728A">
        <w:rPr>
          <w:color w:val="000000"/>
        </w:rPr>
        <w:t>project financial management unit</w:t>
      </w:r>
      <w:r>
        <w:rPr>
          <w:color w:val="000000"/>
        </w:rPr>
        <w:t>’s</w:t>
      </w:r>
      <w:r w:rsidRPr="00B929EA">
        <w:t xml:space="preserve"> financial tools</w:t>
      </w:r>
    </w:p>
    <w:p w:rsidR="008434CC" w:rsidRDefault="008434CC" w:rsidP="00B916EC">
      <w:pPr>
        <w:pStyle w:val="ListParagraph"/>
        <w:numPr>
          <w:ilvl w:val="0"/>
          <w:numId w:val="25"/>
        </w:numPr>
      </w:pPr>
      <w:r>
        <w:t>A</w:t>
      </w:r>
      <w:r w:rsidRPr="00B929EA">
        <w:t>ssisting in the streamlining of financial systems within the national TB programme</w:t>
      </w:r>
    </w:p>
    <w:p w:rsidR="008434CC" w:rsidRDefault="008434CC" w:rsidP="008F7AA9">
      <w:pPr>
        <w:spacing w:before="180"/>
      </w:pPr>
      <w:r>
        <w:t>Neither of these two positions is funded out of the Project budget.</w:t>
      </w:r>
    </w:p>
    <w:p w:rsidR="008434CC" w:rsidRPr="004C192C" w:rsidRDefault="008434CC" w:rsidP="00054FB8">
      <w:pPr>
        <w:pStyle w:val="Heading3"/>
      </w:pPr>
      <w:bookmarkStart w:id="83" w:name="_Toc331686141"/>
      <w:r>
        <w:t xml:space="preserve">7.4.4 Other </w:t>
      </w:r>
      <w:r w:rsidRPr="004C192C">
        <w:t xml:space="preserve">Technical </w:t>
      </w:r>
      <w:r>
        <w:t>P</w:t>
      </w:r>
      <w:r w:rsidRPr="004C192C">
        <w:t>artners</w:t>
      </w:r>
      <w:bookmarkEnd w:id="79"/>
      <w:bookmarkEnd w:id="83"/>
    </w:p>
    <w:p w:rsidR="008434CC" w:rsidRDefault="008434CC" w:rsidP="008F7AA9">
      <w:r>
        <w:t xml:space="preserve">The Kiribati NTP has had longstanding relationships with other technical partners in the region.  Among these, the principal ones are the </w:t>
      </w:r>
      <w:r w:rsidRPr="005F44EE">
        <w:rPr>
          <w:b/>
        </w:rPr>
        <w:t>Australian Respiratory Council</w:t>
      </w:r>
      <w:r>
        <w:t xml:space="preserve">, the </w:t>
      </w:r>
      <w:r w:rsidRPr="005F44EE">
        <w:rPr>
          <w:b/>
        </w:rPr>
        <w:t>Institute of Medical and Veterinary S</w:t>
      </w:r>
      <w:r>
        <w:rPr>
          <w:b/>
        </w:rPr>
        <w:t>ci</w:t>
      </w:r>
      <w:r w:rsidRPr="005F44EE">
        <w:rPr>
          <w:b/>
        </w:rPr>
        <w:t>e</w:t>
      </w:r>
      <w:r>
        <w:rPr>
          <w:b/>
        </w:rPr>
        <w:t>n</w:t>
      </w:r>
      <w:r w:rsidRPr="005F44EE">
        <w:rPr>
          <w:b/>
        </w:rPr>
        <w:t>ces</w:t>
      </w:r>
      <w:r w:rsidRPr="00DA6FE2">
        <w:t>,</w:t>
      </w:r>
      <w:r>
        <w:rPr>
          <w:b/>
        </w:rPr>
        <w:t xml:space="preserve"> </w:t>
      </w:r>
      <w:r w:rsidRPr="00DA6FE2">
        <w:t>the</w:t>
      </w:r>
      <w:r>
        <w:rPr>
          <w:b/>
        </w:rPr>
        <w:t xml:space="preserve"> Pacific Paramedical Training Centre</w:t>
      </w:r>
      <w:r>
        <w:t xml:space="preserve"> and the </w:t>
      </w:r>
      <w:r w:rsidRPr="005F44EE">
        <w:rPr>
          <w:b/>
        </w:rPr>
        <w:t>World Health Organization</w:t>
      </w:r>
      <w:r>
        <w:t xml:space="preserve"> (Pacific Division of Technical Support – Western Pacific Region and Kiribati office). </w:t>
      </w:r>
    </w:p>
    <w:p w:rsidR="008434CC" w:rsidRDefault="008434CC" w:rsidP="003213C2">
      <w:r>
        <w:t xml:space="preserve">These partners provide technical assistance in the following areas: laboratory strengthening and quality assurance; programmatic management; monitoring and refinement of active case finding strategies; ACSM; capacity building; TB drug procurement; and other areas pertaining to the programmatic management of TB.  In addition, as the need arises, the NTP is supported by independent consultants and clinicians in specialist areas such as radiology and other training, research, clinical case assessment, etc.  </w:t>
      </w:r>
    </w:p>
    <w:p w:rsidR="008434CC" w:rsidRDefault="008434CC" w:rsidP="003213C2">
      <w:r>
        <w:t xml:space="preserve">More recently, the NTP has collaborated with the United States </w:t>
      </w:r>
      <w:r w:rsidRPr="005F44EE">
        <w:rPr>
          <w:b/>
        </w:rPr>
        <w:t>Centers for Disease Control and Prevention</w:t>
      </w:r>
      <w:r>
        <w:t xml:space="preserve"> to promote programmatic research in the area of TB and diabetes.  </w:t>
      </w:r>
    </w:p>
    <w:p w:rsidR="008434CC" w:rsidRPr="005F44EE" w:rsidRDefault="008434CC" w:rsidP="00054FB8">
      <w:pPr>
        <w:pStyle w:val="Heading3"/>
      </w:pPr>
      <w:bookmarkStart w:id="84" w:name="_Toc331686142"/>
      <w:r>
        <w:t xml:space="preserve">7.4.5 </w:t>
      </w:r>
      <w:r w:rsidRPr="005F44EE">
        <w:t>NGOs</w:t>
      </w:r>
      <w:bookmarkEnd w:id="84"/>
    </w:p>
    <w:p w:rsidR="008434CC" w:rsidRDefault="008434CC" w:rsidP="003213C2">
      <w:pPr>
        <w:rPr>
          <w:color w:val="000000"/>
        </w:rPr>
      </w:pPr>
      <w:r>
        <w:t xml:space="preserve">The Kiribati NTP has collaborated with local NGOs for TB related ACSM activities.  As described at </w:t>
      </w:r>
      <w:r w:rsidRPr="008F7AA9">
        <w:rPr>
          <w:color w:val="000000"/>
        </w:rPr>
        <w:t xml:space="preserve">Section 6.2.1, this collaboration will continue in many aspects of ACSM during the proposed Project. </w:t>
      </w:r>
    </w:p>
    <w:p w:rsidR="008434CC" w:rsidRPr="005F44EE" w:rsidRDefault="008434CC" w:rsidP="003E00B2">
      <w:pPr>
        <w:pStyle w:val="Heading2"/>
      </w:pPr>
      <w:bookmarkStart w:id="85" w:name="_Toc331686143"/>
      <w:r>
        <w:t>7.5 Technical Advisory Group</w:t>
      </w:r>
      <w:bookmarkEnd w:id="85"/>
    </w:p>
    <w:p w:rsidR="008434CC" w:rsidRPr="00734695" w:rsidRDefault="008434CC" w:rsidP="003E00B2">
      <w:pPr>
        <w:rPr>
          <w:color w:val="000000"/>
        </w:rPr>
      </w:pPr>
      <w:r w:rsidRPr="00734695">
        <w:rPr>
          <w:color w:val="000000"/>
        </w:rPr>
        <w:t xml:space="preserve">It will be critically important to ensure that </w:t>
      </w:r>
      <w:r>
        <w:rPr>
          <w:color w:val="000000"/>
        </w:rPr>
        <w:t>P</w:t>
      </w:r>
      <w:r w:rsidRPr="00734695">
        <w:rPr>
          <w:color w:val="000000"/>
        </w:rPr>
        <w:t>roject-funded functions are correctly integrated into the NTP, that activities</w:t>
      </w:r>
      <w:r>
        <w:rPr>
          <w:color w:val="000000"/>
        </w:rPr>
        <w:t xml:space="preserve"> and interventions</w:t>
      </w:r>
      <w:r w:rsidRPr="00734695">
        <w:rPr>
          <w:color w:val="000000"/>
        </w:rPr>
        <w:t xml:space="preserve"> are based on </w:t>
      </w:r>
      <w:r>
        <w:rPr>
          <w:color w:val="000000"/>
        </w:rPr>
        <w:t xml:space="preserve">the best available </w:t>
      </w:r>
      <w:r w:rsidRPr="00734695">
        <w:rPr>
          <w:color w:val="000000"/>
        </w:rPr>
        <w:t>evidence</w:t>
      </w:r>
      <w:r>
        <w:rPr>
          <w:color w:val="000000"/>
        </w:rPr>
        <w:t>,</w:t>
      </w:r>
      <w:r w:rsidRPr="00D177B1">
        <w:rPr>
          <w:color w:val="000000"/>
        </w:rPr>
        <w:t xml:space="preserve"> </w:t>
      </w:r>
      <w:r w:rsidRPr="00734695">
        <w:rPr>
          <w:color w:val="000000"/>
        </w:rPr>
        <w:t>and</w:t>
      </w:r>
      <w:r>
        <w:rPr>
          <w:color w:val="000000"/>
        </w:rPr>
        <w:t xml:space="preserve"> that important risks are being identified and managed in a timely fashion</w:t>
      </w:r>
      <w:r w:rsidRPr="00734695">
        <w:rPr>
          <w:color w:val="000000"/>
        </w:rPr>
        <w:t>.  The Project budget therefore provides for a</w:t>
      </w:r>
      <w:r>
        <w:rPr>
          <w:color w:val="000000"/>
        </w:rPr>
        <w:t xml:space="preserve"> specific </w:t>
      </w:r>
      <w:r w:rsidRPr="00734695">
        <w:rPr>
          <w:color w:val="000000"/>
        </w:rPr>
        <w:t>T</w:t>
      </w:r>
      <w:r>
        <w:rPr>
          <w:color w:val="000000"/>
        </w:rPr>
        <w:t xml:space="preserve">echnical </w:t>
      </w:r>
      <w:r w:rsidRPr="00734695">
        <w:rPr>
          <w:color w:val="000000"/>
        </w:rPr>
        <w:t>A</w:t>
      </w:r>
      <w:r>
        <w:rPr>
          <w:color w:val="000000"/>
        </w:rPr>
        <w:t xml:space="preserve">dvisory </w:t>
      </w:r>
      <w:r w:rsidRPr="00734695">
        <w:rPr>
          <w:color w:val="000000"/>
        </w:rPr>
        <w:t>G</w:t>
      </w:r>
      <w:r>
        <w:rPr>
          <w:color w:val="000000"/>
        </w:rPr>
        <w:t>roup</w:t>
      </w:r>
      <w:r w:rsidRPr="00734695">
        <w:rPr>
          <w:color w:val="000000"/>
        </w:rPr>
        <w:t xml:space="preserve"> to be engaged </w:t>
      </w:r>
      <w:r>
        <w:rPr>
          <w:color w:val="000000"/>
        </w:rPr>
        <w:t>annu</w:t>
      </w:r>
      <w:r w:rsidRPr="00734695">
        <w:rPr>
          <w:color w:val="000000"/>
        </w:rPr>
        <w:t>ally</w:t>
      </w:r>
      <w:r>
        <w:rPr>
          <w:color w:val="000000"/>
        </w:rPr>
        <w:t>, either as a stand-alone technical advisory mechanism or as part of an expanded Project and NTP review function</w:t>
      </w:r>
      <w:r w:rsidRPr="00734695">
        <w:rPr>
          <w:color w:val="000000"/>
        </w:rPr>
        <w:t>.</w:t>
      </w:r>
    </w:p>
    <w:p w:rsidR="008434CC" w:rsidRPr="005F44EE" w:rsidRDefault="008434CC" w:rsidP="00054FB8">
      <w:pPr>
        <w:pStyle w:val="Heading3"/>
      </w:pPr>
      <w:bookmarkStart w:id="86" w:name="_Toc331686144"/>
      <w:r>
        <w:t>7.5.1 Composition and Frequency</w:t>
      </w:r>
      <w:bookmarkEnd w:id="86"/>
    </w:p>
    <w:p w:rsidR="008434CC" w:rsidRDefault="008434CC" w:rsidP="003E00B2">
      <w:pPr>
        <w:rPr>
          <w:color w:val="000000"/>
        </w:rPr>
      </w:pPr>
      <w:r w:rsidRPr="00E43C63">
        <w:rPr>
          <w:color w:val="000000"/>
        </w:rPr>
        <w:t xml:space="preserve">The TAG would </w:t>
      </w:r>
      <w:r>
        <w:rPr>
          <w:color w:val="000000"/>
        </w:rPr>
        <w:t xml:space="preserve">serve as an expert panel not only to the Project but to the overall NTP.  </w:t>
      </w:r>
    </w:p>
    <w:p w:rsidR="008434CC" w:rsidRDefault="008434CC" w:rsidP="003E00B2">
      <w:pPr>
        <w:rPr>
          <w:color w:val="000000"/>
        </w:rPr>
      </w:pPr>
      <w:r>
        <w:rPr>
          <w:color w:val="000000"/>
        </w:rPr>
        <w:t>It would bring</w:t>
      </w:r>
      <w:r w:rsidRPr="00E43C63">
        <w:rPr>
          <w:color w:val="000000"/>
        </w:rPr>
        <w:t xml:space="preserve"> together specific expertise and experience in</w:t>
      </w:r>
      <w:r>
        <w:rPr>
          <w:color w:val="000000"/>
        </w:rPr>
        <w:t xml:space="preserve"> the following areas</w:t>
      </w:r>
      <w:r w:rsidRPr="00E43C63">
        <w:rPr>
          <w:color w:val="000000"/>
        </w:rPr>
        <w:t xml:space="preserve">: </w:t>
      </w:r>
    </w:p>
    <w:p w:rsidR="008434CC" w:rsidRDefault="008434CC" w:rsidP="003E00B2">
      <w:pPr>
        <w:pStyle w:val="ListParagraph"/>
        <w:numPr>
          <w:ilvl w:val="0"/>
          <w:numId w:val="51"/>
        </w:numPr>
        <w:rPr>
          <w:color w:val="000000"/>
        </w:rPr>
      </w:pPr>
      <w:r w:rsidRPr="00AF56C4">
        <w:rPr>
          <w:color w:val="000000"/>
        </w:rPr>
        <w:t>TB control</w:t>
      </w:r>
      <w:r>
        <w:rPr>
          <w:color w:val="000000"/>
        </w:rPr>
        <w:t>,</w:t>
      </w:r>
      <w:r w:rsidRPr="00AF56C4">
        <w:rPr>
          <w:color w:val="000000"/>
        </w:rPr>
        <w:t xml:space="preserve"> and clinical </w:t>
      </w:r>
      <w:r>
        <w:rPr>
          <w:color w:val="000000"/>
        </w:rPr>
        <w:t xml:space="preserve">diagnosis and </w:t>
      </w:r>
      <w:r w:rsidRPr="00AF56C4">
        <w:rPr>
          <w:color w:val="000000"/>
        </w:rPr>
        <w:t xml:space="preserve">management; </w:t>
      </w:r>
    </w:p>
    <w:p w:rsidR="008434CC" w:rsidRDefault="008434CC" w:rsidP="003E00B2">
      <w:pPr>
        <w:pStyle w:val="ListParagraph"/>
        <w:numPr>
          <w:ilvl w:val="0"/>
          <w:numId w:val="51"/>
        </w:numPr>
        <w:rPr>
          <w:color w:val="000000"/>
        </w:rPr>
      </w:pPr>
      <w:r w:rsidRPr="00AF56C4">
        <w:rPr>
          <w:color w:val="000000"/>
        </w:rPr>
        <w:t xml:space="preserve">mycobacteriology, laboratory science and laboratory </w:t>
      </w:r>
      <w:r>
        <w:rPr>
          <w:color w:val="000000"/>
        </w:rPr>
        <w:t xml:space="preserve">quality management </w:t>
      </w:r>
      <w:r w:rsidRPr="00AF56C4">
        <w:rPr>
          <w:color w:val="000000"/>
        </w:rPr>
        <w:t xml:space="preserve">systems; </w:t>
      </w:r>
    </w:p>
    <w:p w:rsidR="008434CC" w:rsidRDefault="008434CC" w:rsidP="003E00B2">
      <w:pPr>
        <w:pStyle w:val="ListParagraph"/>
        <w:numPr>
          <w:ilvl w:val="0"/>
          <w:numId w:val="51"/>
        </w:numPr>
        <w:rPr>
          <w:color w:val="000000"/>
        </w:rPr>
      </w:pPr>
      <w:r w:rsidRPr="00AF56C4">
        <w:rPr>
          <w:color w:val="000000"/>
        </w:rPr>
        <w:t xml:space="preserve">health </w:t>
      </w:r>
      <w:r>
        <w:rPr>
          <w:color w:val="000000"/>
        </w:rPr>
        <w:t xml:space="preserve">systems, </w:t>
      </w:r>
      <w:r w:rsidRPr="00AF56C4">
        <w:rPr>
          <w:color w:val="000000"/>
        </w:rPr>
        <w:t>policy</w:t>
      </w:r>
      <w:r>
        <w:rPr>
          <w:color w:val="000000"/>
        </w:rPr>
        <w:t>,</w:t>
      </w:r>
      <w:r w:rsidRPr="00AF56C4">
        <w:rPr>
          <w:color w:val="000000"/>
        </w:rPr>
        <w:t xml:space="preserve"> planning</w:t>
      </w:r>
      <w:r w:rsidRPr="00594FE4">
        <w:rPr>
          <w:color w:val="000000"/>
        </w:rPr>
        <w:t xml:space="preserve"> </w:t>
      </w:r>
      <w:r w:rsidRPr="00AF56C4">
        <w:rPr>
          <w:color w:val="000000"/>
        </w:rPr>
        <w:t>and</w:t>
      </w:r>
      <w:r>
        <w:rPr>
          <w:color w:val="000000"/>
        </w:rPr>
        <w:t xml:space="preserve"> financing</w:t>
      </w:r>
      <w:r w:rsidRPr="00AF56C4">
        <w:rPr>
          <w:color w:val="000000"/>
        </w:rPr>
        <w:t xml:space="preserve">; </w:t>
      </w:r>
    </w:p>
    <w:p w:rsidR="008434CC" w:rsidRDefault="008434CC" w:rsidP="003E00B2">
      <w:pPr>
        <w:pStyle w:val="ListParagraph"/>
        <w:numPr>
          <w:ilvl w:val="0"/>
          <w:numId w:val="51"/>
        </w:numPr>
        <w:rPr>
          <w:color w:val="000000"/>
        </w:rPr>
      </w:pPr>
      <w:r w:rsidRPr="00AF56C4">
        <w:rPr>
          <w:color w:val="000000"/>
        </w:rPr>
        <w:t xml:space="preserve">data management and M&amp;E; and </w:t>
      </w:r>
    </w:p>
    <w:p w:rsidR="008434CC" w:rsidRPr="00AF56C4" w:rsidRDefault="008434CC" w:rsidP="003E00B2">
      <w:pPr>
        <w:pStyle w:val="ListParagraph"/>
        <w:numPr>
          <w:ilvl w:val="0"/>
          <w:numId w:val="51"/>
        </w:numPr>
        <w:rPr>
          <w:color w:val="000000"/>
        </w:rPr>
      </w:pPr>
      <w:r w:rsidRPr="00AF56C4">
        <w:rPr>
          <w:color w:val="000000"/>
        </w:rPr>
        <w:lastRenderedPageBreak/>
        <w:t xml:space="preserve">community mobilisation.  </w:t>
      </w:r>
    </w:p>
    <w:p w:rsidR="008434CC" w:rsidRDefault="008434CC" w:rsidP="003E00B2">
      <w:pPr>
        <w:spacing w:before="180"/>
        <w:rPr>
          <w:color w:val="000000"/>
        </w:rPr>
      </w:pPr>
      <w:r>
        <w:rPr>
          <w:color w:val="000000"/>
        </w:rPr>
        <w:t>N</w:t>
      </w:r>
      <w:r w:rsidRPr="00E43C63">
        <w:rPr>
          <w:color w:val="000000"/>
        </w:rPr>
        <w:t xml:space="preserve">ot </w:t>
      </w:r>
      <w:r>
        <w:rPr>
          <w:color w:val="000000"/>
        </w:rPr>
        <w:t>a</w:t>
      </w:r>
      <w:r w:rsidRPr="00E43C63">
        <w:rPr>
          <w:color w:val="000000"/>
        </w:rPr>
        <w:t>ll of these skill sets might be needed for every TAG visit</w:t>
      </w:r>
      <w:r>
        <w:rPr>
          <w:color w:val="000000"/>
        </w:rPr>
        <w:t>.  However</w:t>
      </w:r>
      <w:r w:rsidRPr="00E43C63">
        <w:rPr>
          <w:color w:val="000000"/>
        </w:rPr>
        <w:t xml:space="preserve">, the right membership of the TAG would </w:t>
      </w:r>
      <w:r>
        <w:rPr>
          <w:color w:val="000000"/>
        </w:rPr>
        <w:t xml:space="preserve">most likely </w:t>
      </w:r>
      <w:r w:rsidRPr="00E43C63">
        <w:rPr>
          <w:color w:val="000000"/>
        </w:rPr>
        <w:t>ensure that a good breadth of skills could be provided by a small number of individuals</w:t>
      </w:r>
      <w:r>
        <w:rPr>
          <w:color w:val="000000"/>
        </w:rPr>
        <w:t xml:space="preserve"> anyway</w:t>
      </w:r>
      <w:r w:rsidRPr="00E43C63">
        <w:rPr>
          <w:color w:val="000000"/>
        </w:rPr>
        <w:t xml:space="preserve">.  </w:t>
      </w:r>
    </w:p>
    <w:p w:rsidR="008434CC" w:rsidRPr="00E43C63" w:rsidRDefault="008434CC" w:rsidP="003E00B2">
      <w:pPr>
        <w:rPr>
          <w:color w:val="000000"/>
        </w:rPr>
      </w:pPr>
      <w:r>
        <w:rPr>
          <w:color w:val="000000"/>
        </w:rPr>
        <w:t>An expert in TB control programs would be designated as the lead consultant of the TAG, and would ideally be available to participate in all TAG and review missions over the life of the Project.</w:t>
      </w:r>
    </w:p>
    <w:p w:rsidR="008434CC" w:rsidRDefault="008434CC" w:rsidP="00C64E35">
      <w:pPr>
        <w:rPr>
          <w:color w:val="000000"/>
        </w:rPr>
      </w:pPr>
      <w:r w:rsidRPr="004E34BE">
        <w:rPr>
          <w:color w:val="000000"/>
        </w:rPr>
        <w:t xml:space="preserve">It is proposed that the TAG be mobilised </w:t>
      </w:r>
      <w:r>
        <w:rPr>
          <w:color w:val="000000"/>
        </w:rPr>
        <w:t xml:space="preserve">for up to one week in-country each year.  </w:t>
      </w:r>
    </w:p>
    <w:p w:rsidR="008434CC" w:rsidRPr="005F44EE" w:rsidRDefault="008434CC" w:rsidP="00054FB8">
      <w:pPr>
        <w:pStyle w:val="Heading3"/>
      </w:pPr>
      <w:bookmarkStart w:id="87" w:name="_Toc331686145"/>
      <w:r>
        <w:t>7.5.2 Timing, and Coordination with other Review Activities</w:t>
      </w:r>
      <w:bookmarkEnd w:id="87"/>
    </w:p>
    <w:p w:rsidR="008434CC" w:rsidRDefault="008434CC" w:rsidP="003E00B2">
      <w:pPr>
        <w:rPr>
          <w:color w:val="000000"/>
        </w:rPr>
      </w:pPr>
      <w:r w:rsidRPr="004E34BE">
        <w:rPr>
          <w:color w:val="000000"/>
        </w:rPr>
        <w:t xml:space="preserve">The Project design </w:t>
      </w:r>
      <w:r>
        <w:rPr>
          <w:color w:val="000000"/>
        </w:rPr>
        <w:t xml:space="preserve">also </w:t>
      </w:r>
      <w:r w:rsidRPr="004E34BE">
        <w:rPr>
          <w:color w:val="000000"/>
        </w:rPr>
        <w:t xml:space="preserve">provides for </w:t>
      </w:r>
      <w:r>
        <w:rPr>
          <w:color w:val="000000"/>
        </w:rPr>
        <w:t xml:space="preserve">comprehensive review of </w:t>
      </w:r>
      <w:r w:rsidRPr="004E34BE">
        <w:rPr>
          <w:color w:val="000000"/>
        </w:rPr>
        <w:t xml:space="preserve">the Project and the NTP </w:t>
      </w:r>
      <w:r>
        <w:rPr>
          <w:color w:val="000000"/>
        </w:rPr>
        <w:t>twice during the 5¼ years</w:t>
      </w:r>
      <w:r w:rsidRPr="004E34BE">
        <w:rPr>
          <w:color w:val="000000"/>
        </w:rPr>
        <w:t>: an early MTR would be undertaken around the middle of Year 2, and an end-of-Project review late in Year 4</w:t>
      </w:r>
      <w:r>
        <w:rPr>
          <w:color w:val="000000"/>
        </w:rPr>
        <w:t xml:space="preserve"> or, at the latest, early in Year 5 (</w:t>
      </w:r>
      <w:r w:rsidRPr="004E34BE">
        <w:rPr>
          <w:color w:val="000000"/>
        </w:rPr>
        <w:t>see Section 9.</w:t>
      </w:r>
      <w:r>
        <w:rPr>
          <w:color w:val="000000"/>
        </w:rPr>
        <w:t>5</w:t>
      </w:r>
      <w:r w:rsidRPr="004E34BE">
        <w:rPr>
          <w:color w:val="000000"/>
        </w:rPr>
        <w:t xml:space="preserve">). </w:t>
      </w:r>
      <w:r>
        <w:rPr>
          <w:color w:val="000000"/>
        </w:rPr>
        <w:t xml:space="preserve"> </w:t>
      </w:r>
    </w:p>
    <w:p w:rsidR="008434CC" w:rsidRDefault="008434CC" w:rsidP="003E00B2">
      <w:pPr>
        <w:rPr>
          <w:color w:val="000000"/>
        </w:rPr>
      </w:pPr>
      <w:r>
        <w:rPr>
          <w:color w:val="000000"/>
        </w:rPr>
        <w:t>I</w:t>
      </w:r>
      <w:r w:rsidRPr="004E34BE">
        <w:rPr>
          <w:color w:val="000000"/>
        </w:rPr>
        <w:t>n the years when formal Project review</w:t>
      </w:r>
      <w:r>
        <w:rPr>
          <w:color w:val="000000"/>
        </w:rPr>
        <w:t>s are scheduled</w:t>
      </w:r>
      <w:r w:rsidRPr="004E34BE">
        <w:rPr>
          <w:color w:val="000000"/>
        </w:rPr>
        <w:t xml:space="preserve">, i.e. Years </w:t>
      </w:r>
      <w:r>
        <w:rPr>
          <w:color w:val="000000"/>
        </w:rPr>
        <w:t xml:space="preserve">2 </w:t>
      </w:r>
      <w:r w:rsidRPr="004E34BE">
        <w:rPr>
          <w:color w:val="000000"/>
        </w:rPr>
        <w:t>and 4</w:t>
      </w:r>
      <w:r>
        <w:rPr>
          <w:color w:val="000000"/>
        </w:rPr>
        <w:t>, the scope of the TAG’s TORs would be adjusted to ensure an appropriately expanded and strategic focus.</w:t>
      </w:r>
      <w:r w:rsidRPr="004E34BE">
        <w:rPr>
          <w:color w:val="000000"/>
        </w:rPr>
        <w:t xml:space="preserve">  </w:t>
      </w:r>
      <w:r>
        <w:rPr>
          <w:color w:val="000000"/>
        </w:rPr>
        <w:t>I</w:t>
      </w:r>
      <w:r w:rsidRPr="004E34BE">
        <w:rPr>
          <w:color w:val="000000"/>
        </w:rPr>
        <w:t>nclud</w:t>
      </w:r>
      <w:r>
        <w:rPr>
          <w:color w:val="000000"/>
        </w:rPr>
        <w:t>ing</w:t>
      </w:r>
      <w:r w:rsidRPr="004E34BE">
        <w:rPr>
          <w:color w:val="000000"/>
        </w:rPr>
        <w:t xml:space="preserve"> members of the TAG </w:t>
      </w:r>
      <w:r>
        <w:rPr>
          <w:color w:val="000000"/>
        </w:rPr>
        <w:t xml:space="preserve">in </w:t>
      </w:r>
      <w:r w:rsidRPr="004E34BE">
        <w:rPr>
          <w:color w:val="000000"/>
        </w:rPr>
        <w:t xml:space="preserve">the formal review teams (and </w:t>
      </w:r>
      <w:r w:rsidRPr="004E34BE">
        <w:rPr>
          <w:i/>
          <w:color w:val="000000"/>
        </w:rPr>
        <w:t>vice versa</w:t>
      </w:r>
      <w:r w:rsidRPr="004E34BE">
        <w:rPr>
          <w:color w:val="000000"/>
        </w:rPr>
        <w:t>)</w:t>
      </w:r>
      <w:r w:rsidRPr="00AD0CBF">
        <w:rPr>
          <w:color w:val="000000"/>
        </w:rPr>
        <w:t xml:space="preserve"> </w:t>
      </w:r>
      <w:r>
        <w:rPr>
          <w:color w:val="000000"/>
        </w:rPr>
        <w:t xml:space="preserve">will </w:t>
      </w:r>
      <w:r w:rsidRPr="004E34BE">
        <w:rPr>
          <w:color w:val="000000"/>
        </w:rPr>
        <w:t>ensure consistency of approach</w:t>
      </w:r>
      <w:r>
        <w:rPr>
          <w:color w:val="000000"/>
        </w:rPr>
        <w:t>es</w:t>
      </w:r>
      <w:r w:rsidRPr="004E34BE">
        <w:rPr>
          <w:color w:val="000000"/>
        </w:rPr>
        <w:t xml:space="preserve">. </w:t>
      </w:r>
    </w:p>
    <w:p w:rsidR="008434CC" w:rsidRDefault="008434CC" w:rsidP="003E00B2">
      <w:pPr>
        <w:rPr>
          <w:color w:val="000000"/>
        </w:rPr>
      </w:pPr>
      <w:r>
        <w:rPr>
          <w:color w:val="000000"/>
        </w:rPr>
        <w:t>In general, the timing of the TAG visits and the MTR in Years 1-3 would be in the weeks immediately prior to the proposed annual NTP review (Section 9.2); this would allow the SPC TB Adviser – and possibly also the TB focal point in the WHO South Pacific office in Suva – to participate and contribute to the mission.  TAG findings would then be presented to the annual review meeting, and any recommendations would be absorbed into the subsequent year’s consolidated work plan.</w:t>
      </w:r>
    </w:p>
    <w:p w:rsidR="008434CC" w:rsidRDefault="008434CC" w:rsidP="00A45F4E">
      <w:pPr>
        <w:rPr>
          <w:color w:val="000000"/>
        </w:rPr>
      </w:pPr>
      <w:r w:rsidRPr="004E34BE">
        <w:rPr>
          <w:color w:val="000000"/>
        </w:rPr>
        <w:t xml:space="preserve">Given the importance of laboratory capacity to the NTP, it is proposed that the annual TAG or MTR visit </w:t>
      </w:r>
      <w:r>
        <w:rPr>
          <w:color w:val="000000"/>
        </w:rPr>
        <w:t xml:space="preserve">also </w:t>
      </w:r>
      <w:r w:rsidRPr="004E34BE">
        <w:rPr>
          <w:color w:val="000000"/>
        </w:rPr>
        <w:t xml:space="preserve">aligns with the visit from IMVS, so that </w:t>
      </w:r>
      <w:r>
        <w:rPr>
          <w:color w:val="000000"/>
        </w:rPr>
        <w:t>the laboratory adviser</w:t>
      </w:r>
      <w:r w:rsidRPr="004E34BE">
        <w:rPr>
          <w:color w:val="000000"/>
        </w:rPr>
        <w:t xml:space="preserve"> c</w:t>
      </w:r>
      <w:r>
        <w:rPr>
          <w:color w:val="000000"/>
        </w:rPr>
        <w:t>an</w:t>
      </w:r>
      <w:r w:rsidRPr="004E34BE">
        <w:rPr>
          <w:color w:val="000000"/>
        </w:rPr>
        <w:t xml:space="preserve"> </w:t>
      </w:r>
      <w:r>
        <w:rPr>
          <w:color w:val="000000"/>
        </w:rPr>
        <w:t xml:space="preserve">participate as a member of the TAG and </w:t>
      </w:r>
      <w:r w:rsidRPr="004E34BE">
        <w:rPr>
          <w:color w:val="000000"/>
        </w:rPr>
        <w:t>contribute a laboratory perspective to the TAG’s deliberations.</w:t>
      </w:r>
    </w:p>
    <w:p w:rsidR="008434CC" w:rsidRPr="004E34BE" w:rsidRDefault="008434CC" w:rsidP="003E00B2">
      <w:pPr>
        <w:rPr>
          <w:color w:val="000000"/>
        </w:rPr>
      </w:pPr>
      <w:r>
        <w:rPr>
          <w:color w:val="000000"/>
        </w:rPr>
        <w:t>Beginning in Year 4, the annual program review should be managed entirely by the NTP.  The end-of-project review team would attend the program review meeting and remain in-country to examine Project-specific achievements, progress with the absorption of Project functions into MHMS, and other activities and risks associated with sustainability.</w:t>
      </w:r>
    </w:p>
    <w:p w:rsidR="008434CC" w:rsidRPr="005F44EE" w:rsidRDefault="008434CC" w:rsidP="00054FB8">
      <w:pPr>
        <w:pStyle w:val="Heading3"/>
      </w:pPr>
      <w:bookmarkStart w:id="88" w:name="_Toc331686146"/>
      <w:r>
        <w:t>7.5.3 Terms of Reference</w:t>
      </w:r>
      <w:bookmarkEnd w:id="88"/>
    </w:p>
    <w:p w:rsidR="008434CC" w:rsidRPr="00D406C9" w:rsidRDefault="008434CC" w:rsidP="003E00B2">
      <w:pPr>
        <w:rPr>
          <w:color w:val="000000"/>
        </w:rPr>
      </w:pPr>
      <w:r w:rsidRPr="00D406C9">
        <w:rPr>
          <w:color w:val="000000"/>
        </w:rPr>
        <w:t>During each visit</w:t>
      </w:r>
      <w:r>
        <w:rPr>
          <w:color w:val="000000"/>
        </w:rPr>
        <w:t>, t</w:t>
      </w:r>
      <w:r w:rsidRPr="00D406C9">
        <w:rPr>
          <w:color w:val="000000"/>
        </w:rPr>
        <w:t>he TAG would undertake a concise</w:t>
      </w:r>
      <w:r>
        <w:rPr>
          <w:color w:val="000000"/>
        </w:rPr>
        <w:t>, practical</w:t>
      </w:r>
      <w:r w:rsidRPr="00D406C9">
        <w:rPr>
          <w:color w:val="000000"/>
        </w:rPr>
        <w:t xml:space="preserve"> review of </w:t>
      </w:r>
      <w:r>
        <w:rPr>
          <w:color w:val="000000"/>
        </w:rPr>
        <w:t xml:space="preserve">all aspects of service delivery through </w:t>
      </w:r>
      <w:r w:rsidRPr="00D406C9">
        <w:rPr>
          <w:color w:val="000000"/>
        </w:rPr>
        <w:t xml:space="preserve">the NTP, </w:t>
      </w:r>
      <w:r>
        <w:rPr>
          <w:color w:val="000000"/>
        </w:rPr>
        <w:t>TB epidemiology, programmatic indicators, and the</w:t>
      </w:r>
      <w:r w:rsidRPr="00D406C9">
        <w:rPr>
          <w:color w:val="000000"/>
        </w:rPr>
        <w:t xml:space="preserve"> </w:t>
      </w:r>
      <w:r>
        <w:rPr>
          <w:color w:val="000000"/>
        </w:rPr>
        <w:t xml:space="preserve">relationship between the </w:t>
      </w:r>
      <w:r w:rsidRPr="00D406C9">
        <w:rPr>
          <w:color w:val="000000"/>
        </w:rPr>
        <w:t>Project</w:t>
      </w:r>
      <w:r>
        <w:rPr>
          <w:color w:val="000000"/>
        </w:rPr>
        <w:t xml:space="preserve"> and GOK systems </w:t>
      </w:r>
      <w:r w:rsidRPr="00D406C9">
        <w:rPr>
          <w:color w:val="000000"/>
        </w:rPr>
        <w:t xml:space="preserve">and </w:t>
      </w:r>
      <w:r>
        <w:rPr>
          <w:color w:val="000000"/>
        </w:rPr>
        <w:t>other aspects of the</w:t>
      </w:r>
      <w:r w:rsidRPr="00D406C9">
        <w:rPr>
          <w:color w:val="000000"/>
        </w:rPr>
        <w:t xml:space="preserve"> operating environment.  </w:t>
      </w:r>
    </w:p>
    <w:p w:rsidR="008434CC" w:rsidRDefault="008434CC" w:rsidP="003E00B2">
      <w:pPr>
        <w:rPr>
          <w:color w:val="000000"/>
        </w:rPr>
      </w:pPr>
      <w:r w:rsidRPr="00EC7B08">
        <w:rPr>
          <w:color w:val="000000"/>
        </w:rPr>
        <w:t xml:space="preserve">A further role for the TAG will be to help interpret the results of operational research and </w:t>
      </w:r>
      <w:r>
        <w:rPr>
          <w:color w:val="000000"/>
        </w:rPr>
        <w:t xml:space="preserve">whether (and how) </w:t>
      </w:r>
      <w:r w:rsidRPr="00EC7B08">
        <w:rPr>
          <w:color w:val="000000"/>
        </w:rPr>
        <w:t>the work of the NTP might need to be reoriented, and to prioritise the future operational research agenda.  As noted, the Involvement of IVMS and PATLAB will be critical for guiding the future expansion of laboratory services, which must remain responsive to key challenges a</w:t>
      </w:r>
      <w:r>
        <w:rPr>
          <w:color w:val="000000"/>
        </w:rPr>
        <w:t>n</w:t>
      </w:r>
      <w:r w:rsidRPr="00EC7B08">
        <w:rPr>
          <w:color w:val="000000"/>
        </w:rPr>
        <w:t>d emerging issues for the NTP.</w:t>
      </w:r>
    </w:p>
    <w:p w:rsidR="008434CC" w:rsidRPr="00EC7B08" w:rsidRDefault="008434CC" w:rsidP="003E00B2">
      <w:pPr>
        <w:rPr>
          <w:color w:val="000000"/>
        </w:rPr>
      </w:pPr>
      <w:r>
        <w:rPr>
          <w:color w:val="000000"/>
        </w:rPr>
        <w:t xml:space="preserve">The TAG will provide a concise written report identifying key actions, program adjustments or other recommendations as a result of their visit. </w:t>
      </w:r>
    </w:p>
    <w:p w:rsidR="008434CC" w:rsidRDefault="008434CC" w:rsidP="003E00B2">
      <w:pPr>
        <w:rPr>
          <w:color w:val="000000"/>
        </w:rPr>
      </w:pPr>
      <w:r>
        <w:rPr>
          <w:color w:val="000000"/>
        </w:rPr>
        <w:lastRenderedPageBreak/>
        <w:t xml:space="preserve">During the Transition Phase, the </w:t>
      </w:r>
      <w:r w:rsidRPr="00EC7B08">
        <w:rPr>
          <w:color w:val="000000"/>
        </w:rPr>
        <w:t xml:space="preserve">NTP and SPC </w:t>
      </w:r>
      <w:r>
        <w:rPr>
          <w:color w:val="000000"/>
        </w:rPr>
        <w:t>(a</w:t>
      </w:r>
      <w:r w:rsidRPr="00EC7B08">
        <w:rPr>
          <w:color w:val="000000"/>
        </w:rPr>
        <w:t>s</w:t>
      </w:r>
      <w:r>
        <w:rPr>
          <w:color w:val="000000"/>
        </w:rPr>
        <w:t xml:space="preserve"> </w:t>
      </w:r>
      <w:r w:rsidRPr="00EC7B08">
        <w:rPr>
          <w:color w:val="000000"/>
        </w:rPr>
        <w:t>implementing partners</w:t>
      </w:r>
      <w:r>
        <w:rPr>
          <w:color w:val="000000"/>
        </w:rPr>
        <w:t>)</w:t>
      </w:r>
      <w:r w:rsidRPr="00EC7B08">
        <w:rPr>
          <w:color w:val="000000"/>
        </w:rPr>
        <w:t xml:space="preserve"> w</w:t>
      </w:r>
      <w:r>
        <w:rPr>
          <w:color w:val="000000"/>
        </w:rPr>
        <w:t>ill</w:t>
      </w:r>
      <w:r w:rsidRPr="00EC7B08">
        <w:rPr>
          <w:color w:val="000000"/>
        </w:rPr>
        <w:t xml:space="preserve"> jointly </w:t>
      </w:r>
      <w:r>
        <w:rPr>
          <w:color w:val="000000"/>
        </w:rPr>
        <w:t xml:space="preserve">develop </w:t>
      </w:r>
      <w:r w:rsidRPr="00EC7B08">
        <w:rPr>
          <w:color w:val="000000"/>
        </w:rPr>
        <w:t xml:space="preserve">the core TORs for the TAG </w:t>
      </w:r>
      <w:r>
        <w:rPr>
          <w:color w:val="000000"/>
        </w:rPr>
        <w:t>for endorsement by the Project’s oversight body – the expanded</w:t>
      </w:r>
      <w:r w:rsidRPr="00EC7B08">
        <w:rPr>
          <w:color w:val="000000"/>
        </w:rPr>
        <w:t xml:space="preserve"> </w:t>
      </w:r>
      <w:r>
        <w:rPr>
          <w:color w:val="000000"/>
        </w:rPr>
        <w:t>HITEC.  Each year, t</w:t>
      </w:r>
      <w:r w:rsidRPr="00EC7B08">
        <w:rPr>
          <w:color w:val="000000"/>
        </w:rPr>
        <w:t>he</w:t>
      </w:r>
      <w:r>
        <w:rPr>
          <w:color w:val="000000"/>
        </w:rPr>
        <w:t xml:space="preserve">y </w:t>
      </w:r>
      <w:r w:rsidRPr="00EC7B08">
        <w:rPr>
          <w:color w:val="000000"/>
        </w:rPr>
        <w:t xml:space="preserve">would negotiate </w:t>
      </w:r>
      <w:r>
        <w:rPr>
          <w:color w:val="000000"/>
        </w:rPr>
        <w:t xml:space="preserve">and </w:t>
      </w:r>
      <w:r w:rsidRPr="00EC7B08">
        <w:rPr>
          <w:color w:val="000000"/>
        </w:rPr>
        <w:t xml:space="preserve">agree on any </w:t>
      </w:r>
      <w:r>
        <w:rPr>
          <w:color w:val="000000"/>
        </w:rPr>
        <w:t xml:space="preserve">additions or </w:t>
      </w:r>
      <w:r w:rsidRPr="00EC7B08">
        <w:rPr>
          <w:color w:val="000000"/>
        </w:rPr>
        <w:t xml:space="preserve">adjustments to those TORs that may be needed for individual </w:t>
      </w:r>
      <w:r>
        <w:rPr>
          <w:color w:val="000000"/>
        </w:rPr>
        <w:t xml:space="preserve">TAG </w:t>
      </w:r>
      <w:r w:rsidRPr="00EC7B08">
        <w:rPr>
          <w:color w:val="000000"/>
        </w:rPr>
        <w:t>visits.</w:t>
      </w:r>
    </w:p>
    <w:p w:rsidR="008434CC" w:rsidRPr="00817D48" w:rsidRDefault="008434CC" w:rsidP="00817D48">
      <w:pPr>
        <w:rPr>
          <w:color w:val="000000"/>
        </w:rPr>
      </w:pPr>
      <w:r>
        <w:rPr>
          <w:color w:val="000000"/>
        </w:rPr>
        <w:t>During Phase 1, the TAG would be engaged directly by SPC on behalf of the NTP and the Project.  Subject to the pace of integration of externally funded mechanisms into the NTP and MHMS and the findings and recommendations of the MTR, contracting arrangements for the TAG may be adjusted in Phase 2 to allow for maturation of GOK</w:t>
      </w:r>
      <w:r w:rsidRPr="005839A5">
        <w:rPr>
          <w:color w:val="000000"/>
        </w:rPr>
        <w:t xml:space="preserve"> </w:t>
      </w:r>
      <w:r>
        <w:rPr>
          <w:color w:val="000000"/>
        </w:rPr>
        <w:t>procurement, governance and financial management systems.</w:t>
      </w:r>
      <w:r>
        <w:br w:type="page"/>
      </w:r>
    </w:p>
    <w:p w:rsidR="008434CC" w:rsidRPr="00AB4FA2" w:rsidRDefault="008434CC" w:rsidP="004A1669">
      <w:pPr>
        <w:pStyle w:val="Heading1"/>
      </w:pPr>
      <w:bookmarkStart w:id="89" w:name="_Toc331686147"/>
      <w:r>
        <w:t>8</w:t>
      </w:r>
      <w:r w:rsidRPr="00AB4FA2">
        <w:t xml:space="preserve">. </w:t>
      </w:r>
      <w:r>
        <w:t>Budget and Budget Analysis</w:t>
      </w:r>
      <w:bookmarkEnd w:id="89"/>
    </w:p>
    <w:p w:rsidR="008434CC" w:rsidRPr="005F44EE" w:rsidRDefault="008434CC" w:rsidP="009804ED">
      <w:pPr>
        <w:pStyle w:val="Heading2"/>
      </w:pPr>
      <w:bookmarkStart w:id="90" w:name="_Toc331686148"/>
      <w:r>
        <w:t>8.1 Overview</w:t>
      </w:r>
      <w:bookmarkEnd w:id="90"/>
    </w:p>
    <w:p w:rsidR="008434CC" w:rsidRDefault="008434CC" w:rsidP="0084507D">
      <w:pPr>
        <w:rPr>
          <w:color w:val="000000"/>
        </w:rPr>
      </w:pPr>
      <w:r w:rsidRPr="00B929EA">
        <w:t xml:space="preserve">The total budget </w:t>
      </w:r>
      <w:r>
        <w:t xml:space="preserve">(excluding SPC management fees of 7%) </w:t>
      </w:r>
      <w:r w:rsidRPr="00B929EA">
        <w:t xml:space="preserve">is </w:t>
      </w:r>
      <w:r>
        <w:t xml:space="preserve">AUD </w:t>
      </w:r>
      <w:r w:rsidRPr="00940514">
        <w:t>2,</w:t>
      </w:r>
      <w:r>
        <w:t>754</w:t>
      </w:r>
      <w:r w:rsidRPr="00940514">
        <w:t>,</w:t>
      </w:r>
      <w:r>
        <w:t>812 over the five</w:t>
      </w:r>
      <w:r w:rsidRPr="00B929EA">
        <w:t xml:space="preserve"> years</w:t>
      </w:r>
      <w:r>
        <w:t xml:space="preserve"> and three months</w:t>
      </w:r>
      <w:r w:rsidRPr="00B929EA">
        <w:t xml:space="preserve">. </w:t>
      </w:r>
      <w:r>
        <w:t xml:space="preserve"> </w:t>
      </w:r>
      <w:r w:rsidRPr="00495A44">
        <w:rPr>
          <w:color w:val="000000"/>
        </w:rPr>
        <w:t xml:space="preserve">The </w:t>
      </w:r>
      <w:r>
        <w:rPr>
          <w:color w:val="000000"/>
        </w:rPr>
        <w:t xml:space="preserve">detailed </w:t>
      </w:r>
      <w:r w:rsidRPr="00495A44">
        <w:rPr>
          <w:color w:val="000000"/>
        </w:rPr>
        <w:t xml:space="preserve">Project budget (Appendix 1) shows </w:t>
      </w:r>
      <w:r>
        <w:rPr>
          <w:color w:val="000000"/>
        </w:rPr>
        <w:t xml:space="preserve">anticipated </w:t>
      </w:r>
      <w:r w:rsidRPr="00495A44">
        <w:rPr>
          <w:color w:val="000000"/>
        </w:rPr>
        <w:t xml:space="preserve">disbursement of funds as time-dependent and output-based to </w:t>
      </w:r>
      <w:r>
        <w:rPr>
          <w:color w:val="000000"/>
        </w:rPr>
        <w:t>facilitate</w:t>
      </w:r>
      <w:r w:rsidRPr="00495A44">
        <w:rPr>
          <w:color w:val="000000"/>
        </w:rPr>
        <w:t xml:space="preserve"> timely implementation of </w:t>
      </w:r>
      <w:r>
        <w:rPr>
          <w:color w:val="000000"/>
        </w:rPr>
        <w:t xml:space="preserve">supported </w:t>
      </w:r>
      <w:r w:rsidRPr="00495A44">
        <w:rPr>
          <w:color w:val="000000"/>
        </w:rPr>
        <w:t xml:space="preserve">activities as per the integrated </w:t>
      </w:r>
      <w:r>
        <w:rPr>
          <w:color w:val="000000"/>
        </w:rPr>
        <w:t xml:space="preserve">NTP </w:t>
      </w:r>
      <w:r w:rsidRPr="00495A44">
        <w:rPr>
          <w:color w:val="000000"/>
        </w:rPr>
        <w:t>work plan and budget.</w:t>
      </w:r>
      <w:r>
        <w:rPr>
          <w:color w:val="000000"/>
        </w:rPr>
        <w:t xml:space="preserve">  </w:t>
      </w:r>
    </w:p>
    <w:p w:rsidR="008434CC" w:rsidRPr="005F44EE" w:rsidRDefault="008434CC" w:rsidP="00C44F79">
      <w:pPr>
        <w:pStyle w:val="Heading2"/>
      </w:pPr>
      <w:bookmarkStart w:id="91" w:name="_Toc331686149"/>
      <w:r>
        <w:t>8.2 Budget by Objective and Year</w:t>
      </w:r>
      <w:bookmarkEnd w:id="91"/>
    </w:p>
    <w:p w:rsidR="008434CC" w:rsidRDefault="008434CC" w:rsidP="0084507D">
      <w:r>
        <w:t>Year-on-year trends in the Project budget and all other sources of NTP funding are shown in Table 3.</w:t>
      </w:r>
    </w:p>
    <w:p w:rsidR="008434CC" w:rsidRPr="00DC1B41" w:rsidRDefault="008434CC" w:rsidP="0084507D">
      <w:pPr>
        <w:keepNext/>
        <w:autoSpaceDE w:val="0"/>
        <w:autoSpaceDN w:val="0"/>
        <w:adjustRightInd w:val="0"/>
        <w:spacing w:after="120" w:line="264" w:lineRule="auto"/>
        <w:jc w:val="center"/>
        <w:rPr>
          <w:rStyle w:val="Style11ptBlack"/>
          <w:b/>
        </w:rPr>
      </w:pPr>
      <w:r w:rsidRPr="00DC1B41">
        <w:rPr>
          <w:rStyle w:val="Style11ptBlack"/>
          <w:b/>
        </w:rPr>
        <w:t xml:space="preserve">Table </w:t>
      </w:r>
      <w:r>
        <w:rPr>
          <w:rStyle w:val="Style11ptBlack"/>
          <w:b/>
        </w:rPr>
        <w:t>3</w:t>
      </w:r>
      <w:r w:rsidRPr="00DC1B41">
        <w:rPr>
          <w:rStyle w:val="Style11ptBlack"/>
          <w:b/>
        </w:rPr>
        <w:t xml:space="preserve">: </w:t>
      </w:r>
      <w:r>
        <w:rPr>
          <w:rStyle w:val="Style11ptBlack"/>
          <w:b/>
        </w:rPr>
        <w:t xml:space="preserve">Funding for </w:t>
      </w:r>
      <w:r w:rsidRPr="00DC1B41">
        <w:rPr>
          <w:rStyle w:val="Style11ptBlack"/>
          <w:b/>
        </w:rPr>
        <w:t xml:space="preserve">the Kiribati NTP, </w:t>
      </w:r>
      <w:r>
        <w:rPr>
          <w:rStyle w:val="Style11ptBlack"/>
          <w:b/>
        </w:rPr>
        <w:t>in AUD</w:t>
      </w:r>
      <w:r>
        <w:rPr>
          <w:rStyle w:val="Style11ptBlack"/>
          <w:b/>
        </w:rPr>
        <w:br/>
      </w:r>
      <w:r w:rsidRPr="00DC1B41">
        <w:rPr>
          <w:rStyle w:val="Style11ptBlack"/>
          <w:b/>
        </w:rPr>
        <w:t>by source</w:t>
      </w:r>
      <w:r>
        <w:rPr>
          <w:rStyle w:val="Style11ptBlack"/>
          <w:b/>
        </w:rPr>
        <w:t xml:space="preserve"> (and</w:t>
      </w:r>
      <w:r w:rsidRPr="00DC1B41">
        <w:rPr>
          <w:rStyle w:val="Style11ptBlack"/>
          <w:b/>
        </w:rPr>
        <w:t xml:space="preserve">, </w:t>
      </w:r>
      <w:r>
        <w:rPr>
          <w:rStyle w:val="Style11ptBlack"/>
          <w:b/>
        </w:rPr>
        <w:t xml:space="preserve">for the new Project, by Objective), </w:t>
      </w:r>
      <w:r w:rsidRPr="00DC1B41">
        <w:rPr>
          <w:rStyle w:val="Style11ptBlack"/>
          <w:b/>
        </w:rPr>
        <w:t>201</w:t>
      </w:r>
      <w:r>
        <w:rPr>
          <w:rStyle w:val="Style11ptBlack"/>
          <w:b/>
        </w:rPr>
        <w:t>2-17</w:t>
      </w:r>
    </w:p>
    <w:tbl>
      <w:tblPr>
        <w:tblW w:w="91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9"/>
        <w:gridCol w:w="880"/>
        <w:gridCol w:w="880"/>
        <w:gridCol w:w="880"/>
        <w:gridCol w:w="880"/>
        <w:gridCol w:w="880"/>
        <w:gridCol w:w="880"/>
        <w:gridCol w:w="1000"/>
      </w:tblGrid>
      <w:tr w:rsidR="008434CC" w:rsidRPr="004672B0" w:rsidTr="00567423">
        <w:trPr>
          <w:trHeight w:val="528"/>
        </w:trPr>
        <w:tc>
          <w:tcPr>
            <w:tcW w:w="2869" w:type="dxa"/>
            <w:shd w:val="clear" w:color="auto" w:fill="D9D9D9"/>
            <w:vAlign w:val="center"/>
          </w:tcPr>
          <w:p w:rsidR="008434CC" w:rsidRPr="004672B0" w:rsidRDefault="008434CC" w:rsidP="00567423">
            <w:pPr>
              <w:spacing w:before="60" w:after="60" w:line="240" w:lineRule="auto"/>
              <w:jc w:val="center"/>
              <w:rPr>
                <w:b/>
                <w:bCs/>
                <w:color w:val="000000"/>
                <w:szCs w:val="18"/>
                <w:lang w:eastAsia="en-NZ"/>
              </w:rPr>
            </w:pPr>
            <w:r w:rsidRPr="004672B0">
              <w:rPr>
                <w:b/>
                <w:bCs/>
                <w:color w:val="000000"/>
                <w:szCs w:val="18"/>
                <w:lang w:eastAsia="en-NZ"/>
              </w:rPr>
              <w:t>Source</w:t>
            </w:r>
          </w:p>
        </w:tc>
        <w:tc>
          <w:tcPr>
            <w:tcW w:w="880" w:type="dxa"/>
            <w:shd w:val="clear" w:color="auto" w:fill="D9D9D9"/>
            <w:vAlign w:val="center"/>
          </w:tcPr>
          <w:p w:rsidR="008434CC" w:rsidRPr="004672B0" w:rsidRDefault="008434CC" w:rsidP="00567423">
            <w:pPr>
              <w:spacing w:before="60" w:after="60" w:line="240" w:lineRule="auto"/>
              <w:jc w:val="center"/>
              <w:rPr>
                <w:b/>
                <w:bCs/>
                <w:color w:val="000000"/>
                <w:szCs w:val="18"/>
                <w:lang w:eastAsia="en-NZ"/>
              </w:rPr>
            </w:pPr>
            <w:r w:rsidRPr="004672B0">
              <w:rPr>
                <w:b/>
                <w:bCs/>
                <w:color w:val="000000"/>
                <w:szCs w:val="18"/>
                <w:lang w:eastAsia="en-NZ"/>
              </w:rPr>
              <w:t>2012</w:t>
            </w:r>
          </w:p>
        </w:tc>
        <w:tc>
          <w:tcPr>
            <w:tcW w:w="880" w:type="dxa"/>
            <w:shd w:val="clear" w:color="auto" w:fill="D9D9D9"/>
            <w:vAlign w:val="center"/>
          </w:tcPr>
          <w:p w:rsidR="008434CC" w:rsidRPr="004672B0" w:rsidRDefault="008434CC" w:rsidP="00567423">
            <w:pPr>
              <w:spacing w:before="60" w:after="60" w:line="240" w:lineRule="auto"/>
              <w:jc w:val="center"/>
              <w:rPr>
                <w:b/>
                <w:bCs/>
                <w:color w:val="000000"/>
                <w:szCs w:val="18"/>
                <w:lang w:eastAsia="en-NZ"/>
              </w:rPr>
            </w:pPr>
            <w:r w:rsidRPr="004672B0">
              <w:rPr>
                <w:b/>
                <w:bCs/>
                <w:color w:val="000000"/>
                <w:szCs w:val="18"/>
                <w:lang w:eastAsia="en-NZ"/>
              </w:rPr>
              <w:t>2013</w:t>
            </w:r>
          </w:p>
        </w:tc>
        <w:tc>
          <w:tcPr>
            <w:tcW w:w="880" w:type="dxa"/>
            <w:shd w:val="clear" w:color="auto" w:fill="D9D9D9"/>
            <w:vAlign w:val="center"/>
          </w:tcPr>
          <w:p w:rsidR="008434CC" w:rsidRPr="004672B0" w:rsidRDefault="008434CC" w:rsidP="00567423">
            <w:pPr>
              <w:spacing w:before="60" w:after="60" w:line="240" w:lineRule="auto"/>
              <w:jc w:val="center"/>
              <w:rPr>
                <w:b/>
                <w:bCs/>
                <w:color w:val="000000"/>
                <w:szCs w:val="18"/>
                <w:lang w:eastAsia="en-NZ"/>
              </w:rPr>
            </w:pPr>
            <w:r w:rsidRPr="004672B0">
              <w:rPr>
                <w:b/>
                <w:bCs/>
                <w:color w:val="000000"/>
                <w:szCs w:val="18"/>
                <w:lang w:eastAsia="en-NZ"/>
              </w:rPr>
              <w:t>2014</w:t>
            </w:r>
          </w:p>
        </w:tc>
        <w:tc>
          <w:tcPr>
            <w:tcW w:w="880" w:type="dxa"/>
            <w:shd w:val="clear" w:color="auto" w:fill="D9D9D9"/>
            <w:vAlign w:val="center"/>
          </w:tcPr>
          <w:p w:rsidR="008434CC" w:rsidRPr="004672B0" w:rsidRDefault="008434CC" w:rsidP="00567423">
            <w:pPr>
              <w:spacing w:before="60" w:after="60" w:line="240" w:lineRule="auto"/>
              <w:jc w:val="center"/>
              <w:rPr>
                <w:b/>
                <w:bCs/>
                <w:color w:val="000000"/>
                <w:szCs w:val="18"/>
                <w:lang w:eastAsia="en-NZ"/>
              </w:rPr>
            </w:pPr>
            <w:r w:rsidRPr="004672B0">
              <w:rPr>
                <w:b/>
                <w:bCs/>
                <w:color w:val="000000"/>
                <w:szCs w:val="18"/>
                <w:lang w:eastAsia="en-NZ"/>
              </w:rPr>
              <w:t>2015</w:t>
            </w:r>
          </w:p>
        </w:tc>
        <w:tc>
          <w:tcPr>
            <w:tcW w:w="880" w:type="dxa"/>
            <w:shd w:val="clear" w:color="auto" w:fill="D9D9D9"/>
            <w:vAlign w:val="center"/>
          </w:tcPr>
          <w:p w:rsidR="008434CC" w:rsidRPr="004672B0" w:rsidRDefault="008434CC" w:rsidP="00567423">
            <w:pPr>
              <w:spacing w:before="60" w:after="60" w:line="240" w:lineRule="auto"/>
              <w:jc w:val="center"/>
              <w:rPr>
                <w:b/>
                <w:bCs/>
                <w:color w:val="000000"/>
                <w:szCs w:val="18"/>
                <w:lang w:eastAsia="en-NZ"/>
              </w:rPr>
            </w:pPr>
            <w:r w:rsidRPr="004672B0">
              <w:rPr>
                <w:b/>
                <w:bCs/>
                <w:color w:val="000000"/>
                <w:szCs w:val="18"/>
                <w:lang w:eastAsia="en-NZ"/>
              </w:rPr>
              <w:t>2016</w:t>
            </w:r>
          </w:p>
        </w:tc>
        <w:tc>
          <w:tcPr>
            <w:tcW w:w="880" w:type="dxa"/>
            <w:shd w:val="clear" w:color="auto" w:fill="D9D9D9"/>
            <w:vAlign w:val="center"/>
          </w:tcPr>
          <w:p w:rsidR="008434CC" w:rsidRPr="004672B0" w:rsidRDefault="008434CC" w:rsidP="00567423">
            <w:pPr>
              <w:spacing w:before="60" w:after="60" w:line="240" w:lineRule="auto"/>
              <w:jc w:val="center"/>
              <w:rPr>
                <w:b/>
                <w:bCs/>
                <w:color w:val="000000"/>
                <w:szCs w:val="18"/>
                <w:lang w:eastAsia="en-NZ"/>
              </w:rPr>
            </w:pPr>
            <w:r w:rsidRPr="004672B0">
              <w:rPr>
                <w:b/>
                <w:bCs/>
                <w:color w:val="000000"/>
                <w:szCs w:val="18"/>
                <w:lang w:eastAsia="en-NZ"/>
              </w:rPr>
              <w:t>2017</w:t>
            </w:r>
          </w:p>
        </w:tc>
        <w:tc>
          <w:tcPr>
            <w:tcW w:w="1000" w:type="dxa"/>
            <w:shd w:val="clear" w:color="auto" w:fill="D9D9D9"/>
            <w:noWrap/>
            <w:vAlign w:val="center"/>
          </w:tcPr>
          <w:p w:rsidR="008434CC" w:rsidRPr="004672B0" w:rsidRDefault="008434CC" w:rsidP="00567423">
            <w:pPr>
              <w:spacing w:before="60" w:after="60" w:line="240" w:lineRule="auto"/>
              <w:jc w:val="center"/>
              <w:rPr>
                <w:b/>
                <w:bCs/>
                <w:color w:val="000000"/>
                <w:szCs w:val="18"/>
                <w:lang w:eastAsia="en-NZ"/>
              </w:rPr>
            </w:pPr>
            <w:r w:rsidRPr="004672B0">
              <w:rPr>
                <w:b/>
                <w:bCs/>
                <w:color w:val="000000"/>
                <w:szCs w:val="18"/>
                <w:lang w:eastAsia="en-NZ"/>
              </w:rPr>
              <w:t>Total</w:t>
            </w:r>
          </w:p>
        </w:tc>
      </w:tr>
      <w:tr w:rsidR="008434CC" w:rsidRPr="004672B0" w:rsidTr="00567423">
        <w:trPr>
          <w:trHeight w:val="624"/>
        </w:trPr>
        <w:tc>
          <w:tcPr>
            <w:tcW w:w="2869" w:type="dxa"/>
            <w:shd w:val="clear" w:color="auto" w:fill="F2F2F2"/>
            <w:vAlign w:val="center"/>
          </w:tcPr>
          <w:p w:rsidR="008434CC" w:rsidRPr="004672B0" w:rsidRDefault="008434CC" w:rsidP="00567423">
            <w:pPr>
              <w:spacing w:before="60" w:after="60" w:line="240" w:lineRule="auto"/>
              <w:rPr>
                <w:b/>
                <w:bCs/>
                <w:color w:val="000000"/>
                <w:sz w:val="20"/>
                <w:szCs w:val="18"/>
                <w:lang w:eastAsia="en-NZ"/>
              </w:rPr>
            </w:pPr>
            <w:r w:rsidRPr="004672B0">
              <w:rPr>
                <w:b/>
                <w:bCs/>
                <w:color w:val="000000"/>
                <w:sz w:val="20"/>
                <w:szCs w:val="18"/>
                <w:lang w:eastAsia="en-NZ"/>
              </w:rPr>
              <w:t xml:space="preserve">MHMS (estimated / </w:t>
            </w:r>
            <w:r w:rsidRPr="004672B0">
              <w:rPr>
                <w:b/>
                <w:bCs/>
                <w:color w:val="FF0000"/>
                <w:sz w:val="20"/>
                <w:szCs w:val="18"/>
                <w:lang w:eastAsia="en-NZ"/>
              </w:rPr>
              <w:t>projected</w:t>
            </w:r>
            <w:r w:rsidRPr="004672B0">
              <w:rPr>
                <w:b/>
                <w:bCs/>
                <w:color w:val="000000"/>
                <w:sz w:val="20"/>
                <w:szCs w:val="18"/>
                <w:lang w:eastAsia="en-NZ"/>
              </w:rPr>
              <w:t>)</w:t>
            </w:r>
          </w:p>
        </w:tc>
        <w:tc>
          <w:tcPr>
            <w:tcW w:w="880" w:type="dxa"/>
            <w:shd w:val="clear" w:color="auto" w:fill="F2F2F2"/>
            <w:noWrap/>
            <w:vAlign w:val="center"/>
          </w:tcPr>
          <w:p w:rsidR="008434CC" w:rsidRPr="004672B0" w:rsidRDefault="008434CC" w:rsidP="00567423">
            <w:pPr>
              <w:spacing w:before="60" w:after="60" w:line="240" w:lineRule="auto"/>
              <w:jc w:val="right"/>
              <w:rPr>
                <w:bCs/>
                <w:color w:val="000000"/>
                <w:sz w:val="18"/>
                <w:szCs w:val="18"/>
                <w:lang w:eastAsia="en-NZ"/>
              </w:rPr>
            </w:pPr>
            <w:r w:rsidRPr="004672B0">
              <w:rPr>
                <w:bCs/>
                <w:color w:val="000000"/>
                <w:sz w:val="18"/>
                <w:szCs w:val="18"/>
                <w:lang w:eastAsia="en-NZ"/>
              </w:rPr>
              <w:t>90,000</w:t>
            </w:r>
          </w:p>
        </w:tc>
        <w:tc>
          <w:tcPr>
            <w:tcW w:w="880" w:type="dxa"/>
            <w:shd w:val="clear" w:color="auto" w:fill="F2F2F2"/>
            <w:noWrap/>
            <w:vAlign w:val="center"/>
          </w:tcPr>
          <w:p w:rsidR="008434CC" w:rsidRPr="004672B0" w:rsidRDefault="008434CC" w:rsidP="00567423">
            <w:pPr>
              <w:spacing w:before="60" w:after="60" w:line="240" w:lineRule="auto"/>
              <w:jc w:val="right"/>
              <w:rPr>
                <w:bCs/>
                <w:color w:val="FF0000"/>
                <w:sz w:val="18"/>
                <w:szCs w:val="18"/>
                <w:lang w:eastAsia="en-NZ"/>
              </w:rPr>
            </w:pPr>
            <w:r w:rsidRPr="004672B0">
              <w:rPr>
                <w:bCs/>
                <w:color w:val="FF0000"/>
                <w:sz w:val="18"/>
                <w:szCs w:val="18"/>
                <w:lang w:eastAsia="en-NZ"/>
              </w:rPr>
              <w:t>90,000</w:t>
            </w:r>
          </w:p>
        </w:tc>
        <w:tc>
          <w:tcPr>
            <w:tcW w:w="880" w:type="dxa"/>
            <w:shd w:val="clear" w:color="auto" w:fill="F2F2F2"/>
            <w:noWrap/>
            <w:vAlign w:val="center"/>
          </w:tcPr>
          <w:p w:rsidR="008434CC" w:rsidRPr="004672B0" w:rsidRDefault="008434CC" w:rsidP="00567423">
            <w:pPr>
              <w:spacing w:before="60" w:after="60" w:line="240" w:lineRule="auto"/>
              <w:jc w:val="right"/>
              <w:rPr>
                <w:bCs/>
                <w:color w:val="FF0000"/>
                <w:sz w:val="18"/>
                <w:szCs w:val="18"/>
                <w:lang w:eastAsia="en-NZ"/>
              </w:rPr>
            </w:pPr>
            <w:r w:rsidRPr="004672B0">
              <w:rPr>
                <w:bCs/>
                <w:color w:val="FF0000"/>
                <w:sz w:val="18"/>
                <w:szCs w:val="18"/>
                <w:lang w:eastAsia="en-NZ"/>
              </w:rPr>
              <w:t>90,000</w:t>
            </w:r>
          </w:p>
        </w:tc>
        <w:tc>
          <w:tcPr>
            <w:tcW w:w="880" w:type="dxa"/>
            <w:shd w:val="clear" w:color="auto" w:fill="F2F2F2"/>
            <w:noWrap/>
            <w:vAlign w:val="center"/>
          </w:tcPr>
          <w:p w:rsidR="008434CC" w:rsidRPr="004672B0" w:rsidRDefault="008434CC" w:rsidP="00567423">
            <w:pPr>
              <w:spacing w:before="60" w:after="60" w:line="240" w:lineRule="auto"/>
              <w:jc w:val="right"/>
              <w:rPr>
                <w:bCs/>
                <w:color w:val="FF0000"/>
                <w:sz w:val="18"/>
                <w:szCs w:val="18"/>
                <w:lang w:eastAsia="en-NZ"/>
              </w:rPr>
            </w:pPr>
            <w:r w:rsidRPr="004672B0">
              <w:rPr>
                <w:bCs/>
                <w:color w:val="FF0000"/>
                <w:sz w:val="18"/>
                <w:szCs w:val="18"/>
                <w:lang w:eastAsia="en-NZ"/>
              </w:rPr>
              <w:t>120,000</w:t>
            </w:r>
          </w:p>
        </w:tc>
        <w:tc>
          <w:tcPr>
            <w:tcW w:w="880" w:type="dxa"/>
            <w:shd w:val="clear" w:color="auto" w:fill="F2F2F2"/>
            <w:vAlign w:val="center"/>
          </w:tcPr>
          <w:p w:rsidR="008434CC" w:rsidRPr="004672B0" w:rsidRDefault="008434CC" w:rsidP="00567423">
            <w:pPr>
              <w:spacing w:before="60" w:after="60" w:line="240" w:lineRule="auto"/>
              <w:jc w:val="right"/>
              <w:rPr>
                <w:bCs/>
                <w:color w:val="FF0000"/>
                <w:sz w:val="18"/>
                <w:szCs w:val="18"/>
                <w:lang w:eastAsia="en-NZ"/>
              </w:rPr>
            </w:pPr>
            <w:r w:rsidRPr="004672B0">
              <w:rPr>
                <w:bCs/>
                <w:color w:val="FF0000"/>
                <w:sz w:val="18"/>
                <w:szCs w:val="18"/>
                <w:lang w:eastAsia="en-NZ"/>
              </w:rPr>
              <w:t>155,000</w:t>
            </w:r>
          </w:p>
        </w:tc>
        <w:tc>
          <w:tcPr>
            <w:tcW w:w="880" w:type="dxa"/>
            <w:shd w:val="clear" w:color="auto" w:fill="F2F2F2"/>
            <w:noWrap/>
            <w:vAlign w:val="center"/>
          </w:tcPr>
          <w:p w:rsidR="008434CC" w:rsidRPr="004672B0" w:rsidRDefault="008434CC" w:rsidP="00567423">
            <w:pPr>
              <w:spacing w:before="60" w:after="60" w:line="240" w:lineRule="auto"/>
              <w:jc w:val="right"/>
              <w:rPr>
                <w:bCs/>
                <w:color w:val="FF0000"/>
                <w:sz w:val="18"/>
                <w:szCs w:val="18"/>
                <w:lang w:eastAsia="en-NZ"/>
              </w:rPr>
            </w:pPr>
            <w:r w:rsidRPr="004672B0">
              <w:rPr>
                <w:bCs/>
                <w:color w:val="FF0000"/>
                <w:sz w:val="18"/>
                <w:szCs w:val="18"/>
                <w:lang w:eastAsia="en-NZ"/>
              </w:rPr>
              <w:t>180,000</w:t>
            </w:r>
          </w:p>
        </w:tc>
        <w:tc>
          <w:tcPr>
            <w:tcW w:w="1000" w:type="dxa"/>
            <w:shd w:val="clear" w:color="auto" w:fill="F2F2F2"/>
            <w:noWrap/>
            <w:vAlign w:val="center"/>
          </w:tcPr>
          <w:p w:rsidR="008434CC" w:rsidRPr="004672B0" w:rsidRDefault="008434CC" w:rsidP="004E3CD3">
            <w:pPr>
              <w:spacing w:before="60" w:after="60" w:line="240" w:lineRule="auto"/>
              <w:jc w:val="right"/>
              <w:rPr>
                <w:b/>
                <w:color w:val="000000"/>
                <w:sz w:val="18"/>
                <w:szCs w:val="18"/>
                <w:lang w:eastAsia="en-NZ"/>
              </w:rPr>
            </w:pPr>
            <w:r w:rsidRPr="004672B0">
              <w:rPr>
                <w:b/>
                <w:color w:val="000000"/>
                <w:sz w:val="18"/>
                <w:szCs w:val="18"/>
                <w:lang w:eastAsia="en-NZ"/>
              </w:rPr>
              <w:t>725,000</w:t>
            </w:r>
          </w:p>
        </w:tc>
      </w:tr>
      <w:tr w:rsidR="008434CC" w:rsidRPr="004672B0" w:rsidTr="00567423">
        <w:trPr>
          <w:trHeight w:val="624"/>
        </w:trPr>
        <w:tc>
          <w:tcPr>
            <w:tcW w:w="2869" w:type="dxa"/>
            <w:shd w:val="clear" w:color="auto" w:fill="F2F2F2"/>
            <w:vAlign w:val="center"/>
          </w:tcPr>
          <w:p w:rsidR="008434CC" w:rsidRPr="004672B0" w:rsidRDefault="008434CC" w:rsidP="00567423">
            <w:pPr>
              <w:spacing w:before="60" w:after="60" w:line="240" w:lineRule="auto"/>
              <w:rPr>
                <w:b/>
                <w:bCs/>
                <w:color w:val="000000"/>
                <w:sz w:val="20"/>
                <w:szCs w:val="18"/>
                <w:lang w:eastAsia="en-NZ"/>
              </w:rPr>
            </w:pPr>
            <w:r w:rsidRPr="004672B0">
              <w:rPr>
                <w:b/>
                <w:bCs/>
                <w:color w:val="000000"/>
                <w:sz w:val="20"/>
                <w:szCs w:val="18"/>
                <w:lang w:eastAsia="en-NZ"/>
              </w:rPr>
              <w:t>Global Fund Round 7 Grant</w:t>
            </w:r>
          </w:p>
        </w:tc>
        <w:tc>
          <w:tcPr>
            <w:tcW w:w="880" w:type="dxa"/>
            <w:shd w:val="clear" w:color="auto" w:fill="F2F2F2"/>
            <w:noWrap/>
            <w:vAlign w:val="center"/>
          </w:tcPr>
          <w:p w:rsidR="008434CC" w:rsidRPr="004672B0" w:rsidRDefault="008434CC" w:rsidP="00567423">
            <w:pPr>
              <w:spacing w:before="60" w:after="60" w:line="240" w:lineRule="auto"/>
              <w:jc w:val="right"/>
              <w:rPr>
                <w:bCs/>
                <w:color w:val="000000"/>
                <w:sz w:val="18"/>
                <w:szCs w:val="18"/>
                <w:lang w:eastAsia="en-NZ"/>
              </w:rPr>
            </w:pPr>
            <w:r w:rsidRPr="004672B0">
              <w:rPr>
                <w:bCs/>
                <w:color w:val="000000"/>
                <w:sz w:val="18"/>
                <w:szCs w:val="18"/>
                <w:lang w:eastAsia="en-NZ"/>
              </w:rPr>
              <w:t>221,817</w:t>
            </w:r>
          </w:p>
        </w:tc>
        <w:tc>
          <w:tcPr>
            <w:tcW w:w="880" w:type="dxa"/>
            <w:shd w:val="clear" w:color="auto" w:fill="F2F2F2"/>
            <w:noWrap/>
            <w:vAlign w:val="center"/>
          </w:tcPr>
          <w:p w:rsidR="008434CC" w:rsidRPr="004672B0" w:rsidRDefault="008434CC" w:rsidP="00567423">
            <w:pPr>
              <w:spacing w:before="60" w:after="60" w:line="240" w:lineRule="auto"/>
              <w:jc w:val="right"/>
              <w:rPr>
                <w:bCs/>
                <w:color w:val="000000"/>
                <w:sz w:val="18"/>
                <w:szCs w:val="18"/>
                <w:lang w:eastAsia="en-NZ"/>
              </w:rPr>
            </w:pPr>
            <w:r w:rsidRPr="004672B0">
              <w:rPr>
                <w:bCs/>
                <w:color w:val="000000"/>
                <w:sz w:val="18"/>
                <w:szCs w:val="18"/>
                <w:lang w:eastAsia="en-NZ"/>
              </w:rPr>
              <w:t>5,234</w:t>
            </w:r>
          </w:p>
        </w:tc>
        <w:tc>
          <w:tcPr>
            <w:tcW w:w="880" w:type="dxa"/>
            <w:shd w:val="clear" w:color="auto" w:fill="808080"/>
            <w:noWrap/>
            <w:vAlign w:val="center"/>
          </w:tcPr>
          <w:p w:rsidR="008434CC" w:rsidRPr="004672B0" w:rsidRDefault="008434CC" w:rsidP="00567423">
            <w:pPr>
              <w:spacing w:before="60" w:after="60" w:line="240" w:lineRule="auto"/>
              <w:jc w:val="center"/>
              <w:rPr>
                <w:bCs/>
                <w:color w:val="000000"/>
                <w:sz w:val="18"/>
                <w:szCs w:val="18"/>
                <w:lang w:eastAsia="en-NZ"/>
              </w:rPr>
            </w:pPr>
          </w:p>
        </w:tc>
        <w:tc>
          <w:tcPr>
            <w:tcW w:w="880" w:type="dxa"/>
            <w:shd w:val="clear" w:color="auto" w:fill="808080"/>
            <w:noWrap/>
            <w:vAlign w:val="center"/>
          </w:tcPr>
          <w:p w:rsidR="008434CC" w:rsidRPr="004672B0" w:rsidRDefault="008434CC" w:rsidP="00567423">
            <w:pPr>
              <w:spacing w:before="60" w:after="60" w:line="240" w:lineRule="auto"/>
              <w:jc w:val="center"/>
              <w:rPr>
                <w:bCs/>
                <w:color w:val="000000"/>
                <w:sz w:val="18"/>
                <w:szCs w:val="18"/>
                <w:lang w:eastAsia="en-NZ"/>
              </w:rPr>
            </w:pPr>
          </w:p>
        </w:tc>
        <w:tc>
          <w:tcPr>
            <w:tcW w:w="880" w:type="dxa"/>
            <w:shd w:val="clear" w:color="auto" w:fill="808080"/>
            <w:vAlign w:val="center"/>
          </w:tcPr>
          <w:p w:rsidR="008434CC" w:rsidRPr="004672B0" w:rsidRDefault="008434CC" w:rsidP="00567423">
            <w:pPr>
              <w:spacing w:before="60" w:after="60" w:line="240" w:lineRule="auto"/>
              <w:jc w:val="center"/>
              <w:rPr>
                <w:bCs/>
                <w:color w:val="000000"/>
                <w:sz w:val="18"/>
                <w:szCs w:val="18"/>
                <w:lang w:eastAsia="en-NZ"/>
              </w:rPr>
            </w:pPr>
          </w:p>
        </w:tc>
        <w:tc>
          <w:tcPr>
            <w:tcW w:w="880" w:type="dxa"/>
            <w:shd w:val="clear" w:color="auto" w:fill="808080"/>
            <w:noWrap/>
            <w:vAlign w:val="center"/>
          </w:tcPr>
          <w:p w:rsidR="008434CC" w:rsidRPr="004672B0" w:rsidRDefault="008434CC" w:rsidP="00567423">
            <w:pPr>
              <w:spacing w:before="60" w:after="60" w:line="240" w:lineRule="auto"/>
              <w:jc w:val="center"/>
              <w:rPr>
                <w:bCs/>
                <w:color w:val="000000"/>
                <w:sz w:val="18"/>
                <w:szCs w:val="18"/>
                <w:lang w:eastAsia="en-NZ"/>
              </w:rPr>
            </w:pPr>
          </w:p>
        </w:tc>
        <w:tc>
          <w:tcPr>
            <w:tcW w:w="1000" w:type="dxa"/>
            <w:shd w:val="clear" w:color="auto" w:fill="F2F2F2"/>
            <w:noWrap/>
            <w:vAlign w:val="center"/>
          </w:tcPr>
          <w:p w:rsidR="008434CC" w:rsidRPr="004672B0" w:rsidRDefault="008434CC" w:rsidP="00567423">
            <w:pPr>
              <w:spacing w:before="60" w:after="60" w:line="240" w:lineRule="auto"/>
              <w:jc w:val="right"/>
              <w:rPr>
                <w:b/>
                <w:color w:val="000000"/>
                <w:sz w:val="18"/>
                <w:szCs w:val="18"/>
                <w:lang w:eastAsia="en-NZ"/>
              </w:rPr>
            </w:pPr>
            <w:r w:rsidRPr="004672B0">
              <w:rPr>
                <w:b/>
                <w:color w:val="000000"/>
                <w:sz w:val="18"/>
                <w:szCs w:val="18"/>
                <w:lang w:eastAsia="en-NZ"/>
              </w:rPr>
              <w:t>227,051</w:t>
            </w:r>
          </w:p>
        </w:tc>
      </w:tr>
      <w:tr w:rsidR="008434CC" w:rsidRPr="004672B0" w:rsidTr="00567423">
        <w:trPr>
          <w:trHeight w:val="624"/>
        </w:trPr>
        <w:tc>
          <w:tcPr>
            <w:tcW w:w="2869" w:type="dxa"/>
            <w:shd w:val="clear" w:color="auto" w:fill="F2F2F2"/>
            <w:vAlign w:val="center"/>
          </w:tcPr>
          <w:p w:rsidR="008434CC" w:rsidRPr="004672B0" w:rsidRDefault="008434CC" w:rsidP="00567423">
            <w:pPr>
              <w:spacing w:before="60" w:after="60" w:line="240" w:lineRule="auto"/>
              <w:rPr>
                <w:b/>
                <w:bCs/>
                <w:color w:val="000000"/>
                <w:sz w:val="20"/>
                <w:szCs w:val="18"/>
                <w:lang w:eastAsia="en-NZ"/>
              </w:rPr>
            </w:pPr>
            <w:r w:rsidRPr="004672B0">
              <w:rPr>
                <w:b/>
                <w:bCs/>
                <w:color w:val="000000"/>
                <w:sz w:val="20"/>
                <w:szCs w:val="18"/>
                <w:lang w:eastAsia="en-NZ"/>
              </w:rPr>
              <w:t>Global Fund Transitional Funding Mechanism</w:t>
            </w:r>
          </w:p>
        </w:tc>
        <w:tc>
          <w:tcPr>
            <w:tcW w:w="880" w:type="dxa"/>
            <w:shd w:val="clear" w:color="auto" w:fill="808080"/>
            <w:noWrap/>
            <w:vAlign w:val="center"/>
          </w:tcPr>
          <w:p w:rsidR="008434CC" w:rsidRPr="004672B0" w:rsidRDefault="008434CC" w:rsidP="00567423">
            <w:pPr>
              <w:spacing w:before="60" w:after="60" w:line="240" w:lineRule="auto"/>
              <w:jc w:val="center"/>
              <w:rPr>
                <w:bCs/>
                <w:color w:val="000000"/>
                <w:sz w:val="18"/>
                <w:szCs w:val="18"/>
                <w:lang w:eastAsia="en-NZ"/>
              </w:rPr>
            </w:pPr>
          </w:p>
        </w:tc>
        <w:tc>
          <w:tcPr>
            <w:tcW w:w="880" w:type="dxa"/>
            <w:shd w:val="clear" w:color="auto" w:fill="F2F2F2"/>
            <w:noWrap/>
            <w:vAlign w:val="center"/>
          </w:tcPr>
          <w:p w:rsidR="008434CC" w:rsidRPr="004672B0" w:rsidRDefault="008434CC" w:rsidP="00567423">
            <w:pPr>
              <w:spacing w:before="60" w:after="60" w:line="240" w:lineRule="auto"/>
              <w:jc w:val="right"/>
              <w:rPr>
                <w:bCs/>
                <w:color w:val="000000"/>
                <w:sz w:val="18"/>
                <w:szCs w:val="18"/>
                <w:lang w:eastAsia="en-NZ"/>
              </w:rPr>
            </w:pPr>
            <w:r w:rsidRPr="004672B0">
              <w:rPr>
                <w:bCs/>
                <w:color w:val="000000"/>
                <w:sz w:val="18"/>
                <w:szCs w:val="18"/>
                <w:lang w:eastAsia="en-NZ"/>
              </w:rPr>
              <w:t>161,385</w:t>
            </w:r>
          </w:p>
        </w:tc>
        <w:tc>
          <w:tcPr>
            <w:tcW w:w="880" w:type="dxa"/>
            <w:shd w:val="clear" w:color="auto" w:fill="F2F2F2"/>
            <w:noWrap/>
            <w:vAlign w:val="center"/>
          </w:tcPr>
          <w:p w:rsidR="008434CC" w:rsidRPr="004672B0" w:rsidRDefault="008434CC" w:rsidP="00567423">
            <w:pPr>
              <w:spacing w:before="60" w:after="60" w:line="240" w:lineRule="auto"/>
              <w:jc w:val="right"/>
              <w:rPr>
                <w:bCs/>
                <w:color w:val="000000"/>
                <w:sz w:val="18"/>
                <w:szCs w:val="18"/>
                <w:lang w:eastAsia="en-NZ"/>
              </w:rPr>
            </w:pPr>
            <w:r w:rsidRPr="004672B0">
              <w:rPr>
                <w:bCs/>
                <w:color w:val="000000"/>
                <w:sz w:val="18"/>
                <w:szCs w:val="18"/>
                <w:lang w:eastAsia="en-NZ"/>
              </w:rPr>
              <w:t>260,529</w:t>
            </w:r>
          </w:p>
        </w:tc>
        <w:tc>
          <w:tcPr>
            <w:tcW w:w="880" w:type="dxa"/>
            <w:shd w:val="clear" w:color="auto" w:fill="808080"/>
            <w:noWrap/>
            <w:vAlign w:val="center"/>
          </w:tcPr>
          <w:p w:rsidR="008434CC" w:rsidRPr="004672B0" w:rsidRDefault="008434CC" w:rsidP="00567423">
            <w:pPr>
              <w:spacing w:before="60" w:after="60" w:line="240" w:lineRule="auto"/>
              <w:jc w:val="center"/>
              <w:rPr>
                <w:bCs/>
                <w:color w:val="000000"/>
                <w:sz w:val="18"/>
                <w:szCs w:val="18"/>
                <w:lang w:eastAsia="en-NZ"/>
              </w:rPr>
            </w:pPr>
          </w:p>
        </w:tc>
        <w:tc>
          <w:tcPr>
            <w:tcW w:w="880" w:type="dxa"/>
            <w:shd w:val="clear" w:color="auto" w:fill="808080"/>
            <w:vAlign w:val="center"/>
          </w:tcPr>
          <w:p w:rsidR="008434CC" w:rsidRPr="004672B0" w:rsidRDefault="008434CC" w:rsidP="00567423">
            <w:pPr>
              <w:spacing w:before="60" w:after="60" w:line="240" w:lineRule="auto"/>
              <w:jc w:val="center"/>
              <w:rPr>
                <w:bCs/>
                <w:color w:val="000000"/>
                <w:sz w:val="18"/>
                <w:szCs w:val="18"/>
                <w:lang w:eastAsia="en-NZ"/>
              </w:rPr>
            </w:pPr>
          </w:p>
        </w:tc>
        <w:tc>
          <w:tcPr>
            <w:tcW w:w="880" w:type="dxa"/>
            <w:shd w:val="clear" w:color="auto" w:fill="808080"/>
            <w:noWrap/>
            <w:vAlign w:val="center"/>
          </w:tcPr>
          <w:p w:rsidR="008434CC" w:rsidRPr="004672B0" w:rsidRDefault="008434CC" w:rsidP="00567423">
            <w:pPr>
              <w:spacing w:before="60" w:after="60" w:line="240" w:lineRule="auto"/>
              <w:jc w:val="center"/>
              <w:rPr>
                <w:bCs/>
                <w:color w:val="000000"/>
                <w:sz w:val="18"/>
                <w:szCs w:val="18"/>
                <w:lang w:eastAsia="en-NZ"/>
              </w:rPr>
            </w:pPr>
          </w:p>
        </w:tc>
        <w:tc>
          <w:tcPr>
            <w:tcW w:w="1000" w:type="dxa"/>
            <w:shd w:val="clear" w:color="auto" w:fill="F2F2F2"/>
            <w:noWrap/>
            <w:vAlign w:val="center"/>
          </w:tcPr>
          <w:p w:rsidR="008434CC" w:rsidRPr="004672B0" w:rsidRDefault="008434CC" w:rsidP="00567423">
            <w:pPr>
              <w:spacing w:before="60" w:after="60" w:line="240" w:lineRule="auto"/>
              <w:jc w:val="right"/>
              <w:rPr>
                <w:b/>
                <w:color w:val="000000"/>
                <w:sz w:val="18"/>
                <w:szCs w:val="18"/>
                <w:lang w:eastAsia="en-NZ"/>
              </w:rPr>
            </w:pPr>
            <w:r w:rsidRPr="004672B0">
              <w:rPr>
                <w:b/>
                <w:color w:val="000000"/>
                <w:sz w:val="18"/>
                <w:szCs w:val="18"/>
                <w:lang w:eastAsia="en-NZ"/>
              </w:rPr>
              <w:t>421,914</w:t>
            </w:r>
          </w:p>
        </w:tc>
      </w:tr>
      <w:tr w:rsidR="008434CC" w:rsidRPr="004672B0" w:rsidTr="00567423">
        <w:trPr>
          <w:trHeight w:val="624"/>
        </w:trPr>
        <w:tc>
          <w:tcPr>
            <w:tcW w:w="2869" w:type="dxa"/>
            <w:shd w:val="clear" w:color="auto" w:fill="F2F2F2"/>
            <w:vAlign w:val="center"/>
          </w:tcPr>
          <w:p w:rsidR="008434CC" w:rsidRPr="004672B0" w:rsidRDefault="008434CC" w:rsidP="00567423">
            <w:pPr>
              <w:spacing w:before="60" w:after="60" w:line="240" w:lineRule="auto"/>
              <w:rPr>
                <w:b/>
                <w:bCs/>
                <w:color w:val="000000"/>
                <w:sz w:val="20"/>
                <w:szCs w:val="18"/>
                <w:lang w:eastAsia="en-NZ"/>
              </w:rPr>
            </w:pPr>
            <w:r w:rsidRPr="004672B0">
              <w:rPr>
                <w:b/>
                <w:bCs/>
                <w:color w:val="000000"/>
                <w:sz w:val="20"/>
                <w:szCs w:val="18"/>
                <w:lang w:eastAsia="en-NZ"/>
              </w:rPr>
              <w:t>QTBECP</w:t>
            </w:r>
          </w:p>
        </w:tc>
        <w:tc>
          <w:tcPr>
            <w:tcW w:w="880" w:type="dxa"/>
            <w:shd w:val="clear" w:color="auto" w:fill="F2F2F2"/>
            <w:noWrap/>
            <w:vAlign w:val="center"/>
          </w:tcPr>
          <w:p w:rsidR="008434CC" w:rsidRPr="004672B0" w:rsidRDefault="008434CC" w:rsidP="00567423">
            <w:pPr>
              <w:spacing w:before="60" w:after="60" w:line="240" w:lineRule="auto"/>
              <w:jc w:val="right"/>
              <w:rPr>
                <w:bCs/>
                <w:color w:val="000000"/>
                <w:sz w:val="18"/>
                <w:szCs w:val="18"/>
                <w:lang w:eastAsia="en-NZ"/>
              </w:rPr>
            </w:pPr>
            <w:r w:rsidRPr="004672B0">
              <w:rPr>
                <w:bCs/>
                <w:color w:val="000000"/>
                <w:sz w:val="18"/>
                <w:szCs w:val="18"/>
                <w:lang w:eastAsia="en-NZ"/>
              </w:rPr>
              <w:t>123,995</w:t>
            </w:r>
          </w:p>
        </w:tc>
        <w:tc>
          <w:tcPr>
            <w:tcW w:w="880" w:type="dxa"/>
            <w:shd w:val="clear" w:color="auto" w:fill="808080"/>
            <w:noWrap/>
            <w:vAlign w:val="center"/>
          </w:tcPr>
          <w:p w:rsidR="008434CC" w:rsidRPr="004672B0" w:rsidRDefault="008434CC" w:rsidP="00567423">
            <w:pPr>
              <w:spacing w:before="60" w:after="60" w:line="240" w:lineRule="auto"/>
              <w:jc w:val="center"/>
              <w:rPr>
                <w:bCs/>
                <w:color w:val="000000"/>
                <w:sz w:val="18"/>
                <w:szCs w:val="18"/>
                <w:lang w:eastAsia="en-NZ"/>
              </w:rPr>
            </w:pPr>
          </w:p>
        </w:tc>
        <w:tc>
          <w:tcPr>
            <w:tcW w:w="880" w:type="dxa"/>
            <w:shd w:val="clear" w:color="auto" w:fill="808080"/>
            <w:noWrap/>
            <w:vAlign w:val="center"/>
          </w:tcPr>
          <w:p w:rsidR="008434CC" w:rsidRPr="004672B0" w:rsidRDefault="008434CC" w:rsidP="00567423">
            <w:pPr>
              <w:spacing w:before="60" w:after="60" w:line="240" w:lineRule="auto"/>
              <w:jc w:val="center"/>
              <w:rPr>
                <w:bCs/>
                <w:color w:val="000000"/>
                <w:sz w:val="18"/>
                <w:szCs w:val="18"/>
                <w:lang w:eastAsia="en-NZ"/>
              </w:rPr>
            </w:pPr>
          </w:p>
        </w:tc>
        <w:tc>
          <w:tcPr>
            <w:tcW w:w="880" w:type="dxa"/>
            <w:shd w:val="clear" w:color="auto" w:fill="808080"/>
            <w:noWrap/>
            <w:vAlign w:val="center"/>
          </w:tcPr>
          <w:p w:rsidR="008434CC" w:rsidRPr="004672B0" w:rsidRDefault="008434CC" w:rsidP="00567423">
            <w:pPr>
              <w:spacing w:before="60" w:after="60" w:line="240" w:lineRule="auto"/>
              <w:jc w:val="center"/>
              <w:rPr>
                <w:bCs/>
                <w:color w:val="000000"/>
                <w:sz w:val="18"/>
                <w:szCs w:val="18"/>
                <w:lang w:eastAsia="en-NZ"/>
              </w:rPr>
            </w:pPr>
          </w:p>
        </w:tc>
        <w:tc>
          <w:tcPr>
            <w:tcW w:w="880" w:type="dxa"/>
            <w:shd w:val="clear" w:color="auto" w:fill="808080"/>
            <w:vAlign w:val="center"/>
          </w:tcPr>
          <w:p w:rsidR="008434CC" w:rsidRPr="004672B0" w:rsidRDefault="008434CC" w:rsidP="00567423">
            <w:pPr>
              <w:spacing w:before="60" w:after="60" w:line="240" w:lineRule="auto"/>
              <w:jc w:val="center"/>
              <w:rPr>
                <w:bCs/>
                <w:color w:val="000000"/>
                <w:sz w:val="18"/>
                <w:szCs w:val="18"/>
                <w:lang w:eastAsia="en-NZ"/>
              </w:rPr>
            </w:pPr>
          </w:p>
        </w:tc>
        <w:tc>
          <w:tcPr>
            <w:tcW w:w="880" w:type="dxa"/>
            <w:shd w:val="clear" w:color="auto" w:fill="808080"/>
            <w:noWrap/>
            <w:vAlign w:val="center"/>
          </w:tcPr>
          <w:p w:rsidR="008434CC" w:rsidRPr="004672B0" w:rsidRDefault="008434CC" w:rsidP="00567423">
            <w:pPr>
              <w:spacing w:before="60" w:after="60" w:line="240" w:lineRule="auto"/>
              <w:jc w:val="center"/>
              <w:rPr>
                <w:bCs/>
                <w:color w:val="000000"/>
                <w:sz w:val="18"/>
                <w:szCs w:val="18"/>
                <w:lang w:eastAsia="en-NZ"/>
              </w:rPr>
            </w:pPr>
          </w:p>
        </w:tc>
        <w:tc>
          <w:tcPr>
            <w:tcW w:w="1000" w:type="dxa"/>
            <w:shd w:val="clear" w:color="auto" w:fill="F2F2F2"/>
            <w:noWrap/>
            <w:vAlign w:val="center"/>
          </w:tcPr>
          <w:p w:rsidR="008434CC" w:rsidRPr="004672B0" w:rsidRDefault="008434CC" w:rsidP="00567423">
            <w:pPr>
              <w:spacing w:before="60" w:after="60" w:line="240" w:lineRule="auto"/>
              <w:jc w:val="right"/>
              <w:rPr>
                <w:b/>
                <w:color w:val="000000"/>
                <w:sz w:val="18"/>
                <w:szCs w:val="18"/>
                <w:lang w:eastAsia="en-NZ"/>
              </w:rPr>
            </w:pPr>
            <w:r w:rsidRPr="004672B0">
              <w:rPr>
                <w:b/>
                <w:color w:val="000000"/>
                <w:sz w:val="18"/>
                <w:szCs w:val="18"/>
                <w:lang w:eastAsia="en-NZ"/>
              </w:rPr>
              <w:t>123,995</w:t>
            </w:r>
          </w:p>
        </w:tc>
      </w:tr>
      <w:tr w:rsidR="008434CC" w:rsidRPr="004672B0" w:rsidTr="00567423">
        <w:trPr>
          <w:trHeight w:val="624"/>
        </w:trPr>
        <w:tc>
          <w:tcPr>
            <w:tcW w:w="2869" w:type="dxa"/>
            <w:shd w:val="clear" w:color="auto" w:fill="F2F2F2"/>
            <w:vAlign w:val="center"/>
          </w:tcPr>
          <w:p w:rsidR="008434CC" w:rsidRPr="004672B0" w:rsidRDefault="008434CC" w:rsidP="00567423">
            <w:pPr>
              <w:spacing w:before="60" w:after="60" w:line="240" w:lineRule="auto"/>
              <w:rPr>
                <w:b/>
                <w:bCs/>
                <w:color w:val="000000"/>
                <w:sz w:val="20"/>
                <w:szCs w:val="18"/>
                <w:lang w:eastAsia="en-NZ"/>
              </w:rPr>
            </w:pPr>
            <w:r w:rsidRPr="004672B0">
              <w:rPr>
                <w:b/>
                <w:bCs/>
                <w:color w:val="000000"/>
                <w:sz w:val="20"/>
                <w:szCs w:val="18"/>
                <w:lang w:eastAsia="en-NZ"/>
              </w:rPr>
              <w:t>Towards TB Elimination in Kiribati Project</w:t>
            </w:r>
          </w:p>
        </w:tc>
        <w:tc>
          <w:tcPr>
            <w:tcW w:w="880" w:type="dxa"/>
            <w:shd w:val="clear" w:color="auto" w:fill="F2F2F2"/>
            <w:noWrap/>
            <w:vAlign w:val="center"/>
          </w:tcPr>
          <w:p w:rsidR="008434CC" w:rsidRPr="004672B0" w:rsidRDefault="008434CC" w:rsidP="00017116">
            <w:pPr>
              <w:spacing w:before="60" w:after="60" w:line="240" w:lineRule="auto"/>
              <w:jc w:val="right"/>
              <w:rPr>
                <w:bCs/>
                <w:color w:val="000000"/>
                <w:sz w:val="18"/>
                <w:szCs w:val="18"/>
                <w:lang w:eastAsia="en-NZ"/>
              </w:rPr>
            </w:pPr>
            <w:r w:rsidRPr="004672B0">
              <w:rPr>
                <w:bCs/>
                <w:color w:val="000000"/>
                <w:sz w:val="18"/>
                <w:szCs w:val="18"/>
                <w:lang w:eastAsia="en-NZ"/>
              </w:rPr>
              <w:t>159,721</w:t>
            </w:r>
          </w:p>
        </w:tc>
        <w:tc>
          <w:tcPr>
            <w:tcW w:w="880" w:type="dxa"/>
            <w:shd w:val="clear" w:color="auto" w:fill="F2F2F2"/>
            <w:noWrap/>
            <w:vAlign w:val="center"/>
          </w:tcPr>
          <w:p w:rsidR="008434CC" w:rsidRPr="004672B0" w:rsidRDefault="008434CC" w:rsidP="00B20091">
            <w:pPr>
              <w:spacing w:before="60" w:after="60" w:line="240" w:lineRule="auto"/>
              <w:jc w:val="right"/>
              <w:rPr>
                <w:bCs/>
                <w:color w:val="000000"/>
                <w:sz w:val="18"/>
                <w:szCs w:val="18"/>
                <w:lang w:eastAsia="en-NZ"/>
              </w:rPr>
            </w:pPr>
            <w:r w:rsidRPr="004672B0">
              <w:rPr>
                <w:bCs/>
                <w:color w:val="000000"/>
                <w:sz w:val="18"/>
                <w:szCs w:val="18"/>
                <w:lang w:eastAsia="en-NZ"/>
              </w:rPr>
              <w:t>556,614</w:t>
            </w:r>
          </w:p>
        </w:tc>
        <w:tc>
          <w:tcPr>
            <w:tcW w:w="880" w:type="dxa"/>
            <w:shd w:val="clear" w:color="auto" w:fill="F2F2F2"/>
            <w:noWrap/>
            <w:vAlign w:val="center"/>
          </w:tcPr>
          <w:p w:rsidR="008434CC" w:rsidRPr="004672B0" w:rsidRDefault="008434CC" w:rsidP="00B20091">
            <w:pPr>
              <w:spacing w:before="60" w:after="60" w:line="240" w:lineRule="auto"/>
              <w:jc w:val="right"/>
              <w:rPr>
                <w:bCs/>
                <w:color w:val="000000"/>
                <w:sz w:val="18"/>
                <w:szCs w:val="18"/>
                <w:lang w:eastAsia="en-NZ"/>
              </w:rPr>
            </w:pPr>
            <w:r w:rsidRPr="004672B0">
              <w:rPr>
                <w:bCs/>
                <w:color w:val="000000"/>
                <w:sz w:val="18"/>
                <w:szCs w:val="18"/>
                <w:lang w:eastAsia="en-NZ"/>
              </w:rPr>
              <w:t>594,089</w:t>
            </w:r>
          </w:p>
        </w:tc>
        <w:tc>
          <w:tcPr>
            <w:tcW w:w="880" w:type="dxa"/>
            <w:shd w:val="clear" w:color="auto" w:fill="F2F2F2"/>
            <w:noWrap/>
            <w:vAlign w:val="center"/>
          </w:tcPr>
          <w:p w:rsidR="008434CC" w:rsidRPr="004672B0" w:rsidRDefault="008434CC" w:rsidP="00EF680C">
            <w:pPr>
              <w:spacing w:before="60" w:after="60" w:line="240" w:lineRule="auto"/>
              <w:jc w:val="right"/>
              <w:rPr>
                <w:bCs/>
                <w:color w:val="000000"/>
                <w:sz w:val="18"/>
                <w:szCs w:val="18"/>
                <w:lang w:eastAsia="en-NZ"/>
              </w:rPr>
            </w:pPr>
            <w:r w:rsidRPr="004672B0">
              <w:rPr>
                <w:bCs/>
                <w:color w:val="000000"/>
                <w:sz w:val="18"/>
                <w:szCs w:val="18"/>
                <w:lang w:eastAsia="en-NZ"/>
              </w:rPr>
              <w:t>573,974</w:t>
            </w:r>
          </w:p>
        </w:tc>
        <w:tc>
          <w:tcPr>
            <w:tcW w:w="880" w:type="dxa"/>
            <w:shd w:val="clear" w:color="auto" w:fill="F2F2F2"/>
            <w:vAlign w:val="center"/>
          </w:tcPr>
          <w:p w:rsidR="008434CC" w:rsidRPr="004672B0" w:rsidRDefault="008434CC" w:rsidP="00EF680C">
            <w:pPr>
              <w:spacing w:before="60" w:after="60" w:line="240" w:lineRule="auto"/>
              <w:jc w:val="right"/>
              <w:rPr>
                <w:bCs/>
                <w:color w:val="000000"/>
                <w:sz w:val="18"/>
                <w:szCs w:val="18"/>
                <w:lang w:eastAsia="en-NZ"/>
              </w:rPr>
            </w:pPr>
            <w:r w:rsidRPr="004672B0">
              <w:rPr>
                <w:bCs/>
                <w:color w:val="000000"/>
                <w:sz w:val="18"/>
                <w:szCs w:val="18"/>
                <w:lang w:eastAsia="en-NZ"/>
              </w:rPr>
              <w:t>448,770</w:t>
            </w:r>
          </w:p>
        </w:tc>
        <w:tc>
          <w:tcPr>
            <w:tcW w:w="880" w:type="dxa"/>
            <w:shd w:val="clear" w:color="auto" w:fill="F2F2F2"/>
            <w:noWrap/>
            <w:vAlign w:val="center"/>
          </w:tcPr>
          <w:p w:rsidR="008434CC" w:rsidRPr="004672B0" w:rsidRDefault="008434CC" w:rsidP="00EF680C">
            <w:pPr>
              <w:spacing w:before="60" w:after="60" w:line="240" w:lineRule="auto"/>
              <w:jc w:val="right"/>
              <w:rPr>
                <w:bCs/>
                <w:color w:val="000000"/>
                <w:sz w:val="18"/>
                <w:szCs w:val="18"/>
                <w:lang w:eastAsia="en-NZ"/>
              </w:rPr>
            </w:pPr>
            <w:r w:rsidRPr="004672B0">
              <w:rPr>
                <w:bCs/>
                <w:color w:val="000000"/>
                <w:sz w:val="18"/>
                <w:szCs w:val="18"/>
                <w:lang w:eastAsia="en-NZ"/>
              </w:rPr>
              <w:t>421,744</w:t>
            </w:r>
          </w:p>
        </w:tc>
        <w:tc>
          <w:tcPr>
            <w:tcW w:w="1000" w:type="dxa"/>
            <w:shd w:val="clear" w:color="auto" w:fill="F2F2F2"/>
            <w:noWrap/>
            <w:vAlign w:val="center"/>
          </w:tcPr>
          <w:p w:rsidR="008434CC" w:rsidRPr="004672B0" w:rsidRDefault="008434CC" w:rsidP="00EE583C">
            <w:pPr>
              <w:spacing w:before="60" w:after="60" w:line="240" w:lineRule="auto"/>
              <w:jc w:val="right"/>
              <w:rPr>
                <w:b/>
                <w:color w:val="000000"/>
                <w:sz w:val="18"/>
                <w:szCs w:val="18"/>
                <w:lang w:eastAsia="en-NZ"/>
              </w:rPr>
            </w:pPr>
            <w:r w:rsidRPr="004672B0">
              <w:rPr>
                <w:b/>
                <w:color w:val="000000"/>
                <w:sz w:val="18"/>
                <w:szCs w:val="18"/>
                <w:lang w:eastAsia="en-NZ"/>
              </w:rPr>
              <w:fldChar w:fldCharType="begin"/>
            </w:r>
            <w:r w:rsidRPr="004672B0">
              <w:rPr>
                <w:b/>
                <w:color w:val="000000"/>
                <w:sz w:val="18"/>
                <w:szCs w:val="18"/>
                <w:lang w:eastAsia="en-NZ"/>
              </w:rPr>
              <w:instrText xml:space="preserve"> =SUM(LEFT) </w:instrText>
            </w:r>
            <w:r w:rsidRPr="004672B0">
              <w:rPr>
                <w:b/>
                <w:color w:val="000000"/>
                <w:sz w:val="18"/>
                <w:szCs w:val="18"/>
                <w:lang w:eastAsia="en-NZ"/>
              </w:rPr>
              <w:fldChar w:fldCharType="separate"/>
            </w:r>
            <w:r w:rsidRPr="004672B0">
              <w:rPr>
                <w:b/>
                <w:noProof/>
                <w:color w:val="000000"/>
                <w:sz w:val="18"/>
                <w:szCs w:val="18"/>
                <w:lang w:eastAsia="en-NZ"/>
              </w:rPr>
              <w:t>2,754,812</w:t>
            </w:r>
            <w:r w:rsidRPr="004672B0">
              <w:rPr>
                <w:b/>
                <w:color w:val="000000"/>
                <w:sz w:val="18"/>
                <w:szCs w:val="18"/>
                <w:lang w:eastAsia="en-NZ"/>
              </w:rPr>
              <w:fldChar w:fldCharType="end"/>
            </w:r>
          </w:p>
        </w:tc>
      </w:tr>
      <w:tr w:rsidR="008434CC" w:rsidRPr="004672B0" w:rsidTr="00567423">
        <w:trPr>
          <w:trHeight w:val="624"/>
        </w:trPr>
        <w:tc>
          <w:tcPr>
            <w:tcW w:w="2869" w:type="dxa"/>
            <w:shd w:val="clear" w:color="auto" w:fill="F2F2F2"/>
            <w:vAlign w:val="center"/>
          </w:tcPr>
          <w:p w:rsidR="008434CC" w:rsidRPr="004672B0" w:rsidRDefault="008434CC" w:rsidP="00567423">
            <w:pPr>
              <w:spacing w:before="60" w:after="60" w:line="240" w:lineRule="auto"/>
              <w:jc w:val="right"/>
              <w:rPr>
                <w:bCs/>
                <w:color w:val="000000"/>
                <w:sz w:val="20"/>
                <w:szCs w:val="18"/>
                <w:lang w:eastAsia="en-NZ"/>
              </w:rPr>
            </w:pPr>
            <w:r w:rsidRPr="004672B0">
              <w:rPr>
                <w:bCs/>
                <w:color w:val="000000"/>
                <w:sz w:val="20"/>
                <w:szCs w:val="18"/>
                <w:lang w:eastAsia="en-NZ"/>
              </w:rPr>
              <w:t>% of total Project budget</w:t>
            </w:r>
          </w:p>
        </w:tc>
        <w:tc>
          <w:tcPr>
            <w:tcW w:w="880" w:type="dxa"/>
            <w:shd w:val="clear" w:color="auto" w:fill="F2F2F2"/>
            <w:noWrap/>
            <w:vAlign w:val="center"/>
          </w:tcPr>
          <w:p w:rsidR="008434CC" w:rsidRPr="004672B0" w:rsidRDefault="008434CC" w:rsidP="00567423">
            <w:pPr>
              <w:spacing w:before="60" w:after="60" w:line="240" w:lineRule="auto"/>
              <w:jc w:val="right"/>
              <w:rPr>
                <w:bCs/>
                <w:color w:val="000000"/>
                <w:sz w:val="18"/>
                <w:szCs w:val="18"/>
                <w:lang w:eastAsia="en-NZ"/>
              </w:rPr>
            </w:pPr>
            <w:r w:rsidRPr="004672B0">
              <w:rPr>
                <w:bCs/>
                <w:color w:val="000000"/>
                <w:sz w:val="18"/>
                <w:szCs w:val="18"/>
                <w:lang w:eastAsia="en-NZ"/>
              </w:rPr>
              <w:t>5.8%</w:t>
            </w:r>
          </w:p>
        </w:tc>
        <w:tc>
          <w:tcPr>
            <w:tcW w:w="880" w:type="dxa"/>
            <w:shd w:val="clear" w:color="auto" w:fill="F2F2F2"/>
            <w:noWrap/>
            <w:vAlign w:val="center"/>
          </w:tcPr>
          <w:p w:rsidR="008434CC" w:rsidRPr="004672B0" w:rsidRDefault="008434CC" w:rsidP="00EE583C">
            <w:pPr>
              <w:spacing w:before="60" w:after="60" w:line="240" w:lineRule="auto"/>
              <w:jc w:val="right"/>
              <w:rPr>
                <w:bCs/>
                <w:color w:val="000000"/>
                <w:sz w:val="18"/>
                <w:szCs w:val="18"/>
                <w:lang w:eastAsia="en-NZ"/>
              </w:rPr>
            </w:pPr>
            <w:r w:rsidRPr="004672B0">
              <w:rPr>
                <w:bCs/>
                <w:color w:val="000000"/>
                <w:sz w:val="18"/>
                <w:szCs w:val="18"/>
                <w:lang w:eastAsia="en-NZ"/>
              </w:rPr>
              <w:t>20.2%</w:t>
            </w:r>
          </w:p>
        </w:tc>
        <w:tc>
          <w:tcPr>
            <w:tcW w:w="880" w:type="dxa"/>
            <w:shd w:val="clear" w:color="auto" w:fill="F2F2F2"/>
            <w:noWrap/>
            <w:vAlign w:val="center"/>
          </w:tcPr>
          <w:p w:rsidR="008434CC" w:rsidRPr="004672B0" w:rsidRDefault="008434CC" w:rsidP="00EE583C">
            <w:pPr>
              <w:spacing w:before="60" w:after="60" w:line="240" w:lineRule="auto"/>
              <w:jc w:val="right"/>
              <w:rPr>
                <w:bCs/>
                <w:color w:val="000000"/>
                <w:sz w:val="18"/>
                <w:szCs w:val="18"/>
                <w:lang w:eastAsia="en-NZ"/>
              </w:rPr>
            </w:pPr>
            <w:r w:rsidRPr="004672B0">
              <w:rPr>
                <w:bCs/>
                <w:color w:val="000000"/>
                <w:sz w:val="18"/>
                <w:szCs w:val="18"/>
                <w:lang w:eastAsia="en-NZ"/>
              </w:rPr>
              <w:t>21.6%</w:t>
            </w:r>
          </w:p>
        </w:tc>
        <w:tc>
          <w:tcPr>
            <w:tcW w:w="880" w:type="dxa"/>
            <w:shd w:val="clear" w:color="auto" w:fill="F2F2F2"/>
            <w:noWrap/>
            <w:vAlign w:val="center"/>
          </w:tcPr>
          <w:p w:rsidR="008434CC" w:rsidRPr="004672B0" w:rsidRDefault="008434CC" w:rsidP="00EE583C">
            <w:pPr>
              <w:spacing w:before="60" w:after="60" w:line="240" w:lineRule="auto"/>
              <w:jc w:val="right"/>
              <w:rPr>
                <w:bCs/>
                <w:color w:val="000000"/>
                <w:sz w:val="18"/>
                <w:szCs w:val="18"/>
                <w:lang w:eastAsia="en-NZ"/>
              </w:rPr>
            </w:pPr>
            <w:r w:rsidRPr="004672B0">
              <w:rPr>
                <w:bCs/>
                <w:color w:val="000000"/>
                <w:sz w:val="18"/>
                <w:szCs w:val="18"/>
                <w:lang w:eastAsia="en-NZ"/>
              </w:rPr>
              <w:t>20.8%</w:t>
            </w:r>
          </w:p>
        </w:tc>
        <w:tc>
          <w:tcPr>
            <w:tcW w:w="880" w:type="dxa"/>
            <w:shd w:val="clear" w:color="auto" w:fill="F2F2F2"/>
            <w:vAlign w:val="center"/>
          </w:tcPr>
          <w:p w:rsidR="008434CC" w:rsidRPr="004672B0" w:rsidRDefault="008434CC" w:rsidP="00567423">
            <w:pPr>
              <w:spacing w:before="60" w:after="60" w:line="240" w:lineRule="auto"/>
              <w:jc w:val="right"/>
              <w:rPr>
                <w:bCs/>
                <w:color w:val="000000"/>
                <w:sz w:val="18"/>
                <w:szCs w:val="18"/>
                <w:lang w:eastAsia="en-NZ"/>
              </w:rPr>
            </w:pPr>
            <w:r w:rsidRPr="004672B0">
              <w:rPr>
                <w:bCs/>
                <w:color w:val="000000"/>
                <w:sz w:val="18"/>
                <w:szCs w:val="18"/>
                <w:lang w:eastAsia="en-NZ"/>
              </w:rPr>
              <w:t>16.3%</w:t>
            </w:r>
          </w:p>
        </w:tc>
        <w:tc>
          <w:tcPr>
            <w:tcW w:w="880" w:type="dxa"/>
            <w:shd w:val="clear" w:color="auto" w:fill="F2F2F2"/>
            <w:noWrap/>
            <w:vAlign w:val="center"/>
          </w:tcPr>
          <w:p w:rsidR="008434CC" w:rsidRPr="004672B0" w:rsidRDefault="008434CC" w:rsidP="00567423">
            <w:pPr>
              <w:spacing w:before="60" w:after="60" w:line="240" w:lineRule="auto"/>
              <w:jc w:val="right"/>
              <w:rPr>
                <w:bCs/>
                <w:color w:val="000000"/>
                <w:sz w:val="18"/>
                <w:szCs w:val="18"/>
                <w:lang w:eastAsia="en-NZ"/>
              </w:rPr>
            </w:pPr>
            <w:r w:rsidRPr="004672B0">
              <w:rPr>
                <w:bCs/>
                <w:color w:val="000000"/>
                <w:sz w:val="18"/>
                <w:szCs w:val="18"/>
                <w:lang w:eastAsia="en-NZ"/>
              </w:rPr>
              <w:t>15.3%</w:t>
            </w:r>
          </w:p>
        </w:tc>
        <w:tc>
          <w:tcPr>
            <w:tcW w:w="1000" w:type="dxa"/>
            <w:shd w:val="clear" w:color="auto" w:fill="F2F2F2"/>
            <w:noWrap/>
            <w:vAlign w:val="center"/>
          </w:tcPr>
          <w:p w:rsidR="008434CC" w:rsidRPr="004672B0" w:rsidRDefault="008434CC" w:rsidP="00567423">
            <w:pPr>
              <w:spacing w:before="60" w:after="60" w:line="240" w:lineRule="auto"/>
              <w:jc w:val="right"/>
              <w:rPr>
                <w:b/>
                <w:color w:val="000000"/>
                <w:sz w:val="18"/>
                <w:szCs w:val="18"/>
                <w:lang w:eastAsia="en-NZ"/>
              </w:rPr>
            </w:pPr>
            <w:r w:rsidRPr="004672B0">
              <w:rPr>
                <w:b/>
                <w:color w:val="000000"/>
                <w:sz w:val="18"/>
                <w:szCs w:val="18"/>
                <w:lang w:eastAsia="en-NZ"/>
              </w:rPr>
              <w:t>100%</w:t>
            </w:r>
          </w:p>
        </w:tc>
      </w:tr>
      <w:tr w:rsidR="008434CC" w:rsidRPr="004672B0" w:rsidTr="00567423">
        <w:trPr>
          <w:trHeight w:val="567"/>
        </w:trPr>
        <w:tc>
          <w:tcPr>
            <w:tcW w:w="2869" w:type="dxa"/>
            <w:vAlign w:val="center"/>
          </w:tcPr>
          <w:p w:rsidR="008434CC" w:rsidRPr="004672B0" w:rsidRDefault="008434CC" w:rsidP="00567423">
            <w:pPr>
              <w:spacing w:before="60" w:after="60" w:line="240" w:lineRule="auto"/>
              <w:ind w:left="170"/>
              <w:rPr>
                <w:color w:val="000000"/>
                <w:sz w:val="18"/>
                <w:szCs w:val="18"/>
                <w:lang w:eastAsia="en-NZ"/>
              </w:rPr>
            </w:pPr>
            <w:r w:rsidRPr="004672B0">
              <w:rPr>
                <w:bCs/>
                <w:color w:val="000000"/>
                <w:sz w:val="18"/>
                <w:szCs w:val="18"/>
                <w:lang w:eastAsia="en-NZ"/>
              </w:rPr>
              <w:t>Objective 1</w:t>
            </w:r>
            <w:r w:rsidRPr="004672B0">
              <w:rPr>
                <w:color w:val="000000"/>
                <w:sz w:val="18"/>
                <w:szCs w:val="18"/>
                <w:lang w:eastAsia="en-NZ"/>
              </w:rPr>
              <w:t xml:space="preserve">: </w:t>
            </w:r>
            <w:r w:rsidRPr="004672B0">
              <w:rPr>
                <w:color w:val="000000"/>
                <w:sz w:val="18"/>
                <w:szCs w:val="18"/>
                <w:lang w:eastAsia="en-NZ"/>
              </w:rPr>
              <w:br/>
              <w:t>Universal access</w:t>
            </w:r>
          </w:p>
        </w:tc>
        <w:tc>
          <w:tcPr>
            <w:tcW w:w="880" w:type="dxa"/>
            <w:noWrap/>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6,331</w:t>
            </w:r>
          </w:p>
        </w:tc>
        <w:tc>
          <w:tcPr>
            <w:tcW w:w="880" w:type="dxa"/>
            <w:noWrap/>
            <w:vAlign w:val="center"/>
          </w:tcPr>
          <w:p w:rsidR="008434CC" w:rsidRPr="004672B0" w:rsidRDefault="008434CC" w:rsidP="004E2804">
            <w:pPr>
              <w:spacing w:before="60" w:after="60" w:line="240" w:lineRule="auto"/>
              <w:jc w:val="right"/>
              <w:rPr>
                <w:color w:val="000000"/>
                <w:sz w:val="18"/>
                <w:szCs w:val="18"/>
                <w:lang w:eastAsia="en-NZ"/>
              </w:rPr>
            </w:pPr>
            <w:r w:rsidRPr="004672B0">
              <w:rPr>
                <w:color w:val="000000"/>
                <w:sz w:val="18"/>
                <w:szCs w:val="18"/>
                <w:lang w:eastAsia="en-NZ"/>
              </w:rPr>
              <w:t>181,993</w:t>
            </w:r>
          </w:p>
        </w:tc>
        <w:tc>
          <w:tcPr>
            <w:tcW w:w="880" w:type="dxa"/>
            <w:noWrap/>
            <w:vAlign w:val="center"/>
          </w:tcPr>
          <w:p w:rsidR="008434CC" w:rsidRPr="004672B0" w:rsidRDefault="008434CC" w:rsidP="004E2804">
            <w:pPr>
              <w:spacing w:before="60" w:after="60" w:line="240" w:lineRule="auto"/>
              <w:jc w:val="right"/>
              <w:rPr>
                <w:color w:val="000000"/>
                <w:sz w:val="18"/>
                <w:szCs w:val="18"/>
                <w:lang w:eastAsia="en-NZ"/>
              </w:rPr>
            </w:pPr>
            <w:r w:rsidRPr="004672B0">
              <w:rPr>
                <w:color w:val="000000"/>
                <w:sz w:val="18"/>
                <w:szCs w:val="18"/>
                <w:lang w:eastAsia="en-NZ"/>
              </w:rPr>
              <w:t>228,192</w:t>
            </w:r>
          </w:p>
        </w:tc>
        <w:tc>
          <w:tcPr>
            <w:tcW w:w="880" w:type="dxa"/>
            <w:noWrap/>
            <w:vAlign w:val="center"/>
          </w:tcPr>
          <w:p w:rsidR="008434CC" w:rsidRPr="004672B0" w:rsidRDefault="008434CC" w:rsidP="00C64E35">
            <w:pPr>
              <w:spacing w:before="60" w:after="60" w:line="240" w:lineRule="auto"/>
              <w:jc w:val="right"/>
              <w:rPr>
                <w:color w:val="000000"/>
                <w:sz w:val="18"/>
                <w:szCs w:val="18"/>
                <w:lang w:eastAsia="en-NZ"/>
              </w:rPr>
            </w:pPr>
            <w:r w:rsidRPr="004672B0">
              <w:rPr>
                <w:color w:val="000000"/>
                <w:sz w:val="18"/>
                <w:szCs w:val="18"/>
                <w:lang w:eastAsia="en-NZ"/>
              </w:rPr>
              <w:t>209,937</w:t>
            </w:r>
          </w:p>
        </w:tc>
        <w:tc>
          <w:tcPr>
            <w:tcW w:w="880" w:type="dxa"/>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190,298</w:t>
            </w:r>
          </w:p>
        </w:tc>
        <w:tc>
          <w:tcPr>
            <w:tcW w:w="880" w:type="dxa"/>
            <w:noWrap/>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199,764</w:t>
            </w:r>
          </w:p>
        </w:tc>
        <w:tc>
          <w:tcPr>
            <w:tcW w:w="1000" w:type="dxa"/>
            <w:noWrap/>
            <w:vAlign w:val="center"/>
          </w:tcPr>
          <w:p w:rsidR="008434CC" w:rsidRPr="004672B0" w:rsidRDefault="008434CC" w:rsidP="00567423">
            <w:pPr>
              <w:spacing w:before="60" w:after="60" w:line="240" w:lineRule="auto"/>
              <w:jc w:val="right"/>
              <w:rPr>
                <w:b/>
                <w:color w:val="000000"/>
                <w:sz w:val="18"/>
                <w:szCs w:val="18"/>
                <w:lang w:eastAsia="en-NZ"/>
              </w:rPr>
            </w:pPr>
            <w:r w:rsidRPr="004672B0">
              <w:rPr>
                <w:b/>
                <w:color w:val="000000"/>
                <w:sz w:val="18"/>
                <w:szCs w:val="18"/>
                <w:lang w:eastAsia="en-NZ"/>
              </w:rPr>
              <w:t>1,016,515</w:t>
            </w:r>
          </w:p>
        </w:tc>
      </w:tr>
      <w:tr w:rsidR="008434CC" w:rsidRPr="004672B0" w:rsidTr="00567423">
        <w:trPr>
          <w:trHeight w:val="567"/>
        </w:trPr>
        <w:tc>
          <w:tcPr>
            <w:tcW w:w="2869" w:type="dxa"/>
            <w:vAlign w:val="center"/>
          </w:tcPr>
          <w:p w:rsidR="008434CC" w:rsidRPr="004672B0" w:rsidRDefault="008434CC" w:rsidP="00567423">
            <w:pPr>
              <w:spacing w:before="60" w:after="60" w:line="240" w:lineRule="auto"/>
              <w:ind w:left="170"/>
              <w:rPr>
                <w:color w:val="000000"/>
                <w:sz w:val="18"/>
                <w:szCs w:val="18"/>
                <w:lang w:eastAsia="en-NZ"/>
              </w:rPr>
            </w:pPr>
            <w:r w:rsidRPr="004672B0">
              <w:rPr>
                <w:bCs/>
                <w:color w:val="000000"/>
                <w:sz w:val="18"/>
                <w:szCs w:val="18"/>
                <w:lang w:eastAsia="en-NZ"/>
              </w:rPr>
              <w:t>Objective 2</w:t>
            </w:r>
            <w:r w:rsidRPr="004672B0">
              <w:rPr>
                <w:color w:val="000000"/>
                <w:sz w:val="18"/>
                <w:szCs w:val="18"/>
                <w:lang w:eastAsia="en-NZ"/>
              </w:rPr>
              <w:t xml:space="preserve">: </w:t>
            </w:r>
            <w:r w:rsidRPr="004672B0">
              <w:rPr>
                <w:color w:val="000000"/>
                <w:sz w:val="18"/>
                <w:szCs w:val="18"/>
                <w:lang w:eastAsia="en-NZ"/>
              </w:rPr>
              <w:br/>
              <w:t>Quality diagnosis and treatment</w:t>
            </w:r>
          </w:p>
        </w:tc>
        <w:tc>
          <w:tcPr>
            <w:tcW w:w="880" w:type="dxa"/>
            <w:noWrap/>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138,857</w:t>
            </w:r>
          </w:p>
        </w:tc>
        <w:tc>
          <w:tcPr>
            <w:tcW w:w="880" w:type="dxa"/>
            <w:noWrap/>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138,449</w:t>
            </w:r>
          </w:p>
        </w:tc>
        <w:tc>
          <w:tcPr>
            <w:tcW w:w="880" w:type="dxa"/>
            <w:noWrap/>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118,089</w:t>
            </w:r>
          </w:p>
        </w:tc>
        <w:tc>
          <w:tcPr>
            <w:tcW w:w="880" w:type="dxa"/>
            <w:noWrap/>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140,049</w:t>
            </w:r>
          </w:p>
        </w:tc>
        <w:tc>
          <w:tcPr>
            <w:tcW w:w="880" w:type="dxa"/>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75,789</w:t>
            </w:r>
          </w:p>
        </w:tc>
        <w:tc>
          <w:tcPr>
            <w:tcW w:w="880" w:type="dxa"/>
            <w:noWrap/>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69,689</w:t>
            </w:r>
          </w:p>
        </w:tc>
        <w:tc>
          <w:tcPr>
            <w:tcW w:w="1000" w:type="dxa"/>
            <w:noWrap/>
            <w:vAlign w:val="center"/>
          </w:tcPr>
          <w:p w:rsidR="008434CC" w:rsidRPr="004672B0" w:rsidRDefault="008434CC" w:rsidP="00567423">
            <w:pPr>
              <w:spacing w:before="60" w:after="60" w:line="240" w:lineRule="auto"/>
              <w:jc w:val="right"/>
              <w:rPr>
                <w:b/>
                <w:color w:val="000000"/>
                <w:sz w:val="18"/>
                <w:szCs w:val="18"/>
                <w:lang w:eastAsia="en-NZ"/>
              </w:rPr>
            </w:pPr>
            <w:r w:rsidRPr="004672B0">
              <w:rPr>
                <w:b/>
                <w:color w:val="000000"/>
                <w:sz w:val="18"/>
                <w:szCs w:val="18"/>
                <w:lang w:eastAsia="en-NZ"/>
              </w:rPr>
              <w:t>680,922</w:t>
            </w:r>
          </w:p>
        </w:tc>
      </w:tr>
      <w:tr w:rsidR="008434CC" w:rsidRPr="004672B0" w:rsidTr="00567423">
        <w:trPr>
          <w:trHeight w:val="567"/>
        </w:trPr>
        <w:tc>
          <w:tcPr>
            <w:tcW w:w="2869" w:type="dxa"/>
            <w:vAlign w:val="center"/>
          </w:tcPr>
          <w:p w:rsidR="008434CC" w:rsidRPr="004672B0" w:rsidRDefault="008434CC" w:rsidP="00567423">
            <w:pPr>
              <w:spacing w:before="60" w:after="60" w:line="240" w:lineRule="auto"/>
              <w:ind w:left="170"/>
              <w:rPr>
                <w:color w:val="000000"/>
                <w:sz w:val="18"/>
                <w:szCs w:val="18"/>
                <w:lang w:eastAsia="en-NZ"/>
              </w:rPr>
            </w:pPr>
            <w:r w:rsidRPr="004672B0">
              <w:rPr>
                <w:bCs/>
                <w:color w:val="000000"/>
                <w:sz w:val="18"/>
                <w:szCs w:val="18"/>
                <w:lang w:eastAsia="en-NZ"/>
              </w:rPr>
              <w:t>Objective 3</w:t>
            </w:r>
            <w:r w:rsidRPr="004672B0">
              <w:rPr>
                <w:color w:val="000000"/>
                <w:sz w:val="18"/>
                <w:szCs w:val="18"/>
                <w:lang w:eastAsia="en-NZ"/>
              </w:rPr>
              <w:t xml:space="preserve">: </w:t>
            </w:r>
            <w:r w:rsidRPr="004672B0">
              <w:rPr>
                <w:color w:val="000000"/>
                <w:sz w:val="18"/>
                <w:szCs w:val="18"/>
                <w:lang w:eastAsia="en-NZ"/>
              </w:rPr>
              <w:br/>
              <w:t>Co-morbidities and MDR-TB</w:t>
            </w:r>
          </w:p>
        </w:tc>
        <w:tc>
          <w:tcPr>
            <w:tcW w:w="880" w:type="dxa"/>
            <w:noWrap/>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0</w:t>
            </w:r>
          </w:p>
        </w:tc>
        <w:tc>
          <w:tcPr>
            <w:tcW w:w="880" w:type="dxa"/>
            <w:noWrap/>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15,735</w:t>
            </w:r>
          </w:p>
        </w:tc>
        <w:tc>
          <w:tcPr>
            <w:tcW w:w="880" w:type="dxa"/>
            <w:noWrap/>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11,080</w:t>
            </w:r>
          </w:p>
        </w:tc>
        <w:tc>
          <w:tcPr>
            <w:tcW w:w="880" w:type="dxa"/>
            <w:noWrap/>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7,075</w:t>
            </w:r>
          </w:p>
        </w:tc>
        <w:tc>
          <w:tcPr>
            <w:tcW w:w="880" w:type="dxa"/>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8,000</w:t>
            </w:r>
          </w:p>
        </w:tc>
        <w:tc>
          <w:tcPr>
            <w:tcW w:w="880" w:type="dxa"/>
            <w:noWrap/>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3,080</w:t>
            </w:r>
          </w:p>
        </w:tc>
        <w:tc>
          <w:tcPr>
            <w:tcW w:w="1000" w:type="dxa"/>
            <w:noWrap/>
            <w:vAlign w:val="center"/>
          </w:tcPr>
          <w:p w:rsidR="008434CC" w:rsidRPr="004672B0" w:rsidRDefault="008434CC" w:rsidP="00567423">
            <w:pPr>
              <w:spacing w:before="60" w:after="60" w:line="240" w:lineRule="auto"/>
              <w:jc w:val="right"/>
              <w:rPr>
                <w:b/>
                <w:color w:val="000000"/>
                <w:sz w:val="18"/>
                <w:szCs w:val="18"/>
                <w:lang w:eastAsia="en-NZ"/>
              </w:rPr>
            </w:pPr>
            <w:r w:rsidRPr="004672B0">
              <w:rPr>
                <w:b/>
                <w:color w:val="000000"/>
                <w:sz w:val="18"/>
                <w:szCs w:val="18"/>
                <w:lang w:eastAsia="en-NZ"/>
              </w:rPr>
              <w:t>44,970</w:t>
            </w:r>
          </w:p>
        </w:tc>
      </w:tr>
      <w:tr w:rsidR="008434CC" w:rsidRPr="004672B0" w:rsidTr="00567423">
        <w:trPr>
          <w:trHeight w:val="567"/>
        </w:trPr>
        <w:tc>
          <w:tcPr>
            <w:tcW w:w="2869" w:type="dxa"/>
            <w:vAlign w:val="center"/>
          </w:tcPr>
          <w:p w:rsidR="008434CC" w:rsidRPr="004672B0" w:rsidRDefault="008434CC" w:rsidP="00567423">
            <w:pPr>
              <w:spacing w:before="60" w:after="60" w:line="240" w:lineRule="auto"/>
              <w:ind w:left="170"/>
              <w:rPr>
                <w:color w:val="000000"/>
                <w:sz w:val="18"/>
                <w:szCs w:val="18"/>
                <w:lang w:eastAsia="en-NZ"/>
              </w:rPr>
            </w:pPr>
            <w:r w:rsidRPr="004672B0">
              <w:rPr>
                <w:bCs/>
                <w:color w:val="000000"/>
                <w:sz w:val="18"/>
                <w:szCs w:val="18"/>
                <w:lang w:eastAsia="en-NZ"/>
              </w:rPr>
              <w:t>Objective 4</w:t>
            </w:r>
            <w:r w:rsidRPr="004672B0">
              <w:rPr>
                <w:color w:val="000000"/>
                <w:sz w:val="18"/>
                <w:szCs w:val="18"/>
                <w:lang w:eastAsia="en-NZ"/>
              </w:rPr>
              <w:t xml:space="preserve">: </w:t>
            </w:r>
            <w:r w:rsidRPr="004672B0">
              <w:rPr>
                <w:color w:val="000000"/>
                <w:sz w:val="18"/>
                <w:szCs w:val="18"/>
                <w:lang w:eastAsia="en-NZ"/>
              </w:rPr>
              <w:br/>
              <w:t>Planning, management and health system strengthening</w:t>
            </w:r>
          </w:p>
        </w:tc>
        <w:tc>
          <w:tcPr>
            <w:tcW w:w="880" w:type="dxa"/>
            <w:noWrap/>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488</w:t>
            </w:r>
          </w:p>
        </w:tc>
        <w:tc>
          <w:tcPr>
            <w:tcW w:w="880" w:type="dxa"/>
            <w:noWrap/>
            <w:vAlign w:val="center"/>
          </w:tcPr>
          <w:p w:rsidR="008434CC" w:rsidRPr="004672B0" w:rsidRDefault="008434CC" w:rsidP="00E4184F">
            <w:pPr>
              <w:spacing w:before="60" w:after="60" w:line="240" w:lineRule="auto"/>
              <w:jc w:val="right"/>
              <w:rPr>
                <w:color w:val="000000"/>
                <w:sz w:val="18"/>
                <w:szCs w:val="18"/>
                <w:lang w:eastAsia="en-NZ"/>
              </w:rPr>
            </w:pPr>
            <w:r w:rsidRPr="004672B0">
              <w:rPr>
                <w:color w:val="000000"/>
                <w:sz w:val="18"/>
                <w:szCs w:val="18"/>
                <w:lang w:eastAsia="en-NZ"/>
              </w:rPr>
              <w:t>113,248</w:t>
            </w:r>
          </w:p>
        </w:tc>
        <w:tc>
          <w:tcPr>
            <w:tcW w:w="880" w:type="dxa"/>
            <w:noWrap/>
            <w:vAlign w:val="center"/>
          </w:tcPr>
          <w:p w:rsidR="008434CC" w:rsidRPr="004672B0" w:rsidRDefault="008434CC" w:rsidP="004E2804">
            <w:pPr>
              <w:spacing w:before="60" w:after="60" w:line="240" w:lineRule="auto"/>
              <w:jc w:val="right"/>
              <w:rPr>
                <w:color w:val="000000"/>
                <w:sz w:val="18"/>
                <w:szCs w:val="18"/>
                <w:lang w:eastAsia="en-NZ"/>
              </w:rPr>
            </w:pPr>
            <w:r w:rsidRPr="004672B0">
              <w:rPr>
                <w:color w:val="000000"/>
                <w:sz w:val="18"/>
                <w:szCs w:val="18"/>
                <w:lang w:eastAsia="en-NZ"/>
              </w:rPr>
              <w:t>131,104</w:t>
            </w:r>
          </w:p>
        </w:tc>
        <w:tc>
          <w:tcPr>
            <w:tcW w:w="880" w:type="dxa"/>
            <w:noWrap/>
            <w:vAlign w:val="center"/>
          </w:tcPr>
          <w:p w:rsidR="008434CC" w:rsidRPr="004672B0" w:rsidRDefault="008434CC" w:rsidP="00831C87">
            <w:pPr>
              <w:spacing w:before="60" w:after="60" w:line="240" w:lineRule="auto"/>
              <w:jc w:val="right"/>
              <w:rPr>
                <w:color w:val="000000"/>
                <w:sz w:val="18"/>
                <w:szCs w:val="18"/>
                <w:lang w:eastAsia="en-NZ"/>
              </w:rPr>
            </w:pPr>
            <w:r w:rsidRPr="004672B0">
              <w:rPr>
                <w:color w:val="000000"/>
                <w:sz w:val="18"/>
                <w:szCs w:val="18"/>
                <w:lang w:eastAsia="en-NZ"/>
              </w:rPr>
              <w:t>118,103</w:t>
            </w:r>
          </w:p>
        </w:tc>
        <w:tc>
          <w:tcPr>
            <w:tcW w:w="880" w:type="dxa"/>
            <w:vAlign w:val="center"/>
          </w:tcPr>
          <w:p w:rsidR="008434CC" w:rsidRPr="004672B0" w:rsidRDefault="008434CC" w:rsidP="00831C87">
            <w:pPr>
              <w:spacing w:before="60" w:after="60" w:line="240" w:lineRule="auto"/>
              <w:jc w:val="right"/>
              <w:rPr>
                <w:color w:val="000000"/>
                <w:sz w:val="18"/>
                <w:szCs w:val="18"/>
                <w:lang w:eastAsia="en-NZ"/>
              </w:rPr>
            </w:pPr>
            <w:r w:rsidRPr="004672B0">
              <w:rPr>
                <w:color w:val="000000"/>
                <w:sz w:val="18"/>
                <w:szCs w:val="18"/>
                <w:lang w:eastAsia="en-NZ"/>
              </w:rPr>
              <w:t>70,211</w:t>
            </w:r>
          </w:p>
        </w:tc>
        <w:tc>
          <w:tcPr>
            <w:tcW w:w="880" w:type="dxa"/>
            <w:noWrap/>
            <w:vAlign w:val="center"/>
          </w:tcPr>
          <w:p w:rsidR="008434CC" w:rsidRPr="004672B0" w:rsidRDefault="008434CC" w:rsidP="00831C87">
            <w:pPr>
              <w:spacing w:before="60" w:after="60" w:line="240" w:lineRule="auto"/>
              <w:jc w:val="right"/>
              <w:rPr>
                <w:color w:val="000000"/>
                <w:sz w:val="18"/>
                <w:szCs w:val="18"/>
                <w:lang w:eastAsia="en-NZ"/>
              </w:rPr>
            </w:pPr>
            <w:r w:rsidRPr="004672B0">
              <w:rPr>
                <w:color w:val="000000"/>
                <w:sz w:val="18"/>
                <w:szCs w:val="18"/>
                <w:lang w:eastAsia="en-NZ"/>
              </w:rPr>
              <w:t>44,756</w:t>
            </w:r>
          </w:p>
        </w:tc>
        <w:tc>
          <w:tcPr>
            <w:tcW w:w="1000" w:type="dxa"/>
            <w:noWrap/>
            <w:vAlign w:val="center"/>
          </w:tcPr>
          <w:p w:rsidR="008434CC" w:rsidRPr="004672B0" w:rsidRDefault="008434CC" w:rsidP="00EE583C">
            <w:pPr>
              <w:spacing w:before="60" w:after="60" w:line="240" w:lineRule="auto"/>
              <w:jc w:val="right"/>
              <w:rPr>
                <w:b/>
                <w:color w:val="000000"/>
                <w:sz w:val="18"/>
                <w:szCs w:val="18"/>
                <w:lang w:eastAsia="en-NZ"/>
              </w:rPr>
            </w:pPr>
            <w:r w:rsidRPr="004672B0">
              <w:rPr>
                <w:b/>
                <w:color w:val="000000"/>
                <w:sz w:val="18"/>
                <w:szCs w:val="18"/>
                <w:lang w:eastAsia="en-NZ"/>
              </w:rPr>
              <w:t>477,909</w:t>
            </w:r>
          </w:p>
        </w:tc>
      </w:tr>
      <w:tr w:rsidR="008434CC" w:rsidRPr="004672B0" w:rsidTr="00567423">
        <w:trPr>
          <w:trHeight w:val="567"/>
        </w:trPr>
        <w:tc>
          <w:tcPr>
            <w:tcW w:w="2869" w:type="dxa"/>
            <w:vAlign w:val="center"/>
          </w:tcPr>
          <w:p w:rsidR="008434CC" w:rsidRPr="004672B0" w:rsidRDefault="008434CC" w:rsidP="00567423">
            <w:pPr>
              <w:spacing w:before="60" w:after="60" w:line="240" w:lineRule="auto"/>
              <w:ind w:left="170"/>
              <w:rPr>
                <w:color w:val="000000"/>
                <w:sz w:val="18"/>
                <w:szCs w:val="18"/>
                <w:lang w:eastAsia="en-NZ"/>
              </w:rPr>
            </w:pPr>
            <w:r w:rsidRPr="004672B0">
              <w:rPr>
                <w:bCs/>
                <w:color w:val="000000"/>
                <w:sz w:val="18"/>
                <w:szCs w:val="18"/>
                <w:lang w:eastAsia="en-NZ"/>
              </w:rPr>
              <w:t>Objective 5</w:t>
            </w:r>
            <w:r w:rsidRPr="004672B0">
              <w:rPr>
                <w:color w:val="000000"/>
                <w:sz w:val="18"/>
                <w:szCs w:val="18"/>
                <w:lang w:eastAsia="en-NZ"/>
              </w:rPr>
              <w:t xml:space="preserve">: </w:t>
            </w:r>
            <w:r w:rsidRPr="004672B0">
              <w:rPr>
                <w:color w:val="000000"/>
                <w:sz w:val="18"/>
                <w:szCs w:val="18"/>
                <w:lang w:eastAsia="en-NZ"/>
              </w:rPr>
              <w:br/>
              <w:t>Operational research</w:t>
            </w:r>
          </w:p>
        </w:tc>
        <w:tc>
          <w:tcPr>
            <w:tcW w:w="880" w:type="dxa"/>
            <w:noWrap/>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0</w:t>
            </w:r>
          </w:p>
        </w:tc>
        <w:tc>
          <w:tcPr>
            <w:tcW w:w="880" w:type="dxa"/>
            <w:noWrap/>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35,000</w:t>
            </w:r>
          </w:p>
        </w:tc>
        <w:tc>
          <w:tcPr>
            <w:tcW w:w="880" w:type="dxa"/>
            <w:noWrap/>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12,500</w:t>
            </w:r>
          </w:p>
        </w:tc>
        <w:tc>
          <w:tcPr>
            <w:tcW w:w="880" w:type="dxa"/>
            <w:noWrap/>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12,500</w:t>
            </w:r>
          </w:p>
        </w:tc>
        <w:tc>
          <w:tcPr>
            <w:tcW w:w="880" w:type="dxa"/>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12,500</w:t>
            </w:r>
          </w:p>
        </w:tc>
        <w:tc>
          <w:tcPr>
            <w:tcW w:w="880" w:type="dxa"/>
            <w:noWrap/>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12,500</w:t>
            </w:r>
          </w:p>
        </w:tc>
        <w:tc>
          <w:tcPr>
            <w:tcW w:w="1000" w:type="dxa"/>
            <w:noWrap/>
            <w:vAlign w:val="center"/>
          </w:tcPr>
          <w:p w:rsidR="008434CC" w:rsidRPr="004672B0" w:rsidRDefault="008434CC" w:rsidP="00567423">
            <w:pPr>
              <w:spacing w:before="60" w:after="60" w:line="240" w:lineRule="auto"/>
              <w:jc w:val="right"/>
              <w:rPr>
                <w:b/>
                <w:color w:val="000000"/>
                <w:sz w:val="18"/>
                <w:szCs w:val="18"/>
                <w:lang w:eastAsia="en-NZ"/>
              </w:rPr>
            </w:pPr>
            <w:r w:rsidRPr="004672B0">
              <w:rPr>
                <w:b/>
                <w:color w:val="000000"/>
                <w:sz w:val="18"/>
                <w:szCs w:val="18"/>
                <w:lang w:eastAsia="en-NZ"/>
              </w:rPr>
              <w:t>85,000</w:t>
            </w:r>
          </w:p>
        </w:tc>
      </w:tr>
      <w:tr w:rsidR="008434CC" w:rsidRPr="004672B0" w:rsidTr="00567423">
        <w:trPr>
          <w:trHeight w:val="567"/>
        </w:trPr>
        <w:tc>
          <w:tcPr>
            <w:tcW w:w="2869" w:type="dxa"/>
            <w:vAlign w:val="center"/>
          </w:tcPr>
          <w:p w:rsidR="008434CC" w:rsidRPr="004672B0" w:rsidRDefault="008434CC" w:rsidP="00567423">
            <w:pPr>
              <w:spacing w:before="60" w:after="60" w:line="240" w:lineRule="auto"/>
              <w:ind w:left="170"/>
              <w:rPr>
                <w:bCs/>
                <w:color w:val="000000"/>
                <w:sz w:val="18"/>
                <w:szCs w:val="18"/>
                <w:lang w:eastAsia="en-NZ"/>
              </w:rPr>
            </w:pPr>
            <w:r w:rsidRPr="004672B0">
              <w:rPr>
                <w:bCs/>
                <w:color w:val="000000"/>
                <w:sz w:val="18"/>
                <w:szCs w:val="18"/>
                <w:lang w:eastAsia="en-NZ"/>
              </w:rPr>
              <w:t xml:space="preserve">Technical Advisory Group </w:t>
            </w:r>
            <w:r w:rsidRPr="004672B0">
              <w:rPr>
                <w:bCs/>
                <w:color w:val="000000"/>
                <w:sz w:val="18"/>
                <w:szCs w:val="18"/>
                <w:lang w:eastAsia="en-NZ"/>
              </w:rPr>
              <w:br/>
              <w:t>and Project reviews</w:t>
            </w:r>
          </w:p>
        </w:tc>
        <w:tc>
          <w:tcPr>
            <w:tcW w:w="880" w:type="dxa"/>
            <w:noWrap/>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0</w:t>
            </w:r>
          </w:p>
        </w:tc>
        <w:tc>
          <w:tcPr>
            <w:tcW w:w="880" w:type="dxa"/>
            <w:noWrap/>
            <w:vAlign w:val="center"/>
          </w:tcPr>
          <w:p w:rsidR="008434CC" w:rsidRPr="004672B0" w:rsidRDefault="008434CC" w:rsidP="00F01F36">
            <w:pPr>
              <w:spacing w:before="60" w:after="60" w:line="240" w:lineRule="auto"/>
              <w:jc w:val="right"/>
              <w:rPr>
                <w:color w:val="000000"/>
                <w:sz w:val="18"/>
                <w:szCs w:val="18"/>
                <w:lang w:eastAsia="en-NZ"/>
              </w:rPr>
            </w:pPr>
            <w:r w:rsidRPr="004672B0">
              <w:rPr>
                <w:color w:val="000000"/>
                <w:sz w:val="18"/>
                <w:szCs w:val="18"/>
                <w:lang w:eastAsia="en-NZ"/>
              </w:rPr>
              <w:t>14,620</w:t>
            </w:r>
          </w:p>
        </w:tc>
        <w:tc>
          <w:tcPr>
            <w:tcW w:w="880" w:type="dxa"/>
            <w:noWrap/>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20,072</w:t>
            </w:r>
          </w:p>
        </w:tc>
        <w:tc>
          <w:tcPr>
            <w:tcW w:w="880" w:type="dxa"/>
            <w:noWrap/>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15,813</w:t>
            </w:r>
          </w:p>
        </w:tc>
        <w:tc>
          <w:tcPr>
            <w:tcW w:w="880" w:type="dxa"/>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14,565</w:t>
            </w:r>
          </w:p>
        </w:tc>
        <w:tc>
          <w:tcPr>
            <w:tcW w:w="880" w:type="dxa"/>
            <w:noWrap/>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17,103</w:t>
            </w:r>
          </w:p>
        </w:tc>
        <w:tc>
          <w:tcPr>
            <w:tcW w:w="1000" w:type="dxa"/>
            <w:noWrap/>
            <w:vAlign w:val="center"/>
          </w:tcPr>
          <w:p w:rsidR="008434CC" w:rsidRPr="004672B0" w:rsidRDefault="008434CC" w:rsidP="00567423">
            <w:pPr>
              <w:spacing w:before="60" w:after="60" w:line="240" w:lineRule="auto"/>
              <w:jc w:val="right"/>
              <w:rPr>
                <w:b/>
                <w:color w:val="000000"/>
                <w:sz w:val="18"/>
                <w:szCs w:val="18"/>
                <w:lang w:eastAsia="en-NZ"/>
              </w:rPr>
            </w:pPr>
            <w:r w:rsidRPr="004672B0">
              <w:rPr>
                <w:b/>
                <w:color w:val="000000"/>
                <w:sz w:val="18"/>
                <w:szCs w:val="18"/>
                <w:lang w:eastAsia="en-NZ"/>
              </w:rPr>
              <w:fldChar w:fldCharType="begin"/>
            </w:r>
            <w:r w:rsidRPr="004672B0">
              <w:rPr>
                <w:b/>
                <w:color w:val="000000"/>
                <w:sz w:val="18"/>
                <w:szCs w:val="18"/>
                <w:lang w:eastAsia="en-NZ"/>
              </w:rPr>
              <w:instrText xml:space="preserve"> =SUM(left) </w:instrText>
            </w:r>
            <w:r w:rsidRPr="004672B0">
              <w:rPr>
                <w:b/>
                <w:color w:val="000000"/>
                <w:sz w:val="18"/>
                <w:szCs w:val="18"/>
                <w:lang w:eastAsia="en-NZ"/>
              </w:rPr>
              <w:fldChar w:fldCharType="separate"/>
            </w:r>
            <w:r w:rsidRPr="004672B0">
              <w:rPr>
                <w:b/>
                <w:noProof/>
                <w:color w:val="000000"/>
                <w:sz w:val="18"/>
                <w:szCs w:val="18"/>
                <w:lang w:eastAsia="en-NZ"/>
              </w:rPr>
              <w:t>82,173</w:t>
            </w:r>
            <w:r w:rsidRPr="004672B0">
              <w:rPr>
                <w:b/>
                <w:color w:val="000000"/>
                <w:sz w:val="18"/>
                <w:szCs w:val="18"/>
                <w:lang w:eastAsia="en-NZ"/>
              </w:rPr>
              <w:fldChar w:fldCharType="end"/>
            </w:r>
          </w:p>
        </w:tc>
      </w:tr>
      <w:tr w:rsidR="008434CC" w:rsidRPr="004672B0" w:rsidTr="00567423">
        <w:trPr>
          <w:trHeight w:val="567"/>
        </w:trPr>
        <w:tc>
          <w:tcPr>
            <w:tcW w:w="2869" w:type="dxa"/>
            <w:vAlign w:val="center"/>
          </w:tcPr>
          <w:p w:rsidR="008434CC" w:rsidRPr="004672B0" w:rsidRDefault="008434CC" w:rsidP="00567423">
            <w:pPr>
              <w:spacing w:before="60" w:after="60" w:line="240" w:lineRule="auto"/>
              <w:ind w:left="170"/>
              <w:rPr>
                <w:bCs/>
                <w:color w:val="000000"/>
                <w:sz w:val="18"/>
                <w:szCs w:val="18"/>
                <w:lang w:eastAsia="en-NZ"/>
              </w:rPr>
            </w:pPr>
            <w:r w:rsidRPr="004672B0">
              <w:rPr>
                <w:bCs/>
                <w:color w:val="000000"/>
                <w:sz w:val="18"/>
                <w:szCs w:val="18"/>
                <w:lang w:eastAsia="en-NZ"/>
              </w:rPr>
              <w:t>Project administration</w:t>
            </w:r>
          </w:p>
        </w:tc>
        <w:tc>
          <w:tcPr>
            <w:tcW w:w="880" w:type="dxa"/>
            <w:noWrap/>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14,045</w:t>
            </w:r>
          </w:p>
        </w:tc>
        <w:tc>
          <w:tcPr>
            <w:tcW w:w="880" w:type="dxa"/>
            <w:noWrap/>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57,470</w:t>
            </w:r>
          </w:p>
        </w:tc>
        <w:tc>
          <w:tcPr>
            <w:tcW w:w="880" w:type="dxa"/>
            <w:noWrap/>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73,052</w:t>
            </w:r>
          </w:p>
        </w:tc>
        <w:tc>
          <w:tcPr>
            <w:tcW w:w="880" w:type="dxa"/>
            <w:noWrap/>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70,497</w:t>
            </w:r>
          </w:p>
        </w:tc>
        <w:tc>
          <w:tcPr>
            <w:tcW w:w="880" w:type="dxa"/>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77,407</w:t>
            </w:r>
          </w:p>
        </w:tc>
        <w:tc>
          <w:tcPr>
            <w:tcW w:w="880" w:type="dxa"/>
            <w:noWrap/>
            <w:vAlign w:val="center"/>
          </w:tcPr>
          <w:p w:rsidR="008434CC" w:rsidRPr="004672B0" w:rsidRDefault="008434CC" w:rsidP="00567423">
            <w:pPr>
              <w:spacing w:before="60" w:after="60" w:line="240" w:lineRule="auto"/>
              <w:jc w:val="right"/>
              <w:rPr>
                <w:color w:val="000000"/>
                <w:sz w:val="18"/>
                <w:szCs w:val="18"/>
                <w:lang w:eastAsia="en-NZ"/>
              </w:rPr>
            </w:pPr>
            <w:r w:rsidRPr="004672B0">
              <w:rPr>
                <w:color w:val="000000"/>
                <w:sz w:val="18"/>
                <w:szCs w:val="18"/>
                <w:lang w:eastAsia="en-NZ"/>
              </w:rPr>
              <w:t>74,852</w:t>
            </w:r>
          </w:p>
        </w:tc>
        <w:tc>
          <w:tcPr>
            <w:tcW w:w="1000" w:type="dxa"/>
            <w:noWrap/>
            <w:vAlign w:val="center"/>
          </w:tcPr>
          <w:p w:rsidR="008434CC" w:rsidRPr="004672B0" w:rsidRDefault="008434CC" w:rsidP="00567423">
            <w:pPr>
              <w:spacing w:before="60" w:after="60" w:line="240" w:lineRule="auto"/>
              <w:jc w:val="right"/>
              <w:rPr>
                <w:b/>
                <w:color w:val="000000"/>
                <w:sz w:val="18"/>
                <w:szCs w:val="18"/>
                <w:lang w:eastAsia="en-NZ"/>
              </w:rPr>
            </w:pPr>
            <w:r w:rsidRPr="004672B0">
              <w:rPr>
                <w:b/>
                <w:color w:val="000000"/>
                <w:sz w:val="18"/>
                <w:szCs w:val="18"/>
                <w:lang w:eastAsia="en-NZ"/>
              </w:rPr>
              <w:t>367,323</w:t>
            </w:r>
          </w:p>
        </w:tc>
      </w:tr>
      <w:tr w:rsidR="008434CC" w:rsidRPr="004672B0" w:rsidTr="00567423">
        <w:trPr>
          <w:trHeight w:val="567"/>
        </w:trPr>
        <w:tc>
          <w:tcPr>
            <w:tcW w:w="2869" w:type="dxa"/>
            <w:shd w:val="clear" w:color="auto" w:fill="D9D9D9"/>
            <w:vAlign w:val="center"/>
          </w:tcPr>
          <w:p w:rsidR="008434CC" w:rsidRPr="004672B0" w:rsidRDefault="008434CC" w:rsidP="00567423">
            <w:pPr>
              <w:spacing w:before="60" w:after="60" w:line="240" w:lineRule="auto"/>
              <w:rPr>
                <w:b/>
                <w:color w:val="000000"/>
                <w:sz w:val="20"/>
                <w:szCs w:val="18"/>
                <w:lang w:eastAsia="en-NZ"/>
              </w:rPr>
            </w:pPr>
            <w:r w:rsidRPr="004672B0">
              <w:rPr>
                <w:b/>
                <w:color w:val="000000"/>
                <w:sz w:val="20"/>
                <w:szCs w:val="18"/>
                <w:lang w:eastAsia="en-NZ"/>
              </w:rPr>
              <w:lastRenderedPageBreak/>
              <w:t>GRAND TOTAL</w:t>
            </w:r>
          </w:p>
        </w:tc>
        <w:tc>
          <w:tcPr>
            <w:tcW w:w="880" w:type="dxa"/>
            <w:shd w:val="clear" w:color="auto" w:fill="D9D9D9"/>
            <w:noWrap/>
            <w:vAlign w:val="center"/>
          </w:tcPr>
          <w:p w:rsidR="008434CC" w:rsidRPr="004672B0" w:rsidRDefault="008434CC" w:rsidP="00EF680C">
            <w:pPr>
              <w:spacing w:before="60" w:after="60" w:line="240" w:lineRule="auto"/>
              <w:jc w:val="right"/>
              <w:rPr>
                <w:b/>
                <w:color w:val="000000"/>
                <w:sz w:val="18"/>
                <w:szCs w:val="18"/>
                <w:lang w:eastAsia="en-NZ"/>
              </w:rPr>
            </w:pPr>
            <w:r w:rsidRPr="004672B0">
              <w:rPr>
                <w:b/>
                <w:color w:val="000000"/>
                <w:sz w:val="18"/>
                <w:szCs w:val="18"/>
                <w:lang w:eastAsia="en-NZ"/>
              </w:rPr>
              <w:t>595,533</w:t>
            </w:r>
          </w:p>
        </w:tc>
        <w:tc>
          <w:tcPr>
            <w:tcW w:w="880" w:type="dxa"/>
            <w:shd w:val="clear" w:color="auto" w:fill="D9D9D9"/>
            <w:noWrap/>
            <w:vAlign w:val="center"/>
          </w:tcPr>
          <w:p w:rsidR="008434CC" w:rsidRPr="004672B0" w:rsidRDefault="008434CC" w:rsidP="00EE583C">
            <w:pPr>
              <w:spacing w:before="60" w:after="60" w:line="240" w:lineRule="auto"/>
              <w:jc w:val="right"/>
              <w:rPr>
                <w:b/>
                <w:color w:val="000000"/>
                <w:sz w:val="18"/>
                <w:szCs w:val="18"/>
                <w:lang w:eastAsia="en-NZ"/>
              </w:rPr>
            </w:pPr>
            <w:r w:rsidRPr="004672B0">
              <w:rPr>
                <w:b/>
                <w:color w:val="000000"/>
                <w:sz w:val="18"/>
                <w:szCs w:val="18"/>
                <w:lang w:eastAsia="en-NZ"/>
              </w:rPr>
              <w:t>813,233</w:t>
            </w:r>
          </w:p>
        </w:tc>
        <w:tc>
          <w:tcPr>
            <w:tcW w:w="880" w:type="dxa"/>
            <w:shd w:val="clear" w:color="auto" w:fill="D9D9D9"/>
            <w:noWrap/>
            <w:vAlign w:val="center"/>
          </w:tcPr>
          <w:p w:rsidR="008434CC" w:rsidRPr="004672B0" w:rsidRDefault="008434CC" w:rsidP="00EE583C">
            <w:pPr>
              <w:spacing w:before="60" w:after="60" w:line="240" w:lineRule="auto"/>
              <w:jc w:val="right"/>
              <w:rPr>
                <w:b/>
                <w:color w:val="000000"/>
                <w:sz w:val="18"/>
                <w:szCs w:val="18"/>
                <w:lang w:eastAsia="en-NZ"/>
              </w:rPr>
            </w:pPr>
            <w:r w:rsidRPr="004672B0">
              <w:rPr>
                <w:b/>
                <w:color w:val="000000"/>
                <w:sz w:val="18"/>
                <w:szCs w:val="18"/>
                <w:lang w:eastAsia="en-NZ"/>
              </w:rPr>
              <w:t>944,618</w:t>
            </w:r>
          </w:p>
        </w:tc>
        <w:tc>
          <w:tcPr>
            <w:tcW w:w="880" w:type="dxa"/>
            <w:shd w:val="clear" w:color="auto" w:fill="D9D9D9"/>
            <w:noWrap/>
            <w:vAlign w:val="center"/>
          </w:tcPr>
          <w:p w:rsidR="008434CC" w:rsidRPr="004672B0" w:rsidRDefault="008434CC" w:rsidP="00E045A2">
            <w:pPr>
              <w:spacing w:before="60" w:after="60" w:line="240" w:lineRule="auto"/>
              <w:jc w:val="right"/>
              <w:rPr>
                <w:b/>
                <w:color w:val="000000"/>
                <w:sz w:val="18"/>
                <w:szCs w:val="18"/>
                <w:lang w:eastAsia="en-NZ"/>
              </w:rPr>
            </w:pPr>
            <w:r w:rsidRPr="004672B0">
              <w:rPr>
                <w:b/>
                <w:color w:val="000000"/>
                <w:sz w:val="18"/>
                <w:szCs w:val="18"/>
                <w:lang w:eastAsia="en-NZ"/>
              </w:rPr>
              <w:t>693,974</w:t>
            </w:r>
          </w:p>
        </w:tc>
        <w:tc>
          <w:tcPr>
            <w:tcW w:w="880" w:type="dxa"/>
            <w:shd w:val="clear" w:color="auto" w:fill="D9D9D9"/>
            <w:vAlign w:val="center"/>
          </w:tcPr>
          <w:p w:rsidR="008434CC" w:rsidRPr="004672B0" w:rsidRDefault="008434CC" w:rsidP="00E045A2">
            <w:pPr>
              <w:spacing w:before="60" w:after="60" w:line="240" w:lineRule="auto"/>
              <w:jc w:val="right"/>
              <w:rPr>
                <w:b/>
                <w:color w:val="000000"/>
                <w:sz w:val="18"/>
                <w:szCs w:val="18"/>
                <w:lang w:eastAsia="en-NZ"/>
              </w:rPr>
            </w:pPr>
            <w:r w:rsidRPr="004672B0">
              <w:rPr>
                <w:b/>
                <w:color w:val="000000"/>
                <w:sz w:val="18"/>
                <w:szCs w:val="18"/>
                <w:lang w:eastAsia="en-NZ"/>
              </w:rPr>
              <w:t>603,770</w:t>
            </w:r>
          </w:p>
        </w:tc>
        <w:tc>
          <w:tcPr>
            <w:tcW w:w="880" w:type="dxa"/>
            <w:shd w:val="clear" w:color="auto" w:fill="D9D9D9"/>
            <w:noWrap/>
            <w:vAlign w:val="center"/>
          </w:tcPr>
          <w:p w:rsidR="008434CC" w:rsidRPr="004672B0" w:rsidRDefault="008434CC" w:rsidP="00E045A2">
            <w:pPr>
              <w:spacing w:before="60" w:after="60" w:line="240" w:lineRule="auto"/>
              <w:jc w:val="right"/>
              <w:rPr>
                <w:b/>
                <w:color w:val="000000"/>
                <w:sz w:val="18"/>
                <w:szCs w:val="18"/>
                <w:lang w:eastAsia="en-NZ"/>
              </w:rPr>
            </w:pPr>
            <w:r w:rsidRPr="004672B0">
              <w:rPr>
                <w:b/>
                <w:color w:val="000000"/>
                <w:sz w:val="18"/>
                <w:szCs w:val="18"/>
                <w:lang w:eastAsia="en-NZ"/>
              </w:rPr>
              <w:t>601,744</w:t>
            </w:r>
          </w:p>
        </w:tc>
        <w:tc>
          <w:tcPr>
            <w:tcW w:w="1000" w:type="dxa"/>
            <w:shd w:val="clear" w:color="auto" w:fill="D9D9D9"/>
            <w:noWrap/>
            <w:vAlign w:val="center"/>
          </w:tcPr>
          <w:p w:rsidR="008434CC" w:rsidRPr="004672B0" w:rsidRDefault="008434CC" w:rsidP="000A7890">
            <w:pPr>
              <w:spacing w:before="60" w:after="60" w:line="240" w:lineRule="auto"/>
              <w:jc w:val="right"/>
              <w:rPr>
                <w:b/>
                <w:color w:val="000000"/>
                <w:sz w:val="18"/>
                <w:szCs w:val="18"/>
                <w:lang w:eastAsia="en-NZ"/>
              </w:rPr>
            </w:pPr>
            <w:r w:rsidRPr="004672B0">
              <w:rPr>
                <w:b/>
                <w:color w:val="000000"/>
                <w:sz w:val="18"/>
                <w:szCs w:val="18"/>
                <w:lang w:eastAsia="en-NZ"/>
              </w:rPr>
              <w:t>4,252,872</w:t>
            </w:r>
          </w:p>
        </w:tc>
      </w:tr>
    </w:tbl>
    <w:p w:rsidR="008434CC" w:rsidRDefault="008434CC" w:rsidP="0084507D">
      <w:r>
        <w:t xml:space="preserve">The phasing of Project support is reflected appropriately in the annual budgets, which range from </w:t>
      </w:r>
      <w:r w:rsidRPr="00E72D0A">
        <w:t>2</w:t>
      </w:r>
      <w:r>
        <w:t>6</w:t>
      </w:r>
      <w:r w:rsidRPr="00E72D0A">
        <w:t>.</w:t>
      </w:r>
      <w:r>
        <w:t>0</w:t>
      </w:r>
      <w:r w:rsidRPr="00E72D0A">
        <w:t>%</w:t>
      </w:r>
      <w:r w:rsidRPr="000B7DA9">
        <w:rPr>
          <w:color w:val="FF0000"/>
        </w:rPr>
        <w:t xml:space="preserve"> </w:t>
      </w:r>
      <w:r>
        <w:t xml:space="preserve">of the total budget being provided in 2012-13 (and </w:t>
      </w:r>
      <w:r w:rsidRPr="00E72D0A">
        <w:t>68.</w:t>
      </w:r>
      <w:r>
        <w:t>4</w:t>
      </w:r>
      <w:r w:rsidRPr="00E72D0A">
        <w:t>% across</w:t>
      </w:r>
      <w:r>
        <w:t xml:space="preserve"> all of the expected Phase 1) down to </w:t>
      </w:r>
      <w:r w:rsidRPr="00E72D0A">
        <w:t>1</w:t>
      </w:r>
      <w:r>
        <w:t>5</w:t>
      </w:r>
      <w:r w:rsidRPr="00E72D0A">
        <w:t>.</w:t>
      </w:r>
      <w:r>
        <w:t>3</w:t>
      </w:r>
      <w:r w:rsidRPr="00E72D0A">
        <w:t>%</w:t>
      </w:r>
      <w:r w:rsidRPr="000B7DA9">
        <w:rPr>
          <w:color w:val="FF0000"/>
        </w:rPr>
        <w:t xml:space="preserve"> </w:t>
      </w:r>
      <w:r>
        <w:t>in 2017 (</w:t>
      </w:r>
      <w:r w:rsidRPr="00E72D0A">
        <w:t>and 31.</w:t>
      </w:r>
      <w:r>
        <w:t>6</w:t>
      </w:r>
      <w:r w:rsidRPr="00E72D0A">
        <w:t>%</w:t>
      </w:r>
      <w:r w:rsidRPr="000B7DA9">
        <w:rPr>
          <w:color w:val="FF0000"/>
        </w:rPr>
        <w:t xml:space="preserve"> </w:t>
      </w:r>
      <w:r>
        <w:t xml:space="preserve">across all of the expected Phase 2) as </w:t>
      </w:r>
      <w:r w:rsidRPr="00B929EA">
        <w:t>the MH</w:t>
      </w:r>
      <w:r>
        <w:t>MS</w:t>
      </w:r>
      <w:r w:rsidRPr="00B929EA">
        <w:t xml:space="preserve"> gradually picks up </w:t>
      </w:r>
      <w:r>
        <w:t xml:space="preserve">and funds </w:t>
      </w:r>
      <w:r w:rsidRPr="00B929EA">
        <w:t>activities</w:t>
      </w:r>
      <w:r>
        <w:t>.</w:t>
      </w:r>
    </w:p>
    <w:p w:rsidR="008434CC" w:rsidRPr="005F44EE" w:rsidRDefault="008434CC" w:rsidP="00361C92">
      <w:pPr>
        <w:pStyle w:val="Heading2"/>
      </w:pPr>
      <w:bookmarkStart w:id="92" w:name="_Toc331686150"/>
      <w:r>
        <w:t>8.3 Operational Budget by Objective</w:t>
      </w:r>
      <w:bookmarkEnd w:id="92"/>
      <w:r>
        <w:t xml:space="preserve"> </w:t>
      </w:r>
    </w:p>
    <w:p w:rsidR="008434CC" w:rsidRDefault="008434CC" w:rsidP="0084507D">
      <w:r>
        <w:t>Figure 12 summarises t</w:t>
      </w:r>
      <w:r w:rsidRPr="00B929EA">
        <w:t xml:space="preserve">he </w:t>
      </w:r>
      <w:r>
        <w:t>breakdown</w:t>
      </w:r>
      <w:r w:rsidRPr="00B929EA">
        <w:t xml:space="preserve"> </w:t>
      </w:r>
      <w:r>
        <w:t xml:space="preserve">by objective for the operational </w:t>
      </w:r>
      <w:r w:rsidRPr="00B929EA">
        <w:t>budget</w:t>
      </w:r>
      <w:r>
        <w:t xml:space="preserve"> (i.e. Objectives 1-5; AUD </w:t>
      </w:r>
      <w:r w:rsidRPr="00940514">
        <w:t>2,</w:t>
      </w:r>
      <w:r>
        <w:t>303</w:t>
      </w:r>
      <w:r w:rsidRPr="00940514">
        <w:t>,</w:t>
      </w:r>
      <w:r>
        <w:t>840</w:t>
      </w:r>
      <w:r w:rsidRPr="00940514">
        <w:t>)</w:t>
      </w:r>
      <w:r>
        <w:t xml:space="preserve"> across the whole 5¼ years of the Project.</w:t>
      </w:r>
    </w:p>
    <w:p w:rsidR="008434CC" w:rsidRDefault="008434CC" w:rsidP="0084507D">
      <w:r>
        <w:t xml:space="preserve">This </w:t>
      </w:r>
      <w:r w:rsidRPr="00B929EA">
        <w:t>reflect</w:t>
      </w:r>
      <w:r>
        <w:t>s</w:t>
      </w:r>
      <w:r w:rsidRPr="00B929EA">
        <w:t xml:space="preserve"> the priorities </w:t>
      </w:r>
      <w:r>
        <w:t xml:space="preserve">for </w:t>
      </w:r>
      <w:r w:rsidRPr="00B929EA">
        <w:t>th</w:t>
      </w:r>
      <w:r>
        <w:t>e</w:t>
      </w:r>
      <w:r w:rsidRPr="00B929EA">
        <w:t xml:space="preserve"> </w:t>
      </w:r>
      <w:r>
        <w:t>P</w:t>
      </w:r>
      <w:r w:rsidRPr="00B929EA">
        <w:t>roject</w:t>
      </w:r>
      <w:r>
        <w:t>,</w:t>
      </w:r>
      <w:r w:rsidRPr="00B929EA">
        <w:t xml:space="preserve"> which fall under </w:t>
      </w:r>
      <w:r>
        <w:t>O</w:t>
      </w:r>
      <w:r w:rsidRPr="00B929EA">
        <w:t>bjectives 1</w:t>
      </w:r>
      <w:r>
        <w:t xml:space="preserve"> (universal access to quality services), 2 (strengthening diagnosis and treatment) and 4 (planning, management and health systems).</w:t>
      </w:r>
      <w:r>
        <w:rPr>
          <w:rStyle w:val="FootnoteReference"/>
        </w:rPr>
        <w:footnoteReference w:id="23"/>
      </w:r>
    </w:p>
    <w:p w:rsidR="008434CC" w:rsidRDefault="008434CC" w:rsidP="0084507D"/>
    <w:p w:rsidR="008434CC" w:rsidRDefault="008434CC" w:rsidP="0084507D">
      <w:pPr>
        <w:keepNext/>
        <w:autoSpaceDE w:val="0"/>
        <w:autoSpaceDN w:val="0"/>
        <w:adjustRightInd w:val="0"/>
        <w:spacing w:after="120" w:line="264" w:lineRule="auto"/>
        <w:jc w:val="center"/>
        <w:rPr>
          <w:rStyle w:val="Style11ptBlack"/>
          <w:b/>
        </w:rPr>
      </w:pPr>
      <w:r w:rsidRPr="00E72D0A">
        <w:rPr>
          <w:rStyle w:val="Style11ptBlack"/>
          <w:b/>
        </w:rPr>
        <w:t xml:space="preserve">Figure 12: Funding for the Towards TB Elimination in Kiribati Project, </w:t>
      </w:r>
      <w:r w:rsidRPr="00E72D0A">
        <w:rPr>
          <w:rStyle w:val="Style11ptBlack"/>
          <w:b/>
        </w:rPr>
        <w:br/>
        <w:t>by Objective, as a proportion of the operational budget, 2012-17</w:t>
      </w:r>
    </w:p>
    <w:p w:rsidR="008434CC" w:rsidRDefault="008434CC" w:rsidP="0084507D">
      <w:pPr>
        <w:keepNext/>
        <w:autoSpaceDE w:val="0"/>
        <w:autoSpaceDN w:val="0"/>
        <w:adjustRightInd w:val="0"/>
        <w:spacing w:after="120" w:line="264" w:lineRule="auto"/>
        <w:jc w:val="center"/>
        <w:rPr>
          <w:rStyle w:val="Style11ptBlack"/>
          <w:b/>
        </w:rPr>
      </w:pPr>
    </w:p>
    <w:p w:rsidR="008434CC" w:rsidRPr="00DC1B41" w:rsidRDefault="008434CC" w:rsidP="0084507D">
      <w:pPr>
        <w:keepNext/>
        <w:autoSpaceDE w:val="0"/>
        <w:autoSpaceDN w:val="0"/>
        <w:adjustRightInd w:val="0"/>
        <w:spacing w:after="120" w:line="264" w:lineRule="auto"/>
        <w:jc w:val="center"/>
        <w:rPr>
          <w:rStyle w:val="Style11ptBlack"/>
          <w:b/>
        </w:rPr>
      </w:pPr>
      <w:r w:rsidRPr="004672B0">
        <w:rPr>
          <w:rFonts w:ascii="Arial" w:hAnsi="Arial"/>
          <w:b/>
          <w:noProof/>
          <w:color w:val="000000"/>
          <w:sz w:val="21"/>
          <w:lang w:val="en-AU" w:eastAsia="en-AU"/>
        </w:rPr>
        <w:object w:dxaOrig="8670" w:dyaOrig="5050">
          <v:shape id="Chart 2" o:spid="_x0000_i1038" type="#_x0000_t75" style="width:433.5pt;height:252.75pt;visibility:visible" o:ole="">
            <v:imagedata r:id="rId28" o:title=""/>
            <o:lock v:ext="edit" aspectratio="f"/>
          </v:shape>
          <o:OLEObject Type="Embed" ProgID="Excel.Chart.8" ShapeID="Chart 2" DrawAspect="Content" ObjectID="_1413968633" r:id="rId29"/>
        </w:object>
      </w:r>
    </w:p>
    <w:p w:rsidR="008434CC" w:rsidRDefault="008434CC" w:rsidP="00E72D0A">
      <w:pPr>
        <w:jc w:val="center"/>
      </w:pPr>
    </w:p>
    <w:p w:rsidR="008434CC" w:rsidRPr="005F44EE" w:rsidRDefault="008434CC" w:rsidP="00361C92">
      <w:pPr>
        <w:pStyle w:val="Heading2"/>
      </w:pPr>
      <w:bookmarkStart w:id="93" w:name="_Toc331686151"/>
      <w:r>
        <w:lastRenderedPageBreak/>
        <w:t>8.4 Administration and On-Costs</w:t>
      </w:r>
      <w:bookmarkEnd w:id="93"/>
    </w:p>
    <w:p w:rsidR="008434CC" w:rsidRDefault="008434CC" w:rsidP="0084507D">
      <w:r>
        <w:t xml:space="preserve">Project administration (including Senior Adviser and Accountant costs) account for an additional AUD </w:t>
      </w:r>
      <w:r w:rsidRPr="00940514">
        <w:t>367,323,</w:t>
      </w:r>
      <w:r>
        <w:t xml:space="preserve"> and the costs of mobilising an annual Technical Advisory Group (Section 7.6), comprehensive mid-term review or end-of-project review (Section 9.5) are budgeted at AUD 82</w:t>
      </w:r>
      <w:r w:rsidRPr="00940514">
        <w:t>,</w:t>
      </w:r>
      <w:r>
        <w:t>173</w:t>
      </w:r>
      <w:r w:rsidRPr="00940514">
        <w:t>.</w:t>
      </w:r>
      <w:r>
        <w:t xml:space="preserve"> </w:t>
      </w:r>
    </w:p>
    <w:p w:rsidR="008434CC" w:rsidRDefault="008434CC" w:rsidP="0084507D">
      <w:r>
        <w:t>SPC’s 7% management costs total AUD 192,837</w:t>
      </w:r>
      <w:r w:rsidRPr="0036052C">
        <w:t xml:space="preserve"> </w:t>
      </w:r>
      <w:r>
        <w:t>across the entire Project.</w:t>
      </w:r>
    </w:p>
    <w:p w:rsidR="008434CC" w:rsidRPr="005F44EE" w:rsidRDefault="008434CC" w:rsidP="00361C92">
      <w:pPr>
        <w:pStyle w:val="Heading2"/>
      </w:pPr>
      <w:bookmarkStart w:id="94" w:name="_Toc331686152"/>
      <w:r>
        <w:t>8.5 Performance-linked and Conditional Funding</w:t>
      </w:r>
      <w:bookmarkEnd w:id="94"/>
    </w:p>
    <w:p w:rsidR="008434CC" w:rsidRDefault="008434CC" w:rsidP="0084507D">
      <w:pPr>
        <w:rPr>
          <w:color w:val="000000"/>
        </w:rPr>
      </w:pPr>
      <w:r>
        <w:rPr>
          <w:color w:val="000000"/>
        </w:rPr>
        <w:t xml:space="preserve">A small number of activities are designated in the budget as </w:t>
      </w:r>
      <w:r w:rsidRPr="005F1C02">
        <w:rPr>
          <w:color w:val="000000"/>
        </w:rPr>
        <w:t>performance incentives</w:t>
      </w:r>
      <w:r>
        <w:rPr>
          <w:color w:val="000000"/>
        </w:rPr>
        <w:t xml:space="preserve">.  </w:t>
      </w:r>
      <w:r w:rsidRPr="005F1C02">
        <w:rPr>
          <w:b/>
          <w:i/>
          <w:color w:val="000000"/>
        </w:rPr>
        <w:t>Project</w:t>
      </w:r>
      <w:r>
        <w:rPr>
          <w:color w:val="000000"/>
        </w:rPr>
        <w:t xml:space="preserve"> </w:t>
      </w:r>
      <w:r w:rsidRPr="00495A44">
        <w:rPr>
          <w:b/>
          <w:i/>
          <w:color w:val="000000"/>
        </w:rPr>
        <w:t>performance incentives</w:t>
      </w:r>
      <w:r>
        <w:rPr>
          <w:color w:val="000000"/>
        </w:rPr>
        <w:t xml:space="preserve"> are contingent on good implementation of an antecedent, linked activity (e.g. completion of a related strategy or plan, or regular meetings of a task force or working group documented) before funding is made available (e.g. to procure particular items, or to attend an international course or training event).  </w:t>
      </w:r>
      <w:r>
        <w:rPr>
          <w:b/>
          <w:i/>
          <w:color w:val="000000"/>
        </w:rPr>
        <w:t>Individual</w:t>
      </w:r>
      <w:r w:rsidRPr="005F1C02">
        <w:rPr>
          <w:b/>
          <w:i/>
          <w:color w:val="000000"/>
        </w:rPr>
        <w:t xml:space="preserve"> </w:t>
      </w:r>
      <w:r w:rsidRPr="00495A44">
        <w:rPr>
          <w:b/>
          <w:i/>
          <w:color w:val="000000"/>
        </w:rPr>
        <w:t>performance incentives</w:t>
      </w:r>
      <w:r>
        <w:rPr>
          <w:color w:val="000000"/>
        </w:rPr>
        <w:t xml:space="preserve"> are available to Nurse Aides on completion of a course of treatment for a TB patient and associated contact tracing, and to CDW drivers based on timely and reliable service and ensuring compliance with log books and maintenance schedules.</w:t>
      </w:r>
    </w:p>
    <w:p w:rsidR="008434CC" w:rsidRPr="005F1C02" w:rsidRDefault="008434CC" w:rsidP="0084507D">
      <w:pPr>
        <w:rPr>
          <w:b/>
          <w:i/>
          <w:color w:val="000000"/>
        </w:rPr>
      </w:pPr>
      <w:r>
        <w:rPr>
          <w:color w:val="000000"/>
        </w:rPr>
        <w:t xml:space="preserve">In addition, where pre-conditions are in place for procurement </w:t>
      </w:r>
      <w:r w:rsidRPr="00EA668A">
        <w:rPr>
          <w:color w:val="000000"/>
        </w:rPr>
        <w:t>(i.e. a procurement, depreciation and maintenance plan)</w:t>
      </w:r>
      <w:r>
        <w:rPr>
          <w:color w:val="000000"/>
        </w:rPr>
        <w:t>,</w:t>
      </w:r>
      <w:r w:rsidRPr="00EA668A">
        <w:rPr>
          <w:color w:val="000000"/>
        </w:rPr>
        <w:t xml:space="preserve"> </w:t>
      </w:r>
      <w:r>
        <w:rPr>
          <w:color w:val="000000"/>
        </w:rPr>
        <w:t xml:space="preserve">the procurement of certain items can be brought forward (for example the procurement of motorbikes and or a CB radio). </w:t>
      </w:r>
    </w:p>
    <w:p w:rsidR="008434CC" w:rsidRDefault="008434CC" w:rsidP="0084507D">
      <w:pPr>
        <w:rPr>
          <w:color w:val="000000"/>
        </w:rPr>
      </w:pPr>
      <w:r>
        <w:rPr>
          <w:color w:val="000000"/>
        </w:rPr>
        <w:t xml:space="preserve">Collectively, these items amount to </w:t>
      </w:r>
      <w:r w:rsidRPr="00BA12C4">
        <w:t xml:space="preserve">AUD </w:t>
      </w:r>
      <w:r>
        <w:t>225</w:t>
      </w:r>
      <w:r w:rsidRPr="00BA12C4">
        <w:t>,</w:t>
      </w:r>
      <w:r>
        <w:t>278</w:t>
      </w:r>
      <w:r w:rsidRPr="00BA12C4">
        <w:t>,</w:t>
      </w:r>
      <w:r>
        <w:rPr>
          <w:color w:val="000000"/>
        </w:rPr>
        <w:t xml:space="preserve"> </w:t>
      </w:r>
      <w:r w:rsidRPr="00940514">
        <w:t xml:space="preserve">or </w:t>
      </w:r>
      <w:r>
        <w:t>8</w:t>
      </w:r>
      <w:r w:rsidRPr="00940514">
        <w:t>.</w:t>
      </w:r>
      <w:r>
        <w:t>2</w:t>
      </w:r>
      <w:r w:rsidRPr="00940514">
        <w:t>%</w:t>
      </w:r>
      <w:r w:rsidRPr="00F5088E">
        <w:rPr>
          <w:color w:val="FF0000"/>
        </w:rPr>
        <w:t xml:space="preserve"> </w:t>
      </w:r>
      <w:r>
        <w:rPr>
          <w:color w:val="000000"/>
        </w:rPr>
        <w:t>of the total Project budget – comprising AUD 165,040 (6.0%) for Project performance and AUD 60,238 (2.2%) for individual incentives.</w:t>
      </w:r>
    </w:p>
    <w:p w:rsidR="008434CC" w:rsidRPr="00495A44" w:rsidRDefault="008434CC" w:rsidP="0084507D">
      <w:pPr>
        <w:rPr>
          <w:color w:val="000000"/>
        </w:rPr>
      </w:pPr>
      <w:r>
        <w:rPr>
          <w:color w:val="000000"/>
        </w:rPr>
        <w:t>The annual TAG or MTR mission could be tasked to verify the achievement of Project-linked and individual performance milestones and incentives.</w:t>
      </w:r>
    </w:p>
    <w:p w:rsidR="008434CC" w:rsidRPr="005F44EE" w:rsidRDefault="008434CC" w:rsidP="00361C92">
      <w:pPr>
        <w:pStyle w:val="Heading2"/>
      </w:pPr>
      <w:bookmarkStart w:id="95" w:name="_Toc331686153"/>
      <w:r>
        <w:t>8.6 Proportion allocated to M&amp;E</w:t>
      </w:r>
      <w:bookmarkEnd w:id="95"/>
    </w:p>
    <w:p w:rsidR="008434CC" w:rsidRPr="00B929EA" w:rsidRDefault="008434CC" w:rsidP="0084507D">
      <w:r>
        <w:t>Several activities in addition to the Project reviews will contribute to monitoring, evaluation and performance assessment.  These are estimated to comprise 7.6% of the gross Project budget – a proportion that is in the middle of the range recommended by the OECD DAC (5-10%).  This reflects the need to closely monitor critical tasks intended to strengthen access to and quality of TB services and to embed many Project-related functions into the NTP during the life of the new Project.</w:t>
      </w:r>
    </w:p>
    <w:p w:rsidR="008434CC" w:rsidRDefault="008434CC" w:rsidP="00361B02">
      <w:pPr>
        <w:pStyle w:val="Heading2"/>
      </w:pPr>
      <w:bookmarkStart w:id="96" w:name="_Toc331686154"/>
      <w:r>
        <w:t>8.7 Reprogramming and allocation of cost savings</w:t>
      </w:r>
      <w:bookmarkEnd w:id="96"/>
    </w:p>
    <w:p w:rsidR="008434CC" w:rsidRDefault="008434CC" w:rsidP="00361B02">
      <w:r>
        <w:t xml:space="preserve">It is anticipated that throughout the life of the Project there may be some cost savings in certain areas.  The most prominent examples of this are the procurement of an </w:t>
      </w:r>
      <w:r w:rsidRPr="00361B02">
        <w:rPr>
          <w:i/>
        </w:rPr>
        <w:t>Xpert® MTB/RIF</w:t>
      </w:r>
      <w:r>
        <w:t xml:space="preserve"> machine (and the associated consumables) and the procurement of second line TB drugs, in the event of a case of multi-drug resistant TB (which includes associated technical assistance).  The reprogramming and re-allocation of these funds (and other savings incurred during the lifetime of the Project) will be subject to review by the HITEC, with a documented decision point about re-allocation of these funds noted in the minutes.</w:t>
      </w:r>
    </w:p>
    <w:p w:rsidR="008434CC" w:rsidRDefault="008434CC" w:rsidP="00361B02">
      <w:pPr>
        <w:rPr>
          <w:color w:val="365F91"/>
          <w:sz w:val="32"/>
          <w:szCs w:val="28"/>
        </w:rPr>
      </w:pPr>
      <w:r>
        <w:t xml:space="preserve"> </w:t>
      </w:r>
      <w:r>
        <w:br w:type="page"/>
      </w:r>
    </w:p>
    <w:p w:rsidR="008434CC" w:rsidRDefault="008434CC" w:rsidP="004A1669">
      <w:pPr>
        <w:pStyle w:val="Heading1"/>
      </w:pPr>
      <w:bookmarkStart w:id="97" w:name="_Toc331686155"/>
      <w:r>
        <w:t>9</w:t>
      </w:r>
      <w:r w:rsidRPr="00556D46">
        <w:t xml:space="preserve">. Project </w:t>
      </w:r>
      <w:r>
        <w:t>Monitoring, Reporting and R</w:t>
      </w:r>
      <w:r w:rsidRPr="00556D46">
        <w:t>eview</w:t>
      </w:r>
      <w:bookmarkEnd w:id="97"/>
    </w:p>
    <w:p w:rsidR="008434CC" w:rsidRPr="005F44EE" w:rsidRDefault="008434CC" w:rsidP="00FB731D">
      <w:pPr>
        <w:pStyle w:val="Heading2"/>
      </w:pPr>
      <w:bookmarkStart w:id="98" w:name="_Toc331686156"/>
      <w:r>
        <w:t xml:space="preserve">9.1 Alignment and </w:t>
      </w:r>
      <w:r w:rsidRPr="00F2566E">
        <w:t>Principles</w:t>
      </w:r>
      <w:bookmarkEnd w:id="98"/>
    </w:p>
    <w:p w:rsidR="008434CC" w:rsidRDefault="008434CC" w:rsidP="003D527D">
      <w:r>
        <w:t>Consistent with the “Four Ones” principles, the Project seeks to have a clear, inclusive, integrated monitoring mechanism that is able to demonstrate credible progress in improving NTP outputs and outcomes on a regular basis.</w:t>
      </w:r>
    </w:p>
    <w:p w:rsidR="008434CC" w:rsidRDefault="008434CC" w:rsidP="00202BAE">
      <w:r>
        <w:t>Partners would move to a joint appraisal and reporting system (rather than requiring their own separate arrangements).  This would most likely require a blend of:</w:t>
      </w:r>
    </w:p>
    <w:p w:rsidR="008434CC" w:rsidRDefault="008434CC" w:rsidP="00B916EC">
      <w:pPr>
        <w:pStyle w:val="ListParagraph"/>
        <w:numPr>
          <w:ilvl w:val="0"/>
          <w:numId w:val="33"/>
        </w:numPr>
      </w:pPr>
      <w:r>
        <w:t>Quantitative outcome reporting (against standardised “TB indicators”, as is practised under present arrangements between the NTP, SPC and WHO)</w:t>
      </w:r>
    </w:p>
    <w:p w:rsidR="008434CC" w:rsidRDefault="008434CC" w:rsidP="00B916EC">
      <w:pPr>
        <w:pStyle w:val="ListParagraph"/>
        <w:numPr>
          <w:ilvl w:val="0"/>
          <w:numId w:val="33"/>
        </w:numPr>
      </w:pPr>
      <w:r>
        <w:t>Narrative reporting against agreed performance milestones</w:t>
      </w:r>
    </w:p>
    <w:p w:rsidR="008434CC" w:rsidRDefault="008434CC" w:rsidP="006515A7">
      <w:r>
        <w:t>Mutual accountability would be an important guiding principle.</w:t>
      </w:r>
    </w:p>
    <w:p w:rsidR="008434CC" w:rsidRDefault="008434CC" w:rsidP="002B47A6">
      <w:r>
        <w:t xml:space="preserve">It is acknowledged that AusAID and the Global Fund, as principal external donors, would still need: </w:t>
      </w:r>
    </w:p>
    <w:p w:rsidR="008434CC" w:rsidRDefault="008434CC" w:rsidP="00B916EC">
      <w:pPr>
        <w:pStyle w:val="ListParagraph"/>
        <w:numPr>
          <w:ilvl w:val="0"/>
          <w:numId w:val="34"/>
        </w:numPr>
      </w:pPr>
      <w:r>
        <w:t>separate financial acquittals of the resources they place at the disposal of the GOK to support TB control; and</w:t>
      </w:r>
    </w:p>
    <w:p w:rsidR="008434CC" w:rsidRDefault="008434CC" w:rsidP="00B916EC">
      <w:pPr>
        <w:pStyle w:val="ListParagraph"/>
        <w:numPr>
          <w:ilvl w:val="0"/>
          <w:numId w:val="34"/>
        </w:numPr>
      </w:pPr>
      <w:r>
        <w:t>diligent, timely and pro-active monitoring and reporting of both inherent and emerging risks.</w:t>
      </w:r>
    </w:p>
    <w:p w:rsidR="008434CC" w:rsidRPr="005F44EE" w:rsidRDefault="008434CC" w:rsidP="00F2566E">
      <w:pPr>
        <w:pStyle w:val="Heading2"/>
      </w:pPr>
      <w:bookmarkStart w:id="99" w:name="_Toc331686157"/>
      <w:r>
        <w:t>9.2 Annual TB Program Review</w:t>
      </w:r>
      <w:bookmarkEnd w:id="99"/>
    </w:p>
    <w:p w:rsidR="008434CC" w:rsidRDefault="008434CC" w:rsidP="00F2566E">
      <w:r>
        <w:t xml:space="preserve">In support of a single annual NTP report, it is proposed that a collaborative annual review of the NTP be undertaken.  </w:t>
      </w:r>
    </w:p>
    <w:p w:rsidR="008434CC" w:rsidRDefault="008434CC" w:rsidP="00F2566E">
      <w:r>
        <w:t>Costs associated with this review (e.g. bringing key MHMS counterparts to Tarawa from outer island ‘hot spots’) would be mobilised as necessary through the Project during Phase 1; however, it is envisaged that an annual program review would become institutionalised by MHMS as a regular part of NTP monitoring during Phase 2 of the Project.</w:t>
      </w:r>
    </w:p>
    <w:p w:rsidR="008434CC" w:rsidRPr="005F44EE" w:rsidRDefault="008434CC" w:rsidP="00F2566E">
      <w:pPr>
        <w:pStyle w:val="Heading2"/>
      </w:pPr>
      <w:bookmarkStart w:id="100" w:name="_Toc331686158"/>
      <w:r>
        <w:t>9.3 Reports Required, and Frequency</w:t>
      </w:r>
      <w:bookmarkEnd w:id="100"/>
    </w:p>
    <w:p w:rsidR="008434CC" w:rsidRPr="00F2566E" w:rsidRDefault="008434CC" w:rsidP="007E085A">
      <w:pPr>
        <w:rPr>
          <w:color w:val="000000"/>
        </w:rPr>
      </w:pPr>
      <w:r w:rsidRPr="00F2566E">
        <w:rPr>
          <w:color w:val="000000"/>
        </w:rPr>
        <w:t xml:space="preserve">This means there will be three levels of regular reporting within the Project: </w:t>
      </w:r>
    </w:p>
    <w:p w:rsidR="008434CC" w:rsidRPr="005F44EE" w:rsidRDefault="008434CC" w:rsidP="00054FB8">
      <w:pPr>
        <w:pStyle w:val="Heading3"/>
      </w:pPr>
      <w:bookmarkStart w:id="101" w:name="_Toc331686159"/>
      <w:r>
        <w:t xml:space="preserve">9.3.1 </w:t>
      </w:r>
      <w:r w:rsidRPr="00F2566E">
        <w:t>Annual Progress Report for the NTP</w:t>
      </w:r>
      <w:bookmarkEnd w:id="101"/>
    </w:p>
    <w:p w:rsidR="008434CC" w:rsidRDefault="008434CC" w:rsidP="00AB33A4">
      <w:pPr>
        <w:rPr>
          <w:color w:val="000000"/>
        </w:rPr>
      </w:pPr>
      <w:r>
        <w:rPr>
          <w:color w:val="000000"/>
        </w:rPr>
        <w:t>The</w:t>
      </w:r>
      <w:r w:rsidRPr="00AB33A4">
        <w:rPr>
          <w:color w:val="000000"/>
        </w:rPr>
        <w:t xml:space="preserve"> Annual Progress Report for the NTP</w:t>
      </w:r>
      <w:r>
        <w:rPr>
          <w:color w:val="000000"/>
        </w:rPr>
        <w:t xml:space="preserve"> will be</w:t>
      </w:r>
      <w:r w:rsidRPr="00AB33A4">
        <w:rPr>
          <w:color w:val="000000"/>
        </w:rPr>
        <w:t xml:space="preserve"> compiled jointly by the NTP Manager</w:t>
      </w:r>
      <w:r>
        <w:rPr>
          <w:color w:val="000000"/>
        </w:rPr>
        <w:t>,</w:t>
      </w:r>
      <w:r w:rsidRPr="00AB33A4">
        <w:rPr>
          <w:color w:val="000000"/>
        </w:rPr>
        <w:t xml:space="preserve"> the Senior NTP/Project Adviser</w:t>
      </w:r>
      <w:r w:rsidRPr="0063599F">
        <w:rPr>
          <w:color w:val="000000"/>
        </w:rPr>
        <w:t xml:space="preserve"> </w:t>
      </w:r>
      <w:r w:rsidRPr="00AB33A4">
        <w:rPr>
          <w:color w:val="000000"/>
        </w:rPr>
        <w:t>and</w:t>
      </w:r>
      <w:r>
        <w:rPr>
          <w:color w:val="000000"/>
        </w:rPr>
        <w:t xml:space="preserve"> other NTP staff.  It will </w:t>
      </w:r>
      <w:r w:rsidRPr="00AB33A4">
        <w:rPr>
          <w:color w:val="000000"/>
        </w:rPr>
        <w:t xml:space="preserve">be structured according to the </w:t>
      </w:r>
      <w:r w:rsidRPr="00AB33A4">
        <w:rPr>
          <w:i/>
          <w:color w:val="000000"/>
        </w:rPr>
        <w:t>National TB Strategy</w:t>
      </w:r>
      <w:r w:rsidRPr="00AB33A4">
        <w:rPr>
          <w:color w:val="000000"/>
        </w:rPr>
        <w:t xml:space="preserve"> and the integrated annual work plan and budget</w:t>
      </w:r>
      <w:r>
        <w:rPr>
          <w:color w:val="000000"/>
        </w:rPr>
        <w:t>.</w:t>
      </w:r>
    </w:p>
    <w:p w:rsidR="008434CC" w:rsidRPr="00776753" w:rsidRDefault="008434CC" w:rsidP="00AB33A4">
      <w:pPr>
        <w:rPr>
          <w:color w:val="000000"/>
        </w:rPr>
      </w:pPr>
      <w:r w:rsidRPr="00776753">
        <w:rPr>
          <w:color w:val="000000"/>
        </w:rPr>
        <w:t>The Annual Progress Report will summarise achievements and challenges at the output, outcome, and impact level, but may include more detail about particular challenges at the activity-based level.</w:t>
      </w:r>
      <w:r>
        <w:rPr>
          <w:color w:val="000000"/>
        </w:rPr>
        <w:t xml:space="preserve">  </w:t>
      </w:r>
    </w:p>
    <w:p w:rsidR="008434CC" w:rsidRDefault="008434CC" w:rsidP="00AB33A4">
      <w:pPr>
        <w:rPr>
          <w:color w:val="000000"/>
        </w:rPr>
      </w:pPr>
      <w:r>
        <w:rPr>
          <w:color w:val="000000"/>
        </w:rPr>
        <w:t>I</w:t>
      </w:r>
      <w:r w:rsidRPr="00AB33A4">
        <w:rPr>
          <w:color w:val="000000"/>
        </w:rPr>
        <w:t xml:space="preserve">t will draw on routine </w:t>
      </w:r>
      <w:r>
        <w:rPr>
          <w:color w:val="000000"/>
        </w:rPr>
        <w:t xml:space="preserve">NTP </w:t>
      </w:r>
      <w:r w:rsidRPr="00AB33A4">
        <w:rPr>
          <w:color w:val="000000"/>
        </w:rPr>
        <w:t xml:space="preserve">surveillance data </w:t>
      </w:r>
      <w:r>
        <w:rPr>
          <w:color w:val="000000"/>
        </w:rPr>
        <w:t xml:space="preserve">collections (which form the nucleus of the proposed Project performance framework) </w:t>
      </w:r>
      <w:r w:rsidRPr="00AB33A4">
        <w:rPr>
          <w:color w:val="000000"/>
        </w:rPr>
        <w:t xml:space="preserve">and the findings and recommendations of the Annual Program </w:t>
      </w:r>
      <w:r w:rsidRPr="00AB33A4">
        <w:rPr>
          <w:color w:val="000000"/>
        </w:rPr>
        <w:lastRenderedPageBreak/>
        <w:t>Review</w:t>
      </w:r>
      <w:r>
        <w:rPr>
          <w:color w:val="000000"/>
        </w:rPr>
        <w:t>.</w:t>
      </w:r>
      <w:r w:rsidRPr="00D72202">
        <w:rPr>
          <w:color w:val="000000"/>
        </w:rPr>
        <w:t xml:space="preserve"> </w:t>
      </w:r>
      <w:r>
        <w:rPr>
          <w:color w:val="000000"/>
        </w:rPr>
        <w:t xml:space="preserve"> In those years where a TAG or MTR team is mobilised, it should also be informed by the report and recommendations arising from those missions.</w:t>
      </w:r>
    </w:p>
    <w:p w:rsidR="008434CC" w:rsidRPr="00AB33A4" w:rsidRDefault="008434CC" w:rsidP="00AB33A4">
      <w:pPr>
        <w:rPr>
          <w:color w:val="000000"/>
        </w:rPr>
      </w:pPr>
      <w:r>
        <w:rPr>
          <w:color w:val="000000"/>
        </w:rPr>
        <w:t>I</w:t>
      </w:r>
      <w:r w:rsidRPr="00AB33A4">
        <w:rPr>
          <w:color w:val="000000"/>
        </w:rPr>
        <w:t>t will be shared openly among all partners (MHMS, SPC, WHO, AusAID and technical partners)</w:t>
      </w:r>
      <w:r>
        <w:rPr>
          <w:color w:val="000000"/>
        </w:rPr>
        <w:t>.</w:t>
      </w:r>
      <w:r w:rsidRPr="00AB33A4">
        <w:rPr>
          <w:color w:val="000000"/>
        </w:rPr>
        <w:t xml:space="preserve"> </w:t>
      </w:r>
    </w:p>
    <w:p w:rsidR="008434CC" w:rsidRPr="005F44EE" w:rsidRDefault="008434CC" w:rsidP="00054FB8">
      <w:pPr>
        <w:pStyle w:val="Heading3"/>
      </w:pPr>
      <w:bookmarkStart w:id="102" w:name="_Toc331686160"/>
      <w:r>
        <w:t>9.3.2 Monthly Acquittals of Expenditure</w:t>
      </w:r>
      <w:bookmarkEnd w:id="102"/>
    </w:p>
    <w:p w:rsidR="008434CC" w:rsidRDefault="008434CC" w:rsidP="00AB33A4">
      <w:pPr>
        <w:rPr>
          <w:color w:val="000000"/>
        </w:rPr>
      </w:pPr>
      <w:r w:rsidRPr="00AB33A4">
        <w:rPr>
          <w:color w:val="000000"/>
        </w:rPr>
        <w:t>A monthly acquittal of expenditure for the period</w:t>
      </w:r>
      <w:r>
        <w:rPr>
          <w:color w:val="000000"/>
        </w:rPr>
        <w:t>,</w:t>
      </w:r>
      <w:r w:rsidRPr="00AB33A4">
        <w:rPr>
          <w:color w:val="000000"/>
        </w:rPr>
        <w:t xml:space="preserve"> in accordance with the Project budget, </w:t>
      </w:r>
      <w:r>
        <w:rPr>
          <w:color w:val="000000"/>
        </w:rPr>
        <w:t xml:space="preserve">will </w:t>
      </w:r>
      <w:r w:rsidRPr="00AB33A4">
        <w:rPr>
          <w:color w:val="000000"/>
        </w:rPr>
        <w:t xml:space="preserve">be prepared by the Project Accountant and </w:t>
      </w:r>
      <w:r>
        <w:rPr>
          <w:color w:val="000000"/>
        </w:rPr>
        <w:t xml:space="preserve">SPC </w:t>
      </w:r>
      <w:r w:rsidRPr="00AB33A4">
        <w:rPr>
          <w:color w:val="000000"/>
        </w:rPr>
        <w:t>Project Administrator in consultation with the NTP Manager, the Senior NTP/Project Adviser and</w:t>
      </w:r>
      <w:r w:rsidRPr="00C95E62">
        <w:rPr>
          <w:color w:val="000000"/>
        </w:rPr>
        <w:t xml:space="preserve"> </w:t>
      </w:r>
      <w:r w:rsidRPr="00AB33A4">
        <w:rPr>
          <w:color w:val="000000"/>
        </w:rPr>
        <w:t>the SPC TB Adviser</w:t>
      </w:r>
      <w:r>
        <w:rPr>
          <w:color w:val="000000"/>
        </w:rPr>
        <w:t>.  For operational context, it will also identify the areas of the integrated NTP work plan and budget that have been supported.</w:t>
      </w:r>
    </w:p>
    <w:p w:rsidR="008434CC" w:rsidRPr="00AB33A4" w:rsidRDefault="008434CC" w:rsidP="00AB33A4">
      <w:pPr>
        <w:rPr>
          <w:color w:val="000000"/>
        </w:rPr>
      </w:pPr>
      <w:r>
        <w:rPr>
          <w:color w:val="000000"/>
        </w:rPr>
        <w:t xml:space="preserve">This report </w:t>
      </w:r>
      <w:r w:rsidRPr="00AB33A4">
        <w:rPr>
          <w:color w:val="000000"/>
        </w:rPr>
        <w:t>will be provided by SPC to the AusAID Kiribati office</w:t>
      </w:r>
      <w:r>
        <w:rPr>
          <w:color w:val="000000"/>
        </w:rPr>
        <w:t>, and shared with the MHMS via the NTP</w:t>
      </w:r>
      <w:r w:rsidRPr="00AB33A4">
        <w:rPr>
          <w:color w:val="000000"/>
        </w:rPr>
        <w:t xml:space="preserve">. </w:t>
      </w:r>
    </w:p>
    <w:p w:rsidR="008434CC" w:rsidRPr="005F44EE" w:rsidRDefault="008434CC" w:rsidP="00054FB8">
      <w:pPr>
        <w:pStyle w:val="Heading3"/>
      </w:pPr>
      <w:bookmarkStart w:id="103" w:name="_Toc331686161"/>
      <w:r>
        <w:t>9.3.3 Six-Monthly Risk Monitoring, Management and Reporting</w:t>
      </w:r>
      <w:bookmarkEnd w:id="103"/>
    </w:p>
    <w:p w:rsidR="008434CC" w:rsidRDefault="008434CC" w:rsidP="00776753">
      <w:pPr>
        <w:rPr>
          <w:color w:val="000000"/>
        </w:rPr>
      </w:pPr>
      <w:r w:rsidRPr="00776753">
        <w:rPr>
          <w:color w:val="000000"/>
        </w:rPr>
        <w:t xml:space="preserve">A six-monthly report describing general progress against the 5 higher order objective groupings of </w:t>
      </w:r>
      <w:r w:rsidRPr="0063599F">
        <w:rPr>
          <w:color w:val="000000"/>
        </w:rPr>
        <w:t xml:space="preserve">the Project, including challenges and risks identified in the Risk Management Matrix (Appendix 3) </w:t>
      </w:r>
      <w:r w:rsidRPr="00776753">
        <w:rPr>
          <w:color w:val="000000"/>
        </w:rPr>
        <w:t>and actions that needed to be taken to mitigate those risks</w:t>
      </w:r>
      <w:r>
        <w:rPr>
          <w:color w:val="000000"/>
        </w:rPr>
        <w:t xml:space="preserve">, </w:t>
      </w:r>
      <w:r w:rsidRPr="00776753">
        <w:rPr>
          <w:color w:val="000000"/>
        </w:rPr>
        <w:t>will be prepared by the Senior NTP/Project Adviser in consultation with the SPC TB Adviser</w:t>
      </w:r>
      <w:r>
        <w:rPr>
          <w:color w:val="000000"/>
        </w:rPr>
        <w:t>.</w:t>
      </w:r>
    </w:p>
    <w:p w:rsidR="008434CC" w:rsidRPr="00776753" w:rsidRDefault="008434CC" w:rsidP="00776753">
      <w:pPr>
        <w:rPr>
          <w:color w:val="000000"/>
        </w:rPr>
      </w:pPr>
      <w:r>
        <w:rPr>
          <w:color w:val="000000"/>
        </w:rPr>
        <w:t xml:space="preserve">This report </w:t>
      </w:r>
      <w:r w:rsidRPr="00776753">
        <w:rPr>
          <w:color w:val="000000"/>
        </w:rPr>
        <w:t>will be submitted by SPC to the AusAID Kiribati office</w:t>
      </w:r>
      <w:r>
        <w:rPr>
          <w:color w:val="000000"/>
        </w:rPr>
        <w:t>, and shared with the MHMS via the NTP</w:t>
      </w:r>
      <w:r w:rsidRPr="00776753">
        <w:rPr>
          <w:color w:val="000000"/>
        </w:rPr>
        <w:t xml:space="preserve">. </w:t>
      </w:r>
      <w:r>
        <w:rPr>
          <w:color w:val="000000"/>
        </w:rPr>
        <w:t xml:space="preserve"> It will also constitute an important source document for the annual TAG or MTR mission.</w:t>
      </w:r>
    </w:p>
    <w:p w:rsidR="008434CC" w:rsidRPr="00AB4FA2" w:rsidRDefault="008434CC" w:rsidP="004526F2">
      <w:pPr>
        <w:pStyle w:val="Heading2"/>
      </w:pPr>
      <w:bookmarkStart w:id="104" w:name="_Toc331686162"/>
      <w:r>
        <w:t>9</w:t>
      </w:r>
      <w:r w:rsidRPr="00AB4FA2">
        <w:t>.</w:t>
      </w:r>
      <w:r>
        <w:t>4</w:t>
      </w:r>
      <w:r w:rsidRPr="00AB4FA2">
        <w:t xml:space="preserve"> </w:t>
      </w:r>
      <w:r>
        <w:t xml:space="preserve">Project-Specific </w:t>
      </w:r>
      <w:r w:rsidRPr="00AB4FA2">
        <w:t xml:space="preserve">Performance </w:t>
      </w:r>
      <w:r>
        <w:t>F</w:t>
      </w:r>
      <w:r w:rsidRPr="00AB4FA2">
        <w:t>ramework</w:t>
      </w:r>
      <w:bookmarkEnd w:id="104"/>
    </w:p>
    <w:p w:rsidR="008434CC" w:rsidRDefault="008434CC" w:rsidP="004526F2">
      <w:r w:rsidRPr="002200A9">
        <w:t xml:space="preserve">A </w:t>
      </w:r>
      <w:r w:rsidRPr="004526F2">
        <w:t xml:space="preserve">Project-specific </w:t>
      </w:r>
      <w:r>
        <w:t>performance</w:t>
      </w:r>
      <w:r w:rsidRPr="002200A9">
        <w:t xml:space="preserve"> framework </w:t>
      </w:r>
      <w:r>
        <w:t xml:space="preserve">– mostly </w:t>
      </w:r>
      <w:r w:rsidRPr="002200A9">
        <w:t xml:space="preserve">with </w:t>
      </w:r>
      <w:r>
        <w:t xml:space="preserve">appropriate </w:t>
      </w:r>
      <w:r w:rsidRPr="002200A9">
        <w:t xml:space="preserve">indicators, </w:t>
      </w:r>
      <w:r>
        <w:t xml:space="preserve">definitions, baselines and </w:t>
      </w:r>
      <w:r w:rsidRPr="002200A9">
        <w:t xml:space="preserve">targets </w:t>
      </w:r>
      <w:r>
        <w:t xml:space="preserve">– </w:t>
      </w:r>
      <w:r w:rsidRPr="002200A9">
        <w:t xml:space="preserve">is </w:t>
      </w:r>
      <w:r>
        <w:t>included in Appendix 2</w:t>
      </w:r>
      <w:r w:rsidRPr="002200A9">
        <w:t xml:space="preserve">. </w:t>
      </w:r>
      <w:r>
        <w:t xml:space="preserve"> </w:t>
      </w:r>
    </w:p>
    <w:p w:rsidR="008434CC" w:rsidRDefault="008434CC" w:rsidP="004526F2">
      <w:r>
        <w:t xml:space="preserve">The </w:t>
      </w:r>
      <w:r w:rsidRPr="002200A9">
        <w:t xml:space="preserve">format </w:t>
      </w:r>
      <w:r>
        <w:t xml:space="preserve">and indicators are closely aligned with the NTP (in most cases, identical) and </w:t>
      </w:r>
      <w:r w:rsidRPr="002200A9">
        <w:t xml:space="preserve">is </w:t>
      </w:r>
      <w:r>
        <w:t xml:space="preserve">also well harmonised </w:t>
      </w:r>
      <w:r w:rsidRPr="002200A9">
        <w:t xml:space="preserve">the </w:t>
      </w:r>
      <w:r>
        <w:t>Global Fund Round 7 TB grant</w:t>
      </w:r>
      <w:r w:rsidRPr="002200A9">
        <w:t xml:space="preserve"> work </w:t>
      </w:r>
      <w:r>
        <w:t xml:space="preserve">performance framework, </w:t>
      </w:r>
      <w:r w:rsidRPr="002200A9">
        <w:t xml:space="preserve">with </w:t>
      </w:r>
      <w:r>
        <w:t xml:space="preserve">few </w:t>
      </w:r>
      <w:r w:rsidRPr="002200A9">
        <w:t xml:space="preserve">modifications. </w:t>
      </w:r>
      <w:r>
        <w:t xml:space="preserve"> </w:t>
      </w:r>
      <w:r w:rsidRPr="002200A9">
        <w:t xml:space="preserve">Where applicable, the same </w:t>
      </w:r>
      <w:r>
        <w:t xml:space="preserve">NTP </w:t>
      </w:r>
      <w:r w:rsidRPr="002200A9">
        <w:t xml:space="preserve">indicators </w:t>
      </w:r>
      <w:r>
        <w:t xml:space="preserve">as are </w:t>
      </w:r>
      <w:r w:rsidRPr="002200A9">
        <w:t xml:space="preserve">used in the </w:t>
      </w:r>
      <w:r>
        <w:t>Global Fund</w:t>
      </w:r>
      <w:r w:rsidRPr="002200A9">
        <w:t xml:space="preserve"> </w:t>
      </w:r>
      <w:r>
        <w:t>performance framework</w:t>
      </w:r>
      <w:r w:rsidRPr="002200A9">
        <w:t xml:space="preserve"> are also used in the </w:t>
      </w:r>
      <w:r>
        <w:t>P</w:t>
      </w:r>
      <w:r w:rsidRPr="002200A9">
        <w:t xml:space="preserve">roject </w:t>
      </w:r>
      <w:r>
        <w:t>performance framework</w:t>
      </w:r>
      <w:r w:rsidRPr="002200A9">
        <w:t xml:space="preserve"> to </w:t>
      </w:r>
      <w:r>
        <w:t>minimise the reporting burden on the NTP Manager and Coordinator and the Senior Adviser</w:t>
      </w:r>
      <w:r w:rsidRPr="002200A9">
        <w:t xml:space="preserve">. </w:t>
      </w:r>
      <w:r>
        <w:t xml:space="preserve"> </w:t>
      </w:r>
    </w:p>
    <w:p w:rsidR="008434CC" w:rsidRDefault="008434CC" w:rsidP="004526F2">
      <w:r>
        <w:t xml:space="preserve">However, some Project-specific indicators are included in order to focus on the Mission and key objectives of the Project, particularly case detection and laboratory strengthening. For example, the single Project impact indicator – estimated TB incidence rate – is more indicative of the Mission of the Project than the two impact indicators for the Global Fund project and the NTP – estimated TB prevalence rate (as no prevalence survey will be undertaken by the Project) and estimated TB mortality rate (which is difficult to ascertain with confidence, and would have wide confidence intervals in a small country with just over 100,000 population).  </w:t>
      </w:r>
    </w:p>
    <w:p w:rsidR="008434CC" w:rsidRDefault="008434CC" w:rsidP="004526F2">
      <w:r>
        <w:t>A total of 8 Project-specific performance (output or coverage) indicators are included in the performance</w:t>
      </w:r>
      <w:r w:rsidRPr="002200A9">
        <w:t xml:space="preserve"> framework</w:t>
      </w:r>
      <w:r>
        <w:t>, where they are shaded in blue to differentiate them from core NTP and Global Fund indicators:</w:t>
      </w:r>
    </w:p>
    <w:p w:rsidR="008434CC" w:rsidRDefault="008434CC" w:rsidP="006F3504">
      <w:pPr>
        <w:ind w:left="720"/>
      </w:pPr>
      <w:r>
        <w:t xml:space="preserve">1.5 </w:t>
      </w:r>
      <w:r w:rsidRPr="006F3504">
        <w:t>Number of TB advocacy activities conducted in line with the national TB ACSM strategy over a 12 month period</w:t>
      </w:r>
    </w:p>
    <w:p w:rsidR="008434CC" w:rsidRDefault="008434CC" w:rsidP="006F3504">
      <w:pPr>
        <w:ind w:left="720"/>
      </w:pPr>
      <w:r>
        <w:lastRenderedPageBreak/>
        <w:t xml:space="preserve">1.6 </w:t>
      </w:r>
      <w:r w:rsidRPr="006F3504">
        <w:t>Number and percentage of new smear positive TB patients cured among the new smear positive TB patients registered during a 12 month period</w:t>
      </w:r>
    </w:p>
    <w:p w:rsidR="008434CC" w:rsidRDefault="008434CC" w:rsidP="006F3504">
      <w:pPr>
        <w:ind w:left="720"/>
      </w:pPr>
      <w:r>
        <w:t xml:space="preserve">2.2 </w:t>
      </w:r>
      <w:r w:rsidRPr="006F3504">
        <w:t>Number and proportion of sputum smear positive TB patients who are also culture positive</w:t>
      </w:r>
    </w:p>
    <w:p w:rsidR="008434CC" w:rsidRDefault="008434CC" w:rsidP="006F3504">
      <w:pPr>
        <w:ind w:left="720"/>
      </w:pPr>
      <w:r>
        <w:t xml:space="preserve">3.4 Number of TB patients screened for diabetes mellitus </w:t>
      </w:r>
    </w:p>
    <w:p w:rsidR="008434CC" w:rsidRDefault="008434CC" w:rsidP="006F3504">
      <w:pPr>
        <w:ind w:left="720"/>
      </w:pPr>
      <w:r>
        <w:t>3.5 Number of TB/diabetes patients starting treatment for both TB and diabetes and attending regular clinics (in TB and diabetes clinics)</w:t>
      </w:r>
    </w:p>
    <w:p w:rsidR="008434CC" w:rsidRDefault="008434CC" w:rsidP="006F3504">
      <w:pPr>
        <w:ind w:left="720"/>
      </w:pPr>
      <w:r>
        <w:t xml:space="preserve">4.2 Number of NTP oversight committee (i.e. expanded HITEC) meetings held with documented minutes and action points </w:t>
      </w:r>
    </w:p>
    <w:p w:rsidR="008434CC" w:rsidRDefault="008434CC" w:rsidP="006F3504">
      <w:pPr>
        <w:ind w:left="720"/>
      </w:pPr>
      <w:r w:rsidRPr="003C087F">
        <w:t>4.3 Number of quarters when at least 3 months' supply of all first line TB drugs (isoniazid, rifampicin, pyrazinamide and ethambutol) and alternative first line TB drugs (streptomycin) are in stock in both adult and paediatric formulations at the end of the quarter</w:t>
      </w:r>
    </w:p>
    <w:p w:rsidR="008434CC" w:rsidRDefault="008434CC" w:rsidP="006F3504">
      <w:pPr>
        <w:ind w:left="720"/>
      </w:pPr>
      <w:r>
        <w:t>4.4 Number of annual NTP review meetings with documented outcomes, including annual report</w:t>
      </w:r>
    </w:p>
    <w:p w:rsidR="008434CC" w:rsidRDefault="008434CC" w:rsidP="009804ED">
      <w:pPr>
        <w:spacing w:before="180"/>
      </w:pPr>
      <w:r>
        <w:t>The</w:t>
      </w:r>
      <w:r>
        <w:rPr>
          <w:i/>
        </w:rPr>
        <w:t>s</w:t>
      </w:r>
      <w:r>
        <w:t xml:space="preserve">e indicators have been selected to reflect Project-specific performance in areas where the Project is providing a high level of support to the NTP to either establish systems (e.g. annual program review, inter-program links) or maintain them (e.g. ACSM, high cure rates), or relate to Project-specific governance processes in a low capacity environment (e.g. HITEC meetings). </w:t>
      </w:r>
    </w:p>
    <w:p w:rsidR="008434CC" w:rsidRDefault="008434CC" w:rsidP="002F4DA6">
      <w:r>
        <w:t xml:space="preserve">The Project </w:t>
      </w:r>
      <w:r w:rsidRPr="00B929EA">
        <w:t xml:space="preserve">performance framework </w:t>
      </w:r>
      <w:r>
        <w:t>spans</w:t>
      </w:r>
      <w:r w:rsidRPr="00B929EA">
        <w:t xml:space="preserve"> the </w:t>
      </w:r>
      <w:r>
        <w:t xml:space="preserve">5 full years of Project implementation, with clear indicator definitions, baselines and targets for each year of the Project.  It </w:t>
      </w:r>
      <w:r w:rsidRPr="00B929EA">
        <w:t>will be used to guide</w:t>
      </w:r>
      <w:r>
        <w:t xml:space="preserve"> Project (as well as NTP) </w:t>
      </w:r>
      <w:r w:rsidRPr="00B929EA">
        <w:t>monitoring</w:t>
      </w:r>
      <w:r>
        <w:t>, and will be presented through SPC to the expanded HITEC on a once-yearly basis to assess Project implementation</w:t>
      </w:r>
      <w:r w:rsidRPr="00B929EA">
        <w:t xml:space="preserve">. </w:t>
      </w:r>
    </w:p>
    <w:p w:rsidR="008434CC" w:rsidRPr="005F44EE" w:rsidRDefault="008434CC" w:rsidP="00FE3112">
      <w:pPr>
        <w:pStyle w:val="Heading2"/>
      </w:pPr>
      <w:bookmarkStart w:id="105" w:name="_Toc331686163"/>
      <w:r>
        <w:t>9.5 Project-Specific Reviews</w:t>
      </w:r>
      <w:r w:rsidRPr="0068519D">
        <w:t xml:space="preserve"> </w:t>
      </w:r>
      <w:r>
        <w:t>and Reporting</w:t>
      </w:r>
      <w:bookmarkEnd w:id="105"/>
    </w:p>
    <w:p w:rsidR="008434CC" w:rsidRDefault="008434CC" w:rsidP="00FE3112">
      <w:r>
        <w:t xml:space="preserve">The </w:t>
      </w:r>
      <w:r w:rsidRPr="00776753">
        <w:rPr>
          <w:i/>
        </w:rPr>
        <w:t>Towards TB Elimination in Kiribati</w:t>
      </w:r>
      <w:r>
        <w:t xml:space="preserve"> P</w:t>
      </w:r>
      <w:r w:rsidRPr="00B929EA">
        <w:t xml:space="preserve">roject will be </w:t>
      </w:r>
      <w:r>
        <w:t xml:space="preserve">formally </w:t>
      </w:r>
      <w:r w:rsidRPr="00B929EA">
        <w:t>reviewed tw</w:t>
      </w:r>
      <w:r>
        <w:t>ice</w:t>
      </w:r>
      <w:r w:rsidRPr="00B929EA">
        <w:t xml:space="preserve"> during </w:t>
      </w:r>
      <w:r>
        <w:t xml:space="preserve">its </w:t>
      </w:r>
      <w:r w:rsidRPr="00B929EA">
        <w:t>five</w:t>
      </w:r>
      <w:r>
        <w:t>-</w:t>
      </w:r>
      <w:r w:rsidRPr="00B929EA">
        <w:t xml:space="preserve">year </w:t>
      </w:r>
      <w:r>
        <w:t xml:space="preserve">lifetime. </w:t>
      </w:r>
    </w:p>
    <w:p w:rsidR="008434CC" w:rsidRPr="005F44EE" w:rsidRDefault="008434CC" w:rsidP="00054FB8">
      <w:pPr>
        <w:pStyle w:val="Heading3"/>
      </w:pPr>
      <w:bookmarkStart w:id="106" w:name="_Toc331686164"/>
      <w:r>
        <w:t>9.5.1 Mid-Term Review</w:t>
      </w:r>
      <w:bookmarkEnd w:id="106"/>
    </w:p>
    <w:p w:rsidR="008434CC" w:rsidRPr="00F30398" w:rsidRDefault="008434CC" w:rsidP="00FE3112">
      <w:r>
        <w:t>An early MTR</w:t>
      </w:r>
      <w:r w:rsidRPr="00B929EA">
        <w:t xml:space="preserve"> </w:t>
      </w:r>
      <w:r>
        <w:t>will be carried out around</w:t>
      </w:r>
      <w:r w:rsidRPr="00B929EA">
        <w:t xml:space="preserve"> </w:t>
      </w:r>
      <w:r>
        <w:t>mid-</w:t>
      </w:r>
      <w:r w:rsidRPr="00B929EA">
        <w:t>201</w:t>
      </w:r>
      <w:r>
        <w:t>4</w:t>
      </w:r>
      <w:r w:rsidRPr="00B929EA">
        <w:t xml:space="preserve"> </w:t>
      </w:r>
      <w:r>
        <w:t xml:space="preserve">to ascertain progress with alignment of Project inputs under </w:t>
      </w:r>
      <w:r w:rsidRPr="00F30398">
        <w:t xml:space="preserve">the single NTP </w:t>
      </w:r>
      <w:r w:rsidRPr="00F30398">
        <w:rPr>
          <w:i/>
        </w:rPr>
        <w:t>Strategic Plan</w:t>
      </w:r>
      <w:r w:rsidRPr="00F30398">
        <w:t xml:space="preserve"> and preparedness for integration of Project functions and financial management.  </w:t>
      </w:r>
    </w:p>
    <w:p w:rsidR="008434CC" w:rsidRDefault="008434CC" w:rsidP="00FE3112">
      <w:r w:rsidRPr="00F30398">
        <w:t>External independent consultants</w:t>
      </w:r>
      <w:r>
        <w:t xml:space="preserve"> with appropriate skills in disease control, health systems and financial management (who may also be members of the proposed Technical Advisory Group; see Section 7.5) will be engaged to undertake the MTR.</w:t>
      </w:r>
    </w:p>
    <w:p w:rsidR="008434CC" w:rsidRDefault="008434CC" w:rsidP="00FE3112">
      <w:r>
        <w:t>Provision is made in the budget for a MTR team leader (who may also be the principal consultant on the TAG, and bring skills in TB control and clinical management) plus one additional team member (who may bring skills, for example, in health policy, systems and financing to review the operating and funding environment for the NTP within the MHMS and in the overall GOK context).  The alignment of the MTR mission back-to-back with a visit from IMVS would make this – appropriately – the single most comprehensive external review during the life of the Project.</w:t>
      </w:r>
    </w:p>
    <w:p w:rsidR="008434CC" w:rsidRDefault="008434CC" w:rsidP="00FE3112">
      <w:r>
        <w:lastRenderedPageBreak/>
        <w:t xml:space="preserve">Like the TAG, the timing of the MTR should allow its findings and recommendations to be presented to the annual NTP review. </w:t>
      </w:r>
    </w:p>
    <w:p w:rsidR="008434CC" w:rsidRPr="00F30398" w:rsidRDefault="008434CC" w:rsidP="00FE3112">
      <w:r>
        <w:t xml:space="preserve">TORs for the MTR would be agreed among partners including, as principal donor, AusAID.  These would be more expansive, more systems- and finance-focused and more forward-looking than those for the intervening TAG visits. </w:t>
      </w:r>
      <w:r w:rsidRPr="00F30398">
        <w:t xml:space="preserve">Subject to the assessment of the MTR team, some or all of the latter years of the Project’s budget may be absorbed into the NTP. </w:t>
      </w:r>
    </w:p>
    <w:p w:rsidR="008434CC" w:rsidRPr="00F30398" w:rsidRDefault="008434CC" w:rsidP="00054FB8">
      <w:pPr>
        <w:pStyle w:val="Heading3"/>
      </w:pPr>
      <w:bookmarkStart w:id="107" w:name="_Toc331686165"/>
      <w:r w:rsidRPr="00F30398">
        <w:t>9.5.2 End-of-Project Reviews</w:t>
      </w:r>
      <w:bookmarkEnd w:id="107"/>
    </w:p>
    <w:p w:rsidR="008434CC" w:rsidRDefault="008434CC" w:rsidP="00FE3112">
      <w:r w:rsidRPr="00F30398">
        <w:t>Subject to the recommendations of the MTR and the</w:t>
      </w:r>
      <w:r>
        <w:t xml:space="preserve"> pace of integration of Project functions, an </w:t>
      </w:r>
      <w:r w:rsidRPr="00EC1D41">
        <w:rPr>
          <w:b/>
          <w:i/>
        </w:rPr>
        <w:t>end-of-Project review</w:t>
      </w:r>
      <w:r w:rsidRPr="00B929EA">
        <w:t xml:space="preserve"> </w:t>
      </w:r>
      <w:r>
        <w:t xml:space="preserve">will be carried out </w:t>
      </w:r>
      <w:r w:rsidRPr="00B929EA">
        <w:t xml:space="preserve">in the </w:t>
      </w:r>
      <w:r>
        <w:t xml:space="preserve">second half </w:t>
      </w:r>
      <w:r w:rsidRPr="00B929EA">
        <w:t>of 201</w:t>
      </w:r>
      <w:r>
        <w:t>6</w:t>
      </w:r>
      <w:r w:rsidRPr="00B929EA">
        <w:t xml:space="preserve">. </w:t>
      </w:r>
      <w:r>
        <w:t xml:space="preserve"> The purpose of this review will be to guide the final year of Project support, to provide recommendations on TB control in Kiribati beyond the period of Project support, and to document lessons learned from the integration process.  It will be conducted jointly by the NTP, external partners</w:t>
      </w:r>
      <w:r w:rsidRPr="00FE3112">
        <w:t xml:space="preserve"> </w:t>
      </w:r>
      <w:r>
        <w:t>and the lead consultant of the TAG.</w:t>
      </w:r>
    </w:p>
    <w:p w:rsidR="008434CC" w:rsidRDefault="008434CC" w:rsidP="00FE3112">
      <w:r w:rsidRPr="00124885">
        <w:t xml:space="preserve">In addition to </w:t>
      </w:r>
      <w:r>
        <w:t xml:space="preserve">the </w:t>
      </w:r>
      <w:r w:rsidRPr="00B929EA">
        <w:t>end</w:t>
      </w:r>
      <w:r>
        <w:t>-</w:t>
      </w:r>
      <w:r w:rsidRPr="00B929EA">
        <w:t>of</w:t>
      </w:r>
      <w:r>
        <w:t xml:space="preserve">-Project </w:t>
      </w:r>
      <w:r w:rsidRPr="00B929EA">
        <w:t>re</w:t>
      </w:r>
      <w:r>
        <w:t>vi</w:t>
      </w:r>
      <w:r w:rsidRPr="00B929EA">
        <w:t>ew</w:t>
      </w:r>
      <w:r w:rsidRPr="00124885">
        <w:t xml:space="preserve">, SPC will also prepare an </w:t>
      </w:r>
      <w:r w:rsidRPr="00EC1D41">
        <w:rPr>
          <w:b/>
          <w:i/>
        </w:rPr>
        <w:t>Activity Completion Report</w:t>
      </w:r>
      <w:r>
        <w:rPr>
          <w:sz w:val="24"/>
          <w:szCs w:val="24"/>
        </w:rPr>
        <w:t xml:space="preserve">, </w:t>
      </w:r>
      <w:r w:rsidRPr="004526F2">
        <w:rPr>
          <w:szCs w:val="24"/>
        </w:rPr>
        <w:t xml:space="preserve">which </w:t>
      </w:r>
      <w:r w:rsidRPr="00124885">
        <w:t>will be completed</w:t>
      </w:r>
      <w:r>
        <w:t xml:space="preserve"> w</w:t>
      </w:r>
      <w:r w:rsidRPr="002200A9">
        <w:t xml:space="preserve">ithin three months </w:t>
      </w:r>
      <w:r>
        <w:t xml:space="preserve">of the end of </w:t>
      </w:r>
      <w:r w:rsidRPr="002200A9">
        <w:t xml:space="preserve">the </w:t>
      </w:r>
      <w:r>
        <w:t>P</w:t>
      </w:r>
      <w:r w:rsidRPr="002200A9">
        <w:t>roject</w:t>
      </w:r>
      <w:r>
        <w:t xml:space="preserve">.  </w:t>
      </w:r>
      <w:r w:rsidRPr="002200A9">
        <w:t xml:space="preserve">The report will comply </w:t>
      </w:r>
      <w:r>
        <w:t xml:space="preserve">with relevant </w:t>
      </w:r>
      <w:r w:rsidRPr="002200A9">
        <w:t>Aus</w:t>
      </w:r>
      <w:r>
        <w:t xml:space="preserve">AID guidelines, and </w:t>
      </w:r>
      <w:r w:rsidRPr="002200A9">
        <w:t>will</w:t>
      </w:r>
      <w:r>
        <w:t>: a)</w:t>
      </w:r>
      <w:r w:rsidRPr="002200A9">
        <w:t xml:space="preserve"> confirm that the </w:t>
      </w:r>
      <w:r>
        <w:t>P</w:t>
      </w:r>
      <w:r w:rsidRPr="002200A9">
        <w:t xml:space="preserve">roject has been implemented </w:t>
      </w:r>
      <w:r>
        <w:t>as planned</w:t>
      </w:r>
      <w:r w:rsidRPr="002200A9">
        <w:t xml:space="preserve"> </w:t>
      </w:r>
      <w:r>
        <w:t>(</w:t>
      </w:r>
      <w:r w:rsidRPr="002200A9">
        <w:t xml:space="preserve">or provide </w:t>
      </w:r>
      <w:r>
        <w:t>reasons for deviations from the plan); b)</w:t>
      </w:r>
      <w:r w:rsidRPr="002200A9">
        <w:t xml:space="preserve"> examine actual achievements against </w:t>
      </w:r>
      <w:r>
        <w:t>Pr</w:t>
      </w:r>
      <w:r w:rsidRPr="002200A9">
        <w:t>oject objectives</w:t>
      </w:r>
      <w:r>
        <w:t>; c)</w:t>
      </w:r>
      <w:r w:rsidRPr="002200A9">
        <w:t xml:space="preserve"> provide a full reconciliation and acquittal of all </w:t>
      </w:r>
      <w:r>
        <w:t>P</w:t>
      </w:r>
      <w:r w:rsidRPr="002200A9">
        <w:t>roject funds according to the approved budget</w:t>
      </w:r>
      <w:r>
        <w:t>;</w:t>
      </w:r>
      <w:r w:rsidRPr="002200A9">
        <w:t xml:space="preserve"> </w:t>
      </w:r>
      <w:r>
        <w:t xml:space="preserve">and d) </w:t>
      </w:r>
      <w:r w:rsidRPr="002200A9">
        <w:t>document lessons learned</w:t>
      </w:r>
      <w:r>
        <w:t xml:space="preserve"> for SPC and the Australian aid program. </w:t>
      </w:r>
    </w:p>
    <w:p w:rsidR="008434CC" w:rsidRPr="00B929EA" w:rsidRDefault="008434CC" w:rsidP="00AF661D"/>
    <w:p w:rsidR="008434CC" w:rsidRDefault="008434CC">
      <w:pPr>
        <w:spacing w:before="0" w:after="200"/>
        <w:rPr>
          <w:rFonts w:ascii="Cambria" w:hAnsi="Cambria"/>
          <w:b/>
          <w:bCs/>
          <w:color w:val="365F91"/>
          <w:sz w:val="32"/>
          <w:szCs w:val="28"/>
        </w:rPr>
      </w:pPr>
      <w:r>
        <w:br w:type="page"/>
      </w:r>
    </w:p>
    <w:p w:rsidR="008434CC" w:rsidRDefault="008434CC" w:rsidP="004A1669">
      <w:pPr>
        <w:pStyle w:val="Heading1"/>
      </w:pPr>
      <w:bookmarkStart w:id="108" w:name="_Toc331686166"/>
      <w:r>
        <w:t>10</w:t>
      </w:r>
      <w:r w:rsidRPr="00124885">
        <w:t xml:space="preserve">. Risk </w:t>
      </w:r>
      <w:r>
        <w:t>M</w:t>
      </w:r>
      <w:r w:rsidRPr="00124885">
        <w:t>anagement</w:t>
      </w:r>
      <w:bookmarkEnd w:id="108"/>
      <w:r w:rsidRPr="00124885">
        <w:t xml:space="preserve"> </w:t>
      </w:r>
    </w:p>
    <w:p w:rsidR="008434CC" w:rsidRDefault="008434CC" w:rsidP="00541BF3">
      <w:pPr>
        <w:pStyle w:val="Heading2"/>
      </w:pPr>
      <w:bookmarkStart w:id="109" w:name="_Toc312105895"/>
      <w:bookmarkStart w:id="110" w:name="_Toc331686167"/>
      <w:r>
        <w:t>10</w:t>
      </w:r>
      <w:r w:rsidRPr="00124885">
        <w:t>.1 Purpose</w:t>
      </w:r>
      <w:bookmarkEnd w:id="109"/>
      <w:bookmarkEnd w:id="110"/>
      <w:r w:rsidRPr="00124885">
        <w:t xml:space="preserve"> </w:t>
      </w:r>
    </w:p>
    <w:p w:rsidR="008434CC" w:rsidRDefault="008434CC" w:rsidP="00362A12">
      <w:r w:rsidRPr="00BE35A7">
        <w:t xml:space="preserve">The concept of managing risk is an integral part of the accountability requirements </w:t>
      </w:r>
      <w:r>
        <w:t>for</w:t>
      </w:r>
      <w:r w:rsidRPr="00BE35A7">
        <w:t xml:space="preserve"> all</w:t>
      </w:r>
      <w:r>
        <w:t xml:space="preserve"> donor-funded international development activities.  Unmanaged risk can compromise the sustainability of Project inputs, and interfere with the efficiency of integration of Project functions into the NTP and MHMS.</w:t>
      </w:r>
    </w:p>
    <w:p w:rsidR="008434CC" w:rsidRPr="00322A31" w:rsidRDefault="008434CC" w:rsidP="00BE35A7">
      <w:pPr>
        <w:rPr>
          <w:color w:val="000000"/>
        </w:rPr>
      </w:pPr>
      <w:r w:rsidRPr="00322A31">
        <w:rPr>
          <w:color w:val="000000"/>
        </w:rPr>
        <w:t xml:space="preserve">A detailed Risk Analysis and Risk Management Plan are included at Appendix 3.  </w:t>
      </w:r>
    </w:p>
    <w:p w:rsidR="008434CC" w:rsidRDefault="008434CC" w:rsidP="000526FF">
      <w:r>
        <w:t>The purpose of the</w:t>
      </w:r>
      <w:r w:rsidRPr="002200A9">
        <w:t xml:space="preserve"> Plan </w:t>
      </w:r>
      <w:r>
        <w:t>is</w:t>
      </w:r>
      <w:r w:rsidRPr="002200A9">
        <w:t xml:space="preserve"> to provide an outline of how </w:t>
      </w:r>
      <w:r>
        <w:t xml:space="preserve">identifiable risks </w:t>
      </w:r>
      <w:r w:rsidRPr="002200A9">
        <w:t xml:space="preserve">will be monitored throughout the life of the </w:t>
      </w:r>
      <w:r>
        <w:t>P</w:t>
      </w:r>
      <w:r w:rsidRPr="002200A9">
        <w:t>roject</w:t>
      </w:r>
      <w:r>
        <w:t>,</w:t>
      </w:r>
      <w:r w:rsidRPr="002200A9">
        <w:t xml:space="preserve"> and </w:t>
      </w:r>
      <w:r>
        <w:t>to provide guidance</w:t>
      </w:r>
      <w:r w:rsidRPr="002200A9">
        <w:t xml:space="preserve"> for documentin</w:t>
      </w:r>
      <w:r>
        <w:t>g</w:t>
      </w:r>
      <w:r w:rsidRPr="002200A9">
        <w:t xml:space="preserve"> </w:t>
      </w:r>
      <w:r>
        <w:t xml:space="preserve">those </w:t>
      </w:r>
      <w:r w:rsidRPr="002200A9">
        <w:t>risks</w:t>
      </w:r>
      <w:r>
        <w:t xml:space="preserve"> and the actions to take when they arise</w:t>
      </w:r>
      <w:r w:rsidRPr="002200A9">
        <w:t xml:space="preserve">. </w:t>
      </w:r>
      <w:r>
        <w:t xml:space="preserve"> </w:t>
      </w:r>
    </w:p>
    <w:p w:rsidR="008434CC" w:rsidRDefault="008434CC" w:rsidP="00BE35A7">
      <w:r>
        <w:t>The Plan identifies each risk as being one of four types,</w:t>
      </w:r>
      <w:r w:rsidRPr="005366E6">
        <w:t xml:space="preserve"> </w:t>
      </w:r>
      <w:r>
        <w:t>and classifies them under appropriate sub-headings:</w:t>
      </w:r>
    </w:p>
    <w:p w:rsidR="008434CC" w:rsidRDefault="008434CC" w:rsidP="00B916EC">
      <w:pPr>
        <w:pStyle w:val="ListParagraph"/>
        <w:numPr>
          <w:ilvl w:val="0"/>
          <w:numId w:val="43"/>
        </w:numPr>
      </w:pPr>
      <w:r w:rsidRPr="005366E6">
        <w:t>Risks related to Project Design and MHMS / NTP Policy and Planning</w:t>
      </w:r>
    </w:p>
    <w:p w:rsidR="008434CC" w:rsidRDefault="008434CC" w:rsidP="00B916EC">
      <w:pPr>
        <w:pStyle w:val="ListParagraph"/>
        <w:numPr>
          <w:ilvl w:val="0"/>
          <w:numId w:val="43"/>
        </w:numPr>
      </w:pPr>
      <w:r w:rsidRPr="005366E6">
        <w:t>Financing and Financial Risks</w:t>
      </w:r>
    </w:p>
    <w:p w:rsidR="008434CC" w:rsidRDefault="008434CC" w:rsidP="00B916EC">
      <w:pPr>
        <w:pStyle w:val="ListParagraph"/>
        <w:numPr>
          <w:ilvl w:val="0"/>
          <w:numId w:val="43"/>
        </w:numPr>
      </w:pPr>
      <w:r w:rsidRPr="005366E6">
        <w:t xml:space="preserve">Risks related to </w:t>
      </w:r>
      <w:r>
        <w:rPr>
          <w:rFonts w:eastAsia="Arial Unicode MS"/>
        </w:rPr>
        <w:t xml:space="preserve">Project </w:t>
      </w:r>
      <w:r w:rsidRPr="005366E6">
        <w:t>Implementation</w:t>
      </w:r>
    </w:p>
    <w:p w:rsidR="008434CC" w:rsidRPr="005366E6" w:rsidRDefault="008434CC" w:rsidP="00B916EC">
      <w:pPr>
        <w:pStyle w:val="ListParagraph"/>
        <w:numPr>
          <w:ilvl w:val="0"/>
          <w:numId w:val="43"/>
        </w:numPr>
      </w:pPr>
      <w:r w:rsidRPr="005366E6">
        <w:rPr>
          <w:rFonts w:cs="Calibri"/>
        </w:rPr>
        <w:t>External Risks</w:t>
      </w:r>
    </w:p>
    <w:p w:rsidR="008434CC" w:rsidRDefault="008434CC" w:rsidP="00322A31">
      <w:pPr>
        <w:spacing w:before="180"/>
      </w:pPr>
      <w:r>
        <w:rPr>
          <w:rFonts w:eastAsia="Arial Unicode MS"/>
        </w:rPr>
        <w:t>Most foreseeable risks have be rated as “low” or “medium” in terms of their likelihood of occurring and their impact on the Project and/or NTP, suggesting that the Project is appropriately matched to the relatively low capacity operating environment; a small number of risks that have been classified as “high” also reflect the nature and potential ramifications of that operating environment, and will need particular scrutiny.  No foreseeable risks have been rated “very high”.</w:t>
      </w:r>
      <w:r>
        <w:rPr>
          <w:rStyle w:val="FootnoteReference"/>
          <w:rFonts w:eastAsia="Arial Unicode MS"/>
        </w:rPr>
        <w:footnoteReference w:id="24"/>
      </w:r>
    </w:p>
    <w:p w:rsidR="008434CC" w:rsidRDefault="008434CC" w:rsidP="00362A12">
      <w:r>
        <w:t>The Risk Analysis and Risk Management Plan is intended to be a “living document”: emerging risks not yet identified in the Plan may be added in the course of periodic re-analysis, and strategies developed to manage them.</w:t>
      </w:r>
    </w:p>
    <w:p w:rsidR="008434CC" w:rsidRPr="00541BF3" w:rsidRDefault="008434CC" w:rsidP="00541BF3">
      <w:pPr>
        <w:pStyle w:val="Heading2"/>
      </w:pPr>
      <w:bookmarkStart w:id="111" w:name="_Toc312105896"/>
      <w:bookmarkStart w:id="112" w:name="_Toc331686168"/>
      <w:r>
        <w:t>10</w:t>
      </w:r>
      <w:r w:rsidRPr="00541BF3">
        <w:t>.2 Risk Management Procedure</w:t>
      </w:r>
      <w:bookmarkEnd w:id="111"/>
      <w:bookmarkEnd w:id="112"/>
    </w:p>
    <w:p w:rsidR="008434CC" w:rsidRDefault="008434CC" w:rsidP="00054FB8">
      <w:pPr>
        <w:pStyle w:val="Heading3"/>
      </w:pPr>
      <w:bookmarkStart w:id="113" w:name="_Toc312105898"/>
      <w:bookmarkStart w:id="114" w:name="_Toc331686169"/>
      <w:bookmarkStart w:id="115" w:name="_Toc312105897"/>
      <w:r>
        <w:t>10.2.1 Risk Monitoring by Senior Adviser and SPC</w:t>
      </w:r>
      <w:bookmarkEnd w:id="113"/>
      <w:bookmarkEnd w:id="114"/>
    </w:p>
    <w:p w:rsidR="008434CC" w:rsidRDefault="008434CC" w:rsidP="000526FF">
      <w:bookmarkStart w:id="116" w:name="_Toc312105899"/>
      <w:bookmarkStart w:id="117" w:name="_Toc312266622"/>
      <w:r w:rsidRPr="002200A9">
        <w:t xml:space="preserve">The </w:t>
      </w:r>
      <w:r>
        <w:t>Senior NTP/Project Adviser, in close consultation with the</w:t>
      </w:r>
      <w:r w:rsidRPr="002200A9">
        <w:t xml:space="preserve"> NTP </w:t>
      </w:r>
      <w:r>
        <w:t>M</w:t>
      </w:r>
      <w:r w:rsidRPr="002200A9">
        <w:t>anager</w:t>
      </w:r>
      <w:r>
        <w:t xml:space="preserve"> and the SPC TB Adviser,</w:t>
      </w:r>
      <w:r w:rsidRPr="002200A9">
        <w:t xml:space="preserve"> will be responsible for day</w:t>
      </w:r>
      <w:r>
        <w:t>-</w:t>
      </w:r>
      <w:r w:rsidRPr="002200A9">
        <w:t>to</w:t>
      </w:r>
      <w:r>
        <w:t>-</w:t>
      </w:r>
      <w:r w:rsidRPr="002200A9">
        <w:t>day</w:t>
      </w:r>
      <w:r>
        <w:t>, week-to-week and month-to-month</w:t>
      </w:r>
      <w:r w:rsidRPr="002200A9">
        <w:t xml:space="preserve"> </w:t>
      </w:r>
      <w:r>
        <w:t xml:space="preserve">implementation </w:t>
      </w:r>
      <w:r w:rsidRPr="002200A9">
        <w:t xml:space="preserve">of the </w:t>
      </w:r>
      <w:r>
        <w:t>Risk Management P</w:t>
      </w:r>
      <w:r w:rsidRPr="002200A9">
        <w:t>lan</w:t>
      </w:r>
      <w:r>
        <w:t xml:space="preserve">; this will be a key aspect of their role.  </w:t>
      </w:r>
    </w:p>
    <w:p w:rsidR="008434CC" w:rsidRDefault="008434CC" w:rsidP="00F52C47">
      <w:r w:rsidRPr="00124885">
        <w:t>The</w:t>
      </w:r>
      <w:r>
        <w:t xml:space="preserve">y </w:t>
      </w:r>
      <w:r w:rsidRPr="00124885">
        <w:t xml:space="preserve">will be responsible for risk identification, assessment and management. </w:t>
      </w:r>
      <w:r>
        <w:t xml:space="preserve"> </w:t>
      </w:r>
      <w:r w:rsidRPr="00124885">
        <w:t xml:space="preserve">This will </w:t>
      </w:r>
      <w:r>
        <w:t>take place</w:t>
      </w:r>
      <w:r w:rsidRPr="00124885">
        <w:t xml:space="preserve"> through </w:t>
      </w:r>
      <w:r>
        <w:t xml:space="preserve">continuous </w:t>
      </w:r>
      <w:r w:rsidRPr="00124885">
        <w:t xml:space="preserve">monitoring </w:t>
      </w:r>
      <w:r>
        <w:t xml:space="preserve">of Project-supported elements of </w:t>
      </w:r>
      <w:r w:rsidRPr="00124885">
        <w:t xml:space="preserve">the </w:t>
      </w:r>
      <w:r>
        <w:t xml:space="preserve">integrated NTP </w:t>
      </w:r>
      <w:r w:rsidRPr="00124885">
        <w:t>work</w:t>
      </w:r>
      <w:r>
        <w:t xml:space="preserve"> </w:t>
      </w:r>
      <w:r w:rsidRPr="00124885">
        <w:t>plan</w:t>
      </w:r>
      <w:r>
        <w:t xml:space="preserve"> and</w:t>
      </w:r>
      <w:r w:rsidRPr="00124885">
        <w:t xml:space="preserve"> </w:t>
      </w:r>
      <w:r w:rsidRPr="00124885">
        <w:lastRenderedPageBreak/>
        <w:t xml:space="preserve">budget and </w:t>
      </w:r>
      <w:r>
        <w:t xml:space="preserve">the Project </w:t>
      </w:r>
      <w:r w:rsidRPr="00124885">
        <w:t xml:space="preserve">performance framework. </w:t>
      </w:r>
      <w:r>
        <w:t xml:space="preserve"> </w:t>
      </w:r>
      <w:r w:rsidRPr="00124885">
        <w:t>I</w:t>
      </w:r>
      <w:r>
        <w:t xml:space="preserve">t is also expected that </w:t>
      </w:r>
      <w:r w:rsidRPr="00124885">
        <w:t xml:space="preserve">the </w:t>
      </w:r>
      <w:r>
        <w:t>Senior Adviser’s</w:t>
      </w:r>
      <w:r w:rsidRPr="00124885">
        <w:t xml:space="preserve"> local knowledge of the Project </w:t>
      </w:r>
      <w:r>
        <w:t xml:space="preserve">and the NTP </w:t>
      </w:r>
      <w:r w:rsidRPr="00124885">
        <w:t xml:space="preserve">and </w:t>
      </w:r>
      <w:r>
        <w:t>responsibility as an implementer</w:t>
      </w:r>
      <w:r w:rsidRPr="00124885">
        <w:t xml:space="preserve"> will </w:t>
      </w:r>
      <w:r>
        <w:t xml:space="preserve">help to </w:t>
      </w:r>
      <w:r w:rsidRPr="00124885">
        <w:t xml:space="preserve">identify </w:t>
      </w:r>
      <w:r>
        <w:t xml:space="preserve">emerging </w:t>
      </w:r>
      <w:r w:rsidRPr="00124885">
        <w:t>risks early</w:t>
      </w:r>
      <w:r>
        <w:t>.</w:t>
      </w:r>
      <w:bookmarkEnd w:id="116"/>
      <w:bookmarkEnd w:id="117"/>
      <w:r>
        <w:t xml:space="preserve"> </w:t>
      </w:r>
    </w:p>
    <w:p w:rsidR="008434CC" w:rsidRDefault="008434CC" w:rsidP="00F52C47">
      <w:pPr>
        <w:pStyle w:val="BodyText"/>
        <w:rPr>
          <w:rFonts w:eastAsia="Arial Unicode MS"/>
        </w:rPr>
      </w:pPr>
      <w:r w:rsidRPr="00B929EA">
        <w:rPr>
          <w:rFonts w:eastAsia="Arial Unicode MS"/>
        </w:rPr>
        <w:t xml:space="preserve">Risk </w:t>
      </w:r>
      <w:r>
        <w:rPr>
          <w:rFonts w:eastAsia="Arial Unicode MS"/>
        </w:rPr>
        <w:t>management</w:t>
      </w:r>
      <w:r w:rsidRPr="00B929EA">
        <w:rPr>
          <w:rFonts w:eastAsia="Arial Unicode MS"/>
        </w:rPr>
        <w:t xml:space="preserve"> will involve the </w:t>
      </w:r>
      <w:r>
        <w:rPr>
          <w:rFonts w:eastAsia="Arial Unicode MS"/>
        </w:rPr>
        <w:t>whole P</w:t>
      </w:r>
      <w:r w:rsidRPr="00B929EA">
        <w:rPr>
          <w:rFonts w:eastAsia="Arial Unicode MS"/>
        </w:rPr>
        <w:t xml:space="preserve">roject team </w:t>
      </w:r>
      <w:r>
        <w:rPr>
          <w:rFonts w:eastAsia="Arial Unicode MS"/>
        </w:rPr>
        <w:t xml:space="preserve">(and, in most cases, the expanded NTP team); it </w:t>
      </w:r>
      <w:r w:rsidRPr="00B929EA">
        <w:rPr>
          <w:rFonts w:eastAsia="Arial Unicode MS"/>
        </w:rPr>
        <w:t xml:space="preserve">will include an evaluation of </w:t>
      </w:r>
      <w:r>
        <w:rPr>
          <w:rFonts w:eastAsia="Arial Unicode MS"/>
        </w:rPr>
        <w:t>wider contex</w:t>
      </w:r>
      <w:r w:rsidRPr="00B929EA">
        <w:rPr>
          <w:rFonts w:eastAsia="Arial Unicode MS"/>
        </w:rPr>
        <w:t>t</w:t>
      </w:r>
      <w:r>
        <w:rPr>
          <w:rFonts w:eastAsia="Arial Unicode MS"/>
        </w:rPr>
        <w:t>u</w:t>
      </w:r>
      <w:r w:rsidRPr="00B929EA">
        <w:rPr>
          <w:rFonts w:eastAsia="Arial Unicode MS"/>
        </w:rPr>
        <w:t>al factors</w:t>
      </w:r>
      <w:r>
        <w:rPr>
          <w:rFonts w:eastAsia="Arial Unicode MS"/>
        </w:rPr>
        <w:t xml:space="preserve"> in relation to </w:t>
      </w:r>
      <w:r w:rsidRPr="00B929EA">
        <w:rPr>
          <w:rFonts w:eastAsia="Arial Unicode MS"/>
        </w:rPr>
        <w:t xml:space="preserve">the </w:t>
      </w:r>
      <w:r>
        <w:rPr>
          <w:rFonts w:eastAsia="Arial Unicode MS"/>
        </w:rPr>
        <w:t>P</w:t>
      </w:r>
      <w:r w:rsidRPr="00B929EA">
        <w:rPr>
          <w:rFonts w:eastAsia="Arial Unicode MS"/>
        </w:rPr>
        <w:t>rojec</w:t>
      </w:r>
      <w:r>
        <w:rPr>
          <w:rFonts w:eastAsia="Arial Unicode MS"/>
        </w:rPr>
        <w:t>t work plan, budget and performance framework, as well as NTP- or Project-specific implementation difficulties</w:t>
      </w:r>
      <w:r w:rsidRPr="00B929EA">
        <w:rPr>
          <w:rFonts w:eastAsia="Arial Unicode MS"/>
        </w:rPr>
        <w:t>.  Careful attention will be given to the project deliverables, assumptions, constraints</w:t>
      </w:r>
      <w:r>
        <w:rPr>
          <w:rFonts w:eastAsia="Arial Unicode MS"/>
        </w:rPr>
        <w:t xml:space="preserve"> and costs.</w:t>
      </w:r>
      <w:r w:rsidRPr="00B929EA">
        <w:rPr>
          <w:rFonts w:eastAsia="Arial Unicode MS"/>
        </w:rPr>
        <w:t xml:space="preserve">  </w:t>
      </w:r>
    </w:p>
    <w:p w:rsidR="008434CC" w:rsidRDefault="008434CC" w:rsidP="00F52C47">
      <w:pPr>
        <w:pStyle w:val="BodyText"/>
        <w:rPr>
          <w:bCs/>
        </w:rPr>
      </w:pPr>
      <w:r>
        <w:rPr>
          <w:bCs/>
        </w:rPr>
        <w:t>R</w:t>
      </w:r>
      <w:r w:rsidRPr="00902C36">
        <w:rPr>
          <w:bCs/>
        </w:rPr>
        <w:t xml:space="preserve">isks </w:t>
      </w:r>
      <w:r>
        <w:rPr>
          <w:bCs/>
        </w:rPr>
        <w:t>rated as having only “negligible” or “m</w:t>
      </w:r>
      <w:r w:rsidRPr="00902C36">
        <w:rPr>
          <w:bCs/>
        </w:rPr>
        <w:t>inor</w:t>
      </w:r>
      <w:r>
        <w:rPr>
          <w:bCs/>
        </w:rPr>
        <w:t>”</w:t>
      </w:r>
      <w:r w:rsidRPr="00902C36">
        <w:rPr>
          <w:bCs/>
        </w:rPr>
        <w:t xml:space="preserve"> </w:t>
      </w:r>
      <w:r>
        <w:rPr>
          <w:bCs/>
        </w:rPr>
        <w:t xml:space="preserve">consequences for the Project or the NTP </w:t>
      </w:r>
      <w:r w:rsidRPr="00902C36">
        <w:rPr>
          <w:bCs/>
        </w:rPr>
        <w:t xml:space="preserve">can be </w:t>
      </w:r>
      <w:r>
        <w:rPr>
          <w:bCs/>
        </w:rPr>
        <w:t xml:space="preserve">managed </w:t>
      </w:r>
      <w:r w:rsidRPr="00902C36">
        <w:rPr>
          <w:bCs/>
        </w:rPr>
        <w:t>locally</w:t>
      </w:r>
      <w:r>
        <w:rPr>
          <w:bCs/>
        </w:rPr>
        <w:t>,</w:t>
      </w:r>
      <w:r w:rsidRPr="00902C36">
        <w:rPr>
          <w:bCs/>
        </w:rPr>
        <w:t xml:space="preserve"> while all risks </w:t>
      </w:r>
      <w:r>
        <w:rPr>
          <w:bCs/>
        </w:rPr>
        <w:t>assessed as likely to have “moderate” or “</w:t>
      </w:r>
      <w:r w:rsidRPr="00902C36">
        <w:rPr>
          <w:bCs/>
        </w:rPr>
        <w:t>major</w:t>
      </w:r>
      <w:r>
        <w:rPr>
          <w:bCs/>
        </w:rPr>
        <w:t>”</w:t>
      </w:r>
      <w:r w:rsidRPr="00902C36">
        <w:rPr>
          <w:bCs/>
        </w:rPr>
        <w:t xml:space="preserve"> </w:t>
      </w:r>
      <w:r>
        <w:rPr>
          <w:bCs/>
        </w:rPr>
        <w:t xml:space="preserve">consequences will need to </w:t>
      </w:r>
      <w:r w:rsidRPr="00902C36">
        <w:rPr>
          <w:bCs/>
        </w:rPr>
        <w:t xml:space="preserve">be reported </w:t>
      </w:r>
      <w:r>
        <w:rPr>
          <w:bCs/>
        </w:rPr>
        <w:t xml:space="preserve">immediately </w:t>
      </w:r>
      <w:r w:rsidRPr="00902C36">
        <w:rPr>
          <w:bCs/>
        </w:rPr>
        <w:t xml:space="preserve">to the </w:t>
      </w:r>
      <w:r>
        <w:rPr>
          <w:bCs/>
        </w:rPr>
        <w:t>Chair of HITEC (Secretary for Health or Director of Public Health) and</w:t>
      </w:r>
      <w:r w:rsidRPr="00902C36">
        <w:rPr>
          <w:bCs/>
        </w:rPr>
        <w:t xml:space="preserve">, </w:t>
      </w:r>
      <w:r>
        <w:rPr>
          <w:bCs/>
        </w:rPr>
        <w:t xml:space="preserve">through him, to </w:t>
      </w:r>
      <w:r w:rsidRPr="00902C36">
        <w:rPr>
          <w:bCs/>
        </w:rPr>
        <w:t>SPC and AusAID.</w:t>
      </w:r>
    </w:p>
    <w:p w:rsidR="008434CC" w:rsidRPr="00AB4FA2" w:rsidRDefault="008434CC" w:rsidP="00F52C47">
      <w:pPr>
        <w:pStyle w:val="BodyText"/>
        <w:rPr>
          <w:rFonts w:eastAsia="Arial Unicode MS"/>
        </w:rPr>
      </w:pPr>
      <w:r>
        <w:t>T</w:t>
      </w:r>
      <w:r w:rsidRPr="00B929EA">
        <w:t xml:space="preserve">he </w:t>
      </w:r>
      <w:r>
        <w:t>principle for</w:t>
      </w:r>
      <w:r w:rsidRPr="00B929EA">
        <w:t xml:space="preserve"> address</w:t>
      </w:r>
      <w:r>
        <w:t>ing</w:t>
      </w:r>
      <w:r w:rsidRPr="00B929EA">
        <w:t xml:space="preserve"> </w:t>
      </w:r>
      <w:r>
        <w:t xml:space="preserve">emerging risk could be avoidance (if appropriate), mitigation, acceptance or transfer. </w:t>
      </w:r>
      <w:r w:rsidRPr="00B929EA">
        <w:t xml:space="preserve"> </w:t>
      </w:r>
    </w:p>
    <w:p w:rsidR="008434CC" w:rsidRDefault="008434CC" w:rsidP="00054FB8">
      <w:pPr>
        <w:pStyle w:val="Heading3"/>
      </w:pPr>
      <w:bookmarkStart w:id="118" w:name="_Toc331686170"/>
      <w:r>
        <w:t>10.2.2 Documentation</w:t>
      </w:r>
      <w:bookmarkEnd w:id="115"/>
      <w:bookmarkEnd w:id="118"/>
      <w:r>
        <w:t xml:space="preserve"> </w:t>
      </w:r>
    </w:p>
    <w:p w:rsidR="008434CC" w:rsidRPr="00322A31" w:rsidRDefault="008434CC" w:rsidP="000526FF">
      <w:pPr>
        <w:pStyle w:val="BodyText"/>
        <w:rPr>
          <w:rFonts w:eastAsia="Arial Unicode MS"/>
          <w:color w:val="000000"/>
        </w:rPr>
      </w:pPr>
      <w:r>
        <w:rPr>
          <w:rFonts w:eastAsia="Arial Unicode MS"/>
        </w:rPr>
        <w:t xml:space="preserve">The </w:t>
      </w:r>
      <w:r>
        <w:t>Senior Adviser’s</w:t>
      </w:r>
      <w:r w:rsidRPr="00124885">
        <w:t xml:space="preserve"> </w:t>
      </w:r>
      <w:r>
        <w:rPr>
          <w:rFonts w:eastAsia="Arial Unicode MS"/>
        </w:rPr>
        <w:t xml:space="preserve">will be responsible for documenting a </w:t>
      </w:r>
      <w:r w:rsidRPr="00B929EA">
        <w:rPr>
          <w:rFonts w:eastAsia="Arial Unicode MS"/>
        </w:rPr>
        <w:t>ri</w:t>
      </w:r>
      <w:r>
        <w:rPr>
          <w:rFonts w:eastAsia="Arial Unicode MS"/>
        </w:rPr>
        <w:t xml:space="preserve">sk management log that will become part of the quarterly progress update reports to HITEC (and therefore also the </w:t>
      </w:r>
      <w:r w:rsidRPr="00124885">
        <w:t>six</w:t>
      </w:r>
      <w:r>
        <w:t>-</w:t>
      </w:r>
      <w:r w:rsidRPr="00124885">
        <w:t>monthly</w:t>
      </w:r>
      <w:r>
        <w:t xml:space="preserve"> reports to </w:t>
      </w:r>
      <w:r w:rsidRPr="00322A31">
        <w:rPr>
          <w:color w:val="000000"/>
        </w:rPr>
        <w:t xml:space="preserve">SPC and AusAID; see Section </w:t>
      </w:r>
      <w:r>
        <w:rPr>
          <w:color w:val="000000"/>
        </w:rPr>
        <w:t>9</w:t>
      </w:r>
      <w:r w:rsidRPr="00322A31">
        <w:rPr>
          <w:color w:val="000000"/>
        </w:rPr>
        <w:t>.3.3)</w:t>
      </w:r>
      <w:r w:rsidRPr="00322A31">
        <w:rPr>
          <w:rFonts w:eastAsia="Arial Unicode MS"/>
          <w:color w:val="000000"/>
        </w:rPr>
        <w:t xml:space="preserve">. </w:t>
      </w:r>
    </w:p>
    <w:p w:rsidR="008434CC" w:rsidRDefault="008434CC" w:rsidP="00D36A04">
      <w:r w:rsidRPr="00F82303">
        <w:t>T</w:t>
      </w:r>
      <w:r>
        <w:t>wo</w:t>
      </w:r>
      <w:r w:rsidRPr="00F82303">
        <w:t xml:space="preserve"> documents </w:t>
      </w:r>
      <w:r>
        <w:t xml:space="preserve">– </w:t>
      </w:r>
      <w:r w:rsidRPr="00F82303">
        <w:t xml:space="preserve">the </w:t>
      </w:r>
      <w:r>
        <w:t xml:space="preserve">integrated </w:t>
      </w:r>
      <w:r w:rsidRPr="00F82303">
        <w:t>work</w:t>
      </w:r>
      <w:r>
        <w:t xml:space="preserve"> </w:t>
      </w:r>
      <w:r w:rsidRPr="00F82303">
        <w:t>plan</w:t>
      </w:r>
      <w:r>
        <w:t xml:space="preserve"> and</w:t>
      </w:r>
      <w:r w:rsidRPr="00F82303">
        <w:t xml:space="preserve"> budget and </w:t>
      </w:r>
      <w:r>
        <w:t xml:space="preserve">the Project </w:t>
      </w:r>
      <w:r w:rsidRPr="00F82303">
        <w:t>performance framework</w:t>
      </w:r>
      <w:r>
        <w:t xml:space="preserve"> –</w:t>
      </w:r>
      <w:r w:rsidRPr="00F82303">
        <w:t xml:space="preserve"> will aid assessment </w:t>
      </w:r>
      <w:r>
        <w:t xml:space="preserve">of </w:t>
      </w:r>
      <w:r w:rsidRPr="00F82303">
        <w:t xml:space="preserve">risk during the Project, as will the annual </w:t>
      </w:r>
      <w:r>
        <w:t xml:space="preserve">NTP </w:t>
      </w:r>
      <w:r w:rsidRPr="00F82303">
        <w:t xml:space="preserve">reports </w:t>
      </w:r>
      <w:r>
        <w:t xml:space="preserve">arising </w:t>
      </w:r>
      <w:r w:rsidRPr="00F82303">
        <w:t xml:space="preserve">from </w:t>
      </w:r>
      <w:r>
        <w:t xml:space="preserve">the annual program reviews, </w:t>
      </w:r>
      <w:r w:rsidRPr="00F82303">
        <w:t>and the independent reviews (mid- and end-of-term reviews).</w:t>
      </w:r>
      <w:r>
        <w:t xml:space="preserve"> </w:t>
      </w:r>
    </w:p>
    <w:p w:rsidR="008434CC" w:rsidRDefault="008434CC" w:rsidP="00054FB8">
      <w:pPr>
        <w:pStyle w:val="Heading3"/>
      </w:pPr>
      <w:bookmarkStart w:id="119" w:name="_Toc312105900"/>
      <w:bookmarkStart w:id="120" w:name="_Toc331686171"/>
      <w:r>
        <w:t>10.2.3</w:t>
      </w:r>
      <w:r w:rsidRPr="00AA00C4">
        <w:t xml:space="preserve"> Oversight by </w:t>
      </w:r>
      <w:bookmarkEnd w:id="119"/>
      <w:r>
        <w:t>HITEC</w:t>
      </w:r>
      <w:bookmarkEnd w:id="120"/>
    </w:p>
    <w:p w:rsidR="008434CC" w:rsidRDefault="008434CC" w:rsidP="002F7563">
      <w:r>
        <w:t>Risk assessment and management will be part of the oversight responsibilities of the expanded HITEC</w:t>
      </w:r>
      <w:r w:rsidRPr="00B929EA">
        <w:t>.</w:t>
      </w:r>
      <w:r>
        <w:t xml:space="preserve">  </w:t>
      </w:r>
    </w:p>
    <w:p w:rsidR="008434CC" w:rsidRDefault="008434CC" w:rsidP="00D36A04">
      <w:r>
        <w:t>At its quarterly meetings, HITEC will review progress with implementation of the integrated work plan and budget and relevant Project progress reports (e.g. risk assessment and management) as standing agenda items, which will be documented in meeting minutes.</w:t>
      </w:r>
    </w:p>
    <w:p w:rsidR="008434CC" w:rsidRDefault="008434CC" w:rsidP="00D36A04">
      <w:r>
        <w:t xml:space="preserve">If required, HITEC can convene an out-of-session meeting to discuss significant developments or problems and to develop a plan to deal with them (including any budgetary implications. </w:t>
      </w:r>
    </w:p>
    <w:p w:rsidR="008434CC" w:rsidRPr="00B929EA" w:rsidRDefault="008434CC" w:rsidP="00D36A04"/>
    <w:p w:rsidR="008434CC" w:rsidRDefault="008434CC" w:rsidP="00665C49"/>
    <w:p w:rsidR="008434CC" w:rsidRDefault="008434CC" w:rsidP="00665C49">
      <w:pPr>
        <w:sectPr w:rsidR="008434CC" w:rsidSect="00F15C93">
          <w:pgSz w:w="11906" w:h="16838"/>
          <w:pgMar w:top="1440" w:right="1440" w:bottom="1440" w:left="1440" w:header="708" w:footer="708" w:gutter="0"/>
          <w:pgNumType w:start="1"/>
          <w:cols w:space="708"/>
          <w:docGrid w:linePitch="360"/>
        </w:sectPr>
      </w:pPr>
    </w:p>
    <w:p w:rsidR="008434CC" w:rsidRDefault="008434CC" w:rsidP="004A1669">
      <w:pPr>
        <w:pStyle w:val="Heading1"/>
      </w:pPr>
      <w:bookmarkStart w:id="121" w:name="_Toc331686172"/>
      <w:r w:rsidRPr="00B77F07">
        <w:lastRenderedPageBreak/>
        <w:t xml:space="preserve">Appendix </w:t>
      </w:r>
      <w:r>
        <w:t>1 –</w:t>
      </w:r>
      <w:r w:rsidRPr="00B77F07">
        <w:t xml:space="preserve"> Project</w:t>
      </w:r>
      <w:r>
        <w:t xml:space="preserve"> B</w:t>
      </w:r>
      <w:r w:rsidRPr="00B77F07">
        <w:t>udget</w:t>
      </w:r>
      <w:bookmarkEnd w:id="121"/>
      <w:r>
        <w:t xml:space="preserve"> (see separate Excel file) </w:t>
      </w:r>
    </w:p>
    <w:p w:rsidR="008434CC" w:rsidRPr="00B77F07" w:rsidRDefault="008434CC" w:rsidP="00004025">
      <w:pPr>
        <w:rPr>
          <w:b/>
        </w:rPr>
      </w:pPr>
    </w:p>
    <w:p w:rsidR="008434CC" w:rsidRDefault="008434CC" w:rsidP="00004025"/>
    <w:p w:rsidR="008434CC" w:rsidRDefault="008434CC">
      <w:pPr>
        <w:spacing w:before="0" w:after="200"/>
        <w:rPr>
          <w:rStyle w:val="Heading1Char"/>
          <w:sz w:val="32"/>
        </w:rPr>
      </w:pPr>
      <w:r>
        <w:rPr>
          <w:rStyle w:val="Heading1Char"/>
          <w:sz w:val="32"/>
        </w:rPr>
        <w:br w:type="page"/>
      </w:r>
    </w:p>
    <w:p w:rsidR="008434CC" w:rsidRDefault="008434CC" w:rsidP="00F30398">
      <w:pPr>
        <w:spacing w:before="0"/>
      </w:pPr>
      <w:bookmarkStart w:id="122" w:name="_Toc331686173"/>
      <w:r w:rsidRPr="00816671">
        <w:rPr>
          <w:rStyle w:val="Heading1Char"/>
          <w:sz w:val="32"/>
        </w:rPr>
        <w:t xml:space="preserve">Appendix </w:t>
      </w:r>
      <w:r>
        <w:rPr>
          <w:rStyle w:val="Heading1Char"/>
          <w:sz w:val="32"/>
        </w:rPr>
        <w:t>2 –</w:t>
      </w:r>
      <w:r w:rsidRPr="00816671">
        <w:rPr>
          <w:rStyle w:val="Heading1Char"/>
          <w:sz w:val="32"/>
        </w:rPr>
        <w:t xml:space="preserve"> Performance Framework</w:t>
      </w:r>
      <w:bookmarkEnd w:id="122"/>
      <w:r w:rsidRPr="00F30398">
        <w:rPr>
          <w:rStyle w:val="Heading1Char"/>
          <w:sz w:val="32"/>
        </w:rPr>
        <w:t xml:space="preserve"> (see separate Excel file)</w:t>
      </w:r>
      <w:r>
        <w:t xml:space="preserve"> </w:t>
      </w:r>
    </w:p>
    <w:p w:rsidR="008434CC" w:rsidRDefault="008434CC" w:rsidP="00F30398">
      <w:pPr>
        <w:spacing w:before="0"/>
      </w:pPr>
    </w:p>
    <w:p w:rsidR="008434CC" w:rsidRDefault="008434CC" w:rsidP="00F30398">
      <w:pPr>
        <w:spacing w:before="0"/>
      </w:pPr>
      <w:r w:rsidRPr="00596540">
        <w:rPr>
          <w:b/>
        </w:rPr>
        <w:t>Note</w:t>
      </w:r>
      <w:r>
        <w:t xml:space="preserve">: Targets for the core NTP indicators have been developed and approved by MHMS. </w:t>
      </w:r>
    </w:p>
    <w:p w:rsidR="008434CC" w:rsidRDefault="008434CC" w:rsidP="00665C49"/>
    <w:p w:rsidR="008434CC" w:rsidRDefault="008434CC" w:rsidP="00665C49"/>
    <w:p w:rsidR="008434CC" w:rsidRDefault="008434CC" w:rsidP="00665C49"/>
    <w:p w:rsidR="008434CC" w:rsidRDefault="008434CC" w:rsidP="00665C49"/>
    <w:p w:rsidR="008434CC" w:rsidRDefault="008434CC" w:rsidP="00665C49"/>
    <w:p w:rsidR="008434CC" w:rsidRDefault="008434CC" w:rsidP="00665C49"/>
    <w:p w:rsidR="008434CC" w:rsidRDefault="008434CC">
      <w:pPr>
        <w:spacing w:before="0" w:after="200"/>
      </w:pPr>
      <w:r>
        <w:br w:type="page"/>
      </w:r>
    </w:p>
    <w:p w:rsidR="008434CC" w:rsidRDefault="008434CC" w:rsidP="004A1669">
      <w:pPr>
        <w:pStyle w:val="Heading1"/>
      </w:pPr>
      <w:bookmarkStart w:id="123" w:name="_Toc307314472"/>
      <w:bookmarkStart w:id="124" w:name="_Toc331686174"/>
      <w:r>
        <w:t>Appendix 3 – Risk Analysis and Risk Management Plan</w:t>
      </w:r>
      <w:bookmarkEnd w:id="123"/>
      <w:bookmarkEnd w:id="124"/>
    </w:p>
    <w:tbl>
      <w:tblPr>
        <w:tblW w:w="14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6"/>
        <w:gridCol w:w="1587"/>
        <w:gridCol w:w="2494"/>
        <w:gridCol w:w="1587"/>
        <w:gridCol w:w="3288"/>
        <w:gridCol w:w="1587"/>
        <w:gridCol w:w="1587"/>
      </w:tblGrid>
      <w:tr w:rsidR="008434CC" w:rsidRPr="004672B0" w:rsidTr="004672B0">
        <w:trPr>
          <w:tblHeader/>
        </w:trPr>
        <w:tc>
          <w:tcPr>
            <w:tcW w:w="2236" w:type="dxa"/>
            <w:shd w:val="clear" w:color="auto" w:fill="F2F2F2"/>
            <w:vAlign w:val="center"/>
          </w:tcPr>
          <w:p w:rsidR="008434CC" w:rsidRPr="004672B0" w:rsidRDefault="008434CC" w:rsidP="004672B0">
            <w:pPr>
              <w:spacing w:before="60" w:after="60" w:line="240" w:lineRule="auto"/>
              <w:jc w:val="center"/>
              <w:rPr>
                <w:rFonts w:ascii="Arial" w:hAnsi="Arial" w:cs="Arial"/>
                <w:b/>
                <w:sz w:val="20"/>
                <w:szCs w:val="20"/>
              </w:rPr>
            </w:pPr>
            <w:r w:rsidRPr="004672B0">
              <w:rPr>
                <w:rFonts w:ascii="Arial" w:hAnsi="Arial" w:cs="Arial"/>
                <w:b/>
                <w:sz w:val="20"/>
                <w:szCs w:val="20"/>
              </w:rPr>
              <w:t>Source of Risk</w:t>
            </w:r>
          </w:p>
        </w:tc>
        <w:tc>
          <w:tcPr>
            <w:tcW w:w="1587" w:type="dxa"/>
            <w:shd w:val="clear" w:color="auto" w:fill="F2F2F2"/>
            <w:vAlign w:val="center"/>
          </w:tcPr>
          <w:p w:rsidR="008434CC" w:rsidRPr="004672B0" w:rsidRDefault="008434CC" w:rsidP="004672B0">
            <w:pPr>
              <w:spacing w:before="60" w:after="60" w:line="240" w:lineRule="auto"/>
              <w:jc w:val="center"/>
              <w:rPr>
                <w:rFonts w:ascii="Arial" w:hAnsi="Arial" w:cs="Arial"/>
                <w:b/>
                <w:sz w:val="20"/>
                <w:szCs w:val="20"/>
              </w:rPr>
            </w:pPr>
            <w:r w:rsidRPr="004672B0">
              <w:rPr>
                <w:rFonts w:ascii="Arial" w:hAnsi="Arial" w:cs="Arial"/>
                <w:b/>
                <w:sz w:val="20"/>
                <w:szCs w:val="20"/>
              </w:rPr>
              <w:t>Likelihood</w:t>
            </w:r>
          </w:p>
        </w:tc>
        <w:tc>
          <w:tcPr>
            <w:tcW w:w="2494" w:type="dxa"/>
            <w:shd w:val="clear" w:color="auto" w:fill="F2F2F2"/>
            <w:vAlign w:val="center"/>
          </w:tcPr>
          <w:p w:rsidR="008434CC" w:rsidRPr="004672B0" w:rsidRDefault="008434CC" w:rsidP="004672B0">
            <w:pPr>
              <w:spacing w:before="60" w:after="60" w:line="240" w:lineRule="auto"/>
              <w:jc w:val="center"/>
              <w:rPr>
                <w:rFonts w:ascii="Arial" w:hAnsi="Arial" w:cs="Arial"/>
                <w:b/>
                <w:sz w:val="20"/>
                <w:szCs w:val="20"/>
              </w:rPr>
            </w:pPr>
            <w:r w:rsidRPr="004672B0">
              <w:rPr>
                <w:rFonts w:ascii="Arial" w:hAnsi="Arial" w:cs="Arial"/>
                <w:b/>
                <w:sz w:val="20"/>
                <w:szCs w:val="20"/>
              </w:rPr>
              <w:t xml:space="preserve">Consequences </w:t>
            </w:r>
            <w:r w:rsidRPr="004672B0">
              <w:rPr>
                <w:rFonts w:ascii="Arial" w:hAnsi="Arial" w:cs="Arial"/>
                <w:b/>
                <w:sz w:val="20"/>
                <w:szCs w:val="20"/>
              </w:rPr>
              <w:br/>
              <w:t>(Impact on Project)</w:t>
            </w:r>
          </w:p>
        </w:tc>
        <w:tc>
          <w:tcPr>
            <w:tcW w:w="1587" w:type="dxa"/>
            <w:shd w:val="clear" w:color="auto" w:fill="F2F2F2"/>
            <w:vAlign w:val="center"/>
          </w:tcPr>
          <w:p w:rsidR="008434CC" w:rsidRPr="004672B0" w:rsidRDefault="008434CC" w:rsidP="004672B0">
            <w:pPr>
              <w:spacing w:before="60" w:after="60" w:line="240" w:lineRule="auto"/>
              <w:jc w:val="center"/>
              <w:rPr>
                <w:rFonts w:ascii="Arial" w:hAnsi="Arial" w:cs="Arial"/>
                <w:b/>
                <w:sz w:val="20"/>
                <w:szCs w:val="20"/>
              </w:rPr>
            </w:pPr>
            <w:r w:rsidRPr="004672B0">
              <w:rPr>
                <w:rFonts w:ascii="Arial" w:hAnsi="Arial" w:cs="Arial"/>
                <w:b/>
                <w:sz w:val="20"/>
                <w:szCs w:val="20"/>
              </w:rPr>
              <w:t>Risk Assessment</w:t>
            </w:r>
          </w:p>
        </w:tc>
        <w:tc>
          <w:tcPr>
            <w:tcW w:w="3288" w:type="dxa"/>
            <w:shd w:val="clear" w:color="auto" w:fill="F2F2F2"/>
            <w:vAlign w:val="center"/>
          </w:tcPr>
          <w:p w:rsidR="008434CC" w:rsidRPr="004672B0" w:rsidRDefault="008434CC" w:rsidP="004672B0">
            <w:pPr>
              <w:spacing w:before="60" w:after="60" w:line="240" w:lineRule="auto"/>
              <w:jc w:val="center"/>
              <w:rPr>
                <w:rFonts w:ascii="Arial" w:hAnsi="Arial" w:cs="Arial"/>
                <w:b/>
                <w:sz w:val="20"/>
                <w:szCs w:val="20"/>
              </w:rPr>
            </w:pPr>
            <w:r w:rsidRPr="004672B0">
              <w:rPr>
                <w:rFonts w:ascii="Arial" w:hAnsi="Arial" w:cs="Arial"/>
                <w:b/>
                <w:sz w:val="20"/>
                <w:szCs w:val="20"/>
              </w:rPr>
              <w:t>Risk Mitigation Strategy</w:t>
            </w:r>
          </w:p>
        </w:tc>
        <w:tc>
          <w:tcPr>
            <w:tcW w:w="1587" w:type="dxa"/>
            <w:shd w:val="clear" w:color="auto" w:fill="F2F2F2"/>
            <w:vAlign w:val="center"/>
          </w:tcPr>
          <w:p w:rsidR="008434CC" w:rsidRPr="004672B0" w:rsidRDefault="008434CC" w:rsidP="004672B0">
            <w:pPr>
              <w:spacing w:before="60" w:after="60" w:line="240" w:lineRule="auto"/>
              <w:jc w:val="center"/>
              <w:rPr>
                <w:rFonts w:ascii="Arial" w:hAnsi="Arial" w:cs="Arial"/>
                <w:b/>
                <w:sz w:val="20"/>
                <w:szCs w:val="20"/>
              </w:rPr>
            </w:pPr>
            <w:r w:rsidRPr="004672B0">
              <w:rPr>
                <w:rFonts w:ascii="Arial" w:hAnsi="Arial" w:cs="Arial"/>
                <w:b/>
                <w:sz w:val="20"/>
                <w:szCs w:val="20"/>
              </w:rPr>
              <w:t>Responsibility</w:t>
            </w:r>
          </w:p>
        </w:tc>
        <w:tc>
          <w:tcPr>
            <w:tcW w:w="1587" w:type="dxa"/>
            <w:shd w:val="clear" w:color="auto" w:fill="F2F2F2"/>
            <w:vAlign w:val="center"/>
          </w:tcPr>
          <w:p w:rsidR="008434CC" w:rsidRPr="004672B0" w:rsidRDefault="008434CC" w:rsidP="004672B0">
            <w:pPr>
              <w:spacing w:before="60" w:after="60" w:line="240" w:lineRule="auto"/>
              <w:jc w:val="center"/>
              <w:rPr>
                <w:rFonts w:ascii="Arial" w:hAnsi="Arial" w:cs="Arial"/>
                <w:b/>
                <w:sz w:val="20"/>
                <w:szCs w:val="20"/>
              </w:rPr>
            </w:pPr>
            <w:r w:rsidRPr="004672B0">
              <w:rPr>
                <w:rFonts w:ascii="Arial" w:hAnsi="Arial" w:cs="Arial"/>
                <w:b/>
                <w:sz w:val="20"/>
                <w:szCs w:val="20"/>
              </w:rPr>
              <w:t>Timing</w:t>
            </w:r>
          </w:p>
        </w:tc>
      </w:tr>
      <w:tr w:rsidR="008434CC" w:rsidRPr="004672B0" w:rsidTr="004672B0">
        <w:tc>
          <w:tcPr>
            <w:tcW w:w="14366" w:type="dxa"/>
            <w:gridSpan w:val="7"/>
            <w:shd w:val="clear" w:color="auto" w:fill="B8CCE4"/>
          </w:tcPr>
          <w:p w:rsidR="008434CC" w:rsidRPr="004672B0" w:rsidRDefault="008434CC" w:rsidP="004672B0">
            <w:pPr>
              <w:spacing w:before="40" w:after="40" w:line="240" w:lineRule="auto"/>
              <w:rPr>
                <w:rFonts w:ascii="Arial" w:hAnsi="Arial" w:cs="Arial"/>
                <w:sz w:val="20"/>
                <w:szCs w:val="20"/>
              </w:rPr>
            </w:pPr>
            <w:r w:rsidRPr="004672B0">
              <w:rPr>
                <w:rFonts w:cs="Calibri"/>
                <w:b/>
              </w:rPr>
              <w:t>1. Risks related to Project Design and MHMS / NTP Policy and Planning</w:t>
            </w:r>
          </w:p>
        </w:tc>
      </w:tr>
      <w:tr w:rsidR="008434CC" w:rsidRPr="004672B0" w:rsidTr="004672B0">
        <w:tc>
          <w:tcPr>
            <w:tcW w:w="2236" w:type="dxa"/>
          </w:tcPr>
          <w:p w:rsidR="008434CC" w:rsidRPr="004672B0" w:rsidRDefault="008434CC" w:rsidP="004672B0">
            <w:pPr>
              <w:spacing w:before="40" w:after="40" w:line="240" w:lineRule="auto"/>
              <w:rPr>
                <w:i/>
                <w:sz w:val="18"/>
                <w:szCs w:val="18"/>
              </w:rPr>
            </w:pPr>
            <w:r w:rsidRPr="004672B0">
              <w:rPr>
                <w:sz w:val="18"/>
                <w:szCs w:val="18"/>
              </w:rPr>
              <w:t xml:space="preserve">1.1 Delayed endorsement and/or major changes to </w:t>
            </w:r>
            <w:r w:rsidRPr="004672B0">
              <w:rPr>
                <w:i/>
                <w:sz w:val="18"/>
                <w:szCs w:val="18"/>
              </w:rPr>
              <w:t xml:space="preserve">National Tuberculosis Strategic Plan </w:t>
            </w:r>
            <w:r w:rsidRPr="004672B0">
              <w:rPr>
                <w:sz w:val="18"/>
                <w:szCs w:val="18"/>
              </w:rPr>
              <w:t xml:space="preserve">and/or </w:t>
            </w:r>
            <w:r w:rsidRPr="004672B0">
              <w:rPr>
                <w:i/>
                <w:sz w:val="18"/>
                <w:szCs w:val="18"/>
              </w:rPr>
              <w:t>National Health Strategic Plan</w:t>
            </w:r>
          </w:p>
        </w:tc>
        <w:tc>
          <w:tcPr>
            <w:tcW w:w="1587" w:type="dxa"/>
          </w:tcPr>
          <w:p w:rsidR="008434CC" w:rsidRPr="004672B0" w:rsidRDefault="008434CC" w:rsidP="004672B0">
            <w:pPr>
              <w:spacing w:before="40" w:after="40" w:line="240" w:lineRule="auto"/>
              <w:rPr>
                <w:sz w:val="18"/>
                <w:szCs w:val="18"/>
              </w:rPr>
            </w:pPr>
            <w:r w:rsidRPr="004672B0">
              <w:rPr>
                <w:color w:val="000000"/>
                <w:sz w:val="18"/>
                <w:szCs w:val="18"/>
              </w:rPr>
              <w:t xml:space="preserve">Unlikely </w:t>
            </w:r>
          </w:p>
        </w:tc>
        <w:tc>
          <w:tcPr>
            <w:tcW w:w="2494" w:type="dxa"/>
          </w:tcPr>
          <w:p w:rsidR="008434CC" w:rsidRPr="004672B0" w:rsidRDefault="008434CC" w:rsidP="004672B0">
            <w:pPr>
              <w:spacing w:before="40" w:after="40" w:line="240" w:lineRule="auto"/>
              <w:rPr>
                <w:sz w:val="18"/>
                <w:szCs w:val="18"/>
              </w:rPr>
            </w:pPr>
            <w:r w:rsidRPr="004672B0">
              <w:rPr>
                <w:color w:val="000000"/>
                <w:sz w:val="18"/>
                <w:szCs w:val="18"/>
              </w:rPr>
              <w:t>Negligible</w:t>
            </w:r>
            <w:r w:rsidRPr="004672B0">
              <w:rPr>
                <w:sz w:val="18"/>
                <w:szCs w:val="18"/>
              </w:rPr>
              <w:t xml:space="preserve"> – NTP Strategic Plan is well aligned with WHO Regional Strategy, and applies evidence based, common sense strategies to continued pressure on the TB epidemic in Kiribati; the Project design is also well aligned with these principles and strategies.  Delayed endorsement of the Kiribati health and TB </w:t>
            </w:r>
            <w:r w:rsidRPr="004672B0">
              <w:rPr>
                <w:i/>
                <w:sz w:val="18"/>
                <w:szCs w:val="18"/>
              </w:rPr>
              <w:t>Strategies</w:t>
            </w:r>
            <w:r w:rsidRPr="004672B0">
              <w:rPr>
                <w:sz w:val="18"/>
                <w:szCs w:val="18"/>
              </w:rPr>
              <w:t xml:space="preserve"> will not delay release of either MHMS or Project resources.</w:t>
            </w:r>
          </w:p>
        </w:tc>
        <w:tc>
          <w:tcPr>
            <w:tcW w:w="1587" w:type="dxa"/>
            <w:shd w:val="clear" w:color="auto" w:fill="92D050"/>
          </w:tcPr>
          <w:p w:rsidR="008434CC" w:rsidRPr="004672B0" w:rsidRDefault="008434CC" w:rsidP="004672B0">
            <w:pPr>
              <w:spacing w:before="40" w:after="40" w:line="240" w:lineRule="auto"/>
              <w:jc w:val="center"/>
              <w:rPr>
                <w:b/>
                <w:sz w:val="20"/>
                <w:szCs w:val="20"/>
              </w:rPr>
            </w:pPr>
            <w:r w:rsidRPr="004672B0">
              <w:rPr>
                <w:b/>
                <w:sz w:val="20"/>
                <w:szCs w:val="20"/>
              </w:rPr>
              <w:t>Low</w:t>
            </w:r>
          </w:p>
        </w:tc>
        <w:tc>
          <w:tcPr>
            <w:tcW w:w="3288" w:type="dxa"/>
          </w:tcPr>
          <w:p w:rsidR="008434CC" w:rsidRPr="004672B0" w:rsidRDefault="008434CC" w:rsidP="004672B0">
            <w:pPr>
              <w:spacing w:before="40" w:after="40" w:line="240" w:lineRule="auto"/>
              <w:rPr>
                <w:sz w:val="18"/>
                <w:szCs w:val="18"/>
              </w:rPr>
            </w:pPr>
            <w:r w:rsidRPr="004672B0">
              <w:rPr>
                <w:sz w:val="18"/>
                <w:szCs w:val="18"/>
              </w:rPr>
              <w:t xml:space="preserve">Continued dialogue between SPC and NTP during 2012 regarding finalisation and endorsement of national TB and health </w:t>
            </w:r>
            <w:r w:rsidRPr="004672B0">
              <w:rPr>
                <w:i/>
                <w:sz w:val="18"/>
                <w:szCs w:val="18"/>
              </w:rPr>
              <w:t>Strategic Plans</w:t>
            </w:r>
            <w:r w:rsidRPr="004672B0">
              <w:rPr>
                <w:sz w:val="18"/>
                <w:szCs w:val="18"/>
              </w:rPr>
              <w:t xml:space="preserve">.  Inclusion of NTP on agenda of health sector coordination group will provide opportunity for regular high level dialogue among partners on identified priorities within NHSSP; official endorsement of NTP </w:t>
            </w:r>
            <w:r w:rsidRPr="004672B0">
              <w:rPr>
                <w:i/>
                <w:sz w:val="18"/>
                <w:szCs w:val="18"/>
              </w:rPr>
              <w:t>Strategic Plan</w:t>
            </w:r>
            <w:r w:rsidRPr="004672B0">
              <w:rPr>
                <w:sz w:val="18"/>
                <w:szCs w:val="18"/>
              </w:rPr>
              <w:t>, advocacy to other partners, and maintaining dialogue with MHMS on a regular basis</w:t>
            </w:r>
          </w:p>
        </w:tc>
        <w:tc>
          <w:tcPr>
            <w:tcW w:w="1587" w:type="dxa"/>
          </w:tcPr>
          <w:p w:rsidR="008434CC" w:rsidRPr="004672B0" w:rsidRDefault="008434CC" w:rsidP="004672B0">
            <w:pPr>
              <w:spacing w:before="40" w:after="40" w:line="240" w:lineRule="auto"/>
              <w:rPr>
                <w:sz w:val="18"/>
                <w:szCs w:val="18"/>
              </w:rPr>
            </w:pPr>
            <w:r w:rsidRPr="004672B0">
              <w:rPr>
                <w:sz w:val="18"/>
                <w:szCs w:val="18"/>
              </w:rPr>
              <w:t>MHMS, SPC (Senior Adviser), with some periodic assistance as necessary from AusAID Tarawa</w:t>
            </w:r>
          </w:p>
        </w:tc>
        <w:tc>
          <w:tcPr>
            <w:tcW w:w="1587" w:type="dxa"/>
          </w:tcPr>
          <w:p w:rsidR="008434CC" w:rsidRPr="004672B0" w:rsidRDefault="008434CC" w:rsidP="004672B0">
            <w:pPr>
              <w:spacing w:before="40" w:after="40" w:line="240" w:lineRule="auto"/>
              <w:rPr>
                <w:sz w:val="18"/>
                <w:szCs w:val="18"/>
              </w:rPr>
            </w:pPr>
            <w:r w:rsidRPr="004672B0">
              <w:rPr>
                <w:sz w:val="18"/>
                <w:szCs w:val="18"/>
              </w:rPr>
              <w:t>Continuous (but especially during final months of QTBECP and the 3-month Transition Phase, and during bi-monthly health sector coordination meetings).  Possibility also to address during annual high level consultations between Government of Australia and GOK)</w:t>
            </w:r>
          </w:p>
        </w:tc>
      </w:tr>
      <w:tr w:rsidR="008434CC" w:rsidRPr="004672B0" w:rsidTr="004672B0">
        <w:tc>
          <w:tcPr>
            <w:tcW w:w="2236" w:type="dxa"/>
          </w:tcPr>
          <w:p w:rsidR="008434CC" w:rsidRPr="004672B0" w:rsidRDefault="008434CC" w:rsidP="004672B0">
            <w:pPr>
              <w:spacing w:before="40" w:after="40" w:line="240" w:lineRule="auto"/>
              <w:rPr>
                <w:rFonts w:cs="Calibri"/>
                <w:sz w:val="18"/>
                <w:szCs w:val="18"/>
              </w:rPr>
            </w:pPr>
            <w:r w:rsidRPr="004672B0">
              <w:rPr>
                <w:sz w:val="18"/>
                <w:szCs w:val="18"/>
              </w:rPr>
              <w:t>1.2 Distortionary effect of having additional resources human and performance-based incentives) available for NTP and related care, resulting in under-emphasis of PHC within overall health program</w:t>
            </w:r>
          </w:p>
        </w:tc>
        <w:tc>
          <w:tcPr>
            <w:tcW w:w="1587" w:type="dxa"/>
          </w:tcPr>
          <w:p w:rsidR="008434CC" w:rsidRPr="004672B0" w:rsidRDefault="008434CC" w:rsidP="004672B0">
            <w:pPr>
              <w:spacing w:before="40" w:after="40" w:line="240" w:lineRule="auto"/>
              <w:rPr>
                <w:rFonts w:cs="Calibri"/>
                <w:sz w:val="18"/>
                <w:szCs w:val="18"/>
              </w:rPr>
            </w:pPr>
            <w:r w:rsidRPr="004672B0">
              <w:rPr>
                <w:color w:val="000000"/>
                <w:sz w:val="18"/>
                <w:szCs w:val="18"/>
              </w:rPr>
              <w:t>Unlikely</w:t>
            </w:r>
          </w:p>
        </w:tc>
        <w:tc>
          <w:tcPr>
            <w:tcW w:w="2494" w:type="dxa"/>
          </w:tcPr>
          <w:p w:rsidR="008434CC" w:rsidRPr="004672B0" w:rsidRDefault="008434CC" w:rsidP="004672B0">
            <w:pPr>
              <w:spacing w:before="40" w:after="40" w:line="240" w:lineRule="auto"/>
              <w:rPr>
                <w:color w:val="000000"/>
                <w:sz w:val="18"/>
                <w:szCs w:val="18"/>
              </w:rPr>
            </w:pPr>
            <w:r w:rsidRPr="004672B0">
              <w:rPr>
                <w:color w:val="000000"/>
                <w:sz w:val="18"/>
                <w:szCs w:val="18"/>
              </w:rPr>
              <w:t xml:space="preserve">Minor impact on the project and the NTP, which are focused on TB control and elimination.  Project also seeks to support and strengthen PHC services by integrating NTP activities with broader PHC system, via PHNs.  (However, the consequences for balance in overall health sector may be </w:t>
            </w:r>
            <w:r w:rsidRPr="004672B0">
              <w:rPr>
                <w:color w:val="000000"/>
                <w:sz w:val="18"/>
                <w:szCs w:val="18"/>
              </w:rPr>
              <w:lastRenderedPageBreak/>
              <w:t>more significant).</w:t>
            </w:r>
          </w:p>
        </w:tc>
        <w:tc>
          <w:tcPr>
            <w:tcW w:w="1587" w:type="dxa"/>
            <w:shd w:val="clear" w:color="auto" w:fill="92D050"/>
          </w:tcPr>
          <w:p w:rsidR="008434CC" w:rsidRPr="004672B0" w:rsidRDefault="008434CC" w:rsidP="004672B0">
            <w:pPr>
              <w:spacing w:before="40" w:after="40" w:line="240" w:lineRule="auto"/>
              <w:jc w:val="center"/>
              <w:rPr>
                <w:b/>
                <w:sz w:val="20"/>
                <w:szCs w:val="20"/>
              </w:rPr>
            </w:pPr>
            <w:r w:rsidRPr="004672B0">
              <w:rPr>
                <w:b/>
                <w:sz w:val="20"/>
                <w:szCs w:val="20"/>
              </w:rPr>
              <w:lastRenderedPageBreak/>
              <w:t>Low</w:t>
            </w:r>
          </w:p>
        </w:tc>
        <w:tc>
          <w:tcPr>
            <w:tcW w:w="3288" w:type="dxa"/>
          </w:tcPr>
          <w:p w:rsidR="008434CC" w:rsidRPr="004672B0" w:rsidRDefault="008434CC" w:rsidP="004672B0">
            <w:pPr>
              <w:spacing w:before="40" w:after="40" w:line="240" w:lineRule="auto"/>
              <w:rPr>
                <w:color w:val="000000"/>
                <w:sz w:val="18"/>
                <w:szCs w:val="18"/>
              </w:rPr>
            </w:pPr>
            <w:r w:rsidRPr="004672B0">
              <w:rPr>
                <w:color w:val="000000"/>
                <w:sz w:val="18"/>
                <w:szCs w:val="18"/>
              </w:rPr>
              <w:t xml:space="preserve">The program will use its NTP-linked governance processes to monitor any possible detrimental effect of its more specialised services support relative to overall PHC, including through regular NTP coordination meetings, HITEC and, at the higher analytic level, the annual program review.  Operational research on active case finding network may also be able to examine impact on community </w:t>
            </w:r>
            <w:r w:rsidRPr="004672B0">
              <w:rPr>
                <w:color w:val="000000"/>
                <w:sz w:val="18"/>
                <w:szCs w:val="18"/>
              </w:rPr>
              <w:lastRenderedPageBreak/>
              <w:t xml:space="preserve">workers’ time and activities. </w:t>
            </w:r>
          </w:p>
        </w:tc>
        <w:tc>
          <w:tcPr>
            <w:tcW w:w="1587" w:type="dxa"/>
          </w:tcPr>
          <w:p w:rsidR="008434CC" w:rsidRPr="004672B0" w:rsidRDefault="008434CC" w:rsidP="004672B0">
            <w:pPr>
              <w:spacing w:before="40" w:after="40" w:line="240" w:lineRule="auto"/>
              <w:rPr>
                <w:sz w:val="18"/>
                <w:szCs w:val="18"/>
              </w:rPr>
            </w:pPr>
            <w:r w:rsidRPr="004672B0">
              <w:rPr>
                <w:sz w:val="18"/>
                <w:szCs w:val="18"/>
              </w:rPr>
              <w:lastRenderedPageBreak/>
              <w:t>NTP, MHMS, SPC (Program Coordinator), Senior Adviser)</w:t>
            </w:r>
          </w:p>
        </w:tc>
        <w:tc>
          <w:tcPr>
            <w:tcW w:w="1587" w:type="dxa"/>
          </w:tcPr>
          <w:p w:rsidR="008434CC" w:rsidRPr="004672B0" w:rsidRDefault="008434CC" w:rsidP="004672B0">
            <w:pPr>
              <w:spacing w:before="40" w:after="40" w:line="240" w:lineRule="auto"/>
              <w:rPr>
                <w:sz w:val="18"/>
                <w:szCs w:val="18"/>
              </w:rPr>
            </w:pPr>
            <w:r w:rsidRPr="004672B0">
              <w:rPr>
                <w:sz w:val="18"/>
                <w:szCs w:val="18"/>
              </w:rPr>
              <w:t xml:space="preserve">Continuous (but especially during HITEC and program review meetings); to be analysed and  documented by Senior Program Adviser in periodic risk management </w:t>
            </w:r>
            <w:r w:rsidRPr="004672B0">
              <w:rPr>
                <w:sz w:val="18"/>
                <w:szCs w:val="18"/>
              </w:rPr>
              <w:lastRenderedPageBreak/>
              <w:t>reports</w:t>
            </w:r>
          </w:p>
        </w:tc>
      </w:tr>
      <w:tr w:rsidR="008434CC" w:rsidRPr="004672B0" w:rsidTr="004672B0">
        <w:tc>
          <w:tcPr>
            <w:tcW w:w="2236" w:type="dxa"/>
          </w:tcPr>
          <w:p w:rsidR="008434CC" w:rsidRPr="004672B0" w:rsidRDefault="008434CC" w:rsidP="004672B0">
            <w:pPr>
              <w:keepNext/>
              <w:spacing w:before="40" w:after="40" w:line="240" w:lineRule="auto"/>
              <w:rPr>
                <w:sz w:val="18"/>
                <w:szCs w:val="18"/>
              </w:rPr>
            </w:pPr>
            <w:r w:rsidRPr="004672B0">
              <w:rPr>
                <w:sz w:val="18"/>
                <w:szCs w:val="18"/>
              </w:rPr>
              <w:lastRenderedPageBreak/>
              <w:t xml:space="preserve">1.3 Failure of procurement and supply management of first line TB drugs, resulting in actual or imminent stock-outs </w:t>
            </w:r>
          </w:p>
        </w:tc>
        <w:tc>
          <w:tcPr>
            <w:tcW w:w="1587" w:type="dxa"/>
          </w:tcPr>
          <w:p w:rsidR="008434CC" w:rsidRPr="004672B0" w:rsidRDefault="008434CC" w:rsidP="004672B0">
            <w:pPr>
              <w:keepNext/>
              <w:spacing w:before="40" w:after="40" w:line="240" w:lineRule="auto"/>
              <w:rPr>
                <w:sz w:val="18"/>
                <w:szCs w:val="18"/>
              </w:rPr>
            </w:pPr>
            <w:r w:rsidRPr="004672B0">
              <w:rPr>
                <w:sz w:val="18"/>
                <w:szCs w:val="18"/>
              </w:rPr>
              <w:t>Possible</w:t>
            </w:r>
          </w:p>
        </w:tc>
        <w:tc>
          <w:tcPr>
            <w:tcW w:w="2494" w:type="dxa"/>
          </w:tcPr>
          <w:p w:rsidR="008434CC" w:rsidRPr="004672B0" w:rsidRDefault="008434CC" w:rsidP="004672B0">
            <w:pPr>
              <w:keepNext/>
              <w:spacing w:before="40" w:after="40" w:line="240" w:lineRule="auto"/>
              <w:rPr>
                <w:sz w:val="18"/>
                <w:szCs w:val="18"/>
              </w:rPr>
            </w:pPr>
            <w:r w:rsidRPr="004672B0">
              <w:rPr>
                <w:sz w:val="18"/>
                <w:szCs w:val="18"/>
              </w:rPr>
              <w:t>Major – Would force NTP and possibly its partners to divert MHMS, Project and other resources to expensive, cost-inefficient, emergency procurement</w:t>
            </w:r>
          </w:p>
        </w:tc>
        <w:tc>
          <w:tcPr>
            <w:tcW w:w="1587" w:type="dxa"/>
            <w:shd w:val="clear" w:color="auto" w:fill="FFC000"/>
          </w:tcPr>
          <w:p w:rsidR="008434CC" w:rsidRPr="004672B0" w:rsidRDefault="008434CC" w:rsidP="004672B0">
            <w:pPr>
              <w:keepNext/>
              <w:spacing w:before="40" w:after="40" w:line="240" w:lineRule="auto"/>
              <w:jc w:val="center"/>
              <w:rPr>
                <w:b/>
                <w:sz w:val="20"/>
                <w:szCs w:val="20"/>
              </w:rPr>
            </w:pPr>
            <w:r w:rsidRPr="004672B0">
              <w:rPr>
                <w:b/>
                <w:color w:val="000000"/>
                <w:sz w:val="20"/>
                <w:szCs w:val="20"/>
              </w:rPr>
              <w:t>High</w:t>
            </w:r>
          </w:p>
        </w:tc>
        <w:tc>
          <w:tcPr>
            <w:tcW w:w="3288" w:type="dxa"/>
          </w:tcPr>
          <w:p w:rsidR="008434CC" w:rsidRPr="004672B0" w:rsidRDefault="008434CC" w:rsidP="004672B0">
            <w:pPr>
              <w:keepNext/>
              <w:spacing w:before="40" w:after="40" w:line="240" w:lineRule="auto"/>
              <w:rPr>
                <w:sz w:val="18"/>
                <w:szCs w:val="18"/>
              </w:rPr>
            </w:pPr>
            <w:r w:rsidRPr="004672B0">
              <w:rPr>
                <w:sz w:val="18"/>
                <w:szCs w:val="18"/>
              </w:rPr>
              <w:t>Continuous engagement of Pharmacy with NTP via fortnightly coordination meetings, and continuous monitoring of adequacy of first line drug supply and availability</w:t>
            </w:r>
          </w:p>
        </w:tc>
        <w:tc>
          <w:tcPr>
            <w:tcW w:w="1587" w:type="dxa"/>
          </w:tcPr>
          <w:p w:rsidR="008434CC" w:rsidRPr="004672B0" w:rsidRDefault="008434CC" w:rsidP="004672B0">
            <w:pPr>
              <w:keepNext/>
              <w:spacing w:before="40" w:after="40" w:line="240" w:lineRule="auto"/>
              <w:rPr>
                <w:sz w:val="18"/>
                <w:szCs w:val="18"/>
              </w:rPr>
            </w:pPr>
            <w:r w:rsidRPr="004672B0">
              <w:rPr>
                <w:sz w:val="18"/>
                <w:szCs w:val="18"/>
              </w:rPr>
              <w:t>MHMS (Pharmacist, HITEC), NTP (Manager), SPC (Senior Adviser)</w:t>
            </w:r>
          </w:p>
        </w:tc>
        <w:tc>
          <w:tcPr>
            <w:tcW w:w="1587" w:type="dxa"/>
          </w:tcPr>
          <w:p w:rsidR="008434CC" w:rsidRPr="004672B0" w:rsidRDefault="008434CC" w:rsidP="004672B0">
            <w:pPr>
              <w:keepNext/>
              <w:spacing w:before="40" w:after="40" w:line="240" w:lineRule="auto"/>
              <w:rPr>
                <w:sz w:val="18"/>
                <w:szCs w:val="18"/>
              </w:rPr>
            </w:pPr>
            <w:r w:rsidRPr="004672B0">
              <w:rPr>
                <w:sz w:val="18"/>
                <w:szCs w:val="18"/>
              </w:rPr>
              <w:t>Continuous, and especially after orders have been placed</w:t>
            </w:r>
          </w:p>
        </w:tc>
      </w:tr>
      <w:tr w:rsidR="008434CC" w:rsidRPr="004672B0" w:rsidTr="004672B0">
        <w:tc>
          <w:tcPr>
            <w:tcW w:w="2236" w:type="dxa"/>
          </w:tcPr>
          <w:p w:rsidR="008434CC" w:rsidRPr="004672B0" w:rsidRDefault="008434CC" w:rsidP="004672B0">
            <w:pPr>
              <w:keepNext/>
              <w:spacing w:before="40" w:after="40" w:line="240" w:lineRule="auto"/>
              <w:rPr>
                <w:rFonts w:cs="Calibri"/>
                <w:sz w:val="18"/>
                <w:szCs w:val="18"/>
              </w:rPr>
            </w:pPr>
            <w:r w:rsidRPr="004672B0">
              <w:rPr>
                <w:rFonts w:cs="Calibri"/>
                <w:sz w:val="18"/>
                <w:szCs w:val="18"/>
              </w:rPr>
              <w:t>1.4 Adverse findings of future AusAID fiduciary risk assessment of GOK systems, most likely precluding the placement of Australian Government funds for core budget support</w:t>
            </w:r>
          </w:p>
        </w:tc>
        <w:tc>
          <w:tcPr>
            <w:tcW w:w="1587" w:type="dxa"/>
          </w:tcPr>
          <w:p w:rsidR="008434CC" w:rsidRPr="004672B0" w:rsidRDefault="008434CC" w:rsidP="004672B0">
            <w:pPr>
              <w:keepNext/>
              <w:spacing w:before="40" w:after="40" w:line="240" w:lineRule="auto"/>
              <w:rPr>
                <w:rFonts w:cs="Calibri"/>
                <w:sz w:val="18"/>
                <w:szCs w:val="18"/>
              </w:rPr>
            </w:pPr>
            <w:r w:rsidRPr="004672B0">
              <w:rPr>
                <w:rFonts w:cs="Calibri"/>
                <w:sz w:val="18"/>
                <w:szCs w:val="18"/>
              </w:rPr>
              <w:t>Possible</w:t>
            </w:r>
          </w:p>
        </w:tc>
        <w:tc>
          <w:tcPr>
            <w:tcW w:w="2494" w:type="dxa"/>
          </w:tcPr>
          <w:p w:rsidR="008434CC" w:rsidRPr="004672B0" w:rsidRDefault="008434CC" w:rsidP="004672B0">
            <w:pPr>
              <w:keepNext/>
              <w:spacing w:before="40" w:after="40" w:line="240" w:lineRule="auto"/>
              <w:rPr>
                <w:rFonts w:cs="Calibri"/>
                <w:sz w:val="18"/>
                <w:szCs w:val="18"/>
              </w:rPr>
            </w:pPr>
            <w:r w:rsidRPr="004672B0">
              <w:rPr>
                <w:rFonts w:cs="Calibri"/>
                <w:sz w:val="18"/>
                <w:szCs w:val="18"/>
              </w:rPr>
              <w:t xml:space="preserve">Moderate – While this would not necessarily impact on the quality of TB control in Kiribati, it would significantly threaten one of the aims of Phase 2 of the Project, i.e. the transfer and integration of some Project management and financial management functions into MHMS. </w:t>
            </w:r>
          </w:p>
        </w:tc>
        <w:tc>
          <w:tcPr>
            <w:tcW w:w="1587" w:type="dxa"/>
            <w:shd w:val="clear" w:color="auto" w:fill="FFC000"/>
          </w:tcPr>
          <w:p w:rsidR="008434CC" w:rsidRPr="004672B0" w:rsidRDefault="008434CC" w:rsidP="004672B0">
            <w:pPr>
              <w:keepNext/>
              <w:spacing w:before="40" w:after="40" w:line="240" w:lineRule="auto"/>
              <w:jc w:val="center"/>
              <w:rPr>
                <w:b/>
                <w:color w:val="000000"/>
                <w:sz w:val="20"/>
                <w:szCs w:val="20"/>
              </w:rPr>
            </w:pPr>
            <w:r w:rsidRPr="004672B0">
              <w:rPr>
                <w:b/>
                <w:color w:val="000000"/>
                <w:sz w:val="20"/>
                <w:szCs w:val="20"/>
              </w:rPr>
              <w:t>High</w:t>
            </w:r>
          </w:p>
        </w:tc>
        <w:tc>
          <w:tcPr>
            <w:tcW w:w="3288" w:type="dxa"/>
          </w:tcPr>
          <w:p w:rsidR="008434CC" w:rsidRPr="004672B0" w:rsidRDefault="008434CC" w:rsidP="004672B0">
            <w:pPr>
              <w:keepNext/>
              <w:spacing w:before="40" w:after="40" w:line="240" w:lineRule="auto"/>
              <w:rPr>
                <w:rFonts w:cs="Calibri"/>
                <w:sz w:val="18"/>
                <w:szCs w:val="18"/>
              </w:rPr>
            </w:pPr>
            <w:r w:rsidRPr="004672B0">
              <w:rPr>
                <w:rFonts w:cs="Calibri"/>
                <w:sz w:val="18"/>
                <w:szCs w:val="18"/>
              </w:rPr>
              <w:t xml:space="preserve">Through the Project Accountant and the Noumea-based Project Coordinator, SPC will continue to work with MHMS (and, in particular, the Project Management Unit Accountant) to ensure strict adherence to established standards of financial management.  Annual audits will be conducted of the Project budget and acquittals of expenditure and the MTR will examine progress in relation to financial management and possible fiduciary risks associated with Phase 2. </w:t>
            </w:r>
          </w:p>
        </w:tc>
        <w:tc>
          <w:tcPr>
            <w:tcW w:w="1587" w:type="dxa"/>
          </w:tcPr>
          <w:p w:rsidR="008434CC" w:rsidRPr="004672B0" w:rsidRDefault="008434CC" w:rsidP="004672B0">
            <w:pPr>
              <w:keepNext/>
              <w:spacing w:before="40" w:after="40" w:line="240" w:lineRule="auto"/>
              <w:rPr>
                <w:sz w:val="18"/>
                <w:szCs w:val="18"/>
              </w:rPr>
            </w:pPr>
            <w:r w:rsidRPr="004672B0">
              <w:rPr>
                <w:sz w:val="18"/>
                <w:szCs w:val="18"/>
              </w:rPr>
              <w:t>SPC (Project Accountant and Noumea-based support), MHMS (</w:t>
            </w:r>
            <w:r w:rsidRPr="004672B0">
              <w:rPr>
                <w:rFonts w:cs="Calibri"/>
                <w:sz w:val="18"/>
                <w:szCs w:val="18"/>
              </w:rPr>
              <w:t xml:space="preserve">Project Management Unit), independent auditors; </w:t>
            </w:r>
            <w:r w:rsidRPr="004672B0">
              <w:rPr>
                <w:sz w:val="18"/>
                <w:szCs w:val="18"/>
              </w:rPr>
              <w:t>the MTR team will also review preparedness for Phase 2</w:t>
            </w:r>
          </w:p>
        </w:tc>
        <w:tc>
          <w:tcPr>
            <w:tcW w:w="1587" w:type="dxa"/>
          </w:tcPr>
          <w:p w:rsidR="008434CC" w:rsidRPr="004672B0" w:rsidRDefault="008434CC" w:rsidP="004672B0">
            <w:pPr>
              <w:keepNext/>
              <w:spacing w:before="40" w:after="40" w:line="240" w:lineRule="auto"/>
              <w:rPr>
                <w:sz w:val="18"/>
                <w:szCs w:val="18"/>
              </w:rPr>
            </w:pPr>
            <w:r w:rsidRPr="004672B0">
              <w:rPr>
                <w:sz w:val="18"/>
                <w:szCs w:val="18"/>
              </w:rPr>
              <w:t>Continuous, but especially during Years 2 and 3 of the Project, when the performance of Project and financial management systems is becoming clearer; at the of any future AusAID assessment of GOK systems.</w:t>
            </w:r>
          </w:p>
        </w:tc>
      </w:tr>
      <w:tr w:rsidR="008434CC" w:rsidRPr="004672B0" w:rsidTr="004672B0">
        <w:tc>
          <w:tcPr>
            <w:tcW w:w="2236" w:type="dxa"/>
          </w:tcPr>
          <w:p w:rsidR="008434CC" w:rsidRPr="004672B0" w:rsidRDefault="008434CC" w:rsidP="004672B0">
            <w:pPr>
              <w:keepNext/>
              <w:spacing w:before="40" w:after="40" w:line="240" w:lineRule="auto"/>
              <w:rPr>
                <w:rFonts w:cs="Calibri"/>
                <w:sz w:val="18"/>
                <w:szCs w:val="18"/>
              </w:rPr>
            </w:pPr>
            <w:r w:rsidRPr="004672B0">
              <w:rPr>
                <w:rFonts w:cs="Calibri"/>
                <w:sz w:val="18"/>
                <w:szCs w:val="18"/>
              </w:rPr>
              <w:t>1.5 Inability or lack of willingness of MHMS to absorb responsibility for Project-funded positions, infrastructure and maintenance during Integration Phase</w:t>
            </w:r>
          </w:p>
        </w:tc>
        <w:tc>
          <w:tcPr>
            <w:tcW w:w="1587" w:type="dxa"/>
          </w:tcPr>
          <w:p w:rsidR="008434CC" w:rsidRPr="004672B0" w:rsidRDefault="008434CC" w:rsidP="004672B0">
            <w:pPr>
              <w:keepNext/>
              <w:spacing w:before="40" w:after="40" w:line="240" w:lineRule="auto"/>
              <w:rPr>
                <w:rFonts w:cs="Calibri"/>
                <w:sz w:val="18"/>
                <w:szCs w:val="18"/>
              </w:rPr>
            </w:pPr>
            <w:r w:rsidRPr="004672B0">
              <w:rPr>
                <w:rFonts w:cs="Calibri"/>
                <w:sz w:val="18"/>
                <w:szCs w:val="18"/>
              </w:rPr>
              <w:t>Possible</w:t>
            </w:r>
          </w:p>
        </w:tc>
        <w:tc>
          <w:tcPr>
            <w:tcW w:w="2494" w:type="dxa"/>
          </w:tcPr>
          <w:p w:rsidR="008434CC" w:rsidRPr="004672B0" w:rsidRDefault="008434CC" w:rsidP="004672B0">
            <w:pPr>
              <w:keepNext/>
              <w:spacing w:before="40" w:after="40" w:line="240" w:lineRule="auto"/>
              <w:rPr>
                <w:rFonts w:cs="Calibri"/>
                <w:sz w:val="18"/>
                <w:szCs w:val="18"/>
              </w:rPr>
            </w:pPr>
            <w:r w:rsidRPr="004672B0">
              <w:rPr>
                <w:rFonts w:cs="Calibri"/>
                <w:sz w:val="18"/>
                <w:szCs w:val="18"/>
              </w:rPr>
              <w:t xml:space="preserve">Moderate – Should MHMS not be in a position to assume management and responsibility of Project-funded resources, this will remove an important element of Project sustainability. </w:t>
            </w:r>
          </w:p>
        </w:tc>
        <w:tc>
          <w:tcPr>
            <w:tcW w:w="1587" w:type="dxa"/>
            <w:shd w:val="clear" w:color="auto" w:fill="FFC000"/>
          </w:tcPr>
          <w:p w:rsidR="008434CC" w:rsidRPr="004672B0" w:rsidRDefault="008434CC" w:rsidP="004672B0">
            <w:pPr>
              <w:keepNext/>
              <w:spacing w:before="40" w:after="40" w:line="240" w:lineRule="auto"/>
              <w:jc w:val="center"/>
              <w:rPr>
                <w:b/>
                <w:color w:val="000000"/>
                <w:sz w:val="20"/>
                <w:szCs w:val="20"/>
              </w:rPr>
            </w:pPr>
            <w:r w:rsidRPr="004672B0">
              <w:rPr>
                <w:b/>
                <w:color w:val="000000"/>
                <w:sz w:val="20"/>
                <w:szCs w:val="20"/>
              </w:rPr>
              <w:t>High</w:t>
            </w:r>
          </w:p>
        </w:tc>
        <w:tc>
          <w:tcPr>
            <w:tcW w:w="3288" w:type="dxa"/>
          </w:tcPr>
          <w:p w:rsidR="008434CC" w:rsidRPr="004672B0" w:rsidRDefault="008434CC" w:rsidP="004672B0">
            <w:pPr>
              <w:keepNext/>
              <w:spacing w:before="40" w:after="40" w:line="240" w:lineRule="auto"/>
              <w:rPr>
                <w:rFonts w:cs="Calibri"/>
                <w:sz w:val="18"/>
                <w:szCs w:val="18"/>
              </w:rPr>
            </w:pPr>
            <w:r w:rsidRPr="004672B0">
              <w:rPr>
                <w:rFonts w:cs="Calibri"/>
                <w:sz w:val="18"/>
                <w:szCs w:val="18"/>
              </w:rPr>
              <w:t>The design includes the preparation of a medium-to-longer term NTP human resources plan during the final year of the Alignment and Support Phase, as well as transition plans for absorption of infrastructure and development of maintenance and depreciation schedules.  This will clearly map out processes for absorption of Project resources, in very close consultation with MHMS.</w:t>
            </w:r>
          </w:p>
        </w:tc>
        <w:tc>
          <w:tcPr>
            <w:tcW w:w="1587" w:type="dxa"/>
          </w:tcPr>
          <w:p w:rsidR="008434CC" w:rsidRPr="004672B0" w:rsidRDefault="008434CC" w:rsidP="004672B0">
            <w:pPr>
              <w:keepNext/>
              <w:spacing w:before="40" w:after="40" w:line="240" w:lineRule="auto"/>
              <w:rPr>
                <w:sz w:val="18"/>
                <w:szCs w:val="18"/>
              </w:rPr>
            </w:pPr>
            <w:r w:rsidRPr="004672B0">
              <w:rPr>
                <w:sz w:val="18"/>
                <w:szCs w:val="18"/>
              </w:rPr>
              <w:t xml:space="preserve">SPC (Senior Adviser, Program Coordinator) and MHMS; the MTR team will also be tasked with reviewing progress with absorption plans </w:t>
            </w:r>
          </w:p>
        </w:tc>
        <w:tc>
          <w:tcPr>
            <w:tcW w:w="1587" w:type="dxa"/>
          </w:tcPr>
          <w:p w:rsidR="008434CC" w:rsidRPr="004672B0" w:rsidRDefault="008434CC" w:rsidP="004672B0">
            <w:pPr>
              <w:keepNext/>
              <w:spacing w:before="40" w:after="40" w:line="240" w:lineRule="auto"/>
              <w:rPr>
                <w:rFonts w:cs="Calibri"/>
                <w:sz w:val="18"/>
                <w:szCs w:val="18"/>
              </w:rPr>
            </w:pPr>
            <w:r w:rsidRPr="004672B0">
              <w:rPr>
                <w:rFonts w:cs="Calibri"/>
                <w:sz w:val="18"/>
                <w:szCs w:val="18"/>
              </w:rPr>
              <w:t>During Years 2 and 3 of the Project, when work force projections for the longer term are becoming clearer.</w:t>
            </w:r>
          </w:p>
        </w:tc>
      </w:tr>
      <w:tr w:rsidR="008434CC" w:rsidRPr="004672B0" w:rsidTr="004672B0">
        <w:tc>
          <w:tcPr>
            <w:tcW w:w="2236" w:type="dxa"/>
          </w:tcPr>
          <w:p w:rsidR="008434CC" w:rsidRPr="004672B0" w:rsidRDefault="008434CC" w:rsidP="004672B0">
            <w:pPr>
              <w:keepNext/>
              <w:spacing w:before="40" w:after="40" w:line="240" w:lineRule="auto"/>
              <w:rPr>
                <w:sz w:val="18"/>
                <w:szCs w:val="18"/>
              </w:rPr>
            </w:pPr>
            <w:r w:rsidRPr="004672B0">
              <w:rPr>
                <w:sz w:val="18"/>
                <w:szCs w:val="18"/>
              </w:rPr>
              <w:t xml:space="preserve">1.6 LGUs unable or unwilling to fund allowances for additional community based staff (e.g. CDWs on South Tarawa, or Nurse Aides on </w:t>
            </w:r>
            <w:r w:rsidRPr="004672B0">
              <w:rPr>
                <w:sz w:val="18"/>
                <w:szCs w:val="18"/>
              </w:rPr>
              <w:lastRenderedPageBreak/>
              <w:t>outer islands) as part of the Integration Phase</w:t>
            </w:r>
          </w:p>
        </w:tc>
        <w:tc>
          <w:tcPr>
            <w:tcW w:w="1587" w:type="dxa"/>
          </w:tcPr>
          <w:p w:rsidR="008434CC" w:rsidRPr="004672B0" w:rsidRDefault="008434CC" w:rsidP="004672B0">
            <w:pPr>
              <w:keepNext/>
              <w:spacing w:before="40" w:after="40" w:line="240" w:lineRule="auto"/>
              <w:rPr>
                <w:sz w:val="18"/>
                <w:szCs w:val="18"/>
              </w:rPr>
            </w:pPr>
            <w:r w:rsidRPr="004672B0">
              <w:rPr>
                <w:rFonts w:cs="Calibri"/>
                <w:sz w:val="18"/>
                <w:szCs w:val="18"/>
              </w:rPr>
              <w:lastRenderedPageBreak/>
              <w:t>Possible</w:t>
            </w:r>
          </w:p>
        </w:tc>
        <w:tc>
          <w:tcPr>
            <w:tcW w:w="2494" w:type="dxa"/>
          </w:tcPr>
          <w:p w:rsidR="008434CC" w:rsidRPr="004672B0" w:rsidRDefault="008434CC" w:rsidP="004672B0">
            <w:pPr>
              <w:keepNext/>
              <w:spacing w:before="40" w:after="40" w:line="240" w:lineRule="auto"/>
              <w:rPr>
                <w:sz w:val="18"/>
                <w:szCs w:val="18"/>
              </w:rPr>
            </w:pPr>
            <w:r w:rsidRPr="004672B0">
              <w:rPr>
                <w:sz w:val="18"/>
                <w:szCs w:val="18"/>
              </w:rPr>
              <w:t>Minor – Communities with significant residual transmission may be left with inadequate staff to meet  DOTS and active case finding needs</w:t>
            </w:r>
          </w:p>
        </w:tc>
        <w:tc>
          <w:tcPr>
            <w:tcW w:w="1587" w:type="dxa"/>
            <w:shd w:val="clear" w:color="auto" w:fill="FFFF00"/>
          </w:tcPr>
          <w:p w:rsidR="008434CC" w:rsidRPr="004672B0" w:rsidRDefault="008434CC" w:rsidP="004672B0">
            <w:pPr>
              <w:keepNext/>
              <w:spacing w:before="40" w:after="40" w:line="240" w:lineRule="auto"/>
              <w:jc w:val="center"/>
              <w:rPr>
                <w:b/>
                <w:sz w:val="20"/>
                <w:szCs w:val="20"/>
              </w:rPr>
            </w:pPr>
            <w:r w:rsidRPr="004672B0">
              <w:rPr>
                <w:b/>
                <w:sz w:val="20"/>
                <w:szCs w:val="20"/>
              </w:rPr>
              <w:t>Medium</w:t>
            </w:r>
          </w:p>
        </w:tc>
        <w:tc>
          <w:tcPr>
            <w:tcW w:w="3288" w:type="dxa"/>
          </w:tcPr>
          <w:p w:rsidR="008434CC" w:rsidRPr="004672B0" w:rsidRDefault="008434CC" w:rsidP="004672B0">
            <w:pPr>
              <w:keepNext/>
              <w:spacing w:before="40" w:after="40" w:line="240" w:lineRule="auto"/>
              <w:rPr>
                <w:sz w:val="18"/>
                <w:szCs w:val="18"/>
              </w:rPr>
            </w:pPr>
            <w:r w:rsidRPr="004672B0">
              <w:rPr>
                <w:sz w:val="18"/>
                <w:szCs w:val="18"/>
              </w:rPr>
              <w:t xml:space="preserve">Careful dialogue with LGUs during expansion process into communities, so that they understand that the priority of the Project is to help integrate community level NTP functions into local structures; exploration of possible NGO </w:t>
            </w:r>
            <w:r w:rsidRPr="004672B0">
              <w:rPr>
                <w:sz w:val="18"/>
                <w:szCs w:val="18"/>
              </w:rPr>
              <w:lastRenderedPageBreak/>
              <w:t>links to support ongoing community level management</w:t>
            </w:r>
          </w:p>
        </w:tc>
        <w:tc>
          <w:tcPr>
            <w:tcW w:w="1587" w:type="dxa"/>
          </w:tcPr>
          <w:p w:rsidR="008434CC" w:rsidRPr="004672B0" w:rsidRDefault="008434CC" w:rsidP="004672B0">
            <w:pPr>
              <w:keepNext/>
              <w:spacing w:before="40" w:after="40" w:line="240" w:lineRule="auto"/>
              <w:rPr>
                <w:sz w:val="18"/>
                <w:szCs w:val="18"/>
              </w:rPr>
            </w:pPr>
            <w:r w:rsidRPr="004672B0">
              <w:rPr>
                <w:sz w:val="18"/>
                <w:szCs w:val="18"/>
              </w:rPr>
              <w:lastRenderedPageBreak/>
              <w:t>NTP, SPC (Program Coordinator)-</w:t>
            </w:r>
          </w:p>
        </w:tc>
        <w:tc>
          <w:tcPr>
            <w:tcW w:w="1587" w:type="dxa"/>
          </w:tcPr>
          <w:p w:rsidR="008434CC" w:rsidRPr="004672B0" w:rsidRDefault="008434CC" w:rsidP="004672B0">
            <w:pPr>
              <w:spacing w:before="40" w:after="40" w:line="240" w:lineRule="auto"/>
              <w:rPr>
                <w:rFonts w:cs="Calibri"/>
                <w:sz w:val="18"/>
                <w:szCs w:val="18"/>
              </w:rPr>
            </w:pPr>
            <w:r w:rsidRPr="004672B0">
              <w:rPr>
                <w:rFonts w:cs="Calibri"/>
                <w:sz w:val="18"/>
                <w:szCs w:val="18"/>
              </w:rPr>
              <w:t>During Year 3 of the Project, when integration plans start to be discussed and drafted.</w:t>
            </w:r>
          </w:p>
        </w:tc>
      </w:tr>
      <w:tr w:rsidR="008434CC" w:rsidRPr="004672B0" w:rsidTr="004672B0">
        <w:tc>
          <w:tcPr>
            <w:tcW w:w="14366" w:type="dxa"/>
            <w:gridSpan w:val="7"/>
            <w:shd w:val="clear" w:color="auto" w:fill="B8CCE4"/>
          </w:tcPr>
          <w:p w:rsidR="008434CC" w:rsidRPr="004672B0" w:rsidRDefault="008434CC" w:rsidP="004672B0">
            <w:pPr>
              <w:keepNext/>
              <w:spacing w:before="40" w:after="40" w:line="240" w:lineRule="auto"/>
              <w:rPr>
                <w:rFonts w:ascii="Arial" w:hAnsi="Arial" w:cs="Arial"/>
                <w:sz w:val="20"/>
                <w:szCs w:val="20"/>
              </w:rPr>
            </w:pPr>
            <w:r w:rsidRPr="004672B0">
              <w:rPr>
                <w:rFonts w:cs="Calibri"/>
                <w:b/>
              </w:rPr>
              <w:lastRenderedPageBreak/>
              <w:t>2. Financing and Financial Risks</w:t>
            </w:r>
          </w:p>
        </w:tc>
      </w:tr>
      <w:tr w:rsidR="008434CC" w:rsidRPr="004672B0" w:rsidTr="004672B0">
        <w:tc>
          <w:tcPr>
            <w:tcW w:w="2236" w:type="dxa"/>
          </w:tcPr>
          <w:p w:rsidR="008434CC" w:rsidRPr="004672B0" w:rsidRDefault="008434CC" w:rsidP="004672B0">
            <w:pPr>
              <w:spacing w:before="40" w:after="40" w:line="240" w:lineRule="auto"/>
              <w:rPr>
                <w:sz w:val="18"/>
                <w:szCs w:val="18"/>
              </w:rPr>
            </w:pPr>
            <w:r w:rsidRPr="004672B0">
              <w:rPr>
                <w:sz w:val="18"/>
                <w:szCs w:val="18"/>
              </w:rPr>
              <w:t xml:space="preserve">2.1 Program budget diverted from agreed NTP </w:t>
            </w:r>
            <w:r w:rsidRPr="004672B0">
              <w:rPr>
                <w:i/>
                <w:sz w:val="18"/>
                <w:szCs w:val="18"/>
              </w:rPr>
              <w:t>Strategic Plan</w:t>
            </w:r>
            <w:r w:rsidRPr="004672B0">
              <w:rPr>
                <w:sz w:val="18"/>
                <w:szCs w:val="18"/>
              </w:rPr>
              <w:t xml:space="preserve"> priorities, or used to substitute for MHMS investment in TB control</w:t>
            </w:r>
          </w:p>
        </w:tc>
        <w:tc>
          <w:tcPr>
            <w:tcW w:w="1587" w:type="dxa"/>
          </w:tcPr>
          <w:p w:rsidR="008434CC" w:rsidRPr="004672B0" w:rsidRDefault="008434CC" w:rsidP="004672B0">
            <w:pPr>
              <w:spacing w:before="40" w:after="40" w:line="240" w:lineRule="auto"/>
              <w:rPr>
                <w:sz w:val="18"/>
                <w:szCs w:val="18"/>
              </w:rPr>
            </w:pPr>
            <w:r w:rsidRPr="004672B0">
              <w:rPr>
                <w:sz w:val="18"/>
                <w:szCs w:val="18"/>
              </w:rPr>
              <w:t>Unlikely, as the annual planning process will maintain oversight of these risks</w:t>
            </w:r>
          </w:p>
        </w:tc>
        <w:tc>
          <w:tcPr>
            <w:tcW w:w="2494" w:type="dxa"/>
          </w:tcPr>
          <w:p w:rsidR="008434CC" w:rsidRPr="004672B0" w:rsidRDefault="008434CC" w:rsidP="004672B0">
            <w:pPr>
              <w:spacing w:before="40" w:after="40" w:line="240" w:lineRule="auto"/>
              <w:rPr>
                <w:sz w:val="18"/>
                <w:szCs w:val="18"/>
              </w:rPr>
            </w:pPr>
            <w:r w:rsidRPr="004672B0">
              <w:rPr>
                <w:sz w:val="18"/>
                <w:szCs w:val="18"/>
              </w:rPr>
              <w:t>Moderate – The Project is designed to gradually shift from implementation towards support and facilitation.  Use of funds for core MHMS functions (e.g. procurement of first line TB drugs) would significantly compromise progress towards NTP and Project objectives</w:t>
            </w:r>
          </w:p>
        </w:tc>
        <w:tc>
          <w:tcPr>
            <w:tcW w:w="1587" w:type="dxa"/>
            <w:shd w:val="clear" w:color="auto" w:fill="FFFF00"/>
          </w:tcPr>
          <w:p w:rsidR="008434CC" w:rsidRPr="004672B0" w:rsidRDefault="008434CC" w:rsidP="004672B0">
            <w:pPr>
              <w:spacing w:before="40" w:after="40" w:line="240" w:lineRule="auto"/>
              <w:jc w:val="center"/>
              <w:rPr>
                <w:b/>
                <w:sz w:val="20"/>
                <w:szCs w:val="20"/>
              </w:rPr>
            </w:pPr>
            <w:r w:rsidRPr="004672B0">
              <w:rPr>
                <w:b/>
                <w:sz w:val="20"/>
                <w:szCs w:val="20"/>
              </w:rPr>
              <w:t xml:space="preserve"> Medium</w:t>
            </w:r>
          </w:p>
        </w:tc>
        <w:tc>
          <w:tcPr>
            <w:tcW w:w="3288" w:type="dxa"/>
          </w:tcPr>
          <w:p w:rsidR="008434CC" w:rsidRPr="004672B0" w:rsidRDefault="008434CC" w:rsidP="004672B0">
            <w:pPr>
              <w:spacing w:before="40" w:after="40" w:line="240" w:lineRule="auto"/>
              <w:rPr>
                <w:sz w:val="18"/>
                <w:szCs w:val="18"/>
              </w:rPr>
            </w:pPr>
            <w:r w:rsidRPr="004672B0">
              <w:rPr>
                <w:sz w:val="18"/>
                <w:szCs w:val="18"/>
              </w:rPr>
              <w:t>The development and careful monitoring of an integrated work plan and budget that captures all inputs and activities under the NTP is designed – in part – to mitigate against this risk.  Policy dialogue with MHMS and other partners as necessary at annual program review; and in high level consultations between principal partners (SPC, AusAID) and GOK.</w:t>
            </w:r>
          </w:p>
        </w:tc>
        <w:tc>
          <w:tcPr>
            <w:tcW w:w="1587" w:type="dxa"/>
          </w:tcPr>
          <w:p w:rsidR="008434CC" w:rsidRPr="004672B0" w:rsidRDefault="008434CC" w:rsidP="004672B0">
            <w:pPr>
              <w:spacing w:before="40" w:after="40" w:line="240" w:lineRule="auto"/>
              <w:rPr>
                <w:sz w:val="18"/>
                <w:szCs w:val="18"/>
              </w:rPr>
            </w:pPr>
            <w:r w:rsidRPr="004672B0">
              <w:rPr>
                <w:sz w:val="18"/>
                <w:szCs w:val="18"/>
              </w:rPr>
              <w:t>NTP, SPC (Senior Adviser) and MHMS; the MTR team will also be tasked with reviewing risks related to budget fungibility</w:t>
            </w:r>
          </w:p>
        </w:tc>
        <w:tc>
          <w:tcPr>
            <w:tcW w:w="1587" w:type="dxa"/>
          </w:tcPr>
          <w:p w:rsidR="008434CC" w:rsidRPr="004672B0" w:rsidRDefault="008434CC" w:rsidP="004672B0">
            <w:pPr>
              <w:spacing w:before="40" w:after="40" w:line="240" w:lineRule="auto"/>
              <w:rPr>
                <w:sz w:val="18"/>
                <w:szCs w:val="18"/>
              </w:rPr>
            </w:pPr>
            <w:r w:rsidRPr="004672B0">
              <w:rPr>
                <w:sz w:val="18"/>
                <w:szCs w:val="18"/>
              </w:rPr>
              <w:t>Ongoing, but especially during annual program review and development of integrated annual work plan and overall (all-sources) NTP budget</w:t>
            </w:r>
          </w:p>
        </w:tc>
      </w:tr>
      <w:tr w:rsidR="008434CC" w:rsidRPr="004672B0" w:rsidTr="004672B0">
        <w:tc>
          <w:tcPr>
            <w:tcW w:w="2236" w:type="dxa"/>
          </w:tcPr>
          <w:p w:rsidR="008434CC" w:rsidRPr="004672B0" w:rsidRDefault="008434CC" w:rsidP="004672B0">
            <w:pPr>
              <w:keepNext/>
              <w:spacing w:before="40" w:after="40" w:line="240" w:lineRule="auto"/>
              <w:rPr>
                <w:sz w:val="18"/>
                <w:szCs w:val="18"/>
              </w:rPr>
            </w:pPr>
            <w:r w:rsidRPr="004672B0">
              <w:rPr>
                <w:sz w:val="18"/>
                <w:szCs w:val="18"/>
              </w:rPr>
              <w:t xml:space="preserve">2.2 Failure of Global Fund application for Transitional Funding Mechanism </w:t>
            </w:r>
          </w:p>
        </w:tc>
        <w:tc>
          <w:tcPr>
            <w:tcW w:w="1587" w:type="dxa"/>
          </w:tcPr>
          <w:p w:rsidR="008434CC" w:rsidRPr="004672B0" w:rsidRDefault="008434CC" w:rsidP="004672B0">
            <w:pPr>
              <w:keepNext/>
              <w:spacing w:before="40" w:after="40" w:line="240" w:lineRule="auto"/>
              <w:rPr>
                <w:sz w:val="18"/>
                <w:szCs w:val="18"/>
              </w:rPr>
            </w:pPr>
            <w:r w:rsidRPr="004672B0">
              <w:rPr>
                <w:sz w:val="18"/>
                <w:szCs w:val="18"/>
              </w:rPr>
              <w:t>Unlikely</w:t>
            </w:r>
          </w:p>
        </w:tc>
        <w:tc>
          <w:tcPr>
            <w:tcW w:w="2494" w:type="dxa"/>
          </w:tcPr>
          <w:p w:rsidR="008434CC" w:rsidRPr="004672B0" w:rsidRDefault="008434CC" w:rsidP="004672B0">
            <w:pPr>
              <w:keepNext/>
              <w:spacing w:before="40" w:after="40" w:line="240" w:lineRule="auto"/>
              <w:rPr>
                <w:sz w:val="18"/>
                <w:szCs w:val="18"/>
              </w:rPr>
            </w:pPr>
            <w:r w:rsidRPr="004672B0">
              <w:rPr>
                <w:sz w:val="18"/>
                <w:szCs w:val="18"/>
              </w:rPr>
              <w:t>Moderate – Alternative sources would need to be found for regional salaries (SPC, WHO), supervision and some consumables</w:t>
            </w:r>
          </w:p>
        </w:tc>
        <w:tc>
          <w:tcPr>
            <w:tcW w:w="1587" w:type="dxa"/>
            <w:shd w:val="clear" w:color="auto" w:fill="FFFF00"/>
          </w:tcPr>
          <w:p w:rsidR="008434CC" w:rsidRPr="004672B0" w:rsidRDefault="008434CC" w:rsidP="004672B0">
            <w:pPr>
              <w:keepNext/>
              <w:spacing w:before="40" w:after="40" w:line="240" w:lineRule="auto"/>
              <w:jc w:val="center"/>
              <w:rPr>
                <w:b/>
                <w:sz w:val="20"/>
                <w:szCs w:val="20"/>
              </w:rPr>
            </w:pPr>
            <w:r w:rsidRPr="004672B0">
              <w:rPr>
                <w:b/>
                <w:sz w:val="20"/>
                <w:szCs w:val="20"/>
              </w:rPr>
              <w:t>Medium</w:t>
            </w:r>
          </w:p>
        </w:tc>
        <w:tc>
          <w:tcPr>
            <w:tcW w:w="3288" w:type="dxa"/>
          </w:tcPr>
          <w:p w:rsidR="008434CC" w:rsidRPr="004672B0" w:rsidRDefault="008434CC" w:rsidP="004672B0">
            <w:pPr>
              <w:keepNext/>
              <w:spacing w:before="40" w:after="40" w:line="240" w:lineRule="auto"/>
              <w:rPr>
                <w:sz w:val="18"/>
                <w:szCs w:val="18"/>
              </w:rPr>
            </w:pPr>
            <w:r w:rsidRPr="004672B0">
              <w:rPr>
                <w:sz w:val="18"/>
                <w:szCs w:val="18"/>
              </w:rPr>
              <w:t>Contingency plan included in Project budget to cover the cost of some supervisory visits.  SPC and WHO would need to engage with alternative donors for support for regional positions</w:t>
            </w:r>
          </w:p>
        </w:tc>
        <w:tc>
          <w:tcPr>
            <w:tcW w:w="1587" w:type="dxa"/>
          </w:tcPr>
          <w:p w:rsidR="008434CC" w:rsidRPr="004672B0" w:rsidRDefault="008434CC" w:rsidP="004672B0">
            <w:pPr>
              <w:keepNext/>
              <w:spacing w:before="40" w:after="40" w:line="240" w:lineRule="auto"/>
              <w:rPr>
                <w:sz w:val="18"/>
                <w:szCs w:val="18"/>
              </w:rPr>
            </w:pPr>
            <w:r w:rsidRPr="004672B0">
              <w:rPr>
                <w:sz w:val="18"/>
                <w:szCs w:val="18"/>
              </w:rPr>
              <w:t>SPC (Noumea), WHO (Suva and Manila</w:t>
            </w:r>
          </w:p>
        </w:tc>
        <w:tc>
          <w:tcPr>
            <w:tcW w:w="1587" w:type="dxa"/>
          </w:tcPr>
          <w:p w:rsidR="008434CC" w:rsidRPr="004672B0" w:rsidRDefault="008434CC" w:rsidP="004672B0">
            <w:pPr>
              <w:keepNext/>
              <w:spacing w:before="40" w:after="40" w:line="240" w:lineRule="auto"/>
              <w:rPr>
                <w:sz w:val="18"/>
                <w:szCs w:val="18"/>
              </w:rPr>
            </w:pPr>
            <w:r w:rsidRPr="004672B0">
              <w:rPr>
                <w:sz w:val="18"/>
                <w:szCs w:val="18"/>
              </w:rPr>
              <w:t>Early (during 2012, as results of TFM application should be known soon</w:t>
            </w:r>
          </w:p>
        </w:tc>
      </w:tr>
      <w:tr w:rsidR="008434CC" w:rsidRPr="004672B0" w:rsidTr="004672B0">
        <w:tc>
          <w:tcPr>
            <w:tcW w:w="2236" w:type="dxa"/>
          </w:tcPr>
          <w:p w:rsidR="008434CC" w:rsidRPr="004672B0" w:rsidRDefault="008434CC" w:rsidP="004672B0">
            <w:pPr>
              <w:spacing w:before="40" w:after="40" w:line="240" w:lineRule="auto"/>
              <w:rPr>
                <w:sz w:val="18"/>
                <w:szCs w:val="18"/>
              </w:rPr>
            </w:pPr>
            <w:r w:rsidRPr="004672B0">
              <w:rPr>
                <w:sz w:val="18"/>
                <w:szCs w:val="18"/>
              </w:rPr>
              <w:t xml:space="preserve">2.3 Negative impact of exchange rate fluctuations on Project budget </w:t>
            </w:r>
          </w:p>
        </w:tc>
        <w:tc>
          <w:tcPr>
            <w:tcW w:w="1587" w:type="dxa"/>
          </w:tcPr>
          <w:p w:rsidR="008434CC" w:rsidRPr="004672B0" w:rsidRDefault="008434CC" w:rsidP="004672B0">
            <w:pPr>
              <w:spacing w:before="40" w:after="40" w:line="240" w:lineRule="auto"/>
              <w:rPr>
                <w:sz w:val="18"/>
                <w:szCs w:val="18"/>
              </w:rPr>
            </w:pPr>
            <w:r w:rsidRPr="004672B0">
              <w:rPr>
                <w:sz w:val="18"/>
                <w:szCs w:val="18"/>
              </w:rPr>
              <w:t>Unlikely, as AUD / USD exchange rate likely to remain high during period of Project</w:t>
            </w:r>
          </w:p>
        </w:tc>
        <w:tc>
          <w:tcPr>
            <w:tcW w:w="2494" w:type="dxa"/>
          </w:tcPr>
          <w:p w:rsidR="008434CC" w:rsidRPr="004672B0" w:rsidRDefault="008434CC" w:rsidP="004672B0">
            <w:pPr>
              <w:spacing w:before="40" w:after="40" w:line="240" w:lineRule="auto"/>
              <w:rPr>
                <w:sz w:val="18"/>
                <w:szCs w:val="18"/>
              </w:rPr>
            </w:pPr>
            <w:r w:rsidRPr="004672B0">
              <w:rPr>
                <w:sz w:val="18"/>
                <w:szCs w:val="18"/>
              </w:rPr>
              <w:t>Minor – Cost base of in-country expenditure and Program resources sourced from Australia (e.g. consultants, equipment) will remain relatively stable as costed in AUD.  Cost of study tours and placements at international destinations, air transport costs (fares, shipping) and cost of some consumable may be adversely affected by changes in exchange rate.</w:t>
            </w:r>
          </w:p>
        </w:tc>
        <w:tc>
          <w:tcPr>
            <w:tcW w:w="1587" w:type="dxa"/>
            <w:shd w:val="clear" w:color="auto" w:fill="FFFF00"/>
          </w:tcPr>
          <w:p w:rsidR="008434CC" w:rsidRPr="004672B0" w:rsidRDefault="008434CC" w:rsidP="004672B0">
            <w:pPr>
              <w:spacing w:before="40" w:after="40" w:line="240" w:lineRule="auto"/>
              <w:jc w:val="center"/>
              <w:rPr>
                <w:b/>
                <w:sz w:val="20"/>
                <w:szCs w:val="20"/>
              </w:rPr>
            </w:pPr>
            <w:r w:rsidRPr="004672B0">
              <w:rPr>
                <w:b/>
                <w:sz w:val="20"/>
                <w:szCs w:val="20"/>
              </w:rPr>
              <w:t>Medium</w:t>
            </w:r>
          </w:p>
        </w:tc>
        <w:tc>
          <w:tcPr>
            <w:tcW w:w="3288" w:type="dxa"/>
          </w:tcPr>
          <w:p w:rsidR="008434CC" w:rsidRPr="004672B0" w:rsidRDefault="008434CC" w:rsidP="004672B0">
            <w:pPr>
              <w:spacing w:before="40" w:after="40" w:line="240" w:lineRule="auto"/>
              <w:rPr>
                <w:color w:val="000000"/>
                <w:sz w:val="18"/>
                <w:szCs w:val="18"/>
              </w:rPr>
            </w:pPr>
            <w:r w:rsidRPr="004672B0">
              <w:rPr>
                <w:color w:val="000000"/>
                <w:sz w:val="18"/>
                <w:szCs w:val="18"/>
              </w:rPr>
              <w:t xml:space="preserve">NTP and SPC will use their own network for sourcing most cost-effective consumables and necessary items of equipment.  The Project budget has a 5% contingency sum to cover exchange rate fluctuations and cost variations for the procurement of goods (e.g. equipment, consumables) and international services (consultancies, air fares); any unused windfall savings or contingency funds can be directed back into the program budget and be available for use during later years of the Project. In addition, SPC is exploring the option of using an AUD-denominated bank account so that exchange rate losses are not incurred between AusAID and SPC. </w:t>
            </w:r>
          </w:p>
        </w:tc>
        <w:tc>
          <w:tcPr>
            <w:tcW w:w="1587" w:type="dxa"/>
          </w:tcPr>
          <w:p w:rsidR="008434CC" w:rsidRPr="004672B0" w:rsidRDefault="008434CC" w:rsidP="004672B0">
            <w:pPr>
              <w:spacing w:before="40" w:after="40" w:line="240" w:lineRule="auto"/>
              <w:rPr>
                <w:sz w:val="18"/>
                <w:szCs w:val="18"/>
              </w:rPr>
            </w:pPr>
            <w:r w:rsidRPr="004672B0">
              <w:rPr>
                <w:sz w:val="18"/>
                <w:szCs w:val="18"/>
              </w:rPr>
              <w:t xml:space="preserve">SPC as fund manager, in collaboration with MHMS Project Management Unit </w:t>
            </w:r>
          </w:p>
        </w:tc>
        <w:tc>
          <w:tcPr>
            <w:tcW w:w="1587" w:type="dxa"/>
          </w:tcPr>
          <w:p w:rsidR="008434CC" w:rsidRPr="004672B0" w:rsidRDefault="008434CC" w:rsidP="004672B0">
            <w:pPr>
              <w:spacing w:before="40" w:after="40" w:line="240" w:lineRule="auto"/>
              <w:rPr>
                <w:sz w:val="18"/>
                <w:szCs w:val="18"/>
              </w:rPr>
            </w:pPr>
            <w:r w:rsidRPr="004672B0">
              <w:rPr>
                <w:sz w:val="18"/>
                <w:szCs w:val="18"/>
              </w:rPr>
              <w:t>Continuous</w:t>
            </w:r>
          </w:p>
        </w:tc>
      </w:tr>
      <w:tr w:rsidR="008434CC" w:rsidRPr="004672B0" w:rsidTr="004672B0">
        <w:tc>
          <w:tcPr>
            <w:tcW w:w="2236" w:type="dxa"/>
          </w:tcPr>
          <w:p w:rsidR="008434CC" w:rsidRPr="004672B0" w:rsidRDefault="008434CC" w:rsidP="004672B0">
            <w:pPr>
              <w:keepNext/>
              <w:spacing w:before="40" w:after="40" w:line="240" w:lineRule="auto"/>
              <w:rPr>
                <w:sz w:val="18"/>
                <w:szCs w:val="18"/>
              </w:rPr>
            </w:pPr>
            <w:r w:rsidRPr="004672B0">
              <w:rPr>
                <w:sz w:val="18"/>
                <w:szCs w:val="18"/>
              </w:rPr>
              <w:lastRenderedPageBreak/>
              <w:t xml:space="preserve">2.4 Health budget inadequate to fund all MHMS counterpart contributions </w:t>
            </w:r>
          </w:p>
        </w:tc>
        <w:tc>
          <w:tcPr>
            <w:tcW w:w="1587" w:type="dxa"/>
          </w:tcPr>
          <w:p w:rsidR="008434CC" w:rsidRPr="004672B0" w:rsidRDefault="008434CC" w:rsidP="004672B0">
            <w:pPr>
              <w:keepNext/>
              <w:spacing w:before="40" w:after="40" w:line="240" w:lineRule="auto"/>
              <w:rPr>
                <w:sz w:val="18"/>
                <w:szCs w:val="18"/>
              </w:rPr>
            </w:pPr>
            <w:r w:rsidRPr="004672B0">
              <w:rPr>
                <w:sz w:val="18"/>
                <w:szCs w:val="18"/>
              </w:rPr>
              <w:t>Possible</w:t>
            </w:r>
          </w:p>
        </w:tc>
        <w:tc>
          <w:tcPr>
            <w:tcW w:w="2494" w:type="dxa"/>
          </w:tcPr>
          <w:p w:rsidR="008434CC" w:rsidRPr="004672B0" w:rsidRDefault="008434CC" w:rsidP="004672B0">
            <w:pPr>
              <w:keepNext/>
              <w:spacing w:before="40" w:after="40" w:line="240" w:lineRule="auto"/>
              <w:rPr>
                <w:sz w:val="18"/>
                <w:szCs w:val="18"/>
              </w:rPr>
            </w:pPr>
            <w:r w:rsidRPr="004672B0">
              <w:rPr>
                <w:sz w:val="18"/>
                <w:szCs w:val="18"/>
              </w:rPr>
              <w:t>Minor – Counterpart contributions mainly in the form of personnel (e.g. availability of nursing staff) and in-kind support (e.g. procurement of first line TB drugs and laboratory consumables)</w:t>
            </w:r>
          </w:p>
        </w:tc>
        <w:tc>
          <w:tcPr>
            <w:tcW w:w="1587" w:type="dxa"/>
            <w:shd w:val="clear" w:color="auto" w:fill="FFFF00"/>
          </w:tcPr>
          <w:p w:rsidR="008434CC" w:rsidRPr="004672B0" w:rsidRDefault="008434CC" w:rsidP="004672B0">
            <w:pPr>
              <w:keepNext/>
              <w:spacing w:before="40" w:after="40" w:line="240" w:lineRule="auto"/>
              <w:jc w:val="center"/>
              <w:rPr>
                <w:b/>
                <w:sz w:val="20"/>
                <w:szCs w:val="20"/>
              </w:rPr>
            </w:pPr>
            <w:r w:rsidRPr="004672B0">
              <w:rPr>
                <w:b/>
                <w:sz w:val="20"/>
                <w:szCs w:val="20"/>
              </w:rPr>
              <w:t>Medium</w:t>
            </w:r>
          </w:p>
        </w:tc>
        <w:tc>
          <w:tcPr>
            <w:tcW w:w="3288" w:type="dxa"/>
          </w:tcPr>
          <w:p w:rsidR="008434CC" w:rsidRPr="004672B0" w:rsidRDefault="008434CC" w:rsidP="004672B0">
            <w:pPr>
              <w:keepNext/>
              <w:spacing w:before="40" w:after="40" w:line="240" w:lineRule="auto"/>
              <w:rPr>
                <w:sz w:val="18"/>
                <w:szCs w:val="18"/>
              </w:rPr>
            </w:pPr>
            <w:r w:rsidRPr="004672B0">
              <w:rPr>
                <w:sz w:val="18"/>
                <w:szCs w:val="18"/>
              </w:rPr>
              <w:t>The Project will minimise recurrent cost burden on the MHMS and NTP by having its own budget for laboratory consumables and accessing second line drugs for any case of MDR-TB.  Annual work planning and budgeting process should identify any recurrent cost implications for MHMS.</w:t>
            </w:r>
          </w:p>
        </w:tc>
        <w:tc>
          <w:tcPr>
            <w:tcW w:w="1587" w:type="dxa"/>
          </w:tcPr>
          <w:p w:rsidR="008434CC" w:rsidRPr="004672B0" w:rsidRDefault="008434CC" w:rsidP="004672B0">
            <w:pPr>
              <w:keepNext/>
              <w:spacing w:before="40" w:after="40" w:line="240" w:lineRule="auto"/>
              <w:rPr>
                <w:sz w:val="18"/>
                <w:szCs w:val="18"/>
              </w:rPr>
            </w:pPr>
            <w:r w:rsidRPr="004672B0">
              <w:rPr>
                <w:sz w:val="18"/>
                <w:szCs w:val="18"/>
              </w:rPr>
              <w:t>SPC (Senior Adviser, Noumea-based TB Adviser, IMVS consultants), MHMS (Director of Public Health), NTP</w:t>
            </w:r>
          </w:p>
        </w:tc>
        <w:tc>
          <w:tcPr>
            <w:tcW w:w="1587" w:type="dxa"/>
          </w:tcPr>
          <w:p w:rsidR="008434CC" w:rsidRPr="004672B0" w:rsidRDefault="008434CC" w:rsidP="004672B0">
            <w:pPr>
              <w:keepNext/>
              <w:spacing w:before="40" w:after="40" w:line="240" w:lineRule="auto"/>
              <w:rPr>
                <w:sz w:val="18"/>
                <w:szCs w:val="18"/>
              </w:rPr>
            </w:pPr>
            <w:r w:rsidRPr="004672B0">
              <w:rPr>
                <w:sz w:val="18"/>
                <w:szCs w:val="18"/>
              </w:rPr>
              <w:t>Continuous, but especially during annual program review and development of integrated annual NTP work plan and budget</w:t>
            </w:r>
          </w:p>
        </w:tc>
      </w:tr>
      <w:tr w:rsidR="008434CC" w:rsidRPr="004672B0" w:rsidTr="004672B0">
        <w:tc>
          <w:tcPr>
            <w:tcW w:w="14366" w:type="dxa"/>
            <w:gridSpan w:val="7"/>
            <w:shd w:val="clear" w:color="auto" w:fill="B8CCE4"/>
          </w:tcPr>
          <w:p w:rsidR="008434CC" w:rsidRPr="004672B0" w:rsidRDefault="008434CC" w:rsidP="004672B0">
            <w:pPr>
              <w:keepNext/>
              <w:spacing w:before="40" w:after="40" w:line="240" w:lineRule="auto"/>
              <w:rPr>
                <w:rFonts w:ascii="Arial" w:hAnsi="Arial" w:cs="Arial"/>
                <w:sz w:val="20"/>
                <w:szCs w:val="20"/>
              </w:rPr>
            </w:pPr>
            <w:r w:rsidRPr="004672B0">
              <w:rPr>
                <w:rFonts w:cs="Calibri"/>
                <w:b/>
              </w:rPr>
              <w:t>3. Risks related to Program Implementation</w:t>
            </w:r>
          </w:p>
        </w:tc>
      </w:tr>
      <w:tr w:rsidR="008434CC" w:rsidRPr="004672B0" w:rsidTr="004672B0">
        <w:tc>
          <w:tcPr>
            <w:tcW w:w="2236" w:type="dxa"/>
          </w:tcPr>
          <w:p w:rsidR="008434CC" w:rsidRPr="004672B0" w:rsidRDefault="008434CC" w:rsidP="004672B0">
            <w:pPr>
              <w:spacing w:before="40" w:after="40" w:line="240" w:lineRule="auto"/>
              <w:rPr>
                <w:sz w:val="18"/>
                <w:szCs w:val="18"/>
              </w:rPr>
            </w:pPr>
            <w:r w:rsidRPr="004672B0">
              <w:rPr>
                <w:sz w:val="18"/>
                <w:szCs w:val="18"/>
              </w:rPr>
              <w:t>3.1 Program unable to identify appropriately qualified and experienced staff to fill Project-funded positions or consultants to undertake Project-funded capacity development tasks</w:t>
            </w:r>
          </w:p>
        </w:tc>
        <w:tc>
          <w:tcPr>
            <w:tcW w:w="1587" w:type="dxa"/>
          </w:tcPr>
          <w:p w:rsidR="008434CC" w:rsidRPr="004672B0" w:rsidRDefault="008434CC" w:rsidP="004672B0">
            <w:pPr>
              <w:spacing w:before="40" w:after="40" w:line="240" w:lineRule="auto"/>
              <w:rPr>
                <w:sz w:val="18"/>
                <w:szCs w:val="18"/>
              </w:rPr>
            </w:pPr>
            <w:r w:rsidRPr="004672B0">
              <w:rPr>
                <w:sz w:val="18"/>
                <w:szCs w:val="18"/>
              </w:rPr>
              <w:t>Rare</w:t>
            </w:r>
          </w:p>
        </w:tc>
        <w:tc>
          <w:tcPr>
            <w:tcW w:w="2494" w:type="dxa"/>
          </w:tcPr>
          <w:p w:rsidR="008434CC" w:rsidRPr="004672B0" w:rsidRDefault="008434CC" w:rsidP="004672B0">
            <w:pPr>
              <w:spacing w:before="40" w:after="40" w:line="240" w:lineRule="auto"/>
              <w:rPr>
                <w:sz w:val="18"/>
                <w:szCs w:val="18"/>
              </w:rPr>
            </w:pPr>
            <w:r w:rsidRPr="004672B0">
              <w:rPr>
                <w:sz w:val="18"/>
                <w:szCs w:val="18"/>
              </w:rPr>
              <w:t xml:space="preserve">Major – Potential disruption of capacity development and supervision relationships, and in smooth functioning of relationship with MHMS.  </w:t>
            </w:r>
          </w:p>
        </w:tc>
        <w:tc>
          <w:tcPr>
            <w:tcW w:w="1587" w:type="dxa"/>
            <w:shd w:val="clear" w:color="auto" w:fill="FFFF00"/>
          </w:tcPr>
          <w:p w:rsidR="008434CC" w:rsidRPr="004672B0" w:rsidRDefault="008434CC" w:rsidP="004672B0">
            <w:pPr>
              <w:spacing w:before="40" w:after="40" w:line="240" w:lineRule="auto"/>
              <w:jc w:val="center"/>
              <w:rPr>
                <w:b/>
                <w:sz w:val="20"/>
                <w:szCs w:val="20"/>
              </w:rPr>
            </w:pPr>
            <w:r w:rsidRPr="004672B0">
              <w:rPr>
                <w:b/>
                <w:sz w:val="20"/>
                <w:szCs w:val="20"/>
              </w:rPr>
              <w:t>Medium</w:t>
            </w:r>
          </w:p>
        </w:tc>
        <w:tc>
          <w:tcPr>
            <w:tcW w:w="3288" w:type="dxa"/>
          </w:tcPr>
          <w:p w:rsidR="008434CC" w:rsidRPr="004672B0" w:rsidRDefault="008434CC" w:rsidP="004672B0">
            <w:pPr>
              <w:spacing w:before="40" w:after="40" w:line="240" w:lineRule="auto"/>
              <w:rPr>
                <w:sz w:val="18"/>
                <w:szCs w:val="18"/>
              </w:rPr>
            </w:pPr>
            <w:r w:rsidRPr="004672B0">
              <w:rPr>
                <w:sz w:val="18"/>
                <w:szCs w:val="18"/>
              </w:rPr>
              <w:t>NTP and SPC already have a stable work force and consultant network who are supportive of the Kiribati NTP.  The only new position for the new Project is the Accountant, but this could be filled with a less qualified individual (e.g. a book-keeper), working under the supervision of the Noumea-based Project Administrator and the Accountant managing the MHMS Projects Management Unit.</w:t>
            </w:r>
          </w:p>
        </w:tc>
        <w:tc>
          <w:tcPr>
            <w:tcW w:w="1587" w:type="dxa"/>
          </w:tcPr>
          <w:p w:rsidR="008434CC" w:rsidRPr="004672B0" w:rsidRDefault="008434CC" w:rsidP="004672B0">
            <w:pPr>
              <w:spacing w:before="40" w:after="40" w:line="240" w:lineRule="auto"/>
              <w:rPr>
                <w:sz w:val="18"/>
                <w:szCs w:val="18"/>
              </w:rPr>
            </w:pPr>
            <w:r w:rsidRPr="004672B0">
              <w:rPr>
                <w:sz w:val="18"/>
                <w:szCs w:val="18"/>
              </w:rPr>
              <w:t xml:space="preserve">SPC (Senior Adviser, Noumea-based staff) </w:t>
            </w:r>
          </w:p>
        </w:tc>
        <w:tc>
          <w:tcPr>
            <w:tcW w:w="1587" w:type="dxa"/>
          </w:tcPr>
          <w:p w:rsidR="008434CC" w:rsidRPr="004672B0" w:rsidRDefault="008434CC" w:rsidP="004672B0">
            <w:pPr>
              <w:spacing w:before="40" w:after="40" w:line="240" w:lineRule="auto"/>
              <w:rPr>
                <w:sz w:val="18"/>
                <w:szCs w:val="18"/>
              </w:rPr>
            </w:pPr>
            <w:r w:rsidRPr="004672B0">
              <w:rPr>
                <w:sz w:val="18"/>
                <w:szCs w:val="18"/>
              </w:rPr>
              <w:t>Continuous (but especially during Transition Phase and Year 1)</w:t>
            </w:r>
          </w:p>
        </w:tc>
      </w:tr>
      <w:tr w:rsidR="008434CC" w:rsidRPr="004672B0" w:rsidTr="004672B0">
        <w:tc>
          <w:tcPr>
            <w:tcW w:w="2236" w:type="dxa"/>
          </w:tcPr>
          <w:p w:rsidR="008434CC" w:rsidRPr="004672B0" w:rsidRDefault="008434CC" w:rsidP="004672B0">
            <w:pPr>
              <w:spacing w:before="40" w:after="40" w:line="240" w:lineRule="auto"/>
              <w:rPr>
                <w:sz w:val="18"/>
                <w:szCs w:val="18"/>
              </w:rPr>
            </w:pPr>
            <w:r w:rsidRPr="004672B0">
              <w:rPr>
                <w:sz w:val="18"/>
                <w:szCs w:val="18"/>
              </w:rPr>
              <w:t>3.2 Emergence of MDR-TB</w:t>
            </w:r>
          </w:p>
        </w:tc>
        <w:tc>
          <w:tcPr>
            <w:tcW w:w="1587" w:type="dxa"/>
          </w:tcPr>
          <w:p w:rsidR="008434CC" w:rsidRPr="004672B0" w:rsidRDefault="008434CC" w:rsidP="004672B0">
            <w:pPr>
              <w:spacing w:before="40" w:after="40" w:line="240" w:lineRule="auto"/>
              <w:rPr>
                <w:sz w:val="18"/>
                <w:szCs w:val="18"/>
              </w:rPr>
            </w:pPr>
            <w:r w:rsidRPr="004672B0">
              <w:rPr>
                <w:sz w:val="18"/>
                <w:szCs w:val="18"/>
              </w:rPr>
              <w:t>Possible</w:t>
            </w:r>
          </w:p>
        </w:tc>
        <w:tc>
          <w:tcPr>
            <w:tcW w:w="2494" w:type="dxa"/>
          </w:tcPr>
          <w:p w:rsidR="008434CC" w:rsidRPr="004672B0" w:rsidRDefault="008434CC" w:rsidP="004672B0">
            <w:pPr>
              <w:spacing w:before="40" w:after="40" w:line="240" w:lineRule="auto"/>
              <w:rPr>
                <w:sz w:val="18"/>
                <w:szCs w:val="18"/>
              </w:rPr>
            </w:pPr>
            <w:r w:rsidRPr="004672B0">
              <w:rPr>
                <w:sz w:val="18"/>
                <w:szCs w:val="18"/>
              </w:rPr>
              <w:t>Minor – May cause NTP expansion plans to fall behind schedule as resources are diverted to affected community</w:t>
            </w:r>
          </w:p>
        </w:tc>
        <w:tc>
          <w:tcPr>
            <w:tcW w:w="1587" w:type="dxa"/>
            <w:shd w:val="clear" w:color="auto" w:fill="FFFF00"/>
          </w:tcPr>
          <w:p w:rsidR="008434CC" w:rsidRPr="004672B0" w:rsidRDefault="008434CC" w:rsidP="004672B0">
            <w:pPr>
              <w:spacing w:before="40" w:after="40" w:line="240" w:lineRule="auto"/>
              <w:jc w:val="center"/>
              <w:rPr>
                <w:b/>
                <w:sz w:val="20"/>
                <w:szCs w:val="20"/>
              </w:rPr>
            </w:pPr>
            <w:r w:rsidRPr="004672B0">
              <w:rPr>
                <w:b/>
                <w:sz w:val="20"/>
                <w:szCs w:val="20"/>
              </w:rPr>
              <w:t>Medium</w:t>
            </w:r>
          </w:p>
        </w:tc>
        <w:tc>
          <w:tcPr>
            <w:tcW w:w="3288" w:type="dxa"/>
          </w:tcPr>
          <w:p w:rsidR="008434CC" w:rsidRPr="004672B0" w:rsidRDefault="008434CC" w:rsidP="004672B0">
            <w:pPr>
              <w:spacing w:before="40" w:after="40" w:line="240" w:lineRule="auto"/>
              <w:rPr>
                <w:sz w:val="18"/>
                <w:szCs w:val="18"/>
              </w:rPr>
            </w:pPr>
            <w:r w:rsidRPr="004672B0">
              <w:rPr>
                <w:sz w:val="18"/>
                <w:szCs w:val="18"/>
              </w:rPr>
              <w:t xml:space="preserve">The Project and the NTP </w:t>
            </w:r>
            <w:r w:rsidRPr="004672B0">
              <w:rPr>
                <w:i/>
                <w:sz w:val="18"/>
                <w:szCs w:val="18"/>
              </w:rPr>
              <w:t>Strategic Plan</w:t>
            </w:r>
            <w:r w:rsidRPr="004672B0">
              <w:rPr>
                <w:sz w:val="18"/>
                <w:szCs w:val="18"/>
              </w:rPr>
              <w:t xml:space="preserve"> already prioritise management of and response to MDR-TB, including through a Project-funded mechanism to access second line TB drugs.  Technical assistance is available via SPC and WHO to help address any cluster or wider transmission of MDR-TB beyond an index case </w:t>
            </w:r>
          </w:p>
        </w:tc>
        <w:tc>
          <w:tcPr>
            <w:tcW w:w="1587" w:type="dxa"/>
          </w:tcPr>
          <w:p w:rsidR="008434CC" w:rsidRPr="004672B0" w:rsidRDefault="008434CC" w:rsidP="004672B0">
            <w:pPr>
              <w:spacing w:before="40" w:after="40" w:line="240" w:lineRule="auto"/>
              <w:rPr>
                <w:sz w:val="18"/>
                <w:szCs w:val="18"/>
              </w:rPr>
            </w:pPr>
            <w:r w:rsidRPr="004672B0">
              <w:rPr>
                <w:sz w:val="18"/>
                <w:szCs w:val="18"/>
              </w:rPr>
              <w:t>NTP, SPC, WHO</w:t>
            </w:r>
          </w:p>
        </w:tc>
        <w:tc>
          <w:tcPr>
            <w:tcW w:w="1587" w:type="dxa"/>
          </w:tcPr>
          <w:p w:rsidR="008434CC" w:rsidRPr="004672B0" w:rsidRDefault="008434CC" w:rsidP="004672B0">
            <w:pPr>
              <w:spacing w:before="40" w:after="40" w:line="240" w:lineRule="auto"/>
              <w:rPr>
                <w:sz w:val="18"/>
                <w:szCs w:val="18"/>
              </w:rPr>
            </w:pPr>
            <w:r w:rsidRPr="004672B0">
              <w:rPr>
                <w:sz w:val="18"/>
                <w:szCs w:val="18"/>
              </w:rPr>
              <w:t>Continuous</w:t>
            </w:r>
          </w:p>
        </w:tc>
      </w:tr>
      <w:tr w:rsidR="008434CC" w:rsidRPr="004672B0" w:rsidTr="004672B0">
        <w:tc>
          <w:tcPr>
            <w:tcW w:w="2236" w:type="dxa"/>
          </w:tcPr>
          <w:p w:rsidR="008434CC" w:rsidRPr="004672B0" w:rsidRDefault="008434CC" w:rsidP="004672B0">
            <w:pPr>
              <w:spacing w:before="40" w:after="40" w:line="240" w:lineRule="auto"/>
              <w:rPr>
                <w:sz w:val="18"/>
                <w:szCs w:val="18"/>
              </w:rPr>
            </w:pPr>
            <w:r w:rsidRPr="004672B0">
              <w:rPr>
                <w:sz w:val="18"/>
                <w:szCs w:val="18"/>
              </w:rPr>
              <w:t>3.3 Failure to negotiate access to molecular diagnosis in Fiji for suspected MDR-TB or persistent sputum-negative cases</w:t>
            </w:r>
          </w:p>
        </w:tc>
        <w:tc>
          <w:tcPr>
            <w:tcW w:w="1587" w:type="dxa"/>
          </w:tcPr>
          <w:p w:rsidR="008434CC" w:rsidRPr="004672B0" w:rsidRDefault="008434CC" w:rsidP="004672B0">
            <w:pPr>
              <w:spacing w:before="40" w:after="40" w:line="240" w:lineRule="auto"/>
              <w:rPr>
                <w:sz w:val="18"/>
                <w:szCs w:val="18"/>
              </w:rPr>
            </w:pPr>
            <w:r w:rsidRPr="004672B0">
              <w:rPr>
                <w:sz w:val="18"/>
                <w:szCs w:val="18"/>
              </w:rPr>
              <w:t>Unlikely</w:t>
            </w:r>
          </w:p>
        </w:tc>
        <w:tc>
          <w:tcPr>
            <w:tcW w:w="2494" w:type="dxa"/>
          </w:tcPr>
          <w:p w:rsidR="008434CC" w:rsidRPr="004672B0" w:rsidRDefault="008434CC" w:rsidP="004672B0">
            <w:pPr>
              <w:spacing w:before="40" w:after="40" w:line="240" w:lineRule="auto"/>
              <w:rPr>
                <w:sz w:val="18"/>
                <w:szCs w:val="18"/>
              </w:rPr>
            </w:pPr>
            <w:r w:rsidRPr="004672B0">
              <w:rPr>
                <w:sz w:val="18"/>
                <w:szCs w:val="18"/>
              </w:rPr>
              <w:t>Minor– would introduce delays as NTP becomes reliant on alternative diagnostic pathway (e.g. shipping culture specimens to IMVS for DST)</w:t>
            </w:r>
          </w:p>
        </w:tc>
        <w:tc>
          <w:tcPr>
            <w:tcW w:w="1587" w:type="dxa"/>
            <w:shd w:val="clear" w:color="auto" w:fill="92D050"/>
          </w:tcPr>
          <w:p w:rsidR="008434CC" w:rsidRPr="004672B0" w:rsidRDefault="008434CC" w:rsidP="004672B0">
            <w:pPr>
              <w:spacing w:before="40" w:after="40" w:line="240" w:lineRule="auto"/>
              <w:jc w:val="center"/>
              <w:rPr>
                <w:b/>
                <w:sz w:val="20"/>
                <w:szCs w:val="20"/>
              </w:rPr>
            </w:pPr>
            <w:r w:rsidRPr="004672B0">
              <w:rPr>
                <w:b/>
                <w:sz w:val="20"/>
                <w:szCs w:val="20"/>
              </w:rPr>
              <w:t>Low</w:t>
            </w:r>
          </w:p>
        </w:tc>
        <w:tc>
          <w:tcPr>
            <w:tcW w:w="3288" w:type="dxa"/>
          </w:tcPr>
          <w:p w:rsidR="008434CC" w:rsidRPr="004672B0" w:rsidRDefault="008434CC" w:rsidP="004672B0">
            <w:pPr>
              <w:spacing w:before="40" w:after="40" w:line="240" w:lineRule="auto"/>
              <w:rPr>
                <w:sz w:val="18"/>
                <w:szCs w:val="18"/>
              </w:rPr>
            </w:pPr>
            <w:r w:rsidRPr="004672B0">
              <w:rPr>
                <w:sz w:val="18"/>
                <w:szCs w:val="18"/>
              </w:rPr>
              <w:t xml:space="preserve">SPC’s Laboratory Adviser is based at the Suva campus and has ready access to FIJI MOH and the Daulago Laboratory at Tamavua (where </w:t>
            </w:r>
            <w:r w:rsidRPr="004672B0">
              <w:rPr>
                <w:i/>
                <w:sz w:val="18"/>
                <w:szCs w:val="18"/>
              </w:rPr>
              <w:t>GeneXpert</w:t>
            </w:r>
            <w:r w:rsidRPr="004672B0">
              <w:rPr>
                <w:sz w:val="18"/>
                <w:szCs w:val="18"/>
              </w:rPr>
              <w:t xml:space="preserve"> technology will be located).  Operational research component will examine feasibility of locating molecular diagnosis capability in Kiribati (at the national TB Laboratory)</w:t>
            </w:r>
          </w:p>
        </w:tc>
        <w:tc>
          <w:tcPr>
            <w:tcW w:w="1587" w:type="dxa"/>
          </w:tcPr>
          <w:p w:rsidR="008434CC" w:rsidRPr="004672B0" w:rsidRDefault="008434CC" w:rsidP="004672B0">
            <w:pPr>
              <w:spacing w:before="40" w:after="40" w:line="240" w:lineRule="auto"/>
              <w:rPr>
                <w:sz w:val="18"/>
                <w:szCs w:val="18"/>
              </w:rPr>
            </w:pPr>
            <w:r w:rsidRPr="004672B0">
              <w:rPr>
                <w:sz w:val="18"/>
                <w:szCs w:val="18"/>
              </w:rPr>
              <w:t>SPC (Noumea and Suva), in consultation with NTP and in-country team (Senior Adviser, TB Laboratory Supervisor)</w:t>
            </w:r>
          </w:p>
        </w:tc>
        <w:tc>
          <w:tcPr>
            <w:tcW w:w="1587" w:type="dxa"/>
          </w:tcPr>
          <w:p w:rsidR="008434CC" w:rsidRPr="004672B0" w:rsidRDefault="008434CC" w:rsidP="004672B0">
            <w:pPr>
              <w:spacing w:before="40" w:after="40" w:line="240" w:lineRule="auto"/>
              <w:rPr>
                <w:sz w:val="18"/>
                <w:szCs w:val="18"/>
              </w:rPr>
            </w:pPr>
            <w:r w:rsidRPr="004672B0">
              <w:rPr>
                <w:sz w:val="18"/>
                <w:szCs w:val="18"/>
              </w:rPr>
              <w:t>During Year 1 of the Project, then continuous</w:t>
            </w:r>
          </w:p>
        </w:tc>
      </w:tr>
      <w:tr w:rsidR="008434CC" w:rsidRPr="004672B0" w:rsidTr="004672B0">
        <w:tc>
          <w:tcPr>
            <w:tcW w:w="2236" w:type="dxa"/>
          </w:tcPr>
          <w:p w:rsidR="008434CC" w:rsidRPr="004672B0" w:rsidRDefault="008434CC" w:rsidP="004672B0">
            <w:pPr>
              <w:spacing w:before="40" w:after="40" w:line="240" w:lineRule="auto"/>
              <w:rPr>
                <w:sz w:val="18"/>
                <w:szCs w:val="18"/>
              </w:rPr>
            </w:pPr>
            <w:r w:rsidRPr="004672B0">
              <w:rPr>
                <w:sz w:val="18"/>
                <w:szCs w:val="18"/>
              </w:rPr>
              <w:lastRenderedPageBreak/>
              <w:t>3.4 Reluctance of clinical staff to adopt revised and updated management guidelines, especially for paediatric TB</w:t>
            </w:r>
          </w:p>
        </w:tc>
        <w:tc>
          <w:tcPr>
            <w:tcW w:w="1587" w:type="dxa"/>
          </w:tcPr>
          <w:p w:rsidR="008434CC" w:rsidRPr="004672B0" w:rsidRDefault="008434CC" w:rsidP="004672B0">
            <w:pPr>
              <w:spacing w:before="40" w:after="40" w:line="240" w:lineRule="auto"/>
              <w:rPr>
                <w:sz w:val="18"/>
                <w:szCs w:val="18"/>
              </w:rPr>
            </w:pPr>
            <w:r w:rsidRPr="004672B0">
              <w:rPr>
                <w:sz w:val="18"/>
                <w:szCs w:val="18"/>
              </w:rPr>
              <w:t>Possible</w:t>
            </w:r>
          </w:p>
        </w:tc>
        <w:tc>
          <w:tcPr>
            <w:tcW w:w="2494" w:type="dxa"/>
          </w:tcPr>
          <w:p w:rsidR="008434CC" w:rsidRPr="004672B0" w:rsidRDefault="008434CC" w:rsidP="004672B0">
            <w:pPr>
              <w:spacing w:before="40" w:after="40" w:line="240" w:lineRule="auto"/>
              <w:rPr>
                <w:sz w:val="18"/>
                <w:szCs w:val="18"/>
              </w:rPr>
            </w:pPr>
            <w:r w:rsidRPr="004672B0">
              <w:rPr>
                <w:sz w:val="18"/>
                <w:szCs w:val="18"/>
              </w:rPr>
              <w:t>Minor impact on Project itself, but some potential impact on NTP outcomes and indicators (which also reflect Project performance) – may be some delay in achieving cure or othr clinical outcomes</w:t>
            </w:r>
          </w:p>
        </w:tc>
        <w:tc>
          <w:tcPr>
            <w:tcW w:w="1587" w:type="dxa"/>
            <w:shd w:val="clear" w:color="auto" w:fill="FFFF00"/>
          </w:tcPr>
          <w:p w:rsidR="008434CC" w:rsidRPr="004672B0" w:rsidRDefault="008434CC" w:rsidP="004672B0">
            <w:pPr>
              <w:spacing w:before="40" w:after="40" w:line="240" w:lineRule="auto"/>
              <w:jc w:val="center"/>
              <w:rPr>
                <w:b/>
                <w:sz w:val="20"/>
                <w:szCs w:val="20"/>
              </w:rPr>
            </w:pPr>
            <w:r w:rsidRPr="004672B0">
              <w:rPr>
                <w:b/>
                <w:sz w:val="20"/>
                <w:szCs w:val="20"/>
              </w:rPr>
              <w:t>Medium</w:t>
            </w:r>
          </w:p>
        </w:tc>
        <w:tc>
          <w:tcPr>
            <w:tcW w:w="3288" w:type="dxa"/>
          </w:tcPr>
          <w:p w:rsidR="008434CC" w:rsidRPr="004672B0" w:rsidRDefault="008434CC" w:rsidP="004672B0">
            <w:pPr>
              <w:spacing w:before="40" w:after="40" w:line="240" w:lineRule="auto"/>
              <w:rPr>
                <w:sz w:val="18"/>
                <w:szCs w:val="18"/>
              </w:rPr>
            </w:pPr>
            <w:r w:rsidRPr="004672B0">
              <w:rPr>
                <w:sz w:val="18"/>
                <w:szCs w:val="18"/>
              </w:rPr>
              <w:t>Continued prioritisation of and support for medical staff, including training and orientation on TB management and through clinical case review panel</w:t>
            </w:r>
          </w:p>
        </w:tc>
        <w:tc>
          <w:tcPr>
            <w:tcW w:w="1587" w:type="dxa"/>
          </w:tcPr>
          <w:p w:rsidR="008434CC" w:rsidRPr="004672B0" w:rsidRDefault="008434CC" w:rsidP="004672B0">
            <w:pPr>
              <w:spacing w:before="40" w:after="40" w:line="240" w:lineRule="auto"/>
              <w:rPr>
                <w:sz w:val="18"/>
                <w:szCs w:val="18"/>
              </w:rPr>
            </w:pPr>
            <w:r w:rsidRPr="004672B0">
              <w:rPr>
                <w:sz w:val="18"/>
                <w:szCs w:val="18"/>
              </w:rPr>
              <w:t>NTP, with support of Senior Adviser</w:t>
            </w:r>
          </w:p>
        </w:tc>
        <w:tc>
          <w:tcPr>
            <w:tcW w:w="1587" w:type="dxa"/>
          </w:tcPr>
          <w:p w:rsidR="008434CC" w:rsidRPr="004672B0" w:rsidRDefault="008434CC" w:rsidP="004672B0">
            <w:pPr>
              <w:spacing w:before="40" w:after="40" w:line="240" w:lineRule="auto"/>
              <w:rPr>
                <w:sz w:val="18"/>
                <w:szCs w:val="18"/>
              </w:rPr>
            </w:pPr>
            <w:r w:rsidRPr="004672B0">
              <w:rPr>
                <w:sz w:val="18"/>
                <w:szCs w:val="18"/>
              </w:rPr>
              <w:t>Continuous (but especially on return of candidates from any regional training for clinicians)</w:t>
            </w:r>
          </w:p>
        </w:tc>
      </w:tr>
      <w:tr w:rsidR="008434CC" w:rsidRPr="004672B0" w:rsidTr="004672B0">
        <w:tc>
          <w:tcPr>
            <w:tcW w:w="2236" w:type="dxa"/>
          </w:tcPr>
          <w:p w:rsidR="008434CC" w:rsidRPr="004672B0" w:rsidRDefault="008434CC" w:rsidP="004672B0">
            <w:pPr>
              <w:spacing w:before="40" w:after="40" w:line="240" w:lineRule="auto"/>
              <w:rPr>
                <w:sz w:val="18"/>
                <w:szCs w:val="18"/>
              </w:rPr>
            </w:pPr>
            <w:r w:rsidRPr="004672B0">
              <w:rPr>
                <w:sz w:val="18"/>
                <w:szCs w:val="18"/>
              </w:rPr>
              <w:t>3.5 Large cohort of medical graduates from Cuban system (either returning from overseas or graduating locally) overwhelms NTP with non-standard approaches to TB diagnosis and treatment</w:t>
            </w:r>
          </w:p>
        </w:tc>
        <w:tc>
          <w:tcPr>
            <w:tcW w:w="1587" w:type="dxa"/>
          </w:tcPr>
          <w:p w:rsidR="008434CC" w:rsidRPr="004672B0" w:rsidRDefault="008434CC" w:rsidP="004672B0">
            <w:pPr>
              <w:spacing w:before="40" w:after="40" w:line="240" w:lineRule="auto"/>
              <w:rPr>
                <w:sz w:val="18"/>
                <w:szCs w:val="18"/>
              </w:rPr>
            </w:pPr>
            <w:r w:rsidRPr="004672B0">
              <w:rPr>
                <w:sz w:val="18"/>
                <w:szCs w:val="18"/>
              </w:rPr>
              <w:t>Unlikely</w:t>
            </w:r>
          </w:p>
        </w:tc>
        <w:tc>
          <w:tcPr>
            <w:tcW w:w="2494" w:type="dxa"/>
          </w:tcPr>
          <w:p w:rsidR="008434CC" w:rsidRPr="004672B0" w:rsidRDefault="008434CC" w:rsidP="004672B0">
            <w:pPr>
              <w:spacing w:before="40" w:after="40" w:line="240" w:lineRule="auto"/>
              <w:rPr>
                <w:sz w:val="18"/>
                <w:szCs w:val="18"/>
              </w:rPr>
            </w:pPr>
            <w:r w:rsidRPr="004672B0">
              <w:rPr>
                <w:sz w:val="18"/>
                <w:szCs w:val="18"/>
              </w:rPr>
              <w:t>Minor – Health sector and NTP should have enough senior, experienced clinicians to provide mentoring, supervision and case management advice during internship for Cuban graduates (who should also be encouraged to participate in any in-service training through the Project).</w:t>
            </w:r>
          </w:p>
        </w:tc>
        <w:tc>
          <w:tcPr>
            <w:tcW w:w="1587" w:type="dxa"/>
            <w:shd w:val="clear" w:color="auto" w:fill="92D050"/>
          </w:tcPr>
          <w:p w:rsidR="008434CC" w:rsidRPr="004672B0" w:rsidRDefault="008434CC" w:rsidP="004672B0">
            <w:pPr>
              <w:spacing w:before="40" w:after="40" w:line="240" w:lineRule="auto"/>
              <w:jc w:val="center"/>
              <w:rPr>
                <w:b/>
                <w:sz w:val="20"/>
                <w:szCs w:val="20"/>
              </w:rPr>
            </w:pPr>
            <w:r w:rsidRPr="004672B0">
              <w:rPr>
                <w:b/>
                <w:sz w:val="20"/>
                <w:szCs w:val="20"/>
              </w:rPr>
              <w:t>Low</w:t>
            </w:r>
          </w:p>
        </w:tc>
        <w:tc>
          <w:tcPr>
            <w:tcW w:w="3288" w:type="dxa"/>
          </w:tcPr>
          <w:p w:rsidR="008434CC" w:rsidRPr="004672B0" w:rsidRDefault="008434CC" w:rsidP="004672B0">
            <w:pPr>
              <w:spacing w:before="40" w:after="40" w:line="240" w:lineRule="auto"/>
              <w:rPr>
                <w:sz w:val="18"/>
                <w:szCs w:val="18"/>
              </w:rPr>
            </w:pPr>
            <w:r w:rsidRPr="004672B0">
              <w:rPr>
                <w:sz w:val="18"/>
                <w:szCs w:val="18"/>
              </w:rPr>
              <w:t>Careful dialogue and close collaboration with Cuban Medical Brigade during first program year; to ensure appropriate “re-entry” orientation and training in TB as an important local cause of morbidity.  Continued engagement with new graduates to develop skills in diagnosis and case management and monitoring, and especially prior to placement in hospitals outside Tarawa</w:t>
            </w:r>
          </w:p>
        </w:tc>
        <w:tc>
          <w:tcPr>
            <w:tcW w:w="1587" w:type="dxa"/>
          </w:tcPr>
          <w:p w:rsidR="008434CC" w:rsidRPr="004672B0" w:rsidRDefault="008434CC" w:rsidP="004672B0">
            <w:pPr>
              <w:spacing w:before="40" w:after="40" w:line="240" w:lineRule="auto"/>
              <w:rPr>
                <w:sz w:val="18"/>
                <w:szCs w:val="18"/>
              </w:rPr>
            </w:pPr>
            <w:r w:rsidRPr="004672B0">
              <w:rPr>
                <w:sz w:val="18"/>
                <w:szCs w:val="18"/>
              </w:rPr>
              <w:t>MHMS, NTP</w:t>
            </w:r>
          </w:p>
        </w:tc>
        <w:tc>
          <w:tcPr>
            <w:tcW w:w="1587" w:type="dxa"/>
          </w:tcPr>
          <w:p w:rsidR="008434CC" w:rsidRPr="004672B0" w:rsidRDefault="008434CC" w:rsidP="004672B0">
            <w:pPr>
              <w:spacing w:before="40" w:after="40" w:line="240" w:lineRule="auto"/>
              <w:rPr>
                <w:sz w:val="18"/>
                <w:szCs w:val="18"/>
              </w:rPr>
            </w:pPr>
            <w:r w:rsidRPr="004672B0">
              <w:rPr>
                <w:sz w:val="18"/>
                <w:szCs w:val="18"/>
              </w:rPr>
              <w:t>Continuous (but especially during Project Years 2 and 3  when the largest numbers of medical students are expected to graduate)</w:t>
            </w:r>
          </w:p>
        </w:tc>
      </w:tr>
      <w:tr w:rsidR="008434CC" w:rsidRPr="004672B0" w:rsidTr="004672B0">
        <w:tc>
          <w:tcPr>
            <w:tcW w:w="2236" w:type="dxa"/>
          </w:tcPr>
          <w:p w:rsidR="008434CC" w:rsidRPr="004672B0" w:rsidRDefault="008434CC" w:rsidP="004672B0">
            <w:pPr>
              <w:spacing w:before="40" w:after="40" w:line="240" w:lineRule="auto"/>
              <w:rPr>
                <w:sz w:val="18"/>
                <w:szCs w:val="18"/>
              </w:rPr>
            </w:pPr>
            <w:r w:rsidRPr="004672B0">
              <w:rPr>
                <w:sz w:val="18"/>
                <w:szCs w:val="18"/>
              </w:rPr>
              <w:t>3.6 Lack (or delay) of biomedical engineering and maintenance services for laboratory equipment</w:t>
            </w:r>
          </w:p>
        </w:tc>
        <w:tc>
          <w:tcPr>
            <w:tcW w:w="1587" w:type="dxa"/>
          </w:tcPr>
          <w:p w:rsidR="008434CC" w:rsidRPr="004672B0" w:rsidRDefault="008434CC" w:rsidP="004672B0">
            <w:pPr>
              <w:spacing w:before="40" w:after="40" w:line="240" w:lineRule="auto"/>
              <w:rPr>
                <w:sz w:val="18"/>
                <w:szCs w:val="18"/>
              </w:rPr>
            </w:pPr>
            <w:r w:rsidRPr="004672B0">
              <w:rPr>
                <w:sz w:val="18"/>
                <w:szCs w:val="18"/>
              </w:rPr>
              <w:t>Possible</w:t>
            </w:r>
          </w:p>
        </w:tc>
        <w:tc>
          <w:tcPr>
            <w:tcW w:w="2494" w:type="dxa"/>
          </w:tcPr>
          <w:p w:rsidR="008434CC" w:rsidRPr="004672B0" w:rsidRDefault="008434CC" w:rsidP="004672B0">
            <w:pPr>
              <w:spacing w:before="40" w:after="40" w:line="240" w:lineRule="auto"/>
              <w:rPr>
                <w:sz w:val="18"/>
                <w:szCs w:val="18"/>
              </w:rPr>
            </w:pPr>
            <w:r w:rsidRPr="004672B0">
              <w:rPr>
                <w:sz w:val="18"/>
                <w:szCs w:val="18"/>
              </w:rPr>
              <w:t>Moderate – would force NTP to rely on sputum microscopy for diagnosis, with delays in confirmation due to need to ship specimens to Suva or Adelaide</w:t>
            </w:r>
          </w:p>
        </w:tc>
        <w:tc>
          <w:tcPr>
            <w:tcW w:w="1587" w:type="dxa"/>
            <w:shd w:val="clear" w:color="auto" w:fill="FFC000"/>
          </w:tcPr>
          <w:p w:rsidR="008434CC" w:rsidRPr="004672B0" w:rsidRDefault="008434CC" w:rsidP="004672B0">
            <w:pPr>
              <w:spacing w:before="40" w:after="40" w:line="240" w:lineRule="auto"/>
              <w:jc w:val="center"/>
              <w:rPr>
                <w:b/>
                <w:sz w:val="20"/>
                <w:szCs w:val="20"/>
              </w:rPr>
            </w:pPr>
            <w:r w:rsidRPr="004672B0">
              <w:rPr>
                <w:b/>
                <w:sz w:val="20"/>
                <w:szCs w:val="20"/>
              </w:rPr>
              <w:t>High</w:t>
            </w:r>
          </w:p>
        </w:tc>
        <w:tc>
          <w:tcPr>
            <w:tcW w:w="3288" w:type="dxa"/>
          </w:tcPr>
          <w:p w:rsidR="008434CC" w:rsidRPr="004672B0" w:rsidRDefault="008434CC" w:rsidP="004672B0">
            <w:pPr>
              <w:spacing w:before="40" w:after="40" w:line="240" w:lineRule="auto"/>
              <w:rPr>
                <w:color w:val="000000"/>
                <w:sz w:val="18"/>
                <w:szCs w:val="18"/>
              </w:rPr>
            </w:pPr>
            <w:r w:rsidRPr="004672B0">
              <w:rPr>
                <w:color w:val="000000"/>
                <w:sz w:val="18"/>
                <w:szCs w:val="18"/>
              </w:rPr>
              <w:t xml:space="preserve">Through SPC and regional TB and laboratory networks, Project can exert some pressure for biomedical technical support; careful and thoughtful planning of maintenance schedule through national Laboratory Service. SPC is currently exploring options for technical support for ongoing maintenance of TB laboratory equipment. </w:t>
            </w:r>
          </w:p>
        </w:tc>
        <w:tc>
          <w:tcPr>
            <w:tcW w:w="1587" w:type="dxa"/>
          </w:tcPr>
          <w:p w:rsidR="008434CC" w:rsidRPr="004672B0" w:rsidRDefault="008434CC" w:rsidP="004672B0">
            <w:pPr>
              <w:spacing w:before="40" w:after="40" w:line="240" w:lineRule="auto"/>
              <w:rPr>
                <w:color w:val="000000"/>
                <w:sz w:val="18"/>
                <w:szCs w:val="18"/>
              </w:rPr>
            </w:pPr>
            <w:r w:rsidRPr="004672B0">
              <w:rPr>
                <w:color w:val="000000"/>
                <w:sz w:val="18"/>
                <w:szCs w:val="18"/>
              </w:rPr>
              <w:t>SPC, IMVS, national Laboratory Manager and TB Laboratory Supervisor</w:t>
            </w:r>
          </w:p>
        </w:tc>
        <w:tc>
          <w:tcPr>
            <w:tcW w:w="1587" w:type="dxa"/>
          </w:tcPr>
          <w:p w:rsidR="008434CC" w:rsidRPr="004672B0" w:rsidRDefault="008434CC" w:rsidP="004672B0">
            <w:pPr>
              <w:spacing w:before="40" w:after="40" w:line="240" w:lineRule="auto"/>
              <w:rPr>
                <w:color w:val="000000"/>
                <w:sz w:val="18"/>
                <w:szCs w:val="18"/>
              </w:rPr>
            </w:pPr>
            <w:r w:rsidRPr="004672B0">
              <w:rPr>
                <w:color w:val="000000"/>
                <w:sz w:val="18"/>
                <w:szCs w:val="18"/>
              </w:rPr>
              <w:t>Continuous (but especially as maintenance milestones for laboratory equipment approach)</w:t>
            </w:r>
          </w:p>
        </w:tc>
      </w:tr>
      <w:tr w:rsidR="008434CC" w:rsidRPr="004672B0" w:rsidTr="004672B0">
        <w:tc>
          <w:tcPr>
            <w:tcW w:w="2236" w:type="dxa"/>
          </w:tcPr>
          <w:p w:rsidR="008434CC" w:rsidRPr="004672B0" w:rsidRDefault="008434CC" w:rsidP="004672B0">
            <w:pPr>
              <w:spacing w:before="40" w:after="40" w:line="240" w:lineRule="auto"/>
              <w:rPr>
                <w:sz w:val="18"/>
                <w:szCs w:val="18"/>
              </w:rPr>
            </w:pPr>
            <w:r w:rsidRPr="004672B0">
              <w:rPr>
                <w:sz w:val="18"/>
                <w:szCs w:val="18"/>
              </w:rPr>
              <w:t>3.7 Stock-outs of TB drugs and/or laboratory consumables</w:t>
            </w:r>
          </w:p>
        </w:tc>
        <w:tc>
          <w:tcPr>
            <w:tcW w:w="1587" w:type="dxa"/>
          </w:tcPr>
          <w:p w:rsidR="008434CC" w:rsidRPr="004672B0" w:rsidRDefault="008434CC" w:rsidP="004672B0">
            <w:pPr>
              <w:spacing w:before="40" w:after="40" w:line="240" w:lineRule="auto"/>
              <w:rPr>
                <w:sz w:val="18"/>
                <w:szCs w:val="18"/>
              </w:rPr>
            </w:pPr>
            <w:r w:rsidRPr="004672B0">
              <w:rPr>
                <w:sz w:val="18"/>
                <w:szCs w:val="18"/>
              </w:rPr>
              <w:t>Possible</w:t>
            </w:r>
          </w:p>
        </w:tc>
        <w:tc>
          <w:tcPr>
            <w:tcW w:w="2494" w:type="dxa"/>
          </w:tcPr>
          <w:p w:rsidR="008434CC" w:rsidRPr="004672B0" w:rsidRDefault="008434CC" w:rsidP="004672B0">
            <w:pPr>
              <w:spacing w:before="40" w:after="40" w:line="240" w:lineRule="auto"/>
              <w:rPr>
                <w:sz w:val="18"/>
                <w:szCs w:val="18"/>
              </w:rPr>
            </w:pPr>
            <w:r w:rsidRPr="004672B0">
              <w:rPr>
                <w:sz w:val="18"/>
                <w:szCs w:val="18"/>
              </w:rPr>
              <w:t>Moderate – potential interruption of diagnosis or treatment pending emergency procurement (at higher cost).  If stock-outs prolonged, carries risk of emergence of drug resistance (although this is unlikely).</w:t>
            </w:r>
          </w:p>
        </w:tc>
        <w:tc>
          <w:tcPr>
            <w:tcW w:w="1587" w:type="dxa"/>
            <w:shd w:val="clear" w:color="auto" w:fill="FFC000"/>
          </w:tcPr>
          <w:p w:rsidR="008434CC" w:rsidRPr="004672B0" w:rsidRDefault="008434CC" w:rsidP="004672B0">
            <w:pPr>
              <w:spacing w:before="40" w:after="40" w:line="240" w:lineRule="auto"/>
              <w:jc w:val="center"/>
              <w:rPr>
                <w:b/>
                <w:sz w:val="20"/>
                <w:szCs w:val="20"/>
              </w:rPr>
            </w:pPr>
            <w:r w:rsidRPr="004672B0">
              <w:rPr>
                <w:b/>
                <w:sz w:val="20"/>
                <w:szCs w:val="20"/>
              </w:rPr>
              <w:t>High</w:t>
            </w:r>
          </w:p>
        </w:tc>
        <w:tc>
          <w:tcPr>
            <w:tcW w:w="3288" w:type="dxa"/>
          </w:tcPr>
          <w:p w:rsidR="008434CC" w:rsidRPr="004672B0" w:rsidRDefault="008434CC" w:rsidP="004672B0">
            <w:pPr>
              <w:spacing w:before="40" w:after="40" w:line="240" w:lineRule="auto"/>
              <w:rPr>
                <w:color w:val="000000"/>
                <w:sz w:val="18"/>
                <w:szCs w:val="18"/>
              </w:rPr>
            </w:pPr>
            <w:r w:rsidRPr="004672B0">
              <w:rPr>
                <w:color w:val="000000"/>
                <w:sz w:val="18"/>
                <w:szCs w:val="18"/>
              </w:rPr>
              <w:t>Participation of laboratory and pharmacy representatives in fortnightly NTP coordination meetings, and careful monitoring of stock levels (TB drug stock monitoring is a performance indicator for the Project).  WHO to assist with access to reliable supplies of TB drugs, and IMVS to provide training on lab stock control and reliable, cost-effective  suppliers</w:t>
            </w:r>
          </w:p>
        </w:tc>
        <w:tc>
          <w:tcPr>
            <w:tcW w:w="1587" w:type="dxa"/>
          </w:tcPr>
          <w:p w:rsidR="008434CC" w:rsidRPr="004672B0" w:rsidRDefault="008434CC" w:rsidP="004672B0">
            <w:pPr>
              <w:spacing w:before="40" w:after="40" w:line="240" w:lineRule="auto"/>
              <w:rPr>
                <w:color w:val="000000"/>
                <w:sz w:val="18"/>
                <w:szCs w:val="18"/>
              </w:rPr>
            </w:pPr>
            <w:r w:rsidRPr="004672B0">
              <w:rPr>
                <w:color w:val="000000"/>
                <w:sz w:val="18"/>
                <w:szCs w:val="18"/>
              </w:rPr>
              <w:t>WHO, IMVS, national Pharmacy, national Laboratory Manager and TB Laboratory Supervisor</w:t>
            </w:r>
          </w:p>
        </w:tc>
        <w:tc>
          <w:tcPr>
            <w:tcW w:w="1587" w:type="dxa"/>
          </w:tcPr>
          <w:p w:rsidR="008434CC" w:rsidRPr="004672B0" w:rsidRDefault="008434CC" w:rsidP="004672B0">
            <w:pPr>
              <w:spacing w:before="40" w:after="40" w:line="240" w:lineRule="auto"/>
              <w:rPr>
                <w:color w:val="000000"/>
                <w:sz w:val="18"/>
                <w:szCs w:val="18"/>
              </w:rPr>
            </w:pPr>
            <w:r w:rsidRPr="004672B0">
              <w:rPr>
                <w:color w:val="000000"/>
                <w:sz w:val="18"/>
                <w:szCs w:val="18"/>
              </w:rPr>
              <w:t>Continuous via fortnightly NTP meetings (and especially as quarterly milestones for drug supply approach)</w:t>
            </w:r>
          </w:p>
        </w:tc>
      </w:tr>
      <w:tr w:rsidR="008434CC" w:rsidRPr="004672B0" w:rsidTr="004672B0">
        <w:tc>
          <w:tcPr>
            <w:tcW w:w="14366" w:type="dxa"/>
            <w:gridSpan w:val="7"/>
            <w:shd w:val="clear" w:color="auto" w:fill="B8CCE4"/>
          </w:tcPr>
          <w:p w:rsidR="008434CC" w:rsidRPr="004672B0" w:rsidRDefault="008434CC" w:rsidP="004672B0">
            <w:pPr>
              <w:keepNext/>
              <w:spacing w:before="40" w:after="40" w:line="240" w:lineRule="auto"/>
              <w:rPr>
                <w:rFonts w:ascii="Arial" w:hAnsi="Arial" w:cs="Arial"/>
                <w:sz w:val="20"/>
                <w:szCs w:val="20"/>
              </w:rPr>
            </w:pPr>
            <w:r w:rsidRPr="004672B0">
              <w:rPr>
                <w:rFonts w:cs="Calibri"/>
                <w:b/>
              </w:rPr>
              <w:lastRenderedPageBreak/>
              <w:t>4. External Risks</w:t>
            </w:r>
          </w:p>
        </w:tc>
      </w:tr>
      <w:tr w:rsidR="008434CC" w:rsidRPr="004672B0" w:rsidTr="004672B0">
        <w:tc>
          <w:tcPr>
            <w:tcW w:w="2236" w:type="dxa"/>
          </w:tcPr>
          <w:p w:rsidR="008434CC" w:rsidRPr="004672B0" w:rsidRDefault="008434CC" w:rsidP="004672B0">
            <w:pPr>
              <w:spacing w:before="40" w:after="40" w:line="240" w:lineRule="auto"/>
              <w:rPr>
                <w:sz w:val="20"/>
                <w:szCs w:val="20"/>
              </w:rPr>
            </w:pPr>
            <w:r w:rsidRPr="004672B0">
              <w:rPr>
                <w:sz w:val="20"/>
                <w:szCs w:val="20"/>
              </w:rPr>
              <w:t>4.1 Emergence or re-emergence of large scale non-TB outbreak, epidemic or pandemic threat</w:t>
            </w:r>
          </w:p>
        </w:tc>
        <w:tc>
          <w:tcPr>
            <w:tcW w:w="1587" w:type="dxa"/>
          </w:tcPr>
          <w:p w:rsidR="008434CC" w:rsidRPr="004672B0" w:rsidRDefault="008434CC" w:rsidP="004672B0">
            <w:pPr>
              <w:spacing w:before="40" w:after="40" w:line="240" w:lineRule="auto"/>
              <w:rPr>
                <w:sz w:val="18"/>
                <w:szCs w:val="18"/>
              </w:rPr>
            </w:pPr>
            <w:r w:rsidRPr="004672B0">
              <w:rPr>
                <w:sz w:val="18"/>
                <w:szCs w:val="18"/>
              </w:rPr>
              <w:t>Possible – outbreaks of dengue and water-borne enteric infections already recorded in Kiribati, and direct links (via shipping and mobile work force) to Asian centres at higher risk of avian influenza</w:t>
            </w:r>
          </w:p>
        </w:tc>
        <w:tc>
          <w:tcPr>
            <w:tcW w:w="2494" w:type="dxa"/>
          </w:tcPr>
          <w:p w:rsidR="008434CC" w:rsidRPr="004672B0" w:rsidRDefault="008434CC" w:rsidP="004672B0">
            <w:pPr>
              <w:spacing w:before="40" w:after="40" w:line="240" w:lineRule="auto"/>
              <w:rPr>
                <w:sz w:val="18"/>
                <w:szCs w:val="18"/>
              </w:rPr>
            </w:pPr>
            <w:r w:rsidRPr="004672B0">
              <w:rPr>
                <w:sz w:val="18"/>
                <w:szCs w:val="18"/>
              </w:rPr>
              <w:t xml:space="preserve">Moderate – Could overwhelm health services, result in social and civil disorder, cause clinical deterioration in TB patients with already compromised lung function, and potentially result in diversion of NTP or Project resources </w:t>
            </w:r>
          </w:p>
        </w:tc>
        <w:tc>
          <w:tcPr>
            <w:tcW w:w="1587" w:type="dxa"/>
            <w:shd w:val="clear" w:color="auto" w:fill="FFC000"/>
          </w:tcPr>
          <w:p w:rsidR="008434CC" w:rsidRPr="004672B0" w:rsidRDefault="008434CC" w:rsidP="004672B0">
            <w:pPr>
              <w:spacing w:before="40" w:after="40" w:line="240" w:lineRule="auto"/>
              <w:jc w:val="center"/>
              <w:rPr>
                <w:b/>
                <w:sz w:val="20"/>
                <w:szCs w:val="20"/>
              </w:rPr>
            </w:pPr>
            <w:r w:rsidRPr="004672B0">
              <w:rPr>
                <w:b/>
                <w:sz w:val="20"/>
                <w:szCs w:val="20"/>
              </w:rPr>
              <w:t>High</w:t>
            </w:r>
          </w:p>
        </w:tc>
        <w:tc>
          <w:tcPr>
            <w:tcW w:w="3288" w:type="dxa"/>
          </w:tcPr>
          <w:p w:rsidR="008434CC" w:rsidRPr="004672B0" w:rsidRDefault="008434CC" w:rsidP="004672B0">
            <w:pPr>
              <w:spacing w:before="40" w:after="40" w:line="240" w:lineRule="auto"/>
              <w:rPr>
                <w:sz w:val="18"/>
                <w:szCs w:val="18"/>
              </w:rPr>
            </w:pPr>
            <w:r w:rsidRPr="004672B0">
              <w:rPr>
                <w:sz w:val="18"/>
                <w:szCs w:val="18"/>
              </w:rPr>
              <w:t>National and regional pandemic and emerging infectious diseases preparedness plans in place, and updated in response to 2009 H1N1 influenza pandemic. NTP, Project and MHMS to work pro-actively with WHO to maintain service provision as much as possible while addressing direct consequences of outbreak or pandemic.</w:t>
            </w:r>
          </w:p>
        </w:tc>
        <w:tc>
          <w:tcPr>
            <w:tcW w:w="1587" w:type="dxa"/>
          </w:tcPr>
          <w:p w:rsidR="008434CC" w:rsidRPr="004672B0" w:rsidRDefault="008434CC" w:rsidP="004672B0">
            <w:pPr>
              <w:spacing w:before="40" w:after="40" w:line="240" w:lineRule="auto"/>
              <w:rPr>
                <w:sz w:val="18"/>
                <w:szCs w:val="18"/>
              </w:rPr>
            </w:pPr>
            <w:r w:rsidRPr="004672B0">
              <w:rPr>
                <w:sz w:val="18"/>
                <w:szCs w:val="18"/>
              </w:rPr>
              <w:t>SPC, in close collaboration with MHMS (Director of Public Health) and WHO; and development partners (via sector coordination group)</w:t>
            </w:r>
          </w:p>
        </w:tc>
        <w:tc>
          <w:tcPr>
            <w:tcW w:w="1587" w:type="dxa"/>
          </w:tcPr>
          <w:p w:rsidR="008434CC" w:rsidRPr="004672B0" w:rsidRDefault="008434CC" w:rsidP="004672B0">
            <w:pPr>
              <w:spacing w:before="40" w:after="40" w:line="240" w:lineRule="auto"/>
              <w:rPr>
                <w:sz w:val="18"/>
                <w:szCs w:val="18"/>
              </w:rPr>
            </w:pPr>
            <w:r w:rsidRPr="004672B0">
              <w:rPr>
                <w:sz w:val="18"/>
                <w:szCs w:val="18"/>
              </w:rPr>
              <w:t>Continuous</w:t>
            </w:r>
          </w:p>
        </w:tc>
      </w:tr>
      <w:tr w:rsidR="008434CC" w:rsidRPr="004672B0" w:rsidTr="004672B0">
        <w:tc>
          <w:tcPr>
            <w:tcW w:w="2236" w:type="dxa"/>
          </w:tcPr>
          <w:p w:rsidR="008434CC" w:rsidRPr="004672B0" w:rsidRDefault="008434CC" w:rsidP="004672B0">
            <w:pPr>
              <w:spacing w:before="40" w:after="40" w:line="240" w:lineRule="auto"/>
              <w:rPr>
                <w:sz w:val="20"/>
                <w:szCs w:val="20"/>
              </w:rPr>
            </w:pPr>
            <w:r w:rsidRPr="004672B0">
              <w:rPr>
                <w:sz w:val="20"/>
                <w:szCs w:val="20"/>
              </w:rPr>
              <w:t>4.2 Global recession or financial crisis</w:t>
            </w:r>
          </w:p>
        </w:tc>
        <w:tc>
          <w:tcPr>
            <w:tcW w:w="1587" w:type="dxa"/>
          </w:tcPr>
          <w:p w:rsidR="008434CC" w:rsidRPr="004672B0" w:rsidRDefault="008434CC" w:rsidP="004672B0">
            <w:pPr>
              <w:spacing w:before="40" w:after="40" w:line="240" w:lineRule="auto"/>
              <w:rPr>
                <w:sz w:val="18"/>
                <w:szCs w:val="18"/>
              </w:rPr>
            </w:pPr>
            <w:r w:rsidRPr="004672B0">
              <w:rPr>
                <w:sz w:val="18"/>
                <w:szCs w:val="18"/>
              </w:rPr>
              <w:t>Possible-to-Likely</w:t>
            </w:r>
          </w:p>
        </w:tc>
        <w:tc>
          <w:tcPr>
            <w:tcW w:w="2494" w:type="dxa"/>
          </w:tcPr>
          <w:p w:rsidR="008434CC" w:rsidRPr="004672B0" w:rsidRDefault="008434CC" w:rsidP="004672B0">
            <w:pPr>
              <w:spacing w:before="40" w:after="40" w:line="240" w:lineRule="auto"/>
              <w:rPr>
                <w:sz w:val="18"/>
                <w:szCs w:val="18"/>
              </w:rPr>
            </w:pPr>
            <w:r w:rsidRPr="004672B0">
              <w:rPr>
                <w:sz w:val="18"/>
                <w:szCs w:val="18"/>
              </w:rPr>
              <w:t>Moderate – Could result in reduction in purchasing power of AUD-denominated program budget; collapse of GOK and MHMS budgets also possible, with rapid increase in dependence on donor funding – this would compromise the aims of Phase 2 of the Project.</w:t>
            </w:r>
          </w:p>
        </w:tc>
        <w:tc>
          <w:tcPr>
            <w:tcW w:w="1587" w:type="dxa"/>
            <w:shd w:val="clear" w:color="auto" w:fill="FFC000"/>
          </w:tcPr>
          <w:p w:rsidR="008434CC" w:rsidRPr="004672B0" w:rsidRDefault="008434CC" w:rsidP="004672B0">
            <w:pPr>
              <w:spacing w:before="40" w:after="40" w:line="240" w:lineRule="auto"/>
              <w:jc w:val="center"/>
              <w:rPr>
                <w:b/>
                <w:sz w:val="20"/>
                <w:szCs w:val="20"/>
              </w:rPr>
            </w:pPr>
            <w:r w:rsidRPr="004672B0">
              <w:rPr>
                <w:b/>
                <w:sz w:val="20"/>
                <w:szCs w:val="20"/>
              </w:rPr>
              <w:t>High</w:t>
            </w:r>
          </w:p>
        </w:tc>
        <w:tc>
          <w:tcPr>
            <w:tcW w:w="3288" w:type="dxa"/>
          </w:tcPr>
          <w:p w:rsidR="008434CC" w:rsidRPr="004672B0" w:rsidRDefault="008434CC" w:rsidP="004672B0">
            <w:pPr>
              <w:spacing w:before="40" w:after="40" w:line="240" w:lineRule="auto"/>
              <w:rPr>
                <w:sz w:val="18"/>
                <w:szCs w:val="18"/>
              </w:rPr>
            </w:pPr>
            <w:r w:rsidRPr="004672B0">
              <w:rPr>
                <w:sz w:val="18"/>
                <w:szCs w:val="18"/>
              </w:rPr>
              <w:t xml:space="preserve">Pro-active monitoring of budget position and vulnerability to external shocks during health sector coordination meetings; high level </w:t>
            </w:r>
            <w:r w:rsidRPr="004672B0">
              <w:rPr>
                <w:rFonts w:cs="Calibri"/>
                <w:sz w:val="18"/>
                <w:szCs w:val="18"/>
              </w:rPr>
              <w:t>consultations</w:t>
            </w:r>
            <w:r w:rsidRPr="004672B0">
              <w:rPr>
                <w:sz w:val="18"/>
                <w:szCs w:val="18"/>
              </w:rPr>
              <w:t xml:space="preserve"> between GOK and AusAID.  Stabilisation of Project funds within AUD-denominated bank accounts, which is likely to be more resilient than other currencies.</w:t>
            </w:r>
          </w:p>
        </w:tc>
        <w:tc>
          <w:tcPr>
            <w:tcW w:w="1587" w:type="dxa"/>
          </w:tcPr>
          <w:p w:rsidR="008434CC" w:rsidRPr="004672B0" w:rsidRDefault="008434CC" w:rsidP="004672B0">
            <w:pPr>
              <w:spacing w:before="40" w:after="40" w:line="240" w:lineRule="auto"/>
              <w:rPr>
                <w:sz w:val="18"/>
                <w:szCs w:val="18"/>
              </w:rPr>
            </w:pPr>
            <w:r w:rsidRPr="004672B0">
              <w:rPr>
                <w:sz w:val="18"/>
                <w:szCs w:val="18"/>
              </w:rPr>
              <w:t>GOK (through MHMS), SPC, Government of Australia (though AusAID), UNDP and other development partners</w:t>
            </w:r>
          </w:p>
        </w:tc>
        <w:tc>
          <w:tcPr>
            <w:tcW w:w="1587" w:type="dxa"/>
          </w:tcPr>
          <w:p w:rsidR="008434CC" w:rsidRPr="004672B0" w:rsidRDefault="008434CC" w:rsidP="004672B0">
            <w:pPr>
              <w:spacing w:before="40" w:after="40" w:line="240" w:lineRule="auto"/>
              <w:rPr>
                <w:rFonts w:cs="Calibri"/>
                <w:sz w:val="18"/>
                <w:szCs w:val="18"/>
              </w:rPr>
            </w:pPr>
            <w:r w:rsidRPr="004672B0">
              <w:rPr>
                <w:rFonts w:cs="Calibri"/>
                <w:sz w:val="18"/>
                <w:szCs w:val="18"/>
              </w:rPr>
              <w:t>Continuous, but with additional emphasis during periods of global financial instability and annual high level consultations</w:t>
            </w:r>
          </w:p>
        </w:tc>
      </w:tr>
      <w:tr w:rsidR="008434CC" w:rsidRPr="004672B0" w:rsidTr="004672B0">
        <w:tc>
          <w:tcPr>
            <w:tcW w:w="2236" w:type="dxa"/>
          </w:tcPr>
          <w:p w:rsidR="008434CC" w:rsidRPr="004672B0" w:rsidRDefault="008434CC" w:rsidP="004672B0">
            <w:pPr>
              <w:spacing w:before="40" w:after="40" w:line="240" w:lineRule="auto"/>
              <w:rPr>
                <w:sz w:val="20"/>
                <w:szCs w:val="20"/>
              </w:rPr>
            </w:pPr>
            <w:r w:rsidRPr="004672B0">
              <w:rPr>
                <w:sz w:val="20"/>
                <w:szCs w:val="20"/>
              </w:rPr>
              <w:t>4.3 National fuel (gas) stock-outs</w:t>
            </w:r>
          </w:p>
        </w:tc>
        <w:tc>
          <w:tcPr>
            <w:tcW w:w="1587" w:type="dxa"/>
          </w:tcPr>
          <w:p w:rsidR="008434CC" w:rsidRPr="004672B0" w:rsidRDefault="008434CC" w:rsidP="004672B0">
            <w:pPr>
              <w:spacing w:before="40" w:after="40" w:line="240" w:lineRule="auto"/>
              <w:rPr>
                <w:sz w:val="18"/>
                <w:szCs w:val="18"/>
              </w:rPr>
            </w:pPr>
            <w:r w:rsidRPr="004672B0">
              <w:rPr>
                <w:sz w:val="18"/>
                <w:szCs w:val="18"/>
              </w:rPr>
              <w:t>Rare</w:t>
            </w:r>
          </w:p>
        </w:tc>
        <w:tc>
          <w:tcPr>
            <w:tcW w:w="2494" w:type="dxa"/>
          </w:tcPr>
          <w:p w:rsidR="008434CC" w:rsidRPr="004672B0" w:rsidRDefault="008434CC" w:rsidP="004672B0">
            <w:pPr>
              <w:spacing w:before="40" w:after="40" w:line="240" w:lineRule="auto"/>
              <w:rPr>
                <w:sz w:val="18"/>
                <w:szCs w:val="18"/>
              </w:rPr>
            </w:pPr>
            <w:r w:rsidRPr="004672B0">
              <w:rPr>
                <w:sz w:val="18"/>
                <w:szCs w:val="18"/>
              </w:rPr>
              <w:t>Minor – Would result in temporary cessation of laboratory activity, requiring deferral of specimen processing or referral off-shore; however, overall and longer term impact on the Project and the NTP would be minor</w:t>
            </w:r>
          </w:p>
        </w:tc>
        <w:tc>
          <w:tcPr>
            <w:tcW w:w="1587" w:type="dxa"/>
            <w:shd w:val="clear" w:color="auto" w:fill="92D050"/>
          </w:tcPr>
          <w:p w:rsidR="008434CC" w:rsidRPr="004672B0" w:rsidRDefault="008434CC" w:rsidP="004672B0">
            <w:pPr>
              <w:spacing w:before="40" w:after="40" w:line="240" w:lineRule="auto"/>
              <w:jc w:val="center"/>
              <w:rPr>
                <w:b/>
                <w:sz w:val="20"/>
                <w:szCs w:val="20"/>
              </w:rPr>
            </w:pPr>
            <w:r w:rsidRPr="004672B0">
              <w:rPr>
                <w:b/>
                <w:sz w:val="20"/>
                <w:szCs w:val="20"/>
              </w:rPr>
              <w:t>Low</w:t>
            </w:r>
          </w:p>
        </w:tc>
        <w:tc>
          <w:tcPr>
            <w:tcW w:w="3288" w:type="dxa"/>
          </w:tcPr>
          <w:p w:rsidR="008434CC" w:rsidRPr="004672B0" w:rsidRDefault="008434CC" w:rsidP="004672B0">
            <w:pPr>
              <w:spacing w:before="40" w:after="40" w:line="240" w:lineRule="auto"/>
              <w:rPr>
                <w:sz w:val="18"/>
                <w:szCs w:val="18"/>
              </w:rPr>
            </w:pPr>
            <w:r w:rsidRPr="004672B0">
              <w:rPr>
                <w:sz w:val="18"/>
                <w:szCs w:val="18"/>
              </w:rPr>
              <w:t>Pro-active monitoring of national fuel stock position via MHMS, who will advocate to Finance and MPWU the importance of maintaining power and fuel supply because of its impact on the health system.  IMVS adviser to recommend alternative fuel sources for fixing slides and light sources (e.g. solar or battery powered) for microscopy.</w:t>
            </w:r>
          </w:p>
        </w:tc>
        <w:tc>
          <w:tcPr>
            <w:tcW w:w="1587" w:type="dxa"/>
          </w:tcPr>
          <w:p w:rsidR="008434CC" w:rsidRPr="004672B0" w:rsidRDefault="008434CC" w:rsidP="004672B0">
            <w:pPr>
              <w:spacing w:before="40" w:after="40" w:line="240" w:lineRule="auto"/>
              <w:rPr>
                <w:sz w:val="18"/>
                <w:szCs w:val="18"/>
              </w:rPr>
            </w:pPr>
            <w:r w:rsidRPr="004672B0">
              <w:rPr>
                <w:color w:val="000000"/>
                <w:sz w:val="18"/>
                <w:szCs w:val="18"/>
              </w:rPr>
              <w:t xml:space="preserve">National Laboratory Manager, IMVS and TB Laboratory Supervisor; </w:t>
            </w:r>
            <w:r w:rsidRPr="004672B0">
              <w:rPr>
                <w:sz w:val="18"/>
                <w:szCs w:val="18"/>
              </w:rPr>
              <w:t>GOK (through MHMS)</w:t>
            </w:r>
          </w:p>
        </w:tc>
        <w:tc>
          <w:tcPr>
            <w:tcW w:w="1587" w:type="dxa"/>
          </w:tcPr>
          <w:p w:rsidR="008434CC" w:rsidRPr="004672B0" w:rsidRDefault="008434CC" w:rsidP="004672B0">
            <w:pPr>
              <w:spacing w:before="40" w:after="40" w:line="240" w:lineRule="auto"/>
              <w:rPr>
                <w:rFonts w:cs="Calibri"/>
                <w:sz w:val="18"/>
                <w:szCs w:val="18"/>
              </w:rPr>
            </w:pPr>
            <w:r w:rsidRPr="004672B0">
              <w:rPr>
                <w:rFonts w:cs="Calibri"/>
                <w:sz w:val="18"/>
                <w:szCs w:val="18"/>
              </w:rPr>
              <w:t>Continuous</w:t>
            </w:r>
          </w:p>
        </w:tc>
      </w:tr>
    </w:tbl>
    <w:p w:rsidR="008434CC" w:rsidRDefault="008434CC" w:rsidP="00D23433">
      <w:pPr>
        <w:rPr>
          <w:sz w:val="24"/>
          <w:szCs w:val="24"/>
        </w:rPr>
      </w:pPr>
    </w:p>
    <w:sectPr w:rsidR="008434CC" w:rsidSect="0082163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4CC" w:rsidRDefault="008434CC" w:rsidP="009B5EA9">
      <w:pPr>
        <w:spacing w:line="240" w:lineRule="auto"/>
      </w:pPr>
      <w:r>
        <w:separator/>
      </w:r>
    </w:p>
  </w:endnote>
  <w:endnote w:type="continuationSeparator" w:id="0">
    <w:p w:rsidR="008434CC" w:rsidRDefault="008434CC" w:rsidP="009B5E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ionPro-Regular">
    <w:altName w:val="Arial Unicode MS"/>
    <w:panose1 w:val="00000000000000000000"/>
    <w:charset w:val="88"/>
    <w:family w:val="roman"/>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SabonLTStd-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7E9" w:rsidRDefault="004C37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CC" w:rsidRDefault="008434CC">
    <w:pPr>
      <w:pStyle w:val="Footer"/>
      <w:jc w:val="center"/>
    </w:pPr>
    <w:r w:rsidRPr="003A4C1F">
      <w:rPr>
        <w:sz w:val="18"/>
        <w:szCs w:val="18"/>
      </w:rPr>
      <w:fldChar w:fldCharType="begin"/>
    </w:r>
    <w:r w:rsidRPr="003A4C1F">
      <w:rPr>
        <w:sz w:val="18"/>
        <w:szCs w:val="18"/>
      </w:rPr>
      <w:instrText xml:space="preserve"> PAGE   \* MERGEFORMAT </w:instrText>
    </w:r>
    <w:r w:rsidRPr="003A4C1F">
      <w:rPr>
        <w:sz w:val="18"/>
        <w:szCs w:val="18"/>
      </w:rPr>
      <w:fldChar w:fldCharType="separate"/>
    </w:r>
    <w:r w:rsidR="004C37E9">
      <w:rPr>
        <w:noProof/>
        <w:sz w:val="18"/>
        <w:szCs w:val="18"/>
      </w:rPr>
      <w:t>66</w:t>
    </w:r>
    <w:r w:rsidRPr="003A4C1F">
      <w:rPr>
        <w:sz w:val="18"/>
        <w:szCs w:val="18"/>
      </w:rPr>
      <w:fldChar w:fldCharType="end"/>
    </w:r>
  </w:p>
  <w:p w:rsidR="008434CC" w:rsidRDefault="008434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7E9" w:rsidRDefault="004C37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4CC" w:rsidRDefault="008434CC" w:rsidP="009B5EA9">
      <w:pPr>
        <w:spacing w:line="240" w:lineRule="auto"/>
      </w:pPr>
      <w:r>
        <w:separator/>
      </w:r>
    </w:p>
  </w:footnote>
  <w:footnote w:type="continuationSeparator" w:id="0">
    <w:p w:rsidR="008434CC" w:rsidRDefault="008434CC" w:rsidP="009B5EA9">
      <w:pPr>
        <w:spacing w:line="240" w:lineRule="auto"/>
      </w:pPr>
      <w:r>
        <w:continuationSeparator/>
      </w:r>
    </w:p>
  </w:footnote>
  <w:footnote w:id="1">
    <w:p w:rsidR="008434CC" w:rsidRDefault="008434CC" w:rsidP="00333FC5">
      <w:pPr>
        <w:pStyle w:val="FootnoteText"/>
      </w:pPr>
      <w:r w:rsidRPr="00B34AD3">
        <w:rPr>
          <w:rStyle w:val="FootnoteReference"/>
          <w:rFonts w:cs="Arial"/>
          <w:szCs w:val="18"/>
        </w:rPr>
        <w:footnoteRef/>
      </w:r>
      <w:r w:rsidRPr="00B34AD3">
        <w:rPr>
          <w:rFonts w:ascii="Arial" w:hAnsi="Arial" w:cs="Arial"/>
          <w:sz w:val="18"/>
          <w:szCs w:val="18"/>
        </w:rPr>
        <w:t xml:space="preserve"> </w:t>
      </w:r>
      <w:r>
        <w:rPr>
          <w:rFonts w:ascii="Arial" w:hAnsi="Arial" w:cs="Arial"/>
          <w:sz w:val="18"/>
          <w:szCs w:val="18"/>
        </w:rPr>
        <w:t xml:space="preserve">SPC (2010) </w:t>
      </w:r>
      <w:r w:rsidRPr="000F7482">
        <w:rPr>
          <w:rFonts w:ascii="Arial" w:hAnsi="Arial" w:cs="Arial"/>
          <w:i/>
          <w:sz w:val="18"/>
          <w:szCs w:val="18"/>
        </w:rPr>
        <w:t>Tuberculosis Surveillance in Pacific Island Countries and Territories</w:t>
      </w:r>
    </w:p>
  </w:footnote>
  <w:footnote w:id="2">
    <w:p w:rsidR="008434CC" w:rsidRDefault="008434CC">
      <w:pPr>
        <w:pStyle w:val="FootnoteText"/>
      </w:pPr>
      <w:r>
        <w:rPr>
          <w:rStyle w:val="FootnoteReference"/>
        </w:rPr>
        <w:footnoteRef/>
      </w:r>
      <w:r>
        <w:t xml:space="preserve"> </w:t>
      </w:r>
      <w:r>
        <w:rPr>
          <w:rFonts w:ascii="Arial" w:hAnsi="Arial" w:cs="Arial"/>
          <w:sz w:val="18"/>
          <w:szCs w:val="18"/>
        </w:rPr>
        <w:t>This statement e</w:t>
      </w:r>
      <w:r w:rsidRPr="00B34AD3">
        <w:rPr>
          <w:rFonts w:ascii="Arial" w:hAnsi="Arial" w:cs="Arial"/>
          <w:sz w:val="18"/>
          <w:szCs w:val="18"/>
        </w:rPr>
        <w:t>xclud</w:t>
      </w:r>
      <w:r>
        <w:rPr>
          <w:rFonts w:ascii="Arial" w:hAnsi="Arial" w:cs="Arial"/>
          <w:sz w:val="18"/>
          <w:szCs w:val="18"/>
        </w:rPr>
        <w:t>es</w:t>
      </w:r>
      <w:r w:rsidRPr="00B34AD3">
        <w:rPr>
          <w:rFonts w:ascii="Arial" w:hAnsi="Arial" w:cs="Arial"/>
          <w:sz w:val="18"/>
          <w:szCs w:val="18"/>
        </w:rPr>
        <w:t xml:space="preserve"> Papua New Guinea</w:t>
      </w:r>
      <w:r>
        <w:rPr>
          <w:rFonts w:ascii="Arial" w:hAnsi="Arial" w:cs="Arial"/>
          <w:sz w:val="18"/>
          <w:szCs w:val="18"/>
        </w:rPr>
        <w:t>, which has a much larger population and a generalised HIV epidemic</w:t>
      </w:r>
    </w:p>
  </w:footnote>
  <w:footnote w:id="3">
    <w:p w:rsidR="008434CC" w:rsidRDefault="008434CC">
      <w:pPr>
        <w:pStyle w:val="FootnoteText"/>
      </w:pPr>
      <w:r>
        <w:rPr>
          <w:rStyle w:val="FootnoteReference"/>
        </w:rPr>
        <w:footnoteRef/>
      </w:r>
      <w:r>
        <w:t xml:space="preserve"> </w:t>
      </w:r>
      <w:r>
        <w:rPr>
          <w:lang w:val="en-AU"/>
        </w:rPr>
        <w:t xml:space="preserve">A new WHO </w:t>
      </w:r>
      <w:r w:rsidRPr="00F11966">
        <w:rPr>
          <w:i/>
          <w:lang w:val="en-AU"/>
        </w:rPr>
        <w:t>Regional Strategy</w:t>
      </w:r>
      <w:r>
        <w:rPr>
          <w:lang w:val="en-AU"/>
        </w:rPr>
        <w:t xml:space="preserve"> has been developed for the period 2011-15; </w:t>
      </w:r>
      <w:r w:rsidRPr="001F43FD">
        <w:rPr>
          <w:color w:val="000000"/>
          <w:lang w:val="en-AU"/>
        </w:rPr>
        <w:t>see Section 3.4</w:t>
      </w:r>
    </w:p>
  </w:footnote>
  <w:footnote w:id="4">
    <w:p w:rsidR="008434CC" w:rsidRDefault="008434CC">
      <w:pPr>
        <w:pStyle w:val="FootnoteText"/>
      </w:pPr>
      <w:r>
        <w:rPr>
          <w:rStyle w:val="FootnoteReference"/>
        </w:rPr>
        <w:footnoteRef/>
      </w:r>
      <w:r>
        <w:t xml:space="preserve"> </w:t>
      </w:r>
      <w:r>
        <w:rPr>
          <w:lang w:val="en-AU"/>
        </w:rPr>
        <w:t xml:space="preserve">Phase 2 represented a no-cost extension of Phase 1, which had </w:t>
      </w:r>
      <w:r w:rsidRPr="00D0699E">
        <w:rPr>
          <w:lang w:val="en-AU"/>
        </w:rPr>
        <w:t>AUD 0.93 million</w:t>
      </w:r>
      <w:r>
        <w:rPr>
          <w:lang w:val="en-AU"/>
        </w:rPr>
        <w:t xml:space="preserve"> in unexpended budget.</w:t>
      </w:r>
    </w:p>
  </w:footnote>
  <w:footnote w:id="5">
    <w:p w:rsidR="008434CC" w:rsidRDefault="008434CC" w:rsidP="00125A99">
      <w:pPr>
        <w:pStyle w:val="FootnoteText"/>
        <w:spacing w:before="60"/>
      </w:pPr>
      <w:r w:rsidRPr="00F06A11">
        <w:rPr>
          <w:rStyle w:val="FootnoteReference"/>
          <w:rFonts w:cs="Arial"/>
          <w:szCs w:val="18"/>
        </w:rPr>
        <w:footnoteRef/>
      </w:r>
      <w:r w:rsidRPr="00F06A11">
        <w:rPr>
          <w:rFonts w:ascii="Arial" w:hAnsi="Arial" w:cs="Arial"/>
          <w:sz w:val="18"/>
          <w:szCs w:val="18"/>
        </w:rPr>
        <w:t xml:space="preserve"> Preliminary data from the 2010 Census show that the population of </w:t>
      </w:r>
      <w:proofErr w:type="spellStart"/>
      <w:r w:rsidRPr="00F06A11">
        <w:rPr>
          <w:rFonts w:ascii="Arial" w:hAnsi="Arial" w:cs="Arial"/>
          <w:sz w:val="18"/>
          <w:szCs w:val="18"/>
        </w:rPr>
        <w:t>Betio</w:t>
      </w:r>
      <w:proofErr w:type="spellEnd"/>
      <w:r w:rsidRPr="00F06A11">
        <w:rPr>
          <w:rFonts w:ascii="Arial" w:hAnsi="Arial" w:cs="Arial"/>
          <w:sz w:val="18"/>
          <w:szCs w:val="18"/>
        </w:rPr>
        <w:t xml:space="preserve"> has increased </w:t>
      </w:r>
      <w:r>
        <w:rPr>
          <w:rFonts w:ascii="Arial" w:hAnsi="Arial" w:cs="Arial"/>
          <w:sz w:val="18"/>
          <w:szCs w:val="18"/>
        </w:rPr>
        <w:t xml:space="preserve">by 25% </w:t>
      </w:r>
      <w:r w:rsidRPr="00F06A11">
        <w:rPr>
          <w:rFonts w:ascii="Arial" w:hAnsi="Arial" w:cs="Arial"/>
          <w:sz w:val="18"/>
          <w:szCs w:val="18"/>
        </w:rPr>
        <w:t xml:space="preserve">from 12,500 in 2005 to more than 15,700 in 2010 (representing a population density greater than 10,000 </w:t>
      </w:r>
      <w:r>
        <w:rPr>
          <w:rFonts w:ascii="Arial" w:hAnsi="Arial" w:cs="Arial"/>
          <w:sz w:val="18"/>
          <w:szCs w:val="18"/>
        </w:rPr>
        <w:t xml:space="preserve">people </w:t>
      </w:r>
      <w:r w:rsidRPr="00F06A11">
        <w:rPr>
          <w:rFonts w:ascii="Arial" w:hAnsi="Arial" w:cs="Arial"/>
          <w:sz w:val="18"/>
          <w:szCs w:val="18"/>
        </w:rPr>
        <w:t xml:space="preserve">per square km).  The overall population of South Tarawa has </w:t>
      </w:r>
      <w:r>
        <w:rPr>
          <w:rFonts w:ascii="Arial" w:hAnsi="Arial" w:cs="Arial"/>
          <w:sz w:val="18"/>
          <w:szCs w:val="18"/>
        </w:rPr>
        <w:t xml:space="preserve">also </w:t>
      </w:r>
      <w:r w:rsidRPr="00F06A11">
        <w:rPr>
          <w:rFonts w:ascii="Arial" w:hAnsi="Arial" w:cs="Arial"/>
          <w:sz w:val="18"/>
          <w:szCs w:val="18"/>
        </w:rPr>
        <w:t xml:space="preserve">jumped </w:t>
      </w:r>
      <w:r>
        <w:rPr>
          <w:rFonts w:ascii="Arial" w:hAnsi="Arial" w:cs="Arial"/>
          <w:sz w:val="18"/>
          <w:szCs w:val="18"/>
        </w:rPr>
        <w:t xml:space="preserve">25%, </w:t>
      </w:r>
      <w:r w:rsidRPr="00F06A11">
        <w:rPr>
          <w:rFonts w:ascii="Arial" w:hAnsi="Arial" w:cs="Arial"/>
          <w:sz w:val="18"/>
          <w:szCs w:val="18"/>
        </w:rPr>
        <w:t>from about 40,000 to just over 50,000.</w:t>
      </w:r>
    </w:p>
  </w:footnote>
  <w:footnote w:id="6">
    <w:p w:rsidR="008434CC" w:rsidRDefault="008434CC" w:rsidP="00125A99">
      <w:pPr>
        <w:pStyle w:val="FootnoteText"/>
        <w:spacing w:before="60"/>
      </w:pPr>
      <w:r w:rsidRPr="000D14E6">
        <w:rPr>
          <w:rStyle w:val="FootnoteReference"/>
          <w:rFonts w:cs="Arial"/>
          <w:szCs w:val="18"/>
        </w:rPr>
        <w:footnoteRef/>
      </w:r>
      <w:r w:rsidRPr="000D14E6">
        <w:rPr>
          <w:rFonts w:ascii="Arial" w:hAnsi="Arial" w:cs="Arial"/>
          <w:sz w:val="18"/>
          <w:szCs w:val="18"/>
        </w:rPr>
        <w:t xml:space="preserve"> CSDH (2008). </w:t>
      </w:r>
      <w:r w:rsidRPr="00903E3A">
        <w:rPr>
          <w:rFonts w:ascii="Arial" w:hAnsi="Arial" w:cs="Arial"/>
          <w:i/>
          <w:sz w:val="18"/>
          <w:szCs w:val="18"/>
        </w:rPr>
        <w:t>Closing the gap in a generation: health equity through action on the social determinants of health. Final Report of the Commission on Social Determinants of Health</w:t>
      </w:r>
      <w:r w:rsidRPr="000D14E6">
        <w:rPr>
          <w:rFonts w:ascii="Arial" w:hAnsi="Arial" w:cs="Arial"/>
          <w:sz w:val="18"/>
          <w:szCs w:val="18"/>
        </w:rPr>
        <w:t>. Geneva, World Health Organization</w:t>
      </w:r>
    </w:p>
  </w:footnote>
  <w:footnote w:id="7">
    <w:p w:rsidR="008434CC" w:rsidRDefault="008434CC" w:rsidP="00125A99">
      <w:pPr>
        <w:pStyle w:val="FootnoteText"/>
        <w:spacing w:before="60"/>
      </w:pPr>
      <w:r w:rsidRPr="009A336A">
        <w:rPr>
          <w:rStyle w:val="FootnoteReference"/>
          <w:rFonts w:cs="Arial"/>
          <w:szCs w:val="18"/>
        </w:rPr>
        <w:footnoteRef/>
      </w:r>
      <w:r w:rsidRPr="009A336A">
        <w:rPr>
          <w:rFonts w:ascii="Arial" w:hAnsi="Arial" w:cs="Arial"/>
          <w:sz w:val="18"/>
          <w:szCs w:val="18"/>
        </w:rPr>
        <w:t xml:space="preserve"> </w:t>
      </w:r>
      <w:proofErr w:type="spellStart"/>
      <w:r w:rsidRPr="009A336A">
        <w:rPr>
          <w:rFonts w:ascii="Arial" w:hAnsi="Arial" w:cs="Arial"/>
          <w:sz w:val="18"/>
          <w:szCs w:val="18"/>
        </w:rPr>
        <w:t>Rasanathan</w:t>
      </w:r>
      <w:proofErr w:type="spellEnd"/>
      <w:r w:rsidRPr="009A336A">
        <w:rPr>
          <w:rFonts w:ascii="Arial" w:hAnsi="Arial" w:cs="Arial"/>
          <w:sz w:val="18"/>
          <w:szCs w:val="18"/>
        </w:rPr>
        <w:t xml:space="preserve"> K, </w:t>
      </w:r>
      <w:proofErr w:type="spellStart"/>
      <w:r w:rsidRPr="009A336A">
        <w:rPr>
          <w:rFonts w:ascii="Arial" w:hAnsi="Arial" w:cs="Arial"/>
          <w:sz w:val="18"/>
          <w:szCs w:val="18"/>
        </w:rPr>
        <w:t>Sivasankara</w:t>
      </w:r>
      <w:proofErr w:type="spellEnd"/>
      <w:r w:rsidRPr="009A336A">
        <w:rPr>
          <w:rFonts w:ascii="Arial" w:hAnsi="Arial" w:cs="Arial"/>
          <w:sz w:val="18"/>
          <w:szCs w:val="18"/>
        </w:rPr>
        <w:t xml:space="preserve"> </w:t>
      </w:r>
      <w:proofErr w:type="spellStart"/>
      <w:r w:rsidRPr="009A336A">
        <w:rPr>
          <w:rFonts w:ascii="Arial" w:hAnsi="Arial" w:cs="Arial"/>
          <w:sz w:val="18"/>
          <w:szCs w:val="18"/>
        </w:rPr>
        <w:t>Kurup</w:t>
      </w:r>
      <w:proofErr w:type="spellEnd"/>
      <w:r w:rsidRPr="009A336A">
        <w:rPr>
          <w:rFonts w:ascii="Arial" w:hAnsi="Arial" w:cs="Arial"/>
          <w:sz w:val="18"/>
          <w:szCs w:val="18"/>
        </w:rPr>
        <w:t xml:space="preserve"> A, Jaramillo E, </w:t>
      </w:r>
      <w:proofErr w:type="spellStart"/>
      <w:r w:rsidRPr="009A336A">
        <w:rPr>
          <w:rFonts w:ascii="Arial" w:hAnsi="Arial" w:cs="Arial"/>
          <w:sz w:val="18"/>
          <w:szCs w:val="18"/>
        </w:rPr>
        <w:t>Lönnroth</w:t>
      </w:r>
      <w:proofErr w:type="spellEnd"/>
      <w:r w:rsidRPr="009A336A">
        <w:rPr>
          <w:rFonts w:ascii="Arial" w:hAnsi="Arial" w:cs="Arial"/>
          <w:sz w:val="18"/>
          <w:szCs w:val="18"/>
        </w:rPr>
        <w:t xml:space="preserve"> K. The social determinants of health: key to global tuberculosis control</w:t>
      </w:r>
      <w:r>
        <w:rPr>
          <w:rFonts w:ascii="Arial" w:hAnsi="Arial" w:cs="Arial"/>
          <w:sz w:val="18"/>
          <w:szCs w:val="18"/>
        </w:rPr>
        <w:t xml:space="preserve">. </w:t>
      </w:r>
      <w:proofErr w:type="spellStart"/>
      <w:r w:rsidRPr="009A336A">
        <w:rPr>
          <w:rFonts w:ascii="Arial" w:hAnsi="Arial" w:cs="Arial"/>
          <w:i/>
          <w:sz w:val="18"/>
          <w:szCs w:val="18"/>
        </w:rPr>
        <w:t>IntJTLD</w:t>
      </w:r>
      <w:proofErr w:type="spellEnd"/>
      <w:r>
        <w:rPr>
          <w:rFonts w:ascii="Arial" w:hAnsi="Arial" w:cs="Arial"/>
          <w:sz w:val="18"/>
          <w:szCs w:val="18"/>
        </w:rPr>
        <w:t>,</w:t>
      </w:r>
      <w:r w:rsidRPr="009A336A">
        <w:rPr>
          <w:rFonts w:ascii="Arial" w:hAnsi="Arial" w:cs="Arial"/>
          <w:sz w:val="18"/>
          <w:szCs w:val="18"/>
        </w:rPr>
        <w:t xml:space="preserve"> 2011;</w:t>
      </w:r>
      <w:r>
        <w:rPr>
          <w:rFonts w:ascii="Arial" w:hAnsi="Arial" w:cs="Arial"/>
          <w:sz w:val="18"/>
          <w:szCs w:val="18"/>
        </w:rPr>
        <w:t xml:space="preserve"> </w:t>
      </w:r>
      <w:r w:rsidRPr="009A336A">
        <w:rPr>
          <w:rFonts w:ascii="Arial" w:hAnsi="Arial" w:cs="Arial"/>
          <w:sz w:val="18"/>
          <w:szCs w:val="18"/>
        </w:rPr>
        <w:t xml:space="preserve">15 </w:t>
      </w:r>
      <w:r>
        <w:rPr>
          <w:rFonts w:ascii="Arial" w:hAnsi="Arial" w:cs="Arial"/>
          <w:sz w:val="18"/>
          <w:szCs w:val="18"/>
        </w:rPr>
        <w:t>(</w:t>
      </w:r>
      <w:proofErr w:type="spellStart"/>
      <w:r w:rsidRPr="009A336A">
        <w:rPr>
          <w:rFonts w:ascii="Arial" w:hAnsi="Arial" w:cs="Arial"/>
          <w:sz w:val="18"/>
          <w:szCs w:val="18"/>
        </w:rPr>
        <w:t>Suppl</w:t>
      </w:r>
      <w:proofErr w:type="spellEnd"/>
      <w:r w:rsidRPr="009A336A">
        <w:rPr>
          <w:rFonts w:ascii="Arial" w:hAnsi="Arial" w:cs="Arial"/>
          <w:sz w:val="18"/>
          <w:szCs w:val="18"/>
        </w:rPr>
        <w:t xml:space="preserve"> 2</w:t>
      </w:r>
      <w:r>
        <w:rPr>
          <w:rFonts w:ascii="Arial" w:hAnsi="Arial" w:cs="Arial"/>
          <w:sz w:val="18"/>
          <w:szCs w:val="18"/>
        </w:rPr>
        <w:t>)</w:t>
      </w:r>
      <w:r w:rsidRPr="009A336A">
        <w:rPr>
          <w:rFonts w:ascii="Arial" w:hAnsi="Arial" w:cs="Arial"/>
          <w:sz w:val="18"/>
          <w:szCs w:val="18"/>
        </w:rPr>
        <w:t>:</w:t>
      </w:r>
      <w:r>
        <w:rPr>
          <w:rFonts w:ascii="Arial" w:hAnsi="Arial" w:cs="Arial"/>
          <w:sz w:val="18"/>
          <w:szCs w:val="18"/>
        </w:rPr>
        <w:t xml:space="preserve"> </w:t>
      </w:r>
      <w:r w:rsidRPr="009A336A">
        <w:rPr>
          <w:rFonts w:ascii="Arial" w:hAnsi="Arial" w:cs="Arial"/>
          <w:sz w:val="18"/>
          <w:szCs w:val="18"/>
        </w:rPr>
        <w:t>30-</w:t>
      </w:r>
      <w:r>
        <w:rPr>
          <w:rFonts w:ascii="Arial" w:hAnsi="Arial" w:cs="Arial"/>
          <w:sz w:val="18"/>
          <w:szCs w:val="18"/>
        </w:rPr>
        <w:t>3</w:t>
      </w:r>
      <w:r w:rsidRPr="009A336A">
        <w:rPr>
          <w:rFonts w:ascii="Arial" w:hAnsi="Arial" w:cs="Arial"/>
          <w:sz w:val="18"/>
          <w:szCs w:val="18"/>
        </w:rPr>
        <w:t>6.</w:t>
      </w:r>
      <w:r>
        <w:rPr>
          <w:rFonts w:ascii="Arial" w:hAnsi="Arial" w:cs="Arial"/>
          <w:sz w:val="18"/>
          <w:szCs w:val="18"/>
        </w:rPr>
        <w:t xml:space="preserve">  W</w:t>
      </w:r>
      <w:r w:rsidRPr="00371D83">
        <w:rPr>
          <w:rFonts w:ascii="Arial" w:hAnsi="Arial" w:cs="Arial"/>
          <w:sz w:val="18"/>
          <w:szCs w:val="18"/>
        </w:rPr>
        <w:t xml:space="preserve">ater supply and sanitation are associated with recurrent gastrointestinal infections, and </w:t>
      </w:r>
      <w:r>
        <w:rPr>
          <w:rFonts w:ascii="Arial" w:hAnsi="Arial" w:cs="Arial"/>
          <w:sz w:val="18"/>
          <w:szCs w:val="18"/>
        </w:rPr>
        <w:t xml:space="preserve">the </w:t>
      </w:r>
      <w:r w:rsidRPr="00371D83">
        <w:rPr>
          <w:rFonts w:ascii="Arial" w:hAnsi="Arial" w:cs="Arial"/>
          <w:sz w:val="18"/>
          <w:szCs w:val="18"/>
        </w:rPr>
        <w:t>resulting malnutrition may contribute further to vulnerability to TB.</w:t>
      </w:r>
    </w:p>
  </w:footnote>
  <w:footnote w:id="8">
    <w:p w:rsidR="008434CC" w:rsidRDefault="008434CC" w:rsidP="00D91E4A">
      <w:pPr>
        <w:pStyle w:val="FootnoteText"/>
        <w:spacing w:before="60"/>
      </w:pPr>
      <w:r w:rsidRPr="00B439B4">
        <w:rPr>
          <w:rStyle w:val="FootnoteReference"/>
          <w:rFonts w:cs="Arial"/>
          <w:szCs w:val="18"/>
        </w:rPr>
        <w:footnoteRef/>
      </w:r>
      <w:r w:rsidRPr="00B439B4">
        <w:rPr>
          <w:rFonts w:ascii="Arial" w:hAnsi="Arial" w:cs="Arial"/>
          <w:sz w:val="18"/>
          <w:szCs w:val="18"/>
        </w:rPr>
        <w:t xml:space="preserve"> </w:t>
      </w:r>
      <w:proofErr w:type="spellStart"/>
      <w:r w:rsidRPr="00B439B4">
        <w:rPr>
          <w:rFonts w:ascii="Arial" w:hAnsi="Arial" w:cs="Arial"/>
          <w:sz w:val="18"/>
          <w:szCs w:val="18"/>
        </w:rPr>
        <w:t>Jeon</w:t>
      </w:r>
      <w:proofErr w:type="spellEnd"/>
      <w:r w:rsidRPr="00B439B4">
        <w:rPr>
          <w:rFonts w:ascii="Arial" w:hAnsi="Arial" w:cs="Arial"/>
          <w:sz w:val="18"/>
          <w:szCs w:val="18"/>
        </w:rPr>
        <w:t xml:space="preserve"> CY and Murray MB.  Diabetes Mellitus Increases the Risk of Active Tuberculosis: A Systematic Review of 13 Observational Studies. </w:t>
      </w:r>
      <w:proofErr w:type="spellStart"/>
      <w:r w:rsidRPr="00F47D2A">
        <w:rPr>
          <w:rFonts w:ascii="Arial" w:hAnsi="Arial" w:cs="Arial"/>
          <w:i/>
          <w:sz w:val="18"/>
          <w:szCs w:val="18"/>
        </w:rPr>
        <w:t>PLoS</w:t>
      </w:r>
      <w:proofErr w:type="spellEnd"/>
      <w:r w:rsidRPr="00F47D2A">
        <w:rPr>
          <w:rFonts w:ascii="Arial" w:hAnsi="Arial" w:cs="Arial"/>
          <w:i/>
          <w:sz w:val="18"/>
          <w:szCs w:val="18"/>
        </w:rPr>
        <w:t xml:space="preserve"> Med</w:t>
      </w:r>
      <w:r w:rsidRPr="00B439B4">
        <w:rPr>
          <w:rFonts w:ascii="Arial" w:hAnsi="Arial" w:cs="Arial"/>
          <w:sz w:val="18"/>
          <w:szCs w:val="18"/>
        </w:rPr>
        <w:t xml:space="preserve"> 5(7): e152. doi:10.1371/journal.pmed.0050152</w:t>
      </w:r>
      <w:r>
        <w:rPr>
          <w:rFonts w:ascii="Arial" w:hAnsi="Arial" w:cs="Arial"/>
          <w:sz w:val="18"/>
          <w:szCs w:val="18"/>
        </w:rPr>
        <w:t xml:space="preserve"> (2008)</w:t>
      </w:r>
      <w:r>
        <w:t xml:space="preserve">. </w:t>
      </w:r>
    </w:p>
  </w:footnote>
  <w:footnote w:id="9">
    <w:p w:rsidR="008434CC" w:rsidRDefault="008434CC" w:rsidP="00D91E4A">
      <w:pPr>
        <w:pStyle w:val="FootnoteText"/>
        <w:spacing w:before="60"/>
      </w:pPr>
      <w:r w:rsidRPr="009050BB">
        <w:rPr>
          <w:rStyle w:val="FootnoteReference"/>
          <w:rFonts w:cs="Arial"/>
          <w:szCs w:val="18"/>
        </w:rPr>
        <w:footnoteRef/>
      </w:r>
      <w:r w:rsidRPr="009050BB">
        <w:rPr>
          <w:rFonts w:ascii="Arial" w:hAnsi="Arial" w:cs="Arial"/>
          <w:sz w:val="18"/>
          <w:szCs w:val="18"/>
        </w:rPr>
        <w:t xml:space="preserve"> WHO (2004). </w:t>
      </w:r>
      <w:r w:rsidRPr="009050BB">
        <w:rPr>
          <w:rFonts w:ascii="Arial" w:hAnsi="Arial" w:cs="Arial"/>
          <w:i/>
          <w:sz w:val="18"/>
          <w:szCs w:val="18"/>
        </w:rPr>
        <w:t>Tuberculosis and HIV: A framework to address TB/HIV co-infection in the Western Pacific Region</w:t>
      </w:r>
      <w:r>
        <w:rPr>
          <w:rFonts w:ascii="Arial" w:hAnsi="Arial" w:cs="Arial"/>
          <w:i/>
          <w:sz w:val="18"/>
          <w:szCs w:val="18"/>
        </w:rPr>
        <w:t>.</w:t>
      </w:r>
      <w:r w:rsidRPr="009050BB">
        <w:rPr>
          <w:rFonts w:ascii="Arial" w:hAnsi="Arial" w:cs="Arial"/>
          <w:sz w:val="18"/>
          <w:szCs w:val="18"/>
        </w:rPr>
        <w:t xml:space="preserve"> </w:t>
      </w:r>
      <w:r w:rsidRPr="00CD2B87">
        <w:rPr>
          <w:rFonts w:ascii="Arial" w:hAnsi="Arial" w:cs="Arial"/>
          <w:sz w:val="18"/>
          <w:szCs w:val="18"/>
        </w:rPr>
        <w:t>Manila, WHO Regional Office for the Western Pacific</w:t>
      </w:r>
    </w:p>
  </w:footnote>
  <w:footnote w:id="10">
    <w:p w:rsidR="008434CC" w:rsidRDefault="008434CC" w:rsidP="00B66A73">
      <w:pPr>
        <w:pStyle w:val="FootnoteText"/>
        <w:spacing w:before="60"/>
      </w:pPr>
      <w:r w:rsidRPr="00CD2B87">
        <w:rPr>
          <w:rStyle w:val="FootnoteReference"/>
          <w:rFonts w:cs="Arial"/>
          <w:szCs w:val="18"/>
        </w:rPr>
        <w:footnoteRef/>
      </w:r>
      <w:r w:rsidRPr="00CD2B87">
        <w:rPr>
          <w:rFonts w:ascii="Arial" w:hAnsi="Arial" w:cs="Arial"/>
          <w:sz w:val="18"/>
          <w:szCs w:val="18"/>
        </w:rPr>
        <w:t xml:space="preserve"> WHO</w:t>
      </w:r>
      <w:r>
        <w:rPr>
          <w:rFonts w:ascii="Arial" w:hAnsi="Arial" w:cs="Arial"/>
          <w:sz w:val="18"/>
          <w:szCs w:val="18"/>
        </w:rPr>
        <w:t>, MHMS</w:t>
      </w:r>
      <w:r w:rsidRPr="00CD2B87">
        <w:rPr>
          <w:rFonts w:ascii="Arial" w:hAnsi="Arial" w:cs="Arial"/>
          <w:sz w:val="18"/>
          <w:szCs w:val="18"/>
        </w:rPr>
        <w:t xml:space="preserve"> (20</w:t>
      </w:r>
      <w:r>
        <w:rPr>
          <w:rFonts w:ascii="Arial" w:hAnsi="Arial" w:cs="Arial"/>
          <w:sz w:val="18"/>
          <w:szCs w:val="18"/>
        </w:rPr>
        <w:t>09</w:t>
      </w:r>
      <w:r w:rsidRPr="00CD2B87">
        <w:rPr>
          <w:rFonts w:ascii="Arial" w:hAnsi="Arial" w:cs="Arial"/>
          <w:sz w:val="18"/>
          <w:szCs w:val="18"/>
        </w:rPr>
        <w:t xml:space="preserve">). </w:t>
      </w:r>
      <w:r w:rsidRPr="009050BB">
        <w:rPr>
          <w:rFonts w:ascii="Arial" w:hAnsi="Arial" w:cs="Arial"/>
          <w:i/>
          <w:sz w:val="18"/>
          <w:szCs w:val="18"/>
        </w:rPr>
        <w:t>Kiribati</w:t>
      </w:r>
      <w:r>
        <w:rPr>
          <w:rFonts w:ascii="Arial" w:hAnsi="Arial" w:cs="Arial"/>
          <w:i/>
          <w:sz w:val="18"/>
          <w:szCs w:val="18"/>
        </w:rPr>
        <w:t xml:space="preserve"> NCD Risk Factors – STEPs Report</w:t>
      </w:r>
      <w:r w:rsidRPr="00CD2B87">
        <w:rPr>
          <w:rFonts w:ascii="Arial" w:hAnsi="Arial" w:cs="Arial"/>
          <w:sz w:val="18"/>
          <w:szCs w:val="18"/>
        </w:rPr>
        <w:t xml:space="preserve">. </w:t>
      </w:r>
      <w:r>
        <w:rPr>
          <w:rFonts w:ascii="Arial" w:hAnsi="Arial" w:cs="Arial"/>
          <w:sz w:val="18"/>
          <w:szCs w:val="18"/>
        </w:rPr>
        <w:t>Suv</w:t>
      </w:r>
      <w:r w:rsidRPr="00CD2B87">
        <w:rPr>
          <w:rFonts w:ascii="Arial" w:hAnsi="Arial" w:cs="Arial"/>
          <w:sz w:val="18"/>
          <w:szCs w:val="18"/>
        </w:rPr>
        <w:t xml:space="preserve">a, WHO Office for the </w:t>
      </w:r>
      <w:r>
        <w:rPr>
          <w:rFonts w:ascii="Arial" w:hAnsi="Arial" w:cs="Arial"/>
          <w:sz w:val="18"/>
          <w:szCs w:val="18"/>
        </w:rPr>
        <w:t xml:space="preserve">South </w:t>
      </w:r>
      <w:r w:rsidRPr="00CD2B87">
        <w:rPr>
          <w:rFonts w:ascii="Arial" w:hAnsi="Arial" w:cs="Arial"/>
          <w:sz w:val="18"/>
          <w:szCs w:val="18"/>
        </w:rPr>
        <w:t xml:space="preserve">Pacific. </w:t>
      </w:r>
    </w:p>
  </w:footnote>
  <w:footnote w:id="11">
    <w:p w:rsidR="008434CC" w:rsidRDefault="008434CC" w:rsidP="00FE6471">
      <w:pPr>
        <w:pStyle w:val="FootnoteText"/>
      </w:pPr>
      <w:r>
        <w:rPr>
          <w:rStyle w:val="FootnoteReference"/>
        </w:rPr>
        <w:footnoteRef/>
      </w:r>
      <w:r>
        <w:t xml:space="preserve"> AusAID (2009) </w:t>
      </w:r>
      <w:r w:rsidRPr="002B03E3">
        <w:rPr>
          <w:i/>
        </w:rPr>
        <w:t>Australia–Kiribati Partnership for Development</w:t>
      </w:r>
      <w:r>
        <w:t xml:space="preserve"> [Attachment A – Partnership Priority Outcomes]</w:t>
      </w:r>
    </w:p>
  </w:footnote>
  <w:footnote w:id="12">
    <w:p w:rsidR="008434CC" w:rsidRDefault="008434CC" w:rsidP="00372AE7">
      <w:pPr>
        <w:pStyle w:val="FootnoteText"/>
      </w:pPr>
      <w:r>
        <w:rPr>
          <w:rStyle w:val="FootnoteReference"/>
        </w:rPr>
        <w:footnoteRef/>
      </w:r>
      <w:r>
        <w:t xml:space="preserve"> </w:t>
      </w:r>
      <w:r w:rsidRPr="00372AE7">
        <w:t xml:space="preserve">Tuberculosis is not addressed in detail in the </w:t>
      </w:r>
      <w:r w:rsidRPr="00372AE7">
        <w:rPr>
          <w:i/>
        </w:rPr>
        <w:t>Concept Paper</w:t>
      </w:r>
      <w:r w:rsidRPr="00372AE7">
        <w:t xml:space="preserve"> that defines Australia’s current support for the health sector</w:t>
      </w:r>
      <w:r>
        <w:t xml:space="preserve"> in Kiribati</w:t>
      </w:r>
      <w:r w:rsidRPr="00372AE7">
        <w:t>.  Some adjustment of Australia’s stated development assistance priorities in Kiribati may be needed</w:t>
      </w:r>
      <w:r>
        <w:t xml:space="preserve"> to accommodate the status of the proposed new Project as a bilateral (rather than a regional) development assistance activity</w:t>
      </w:r>
      <w:r>
        <w:rPr>
          <w:lang w:val="en-AU"/>
        </w:rPr>
        <w:t>.</w:t>
      </w:r>
    </w:p>
  </w:footnote>
  <w:footnote w:id="13">
    <w:p w:rsidR="008434CC" w:rsidRDefault="008434CC" w:rsidP="003F5506">
      <w:pPr>
        <w:pStyle w:val="FootnoteText"/>
      </w:pPr>
      <w:r>
        <w:rPr>
          <w:rStyle w:val="FootnoteReference"/>
        </w:rPr>
        <w:footnoteRef/>
      </w:r>
      <w:r>
        <w:t xml:space="preserve"> AusAID (2011) </w:t>
      </w:r>
      <w:r w:rsidRPr="002B03E3">
        <w:rPr>
          <w:i/>
        </w:rPr>
        <w:t>An Effective Aid Program for Australia: Making a real difference—Delivering real results</w:t>
      </w:r>
    </w:p>
  </w:footnote>
  <w:footnote w:id="14">
    <w:p w:rsidR="008434CC" w:rsidRDefault="008434CC" w:rsidP="003F5506">
      <w:pPr>
        <w:pStyle w:val="FootnoteText"/>
      </w:pPr>
      <w:r>
        <w:rPr>
          <w:rStyle w:val="FootnoteReference"/>
        </w:rPr>
        <w:footnoteRef/>
      </w:r>
      <w:r>
        <w:t xml:space="preserve"> AusAID (2011) </w:t>
      </w:r>
      <w:r w:rsidRPr="003F5506">
        <w:rPr>
          <w:i/>
        </w:rPr>
        <w:t>Saving lives – Improving the health of the world’s poor</w:t>
      </w:r>
    </w:p>
  </w:footnote>
  <w:footnote w:id="15">
    <w:p w:rsidR="008434CC" w:rsidRDefault="008434CC">
      <w:pPr>
        <w:pStyle w:val="FootnoteText"/>
      </w:pPr>
      <w:r>
        <w:rPr>
          <w:rStyle w:val="FootnoteReference"/>
        </w:rPr>
        <w:footnoteRef/>
      </w:r>
      <w:r>
        <w:t xml:space="preserve"> </w:t>
      </w:r>
      <w:r>
        <w:rPr>
          <w:lang w:val="en-AU"/>
        </w:rPr>
        <w:t xml:space="preserve">The WHO regional strategy has subsequently been updated; see Section 3.4 </w:t>
      </w:r>
    </w:p>
  </w:footnote>
  <w:footnote w:id="16">
    <w:p w:rsidR="008434CC" w:rsidRDefault="008434CC" w:rsidP="002A162A">
      <w:pPr>
        <w:pStyle w:val="FootnoteText"/>
      </w:pPr>
      <w:r>
        <w:rPr>
          <w:rStyle w:val="FootnoteReference"/>
        </w:rPr>
        <w:footnoteRef/>
      </w:r>
      <w:r>
        <w:t xml:space="preserve"> </w:t>
      </w:r>
      <w:r>
        <w:rPr>
          <w:lang w:val="en-AU"/>
        </w:rPr>
        <w:t xml:space="preserve">Although not yet formally adopted by the NTP, a reduction in the estimated TB incidence rate by 50% </w:t>
      </w:r>
      <w:r w:rsidRPr="002363E1">
        <w:t xml:space="preserve">from </w:t>
      </w:r>
      <w:r>
        <w:t xml:space="preserve">the peak reported in 2005 (i.e. from 488 to 244 per 100,000) by 2015 has been proposed in the Project performance framework (Appendix 2).  Estimates will be based on the annual WHO </w:t>
      </w:r>
      <w:r w:rsidRPr="002C0926">
        <w:rPr>
          <w:i/>
        </w:rPr>
        <w:t>Global TB Control</w:t>
      </w:r>
      <w:r>
        <w:t xml:space="preserve"> report.</w:t>
      </w:r>
    </w:p>
  </w:footnote>
  <w:footnote w:id="17">
    <w:p w:rsidR="008434CC" w:rsidRDefault="008434CC" w:rsidP="00E42C0F">
      <w:pPr>
        <w:pStyle w:val="FootnoteText"/>
      </w:pPr>
      <w:r>
        <w:rPr>
          <w:rStyle w:val="FootnoteReference"/>
        </w:rPr>
        <w:footnoteRef/>
      </w:r>
      <w:r>
        <w:t xml:space="preserve"> World Health Organization Regional Office for the Western Pacific (2010) </w:t>
      </w:r>
      <w:r w:rsidRPr="00E42C0F">
        <w:rPr>
          <w:i/>
        </w:rPr>
        <w:t>Regional Strategy to Stop TB in the Western Pacific Region 2011–2015</w:t>
      </w:r>
      <w:r>
        <w:t xml:space="preserve">  </w:t>
      </w:r>
    </w:p>
  </w:footnote>
  <w:footnote w:id="18">
    <w:p w:rsidR="008434CC" w:rsidRDefault="008434CC" w:rsidP="00E42C0F">
      <w:pPr>
        <w:pStyle w:val="FootnoteText"/>
      </w:pPr>
      <w:r>
        <w:rPr>
          <w:rStyle w:val="FootnoteReference"/>
        </w:rPr>
        <w:footnoteRef/>
      </w:r>
      <w:r>
        <w:t xml:space="preserve"> World Health Organization, Stop TB Partnership (2006) </w:t>
      </w:r>
      <w:r w:rsidRPr="00E42C0F">
        <w:rPr>
          <w:i/>
        </w:rPr>
        <w:t>The Stop TB Strategy: Building on and enhancing DOTS to meet the TB-related Millennium Development Goals</w:t>
      </w:r>
    </w:p>
  </w:footnote>
  <w:footnote w:id="19">
    <w:p w:rsidR="008434CC" w:rsidRDefault="008434CC">
      <w:pPr>
        <w:pStyle w:val="FootnoteText"/>
      </w:pPr>
      <w:r w:rsidRPr="006B7AC6">
        <w:rPr>
          <w:rStyle w:val="FootnoteReference"/>
          <w:color w:val="000000"/>
        </w:rPr>
        <w:footnoteRef/>
      </w:r>
      <w:r w:rsidRPr="006B7AC6">
        <w:rPr>
          <w:color w:val="000000"/>
        </w:rPr>
        <w:t xml:space="preserve"> </w:t>
      </w:r>
      <w:r w:rsidRPr="006B7AC6">
        <w:rPr>
          <w:color w:val="000000"/>
          <w:lang w:val="en-AU"/>
        </w:rPr>
        <w:t xml:space="preserve">A course of standard TB drugs can cost as little as USD 20, while a course of TB drugs for an MDR-TB case can cost USD 5,000 or more.  See: WHO (2010) </w:t>
      </w:r>
      <w:r w:rsidRPr="006B7AC6">
        <w:rPr>
          <w:i/>
          <w:color w:val="000000"/>
          <w:lang w:val="en-AU"/>
        </w:rPr>
        <w:t>Drug resistant tuberculosis now at record levels</w:t>
      </w:r>
      <w:r w:rsidRPr="006B7AC6">
        <w:rPr>
          <w:color w:val="000000"/>
          <w:lang w:val="en-AU"/>
        </w:rPr>
        <w:t>.  Available at: http://www.who.int/mediacentre/news/releases/2010/drug_resistant_tb_20100318/en/index.html</w:t>
      </w:r>
    </w:p>
  </w:footnote>
  <w:footnote w:id="20">
    <w:p w:rsidR="008434CC" w:rsidRDefault="008434CC" w:rsidP="000D2103">
      <w:pPr>
        <w:pStyle w:val="FootnoteText"/>
      </w:pPr>
      <w:r>
        <w:rPr>
          <w:rStyle w:val="FootnoteReference"/>
        </w:rPr>
        <w:footnoteRef/>
      </w:r>
      <w:r>
        <w:t xml:space="preserve"> </w:t>
      </w:r>
      <w:r>
        <w:rPr>
          <w:lang w:val="en-AU"/>
        </w:rPr>
        <w:t xml:space="preserve">UNAIDS (2004) </w:t>
      </w:r>
      <w:r w:rsidRPr="000D2103">
        <w:rPr>
          <w:i/>
          <w:lang w:val="en-AU"/>
        </w:rPr>
        <w:t>“Three Ones” key principles: Coordination of National Responses to HIV/AIDS – Guiding principles for national authorities and their partners</w:t>
      </w:r>
    </w:p>
  </w:footnote>
  <w:footnote w:id="21">
    <w:p w:rsidR="008434CC" w:rsidRDefault="008434CC" w:rsidP="00865BB3">
      <w:pPr>
        <w:pStyle w:val="FootnoteText"/>
      </w:pPr>
      <w:r>
        <w:rPr>
          <w:rStyle w:val="FootnoteReference"/>
        </w:rPr>
        <w:footnoteRef/>
      </w:r>
      <w:r>
        <w:t xml:space="preserve"> World Health Organization, Stop TB Partnership (2006) </w:t>
      </w:r>
      <w:r>
        <w:rPr>
          <w:i/>
        </w:rPr>
        <w:t>op cit</w:t>
      </w:r>
      <w:r>
        <w:t>.</w:t>
      </w:r>
    </w:p>
  </w:footnote>
  <w:footnote w:id="22">
    <w:p w:rsidR="008434CC" w:rsidRDefault="008434CC">
      <w:pPr>
        <w:pStyle w:val="FootnoteText"/>
        <w:rPr>
          <w:lang w:val="en-AU"/>
        </w:rPr>
      </w:pPr>
      <w:r>
        <w:rPr>
          <w:rStyle w:val="FootnoteReference"/>
        </w:rPr>
        <w:footnoteRef/>
      </w:r>
      <w:r>
        <w:t xml:space="preserve"> </w:t>
      </w:r>
      <w:r>
        <w:rPr>
          <w:lang w:val="en-AU"/>
        </w:rPr>
        <w:t>See, for example:</w:t>
      </w:r>
    </w:p>
    <w:p w:rsidR="008434CC" w:rsidRDefault="008434CC" w:rsidP="006C258C">
      <w:pPr>
        <w:pStyle w:val="FootnoteText"/>
        <w:rPr>
          <w:lang w:val="en-AU"/>
        </w:rPr>
      </w:pPr>
      <w:proofErr w:type="spellStart"/>
      <w:r w:rsidRPr="00DA0E4E">
        <w:rPr>
          <w:lang w:val="fr-FR"/>
        </w:rPr>
        <w:t>Eang</w:t>
      </w:r>
      <w:proofErr w:type="spellEnd"/>
      <w:r w:rsidRPr="00DA0E4E">
        <w:rPr>
          <w:lang w:val="fr-FR"/>
        </w:rPr>
        <w:t xml:space="preserve"> MT, </w:t>
      </w:r>
      <w:proofErr w:type="spellStart"/>
      <w:r w:rsidRPr="00DA0E4E">
        <w:rPr>
          <w:lang w:val="fr-FR"/>
        </w:rPr>
        <w:t>Satha</w:t>
      </w:r>
      <w:proofErr w:type="spellEnd"/>
      <w:r w:rsidRPr="00DA0E4E">
        <w:rPr>
          <w:lang w:val="fr-FR"/>
        </w:rPr>
        <w:t xml:space="preserve"> P, </w:t>
      </w:r>
      <w:proofErr w:type="spellStart"/>
      <w:r w:rsidRPr="00DA0E4E">
        <w:rPr>
          <w:lang w:val="fr-FR"/>
        </w:rPr>
        <w:t>Yadav</w:t>
      </w:r>
      <w:proofErr w:type="spellEnd"/>
      <w:r w:rsidRPr="00DA0E4E">
        <w:rPr>
          <w:lang w:val="fr-FR"/>
        </w:rPr>
        <w:t xml:space="preserve"> RP, </w:t>
      </w:r>
      <w:r w:rsidRPr="00DA0E4E">
        <w:rPr>
          <w:i/>
          <w:lang w:val="fr-FR"/>
        </w:rPr>
        <w:t>et al</w:t>
      </w:r>
      <w:r w:rsidRPr="00DA0E4E">
        <w:rPr>
          <w:lang w:val="fr-FR"/>
        </w:rPr>
        <w:t xml:space="preserve">. </w:t>
      </w:r>
      <w:r w:rsidRPr="006C258C">
        <w:rPr>
          <w:lang w:val="en-AU"/>
        </w:rPr>
        <w:t>Early detection of tuberculosis through community-based active case finding in</w:t>
      </w:r>
      <w:r>
        <w:rPr>
          <w:lang w:val="en-AU"/>
        </w:rPr>
        <w:t xml:space="preserve"> </w:t>
      </w:r>
      <w:r w:rsidRPr="006C258C">
        <w:rPr>
          <w:lang w:val="en-AU"/>
        </w:rPr>
        <w:t>Cambodia</w:t>
      </w:r>
      <w:r>
        <w:rPr>
          <w:lang w:val="en-AU"/>
        </w:rPr>
        <w:t xml:space="preserve">.  </w:t>
      </w:r>
      <w:r w:rsidRPr="006C258C">
        <w:rPr>
          <w:i/>
          <w:lang w:val="en-AU"/>
        </w:rPr>
        <w:t>BMC Public Health</w:t>
      </w:r>
      <w:r>
        <w:rPr>
          <w:lang w:val="en-AU"/>
        </w:rPr>
        <w:t>,</w:t>
      </w:r>
      <w:r w:rsidRPr="006C258C">
        <w:rPr>
          <w:lang w:val="en-AU"/>
        </w:rPr>
        <w:t xml:space="preserve"> 2012</w:t>
      </w:r>
      <w:r>
        <w:rPr>
          <w:lang w:val="en-AU"/>
        </w:rPr>
        <w:t>;</w:t>
      </w:r>
      <w:r w:rsidRPr="006C258C">
        <w:rPr>
          <w:lang w:val="en-AU"/>
        </w:rPr>
        <w:t xml:space="preserve"> 12:</w:t>
      </w:r>
      <w:r>
        <w:rPr>
          <w:lang w:val="en-AU"/>
        </w:rPr>
        <w:t xml:space="preserve"> </w:t>
      </w:r>
      <w:r w:rsidRPr="006C258C">
        <w:rPr>
          <w:lang w:val="en-AU"/>
        </w:rPr>
        <w:t>469</w:t>
      </w:r>
      <w:r>
        <w:rPr>
          <w:lang w:val="en-AU"/>
        </w:rPr>
        <w:t>-480</w:t>
      </w:r>
    </w:p>
    <w:p w:rsidR="008434CC" w:rsidRDefault="008434CC" w:rsidP="00FE3C03">
      <w:pPr>
        <w:pStyle w:val="FootnoteText"/>
      </w:pPr>
      <w:proofErr w:type="spellStart"/>
      <w:r w:rsidRPr="00FE3C03">
        <w:rPr>
          <w:lang w:val="en-AU"/>
        </w:rPr>
        <w:t>Akachi</w:t>
      </w:r>
      <w:proofErr w:type="spellEnd"/>
      <w:r w:rsidRPr="00FE3C03">
        <w:rPr>
          <w:lang w:val="en-AU"/>
        </w:rPr>
        <w:t xml:space="preserve"> </w:t>
      </w:r>
      <w:r>
        <w:rPr>
          <w:lang w:val="en-AU"/>
        </w:rPr>
        <w:t xml:space="preserve">Y, </w:t>
      </w:r>
      <w:proofErr w:type="spellStart"/>
      <w:r w:rsidRPr="00FE3C03">
        <w:rPr>
          <w:lang w:val="en-AU"/>
        </w:rPr>
        <w:t>Zumla</w:t>
      </w:r>
      <w:proofErr w:type="spellEnd"/>
      <w:r w:rsidRPr="00FE3C03">
        <w:rPr>
          <w:lang w:val="en-AU"/>
        </w:rPr>
        <w:t xml:space="preserve"> </w:t>
      </w:r>
      <w:r>
        <w:rPr>
          <w:lang w:val="en-AU"/>
        </w:rPr>
        <w:t xml:space="preserve">A, </w:t>
      </w:r>
      <w:proofErr w:type="spellStart"/>
      <w:r w:rsidRPr="00FE3C03">
        <w:rPr>
          <w:lang w:val="en-AU"/>
        </w:rPr>
        <w:t>Atun</w:t>
      </w:r>
      <w:proofErr w:type="spellEnd"/>
      <w:r>
        <w:rPr>
          <w:lang w:val="en-AU"/>
        </w:rPr>
        <w:t xml:space="preserve"> R.  </w:t>
      </w:r>
      <w:r w:rsidRPr="00FE3C03">
        <w:rPr>
          <w:lang w:val="en-AU"/>
        </w:rPr>
        <w:t>Investing in Improved Performance of National</w:t>
      </w:r>
      <w:r>
        <w:rPr>
          <w:lang w:val="en-AU"/>
        </w:rPr>
        <w:t xml:space="preserve"> </w:t>
      </w:r>
      <w:r w:rsidRPr="00FE3C03">
        <w:rPr>
          <w:lang w:val="en-AU"/>
        </w:rPr>
        <w:t>Tuberculosis Programs Reduces the Tuberculosis</w:t>
      </w:r>
      <w:r>
        <w:rPr>
          <w:lang w:val="en-AU"/>
        </w:rPr>
        <w:t xml:space="preserve"> </w:t>
      </w:r>
      <w:r w:rsidRPr="00FE3C03">
        <w:rPr>
          <w:lang w:val="en-AU"/>
        </w:rPr>
        <w:t>Burden: Analysis of 22 High-Burden Countries,</w:t>
      </w:r>
      <w:r>
        <w:rPr>
          <w:lang w:val="en-AU"/>
        </w:rPr>
        <w:t xml:space="preserve"> </w:t>
      </w:r>
      <w:r w:rsidRPr="00FE3C03">
        <w:rPr>
          <w:lang w:val="en-AU"/>
        </w:rPr>
        <w:t>2002–2009</w:t>
      </w:r>
      <w:r>
        <w:rPr>
          <w:lang w:val="en-AU"/>
        </w:rPr>
        <w:t xml:space="preserve">. </w:t>
      </w:r>
      <w:r w:rsidRPr="00FE3C03">
        <w:rPr>
          <w:i/>
          <w:lang w:val="en-AU"/>
        </w:rPr>
        <w:t>JID</w:t>
      </w:r>
      <w:r>
        <w:rPr>
          <w:lang w:val="en-AU"/>
        </w:rPr>
        <w:t>,</w:t>
      </w:r>
      <w:r w:rsidRPr="00FE3C03">
        <w:rPr>
          <w:lang w:val="en-AU"/>
        </w:rPr>
        <w:t xml:space="preserve"> 2012</w:t>
      </w:r>
      <w:r>
        <w:rPr>
          <w:lang w:val="en-AU"/>
        </w:rPr>
        <w:t xml:space="preserve">; </w:t>
      </w:r>
      <w:r w:rsidRPr="00FE3C03">
        <w:rPr>
          <w:lang w:val="en-AU"/>
        </w:rPr>
        <w:t>205</w:t>
      </w:r>
      <w:r>
        <w:rPr>
          <w:lang w:val="en-AU"/>
        </w:rPr>
        <w:t>:</w:t>
      </w:r>
      <w:r w:rsidRPr="00FE3C03">
        <w:rPr>
          <w:lang w:val="en-AU"/>
        </w:rPr>
        <w:t xml:space="preserve"> S2</w:t>
      </w:r>
      <w:r>
        <w:rPr>
          <w:lang w:val="en-AU"/>
        </w:rPr>
        <w:t>83-S292.</w:t>
      </w:r>
      <w:r w:rsidRPr="00FE3C03">
        <w:rPr>
          <w:lang w:val="en-AU"/>
        </w:rPr>
        <w:t xml:space="preserve"> </w:t>
      </w:r>
    </w:p>
  </w:footnote>
  <w:footnote w:id="23">
    <w:p w:rsidR="008434CC" w:rsidRDefault="008434CC" w:rsidP="0084507D">
      <w:pPr>
        <w:pStyle w:val="FootnoteText"/>
      </w:pPr>
      <w:r w:rsidRPr="00451761">
        <w:rPr>
          <w:rStyle w:val="FootnoteReference"/>
          <w:color w:val="000000"/>
        </w:rPr>
        <w:footnoteRef/>
      </w:r>
      <w:r w:rsidRPr="00451761">
        <w:rPr>
          <w:color w:val="000000"/>
        </w:rPr>
        <w:t xml:space="preserve"> </w:t>
      </w:r>
      <w:r w:rsidRPr="00451761">
        <w:rPr>
          <w:color w:val="000000"/>
          <w:lang w:val="en-AU"/>
        </w:rPr>
        <w:t>A contingency sum equivalent to 5% of the estimated cost of procurement of goods and internationally-sourced services (including air fares) is incorporated into the operational budget (Objective 4) as a buffer against exchange rate risks and price fluctuations</w:t>
      </w:r>
      <w:r>
        <w:rPr>
          <w:color w:val="000000"/>
          <w:lang w:val="en-AU"/>
        </w:rPr>
        <w:t>; see Appendix 3, Risk #2.3</w:t>
      </w:r>
      <w:r w:rsidRPr="00451761">
        <w:rPr>
          <w:color w:val="000000"/>
          <w:lang w:val="en-AU"/>
        </w:rPr>
        <w:t>.</w:t>
      </w:r>
    </w:p>
  </w:footnote>
  <w:footnote w:id="24">
    <w:p w:rsidR="008434CC" w:rsidRDefault="008434CC" w:rsidP="009E7CA4">
      <w:pPr>
        <w:pStyle w:val="FootnoteText"/>
      </w:pPr>
      <w:r>
        <w:rPr>
          <w:rStyle w:val="FootnoteReference"/>
        </w:rPr>
        <w:footnoteRef/>
      </w:r>
      <w:r>
        <w:t xml:space="preserve"> </w:t>
      </w:r>
      <w:r>
        <w:rPr>
          <w:lang w:val="en-AU"/>
        </w:rPr>
        <w:t xml:space="preserve">The risk rating system is the same as that used by the Australian Aid Program: </w:t>
      </w:r>
      <w:r>
        <w:rPr>
          <w:lang w:val="en-AU"/>
        </w:rPr>
        <w:br/>
        <w:t xml:space="preserve">AusAID (2006) </w:t>
      </w:r>
      <w:r w:rsidRPr="009E7CA4">
        <w:rPr>
          <w:i/>
          <w:lang w:val="en-AU"/>
        </w:rPr>
        <w:t>Risk Management Guide</w:t>
      </w:r>
      <w:r>
        <w:rPr>
          <w:lang w:val="en-AU"/>
        </w:rPr>
        <w:t xml:space="preserve"> (</w:t>
      </w:r>
      <w:r w:rsidRPr="009E7CA4">
        <w:rPr>
          <w:lang w:val="en-AU"/>
        </w:rPr>
        <w:t>Annex 1</w:t>
      </w:r>
      <w:r>
        <w:rPr>
          <w:lang w:val="en-AU"/>
        </w:rPr>
        <w:t xml:space="preserve"> t</w:t>
      </w:r>
      <w:r w:rsidRPr="009E7CA4">
        <w:rPr>
          <w:lang w:val="en-AU"/>
        </w:rPr>
        <w:t xml:space="preserve">o the </w:t>
      </w:r>
      <w:r>
        <w:rPr>
          <w:lang w:val="en-AU"/>
        </w:rPr>
        <w:t xml:space="preserve">AusAID </w:t>
      </w:r>
      <w:r w:rsidRPr="009E7CA4">
        <w:rPr>
          <w:lang w:val="en-AU"/>
        </w:rPr>
        <w:t>Risk Management Policy</w:t>
      </w:r>
      <w:r>
        <w:rPr>
          <w:lang w:val="en-A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7E9" w:rsidRDefault="004C37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7E9" w:rsidRDefault="004C37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7E9" w:rsidRDefault="004C37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7558"/>
    <w:multiLevelType w:val="hybridMultilevel"/>
    <w:tmpl w:val="23B8ABFA"/>
    <w:lvl w:ilvl="0" w:tplc="0C090011">
      <w:start w:val="1"/>
      <w:numFmt w:val="decimal"/>
      <w:lvlText w:val="%1)"/>
      <w:lvlJc w:val="left"/>
      <w:pPr>
        <w:ind w:left="1080" w:hanging="72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487CAA"/>
    <w:multiLevelType w:val="hybridMultilevel"/>
    <w:tmpl w:val="C2C81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F42B53"/>
    <w:multiLevelType w:val="hybridMultilevel"/>
    <w:tmpl w:val="8EA4B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5D0E68"/>
    <w:multiLevelType w:val="multilevel"/>
    <w:tmpl w:val="83A6FCEE"/>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CDA484B"/>
    <w:multiLevelType w:val="multilevel"/>
    <w:tmpl w:val="52CA6794"/>
    <w:lvl w:ilvl="0">
      <w:start w:val="1"/>
      <w:numFmt w:val="decimal"/>
      <w:lvlText w:val="%1."/>
      <w:lvlJc w:val="left"/>
      <w:pPr>
        <w:ind w:left="450" w:hanging="450"/>
      </w:pPr>
      <w:rPr>
        <w:rFonts w:cs="Times New Roman" w:hint="default"/>
      </w:rPr>
    </w:lvl>
    <w:lvl w:ilvl="1">
      <w:start w:val="3"/>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0D396607"/>
    <w:multiLevelType w:val="hybridMultilevel"/>
    <w:tmpl w:val="C4E66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D727DBF"/>
    <w:multiLevelType w:val="hybridMultilevel"/>
    <w:tmpl w:val="9E325FC0"/>
    <w:lvl w:ilvl="0" w:tplc="BD2001CA">
      <w:numFmt w:val="bullet"/>
      <w:lvlText w:val="•"/>
      <w:lvlJc w:val="left"/>
      <w:pPr>
        <w:ind w:left="1080" w:hanging="72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DE415DE"/>
    <w:multiLevelType w:val="hybridMultilevel"/>
    <w:tmpl w:val="53BCBB80"/>
    <w:lvl w:ilvl="0" w:tplc="0C090001">
      <w:start w:val="1"/>
      <w:numFmt w:val="bullet"/>
      <w:lvlText w:val=""/>
      <w:lvlJc w:val="left"/>
      <w:pPr>
        <w:tabs>
          <w:tab w:val="num" w:pos="1080"/>
        </w:tabs>
        <w:ind w:left="1080" w:hanging="360"/>
      </w:pPr>
      <w:rPr>
        <w:rFonts w:ascii="Symbol" w:hAnsi="Symbol" w:hint="default"/>
        <w:sz w:val="16"/>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0E1C0662"/>
    <w:multiLevelType w:val="multilevel"/>
    <w:tmpl w:val="136EE88E"/>
    <w:lvl w:ilvl="0">
      <w:start w:val="3"/>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0E1C68E0"/>
    <w:multiLevelType w:val="hybridMultilevel"/>
    <w:tmpl w:val="398050C4"/>
    <w:lvl w:ilvl="0" w:tplc="0C090011">
      <w:start w:val="1"/>
      <w:numFmt w:val="decimal"/>
      <w:lvlText w:val="%1)"/>
      <w:lvlJc w:val="left"/>
      <w:pPr>
        <w:ind w:left="360" w:hanging="360"/>
      </w:pPr>
      <w:rPr>
        <w:rFonts w:cs="Times New Roman"/>
      </w:rPr>
    </w:lvl>
    <w:lvl w:ilvl="1" w:tplc="DF0C56DA">
      <w:start w:val="1"/>
      <w:numFmt w:val="decimal"/>
      <w:lvlText w:val="%2."/>
      <w:lvlJc w:val="left"/>
      <w:pPr>
        <w:ind w:left="1080" w:hanging="360"/>
      </w:pPr>
      <w:rPr>
        <w:rFonts w:cs="Times New Roman" w:hint="default"/>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0">
    <w:nsid w:val="0EC547DF"/>
    <w:multiLevelType w:val="multilevel"/>
    <w:tmpl w:val="E4065C60"/>
    <w:lvl w:ilvl="0">
      <w:start w:val="4"/>
      <w:numFmt w:val="decimal"/>
      <w:lvlText w:val="%1."/>
      <w:lvlJc w:val="left"/>
      <w:pPr>
        <w:ind w:left="540" w:hanging="540"/>
      </w:pPr>
      <w:rPr>
        <w:rFonts w:cs="Times New Roman" w:hint="default"/>
        <w:b w:val="0"/>
      </w:rPr>
    </w:lvl>
    <w:lvl w:ilvl="1">
      <w:start w:val="2"/>
      <w:numFmt w:val="decimal"/>
      <w:lvlText w:val="%1.%2."/>
      <w:lvlJc w:val="left"/>
      <w:pPr>
        <w:ind w:left="540" w:hanging="54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1">
    <w:nsid w:val="0F753AFD"/>
    <w:multiLevelType w:val="hybridMultilevel"/>
    <w:tmpl w:val="71CE8018"/>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116042B2"/>
    <w:multiLevelType w:val="hybridMultilevel"/>
    <w:tmpl w:val="DA0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AB405D"/>
    <w:multiLevelType w:val="hybridMultilevel"/>
    <w:tmpl w:val="E0EC6F8C"/>
    <w:lvl w:ilvl="0" w:tplc="04090001">
      <w:start w:val="1"/>
      <w:numFmt w:val="bullet"/>
      <w:lvlText w:val=""/>
      <w:lvlJc w:val="left"/>
      <w:pPr>
        <w:tabs>
          <w:tab w:val="num" w:pos="1080"/>
        </w:tabs>
        <w:ind w:left="1080" w:hanging="360"/>
      </w:pPr>
      <w:rPr>
        <w:rFonts w:ascii="Symbol" w:hAnsi="Symbol" w:hint="default"/>
        <w:sz w:val="16"/>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192E41EC"/>
    <w:multiLevelType w:val="multilevel"/>
    <w:tmpl w:val="8AB4A0F2"/>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bullet"/>
      <w:lvlText w:val=""/>
      <w:lvlJc w:val="left"/>
      <w:pPr>
        <w:ind w:left="1429" w:hanging="720"/>
      </w:pPr>
      <w:rPr>
        <w:rFonts w:ascii="Symbol" w:hAnsi="Symbol"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1A684290"/>
    <w:multiLevelType w:val="hybridMultilevel"/>
    <w:tmpl w:val="4D702078"/>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
    <w:nsid w:val="1D4D4ED9"/>
    <w:multiLevelType w:val="hybridMultilevel"/>
    <w:tmpl w:val="4ABA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B4482D"/>
    <w:multiLevelType w:val="hybridMultilevel"/>
    <w:tmpl w:val="4CEC475A"/>
    <w:lvl w:ilvl="0" w:tplc="006A4A4A">
      <w:start w:val="1"/>
      <w:numFmt w:val="bullet"/>
      <w:lvlText w:val=""/>
      <w:lvlJc w:val="left"/>
      <w:pPr>
        <w:tabs>
          <w:tab w:val="num" w:pos="1080"/>
        </w:tabs>
        <w:ind w:left="1080" w:hanging="360"/>
      </w:pPr>
      <w:rPr>
        <w:rFonts w:ascii="Symbol" w:hAnsi="Symbol" w:hint="default"/>
        <w:sz w:val="20"/>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1E5F5D0B"/>
    <w:multiLevelType w:val="hybridMultilevel"/>
    <w:tmpl w:val="82962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EB656FE"/>
    <w:multiLevelType w:val="hybridMultilevel"/>
    <w:tmpl w:val="353E0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2AC60F3"/>
    <w:multiLevelType w:val="hybridMultilevel"/>
    <w:tmpl w:val="186EA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6303F21"/>
    <w:multiLevelType w:val="hybridMultilevel"/>
    <w:tmpl w:val="4BCEA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99570E0"/>
    <w:multiLevelType w:val="hybridMultilevel"/>
    <w:tmpl w:val="2A705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9D46F0A"/>
    <w:multiLevelType w:val="hybridMultilevel"/>
    <w:tmpl w:val="65001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A1529D4"/>
    <w:multiLevelType w:val="hybridMultilevel"/>
    <w:tmpl w:val="EA54305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2CAD3747"/>
    <w:multiLevelType w:val="multilevel"/>
    <w:tmpl w:val="B24C8BAA"/>
    <w:lvl w:ilvl="0">
      <w:start w:val="1"/>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2D5136EE"/>
    <w:multiLevelType w:val="hybridMultilevel"/>
    <w:tmpl w:val="1D78FA4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302237DB"/>
    <w:multiLevelType w:val="hybridMultilevel"/>
    <w:tmpl w:val="236EB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1571F11"/>
    <w:multiLevelType w:val="hybridMultilevel"/>
    <w:tmpl w:val="F6803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22026C0"/>
    <w:multiLevelType w:val="hybridMultilevel"/>
    <w:tmpl w:val="7DEAE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487503C"/>
    <w:multiLevelType w:val="hybridMultilevel"/>
    <w:tmpl w:val="B93CB318"/>
    <w:lvl w:ilvl="0" w:tplc="006A4A4A">
      <w:start w:val="1"/>
      <w:numFmt w:val="bullet"/>
      <w:lvlText w:val=""/>
      <w:lvlJc w:val="left"/>
      <w:pPr>
        <w:ind w:left="1080" w:hanging="360"/>
      </w:pPr>
      <w:rPr>
        <w:rFonts w:ascii="Symbol" w:hAnsi="Symbol" w:hint="default"/>
        <w:sz w:val="20"/>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361A3E98"/>
    <w:multiLevelType w:val="multilevel"/>
    <w:tmpl w:val="0114BA0E"/>
    <w:lvl w:ilvl="0">
      <w:start w:val="4"/>
      <w:numFmt w:val="decimal"/>
      <w:lvlText w:val="%1."/>
      <w:lvlJc w:val="left"/>
      <w:pPr>
        <w:ind w:left="540" w:hanging="540"/>
      </w:pPr>
      <w:rPr>
        <w:rFonts w:eastAsia="Times New Roman" w:cs="Times New Roman" w:hint="default"/>
      </w:rPr>
    </w:lvl>
    <w:lvl w:ilvl="1">
      <w:start w:val="4"/>
      <w:numFmt w:val="decimal"/>
      <w:lvlText w:val="%1.%2."/>
      <w:lvlJc w:val="left"/>
      <w:pPr>
        <w:ind w:left="540" w:hanging="54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32">
    <w:nsid w:val="373B1E8E"/>
    <w:multiLevelType w:val="hybridMultilevel"/>
    <w:tmpl w:val="EA1AA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9291A36"/>
    <w:multiLevelType w:val="hybridMultilevel"/>
    <w:tmpl w:val="74FEB7E2"/>
    <w:lvl w:ilvl="0" w:tplc="1EB2F728">
      <w:start w:val="1"/>
      <w:numFmt w:val="bullet"/>
      <w:lvlText w:val=""/>
      <w:lvlJc w:val="left"/>
      <w:pPr>
        <w:tabs>
          <w:tab w:val="num" w:pos="1080"/>
        </w:tabs>
        <w:ind w:left="1080" w:hanging="360"/>
      </w:pPr>
      <w:rPr>
        <w:rFonts w:ascii="Symbol" w:hAnsi="Symbol" w:hint="default"/>
        <w:sz w:val="16"/>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3ADA6FAA"/>
    <w:multiLevelType w:val="hybridMultilevel"/>
    <w:tmpl w:val="1D769F6E"/>
    <w:lvl w:ilvl="0" w:tplc="D94E2F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DC45131"/>
    <w:multiLevelType w:val="multilevel"/>
    <w:tmpl w:val="1152D8C2"/>
    <w:lvl w:ilvl="0">
      <w:start w:val="2"/>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3E557FEC"/>
    <w:multiLevelType w:val="hybridMultilevel"/>
    <w:tmpl w:val="BD866F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nsid w:val="3F6426E2"/>
    <w:multiLevelType w:val="hybridMultilevel"/>
    <w:tmpl w:val="EA30C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243554D"/>
    <w:multiLevelType w:val="hybridMultilevel"/>
    <w:tmpl w:val="5E94B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444714B5"/>
    <w:multiLevelType w:val="hybridMultilevel"/>
    <w:tmpl w:val="1F627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BE853ED"/>
    <w:multiLevelType w:val="hybridMultilevel"/>
    <w:tmpl w:val="D3227AD4"/>
    <w:lvl w:ilvl="0" w:tplc="0409000F">
      <w:start w:val="1"/>
      <w:numFmt w:val="decimal"/>
      <w:lvlText w:val="%1."/>
      <w:lvlJc w:val="left"/>
      <w:pPr>
        <w:ind w:left="1440" w:hanging="360"/>
      </w:pPr>
      <w:rPr>
        <w:rFonts w:cs="Times New Roman"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nsid w:val="59B670FC"/>
    <w:multiLevelType w:val="hybridMultilevel"/>
    <w:tmpl w:val="7E3A162A"/>
    <w:lvl w:ilvl="0" w:tplc="46E4EB52">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2">
    <w:nsid w:val="5A4851EE"/>
    <w:multiLevelType w:val="hybridMultilevel"/>
    <w:tmpl w:val="BCE87FC8"/>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67684B3D"/>
    <w:multiLevelType w:val="multilevel"/>
    <w:tmpl w:val="5928E76A"/>
    <w:lvl w:ilvl="0">
      <w:start w:val="3"/>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nsid w:val="68B12604"/>
    <w:multiLevelType w:val="hybridMultilevel"/>
    <w:tmpl w:val="30C6ABDC"/>
    <w:lvl w:ilvl="0" w:tplc="D94E2F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A255A3D"/>
    <w:multiLevelType w:val="hybridMultilevel"/>
    <w:tmpl w:val="3528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A9F11B2"/>
    <w:multiLevelType w:val="hybridMultilevel"/>
    <w:tmpl w:val="2C0E6C98"/>
    <w:lvl w:ilvl="0" w:tplc="0C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6E033BCF"/>
    <w:multiLevelType w:val="multilevel"/>
    <w:tmpl w:val="51D6D558"/>
    <w:lvl w:ilvl="0">
      <w:start w:val="4"/>
      <w:numFmt w:val="decimal"/>
      <w:lvlText w:val="%1."/>
      <w:lvlJc w:val="left"/>
      <w:pPr>
        <w:ind w:left="540" w:hanging="540"/>
      </w:pPr>
      <w:rPr>
        <w:rFonts w:cs="Times New Roman" w:hint="default"/>
        <w:b w:val="0"/>
      </w:rPr>
    </w:lvl>
    <w:lvl w:ilvl="1">
      <w:start w:val="1"/>
      <w:numFmt w:val="decimal"/>
      <w:lvlText w:val="%1.%2."/>
      <w:lvlJc w:val="left"/>
      <w:pPr>
        <w:ind w:left="540" w:hanging="54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8">
    <w:nsid w:val="7047282D"/>
    <w:multiLevelType w:val="hybridMultilevel"/>
    <w:tmpl w:val="EEE0B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0B22AF2"/>
    <w:multiLevelType w:val="hybridMultilevel"/>
    <w:tmpl w:val="960020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nsid w:val="729C1825"/>
    <w:multiLevelType w:val="hybridMultilevel"/>
    <w:tmpl w:val="E5A6D18C"/>
    <w:lvl w:ilvl="0" w:tplc="0C090011">
      <w:start w:val="1"/>
      <w:numFmt w:val="decimal"/>
      <w:lvlText w:val="%1)"/>
      <w:lvlJc w:val="left"/>
      <w:pPr>
        <w:ind w:left="360" w:hanging="360"/>
      </w:pPr>
      <w:rPr>
        <w:rFonts w:cs="Times New Roman"/>
      </w:rPr>
    </w:lvl>
    <w:lvl w:ilvl="1" w:tplc="A672EFC4">
      <w:start w:val="1"/>
      <w:numFmt w:val="decimal"/>
      <w:lvlText w:val="%2."/>
      <w:lvlJc w:val="left"/>
      <w:pPr>
        <w:ind w:left="1080" w:hanging="360"/>
      </w:pPr>
      <w:rPr>
        <w:rFonts w:cs="Times New Roman" w:hint="default"/>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1">
    <w:nsid w:val="72FB5655"/>
    <w:multiLevelType w:val="hybridMultilevel"/>
    <w:tmpl w:val="9D08BC3E"/>
    <w:lvl w:ilvl="0" w:tplc="006A4A4A">
      <w:start w:val="1"/>
      <w:numFmt w:val="bullet"/>
      <w:lvlText w:val=""/>
      <w:lvlJc w:val="left"/>
      <w:pPr>
        <w:tabs>
          <w:tab w:val="num" w:pos="1080"/>
        </w:tabs>
        <w:ind w:left="1080" w:hanging="360"/>
      </w:pPr>
      <w:rPr>
        <w:rFonts w:ascii="Symbol" w:hAnsi="Symbol" w:hint="default"/>
        <w:sz w:val="20"/>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nsid w:val="7B3C0EE4"/>
    <w:multiLevelType w:val="hybridMultilevel"/>
    <w:tmpl w:val="F3243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35"/>
  </w:num>
  <w:num w:numId="3">
    <w:abstractNumId w:val="8"/>
  </w:num>
  <w:num w:numId="4">
    <w:abstractNumId w:val="43"/>
  </w:num>
  <w:num w:numId="5">
    <w:abstractNumId w:val="47"/>
  </w:num>
  <w:num w:numId="6">
    <w:abstractNumId w:val="10"/>
  </w:num>
  <w:num w:numId="7">
    <w:abstractNumId w:val="3"/>
  </w:num>
  <w:num w:numId="8">
    <w:abstractNumId w:val="4"/>
  </w:num>
  <w:num w:numId="9">
    <w:abstractNumId w:val="31"/>
  </w:num>
  <w:num w:numId="10">
    <w:abstractNumId w:val="25"/>
  </w:num>
  <w:num w:numId="11">
    <w:abstractNumId w:val="12"/>
  </w:num>
  <w:num w:numId="12">
    <w:abstractNumId w:val="49"/>
  </w:num>
  <w:num w:numId="13">
    <w:abstractNumId w:val="36"/>
  </w:num>
  <w:num w:numId="14">
    <w:abstractNumId w:val="46"/>
  </w:num>
  <w:num w:numId="15">
    <w:abstractNumId w:val="27"/>
  </w:num>
  <w:num w:numId="16">
    <w:abstractNumId w:val="2"/>
  </w:num>
  <w:num w:numId="17">
    <w:abstractNumId w:val="52"/>
  </w:num>
  <w:num w:numId="18">
    <w:abstractNumId w:val="30"/>
  </w:num>
  <w:num w:numId="19">
    <w:abstractNumId w:val="33"/>
  </w:num>
  <w:num w:numId="20">
    <w:abstractNumId w:val="40"/>
  </w:num>
  <w:num w:numId="21">
    <w:abstractNumId w:val="6"/>
  </w:num>
  <w:num w:numId="22">
    <w:abstractNumId w:val="32"/>
  </w:num>
  <w:num w:numId="23">
    <w:abstractNumId w:val="23"/>
  </w:num>
  <w:num w:numId="24">
    <w:abstractNumId w:val="20"/>
  </w:num>
  <w:num w:numId="25">
    <w:abstractNumId w:val="39"/>
  </w:num>
  <w:num w:numId="26">
    <w:abstractNumId w:val="9"/>
  </w:num>
  <w:num w:numId="27">
    <w:abstractNumId w:val="50"/>
  </w:num>
  <w:num w:numId="28">
    <w:abstractNumId w:val="41"/>
  </w:num>
  <w:num w:numId="29">
    <w:abstractNumId w:val="11"/>
  </w:num>
  <w:num w:numId="30">
    <w:abstractNumId w:val="42"/>
  </w:num>
  <w:num w:numId="31">
    <w:abstractNumId w:val="37"/>
  </w:num>
  <w:num w:numId="32">
    <w:abstractNumId w:val="18"/>
  </w:num>
  <w:num w:numId="33">
    <w:abstractNumId w:val="22"/>
  </w:num>
  <w:num w:numId="34">
    <w:abstractNumId w:val="5"/>
  </w:num>
  <w:num w:numId="35">
    <w:abstractNumId w:val="0"/>
  </w:num>
  <w:num w:numId="36">
    <w:abstractNumId w:val="15"/>
  </w:num>
  <w:num w:numId="37">
    <w:abstractNumId w:val="19"/>
  </w:num>
  <w:num w:numId="38">
    <w:abstractNumId w:val="48"/>
  </w:num>
  <w:num w:numId="39">
    <w:abstractNumId w:val="1"/>
  </w:num>
  <w:num w:numId="40">
    <w:abstractNumId w:val="21"/>
  </w:num>
  <w:num w:numId="41">
    <w:abstractNumId w:val="29"/>
  </w:num>
  <w:num w:numId="42">
    <w:abstractNumId w:val="38"/>
  </w:num>
  <w:num w:numId="43">
    <w:abstractNumId w:val="24"/>
  </w:num>
  <w:num w:numId="44">
    <w:abstractNumId w:val="7"/>
  </w:num>
  <w:num w:numId="45">
    <w:abstractNumId w:val="13"/>
  </w:num>
  <w:num w:numId="46">
    <w:abstractNumId w:val="51"/>
  </w:num>
  <w:num w:numId="47">
    <w:abstractNumId w:val="17"/>
  </w:num>
  <w:num w:numId="48">
    <w:abstractNumId w:val="34"/>
  </w:num>
  <w:num w:numId="49">
    <w:abstractNumId w:val="44"/>
  </w:num>
  <w:num w:numId="50">
    <w:abstractNumId w:val="26"/>
  </w:num>
  <w:num w:numId="51">
    <w:abstractNumId w:val="28"/>
  </w:num>
  <w:num w:numId="52">
    <w:abstractNumId w:val="16"/>
  </w:num>
  <w:num w:numId="53">
    <w:abstractNumId w:val="4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AF1"/>
    <w:rsid w:val="0000032D"/>
    <w:rsid w:val="00001B9E"/>
    <w:rsid w:val="00002210"/>
    <w:rsid w:val="0000315A"/>
    <w:rsid w:val="00004025"/>
    <w:rsid w:val="000059AE"/>
    <w:rsid w:val="00005C15"/>
    <w:rsid w:val="00007D4D"/>
    <w:rsid w:val="000101D9"/>
    <w:rsid w:val="0001088D"/>
    <w:rsid w:val="000111FF"/>
    <w:rsid w:val="000119CA"/>
    <w:rsid w:val="00011CD8"/>
    <w:rsid w:val="0001449A"/>
    <w:rsid w:val="000150F6"/>
    <w:rsid w:val="000156F7"/>
    <w:rsid w:val="00015A3B"/>
    <w:rsid w:val="00017116"/>
    <w:rsid w:val="00020365"/>
    <w:rsid w:val="00020B40"/>
    <w:rsid w:val="00022831"/>
    <w:rsid w:val="000230D6"/>
    <w:rsid w:val="00023AB8"/>
    <w:rsid w:val="00024CCF"/>
    <w:rsid w:val="00026383"/>
    <w:rsid w:val="000265A5"/>
    <w:rsid w:val="00027050"/>
    <w:rsid w:val="00027E9D"/>
    <w:rsid w:val="00030B4C"/>
    <w:rsid w:val="00030ED6"/>
    <w:rsid w:val="00033740"/>
    <w:rsid w:val="000339F0"/>
    <w:rsid w:val="00034A52"/>
    <w:rsid w:val="00034C63"/>
    <w:rsid w:val="00037849"/>
    <w:rsid w:val="00041254"/>
    <w:rsid w:val="000420B8"/>
    <w:rsid w:val="00042C3B"/>
    <w:rsid w:val="00043F68"/>
    <w:rsid w:val="00044B5B"/>
    <w:rsid w:val="000452A9"/>
    <w:rsid w:val="000452B6"/>
    <w:rsid w:val="000457A0"/>
    <w:rsid w:val="00046B01"/>
    <w:rsid w:val="00046D8E"/>
    <w:rsid w:val="000513CC"/>
    <w:rsid w:val="00051680"/>
    <w:rsid w:val="000526FF"/>
    <w:rsid w:val="0005309A"/>
    <w:rsid w:val="00053C0B"/>
    <w:rsid w:val="00054FB8"/>
    <w:rsid w:val="0005531F"/>
    <w:rsid w:val="00056407"/>
    <w:rsid w:val="0005674B"/>
    <w:rsid w:val="00056C6D"/>
    <w:rsid w:val="00056D33"/>
    <w:rsid w:val="000578CD"/>
    <w:rsid w:val="00062663"/>
    <w:rsid w:val="000633D8"/>
    <w:rsid w:val="00063FEB"/>
    <w:rsid w:val="000658BE"/>
    <w:rsid w:val="00065C10"/>
    <w:rsid w:val="00065FE9"/>
    <w:rsid w:val="00066FD0"/>
    <w:rsid w:val="00067E8A"/>
    <w:rsid w:val="0007010E"/>
    <w:rsid w:val="000709FB"/>
    <w:rsid w:val="000719F3"/>
    <w:rsid w:val="00072036"/>
    <w:rsid w:val="00072FA9"/>
    <w:rsid w:val="000751F5"/>
    <w:rsid w:val="000755C3"/>
    <w:rsid w:val="0007565F"/>
    <w:rsid w:val="00076897"/>
    <w:rsid w:val="00076EB8"/>
    <w:rsid w:val="000808E7"/>
    <w:rsid w:val="00081C37"/>
    <w:rsid w:val="000827E2"/>
    <w:rsid w:val="00082D68"/>
    <w:rsid w:val="0008303F"/>
    <w:rsid w:val="00086263"/>
    <w:rsid w:val="00086824"/>
    <w:rsid w:val="00087AA7"/>
    <w:rsid w:val="0009107F"/>
    <w:rsid w:val="0009121A"/>
    <w:rsid w:val="00091DAE"/>
    <w:rsid w:val="000923B8"/>
    <w:rsid w:val="00092E09"/>
    <w:rsid w:val="000948B8"/>
    <w:rsid w:val="0009584E"/>
    <w:rsid w:val="000A239D"/>
    <w:rsid w:val="000A5221"/>
    <w:rsid w:val="000A7890"/>
    <w:rsid w:val="000B2D03"/>
    <w:rsid w:val="000B392A"/>
    <w:rsid w:val="000B4A74"/>
    <w:rsid w:val="000B5615"/>
    <w:rsid w:val="000B6211"/>
    <w:rsid w:val="000B646B"/>
    <w:rsid w:val="000B7DA9"/>
    <w:rsid w:val="000C1472"/>
    <w:rsid w:val="000C1AB6"/>
    <w:rsid w:val="000C3BA9"/>
    <w:rsid w:val="000C44CC"/>
    <w:rsid w:val="000C50F7"/>
    <w:rsid w:val="000C7AA2"/>
    <w:rsid w:val="000D14E6"/>
    <w:rsid w:val="000D1983"/>
    <w:rsid w:val="000D2103"/>
    <w:rsid w:val="000D251C"/>
    <w:rsid w:val="000D3697"/>
    <w:rsid w:val="000D3991"/>
    <w:rsid w:val="000D461B"/>
    <w:rsid w:val="000D5D6B"/>
    <w:rsid w:val="000E1F32"/>
    <w:rsid w:val="000E4E58"/>
    <w:rsid w:val="000E5402"/>
    <w:rsid w:val="000E56E6"/>
    <w:rsid w:val="000E65D1"/>
    <w:rsid w:val="000E7E20"/>
    <w:rsid w:val="000F06A7"/>
    <w:rsid w:val="000F12DC"/>
    <w:rsid w:val="000F3B60"/>
    <w:rsid w:val="000F4D2B"/>
    <w:rsid w:val="000F5BEE"/>
    <w:rsid w:val="000F7482"/>
    <w:rsid w:val="000F74B2"/>
    <w:rsid w:val="000F7B19"/>
    <w:rsid w:val="000F7C07"/>
    <w:rsid w:val="001007F5"/>
    <w:rsid w:val="00101126"/>
    <w:rsid w:val="001026B3"/>
    <w:rsid w:val="001038A3"/>
    <w:rsid w:val="001047BB"/>
    <w:rsid w:val="00107F8C"/>
    <w:rsid w:val="00113772"/>
    <w:rsid w:val="00114225"/>
    <w:rsid w:val="00114CC3"/>
    <w:rsid w:val="00115E81"/>
    <w:rsid w:val="00120884"/>
    <w:rsid w:val="00120E54"/>
    <w:rsid w:val="00121CB6"/>
    <w:rsid w:val="0012225F"/>
    <w:rsid w:val="00122271"/>
    <w:rsid w:val="00124885"/>
    <w:rsid w:val="001249CD"/>
    <w:rsid w:val="00125A99"/>
    <w:rsid w:val="00130564"/>
    <w:rsid w:val="00132234"/>
    <w:rsid w:val="00132894"/>
    <w:rsid w:val="00134BF5"/>
    <w:rsid w:val="00135B05"/>
    <w:rsid w:val="001377B5"/>
    <w:rsid w:val="001462A8"/>
    <w:rsid w:val="00150D9F"/>
    <w:rsid w:val="00150FB3"/>
    <w:rsid w:val="00151503"/>
    <w:rsid w:val="00151519"/>
    <w:rsid w:val="00153A13"/>
    <w:rsid w:val="00154923"/>
    <w:rsid w:val="00157B7A"/>
    <w:rsid w:val="00157D93"/>
    <w:rsid w:val="001624CF"/>
    <w:rsid w:val="001625F5"/>
    <w:rsid w:val="001633D6"/>
    <w:rsid w:val="0016448A"/>
    <w:rsid w:val="0016556D"/>
    <w:rsid w:val="00165BEB"/>
    <w:rsid w:val="0016720D"/>
    <w:rsid w:val="00167673"/>
    <w:rsid w:val="00170A89"/>
    <w:rsid w:val="001710AE"/>
    <w:rsid w:val="00172213"/>
    <w:rsid w:val="0017229B"/>
    <w:rsid w:val="00172CE1"/>
    <w:rsid w:val="00173597"/>
    <w:rsid w:val="001741EC"/>
    <w:rsid w:val="001748B2"/>
    <w:rsid w:val="0017718C"/>
    <w:rsid w:val="001772A6"/>
    <w:rsid w:val="001804F2"/>
    <w:rsid w:val="00180AF5"/>
    <w:rsid w:val="0018168F"/>
    <w:rsid w:val="001817F1"/>
    <w:rsid w:val="00182053"/>
    <w:rsid w:val="00182B9A"/>
    <w:rsid w:val="001878E2"/>
    <w:rsid w:val="00190373"/>
    <w:rsid w:val="001908EF"/>
    <w:rsid w:val="0019107A"/>
    <w:rsid w:val="001929BE"/>
    <w:rsid w:val="001A1656"/>
    <w:rsid w:val="001A175A"/>
    <w:rsid w:val="001A1994"/>
    <w:rsid w:val="001A5157"/>
    <w:rsid w:val="001B0806"/>
    <w:rsid w:val="001B0EC2"/>
    <w:rsid w:val="001B3484"/>
    <w:rsid w:val="001B3DE4"/>
    <w:rsid w:val="001B4F90"/>
    <w:rsid w:val="001B5EB3"/>
    <w:rsid w:val="001B640E"/>
    <w:rsid w:val="001C03CE"/>
    <w:rsid w:val="001C0DE7"/>
    <w:rsid w:val="001C1A66"/>
    <w:rsid w:val="001C2D96"/>
    <w:rsid w:val="001C651F"/>
    <w:rsid w:val="001C7BA1"/>
    <w:rsid w:val="001C7D48"/>
    <w:rsid w:val="001D28D7"/>
    <w:rsid w:val="001D31E4"/>
    <w:rsid w:val="001D4413"/>
    <w:rsid w:val="001D5728"/>
    <w:rsid w:val="001E26A4"/>
    <w:rsid w:val="001E7476"/>
    <w:rsid w:val="001E7F88"/>
    <w:rsid w:val="001F0344"/>
    <w:rsid w:val="001F0A25"/>
    <w:rsid w:val="001F0CE3"/>
    <w:rsid w:val="001F25F8"/>
    <w:rsid w:val="001F430F"/>
    <w:rsid w:val="001F43FD"/>
    <w:rsid w:val="001F4474"/>
    <w:rsid w:val="001F4B2C"/>
    <w:rsid w:val="001F58ED"/>
    <w:rsid w:val="001F595E"/>
    <w:rsid w:val="00202BAE"/>
    <w:rsid w:val="002036DD"/>
    <w:rsid w:val="002041ED"/>
    <w:rsid w:val="00204B03"/>
    <w:rsid w:val="00205C73"/>
    <w:rsid w:val="002067EA"/>
    <w:rsid w:val="00206E63"/>
    <w:rsid w:val="00207CB5"/>
    <w:rsid w:val="00213EA9"/>
    <w:rsid w:val="00214B1F"/>
    <w:rsid w:val="00214C4B"/>
    <w:rsid w:val="002169FD"/>
    <w:rsid w:val="002200A9"/>
    <w:rsid w:val="00221804"/>
    <w:rsid w:val="0022193D"/>
    <w:rsid w:val="002228AC"/>
    <w:rsid w:val="00222DF3"/>
    <w:rsid w:val="0022406B"/>
    <w:rsid w:val="0022504D"/>
    <w:rsid w:val="0022548C"/>
    <w:rsid w:val="00226670"/>
    <w:rsid w:val="002305A2"/>
    <w:rsid w:val="00230600"/>
    <w:rsid w:val="00230959"/>
    <w:rsid w:val="0023157A"/>
    <w:rsid w:val="002327BA"/>
    <w:rsid w:val="0023307E"/>
    <w:rsid w:val="00233A79"/>
    <w:rsid w:val="0023438A"/>
    <w:rsid w:val="00234B68"/>
    <w:rsid w:val="00235F8F"/>
    <w:rsid w:val="002363C7"/>
    <w:rsid w:val="002363E1"/>
    <w:rsid w:val="00236479"/>
    <w:rsid w:val="002375BF"/>
    <w:rsid w:val="0024120D"/>
    <w:rsid w:val="002413FA"/>
    <w:rsid w:val="00243338"/>
    <w:rsid w:val="00244692"/>
    <w:rsid w:val="002447D9"/>
    <w:rsid w:val="00254AD7"/>
    <w:rsid w:val="00256E28"/>
    <w:rsid w:val="00257CDA"/>
    <w:rsid w:val="00260B19"/>
    <w:rsid w:val="00261F1C"/>
    <w:rsid w:val="00261FFB"/>
    <w:rsid w:val="00263570"/>
    <w:rsid w:val="00265700"/>
    <w:rsid w:val="002662A0"/>
    <w:rsid w:val="00270448"/>
    <w:rsid w:val="00270B4E"/>
    <w:rsid w:val="00271058"/>
    <w:rsid w:val="002742A1"/>
    <w:rsid w:val="00275F7A"/>
    <w:rsid w:val="00275F99"/>
    <w:rsid w:val="00277B03"/>
    <w:rsid w:val="002800F3"/>
    <w:rsid w:val="002800F5"/>
    <w:rsid w:val="00282905"/>
    <w:rsid w:val="00282962"/>
    <w:rsid w:val="00283154"/>
    <w:rsid w:val="00284733"/>
    <w:rsid w:val="00284916"/>
    <w:rsid w:val="00285DA0"/>
    <w:rsid w:val="00290F7B"/>
    <w:rsid w:val="00294ED6"/>
    <w:rsid w:val="0029627D"/>
    <w:rsid w:val="002A04DF"/>
    <w:rsid w:val="002A05D6"/>
    <w:rsid w:val="002A0FF3"/>
    <w:rsid w:val="002A162A"/>
    <w:rsid w:val="002A221D"/>
    <w:rsid w:val="002A3291"/>
    <w:rsid w:val="002A3EAC"/>
    <w:rsid w:val="002A3EC3"/>
    <w:rsid w:val="002A4592"/>
    <w:rsid w:val="002A57EB"/>
    <w:rsid w:val="002B03E3"/>
    <w:rsid w:val="002B47A6"/>
    <w:rsid w:val="002B4B31"/>
    <w:rsid w:val="002B4B99"/>
    <w:rsid w:val="002B4D8C"/>
    <w:rsid w:val="002B50C1"/>
    <w:rsid w:val="002B58CE"/>
    <w:rsid w:val="002B62E2"/>
    <w:rsid w:val="002B6816"/>
    <w:rsid w:val="002C0926"/>
    <w:rsid w:val="002C1788"/>
    <w:rsid w:val="002C1B1A"/>
    <w:rsid w:val="002C1D02"/>
    <w:rsid w:val="002C3F60"/>
    <w:rsid w:val="002C4355"/>
    <w:rsid w:val="002C664F"/>
    <w:rsid w:val="002C7801"/>
    <w:rsid w:val="002C79C3"/>
    <w:rsid w:val="002D11DF"/>
    <w:rsid w:val="002D1D47"/>
    <w:rsid w:val="002D215E"/>
    <w:rsid w:val="002D285D"/>
    <w:rsid w:val="002D4ED1"/>
    <w:rsid w:val="002D521D"/>
    <w:rsid w:val="002D5266"/>
    <w:rsid w:val="002D6089"/>
    <w:rsid w:val="002D728A"/>
    <w:rsid w:val="002D7338"/>
    <w:rsid w:val="002D7F3A"/>
    <w:rsid w:val="002E02C2"/>
    <w:rsid w:val="002E0E71"/>
    <w:rsid w:val="002E25A3"/>
    <w:rsid w:val="002E3208"/>
    <w:rsid w:val="002E3546"/>
    <w:rsid w:val="002E5455"/>
    <w:rsid w:val="002E7789"/>
    <w:rsid w:val="002F0BF9"/>
    <w:rsid w:val="002F0DDB"/>
    <w:rsid w:val="002F109F"/>
    <w:rsid w:val="002F155A"/>
    <w:rsid w:val="002F2292"/>
    <w:rsid w:val="002F3CF9"/>
    <w:rsid w:val="002F4B15"/>
    <w:rsid w:val="002F4DA6"/>
    <w:rsid w:val="002F58D8"/>
    <w:rsid w:val="002F5F89"/>
    <w:rsid w:val="002F6091"/>
    <w:rsid w:val="002F7563"/>
    <w:rsid w:val="00300D92"/>
    <w:rsid w:val="00301EFD"/>
    <w:rsid w:val="0030308E"/>
    <w:rsid w:val="003072B4"/>
    <w:rsid w:val="00311AEC"/>
    <w:rsid w:val="00311D12"/>
    <w:rsid w:val="00312CF3"/>
    <w:rsid w:val="00312F4A"/>
    <w:rsid w:val="00313CDA"/>
    <w:rsid w:val="003149F4"/>
    <w:rsid w:val="003156B9"/>
    <w:rsid w:val="00315D34"/>
    <w:rsid w:val="00316623"/>
    <w:rsid w:val="00316EEA"/>
    <w:rsid w:val="00317B27"/>
    <w:rsid w:val="003203B9"/>
    <w:rsid w:val="003213C2"/>
    <w:rsid w:val="00321F26"/>
    <w:rsid w:val="0032252F"/>
    <w:rsid w:val="00322A31"/>
    <w:rsid w:val="00322BA2"/>
    <w:rsid w:val="00322F49"/>
    <w:rsid w:val="003252D5"/>
    <w:rsid w:val="00325B23"/>
    <w:rsid w:val="003277AC"/>
    <w:rsid w:val="00327FA2"/>
    <w:rsid w:val="00330311"/>
    <w:rsid w:val="00331072"/>
    <w:rsid w:val="00332D2A"/>
    <w:rsid w:val="00332E2C"/>
    <w:rsid w:val="00332F2F"/>
    <w:rsid w:val="00333123"/>
    <w:rsid w:val="003337D3"/>
    <w:rsid w:val="00333FC5"/>
    <w:rsid w:val="00334528"/>
    <w:rsid w:val="0033452C"/>
    <w:rsid w:val="003345B8"/>
    <w:rsid w:val="00334F6B"/>
    <w:rsid w:val="00337A05"/>
    <w:rsid w:val="00340008"/>
    <w:rsid w:val="003412A9"/>
    <w:rsid w:val="003422BF"/>
    <w:rsid w:val="00342C03"/>
    <w:rsid w:val="0034393E"/>
    <w:rsid w:val="00343DD0"/>
    <w:rsid w:val="00344796"/>
    <w:rsid w:val="00350448"/>
    <w:rsid w:val="003527AB"/>
    <w:rsid w:val="00352C37"/>
    <w:rsid w:val="003530E2"/>
    <w:rsid w:val="00353B51"/>
    <w:rsid w:val="00354D0A"/>
    <w:rsid w:val="00356D1A"/>
    <w:rsid w:val="00356E33"/>
    <w:rsid w:val="0036052C"/>
    <w:rsid w:val="003605FA"/>
    <w:rsid w:val="0036122E"/>
    <w:rsid w:val="003619E9"/>
    <w:rsid w:val="00361B02"/>
    <w:rsid w:val="00361C92"/>
    <w:rsid w:val="00362A12"/>
    <w:rsid w:val="00363959"/>
    <w:rsid w:val="0036535E"/>
    <w:rsid w:val="00365DAB"/>
    <w:rsid w:val="003668BD"/>
    <w:rsid w:val="00367283"/>
    <w:rsid w:val="00367489"/>
    <w:rsid w:val="00371D83"/>
    <w:rsid w:val="00372AE7"/>
    <w:rsid w:val="00373ACC"/>
    <w:rsid w:val="003740DE"/>
    <w:rsid w:val="00374B08"/>
    <w:rsid w:val="003761FA"/>
    <w:rsid w:val="00376E2C"/>
    <w:rsid w:val="00377429"/>
    <w:rsid w:val="003779BC"/>
    <w:rsid w:val="00377A18"/>
    <w:rsid w:val="0038069C"/>
    <w:rsid w:val="00381D90"/>
    <w:rsid w:val="00381F2B"/>
    <w:rsid w:val="00384FAC"/>
    <w:rsid w:val="00385639"/>
    <w:rsid w:val="00385D4C"/>
    <w:rsid w:val="003870EB"/>
    <w:rsid w:val="003906C8"/>
    <w:rsid w:val="00390F2A"/>
    <w:rsid w:val="0039244F"/>
    <w:rsid w:val="0039503E"/>
    <w:rsid w:val="00395F76"/>
    <w:rsid w:val="003A3CFB"/>
    <w:rsid w:val="003A4783"/>
    <w:rsid w:val="003A4C1F"/>
    <w:rsid w:val="003A552B"/>
    <w:rsid w:val="003B0297"/>
    <w:rsid w:val="003B03FF"/>
    <w:rsid w:val="003B17D2"/>
    <w:rsid w:val="003B2C61"/>
    <w:rsid w:val="003B31C3"/>
    <w:rsid w:val="003B375B"/>
    <w:rsid w:val="003B5FD2"/>
    <w:rsid w:val="003B653E"/>
    <w:rsid w:val="003B798B"/>
    <w:rsid w:val="003C006B"/>
    <w:rsid w:val="003C087F"/>
    <w:rsid w:val="003C0BE6"/>
    <w:rsid w:val="003C17A3"/>
    <w:rsid w:val="003C1EA1"/>
    <w:rsid w:val="003C3591"/>
    <w:rsid w:val="003C36B3"/>
    <w:rsid w:val="003C6B37"/>
    <w:rsid w:val="003C70F8"/>
    <w:rsid w:val="003D15BB"/>
    <w:rsid w:val="003D3879"/>
    <w:rsid w:val="003D41A4"/>
    <w:rsid w:val="003D4426"/>
    <w:rsid w:val="003D458F"/>
    <w:rsid w:val="003D527D"/>
    <w:rsid w:val="003D5745"/>
    <w:rsid w:val="003D7DC7"/>
    <w:rsid w:val="003E00B2"/>
    <w:rsid w:val="003E071A"/>
    <w:rsid w:val="003E2870"/>
    <w:rsid w:val="003E2CEB"/>
    <w:rsid w:val="003E2DE1"/>
    <w:rsid w:val="003E5A09"/>
    <w:rsid w:val="003E6612"/>
    <w:rsid w:val="003E68E3"/>
    <w:rsid w:val="003E6AF1"/>
    <w:rsid w:val="003E77D9"/>
    <w:rsid w:val="003E7957"/>
    <w:rsid w:val="003F1630"/>
    <w:rsid w:val="003F29CC"/>
    <w:rsid w:val="003F2E6A"/>
    <w:rsid w:val="003F3D92"/>
    <w:rsid w:val="003F48A6"/>
    <w:rsid w:val="003F5506"/>
    <w:rsid w:val="003F5DD1"/>
    <w:rsid w:val="003F64A8"/>
    <w:rsid w:val="00400917"/>
    <w:rsid w:val="00401BDC"/>
    <w:rsid w:val="00401DED"/>
    <w:rsid w:val="00401E2D"/>
    <w:rsid w:val="004020D8"/>
    <w:rsid w:val="00402558"/>
    <w:rsid w:val="004027C7"/>
    <w:rsid w:val="00402DA3"/>
    <w:rsid w:val="00404B05"/>
    <w:rsid w:val="004055D4"/>
    <w:rsid w:val="0041000E"/>
    <w:rsid w:val="00410527"/>
    <w:rsid w:val="00412693"/>
    <w:rsid w:val="00415088"/>
    <w:rsid w:val="004170C6"/>
    <w:rsid w:val="004214AF"/>
    <w:rsid w:val="004220B3"/>
    <w:rsid w:val="0042230F"/>
    <w:rsid w:val="004246CE"/>
    <w:rsid w:val="00427900"/>
    <w:rsid w:val="004330E5"/>
    <w:rsid w:val="004334AA"/>
    <w:rsid w:val="004337DE"/>
    <w:rsid w:val="004351BA"/>
    <w:rsid w:val="00435B55"/>
    <w:rsid w:val="00436241"/>
    <w:rsid w:val="00436A52"/>
    <w:rsid w:val="004371C5"/>
    <w:rsid w:val="00440BCE"/>
    <w:rsid w:val="004418D0"/>
    <w:rsid w:val="00441AB9"/>
    <w:rsid w:val="00441C57"/>
    <w:rsid w:val="004423F8"/>
    <w:rsid w:val="00442B29"/>
    <w:rsid w:val="00442BCF"/>
    <w:rsid w:val="00442E58"/>
    <w:rsid w:val="0044308A"/>
    <w:rsid w:val="00443652"/>
    <w:rsid w:val="004450FA"/>
    <w:rsid w:val="00445529"/>
    <w:rsid w:val="00446B9D"/>
    <w:rsid w:val="00447560"/>
    <w:rsid w:val="004503E2"/>
    <w:rsid w:val="00451761"/>
    <w:rsid w:val="00451908"/>
    <w:rsid w:val="004522BE"/>
    <w:rsid w:val="004526F2"/>
    <w:rsid w:val="0045345F"/>
    <w:rsid w:val="00453AE2"/>
    <w:rsid w:val="0045443C"/>
    <w:rsid w:val="004544C5"/>
    <w:rsid w:val="00455069"/>
    <w:rsid w:val="004551E1"/>
    <w:rsid w:val="00455CAE"/>
    <w:rsid w:val="00457137"/>
    <w:rsid w:val="0045787D"/>
    <w:rsid w:val="0046027B"/>
    <w:rsid w:val="00461042"/>
    <w:rsid w:val="00461B41"/>
    <w:rsid w:val="00463760"/>
    <w:rsid w:val="00464F90"/>
    <w:rsid w:val="0046648D"/>
    <w:rsid w:val="004672B0"/>
    <w:rsid w:val="00467C61"/>
    <w:rsid w:val="0047106D"/>
    <w:rsid w:val="004710EB"/>
    <w:rsid w:val="00471146"/>
    <w:rsid w:val="00471AB6"/>
    <w:rsid w:val="00471FB5"/>
    <w:rsid w:val="00472D01"/>
    <w:rsid w:val="004734D7"/>
    <w:rsid w:val="0047395B"/>
    <w:rsid w:val="00474A2C"/>
    <w:rsid w:val="00475E6A"/>
    <w:rsid w:val="004766F6"/>
    <w:rsid w:val="00476827"/>
    <w:rsid w:val="0047755E"/>
    <w:rsid w:val="00480237"/>
    <w:rsid w:val="004804E6"/>
    <w:rsid w:val="00480D37"/>
    <w:rsid w:val="00480D6F"/>
    <w:rsid w:val="00481035"/>
    <w:rsid w:val="00481DC8"/>
    <w:rsid w:val="00481F95"/>
    <w:rsid w:val="00483D4C"/>
    <w:rsid w:val="00485205"/>
    <w:rsid w:val="004879A3"/>
    <w:rsid w:val="00490547"/>
    <w:rsid w:val="004907E8"/>
    <w:rsid w:val="0049136F"/>
    <w:rsid w:val="00491FEE"/>
    <w:rsid w:val="0049222D"/>
    <w:rsid w:val="00492EF7"/>
    <w:rsid w:val="004947B3"/>
    <w:rsid w:val="00495A44"/>
    <w:rsid w:val="00496F81"/>
    <w:rsid w:val="004A1631"/>
    <w:rsid w:val="004A1669"/>
    <w:rsid w:val="004A1B17"/>
    <w:rsid w:val="004A45B9"/>
    <w:rsid w:val="004A7286"/>
    <w:rsid w:val="004B08BC"/>
    <w:rsid w:val="004B094E"/>
    <w:rsid w:val="004B09EC"/>
    <w:rsid w:val="004B0BDB"/>
    <w:rsid w:val="004B3053"/>
    <w:rsid w:val="004B5297"/>
    <w:rsid w:val="004B563E"/>
    <w:rsid w:val="004B6D33"/>
    <w:rsid w:val="004C093A"/>
    <w:rsid w:val="004C0AAE"/>
    <w:rsid w:val="004C0D1C"/>
    <w:rsid w:val="004C17A3"/>
    <w:rsid w:val="004C192C"/>
    <w:rsid w:val="004C2339"/>
    <w:rsid w:val="004C2E90"/>
    <w:rsid w:val="004C37E9"/>
    <w:rsid w:val="004C4ADC"/>
    <w:rsid w:val="004C518E"/>
    <w:rsid w:val="004C624D"/>
    <w:rsid w:val="004C67D8"/>
    <w:rsid w:val="004C67DA"/>
    <w:rsid w:val="004D0C9F"/>
    <w:rsid w:val="004D34E4"/>
    <w:rsid w:val="004D3C4F"/>
    <w:rsid w:val="004D542E"/>
    <w:rsid w:val="004D6702"/>
    <w:rsid w:val="004D6E4B"/>
    <w:rsid w:val="004D6FF4"/>
    <w:rsid w:val="004D725D"/>
    <w:rsid w:val="004D75CF"/>
    <w:rsid w:val="004D7C97"/>
    <w:rsid w:val="004D7EE8"/>
    <w:rsid w:val="004E06FC"/>
    <w:rsid w:val="004E1274"/>
    <w:rsid w:val="004E2804"/>
    <w:rsid w:val="004E34BE"/>
    <w:rsid w:val="004E3CD3"/>
    <w:rsid w:val="004E69B3"/>
    <w:rsid w:val="004E716C"/>
    <w:rsid w:val="004E7989"/>
    <w:rsid w:val="004F171B"/>
    <w:rsid w:val="004F30E0"/>
    <w:rsid w:val="004F4478"/>
    <w:rsid w:val="004F4CE1"/>
    <w:rsid w:val="004F4EB4"/>
    <w:rsid w:val="004F5033"/>
    <w:rsid w:val="00500106"/>
    <w:rsid w:val="00500CCD"/>
    <w:rsid w:val="00502F51"/>
    <w:rsid w:val="00504CA6"/>
    <w:rsid w:val="00505096"/>
    <w:rsid w:val="00511074"/>
    <w:rsid w:val="005112A9"/>
    <w:rsid w:val="005130A2"/>
    <w:rsid w:val="0051516C"/>
    <w:rsid w:val="00515FF7"/>
    <w:rsid w:val="00516F54"/>
    <w:rsid w:val="00520FF3"/>
    <w:rsid w:val="00522B63"/>
    <w:rsid w:val="005231D4"/>
    <w:rsid w:val="00523A13"/>
    <w:rsid w:val="005251B2"/>
    <w:rsid w:val="00525CF6"/>
    <w:rsid w:val="00527EDC"/>
    <w:rsid w:val="0053069D"/>
    <w:rsid w:val="0053077B"/>
    <w:rsid w:val="00532700"/>
    <w:rsid w:val="005338A2"/>
    <w:rsid w:val="00533CEF"/>
    <w:rsid w:val="005340F7"/>
    <w:rsid w:val="0053431B"/>
    <w:rsid w:val="005344DF"/>
    <w:rsid w:val="00535A35"/>
    <w:rsid w:val="005366E6"/>
    <w:rsid w:val="00536E0F"/>
    <w:rsid w:val="00537345"/>
    <w:rsid w:val="00541222"/>
    <w:rsid w:val="00541BA0"/>
    <w:rsid w:val="00541BF3"/>
    <w:rsid w:val="00541FB4"/>
    <w:rsid w:val="005468EF"/>
    <w:rsid w:val="00550B76"/>
    <w:rsid w:val="00551CC5"/>
    <w:rsid w:val="00553BDB"/>
    <w:rsid w:val="0055405C"/>
    <w:rsid w:val="0055420F"/>
    <w:rsid w:val="0055533F"/>
    <w:rsid w:val="0055549E"/>
    <w:rsid w:val="00556D46"/>
    <w:rsid w:val="005603DD"/>
    <w:rsid w:val="00560A11"/>
    <w:rsid w:val="00560E30"/>
    <w:rsid w:val="00561F40"/>
    <w:rsid w:val="00563C37"/>
    <w:rsid w:val="005660E6"/>
    <w:rsid w:val="00566BE5"/>
    <w:rsid w:val="00567423"/>
    <w:rsid w:val="00567AB6"/>
    <w:rsid w:val="00567AFA"/>
    <w:rsid w:val="0057187E"/>
    <w:rsid w:val="00571A7A"/>
    <w:rsid w:val="005803C7"/>
    <w:rsid w:val="00581BE8"/>
    <w:rsid w:val="00581EF0"/>
    <w:rsid w:val="005828E0"/>
    <w:rsid w:val="00582A07"/>
    <w:rsid w:val="00582CF3"/>
    <w:rsid w:val="00583865"/>
    <w:rsid w:val="005839A5"/>
    <w:rsid w:val="00584849"/>
    <w:rsid w:val="00584C52"/>
    <w:rsid w:val="005909B9"/>
    <w:rsid w:val="00591828"/>
    <w:rsid w:val="00591B19"/>
    <w:rsid w:val="00593F50"/>
    <w:rsid w:val="00594FE4"/>
    <w:rsid w:val="005964D9"/>
    <w:rsid w:val="00596540"/>
    <w:rsid w:val="00596748"/>
    <w:rsid w:val="005A031F"/>
    <w:rsid w:val="005A06B7"/>
    <w:rsid w:val="005A3690"/>
    <w:rsid w:val="005A3EDA"/>
    <w:rsid w:val="005A45BA"/>
    <w:rsid w:val="005A5C0E"/>
    <w:rsid w:val="005A6151"/>
    <w:rsid w:val="005A7758"/>
    <w:rsid w:val="005B0387"/>
    <w:rsid w:val="005B2B6A"/>
    <w:rsid w:val="005B3461"/>
    <w:rsid w:val="005B499C"/>
    <w:rsid w:val="005B5BCC"/>
    <w:rsid w:val="005B6371"/>
    <w:rsid w:val="005B6AD5"/>
    <w:rsid w:val="005B7CAD"/>
    <w:rsid w:val="005B7D2C"/>
    <w:rsid w:val="005C0C73"/>
    <w:rsid w:val="005C387A"/>
    <w:rsid w:val="005C460D"/>
    <w:rsid w:val="005C7816"/>
    <w:rsid w:val="005D0B45"/>
    <w:rsid w:val="005D2A1E"/>
    <w:rsid w:val="005D4EBD"/>
    <w:rsid w:val="005D58FD"/>
    <w:rsid w:val="005D5CA5"/>
    <w:rsid w:val="005E116C"/>
    <w:rsid w:val="005E35F9"/>
    <w:rsid w:val="005E3CDD"/>
    <w:rsid w:val="005E43DF"/>
    <w:rsid w:val="005E4B85"/>
    <w:rsid w:val="005E5C21"/>
    <w:rsid w:val="005E63F4"/>
    <w:rsid w:val="005E7E80"/>
    <w:rsid w:val="005F1C02"/>
    <w:rsid w:val="005F3F1B"/>
    <w:rsid w:val="005F44EE"/>
    <w:rsid w:val="005F4F83"/>
    <w:rsid w:val="005F5976"/>
    <w:rsid w:val="005F71D2"/>
    <w:rsid w:val="005F7301"/>
    <w:rsid w:val="005F73EE"/>
    <w:rsid w:val="006006A5"/>
    <w:rsid w:val="006012C3"/>
    <w:rsid w:val="00603446"/>
    <w:rsid w:val="00604537"/>
    <w:rsid w:val="00604F5D"/>
    <w:rsid w:val="0060500F"/>
    <w:rsid w:val="00605057"/>
    <w:rsid w:val="00607EF5"/>
    <w:rsid w:val="00613C8D"/>
    <w:rsid w:val="00614601"/>
    <w:rsid w:val="00616289"/>
    <w:rsid w:val="0061641B"/>
    <w:rsid w:val="0061667F"/>
    <w:rsid w:val="006170B3"/>
    <w:rsid w:val="00617409"/>
    <w:rsid w:val="00620807"/>
    <w:rsid w:val="00622A1D"/>
    <w:rsid w:val="006320D5"/>
    <w:rsid w:val="00632299"/>
    <w:rsid w:val="00632583"/>
    <w:rsid w:val="00632D5C"/>
    <w:rsid w:val="00633691"/>
    <w:rsid w:val="00633B2C"/>
    <w:rsid w:val="00634178"/>
    <w:rsid w:val="0063599F"/>
    <w:rsid w:val="00635F05"/>
    <w:rsid w:val="0063632E"/>
    <w:rsid w:val="00636433"/>
    <w:rsid w:val="0063684F"/>
    <w:rsid w:val="006370AB"/>
    <w:rsid w:val="006379CC"/>
    <w:rsid w:val="006428E5"/>
    <w:rsid w:val="00642BDE"/>
    <w:rsid w:val="00642CEE"/>
    <w:rsid w:val="00644007"/>
    <w:rsid w:val="006443D4"/>
    <w:rsid w:val="00644CF0"/>
    <w:rsid w:val="00644DAC"/>
    <w:rsid w:val="0064603F"/>
    <w:rsid w:val="00647605"/>
    <w:rsid w:val="00647CA3"/>
    <w:rsid w:val="006515A7"/>
    <w:rsid w:val="00651F9D"/>
    <w:rsid w:val="006524F0"/>
    <w:rsid w:val="00652946"/>
    <w:rsid w:val="006535A2"/>
    <w:rsid w:val="0065418B"/>
    <w:rsid w:val="00654C64"/>
    <w:rsid w:val="00656704"/>
    <w:rsid w:val="00657E62"/>
    <w:rsid w:val="00662A01"/>
    <w:rsid w:val="00663EBC"/>
    <w:rsid w:val="00663EF4"/>
    <w:rsid w:val="00664A45"/>
    <w:rsid w:val="00665AE1"/>
    <w:rsid w:val="00665C49"/>
    <w:rsid w:val="00670DFB"/>
    <w:rsid w:val="00672CA9"/>
    <w:rsid w:val="006730F3"/>
    <w:rsid w:val="00674D3C"/>
    <w:rsid w:val="006765A3"/>
    <w:rsid w:val="00681863"/>
    <w:rsid w:val="00683672"/>
    <w:rsid w:val="00684861"/>
    <w:rsid w:val="00684BB3"/>
    <w:rsid w:val="006850E0"/>
    <w:rsid w:val="0068519D"/>
    <w:rsid w:val="00687CD0"/>
    <w:rsid w:val="00690044"/>
    <w:rsid w:val="00692CF1"/>
    <w:rsid w:val="006934D9"/>
    <w:rsid w:val="006935F1"/>
    <w:rsid w:val="00693605"/>
    <w:rsid w:val="006958CF"/>
    <w:rsid w:val="00695ECB"/>
    <w:rsid w:val="006973FA"/>
    <w:rsid w:val="0069786E"/>
    <w:rsid w:val="006A00F5"/>
    <w:rsid w:val="006A077E"/>
    <w:rsid w:val="006A1758"/>
    <w:rsid w:val="006A68D5"/>
    <w:rsid w:val="006A71A0"/>
    <w:rsid w:val="006A7884"/>
    <w:rsid w:val="006A7D0D"/>
    <w:rsid w:val="006A7D93"/>
    <w:rsid w:val="006B0554"/>
    <w:rsid w:val="006B180E"/>
    <w:rsid w:val="006B2232"/>
    <w:rsid w:val="006B2686"/>
    <w:rsid w:val="006B3431"/>
    <w:rsid w:val="006B44D1"/>
    <w:rsid w:val="006B64A7"/>
    <w:rsid w:val="006B7AC6"/>
    <w:rsid w:val="006B7E2B"/>
    <w:rsid w:val="006C0FD1"/>
    <w:rsid w:val="006C11D6"/>
    <w:rsid w:val="006C19D5"/>
    <w:rsid w:val="006C1E7A"/>
    <w:rsid w:val="006C258C"/>
    <w:rsid w:val="006C5143"/>
    <w:rsid w:val="006C549A"/>
    <w:rsid w:val="006C5F38"/>
    <w:rsid w:val="006C6AE0"/>
    <w:rsid w:val="006D0694"/>
    <w:rsid w:val="006D3E60"/>
    <w:rsid w:val="006D41BA"/>
    <w:rsid w:val="006D4233"/>
    <w:rsid w:val="006D6653"/>
    <w:rsid w:val="006D6924"/>
    <w:rsid w:val="006E06C1"/>
    <w:rsid w:val="006E0822"/>
    <w:rsid w:val="006E11E8"/>
    <w:rsid w:val="006E2C2B"/>
    <w:rsid w:val="006E4BE2"/>
    <w:rsid w:val="006F175A"/>
    <w:rsid w:val="006F28DE"/>
    <w:rsid w:val="006F2E94"/>
    <w:rsid w:val="006F3162"/>
    <w:rsid w:val="006F3504"/>
    <w:rsid w:val="006F51AE"/>
    <w:rsid w:val="006F5675"/>
    <w:rsid w:val="006F6083"/>
    <w:rsid w:val="006F642E"/>
    <w:rsid w:val="006F6B6D"/>
    <w:rsid w:val="006F714D"/>
    <w:rsid w:val="006F754E"/>
    <w:rsid w:val="007014A4"/>
    <w:rsid w:val="00703095"/>
    <w:rsid w:val="00703842"/>
    <w:rsid w:val="00704C0D"/>
    <w:rsid w:val="00704E30"/>
    <w:rsid w:val="00706150"/>
    <w:rsid w:val="00707A6E"/>
    <w:rsid w:val="00711877"/>
    <w:rsid w:val="00714F82"/>
    <w:rsid w:val="00715350"/>
    <w:rsid w:val="007160FC"/>
    <w:rsid w:val="00716231"/>
    <w:rsid w:val="00717378"/>
    <w:rsid w:val="00717999"/>
    <w:rsid w:val="00720451"/>
    <w:rsid w:val="0072088B"/>
    <w:rsid w:val="00720E2B"/>
    <w:rsid w:val="0072114B"/>
    <w:rsid w:val="00724983"/>
    <w:rsid w:val="00724BF7"/>
    <w:rsid w:val="0072626C"/>
    <w:rsid w:val="0072650E"/>
    <w:rsid w:val="00726859"/>
    <w:rsid w:val="0072765E"/>
    <w:rsid w:val="00731151"/>
    <w:rsid w:val="00732B00"/>
    <w:rsid w:val="00734695"/>
    <w:rsid w:val="00737D18"/>
    <w:rsid w:val="00741688"/>
    <w:rsid w:val="00742924"/>
    <w:rsid w:val="007432E5"/>
    <w:rsid w:val="00743F04"/>
    <w:rsid w:val="00745259"/>
    <w:rsid w:val="00747364"/>
    <w:rsid w:val="00747A38"/>
    <w:rsid w:val="00747D57"/>
    <w:rsid w:val="00750D82"/>
    <w:rsid w:val="0075130F"/>
    <w:rsid w:val="007518F6"/>
    <w:rsid w:val="00751D0E"/>
    <w:rsid w:val="00755FD3"/>
    <w:rsid w:val="00756FDC"/>
    <w:rsid w:val="0076192C"/>
    <w:rsid w:val="007619B8"/>
    <w:rsid w:val="00763634"/>
    <w:rsid w:val="00765974"/>
    <w:rsid w:val="007679DA"/>
    <w:rsid w:val="00770BAA"/>
    <w:rsid w:val="00773A8F"/>
    <w:rsid w:val="0077428B"/>
    <w:rsid w:val="007747D0"/>
    <w:rsid w:val="007753A7"/>
    <w:rsid w:val="00775EF5"/>
    <w:rsid w:val="00776753"/>
    <w:rsid w:val="00780EBA"/>
    <w:rsid w:val="00782D8E"/>
    <w:rsid w:val="00783049"/>
    <w:rsid w:val="00790D96"/>
    <w:rsid w:val="007918BD"/>
    <w:rsid w:val="00793260"/>
    <w:rsid w:val="0079354F"/>
    <w:rsid w:val="007948C6"/>
    <w:rsid w:val="007950A6"/>
    <w:rsid w:val="00795398"/>
    <w:rsid w:val="00796393"/>
    <w:rsid w:val="0079669A"/>
    <w:rsid w:val="00797306"/>
    <w:rsid w:val="007A1E9D"/>
    <w:rsid w:val="007A26EA"/>
    <w:rsid w:val="007A2D8E"/>
    <w:rsid w:val="007A32E2"/>
    <w:rsid w:val="007A3301"/>
    <w:rsid w:val="007A4756"/>
    <w:rsid w:val="007A5C8B"/>
    <w:rsid w:val="007A6B62"/>
    <w:rsid w:val="007B00E5"/>
    <w:rsid w:val="007B100C"/>
    <w:rsid w:val="007B2564"/>
    <w:rsid w:val="007B419A"/>
    <w:rsid w:val="007B4F6C"/>
    <w:rsid w:val="007B69E2"/>
    <w:rsid w:val="007B7901"/>
    <w:rsid w:val="007B79C2"/>
    <w:rsid w:val="007B7B6D"/>
    <w:rsid w:val="007C0254"/>
    <w:rsid w:val="007C079E"/>
    <w:rsid w:val="007C20C9"/>
    <w:rsid w:val="007C21E4"/>
    <w:rsid w:val="007C267E"/>
    <w:rsid w:val="007C44E8"/>
    <w:rsid w:val="007C4C8B"/>
    <w:rsid w:val="007C6CE4"/>
    <w:rsid w:val="007C7EDA"/>
    <w:rsid w:val="007D05B2"/>
    <w:rsid w:val="007D143E"/>
    <w:rsid w:val="007D26D0"/>
    <w:rsid w:val="007D2DBE"/>
    <w:rsid w:val="007D383E"/>
    <w:rsid w:val="007D3F74"/>
    <w:rsid w:val="007D4354"/>
    <w:rsid w:val="007D51A7"/>
    <w:rsid w:val="007D59F8"/>
    <w:rsid w:val="007D666E"/>
    <w:rsid w:val="007E085A"/>
    <w:rsid w:val="007E0DB9"/>
    <w:rsid w:val="007E12E0"/>
    <w:rsid w:val="007E392F"/>
    <w:rsid w:val="007E3EDD"/>
    <w:rsid w:val="007E4602"/>
    <w:rsid w:val="007E5474"/>
    <w:rsid w:val="007E579B"/>
    <w:rsid w:val="007E6EEF"/>
    <w:rsid w:val="007E7B53"/>
    <w:rsid w:val="007E7FAC"/>
    <w:rsid w:val="007F0E59"/>
    <w:rsid w:val="007F2623"/>
    <w:rsid w:val="007F585D"/>
    <w:rsid w:val="008040D1"/>
    <w:rsid w:val="00805FDB"/>
    <w:rsid w:val="008068DF"/>
    <w:rsid w:val="0080760F"/>
    <w:rsid w:val="00810008"/>
    <w:rsid w:val="008104A9"/>
    <w:rsid w:val="008114D9"/>
    <w:rsid w:val="00811531"/>
    <w:rsid w:val="00811925"/>
    <w:rsid w:val="00812572"/>
    <w:rsid w:val="00813B1C"/>
    <w:rsid w:val="00814AFA"/>
    <w:rsid w:val="00814FCC"/>
    <w:rsid w:val="00815E07"/>
    <w:rsid w:val="00816671"/>
    <w:rsid w:val="00816E23"/>
    <w:rsid w:val="008176E3"/>
    <w:rsid w:val="00817D48"/>
    <w:rsid w:val="00821078"/>
    <w:rsid w:val="00821639"/>
    <w:rsid w:val="008229F5"/>
    <w:rsid w:val="00824D67"/>
    <w:rsid w:val="0082610E"/>
    <w:rsid w:val="0082631D"/>
    <w:rsid w:val="008268A3"/>
    <w:rsid w:val="008277F2"/>
    <w:rsid w:val="00830E27"/>
    <w:rsid w:val="00831C87"/>
    <w:rsid w:val="00832341"/>
    <w:rsid w:val="00834E87"/>
    <w:rsid w:val="00834FCB"/>
    <w:rsid w:val="0083569B"/>
    <w:rsid w:val="00841084"/>
    <w:rsid w:val="00842CD0"/>
    <w:rsid w:val="008434CC"/>
    <w:rsid w:val="00843A0B"/>
    <w:rsid w:val="0084507D"/>
    <w:rsid w:val="0084520F"/>
    <w:rsid w:val="008456BD"/>
    <w:rsid w:val="00850551"/>
    <w:rsid w:val="00853BE4"/>
    <w:rsid w:val="00854EF0"/>
    <w:rsid w:val="00856D02"/>
    <w:rsid w:val="00861D51"/>
    <w:rsid w:val="0086378D"/>
    <w:rsid w:val="0086517D"/>
    <w:rsid w:val="008654D4"/>
    <w:rsid w:val="00865BB3"/>
    <w:rsid w:val="008665E4"/>
    <w:rsid w:val="00867D36"/>
    <w:rsid w:val="008709C9"/>
    <w:rsid w:val="00871372"/>
    <w:rsid w:val="00871621"/>
    <w:rsid w:val="00871FCB"/>
    <w:rsid w:val="008721C7"/>
    <w:rsid w:val="00872716"/>
    <w:rsid w:val="00872B12"/>
    <w:rsid w:val="008739BB"/>
    <w:rsid w:val="00873E61"/>
    <w:rsid w:val="008767BD"/>
    <w:rsid w:val="00877F96"/>
    <w:rsid w:val="008809D6"/>
    <w:rsid w:val="00881394"/>
    <w:rsid w:val="00882280"/>
    <w:rsid w:val="0088339B"/>
    <w:rsid w:val="008839F4"/>
    <w:rsid w:val="008851A7"/>
    <w:rsid w:val="0088615B"/>
    <w:rsid w:val="00886957"/>
    <w:rsid w:val="00886CFF"/>
    <w:rsid w:val="0088742B"/>
    <w:rsid w:val="0088751B"/>
    <w:rsid w:val="008877A4"/>
    <w:rsid w:val="00887BBA"/>
    <w:rsid w:val="008909CF"/>
    <w:rsid w:val="008939CD"/>
    <w:rsid w:val="00895116"/>
    <w:rsid w:val="008971AD"/>
    <w:rsid w:val="008A0328"/>
    <w:rsid w:val="008A112D"/>
    <w:rsid w:val="008A1C09"/>
    <w:rsid w:val="008A395D"/>
    <w:rsid w:val="008A3A14"/>
    <w:rsid w:val="008A4F30"/>
    <w:rsid w:val="008A66D4"/>
    <w:rsid w:val="008A6722"/>
    <w:rsid w:val="008B081B"/>
    <w:rsid w:val="008B0CF4"/>
    <w:rsid w:val="008B0D50"/>
    <w:rsid w:val="008B1E33"/>
    <w:rsid w:val="008B2794"/>
    <w:rsid w:val="008B2A5D"/>
    <w:rsid w:val="008B344C"/>
    <w:rsid w:val="008B384A"/>
    <w:rsid w:val="008B5AA0"/>
    <w:rsid w:val="008B5DA1"/>
    <w:rsid w:val="008B665A"/>
    <w:rsid w:val="008C086A"/>
    <w:rsid w:val="008C16B8"/>
    <w:rsid w:val="008C496C"/>
    <w:rsid w:val="008D016D"/>
    <w:rsid w:val="008D0197"/>
    <w:rsid w:val="008D14F6"/>
    <w:rsid w:val="008D1B30"/>
    <w:rsid w:val="008D1CCE"/>
    <w:rsid w:val="008D43A7"/>
    <w:rsid w:val="008D43D6"/>
    <w:rsid w:val="008D448D"/>
    <w:rsid w:val="008D4739"/>
    <w:rsid w:val="008D5229"/>
    <w:rsid w:val="008E1257"/>
    <w:rsid w:val="008E4C45"/>
    <w:rsid w:val="008E7389"/>
    <w:rsid w:val="008F2609"/>
    <w:rsid w:val="008F40A9"/>
    <w:rsid w:val="008F474E"/>
    <w:rsid w:val="008F5923"/>
    <w:rsid w:val="008F5CBC"/>
    <w:rsid w:val="008F687A"/>
    <w:rsid w:val="008F7AA9"/>
    <w:rsid w:val="00900766"/>
    <w:rsid w:val="00900A73"/>
    <w:rsid w:val="00902C36"/>
    <w:rsid w:val="00903A12"/>
    <w:rsid w:val="00903E3A"/>
    <w:rsid w:val="009050BB"/>
    <w:rsid w:val="00906E4F"/>
    <w:rsid w:val="009071C4"/>
    <w:rsid w:val="00907E16"/>
    <w:rsid w:val="00910426"/>
    <w:rsid w:val="0091060E"/>
    <w:rsid w:val="00910EF5"/>
    <w:rsid w:val="00915168"/>
    <w:rsid w:val="00915CB7"/>
    <w:rsid w:val="00917AC0"/>
    <w:rsid w:val="00920E4E"/>
    <w:rsid w:val="00920F57"/>
    <w:rsid w:val="00922857"/>
    <w:rsid w:val="00923511"/>
    <w:rsid w:val="00923FB2"/>
    <w:rsid w:val="00925CC0"/>
    <w:rsid w:val="0093001C"/>
    <w:rsid w:val="0093065B"/>
    <w:rsid w:val="009307E7"/>
    <w:rsid w:val="00930DC3"/>
    <w:rsid w:val="009311FE"/>
    <w:rsid w:val="00931B77"/>
    <w:rsid w:val="00932176"/>
    <w:rsid w:val="00933340"/>
    <w:rsid w:val="00934771"/>
    <w:rsid w:val="00934E98"/>
    <w:rsid w:val="009352DB"/>
    <w:rsid w:val="00935E35"/>
    <w:rsid w:val="0093623D"/>
    <w:rsid w:val="00936301"/>
    <w:rsid w:val="009376A1"/>
    <w:rsid w:val="00940514"/>
    <w:rsid w:val="0094225C"/>
    <w:rsid w:val="00942BF2"/>
    <w:rsid w:val="00942EFB"/>
    <w:rsid w:val="00943513"/>
    <w:rsid w:val="0094462A"/>
    <w:rsid w:val="00945410"/>
    <w:rsid w:val="00946CB7"/>
    <w:rsid w:val="0095094F"/>
    <w:rsid w:val="00950FF4"/>
    <w:rsid w:val="00952F4B"/>
    <w:rsid w:val="009540F4"/>
    <w:rsid w:val="00954894"/>
    <w:rsid w:val="009570F6"/>
    <w:rsid w:val="00957A7F"/>
    <w:rsid w:val="00960D83"/>
    <w:rsid w:val="00960F2F"/>
    <w:rsid w:val="0096123E"/>
    <w:rsid w:val="009626AD"/>
    <w:rsid w:val="00963CD8"/>
    <w:rsid w:val="00963D3E"/>
    <w:rsid w:val="0096425D"/>
    <w:rsid w:val="00966D9B"/>
    <w:rsid w:val="0096724A"/>
    <w:rsid w:val="00967C28"/>
    <w:rsid w:val="0097023E"/>
    <w:rsid w:val="00970699"/>
    <w:rsid w:val="00970ABF"/>
    <w:rsid w:val="00970DBE"/>
    <w:rsid w:val="00971D0D"/>
    <w:rsid w:val="00973909"/>
    <w:rsid w:val="00973AF5"/>
    <w:rsid w:val="00975F40"/>
    <w:rsid w:val="009768C1"/>
    <w:rsid w:val="00980275"/>
    <w:rsid w:val="009804ED"/>
    <w:rsid w:val="00980C55"/>
    <w:rsid w:val="009820C8"/>
    <w:rsid w:val="0098243B"/>
    <w:rsid w:val="00982A74"/>
    <w:rsid w:val="00984066"/>
    <w:rsid w:val="00984328"/>
    <w:rsid w:val="00986ECC"/>
    <w:rsid w:val="00990D12"/>
    <w:rsid w:val="00991991"/>
    <w:rsid w:val="009927F0"/>
    <w:rsid w:val="009940F3"/>
    <w:rsid w:val="0099575C"/>
    <w:rsid w:val="00995C9A"/>
    <w:rsid w:val="0099607F"/>
    <w:rsid w:val="0099718F"/>
    <w:rsid w:val="009A0AE8"/>
    <w:rsid w:val="009A1208"/>
    <w:rsid w:val="009A2B5C"/>
    <w:rsid w:val="009A336A"/>
    <w:rsid w:val="009A3EA2"/>
    <w:rsid w:val="009A58D9"/>
    <w:rsid w:val="009A5BF0"/>
    <w:rsid w:val="009A651D"/>
    <w:rsid w:val="009B09A7"/>
    <w:rsid w:val="009B1248"/>
    <w:rsid w:val="009B3FBC"/>
    <w:rsid w:val="009B5EA9"/>
    <w:rsid w:val="009C03AE"/>
    <w:rsid w:val="009C2298"/>
    <w:rsid w:val="009C2813"/>
    <w:rsid w:val="009C29F5"/>
    <w:rsid w:val="009C2CCC"/>
    <w:rsid w:val="009C367D"/>
    <w:rsid w:val="009C392B"/>
    <w:rsid w:val="009C39E0"/>
    <w:rsid w:val="009C593C"/>
    <w:rsid w:val="009C5C21"/>
    <w:rsid w:val="009C6340"/>
    <w:rsid w:val="009D08F7"/>
    <w:rsid w:val="009D10E6"/>
    <w:rsid w:val="009D1252"/>
    <w:rsid w:val="009D2931"/>
    <w:rsid w:val="009D4B16"/>
    <w:rsid w:val="009D6B15"/>
    <w:rsid w:val="009D7DA3"/>
    <w:rsid w:val="009D7FAA"/>
    <w:rsid w:val="009E022B"/>
    <w:rsid w:val="009E09D2"/>
    <w:rsid w:val="009E197B"/>
    <w:rsid w:val="009E3DD5"/>
    <w:rsid w:val="009E42C9"/>
    <w:rsid w:val="009E6A97"/>
    <w:rsid w:val="009E7299"/>
    <w:rsid w:val="009E7453"/>
    <w:rsid w:val="009E7CA4"/>
    <w:rsid w:val="009F1267"/>
    <w:rsid w:val="009F3131"/>
    <w:rsid w:val="009F314E"/>
    <w:rsid w:val="009F35E2"/>
    <w:rsid w:val="009F51F1"/>
    <w:rsid w:val="009F6EEC"/>
    <w:rsid w:val="009F7B4B"/>
    <w:rsid w:val="00A00250"/>
    <w:rsid w:val="00A02985"/>
    <w:rsid w:val="00A06C1E"/>
    <w:rsid w:val="00A117BD"/>
    <w:rsid w:val="00A1264E"/>
    <w:rsid w:val="00A1348C"/>
    <w:rsid w:val="00A1441B"/>
    <w:rsid w:val="00A14E98"/>
    <w:rsid w:val="00A1655A"/>
    <w:rsid w:val="00A165AE"/>
    <w:rsid w:val="00A171B5"/>
    <w:rsid w:val="00A17CDE"/>
    <w:rsid w:val="00A23144"/>
    <w:rsid w:val="00A237E2"/>
    <w:rsid w:val="00A23AD4"/>
    <w:rsid w:val="00A24E8D"/>
    <w:rsid w:val="00A26884"/>
    <w:rsid w:val="00A27CDF"/>
    <w:rsid w:val="00A27E9E"/>
    <w:rsid w:val="00A30637"/>
    <w:rsid w:val="00A30D41"/>
    <w:rsid w:val="00A30F09"/>
    <w:rsid w:val="00A317A2"/>
    <w:rsid w:val="00A31810"/>
    <w:rsid w:val="00A31833"/>
    <w:rsid w:val="00A34243"/>
    <w:rsid w:val="00A34D17"/>
    <w:rsid w:val="00A352BF"/>
    <w:rsid w:val="00A37C94"/>
    <w:rsid w:val="00A40E98"/>
    <w:rsid w:val="00A41245"/>
    <w:rsid w:val="00A4235A"/>
    <w:rsid w:val="00A42A41"/>
    <w:rsid w:val="00A439C1"/>
    <w:rsid w:val="00A44DDA"/>
    <w:rsid w:val="00A4517D"/>
    <w:rsid w:val="00A452F9"/>
    <w:rsid w:val="00A45F4E"/>
    <w:rsid w:val="00A46101"/>
    <w:rsid w:val="00A47197"/>
    <w:rsid w:val="00A5158D"/>
    <w:rsid w:val="00A525AC"/>
    <w:rsid w:val="00A52895"/>
    <w:rsid w:val="00A538D9"/>
    <w:rsid w:val="00A53AAD"/>
    <w:rsid w:val="00A568B9"/>
    <w:rsid w:val="00A57237"/>
    <w:rsid w:val="00A62F29"/>
    <w:rsid w:val="00A6337F"/>
    <w:rsid w:val="00A65005"/>
    <w:rsid w:val="00A65CDF"/>
    <w:rsid w:val="00A674D3"/>
    <w:rsid w:val="00A7287E"/>
    <w:rsid w:val="00A72D64"/>
    <w:rsid w:val="00A77906"/>
    <w:rsid w:val="00A861B4"/>
    <w:rsid w:val="00A910F3"/>
    <w:rsid w:val="00A9172F"/>
    <w:rsid w:val="00A917C3"/>
    <w:rsid w:val="00A91B4C"/>
    <w:rsid w:val="00A93D80"/>
    <w:rsid w:val="00A959AB"/>
    <w:rsid w:val="00A96047"/>
    <w:rsid w:val="00A96F4F"/>
    <w:rsid w:val="00AA00C4"/>
    <w:rsid w:val="00AA1E47"/>
    <w:rsid w:val="00AA29B6"/>
    <w:rsid w:val="00AA582C"/>
    <w:rsid w:val="00AA6034"/>
    <w:rsid w:val="00AA68B2"/>
    <w:rsid w:val="00AA7DEC"/>
    <w:rsid w:val="00AB0737"/>
    <w:rsid w:val="00AB0F87"/>
    <w:rsid w:val="00AB1E2F"/>
    <w:rsid w:val="00AB33A4"/>
    <w:rsid w:val="00AB4FA2"/>
    <w:rsid w:val="00AB67F1"/>
    <w:rsid w:val="00AC0A54"/>
    <w:rsid w:val="00AC1705"/>
    <w:rsid w:val="00AC2249"/>
    <w:rsid w:val="00AC3987"/>
    <w:rsid w:val="00AC3AB9"/>
    <w:rsid w:val="00AC3CEA"/>
    <w:rsid w:val="00AC42EB"/>
    <w:rsid w:val="00AC4409"/>
    <w:rsid w:val="00AC6D7C"/>
    <w:rsid w:val="00AC7D62"/>
    <w:rsid w:val="00AC7EAC"/>
    <w:rsid w:val="00AD028A"/>
    <w:rsid w:val="00AD0B11"/>
    <w:rsid w:val="00AD0CBF"/>
    <w:rsid w:val="00AD11D9"/>
    <w:rsid w:val="00AD251A"/>
    <w:rsid w:val="00AD2A93"/>
    <w:rsid w:val="00AD5C6B"/>
    <w:rsid w:val="00AD5DCF"/>
    <w:rsid w:val="00AD63BA"/>
    <w:rsid w:val="00AE4466"/>
    <w:rsid w:val="00AE5D05"/>
    <w:rsid w:val="00AF0DD0"/>
    <w:rsid w:val="00AF0EF4"/>
    <w:rsid w:val="00AF3617"/>
    <w:rsid w:val="00AF4893"/>
    <w:rsid w:val="00AF4AC5"/>
    <w:rsid w:val="00AF4C33"/>
    <w:rsid w:val="00AF56C4"/>
    <w:rsid w:val="00AF59C0"/>
    <w:rsid w:val="00AF661D"/>
    <w:rsid w:val="00B028C5"/>
    <w:rsid w:val="00B031C3"/>
    <w:rsid w:val="00B03E99"/>
    <w:rsid w:val="00B04303"/>
    <w:rsid w:val="00B04459"/>
    <w:rsid w:val="00B05C63"/>
    <w:rsid w:val="00B073D0"/>
    <w:rsid w:val="00B07989"/>
    <w:rsid w:val="00B10464"/>
    <w:rsid w:val="00B10CBF"/>
    <w:rsid w:val="00B11F54"/>
    <w:rsid w:val="00B14323"/>
    <w:rsid w:val="00B15A06"/>
    <w:rsid w:val="00B16FCB"/>
    <w:rsid w:val="00B1773F"/>
    <w:rsid w:val="00B20091"/>
    <w:rsid w:val="00B223DF"/>
    <w:rsid w:val="00B23F1B"/>
    <w:rsid w:val="00B2422B"/>
    <w:rsid w:val="00B25058"/>
    <w:rsid w:val="00B2660D"/>
    <w:rsid w:val="00B26966"/>
    <w:rsid w:val="00B27D65"/>
    <w:rsid w:val="00B304C0"/>
    <w:rsid w:val="00B30735"/>
    <w:rsid w:val="00B30751"/>
    <w:rsid w:val="00B31D41"/>
    <w:rsid w:val="00B321B3"/>
    <w:rsid w:val="00B329F0"/>
    <w:rsid w:val="00B33C84"/>
    <w:rsid w:val="00B3483F"/>
    <w:rsid w:val="00B34AD3"/>
    <w:rsid w:val="00B34C39"/>
    <w:rsid w:val="00B358BC"/>
    <w:rsid w:val="00B3793E"/>
    <w:rsid w:val="00B413EF"/>
    <w:rsid w:val="00B42F36"/>
    <w:rsid w:val="00B439B4"/>
    <w:rsid w:val="00B44B18"/>
    <w:rsid w:val="00B47394"/>
    <w:rsid w:val="00B5097F"/>
    <w:rsid w:val="00B52A80"/>
    <w:rsid w:val="00B54607"/>
    <w:rsid w:val="00B54777"/>
    <w:rsid w:val="00B55271"/>
    <w:rsid w:val="00B55303"/>
    <w:rsid w:val="00B560B7"/>
    <w:rsid w:val="00B602A2"/>
    <w:rsid w:val="00B60381"/>
    <w:rsid w:val="00B60A09"/>
    <w:rsid w:val="00B6126D"/>
    <w:rsid w:val="00B616D9"/>
    <w:rsid w:val="00B63087"/>
    <w:rsid w:val="00B63AB8"/>
    <w:rsid w:val="00B64999"/>
    <w:rsid w:val="00B64F69"/>
    <w:rsid w:val="00B65FA3"/>
    <w:rsid w:val="00B66919"/>
    <w:rsid w:val="00B66974"/>
    <w:rsid w:val="00B66A73"/>
    <w:rsid w:val="00B673F9"/>
    <w:rsid w:val="00B718DF"/>
    <w:rsid w:val="00B72579"/>
    <w:rsid w:val="00B7700D"/>
    <w:rsid w:val="00B77F07"/>
    <w:rsid w:val="00B8162F"/>
    <w:rsid w:val="00B81914"/>
    <w:rsid w:val="00B81BBF"/>
    <w:rsid w:val="00B81D37"/>
    <w:rsid w:val="00B828E7"/>
    <w:rsid w:val="00B82E7C"/>
    <w:rsid w:val="00B840CE"/>
    <w:rsid w:val="00B85ADF"/>
    <w:rsid w:val="00B87E3C"/>
    <w:rsid w:val="00B90772"/>
    <w:rsid w:val="00B916EC"/>
    <w:rsid w:val="00B91EAB"/>
    <w:rsid w:val="00B9294E"/>
    <w:rsid w:val="00B929EA"/>
    <w:rsid w:val="00B92DB8"/>
    <w:rsid w:val="00B94DAE"/>
    <w:rsid w:val="00B956D8"/>
    <w:rsid w:val="00B97949"/>
    <w:rsid w:val="00B97F5A"/>
    <w:rsid w:val="00BA0C03"/>
    <w:rsid w:val="00BA0E53"/>
    <w:rsid w:val="00BA10A4"/>
    <w:rsid w:val="00BA12C4"/>
    <w:rsid w:val="00BA2101"/>
    <w:rsid w:val="00BA3B62"/>
    <w:rsid w:val="00BA49EC"/>
    <w:rsid w:val="00BA4F90"/>
    <w:rsid w:val="00BA70C7"/>
    <w:rsid w:val="00BA7F3D"/>
    <w:rsid w:val="00BB0E3D"/>
    <w:rsid w:val="00BB15AC"/>
    <w:rsid w:val="00BB3EC7"/>
    <w:rsid w:val="00BB3EF0"/>
    <w:rsid w:val="00BB5947"/>
    <w:rsid w:val="00BB7816"/>
    <w:rsid w:val="00BB7A07"/>
    <w:rsid w:val="00BC25D3"/>
    <w:rsid w:val="00BC343C"/>
    <w:rsid w:val="00BC39E9"/>
    <w:rsid w:val="00BC3D13"/>
    <w:rsid w:val="00BC5C2D"/>
    <w:rsid w:val="00BC722F"/>
    <w:rsid w:val="00BD0394"/>
    <w:rsid w:val="00BD1CE8"/>
    <w:rsid w:val="00BD226B"/>
    <w:rsid w:val="00BD44D3"/>
    <w:rsid w:val="00BD44F0"/>
    <w:rsid w:val="00BD5C63"/>
    <w:rsid w:val="00BD63E1"/>
    <w:rsid w:val="00BD72B7"/>
    <w:rsid w:val="00BD737E"/>
    <w:rsid w:val="00BE0E13"/>
    <w:rsid w:val="00BE21E3"/>
    <w:rsid w:val="00BE35A7"/>
    <w:rsid w:val="00BE524A"/>
    <w:rsid w:val="00BE5CBA"/>
    <w:rsid w:val="00BE5FA4"/>
    <w:rsid w:val="00BE618D"/>
    <w:rsid w:val="00BE7047"/>
    <w:rsid w:val="00BF1C3B"/>
    <w:rsid w:val="00BF3A9D"/>
    <w:rsid w:val="00BF4877"/>
    <w:rsid w:val="00BF69A7"/>
    <w:rsid w:val="00BF6E9A"/>
    <w:rsid w:val="00C002C8"/>
    <w:rsid w:val="00C0152A"/>
    <w:rsid w:val="00C03104"/>
    <w:rsid w:val="00C04222"/>
    <w:rsid w:val="00C05BC7"/>
    <w:rsid w:val="00C061BB"/>
    <w:rsid w:val="00C06C58"/>
    <w:rsid w:val="00C07C44"/>
    <w:rsid w:val="00C10DB0"/>
    <w:rsid w:val="00C117D5"/>
    <w:rsid w:val="00C11D86"/>
    <w:rsid w:val="00C120A8"/>
    <w:rsid w:val="00C12D76"/>
    <w:rsid w:val="00C12EC8"/>
    <w:rsid w:val="00C14D0E"/>
    <w:rsid w:val="00C16472"/>
    <w:rsid w:val="00C17BA7"/>
    <w:rsid w:val="00C207C0"/>
    <w:rsid w:val="00C22484"/>
    <w:rsid w:val="00C23766"/>
    <w:rsid w:val="00C2435F"/>
    <w:rsid w:val="00C24B52"/>
    <w:rsid w:val="00C25570"/>
    <w:rsid w:val="00C26BDB"/>
    <w:rsid w:val="00C26EFE"/>
    <w:rsid w:val="00C274AA"/>
    <w:rsid w:val="00C27BDF"/>
    <w:rsid w:val="00C27E0F"/>
    <w:rsid w:val="00C30B94"/>
    <w:rsid w:val="00C31E03"/>
    <w:rsid w:val="00C31ECD"/>
    <w:rsid w:val="00C32CB8"/>
    <w:rsid w:val="00C356F8"/>
    <w:rsid w:val="00C3587B"/>
    <w:rsid w:val="00C35FAB"/>
    <w:rsid w:val="00C402E3"/>
    <w:rsid w:val="00C40623"/>
    <w:rsid w:val="00C4176D"/>
    <w:rsid w:val="00C42ADF"/>
    <w:rsid w:val="00C430E9"/>
    <w:rsid w:val="00C44594"/>
    <w:rsid w:val="00C44F79"/>
    <w:rsid w:val="00C50A56"/>
    <w:rsid w:val="00C52261"/>
    <w:rsid w:val="00C52729"/>
    <w:rsid w:val="00C52A6A"/>
    <w:rsid w:val="00C53423"/>
    <w:rsid w:val="00C53A8D"/>
    <w:rsid w:val="00C54AF4"/>
    <w:rsid w:val="00C54BD1"/>
    <w:rsid w:val="00C567C4"/>
    <w:rsid w:val="00C61261"/>
    <w:rsid w:val="00C616A8"/>
    <w:rsid w:val="00C62AB6"/>
    <w:rsid w:val="00C63FEC"/>
    <w:rsid w:val="00C64A1D"/>
    <w:rsid w:val="00C64E35"/>
    <w:rsid w:val="00C65F69"/>
    <w:rsid w:val="00C66EAF"/>
    <w:rsid w:val="00C70E91"/>
    <w:rsid w:val="00C715B0"/>
    <w:rsid w:val="00C71A45"/>
    <w:rsid w:val="00C72652"/>
    <w:rsid w:val="00C74DC0"/>
    <w:rsid w:val="00C76D69"/>
    <w:rsid w:val="00C76F28"/>
    <w:rsid w:val="00C81201"/>
    <w:rsid w:val="00C81273"/>
    <w:rsid w:val="00C8185F"/>
    <w:rsid w:val="00C818E9"/>
    <w:rsid w:val="00C8390C"/>
    <w:rsid w:val="00C85172"/>
    <w:rsid w:val="00C85D25"/>
    <w:rsid w:val="00C87D10"/>
    <w:rsid w:val="00C90921"/>
    <w:rsid w:val="00C94915"/>
    <w:rsid w:val="00C95E62"/>
    <w:rsid w:val="00C95F4E"/>
    <w:rsid w:val="00C96B36"/>
    <w:rsid w:val="00C96E19"/>
    <w:rsid w:val="00C97DE4"/>
    <w:rsid w:val="00CA1E55"/>
    <w:rsid w:val="00CA2679"/>
    <w:rsid w:val="00CA3004"/>
    <w:rsid w:val="00CA48E9"/>
    <w:rsid w:val="00CA49C7"/>
    <w:rsid w:val="00CA4B42"/>
    <w:rsid w:val="00CA5AC0"/>
    <w:rsid w:val="00CA67AA"/>
    <w:rsid w:val="00CB15DC"/>
    <w:rsid w:val="00CB1C0F"/>
    <w:rsid w:val="00CB5480"/>
    <w:rsid w:val="00CB55BA"/>
    <w:rsid w:val="00CB6450"/>
    <w:rsid w:val="00CB6552"/>
    <w:rsid w:val="00CC09D1"/>
    <w:rsid w:val="00CC0E46"/>
    <w:rsid w:val="00CC2E89"/>
    <w:rsid w:val="00CC3249"/>
    <w:rsid w:val="00CC5535"/>
    <w:rsid w:val="00CC5DC8"/>
    <w:rsid w:val="00CC7E8B"/>
    <w:rsid w:val="00CD2B87"/>
    <w:rsid w:val="00CD43AB"/>
    <w:rsid w:val="00CD503A"/>
    <w:rsid w:val="00CD5DBF"/>
    <w:rsid w:val="00CD612E"/>
    <w:rsid w:val="00CD7A11"/>
    <w:rsid w:val="00CD7B03"/>
    <w:rsid w:val="00CD7CB7"/>
    <w:rsid w:val="00CE1276"/>
    <w:rsid w:val="00CE1693"/>
    <w:rsid w:val="00CE2272"/>
    <w:rsid w:val="00CE55C8"/>
    <w:rsid w:val="00CE6298"/>
    <w:rsid w:val="00CE67BA"/>
    <w:rsid w:val="00CE6F00"/>
    <w:rsid w:val="00CE6FAD"/>
    <w:rsid w:val="00CE7F05"/>
    <w:rsid w:val="00CF0666"/>
    <w:rsid w:val="00CF32E6"/>
    <w:rsid w:val="00CF34A9"/>
    <w:rsid w:val="00CF4DA0"/>
    <w:rsid w:val="00CF5649"/>
    <w:rsid w:val="00D00389"/>
    <w:rsid w:val="00D00750"/>
    <w:rsid w:val="00D00795"/>
    <w:rsid w:val="00D00BF5"/>
    <w:rsid w:val="00D019F9"/>
    <w:rsid w:val="00D063E7"/>
    <w:rsid w:val="00D0699E"/>
    <w:rsid w:val="00D0724A"/>
    <w:rsid w:val="00D07426"/>
    <w:rsid w:val="00D101FC"/>
    <w:rsid w:val="00D10321"/>
    <w:rsid w:val="00D1035E"/>
    <w:rsid w:val="00D104D8"/>
    <w:rsid w:val="00D11077"/>
    <w:rsid w:val="00D11553"/>
    <w:rsid w:val="00D11648"/>
    <w:rsid w:val="00D11E3B"/>
    <w:rsid w:val="00D150CB"/>
    <w:rsid w:val="00D1777D"/>
    <w:rsid w:val="00D177B1"/>
    <w:rsid w:val="00D17AF4"/>
    <w:rsid w:val="00D17B8E"/>
    <w:rsid w:val="00D23433"/>
    <w:rsid w:val="00D23E56"/>
    <w:rsid w:val="00D24ECC"/>
    <w:rsid w:val="00D25FD0"/>
    <w:rsid w:val="00D272D2"/>
    <w:rsid w:val="00D30C44"/>
    <w:rsid w:val="00D30F81"/>
    <w:rsid w:val="00D31956"/>
    <w:rsid w:val="00D31E05"/>
    <w:rsid w:val="00D3243F"/>
    <w:rsid w:val="00D3276E"/>
    <w:rsid w:val="00D32C5B"/>
    <w:rsid w:val="00D32D3F"/>
    <w:rsid w:val="00D33218"/>
    <w:rsid w:val="00D3361A"/>
    <w:rsid w:val="00D338DB"/>
    <w:rsid w:val="00D35DED"/>
    <w:rsid w:val="00D35DFC"/>
    <w:rsid w:val="00D36A04"/>
    <w:rsid w:val="00D36FD4"/>
    <w:rsid w:val="00D3708A"/>
    <w:rsid w:val="00D3745F"/>
    <w:rsid w:val="00D37F2B"/>
    <w:rsid w:val="00D406C9"/>
    <w:rsid w:val="00D434A9"/>
    <w:rsid w:val="00D437BD"/>
    <w:rsid w:val="00D43B70"/>
    <w:rsid w:val="00D45080"/>
    <w:rsid w:val="00D4618E"/>
    <w:rsid w:val="00D51746"/>
    <w:rsid w:val="00D51FB0"/>
    <w:rsid w:val="00D525F1"/>
    <w:rsid w:val="00D532EC"/>
    <w:rsid w:val="00D53E52"/>
    <w:rsid w:val="00D550AD"/>
    <w:rsid w:val="00D55800"/>
    <w:rsid w:val="00D56A3E"/>
    <w:rsid w:val="00D602BD"/>
    <w:rsid w:val="00D603B1"/>
    <w:rsid w:val="00D63241"/>
    <w:rsid w:val="00D63CAB"/>
    <w:rsid w:val="00D63FC6"/>
    <w:rsid w:val="00D64148"/>
    <w:rsid w:val="00D65F56"/>
    <w:rsid w:val="00D67C74"/>
    <w:rsid w:val="00D71CBA"/>
    <w:rsid w:val="00D720B7"/>
    <w:rsid w:val="00D72202"/>
    <w:rsid w:val="00D723D6"/>
    <w:rsid w:val="00D73811"/>
    <w:rsid w:val="00D74E3F"/>
    <w:rsid w:val="00D7695E"/>
    <w:rsid w:val="00D77C66"/>
    <w:rsid w:val="00D814C3"/>
    <w:rsid w:val="00D815F5"/>
    <w:rsid w:val="00D87F8A"/>
    <w:rsid w:val="00D91E4A"/>
    <w:rsid w:val="00D9232B"/>
    <w:rsid w:val="00D92929"/>
    <w:rsid w:val="00D92D85"/>
    <w:rsid w:val="00D9402F"/>
    <w:rsid w:val="00D97F72"/>
    <w:rsid w:val="00DA064C"/>
    <w:rsid w:val="00DA0888"/>
    <w:rsid w:val="00DA0E4E"/>
    <w:rsid w:val="00DA1023"/>
    <w:rsid w:val="00DA170E"/>
    <w:rsid w:val="00DA1CCB"/>
    <w:rsid w:val="00DA2FA0"/>
    <w:rsid w:val="00DA3AE3"/>
    <w:rsid w:val="00DA5386"/>
    <w:rsid w:val="00DA6EEC"/>
    <w:rsid w:val="00DA6FE2"/>
    <w:rsid w:val="00DA71FD"/>
    <w:rsid w:val="00DA784D"/>
    <w:rsid w:val="00DA7D95"/>
    <w:rsid w:val="00DB01F1"/>
    <w:rsid w:val="00DB1BEF"/>
    <w:rsid w:val="00DB1C1D"/>
    <w:rsid w:val="00DB1DA2"/>
    <w:rsid w:val="00DB33DA"/>
    <w:rsid w:val="00DB34E1"/>
    <w:rsid w:val="00DB383B"/>
    <w:rsid w:val="00DB3DFA"/>
    <w:rsid w:val="00DB660D"/>
    <w:rsid w:val="00DB71C7"/>
    <w:rsid w:val="00DB7743"/>
    <w:rsid w:val="00DC1B41"/>
    <w:rsid w:val="00DC2E22"/>
    <w:rsid w:val="00DC321A"/>
    <w:rsid w:val="00DC6708"/>
    <w:rsid w:val="00DC7174"/>
    <w:rsid w:val="00DC7200"/>
    <w:rsid w:val="00DC73D8"/>
    <w:rsid w:val="00DC788C"/>
    <w:rsid w:val="00DD1E92"/>
    <w:rsid w:val="00DD3192"/>
    <w:rsid w:val="00DD453E"/>
    <w:rsid w:val="00DD5A98"/>
    <w:rsid w:val="00DD7644"/>
    <w:rsid w:val="00DD7953"/>
    <w:rsid w:val="00DE1646"/>
    <w:rsid w:val="00DE360D"/>
    <w:rsid w:val="00DE582B"/>
    <w:rsid w:val="00DE6EFD"/>
    <w:rsid w:val="00DE78DD"/>
    <w:rsid w:val="00DF016E"/>
    <w:rsid w:val="00DF0D27"/>
    <w:rsid w:val="00DF4C2D"/>
    <w:rsid w:val="00DF5865"/>
    <w:rsid w:val="00DF67B3"/>
    <w:rsid w:val="00DF6D05"/>
    <w:rsid w:val="00DF71F9"/>
    <w:rsid w:val="00E004A6"/>
    <w:rsid w:val="00E00863"/>
    <w:rsid w:val="00E02BA8"/>
    <w:rsid w:val="00E045A2"/>
    <w:rsid w:val="00E05162"/>
    <w:rsid w:val="00E05B51"/>
    <w:rsid w:val="00E07C81"/>
    <w:rsid w:val="00E07E7C"/>
    <w:rsid w:val="00E106BC"/>
    <w:rsid w:val="00E13021"/>
    <w:rsid w:val="00E13A01"/>
    <w:rsid w:val="00E16A31"/>
    <w:rsid w:val="00E17278"/>
    <w:rsid w:val="00E2059F"/>
    <w:rsid w:val="00E222B3"/>
    <w:rsid w:val="00E23461"/>
    <w:rsid w:val="00E258F9"/>
    <w:rsid w:val="00E25C98"/>
    <w:rsid w:val="00E27BDE"/>
    <w:rsid w:val="00E30EE2"/>
    <w:rsid w:val="00E3131C"/>
    <w:rsid w:val="00E31442"/>
    <w:rsid w:val="00E3340A"/>
    <w:rsid w:val="00E3361D"/>
    <w:rsid w:val="00E340BB"/>
    <w:rsid w:val="00E34AEF"/>
    <w:rsid w:val="00E356B3"/>
    <w:rsid w:val="00E35DE2"/>
    <w:rsid w:val="00E36815"/>
    <w:rsid w:val="00E36996"/>
    <w:rsid w:val="00E40A93"/>
    <w:rsid w:val="00E40FF5"/>
    <w:rsid w:val="00E4137C"/>
    <w:rsid w:val="00E4184F"/>
    <w:rsid w:val="00E420A7"/>
    <w:rsid w:val="00E42310"/>
    <w:rsid w:val="00E42C0F"/>
    <w:rsid w:val="00E43C63"/>
    <w:rsid w:val="00E446E7"/>
    <w:rsid w:val="00E44A1D"/>
    <w:rsid w:val="00E44DB4"/>
    <w:rsid w:val="00E5381F"/>
    <w:rsid w:val="00E53D0E"/>
    <w:rsid w:val="00E54850"/>
    <w:rsid w:val="00E5492D"/>
    <w:rsid w:val="00E54D99"/>
    <w:rsid w:val="00E56264"/>
    <w:rsid w:val="00E56E76"/>
    <w:rsid w:val="00E571BA"/>
    <w:rsid w:val="00E57914"/>
    <w:rsid w:val="00E60DE8"/>
    <w:rsid w:val="00E60F67"/>
    <w:rsid w:val="00E61105"/>
    <w:rsid w:val="00E61EAB"/>
    <w:rsid w:val="00E6567B"/>
    <w:rsid w:val="00E65DAC"/>
    <w:rsid w:val="00E66F33"/>
    <w:rsid w:val="00E67A9F"/>
    <w:rsid w:val="00E70137"/>
    <w:rsid w:val="00E70342"/>
    <w:rsid w:val="00E7232A"/>
    <w:rsid w:val="00E7251D"/>
    <w:rsid w:val="00E72CC1"/>
    <w:rsid w:val="00E72D0A"/>
    <w:rsid w:val="00E73013"/>
    <w:rsid w:val="00E73651"/>
    <w:rsid w:val="00E74248"/>
    <w:rsid w:val="00E74C2B"/>
    <w:rsid w:val="00E74C98"/>
    <w:rsid w:val="00E7555E"/>
    <w:rsid w:val="00E77EFE"/>
    <w:rsid w:val="00E804A4"/>
    <w:rsid w:val="00E80D4E"/>
    <w:rsid w:val="00E8182D"/>
    <w:rsid w:val="00E81FA7"/>
    <w:rsid w:val="00E82A9C"/>
    <w:rsid w:val="00E8384D"/>
    <w:rsid w:val="00E83B2F"/>
    <w:rsid w:val="00E84126"/>
    <w:rsid w:val="00E84CEC"/>
    <w:rsid w:val="00E8673D"/>
    <w:rsid w:val="00E90FEB"/>
    <w:rsid w:val="00E91250"/>
    <w:rsid w:val="00E913A4"/>
    <w:rsid w:val="00E925CA"/>
    <w:rsid w:val="00E94135"/>
    <w:rsid w:val="00E961F0"/>
    <w:rsid w:val="00E96905"/>
    <w:rsid w:val="00E970F0"/>
    <w:rsid w:val="00E97339"/>
    <w:rsid w:val="00E97414"/>
    <w:rsid w:val="00EA079D"/>
    <w:rsid w:val="00EA1615"/>
    <w:rsid w:val="00EA1628"/>
    <w:rsid w:val="00EA1808"/>
    <w:rsid w:val="00EA37C9"/>
    <w:rsid w:val="00EA475D"/>
    <w:rsid w:val="00EA5695"/>
    <w:rsid w:val="00EA6081"/>
    <w:rsid w:val="00EA668A"/>
    <w:rsid w:val="00EB0E60"/>
    <w:rsid w:val="00EB3912"/>
    <w:rsid w:val="00EB3CB6"/>
    <w:rsid w:val="00EB531C"/>
    <w:rsid w:val="00EB64DB"/>
    <w:rsid w:val="00EB6A33"/>
    <w:rsid w:val="00EC062F"/>
    <w:rsid w:val="00EC0C12"/>
    <w:rsid w:val="00EC0C32"/>
    <w:rsid w:val="00EC1B01"/>
    <w:rsid w:val="00EC1D41"/>
    <w:rsid w:val="00EC441F"/>
    <w:rsid w:val="00EC4765"/>
    <w:rsid w:val="00EC4D4A"/>
    <w:rsid w:val="00EC53F9"/>
    <w:rsid w:val="00EC70C9"/>
    <w:rsid w:val="00EC7AA1"/>
    <w:rsid w:val="00EC7B08"/>
    <w:rsid w:val="00EC7FA2"/>
    <w:rsid w:val="00ED194D"/>
    <w:rsid w:val="00ED1F86"/>
    <w:rsid w:val="00ED51B4"/>
    <w:rsid w:val="00ED58EE"/>
    <w:rsid w:val="00ED6F28"/>
    <w:rsid w:val="00EE1866"/>
    <w:rsid w:val="00EE1E9C"/>
    <w:rsid w:val="00EE269A"/>
    <w:rsid w:val="00EE343F"/>
    <w:rsid w:val="00EE4519"/>
    <w:rsid w:val="00EE53B0"/>
    <w:rsid w:val="00EE583C"/>
    <w:rsid w:val="00EE5A27"/>
    <w:rsid w:val="00EE619F"/>
    <w:rsid w:val="00EF13D6"/>
    <w:rsid w:val="00EF1436"/>
    <w:rsid w:val="00EF2FBE"/>
    <w:rsid w:val="00EF387C"/>
    <w:rsid w:val="00EF4C5B"/>
    <w:rsid w:val="00EF4C66"/>
    <w:rsid w:val="00EF6286"/>
    <w:rsid w:val="00EF680C"/>
    <w:rsid w:val="00EF69E4"/>
    <w:rsid w:val="00EF6C94"/>
    <w:rsid w:val="00EF7890"/>
    <w:rsid w:val="00F006E9"/>
    <w:rsid w:val="00F01C45"/>
    <w:rsid w:val="00F01F36"/>
    <w:rsid w:val="00F020DB"/>
    <w:rsid w:val="00F04197"/>
    <w:rsid w:val="00F05C1E"/>
    <w:rsid w:val="00F064E7"/>
    <w:rsid w:val="00F06726"/>
    <w:rsid w:val="00F06A11"/>
    <w:rsid w:val="00F06CC5"/>
    <w:rsid w:val="00F07B7F"/>
    <w:rsid w:val="00F11287"/>
    <w:rsid w:val="00F112EB"/>
    <w:rsid w:val="00F11966"/>
    <w:rsid w:val="00F14A14"/>
    <w:rsid w:val="00F15C93"/>
    <w:rsid w:val="00F1623E"/>
    <w:rsid w:val="00F17CE6"/>
    <w:rsid w:val="00F17E55"/>
    <w:rsid w:val="00F17EE3"/>
    <w:rsid w:val="00F21250"/>
    <w:rsid w:val="00F218D3"/>
    <w:rsid w:val="00F239DC"/>
    <w:rsid w:val="00F23B6F"/>
    <w:rsid w:val="00F2566E"/>
    <w:rsid w:val="00F26043"/>
    <w:rsid w:val="00F2620D"/>
    <w:rsid w:val="00F269C8"/>
    <w:rsid w:val="00F278F0"/>
    <w:rsid w:val="00F30398"/>
    <w:rsid w:val="00F31F8B"/>
    <w:rsid w:val="00F32741"/>
    <w:rsid w:val="00F34043"/>
    <w:rsid w:val="00F3587B"/>
    <w:rsid w:val="00F37FD8"/>
    <w:rsid w:val="00F407E6"/>
    <w:rsid w:val="00F41537"/>
    <w:rsid w:val="00F4268D"/>
    <w:rsid w:val="00F42FD8"/>
    <w:rsid w:val="00F436A9"/>
    <w:rsid w:val="00F43CCB"/>
    <w:rsid w:val="00F45F6F"/>
    <w:rsid w:val="00F476A8"/>
    <w:rsid w:val="00F47D2A"/>
    <w:rsid w:val="00F5088E"/>
    <w:rsid w:val="00F51293"/>
    <w:rsid w:val="00F516C6"/>
    <w:rsid w:val="00F518FD"/>
    <w:rsid w:val="00F519E1"/>
    <w:rsid w:val="00F52408"/>
    <w:rsid w:val="00F52792"/>
    <w:rsid w:val="00F52C47"/>
    <w:rsid w:val="00F53869"/>
    <w:rsid w:val="00F53FB8"/>
    <w:rsid w:val="00F5436A"/>
    <w:rsid w:val="00F551D8"/>
    <w:rsid w:val="00F55C53"/>
    <w:rsid w:val="00F6037F"/>
    <w:rsid w:val="00F61550"/>
    <w:rsid w:val="00F6199E"/>
    <w:rsid w:val="00F62647"/>
    <w:rsid w:val="00F628CD"/>
    <w:rsid w:val="00F6348B"/>
    <w:rsid w:val="00F64928"/>
    <w:rsid w:val="00F64D2E"/>
    <w:rsid w:val="00F64E59"/>
    <w:rsid w:val="00F65D36"/>
    <w:rsid w:val="00F66A2A"/>
    <w:rsid w:val="00F67141"/>
    <w:rsid w:val="00F720F5"/>
    <w:rsid w:val="00F72A75"/>
    <w:rsid w:val="00F73851"/>
    <w:rsid w:val="00F801E9"/>
    <w:rsid w:val="00F82303"/>
    <w:rsid w:val="00F85314"/>
    <w:rsid w:val="00F86129"/>
    <w:rsid w:val="00F91362"/>
    <w:rsid w:val="00F91A35"/>
    <w:rsid w:val="00F91B91"/>
    <w:rsid w:val="00F93647"/>
    <w:rsid w:val="00F9371C"/>
    <w:rsid w:val="00F938B4"/>
    <w:rsid w:val="00F93F9F"/>
    <w:rsid w:val="00F94260"/>
    <w:rsid w:val="00F952E0"/>
    <w:rsid w:val="00F9579F"/>
    <w:rsid w:val="00F978F5"/>
    <w:rsid w:val="00F97D4F"/>
    <w:rsid w:val="00F97E9C"/>
    <w:rsid w:val="00FA08A5"/>
    <w:rsid w:val="00FA1BF8"/>
    <w:rsid w:val="00FA2545"/>
    <w:rsid w:val="00FA2991"/>
    <w:rsid w:val="00FA44C8"/>
    <w:rsid w:val="00FA63EA"/>
    <w:rsid w:val="00FA7547"/>
    <w:rsid w:val="00FB03C9"/>
    <w:rsid w:val="00FB1FD3"/>
    <w:rsid w:val="00FB24CE"/>
    <w:rsid w:val="00FB2DFB"/>
    <w:rsid w:val="00FB51A5"/>
    <w:rsid w:val="00FB5721"/>
    <w:rsid w:val="00FB5C3D"/>
    <w:rsid w:val="00FB6AC0"/>
    <w:rsid w:val="00FB731D"/>
    <w:rsid w:val="00FC00D8"/>
    <w:rsid w:val="00FC16E7"/>
    <w:rsid w:val="00FC2902"/>
    <w:rsid w:val="00FC2B02"/>
    <w:rsid w:val="00FC3206"/>
    <w:rsid w:val="00FC4BC7"/>
    <w:rsid w:val="00FC51D4"/>
    <w:rsid w:val="00FC5470"/>
    <w:rsid w:val="00FC6982"/>
    <w:rsid w:val="00FC6E9D"/>
    <w:rsid w:val="00FC736D"/>
    <w:rsid w:val="00FD0D96"/>
    <w:rsid w:val="00FD156C"/>
    <w:rsid w:val="00FD1B05"/>
    <w:rsid w:val="00FD43AA"/>
    <w:rsid w:val="00FD4EF0"/>
    <w:rsid w:val="00FD572A"/>
    <w:rsid w:val="00FD640D"/>
    <w:rsid w:val="00FD6E9E"/>
    <w:rsid w:val="00FE3112"/>
    <w:rsid w:val="00FE3475"/>
    <w:rsid w:val="00FE3578"/>
    <w:rsid w:val="00FE3C03"/>
    <w:rsid w:val="00FE5522"/>
    <w:rsid w:val="00FE5B89"/>
    <w:rsid w:val="00FE5CB4"/>
    <w:rsid w:val="00FE63C7"/>
    <w:rsid w:val="00FE6471"/>
    <w:rsid w:val="00FE6726"/>
    <w:rsid w:val="00FF093E"/>
    <w:rsid w:val="00FF28E4"/>
    <w:rsid w:val="00FF3D89"/>
    <w:rsid w:val="00FF47AF"/>
    <w:rsid w:val="00FF4D9E"/>
    <w:rsid w:val="00FF66F4"/>
    <w:rsid w:val="00FF71F9"/>
    <w:rsid w:val="00FF78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668BD"/>
    <w:pPr>
      <w:spacing w:before="120" w:line="276" w:lineRule="auto"/>
    </w:pPr>
    <w:rPr>
      <w:lang w:val="en-NZ" w:eastAsia="en-US"/>
    </w:rPr>
  </w:style>
  <w:style w:type="paragraph" w:styleId="Heading1">
    <w:name w:val="heading 1"/>
    <w:basedOn w:val="Normal"/>
    <w:next w:val="Normal"/>
    <w:link w:val="Heading1Char"/>
    <w:autoRedefine/>
    <w:uiPriority w:val="99"/>
    <w:qFormat/>
    <w:rsid w:val="004A1669"/>
    <w:pPr>
      <w:keepNext/>
      <w:spacing w:before="480" w:after="180"/>
      <w:outlineLvl w:val="0"/>
    </w:pPr>
    <w:rPr>
      <w:rFonts w:ascii="Cambria" w:hAnsi="Cambria"/>
      <w:b/>
      <w:bCs/>
      <w:color w:val="365F91"/>
      <w:sz w:val="32"/>
      <w:szCs w:val="28"/>
    </w:rPr>
  </w:style>
  <w:style w:type="paragraph" w:styleId="Heading2">
    <w:name w:val="heading 2"/>
    <w:basedOn w:val="Normal"/>
    <w:next w:val="Normal"/>
    <w:link w:val="Heading2Char"/>
    <w:autoRedefine/>
    <w:uiPriority w:val="99"/>
    <w:qFormat/>
    <w:rsid w:val="00541BF3"/>
    <w:pPr>
      <w:keepNext/>
      <w:keepLines/>
      <w:spacing w:before="300"/>
      <w:outlineLvl w:val="1"/>
    </w:pPr>
    <w:rPr>
      <w:rFonts w:ascii="Cambria" w:hAnsi="Cambria"/>
      <w:b/>
      <w:bCs/>
      <w:color w:val="4F81BD"/>
      <w:sz w:val="28"/>
      <w:szCs w:val="26"/>
    </w:rPr>
  </w:style>
  <w:style w:type="paragraph" w:styleId="Heading3">
    <w:name w:val="heading 3"/>
    <w:basedOn w:val="Normal"/>
    <w:next w:val="Normal"/>
    <w:link w:val="Heading3Char"/>
    <w:autoRedefine/>
    <w:uiPriority w:val="99"/>
    <w:qFormat/>
    <w:rsid w:val="00054FB8"/>
    <w:pPr>
      <w:keepNext/>
      <w:keepLines/>
      <w:spacing w:before="240" w:after="180"/>
      <w:outlineLvl w:val="2"/>
    </w:pPr>
    <w:rPr>
      <w:rFonts w:ascii="Cambria" w:hAnsi="Cambria"/>
      <w:b/>
      <w:bCs/>
      <w:color w:val="4F81BD"/>
      <w:sz w:val="24"/>
    </w:rPr>
  </w:style>
  <w:style w:type="paragraph" w:styleId="Heading4">
    <w:name w:val="heading 4"/>
    <w:basedOn w:val="Normal"/>
    <w:next w:val="Normal"/>
    <w:link w:val="Heading4Char"/>
    <w:uiPriority w:val="99"/>
    <w:qFormat/>
    <w:rsid w:val="00B55303"/>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B55303"/>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B55303"/>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B55303"/>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B55303"/>
    <w:pPr>
      <w:keepNext/>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9"/>
    <w:qFormat/>
    <w:rsid w:val="00B5530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1669"/>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41BF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54FB8"/>
    <w:rPr>
      <w:rFonts w:ascii="Cambria" w:hAnsi="Cambria" w:cs="Times New Roman"/>
      <w:b/>
      <w:bCs/>
      <w:color w:val="4F81BD"/>
      <w:sz w:val="24"/>
    </w:rPr>
  </w:style>
  <w:style w:type="character" w:customStyle="1" w:styleId="Heading4Char">
    <w:name w:val="Heading 4 Char"/>
    <w:basedOn w:val="DefaultParagraphFont"/>
    <w:link w:val="Heading4"/>
    <w:uiPriority w:val="99"/>
    <w:semiHidden/>
    <w:locked/>
    <w:rsid w:val="00B55303"/>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B55303"/>
    <w:rPr>
      <w:rFonts w:ascii="Cambria" w:hAnsi="Cambria" w:cs="Times New Roman"/>
      <w:color w:val="243F60"/>
    </w:rPr>
  </w:style>
  <w:style w:type="character" w:customStyle="1" w:styleId="Heading6Char">
    <w:name w:val="Heading 6 Char"/>
    <w:basedOn w:val="DefaultParagraphFont"/>
    <w:link w:val="Heading6"/>
    <w:uiPriority w:val="99"/>
    <w:semiHidden/>
    <w:locked/>
    <w:rsid w:val="00B55303"/>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B55303"/>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B55303"/>
    <w:rPr>
      <w:rFonts w:ascii="Cambria" w:hAnsi="Cambria" w:cs="Times New Roman"/>
      <w:color w:val="4F81BD"/>
      <w:sz w:val="20"/>
      <w:szCs w:val="20"/>
    </w:rPr>
  </w:style>
  <w:style w:type="character" w:customStyle="1" w:styleId="Heading9Char">
    <w:name w:val="Heading 9 Char"/>
    <w:basedOn w:val="DefaultParagraphFont"/>
    <w:link w:val="Heading9"/>
    <w:uiPriority w:val="99"/>
    <w:semiHidden/>
    <w:locked/>
    <w:rsid w:val="00B55303"/>
    <w:rPr>
      <w:rFonts w:ascii="Cambria" w:hAnsi="Cambria" w:cs="Times New Roman"/>
      <w:i/>
      <w:iCs/>
      <w:color w:val="404040"/>
      <w:sz w:val="20"/>
      <w:szCs w:val="20"/>
    </w:rPr>
  </w:style>
  <w:style w:type="paragraph" w:styleId="BalloonText">
    <w:name w:val="Balloon Text"/>
    <w:basedOn w:val="Normal"/>
    <w:link w:val="BalloonTextChar"/>
    <w:uiPriority w:val="99"/>
    <w:semiHidden/>
    <w:rsid w:val="003E6A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6AF1"/>
    <w:rPr>
      <w:rFonts w:ascii="Tahoma" w:hAnsi="Tahoma" w:cs="Tahoma"/>
      <w:sz w:val="16"/>
      <w:szCs w:val="16"/>
      <w:lang w:val="en-GB"/>
    </w:rPr>
  </w:style>
  <w:style w:type="paragraph" w:styleId="BodyText">
    <w:name w:val="Body Text"/>
    <w:basedOn w:val="Normal"/>
    <w:link w:val="BodyTextChar"/>
    <w:uiPriority w:val="99"/>
    <w:rsid w:val="003E6AF1"/>
  </w:style>
  <w:style w:type="character" w:customStyle="1" w:styleId="BodyTextChar">
    <w:name w:val="Body Text Char"/>
    <w:basedOn w:val="DefaultParagraphFont"/>
    <w:link w:val="BodyText"/>
    <w:uiPriority w:val="99"/>
    <w:locked/>
    <w:rsid w:val="003E6AF1"/>
    <w:rPr>
      <w:rFonts w:ascii="Times New Roman" w:hAnsi="Times New Roman" w:cs="Times New Roman"/>
      <w:sz w:val="20"/>
      <w:szCs w:val="20"/>
      <w:lang w:val="en-GB"/>
    </w:rPr>
  </w:style>
  <w:style w:type="paragraph" w:styleId="ListParagraph">
    <w:name w:val="List Paragraph"/>
    <w:basedOn w:val="Normal"/>
    <w:uiPriority w:val="99"/>
    <w:qFormat/>
    <w:rsid w:val="00B55303"/>
    <w:pPr>
      <w:ind w:left="720"/>
      <w:contextualSpacing/>
    </w:pPr>
  </w:style>
  <w:style w:type="character" w:styleId="CommentReference">
    <w:name w:val="annotation reference"/>
    <w:basedOn w:val="DefaultParagraphFont"/>
    <w:uiPriority w:val="99"/>
    <w:semiHidden/>
    <w:rsid w:val="00AC4409"/>
    <w:rPr>
      <w:rFonts w:cs="Times New Roman"/>
      <w:sz w:val="16"/>
      <w:szCs w:val="16"/>
    </w:rPr>
  </w:style>
  <w:style w:type="paragraph" w:styleId="CommentText">
    <w:name w:val="annotation text"/>
    <w:basedOn w:val="Normal"/>
    <w:link w:val="CommentTextChar"/>
    <w:uiPriority w:val="99"/>
    <w:semiHidden/>
    <w:rsid w:val="00AC4409"/>
    <w:pPr>
      <w:spacing w:line="240" w:lineRule="auto"/>
    </w:pPr>
    <w:rPr>
      <w:sz w:val="20"/>
    </w:rPr>
  </w:style>
  <w:style w:type="character" w:customStyle="1" w:styleId="CommentTextChar">
    <w:name w:val="Comment Text Char"/>
    <w:basedOn w:val="DefaultParagraphFont"/>
    <w:link w:val="CommentText"/>
    <w:uiPriority w:val="99"/>
    <w:semiHidden/>
    <w:locked/>
    <w:rsid w:val="00AC440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AC4409"/>
    <w:rPr>
      <w:b/>
      <w:bCs/>
    </w:rPr>
  </w:style>
  <w:style w:type="character" w:customStyle="1" w:styleId="CommentSubjectChar">
    <w:name w:val="Comment Subject Char"/>
    <w:basedOn w:val="CommentTextChar"/>
    <w:link w:val="CommentSubject"/>
    <w:uiPriority w:val="99"/>
    <w:semiHidden/>
    <w:locked/>
    <w:rsid w:val="00AC4409"/>
    <w:rPr>
      <w:rFonts w:ascii="Times New Roman" w:hAnsi="Times New Roman" w:cs="Times New Roman"/>
      <w:b/>
      <w:bCs/>
      <w:sz w:val="20"/>
      <w:szCs w:val="20"/>
      <w:lang w:val="en-GB"/>
    </w:rPr>
  </w:style>
  <w:style w:type="paragraph" w:styleId="Revision">
    <w:name w:val="Revision"/>
    <w:hidden/>
    <w:uiPriority w:val="99"/>
    <w:semiHidden/>
    <w:rsid w:val="00AC4409"/>
    <w:rPr>
      <w:rFonts w:ascii="Times New Roman" w:hAnsi="Times New Roman"/>
      <w:szCs w:val="20"/>
      <w:lang w:val="en-GB" w:eastAsia="en-US"/>
    </w:rPr>
  </w:style>
  <w:style w:type="table" w:styleId="TableGrid">
    <w:name w:val="Table Grid"/>
    <w:basedOn w:val="TableNormal"/>
    <w:uiPriority w:val="99"/>
    <w:rsid w:val="00C812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9B5EA9"/>
    <w:pPr>
      <w:spacing w:line="240" w:lineRule="auto"/>
    </w:pPr>
    <w:rPr>
      <w:sz w:val="20"/>
    </w:rPr>
  </w:style>
  <w:style w:type="character" w:customStyle="1" w:styleId="FootnoteTextChar">
    <w:name w:val="Footnote Text Char"/>
    <w:basedOn w:val="DefaultParagraphFont"/>
    <w:link w:val="FootnoteText"/>
    <w:uiPriority w:val="99"/>
    <w:locked/>
    <w:rsid w:val="009B5EA9"/>
    <w:rPr>
      <w:rFonts w:ascii="Times New Roman" w:hAnsi="Times New Roman" w:cs="Times New Roman"/>
      <w:sz w:val="20"/>
      <w:szCs w:val="20"/>
      <w:lang w:val="en-GB"/>
    </w:rPr>
  </w:style>
  <w:style w:type="character" w:styleId="FootnoteReference">
    <w:name w:val="footnote reference"/>
    <w:basedOn w:val="DefaultParagraphFont"/>
    <w:uiPriority w:val="99"/>
    <w:semiHidden/>
    <w:rsid w:val="009B5EA9"/>
    <w:rPr>
      <w:rFonts w:cs="Times New Roman"/>
      <w:vertAlign w:val="superscript"/>
    </w:rPr>
  </w:style>
  <w:style w:type="paragraph" w:styleId="NoSpacing">
    <w:name w:val="No Spacing"/>
    <w:uiPriority w:val="99"/>
    <w:qFormat/>
    <w:rsid w:val="00B55303"/>
    <w:rPr>
      <w:lang w:val="en-NZ" w:eastAsia="en-US"/>
    </w:rPr>
  </w:style>
  <w:style w:type="paragraph" w:styleId="EndnoteText">
    <w:name w:val="endnote text"/>
    <w:basedOn w:val="Normal"/>
    <w:link w:val="EndnoteTextChar"/>
    <w:uiPriority w:val="99"/>
    <w:semiHidden/>
    <w:rsid w:val="00681863"/>
    <w:pPr>
      <w:spacing w:line="240" w:lineRule="auto"/>
    </w:pPr>
    <w:rPr>
      <w:sz w:val="20"/>
    </w:rPr>
  </w:style>
  <w:style w:type="character" w:customStyle="1" w:styleId="EndnoteTextChar">
    <w:name w:val="Endnote Text Char"/>
    <w:basedOn w:val="DefaultParagraphFont"/>
    <w:link w:val="EndnoteText"/>
    <w:uiPriority w:val="99"/>
    <w:semiHidden/>
    <w:locked/>
    <w:rsid w:val="00681863"/>
    <w:rPr>
      <w:rFonts w:ascii="Times New Roman" w:hAnsi="Times New Roman" w:cs="Times New Roman"/>
      <w:sz w:val="20"/>
      <w:szCs w:val="20"/>
      <w:lang w:val="en-GB"/>
    </w:rPr>
  </w:style>
  <w:style w:type="character" w:styleId="EndnoteReference">
    <w:name w:val="endnote reference"/>
    <w:basedOn w:val="DefaultParagraphFont"/>
    <w:uiPriority w:val="99"/>
    <w:semiHidden/>
    <w:rsid w:val="00681863"/>
    <w:rPr>
      <w:rFonts w:cs="Times New Roman"/>
      <w:vertAlign w:val="superscript"/>
    </w:rPr>
  </w:style>
  <w:style w:type="paragraph" w:customStyle="1" w:styleId="Default">
    <w:name w:val="Default"/>
    <w:uiPriority w:val="99"/>
    <w:rsid w:val="00681863"/>
    <w:pPr>
      <w:autoSpaceDE w:val="0"/>
      <w:autoSpaceDN w:val="0"/>
      <w:adjustRightInd w:val="0"/>
    </w:pPr>
    <w:rPr>
      <w:rFonts w:ascii="Cambria" w:hAnsi="Cambria" w:cs="Cambria"/>
      <w:color w:val="000000"/>
      <w:sz w:val="24"/>
      <w:szCs w:val="24"/>
      <w:lang w:val="en-NZ" w:eastAsia="en-US"/>
    </w:rPr>
  </w:style>
  <w:style w:type="character" w:styleId="Hyperlink">
    <w:name w:val="Hyperlink"/>
    <w:basedOn w:val="DefaultParagraphFont"/>
    <w:uiPriority w:val="99"/>
    <w:rsid w:val="00B616D9"/>
    <w:rPr>
      <w:rFonts w:cs="Times New Roman"/>
      <w:color w:val="0000FF"/>
      <w:u w:val="single"/>
    </w:rPr>
  </w:style>
  <w:style w:type="paragraph" w:styleId="Header">
    <w:name w:val="header"/>
    <w:basedOn w:val="Normal"/>
    <w:link w:val="HeaderChar"/>
    <w:uiPriority w:val="99"/>
    <w:rsid w:val="005C387A"/>
    <w:pPr>
      <w:tabs>
        <w:tab w:val="center" w:pos="4513"/>
        <w:tab w:val="right" w:pos="9026"/>
      </w:tabs>
      <w:spacing w:line="240" w:lineRule="auto"/>
    </w:pPr>
  </w:style>
  <w:style w:type="character" w:customStyle="1" w:styleId="HeaderChar">
    <w:name w:val="Header Char"/>
    <w:basedOn w:val="DefaultParagraphFont"/>
    <w:link w:val="Header"/>
    <w:uiPriority w:val="99"/>
    <w:locked/>
    <w:rsid w:val="005C387A"/>
    <w:rPr>
      <w:rFonts w:ascii="Times New Roman" w:hAnsi="Times New Roman" w:cs="Times New Roman"/>
      <w:sz w:val="20"/>
      <w:szCs w:val="20"/>
      <w:lang w:val="en-GB"/>
    </w:rPr>
  </w:style>
  <w:style w:type="paragraph" w:styleId="Footer">
    <w:name w:val="footer"/>
    <w:basedOn w:val="Normal"/>
    <w:link w:val="FooterChar"/>
    <w:uiPriority w:val="99"/>
    <w:rsid w:val="005C387A"/>
    <w:pPr>
      <w:tabs>
        <w:tab w:val="center" w:pos="4513"/>
        <w:tab w:val="right" w:pos="9026"/>
      </w:tabs>
      <w:spacing w:line="240" w:lineRule="auto"/>
    </w:pPr>
  </w:style>
  <w:style w:type="character" w:customStyle="1" w:styleId="FooterChar">
    <w:name w:val="Footer Char"/>
    <w:basedOn w:val="DefaultParagraphFont"/>
    <w:link w:val="Footer"/>
    <w:uiPriority w:val="99"/>
    <w:locked/>
    <w:rsid w:val="005C387A"/>
    <w:rPr>
      <w:rFonts w:ascii="Times New Roman" w:hAnsi="Times New Roman" w:cs="Times New Roman"/>
      <w:sz w:val="20"/>
      <w:szCs w:val="20"/>
      <w:lang w:val="en-GB"/>
    </w:rPr>
  </w:style>
  <w:style w:type="paragraph" w:styleId="TOCHeading">
    <w:name w:val="TOC Heading"/>
    <w:basedOn w:val="Heading1"/>
    <w:next w:val="Normal"/>
    <w:uiPriority w:val="99"/>
    <w:qFormat/>
    <w:rsid w:val="00B55303"/>
    <w:pPr>
      <w:outlineLvl w:val="9"/>
    </w:pPr>
  </w:style>
  <w:style w:type="paragraph" w:styleId="TOC1">
    <w:name w:val="toc 1"/>
    <w:basedOn w:val="Normal"/>
    <w:next w:val="Normal"/>
    <w:autoRedefine/>
    <w:uiPriority w:val="99"/>
    <w:rsid w:val="00B23F1B"/>
    <w:pPr>
      <w:tabs>
        <w:tab w:val="right" w:leader="dot" w:pos="9016"/>
      </w:tabs>
      <w:spacing w:before="80"/>
    </w:pPr>
    <w:rPr>
      <w:b/>
      <w:noProof/>
    </w:rPr>
  </w:style>
  <w:style w:type="character" w:customStyle="1" w:styleId="apple-style-span">
    <w:name w:val="apple-style-span"/>
    <w:basedOn w:val="DefaultParagraphFont"/>
    <w:uiPriority w:val="99"/>
    <w:rsid w:val="00502F51"/>
    <w:rPr>
      <w:rFonts w:cs="Times New Roman"/>
    </w:rPr>
  </w:style>
  <w:style w:type="character" w:customStyle="1" w:styleId="apple-converted-space">
    <w:name w:val="apple-converted-space"/>
    <w:basedOn w:val="DefaultParagraphFont"/>
    <w:uiPriority w:val="99"/>
    <w:rsid w:val="00502F51"/>
    <w:rPr>
      <w:rFonts w:cs="Times New Roman"/>
    </w:rPr>
  </w:style>
  <w:style w:type="character" w:customStyle="1" w:styleId="linkinfo">
    <w:name w:val="link_info"/>
    <w:basedOn w:val="DefaultParagraphFont"/>
    <w:uiPriority w:val="99"/>
    <w:rsid w:val="00502F51"/>
    <w:rPr>
      <w:rFonts w:cs="Times New Roman"/>
    </w:rPr>
  </w:style>
  <w:style w:type="paragraph" w:styleId="TOC3">
    <w:name w:val="toc 3"/>
    <w:basedOn w:val="Normal"/>
    <w:next w:val="Normal"/>
    <w:autoRedefine/>
    <w:uiPriority w:val="99"/>
    <w:rsid w:val="00B23F1B"/>
    <w:pPr>
      <w:tabs>
        <w:tab w:val="right" w:leader="dot" w:pos="9016"/>
      </w:tabs>
      <w:spacing w:before="20"/>
      <w:ind w:left="442"/>
    </w:pPr>
  </w:style>
  <w:style w:type="paragraph" w:styleId="Caption">
    <w:name w:val="caption"/>
    <w:basedOn w:val="Normal"/>
    <w:next w:val="Normal"/>
    <w:uiPriority w:val="99"/>
    <w:qFormat/>
    <w:rsid w:val="00B55303"/>
    <w:pPr>
      <w:spacing w:line="240" w:lineRule="auto"/>
    </w:pPr>
    <w:rPr>
      <w:b/>
      <w:bCs/>
      <w:color w:val="4F81BD"/>
      <w:sz w:val="18"/>
      <w:szCs w:val="18"/>
    </w:rPr>
  </w:style>
  <w:style w:type="paragraph" w:styleId="Title">
    <w:name w:val="Title"/>
    <w:basedOn w:val="Normal"/>
    <w:next w:val="Normal"/>
    <w:link w:val="TitleChar"/>
    <w:uiPriority w:val="99"/>
    <w:qFormat/>
    <w:rsid w:val="00B5530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B55303"/>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B55303"/>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B55303"/>
    <w:rPr>
      <w:rFonts w:ascii="Cambria" w:hAnsi="Cambria" w:cs="Times New Roman"/>
      <w:i/>
      <w:iCs/>
      <w:color w:val="4F81BD"/>
      <w:spacing w:val="15"/>
      <w:sz w:val="24"/>
      <w:szCs w:val="24"/>
    </w:rPr>
  </w:style>
  <w:style w:type="character" w:styleId="Strong">
    <w:name w:val="Strong"/>
    <w:basedOn w:val="DefaultParagraphFont"/>
    <w:uiPriority w:val="99"/>
    <w:qFormat/>
    <w:rsid w:val="00B55303"/>
    <w:rPr>
      <w:rFonts w:cs="Times New Roman"/>
      <w:b/>
      <w:bCs/>
    </w:rPr>
  </w:style>
  <w:style w:type="character" w:styleId="Emphasis">
    <w:name w:val="Emphasis"/>
    <w:basedOn w:val="DefaultParagraphFont"/>
    <w:uiPriority w:val="99"/>
    <w:qFormat/>
    <w:rsid w:val="00B55303"/>
    <w:rPr>
      <w:rFonts w:cs="Times New Roman"/>
      <w:i/>
      <w:iCs/>
    </w:rPr>
  </w:style>
  <w:style w:type="paragraph" w:styleId="Quote">
    <w:name w:val="Quote"/>
    <w:basedOn w:val="Normal"/>
    <w:next w:val="Normal"/>
    <w:link w:val="QuoteChar"/>
    <w:uiPriority w:val="99"/>
    <w:qFormat/>
    <w:rsid w:val="00B55303"/>
    <w:rPr>
      <w:i/>
      <w:iCs/>
      <w:color w:val="000000"/>
    </w:rPr>
  </w:style>
  <w:style w:type="character" w:customStyle="1" w:styleId="QuoteChar">
    <w:name w:val="Quote Char"/>
    <w:basedOn w:val="DefaultParagraphFont"/>
    <w:link w:val="Quote"/>
    <w:uiPriority w:val="99"/>
    <w:locked/>
    <w:rsid w:val="00B55303"/>
    <w:rPr>
      <w:rFonts w:cs="Times New Roman"/>
      <w:i/>
      <w:iCs/>
      <w:color w:val="000000"/>
    </w:rPr>
  </w:style>
  <w:style w:type="paragraph" w:styleId="IntenseQuote">
    <w:name w:val="Intense Quote"/>
    <w:basedOn w:val="Normal"/>
    <w:next w:val="Normal"/>
    <w:link w:val="IntenseQuoteChar"/>
    <w:uiPriority w:val="99"/>
    <w:qFormat/>
    <w:rsid w:val="00B5530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55303"/>
    <w:rPr>
      <w:rFonts w:cs="Times New Roman"/>
      <w:b/>
      <w:bCs/>
      <w:i/>
      <w:iCs/>
      <w:color w:val="4F81BD"/>
    </w:rPr>
  </w:style>
  <w:style w:type="character" w:styleId="SubtleEmphasis">
    <w:name w:val="Subtle Emphasis"/>
    <w:basedOn w:val="DefaultParagraphFont"/>
    <w:uiPriority w:val="99"/>
    <w:qFormat/>
    <w:rsid w:val="00B55303"/>
    <w:rPr>
      <w:rFonts w:cs="Times New Roman"/>
      <w:i/>
      <w:iCs/>
      <w:color w:val="808080"/>
    </w:rPr>
  </w:style>
  <w:style w:type="character" w:styleId="IntenseEmphasis">
    <w:name w:val="Intense Emphasis"/>
    <w:basedOn w:val="DefaultParagraphFont"/>
    <w:uiPriority w:val="99"/>
    <w:qFormat/>
    <w:rsid w:val="00B55303"/>
    <w:rPr>
      <w:rFonts w:cs="Times New Roman"/>
      <w:b/>
      <w:bCs/>
      <w:i/>
      <w:iCs/>
      <w:color w:val="4F81BD"/>
    </w:rPr>
  </w:style>
  <w:style w:type="character" w:styleId="SubtleReference">
    <w:name w:val="Subtle Reference"/>
    <w:basedOn w:val="DefaultParagraphFont"/>
    <w:uiPriority w:val="99"/>
    <w:qFormat/>
    <w:rsid w:val="00B55303"/>
    <w:rPr>
      <w:rFonts w:cs="Times New Roman"/>
      <w:smallCaps/>
      <w:color w:val="C0504D"/>
      <w:u w:val="single"/>
    </w:rPr>
  </w:style>
  <w:style w:type="character" w:styleId="IntenseReference">
    <w:name w:val="Intense Reference"/>
    <w:basedOn w:val="DefaultParagraphFont"/>
    <w:uiPriority w:val="99"/>
    <w:qFormat/>
    <w:rsid w:val="00B55303"/>
    <w:rPr>
      <w:rFonts w:cs="Times New Roman"/>
      <w:b/>
      <w:bCs/>
      <w:smallCaps/>
      <w:color w:val="C0504D"/>
      <w:spacing w:val="5"/>
      <w:u w:val="single"/>
    </w:rPr>
  </w:style>
  <w:style w:type="character" w:styleId="BookTitle">
    <w:name w:val="Book Title"/>
    <w:basedOn w:val="DefaultParagraphFont"/>
    <w:uiPriority w:val="99"/>
    <w:qFormat/>
    <w:rsid w:val="00B55303"/>
    <w:rPr>
      <w:rFonts w:cs="Times New Roman"/>
      <w:b/>
      <w:bCs/>
      <w:smallCaps/>
      <w:spacing w:val="5"/>
    </w:rPr>
  </w:style>
  <w:style w:type="paragraph" w:styleId="TOC2">
    <w:name w:val="toc 2"/>
    <w:basedOn w:val="Normal"/>
    <w:next w:val="Normal"/>
    <w:autoRedefine/>
    <w:uiPriority w:val="99"/>
    <w:rsid w:val="00B23F1B"/>
    <w:pPr>
      <w:tabs>
        <w:tab w:val="right" w:leader="dot" w:pos="9015"/>
        <w:tab w:val="right" w:leader="dot" w:pos="9684"/>
      </w:tabs>
      <w:spacing w:before="40"/>
      <w:ind w:left="221"/>
    </w:pPr>
  </w:style>
  <w:style w:type="character" w:customStyle="1" w:styleId="Style11ptBlack">
    <w:name w:val="Style 11 pt Black"/>
    <w:uiPriority w:val="99"/>
    <w:rsid w:val="00333FC5"/>
    <w:rPr>
      <w:rFonts w:ascii="Arial" w:hAnsi="Arial"/>
      <w:color w:val="000000"/>
      <w:sz w:val="21"/>
    </w:rPr>
  </w:style>
  <w:style w:type="paragraph" w:styleId="TOC4">
    <w:name w:val="toc 4"/>
    <w:basedOn w:val="Normal"/>
    <w:next w:val="Normal"/>
    <w:autoRedefine/>
    <w:uiPriority w:val="99"/>
    <w:rsid w:val="00533CEF"/>
    <w:pPr>
      <w:spacing w:before="0" w:after="100"/>
      <w:ind w:left="660"/>
    </w:pPr>
    <w:rPr>
      <w:lang w:val="en-AU" w:eastAsia="en-AU"/>
    </w:rPr>
  </w:style>
  <w:style w:type="paragraph" w:styleId="TOC5">
    <w:name w:val="toc 5"/>
    <w:basedOn w:val="Normal"/>
    <w:next w:val="Normal"/>
    <w:autoRedefine/>
    <w:uiPriority w:val="99"/>
    <w:rsid w:val="00533CEF"/>
    <w:pPr>
      <w:spacing w:before="0" w:after="100"/>
      <w:ind w:left="880"/>
    </w:pPr>
    <w:rPr>
      <w:lang w:val="en-AU" w:eastAsia="en-AU"/>
    </w:rPr>
  </w:style>
  <w:style w:type="paragraph" w:styleId="TOC6">
    <w:name w:val="toc 6"/>
    <w:basedOn w:val="Normal"/>
    <w:next w:val="Normal"/>
    <w:autoRedefine/>
    <w:uiPriority w:val="99"/>
    <w:rsid w:val="00533CEF"/>
    <w:pPr>
      <w:spacing w:before="0" w:after="100"/>
      <w:ind w:left="1100"/>
    </w:pPr>
    <w:rPr>
      <w:lang w:val="en-AU" w:eastAsia="en-AU"/>
    </w:rPr>
  </w:style>
  <w:style w:type="paragraph" w:styleId="TOC7">
    <w:name w:val="toc 7"/>
    <w:basedOn w:val="Normal"/>
    <w:next w:val="Normal"/>
    <w:autoRedefine/>
    <w:uiPriority w:val="99"/>
    <w:rsid w:val="00533CEF"/>
    <w:pPr>
      <w:spacing w:before="0" w:after="100"/>
      <w:ind w:left="1320"/>
    </w:pPr>
    <w:rPr>
      <w:lang w:val="en-AU" w:eastAsia="en-AU"/>
    </w:rPr>
  </w:style>
  <w:style w:type="paragraph" w:styleId="TOC8">
    <w:name w:val="toc 8"/>
    <w:basedOn w:val="Normal"/>
    <w:next w:val="Normal"/>
    <w:autoRedefine/>
    <w:uiPriority w:val="99"/>
    <w:rsid w:val="00533CEF"/>
    <w:pPr>
      <w:spacing w:before="0" w:after="100"/>
      <w:ind w:left="1540"/>
    </w:pPr>
    <w:rPr>
      <w:lang w:val="en-AU" w:eastAsia="en-AU"/>
    </w:rPr>
  </w:style>
  <w:style w:type="paragraph" w:styleId="TOC9">
    <w:name w:val="toc 9"/>
    <w:basedOn w:val="Normal"/>
    <w:next w:val="Normal"/>
    <w:autoRedefine/>
    <w:uiPriority w:val="99"/>
    <w:rsid w:val="00533CEF"/>
    <w:pPr>
      <w:spacing w:before="0" w:after="100"/>
      <w:ind w:left="1760"/>
    </w:pPr>
    <w:rPr>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636742">
      <w:marLeft w:val="0"/>
      <w:marRight w:val="0"/>
      <w:marTop w:val="0"/>
      <w:marBottom w:val="0"/>
      <w:divBdr>
        <w:top w:val="none" w:sz="0" w:space="0" w:color="auto"/>
        <w:left w:val="none" w:sz="0" w:space="0" w:color="auto"/>
        <w:bottom w:val="none" w:sz="0" w:space="0" w:color="auto"/>
        <w:right w:val="none" w:sz="0" w:space="0" w:color="auto"/>
      </w:divBdr>
    </w:div>
    <w:div w:id="1381636743">
      <w:marLeft w:val="0"/>
      <w:marRight w:val="0"/>
      <w:marTop w:val="0"/>
      <w:marBottom w:val="0"/>
      <w:divBdr>
        <w:top w:val="none" w:sz="0" w:space="0" w:color="auto"/>
        <w:left w:val="none" w:sz="0" w:space="0" w:color="auto"/>
        <w:bottom w:val="none" w:sz="0" w:space="0" w:color="auto"/>
        <w:right w:val="none" w:sz="0" w:space="0" w:color="auto"/>
      </w:divBdr>
    </w:div>
    <w:div w:id="1381636744">
      <w:marLeft w:val="0"/>
      <w:marRight w:val="0"/>
      <w:marTop w:val="0"/>
      <w:marBottom w:val="0"/>
      <w:divBdr>
        <w:top w:val="none" w:sz="0" w:space="0" w:color="auto"/>
        <w:left w:val="none" w:sz="0" w:space="0" w:color="auto"/>
        <w:bottom w:val="none" w:sz="0" w:space="0" w:color="auto"/>
        <w:right w:val="none" w:sz="0" w:space="0" w:color="auto"/>
      </w:divBdr>
    </w:div>
    <w:div w:id="1381636745">
      <w:marLeft w:val="0"/>
      <w:marRight w:val="0"/>
      <w:marTop w:val="0"/>
      <w:marBottom w:val="0"/>
      <w:divBdr>
        <w:top w:val="none" w:sz="0" w:space="0" w:color="auto"/>
        <w:left w:val="none" w:sz="0" w:space="0" w:color="auto"/>
        <w:bottom w:val="none" w:sz="0" w:space="0" w:color="auto"/>
        <w:right w:val="none" w:sz="0" w:space="0" w:color="auto"/>
      </w:divBdr>
    </w:div>
    <w:div w:id="1381636746">
      <w:marLeft w:val="0"/>
      <w:marRight w:val="0"/>
      <w:marTop w:val="0"/>
      <w:marBottom w:val="0"/>
      <w:divBdr>
        <w:top w:val="none" w:sz="0" w:space="0" w:color="auto"/>
        <w:left w:val="none" w:sz="0" w:space="0" w:color="auto"/>
        <w:bottom w:val="none" w:sz="0" w:space="0" w:color="auto"/>
        <w:right w:val="none" w:sz="0" w:space="0" w:color="auto"/>
      </w:divBdr>
    </w:div>
    <w:div w:id="1381636747">
      <w:marLeft w:val="0"/>
      <w:marRight w:val="0"/>
      <w:marTop w:val="0"/>
      <w:marBottom w:val="0"/>
      <w:divBdr>
        <w:top w:val="none" w:sz="0" w:space="0" w:color="auto"/>
        <w:left w:val="none" w:sz="0" w:space="0" w:color="auto"/>
        <w:bottom w:val="none" w:sz="0" w:space="0" w:color="auto"/>
        <w:right w:val="none" w:sz="0" w:space="0" w:color="auto"/>
      </w:divBdr>
    </w:div>
    <w:div w:id="1381636748">
      <w:marLeft w:val="0"/>
      <w:marRight w:val="0"/>
      <w:marTop w:val="0"/>
      <w:marBottom w:val="0"/>
      <w:divBdr>
        <w:top w:val="none" w:sz="0" w:space="0" w:color="auto"/>
        <w:left w:val="none" w:sz="0" w:space="0" w:color="auto"/>
        <w:bottom w:val="none" w:sz="0" w:space="0" w:color="auto"/>
        <w:right w:val="none" w:sz="0" w:space="0" w:color="auto"/>
      </w:divBdr>
    </w:div>
    <w:div w:id="1381636749">
      <w:marLeft w:val="0"/>
      <w:marRight w:val="0"/>
      <w:marTop w:val="0"/>
      <w:marBottom w:val="0"/>
      <w:divBdr>
        <w:top w:val="none" w:sz="0" w:space="0" w:color="auto"/>
        <w:left w:val="none" w:sz="0" w:space="0" w:color="auto"/>
        <w:bottom w:val="none" w:sz="0" w:space="0" w:color="auto"/>
        <w:right w:val="none" w:sz="0" w:space="0" w:color="auto"/>
      </w:divBdr>
    </w:div>
    <w:div w:id="1381636750">
      <w:marLeft w:val="0"/>
      <w:marRight w:val="0"/>
      <w:marTop w:val="0"/>
      <w:marBottom w:val="0"/>
      <w:divBdr>
        <w:top w:val="none" w:sz="0" w:space="0" w:color="auto"/>
        <w:left w:val="none" w:sz="0" w:space="0" w:color="auto"/>
        <w:bottom w:val="none" w:sz="0" w:space="0" w:color="auto"/>
        <w:right w:val="none" w:sz="0" w:space="0" w:color="auto"/>
      </w:divBdr>
    </w:div>
    <w:div w:id="1381636751">
      <w:marLeft w:val="0"/>
      <w:marRight w:val="0"/>
      <w:marTop w:val="0"/>
      <w:marBottom w:val="0"/>
      <w:divBdr>
        <w:top w:val="none" w:sz="0" w:space="0" w:color="auto"/>
        <w:left w:val="none" w:sz="0" w:space="0" w:color="auto"/>
        <w:bottom w:val="none" w:sz="0" w:space="0" w:color="auto"/>
        <w:right w:val="none" w:sz="0" w:space="0" w:color="auto"/>
      </w:divBdr>
    </w:div>
    <w:div w:id="1381636752">
      <w:marLeft w:val="0"/>
      <w:marRight w:val="0"/>
      <w:marTop w:val="0"/>
      <w:marBottom w:val="0"/>
      <w:divBdr>
        <w:top w:val="none" w:sz="0" w:space="0" w:color="auto"/>
        <w:left w:val="none" w:sz="0" w:space="0" w:color="auto"/>
        <w:bottom w:val="none" w:sz="0" w:space="0" w:color="auto"/>
        <w:right w:val="none" w:sz="0" w:space="0" w:color="auto"/>
      </w:divBdr>
    </w:div>
    <w:div w:id="1381636753">
      <w:marLeft w:val="0"/>
      <w:marRight w:val="0"/>
      <w:marTop w:val="0"/>
      <w:marBottom w:val="0"/>
      <w:divBdr>
        <w:top w:val="none" w:sz="0" w:space="0" w:color="auto"/>
        <w:left w:val="none" w:sz="0" w:space="0" w:color="auto"/>
        <w:bottom w:val="none" w:sz="0" w:space="0" w:color="auto"/>
        <w:right w:val="none" w:sz="0" w:space="0" w:color="auto"/>
      </w:divBdr>
    </w:div>
    <w:div w:id="1381636754">
      <w:marLeft w:val="0"/>
      <w:marRight w:val="0"/>
      <w:marTop w:val="0"/>
      <w:marBottom w:val="0"/>
      <w:divBdr>
        <w:top w:val="none" w:sz="0" w:space="0" w:color="auto"/>
        <w:left w:val="none" w:sz="0" w:space="0" w:color="auto"/>
        <w:bottom w:val="none" w:sz="0" w:space="0" w:color="auto"/>
        <w:right w:val="none" w:sz="0" w:space="0" w:color="auto"/>
      </w:divBdr>
    </w:div>
    <w:div w:id="1381636755">
      <w:marLeft w:val="0"/>
      <w:marRight w:val="0"/>
      <w:marTop w:val="0"/>
      <w:marBottom w:val="0"/>
      <w:divBdr>
        <w:top w:val="none" w:sz="0" w:space="0" w:color="auto"/>
        <w:left w:val="none" w:sz="0" w:space="0" w:color="auto"/>
        <w:bottom w:val="none" w:sz="0" w:space="0" w:color="auto"/>
        <w:right w:val="none" w:sz="0" w:space="0" w:color="auto"/>
      </w:divBdr>
    </w:div>
    <w:div w:id="1381636756">
      <w:marLeft w:val="0"/>
      <w:marRight w:val="0"/>
      <w:marTop w:val="0"/>
      <w:marBottom w:val="0"/>
      <w:divBdr>
        <w:top w:val="none" w:sz="0" w:space="0" w:color="auto"/>
        <w:left w:val="none" w:sz="0" w:space="0" w:color="auto"/>
        <w:bottom w:val="none" w:sz="0" w:space="0" w:color="auto"/>
        <w:right w:val="none" w:sz="0" w:space="0" w:color="auto"/>
      </w:divBdr>
    </w:div>
    <w:div w:id="1381636757">
      <w:marLeft w:val="0"/>
      <w:marRight w:val="0"/>
      <w:marTop w:val="0"/>
      <w:marBottom w:val="0"/>
      <w:divBdr>
        <w:top w:val="none" w:sz="0" w:space="0" w:color="auto"/>
        <w:left w:val="none" w:sz="0" w:space="0" w:color="auto"/>
        <w:bottom w:val="none" w:sz="0" w:space="0" w:color="auto"/>
        <w:right w:val="none" w:sz="0" w:space="0" w:color="auto"/>
      </w:divBdr>
    </w:div>
    <w:div w:id="13816367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2.emf"/><Relationship Id="rId3" Type="http://schemas.microsoft.com/office/2007/relationships/stylesWithEffects" Target="stylesWithEffects.xml"/><Relationship Id="rId21" Type="http://schemas.openxmlformats.org/officeDocument/2006/relationships/oleObject" Target="embeddings/Microsoft_Excel_Chart1.xls"/><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1.emf"/><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oleObject" Target="embeddings/Microsoft_Excel_Chart2.xls"/><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emf"/><Relationship Id="rId30"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B8A087-B507-424B-8F06-42E9F533A435}"/>
</file>

<file path=customXml/itemProps2.xml><?xml version="1.0" encoding="utf-8"?>
<ds:datastoreItem xmlns:ds="http://schemas.openxmlformats.org/officeDocument/2006/customXml" ds:itemID="{71DDC508-EF6B-4793-B6C3-D941F19CFFFC}"/>
</file>

<file path=customXml/itemProps3.xml><?xml version="1.0" encoding="utf-8"?>
<ds:datastoreItem xmlns:ds="http://schemas.openxmlformats.org/officeDocument/2006/customXml" ds:itemID="{59DA53E4-1BF3-425A-8B39-5C4EB56A7375}"/>
</file>

<file path=docProps/app.xml><?xml version="1.0" encoding="utf-8"?>
<Properties xmlns="http://schemas.openxmlformats.org/officeDocument/2006/extended-properties" xmlns:vt="http://schemas.openxmlformats.org/officeDocument/2006/docPropsVTypes">
  <Template>Normal.dotm</Template>
  <TotalTime>0</TotalTime>
  <Pages>75</Pages>
  <Words>25405</Words>
  <Characters>140999</Characters>
  <Application>Microsoft Office Word</Application>
  <DocSecurity>0</DocSecurity>
  <Lines>3133</Lines>
  <Paragraphs>894</Paragraphs>
  <ScaleCrop>false</ScaleCrop>
  <Company/>
  <LinksUpToDate>false</LinksUpToDate>
  <CharactersWithSpaces>165510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2012-11-09T01:17:00Z</dcterms:created>
  <dcterms:modified xsi:type="dcterms:W3CDTF">2012-11-09T01:17:00Z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